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BD0CC8" w:rsidRDefault="00B72BC0" w:rsidP="009901F3">
      <w:pPr>
        <w:pStyle w:val="PBACHeading1"/>
        <w:numPr>
          <w:ilvl w:val="0"/>
          <w:numId w:val="0"/>
        </w:numPr>
        <w:spacing w:before="240" w:after="120"/>
        <w:rPr>
          <w:rFonts w:eastAsia="Calibri"/>
          <w:b w:val="0"/>
          <w:sz w:val="36"/>
          <w:szCs w:val="36"/>
          <w:lang w:val="en-GB"/>
        </w:rPr>
      </w:pPr>
      <w:r>
        <w:rPr>
          <w:sz w:val="36"/>
          <w:szCs w:val="36"/>
        </w:rPr>
        <w:t>7</w:t>
      </w:r>
      <w:r w:rsidR="00433044" w:rsidRPr="00C12C14">
        <w:rPr>
          <w:sz w:val="36"/>
          <w:szCs w:val="36"/>
        </w:rPr>
        <w:t>.</w:t>
      </w:r>
      <w:r>
        <w:rPr>
          <w:sz w:val="36"/>
          <w:szCs w:val="36"/>
        </w:rPr>
        <w:t>04</w:t>
      </w:r>
      <w:r w:rsidR="00B60939" w:rsidRPr="00C12C14">
        <w:rPr>
          <w:sz w:val="36"/>
          <w:szCs w:val="36"/>
        </w:rPr>
        <w:tab/>
      </w:r>
      <w:r w:rsidR="00095E02" w:rsidRPr="009D046E">
        <w:rPr>
          <w:rFonts w:eastAsia="Calibri"/>
          <w:sz w:val="36"/>
          <w:szCs w:val="36"/>
        </w:rPr>
        <w:t xml:space="preserve">IBRUTINIB, </w:t>
      </w:r>
      <w:r w:rsidR="00E26778">
        <w:rPr>
          <w:rFonts w:eastAsia="Calibri"/>
          <w:sz w:val="36"/>
          <w:szCs w:val="36"/>
        </w:rPr>
        <w:t xml:space="preserve">Capsule </w:t>
      </w:r>
      <w:r w:rsidR="00095E02" w:rsidRPr="009D046E">
        <w:rPr>
          <w:rFonts w:eastAsia="Calibri"/>
          <w:sz w:val="36"/>
          <w:szCs w:val="36"/>
          <w:lang w:val="en-GB"/>
        </w:rPr>
        <w:t>140</w:t>
      </w:r>
      <w:r w:rsidR="00E26778">
        <w:rPr>
          <w:rFonts w:eastAsia="Calibri"/>
          <w:sz w:val="36"/>
          <w:szCs w:val="36"/>
          <w:lang w:val="en-GB"/>
        </w:rPr>
        <w:t xml:space="preserve"> </w:t>
      </w:r>
      <w:r w:rsidR="00095E02" w:rsidRPr="009D046E">
        <w:rPr>
          <w:rFonts w:eastAsia="Calibri"/>
          <w:sz w:val="36"/>
          <w:szCs w:val="36"/>
          <w:lang w:val="en-GB"/>
        </w:rPr>
        <w:t>mg,</w:t>
      </w:r>
      <w:r w:rsidR="00095E02" w:rsidRPr="009D046E">
        <w:rPr>
          <w:rFonts w:eastAsia="Calibri"/>
          <w:sz w:val="36"/>
          <w:szCs w:val="36"/>
        </w:rPr>
        <w:t xml:space="preserve"> </w:t>
      </w:r>
      <w:r w:rsidR="00095E02" w:rsidRPr="009D046E">
        <w:rPr>
          <w:rFonts w:eastAsia="Calibri"/>
          <w:sz w:val="36"/>
          <w:szCs w:val="36"/>
          <w:lang w:val="en-GB"/>
        </w:rPr>
        <w:t>Imbruvica</w:t>
      </w:r>
      <w:r w:rsidR="00095E02" w:rsidRPr="009D046E">
        <w:rPr>
          <w:rFonts w:eastAsia="Calibri"/>
          <w:sz w:val="36"/>
          <w:szCs w:val="36"/>
          <w:vertAlign w:val="superscript"/>
          <w:lang w:val="en-GB"/>
        </w:rPr>
        <w:t>®</w:t>
      </w:r>
      <w:r w:rsidR="00095E02" w:rsidRPr="009D046E">
        <w:rPr>
          <w:rFonts w:eastAsia="Calibri"/>
          <w:sz w:val="36"/>
          <w:szCs w:val="36"/>
          <w:lang w:val="en-GB"/>
        </w:rPr>
        <w:t>,</w:t>
      </w:r>
      <w:r w:rsidR="00095E02" w:rsidRPr="009D046E">
        <w:rPr>
          <w:rFonts w:eastAsia="Calibri"/>
          <w:sz w:val="36"/>
          <w:szCs w:val="36"/>
        </w:rPr>
        <w:t xml:space="preserve"> </w:t>
      </w:r>
      <w:r w:rsidR="00095E02" w:rsidRPr="009D046E">
        <w:rPr>
          <w:rFonts w:eastAsia="Calibri"/>
          <w:sz w:val="36"/>
          <w:szCs w:val="36"/>
          <w:lang w:val="en-GB"/>
        </w:rPr>
        <w:t>Janssen-</w:t>
      </w:r>
      <w:proofErr w:type="spellStart"/>
      <w:r w:rsidR="00095E02" w:rsidRPr="009D046E">
        <w:rPr>
          <w:rFonts w:eastAsia="Calibri"/>
          <w:sz w:val="36"/>
          <w:szCs w:val="36"/>
          <w:lang w:val="en-GB"/>
        </w:rPr>
        <w:t>Cilag</w:t>
      </w:r>
      <w:proofErr w:type="spellEnd"/>
      <w:r w:rsidR="00095E02" w:rsidRPr="009D046E">
        <w:rPr>
          <w:rFonts w:eastAsia="Calibri"/>
          <w:sz w:val="36"/>
          <w:szCs w:val="36"/>
          <w:lang w:val="en-GB"/>
        </w:rPr>
        <w:t xml:space="preserve"> Pty Ltd</w:t>
      </w:r>
      <w:r>
        <w:rPr>
          <w:rFonts w:eastAsia="Calibri"/>
          <w:sz w:val="36"/>
          <w:szCs w:val="36"/>
          <w:lang w:val="en-GB"/>
        </w:rPr>
        <w:t>.</w:t>
      </w:r>
    </w:p>
    <w:p w:rsidR="00B60939" w:rsidRPr="00882085" w:rsidRDefault="00B50DB8" w:rsidP="008317D0">
      <w:pPr>
        <w:pStyle w:val="PBACHeading1"/>
        <w:numPr>
          <w:ilvl w:val="0"/>
          <w:numId w:val="33"/>
        </w:numPr>
        <w:spacing w:before="240" w:after="120"/>
      </w:pPr>
      <w:bookmarkStart w:id="0" w:name="_Toc19716420"/>
      <w:r w:rsidRPr="00407F2D">
        <w:t>Purpose of Application</w:t>
      </w:r>
      <w:bookmarkEnd w:id="0"/>
    </w:p>
    <w:p w:rsidR="00BE7A12" w:rsidRDefault="00BE7A12" w:rsidP="00B2597F">
      <w:pPr>
        <w:pStyle w:val="ListParagraph"/>
        <w:numPr>
          <w:ilvl w:val="1"/>
          <w:numId w:val="1"/>
        </w:numPr>
      </w:pPr>
      <w:r>
        <w:t xml:space="preserve">The resubmission requested an Authority </w:t>
      </w:r>
      <w:proofErr w:type="gramStart"/>
      <w:r>
        <w:t>Required</w:t>
      </w:r>
      <w:proofErr w:type="gramEnd"/>
      <w:r>
        <w:t xml:space="preserve"> listing for ibrutinib for </w:t>
      </w:r>
      <w:r w:rsidR="0049569A">
        <w:t xml:space="preserve">first-line </w:t>
      </w:r>
      <w:r>
        <w:t>treatment of</w:t>
      </w:r>
      <w:r w:rsidR="00FD6E44">
        <w:t xml:space="preserve"> chronic lymphocytic leukaemia/small lymphocytic lymphoma</w:t>
      </w:r>
      <w:r>
        <w:t xml:space="preserve"> </w:t>
      </w:r>
      <w:r w:rsidR="00FD6E44">
        <w:t>(</w:t>
      </w:r>
      <w:r>
        <w:t>CLL/SLL</w:t>
      </w:r>
      <w:r w:rsidR="00FD6E44">
        <w:t>)</w:t>
      </w:r>
      <w:r>
        <w:t xml:space="preserve"> patients with del</w:t>
      </w:r>
      <w:r w:rsidR="00CE0D7E">
        <w:t xml:space="preserve">etion </w:t>
      </w:r>
      <w:r>
        <w:t>17p</w:t>
      </w:r>
      <w:r w:rsidR="00CB3912">
        <w:t xml:space="preserve"> (del17p)</w:t>
      </w:r>
      <w:r w:rsidR="00CE0D7E">
        <w:t>, to be identified by fluorescence in situ hybridisation (FISH)</w:t>
      </w:r>
      <w:r>
        <w:t>.</w:t>
      </w:r>
      <w:r w:rsidR="00CE0D7E">
        <w:t xml:space="preserve">  There is a concurrent </w:t>
      </w:r>
      <w:r w:rsidR="00B72BC0">
        <w:t xml:space="preserve">minor </w:t>
      </w:r>
      <w:r w:rsidR="00CE0D7E">
        <w:t>submission to MSAC to consider the FISH test for use in first-line CLL/SLL.</w:t>
      </w:r>
      <w:r>
        <w:t xml:space="preserve">  A listing for </w:t>
      </w:r>
      <w:r w:rsidR="00B72BC0">
        <w:t xml:space="preserve">ibrutinib </w:t>
      </w:r>
      <w:r>
        <w:t xml:space="preserve">first-line treatment (in the overall CLL/CLL population) was considered by the PBAC in November 2017 </w:t>
      </w:r>
      <w:r w:rsidR="008968CC">
        <w:t>with a minor submission considered in</w:t>
      </w:r>
      <w:r>
        <w:t xml:space="preserve"> March 2018.</w:t>
      </w:r>
    </w:p>
    <w:p w:rsidR="00C2778B" w:rsidRDefault="00BE7A12" w:rsidP="00B2597F">
      <w:pPr>
        <w:pStyle w:val="ListParagraph"/>
        <w:numPr>
          <w:ilvl w:val="1"/>
          <w:numId w:val="1"/>
        </w:numPr>
        <w:spacing w:after="120"/>
      </w:pPr>
      <w:r>
        <w:t>Listing was requested on the basis of a cost utility analysis versus obinutuzumab</w:t>
      </w:r>
      <w:r w:rsidR="006271E5">
        <w:t xml:space="preserve"> </w:t>
      </w:r>
      <w:r>
        <w:t>+</w:t>
      </w:r>
      <w:r w:rsidR="006271E5">
        <w:t xml:space="preserve"> </w:t>
      </w:r>
      <w:proofErr w:type="spellStart"/>
      <w:r>
        <w:t>chlorambucil</w:t>
      </w:r>
      <w:proofErr w:type="spellEnd"/>
      <w:r>
        <w:t xml:space="preserve"> (</w:t>
      </w:r>
      <w:proofErr w:type="spellStart"/>
      <w:r>
        <w:t>obi+chl</w:t>
      </w:r>
      <w:proofErr w:type="spellEnd"/>
      <w:r>
        <w:t xml:space="preserve">).  </w:t>
      </w:r>
      <w:r w:rsidRPr="00F46138">
        <w:t>The key components of the clinical issue</w:t>
      </w:r>
      <w:r>
        <w:t xml:space="preserve"> addressed by the resubmission are presented in Table 1.</w:t>
      </w:r>
    </w:p>
    <w:p w:rsidR="008B1757" w:rsidRPr="008B1757" w:rsidRDefault="00661DFA" w:rsidP="00F74A7D">
      <w:pPr>
        <w:keepNext/>
        <w:keepLines/>
        <w:rPr>
          <w:rStyle w:val="CommentReference"/>
        </w:rPr>
      </w:pPr>
      <w:r w:rsidRPr="00401364">
        <w:rPr>
          <w:rFonts w:ascii="Arial Narrow" w:hAnsi="Arial Narrow"/>
          <w:b/>
          <w:sz w:val="20"/>
          <w:szCs w:val="20"/>
        </w:rPr>
        <w:t xml:space="preserve">Table </w:t>
      </w:r>
      <w:r w:rsidR="00BD4B83">
        <w:rPr>
          <w:rFonts w:ascii="Arial Narrow" w:hAnsi="Arial Narrow"/>
          <w:b/>
          <w:noProof/>
          <w:sz w:val="20"/>
          <w:szCs w:val="20"/>
        </w:rPr>
        <w:t>1</w:t>
      </w:r>
      <w:r w:rsidRPr="00617353">
        <w:rPr>
          <w:rFonts w:ascii="Arial Narrow" w:hAnsi="Arial Narrow"/>
          <w:b/>
          <w:sz w:val="20"/>
          <w:szCs w:val="20"/>
        </w:rPr>
        <w:t>:</w:t>
      </w:r>
      <w:r w:rsidR="008B1757">
        <w:rPr>
          <w:rStyle w:val="CommentReference"/>
        </w:rPr>
        <w:t xml:space="preserve">  Key components of the clinical issue addressed by the </w:t>
      </w:r>
      <w:r w:rsidR="00BE7A12">
        <w:rPr>
          <w:rStyle w:val="CommentReference"/>
        </w:rPr>
        <w:t>re</w:t>
      </w:r>
      <w:r w:rsidR="008B1757">
        <w:rPr>
          <w:rStyle w:val="CommentReference"/>
        </w:rPr>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BE7A12" w:rsidRPr="00A518F3" w:rsidTr="00404EE1">
        <w:tc>
          <w:tcPr>
            <w:tcW w:w="1668" w:type="dxa"/>
            <w:vAlign w:val="center"/>
          </w:tcPr>
          <w:p w:rsidR="00BE7A12" w:rsidRPr="00A518F3" w:rsidRDefault="00BE7A12" w:rsidP="00F74A7D">
            <w:pPr>
              <w:pStyle w:val="Tabletext"/>
              <w:keepNext/>
              <w:keepLines/>
              <w:rPr>
                <w:b/>
              </w:rPr>
            </w:pPr>
            <w:r w:rsidRPr="00A518F3">
              <w:rPr>
                <w:b/>
              </w:rPr>
              <w:t>Component</w:t>
            </w:r>
          </w:p>
        </w:tc>
        <w:tc>
          <w:tcPr>
            <w:tcW w:w="7488" w:type="dxa"/>
            <w:vAlign w:val="center"/>
          </w:tcPr>
          <w:p w:rsidR="00BE7A12" w:rsidRPr="00A518F3" w:rsidRDefault="00BE7A12" w:rsidP="00F74A7D">
            <w:pPr>
              <w:pStyle w:val="Tabletext"/>
              <w:keepNext/>
              <w:keepLines/>
              <w:jc w:val="center"/>
              <w:rPr>
                <w:b/>
              </w:rPr>
            </w:pPr>
            <w:r w:rsidRPr="00A518F3">
              <w:rPr>
                <w:b/>
              </w:rPr>
              <w:t>Description</w:t>
            </w:r>
          </w:p>
        </w:tc>
      </w:tr>
      <w:tr w:rsidR="00BE7A12" w:rsidTr="00404EE1">
        <w:tc>
          <w:tcPr>
            <w:tcW w:w="1668" w:type="dxa"/>
            <w:vAlign w:val="center"/>
          </w:tcPr>
          <w:p w:rsidR="00BE7A12" w:rsidRDefault="00BE7A12" w:rsidP="00F74A7D">
            <w:pPr>
              <w:pStyle w:val="Tabletext"/>
              <w:keepNext/>
              <w:keepLines/>
            </w:pPr>
            <w:r>
              <w:t>Population</w:t>
            </w:r>
          </w:p>
        </w:tc>
        <w:tc>
          <w:tcPr>
            <w:tcW w:w="7488" w:type="dxa"/>
            <w:vAlign w:val="center"/>
          </w:tcPr>
          <w:p w:rsidR="00BE7A12" w:rsidRDefault="00BE7A12" w:rsidP="00F74A7D">
            <w:pPr>
              <w:pStyle w:val="Tabletext"/>
              <w:keepNext/>
              <w:keepLines/>
            </w:pPr>
            <w:r>
              <w:t xml:space="preserve">Patients with untreated CLL or SLL who have one or more 17p chromosomal deletions demonstrated by </w:t>
            </w:r>
            <w:r w:rsidR="0099663D">
              <w:t>FISH</w:t>
            </w:r>
            <w:r>
              <w:t>.</w:t>
            </w:r>
          </w:p>
        </w:tc>
      </w:tr>
      <w:tr w:rsidR="00BE7A12" w:rsidTr="00404EE1">
        <w:tc>
          <w:tcPr>
            <w:tcW w:w="1668" w:type="dxa"/>
            <w:vAlign w:val="center"/>
          </w:tcPr>
          <w:p w:rsidR="00BE7A12" w:rsidRDefault="00BE7A12" w:rsidP="00F74A7D">
            <w:pPr>
              <w:pStyle w:val="Tabletext"/>
              <w:keepNext/>
              <w:keepLines/>
            </w:pPr>
            <w:r>
              <w:t>Intervention</w:t>
            </w:r>
          </w:p>
        </w:tc>
        <w:tc>
          <w:tcPr>
            <w:tcW w:w="7488" w:type="dxa"/>
            <w:vAlign w:val="center"/>
          </w:tcPr>
          <w:p w:rsidR="00BE7A12" w:rsidRDefault="00BE7A12" w:rsidP="00F74A7D">
            <w:pPr>
              <w:pStyle w:val="Tabletext"/>
              <w:keepNext/>
              <w:keepLines/>
            </w:pPr>
            <w:r>
              <w:t xml:space="preserve">Ibrutinib </w:t>
            </w:r>
            <w:r w:rsidR="00B72BC0">
              <w:t xml:space="preserve">administered orally </w:t>
            </w:r>
            <w:r>
              <w:t xml:space="preserve">420mg/day </w:t>
            </w:r>
            <w:r w:rsidR="00B72BC0">
              <w:t>(3</w:t>
            </w:r>
            <w:r w:rsidR="00365929">
              <w:t>x</w:t>
            </w:r>
            <w:r w:rsidR="00B72BC0">
              <w:t xml:space="preserve">140mg capsules) </w:t>
            </w:r>
            <w:r>
              <w:t>until disease progression or ibrutinib is no longer tolerated.</w:t>
            </w:r>
          </w:p>
        </w:tc>
      </w:tr>
      <w:tr w:rsidR="00BE7A12" w:rsidTr="00404EE1">
        <w:tc>
          <w:tcPr>
            <w:tcW w:w="1668" w:type="dxa"/>
            <w:vAlign w:val="center"/>
          </w:tcPr>
          <w:p w:rsidR="00BE7A12" w:rsidRDefault="00BE7A12" w:rsidP="00F74A7D">
            <w:pPr>
              <w:pStyle w:val="Tabletext"/>
              <w:keepNext/>
              <w:keepLines/>
            </w:pPr>
            <w:r>
              <w:t>Comparator</w:t>
            </w:r>
          </w:p>
        </w:tc>
        <w:tc>
          <w:tcPr>
            <w:tcW w:w="7488" w:type="dxa"/>
            <w:vAlign w:val="center"/>
          </w:tcPr>
          <w:p w:rsidR="00BE7A12" w:rsidRDefault="00BE7A12" w:rsidP="00F74A7D">
            <w:pPr>
              <w:pStyle w:val="Tabletext"/>
              <w:keepNext/>
              <w:keepLines/>
            </w:pPr>
            <w:r>
              <w:t>Chemoimmunotherapy: obinutuzumab</w:t>
            </w:r>
            <w:r w:rsidR="002970B6">
              <w:t xml:space="preserve"> </w:t>
            </w:r>
            <w:r>
              <w:t>+</w:t>
            </w:r>
            <w:r w:rsidR="002970B6">
              <w:t xml:space="preserve"> </w:t>
            </w:r>
            <w:r>
              <w:t>chlorambucil.</w:t>
            </w:r>
          </w:p>
          <w:p w:rsidR="001804A9" w:rsidRPr="00F74A7D" w:rsidRDefault="00BE7A12" w:rsidP="00F74A7D">
            <w:pPr>
              <w:keepNext/>
              <w:keepLines/>
              <w:autoSpaceDE w:val="0"/>
              <w:autoSpaceDN w:val="0"/>
              <w:adjustRightInd w:val="0"/>
              <w:jc w:val="left"/>
              <w:rPr>
                <w:rFonts w:ascii="Arial Narrow" w:hAnsi="Arial Narrow"/>
                <w:snapToGrid w:val="0"/>
                <w:sz w:val="20"/>
              </w:rPr>
            </w:pPr>
            <w:r w:rsidRPr="00F74A7D">
              <w:rPr>
                <w:rFonts w:ascii="Arial Narrow" w:hAnsi="Arial Narrow"/>
                <w:snapToGrid w:val="0"/>
                <w:sz w:val="20"/>
              </w:rPr>
              <w:t xml:space="preserve">Obinutuzumab administered intravenously </w:t>
            </w:r>
            <w:r w:rsidR="009D48DD" w:rsidRPr="00F74A7D">
              <w:rPr>
                <w:rFonts w:ascii="Arial Narrow" w:hAnsi="Arial Narrow"/>
                <w:snapToGrid w:val="0"/>
                <w:sz w:val="20"/>
              </w:rPr>
              <w:t xml:space="preserve">on </w:t>
            </w:r>
            <w:r w:rsidR="001804A9" w:rsidRPr="00F74A7D">
              <w:rPr>
                <w:rFonts w:ascii="Arial Narrow" w:hAnsi="Arial Narrow"/>
                <w:snapToGrid w:val="0"/>
                <w:sz w:val="20"/>
              </w:rPr>
              <w:t>Days 1 and 2 (100 mg on Day 1 and 900 mg on</w:t>
            </w:r>
          </w:p>
          <w:p w:rsidR="001804A9" w:rsidRPr="00F74A7D" w:rsidRDefault="001804A9" w:rsidP="00F74A7D">
            <w:pPr>
              <w:keepNext/>
              <w:keepLines/>
              <w:autoSpaceDE w:val="0"/>
              <w:autoSpaceDN w:val="0"/>
              <w:adjustRightInd w:val="0"/>
              <w:jc w:val="left"/>
              <w:rPr>
                <w:rFonts w:ascii="Arial Narrow" w:hAnsi="Arial Narrow"/>
                <w:snapToGrid w:val="0"/>
                <w:sz w:val="20"/>
              </w:rPr>
            </w:pPr>
            <w:r w:rsidRPr="00F74A7D">
              <w:rPr>
                <w:rFonts w:ascii="Arial Narrow" w:hAnsi="Arial Narrow"/>
                <w:sz w:val="20"/>
              </w:rPr>
              <w:t>Day 2), 1000 mg on Days 8 and 15 of Cycle 1, and 1000 mg on Day 1 of each cycle up to 6 cycles</w:t>
            </w:r>
            <w:r w:rsidRPr="00F74A7D">
              <w:rPr>
                <w:rFonts w:ascii="Times New Roman" w:hAnsi="Times New Roman"/>
                <w:sz w:val="22"/>
                <w:szCs w:val="22"/>
                <w:lang w:eastAsia="en-AU"/>
              </w:rPr>
              <w:t>;</w:t>
            </w:r>
            <w:r w:rsidRPr="00F74A7D">
              <w:rPr>
                <w:szCs w:val="20"/>
              </w:rPr>
              <w:t xml:space="preserve"> </w:t>
            </w:r>
            <w:proofErr w:type="spellStart"/>
            <w:r w:rsidRPr="00F74A7D">
              <w:rPr>
                <w:rFonts w:ascii="Arial Narrow" w:hAnsi="Arial Narrow"/>
                <w:snapToGrid w:val="0"/>
                <w:sz w:val="20"/>
              </w:rPr>
              <w:t>Chlorambucil</w:t>
            </w:r>
            <w:r w:rsidR="00F74A7D">
              <w:rPr>
                <w:rFonts w:ascii="Arial Narrow" w:hAnsi="Arial Narrow"/>
                <w:snapToGrid w:val="0"/>
                <w:sz w:val="20"/>
                <w:vertAlign w:val="superscript"/>
              </w:rPr>
              <w:t>a</w:t>
            </w:r>
            <w:proofErr w:type="spellEnd"/>
            <w:r w:rsidRPr="00F74A7D">
              <w:rPr>
                <w:rFonts w:ascii="Arial Narrow" w:hAnsi="Arial Narrow"/>
                <w:snapToGrid w:val="0"/>
                <w:sz w:val="20"/>
              </w:rPr>
              <w:t xml:space="preserve"> given orally at a dose of 0.5 mg/kg body weight up to a total of 6 cycles on</w:t>
            </w:r>
          </w:p>
          <w:p w:rsidR="00BE7A12" w:rsidRDefault="001804A9" w:rsidP="00F74A7D">
            <w:pPr>
              <w:pStyle w:val="Tabletext"/>
              <w:keepNext/>
              <w:keepLines/>
            </w:pPr>
            <w:r w:rsidRPr="00F74A7D">
              <w:t xml:space="preserve">Days 1 and 15 of each cycle. </w:t>
            </w:r>
            <w:r w:rsidR="00BE7A12" w:rsidRPr="00F74A7D">
              <w:t>Maximum treatment is 6 cycles</w:t>
            </w:r>
            <w:r w:rsidR="00551CD0" w:rsidRPr="00F74A7D">
              <w:t>.</w:t>
            </w:r>
            <w:r w:rsidR="00BE7A12">
              <w:t xml:space="preserve"> </w:t>
            </w:r>
          </w:p>
        </w:tc>
      </w:tr>
      <w:tr w:rsidR="00BE7A12" w:rsidTr="00404EE1">
        <w:tc>
          <w:tcPr>
            <w:tcW w:w="1668" w:type="dxa"/>
            <w:vAlign w:val="center"/>
          </w:tcPr>
          <w:p w:rsidR="00BE7A12" w:rsidRDefault="00BE7A12" w:rsidP="00F74A7D">
            <w:pPr>
              <w:pStyle w:val="Tabletext"/>
              <w:keepNext/>
              <w:keepLines/>
            </w:pPr>
            <w:r>
              <w:t>Outcomes</w:t>
            </w:r>
          </w:p>
        </w:tc>
        <w:tc>
          <w:tcPr>
            <w:tcW w:w="7488" w:type="dxa"/>
            <w:vAlign w:val="center"/>
          </w:tcPr>
          <w:p w:rsidR="00BE7A12" w:rsidRDefault="00BE7A12" w:rsidP="00F74A7D">
            <w:pPr>
              <w:pStyle w:val="Tabletext"/>
              <w:keepNext/>
              <w:keepLines/>
            </w:pPr>
            <w:r>
              <w:t xml:space="preserve">PFS, OS, ORR, TTNT, AEs.  </w:t>
            </w:r>
          </w:p>
        </w:tc>
      </w:tr>
      <w:tr w:rsidR="00BE7A12" w:rsidTr="00404EE1">
        <w:tc>
          <w:tcPr>
            <w:tcW w:w="1668" w:type="dxa"/>
            <w:vAlign w:val="center"/>
          </w:tcPr>
          <w:p w:rsidR="00BE7A12" w:rsidRDefault="00BE7A12" w:rsidP="00F74A7D">
            <w:pPr>
              <w:pStyle w:val="Tabletext"/>
              <w:keepNext/>
              <w:keepLines/>
            </w:pPr>
            <w:r>
              <w:t>Clinical claim</w:t>
            </w:r>
          </w:p>
        </w:tc>
        <w:tc>
          <w:tcPr>
            <w:tcW w:w="7488" w:type="dxa"/>
            <w:vAlign w:val="center"/>
          </w:tcPr>
          <w:p w:rsidR="00BE7A12" w:rsidRDefault="0099663D" w:rsidP="00F74A7D">
            <w:pPr>
              <w:pStyle w:val="TableText1"/>
              <w:keepLines/>
            </w:pPr>
            <w:r>
              <w:t>I</w:t>
            </w:r>
            <w:r w:rsidR="00BE7A12" w:rsidRPr="000D500C">
              <w:t>brutinib</w:t>
            </w:r>
            <w:r w:rsidR="001D76F9">
              <w:t xml:space="preserve"> </w:t>
            </w:r>
            <w:r>
              <w:t>is</w:t>
            </w:r>
            <w:r w:rsidR="00BE7A12" w:rsidRPr="000D500C">
              <w:t xml:space="preserve"> superior compared with </w:t>
            </w:r>
            <w:proofErr w:type="spellStart"/>
            <w:r w:rsidR="00BE7A12" w:rsidRPr="000D500C">
              <w:t>obi+chl</w:t>
            </w:r>
            <w:proofErr w:type="spellEnd"/>
            <w:r w:rsidR="00BE7A12" w:rsidRPr="000D500C">
              <w:t xml:space="preserve"> as assessed by a statistically and clinically significant improvement in PFS</w:t>
            </w:r>
            <w:r w:rsidR="00365929">
              <w:t>.</w:t>
            </w:r>
            <w:r w:rsidR="00BE7A12">
              <w:t xml:space="preserve">  </w:t>
            </w:r>
          </w:p>
          <w:p w:rsidR="00BE7A12" w:rsidRDefault="00BE7A12" w:rsidP="00906E74">
            <w:pPr>
              <w:pStyle w:val="TableText1"/>
              <w:keepLines/>
            </w:pPr>
            <w:r w:rsidRPr="000D500C">
              <w:t xml:space="preserve">Ibrutinib has a numerically similar incidence but different profile of adverse events (AEs) compared to </w:t>
            </w:r>
            <w:proofErr w:type="spellStart"/>
            <w:r w:rsidRPr="000D500C">
              <w:t>obi+chl</w:t>
            </w:r>
            <w:proofErr w:type="spellEnd"/>
            <w:r w:rsidRPr="000D500C">
              <w:t xml:space="preserve">, over the first </w:t>
            </w:r>
            <w:r>
              <w:t>9</w:t>
            </w:r>
            <w:r w:rsidRPr="000D500C">
              <w:t xml:space="preserve"> </w:t>
            </w:r>
            <w:proofErr w:type="spellStart"/>
            <w:r w:rsidRPr="000D500C">
              <w:t>months</w:t>
            </w:r>
            <w:r w:rsidR="00F74A7D">
              <w:rPr>
                <w:vertAlign w:val="superscript"/>
              </w:rPr>
              <w:t>b</w:t>
            </w:r>
            <w:proofErr w:type="spellEnd"/>
            <w:r w:rsidRPr="000D500C">
              <w:t xml:space="preserve"> of treatment.</w:t>
            </w:r>
            <w:r>
              <w:t xml:space="preserve">  F</w:t>
            </w:r>
            <w:r w:rsidRPr="000D500C">
              <w:t xml:space="preserve">or treatment beyond </w:t>
            </w:r>
            <w:r>
              <w:t>9</w:t>
            </w:r>
            <w:r w:rsidRPr="000D500C">
              <w:t xml:space="preserve"> </w:t>
            </w:r>
            <w:r w:rsidR="00365929" w:rsidRPr="000D500C">
              <w:t xml:space="preserve">months </w:t>
            </w:r>
            <w:r w:rsidRPr="000D500C">
              <w:t>ibrutinib has an inferior safety profile.</w:t>
            </w:r>
            <w:r>
              <w:t xml:space="preserve"> </w:t>
            </w:r>
          </w:p>
        </w:tc>
      </w:tr>
    </w:tbl>
    <w:p w:rsidR="00F74A7D" w:rsidRPr="00F74A7D" w:rsidRDefault="00ED56E3" w:rsidP="00F74A7D">
      <w:pPr>
        <w:pStyle w:val="TableFooter"/>
        <w:keepNext/>
        <w:keepLines/>
        <w:tabs>
          <w:tab w:val="left" w:pos="142"/>
        </w:tabs>
        <w:rPr>
          <w:iCs/>
        </w:rPr>
      </w:pPr>
      <w:r>
        <w:rPr>
          <w:iCs/>
          <w:vertAlign w:val="superscript"/>
        </w:rPr>
        <w:t>a</w:t>
      </w:r>
      <w:r w:rsidR="00551CD0" w:rsidRPr="00EB5599">
        <w:rPr>
          <w:iCs/>
          <w:vertAlign w:val="superscript"/>
        </w:rPr>
        <w:tab/>
      </w:r>
      <w:r w:rsidR="00F74A7D">
        <w:rPr>
          <w:iCs/>
        </w:rPr>
        <w:t>The resubmission had ‘chlorambucil 10mg/m</w:t>
      </w:r>
      <w:r w:rsidR="00F74A7D" w:rsidRPr="000B5E5C">
        <w:rPr>
          <w:iCs/>
          <w:vertAlign w:val="superscript"/>
        </w:rPr>
        <w:t>2</w:t>
      </w:r>
      <w:r w:rsidR="00F74A7D">
        <w:rPr>
          <w:iCs/>
        </w:rPr>
        <w:t xml:space="preserve">/day for 7 days of each 28 day cycle’ in Table 1.1 with the dose subsequently stated as 0.5 mg/kg body weight on days 1 and 15 of each cycle. Hence, the dose for chlorambucil is amended in the table above. </w:t>
      </w:r>
    </w:p>
    <w:p w:rsidR="006224BD" w:rsidRPr="00EB5599" w:rsidRDefault="00F74A7D" w:rsidP="00F74A7D">
      <w:pPr>
        <w:pStyle w:val="TableFooter"/>
        <w:keepNext/>
        <w:keepLines/>
        <w:tabs>
          <w:tab w:val="left" w:pos="142"/>
        </w:tabs>
        <w:rPr>
          <w:iCs/>
        </w:rPr>
      </w:pPr>
      <w:r>
        <w:rPr>
          <w:iCs/>
          <w:vertAlign w:val="superscript"/>
        </w:rPr>
        <w:t xml:space="preserve">b </w:t>
      </w:r>
      <w:r w:rsidR="00BE7A12" w:rsidRPr="00EB5599">
        <w:rPr>
          <w:iCs/>
        </w:rPr>
        <w:t>The resubmission had ‘6 months’ in its Table 1.1 with this claim, however Section 2.17.2 of the resubmission used 9 months, and the presentation of AEs in the ILLUMINATE trial were based on 9 months and the overall trial.  So the time period has been altered to 9 months in the table above.</w:t>
      </w:r>
      <w:r w:rsidR="00551CD0" w:rsidRPr="00EB5599">
        <w:rPr>
          <w:iCs/>
        </w:rPr>
        <w:tab/>
      </w:r>
    </w:p>
    <w:p w:rsidR="00BE7A12" w:rsidRPr="00EB5599" w:rsidRDefault="00BE7A12" w:rsidP="00F74A7D">
      <w:pPr>
        <w:pStyle w:val="TableFooter"/>
        <w:keepNext/>
        <w:keepLines/>
      </w:pPr>
      <w:r w:rsidRPr="00EB5599">
        <w:t xml:space="preserve">AEs=adverse events; CLL=chronic lymphocytic leukaemia; </w:t>
      </w:r>
      <w:r w:rsidR="008968CC">
        <w:t>FISH=</w:t>
      </w:r>
      <w:r w:rsidR="008968CC" w:rsidRPr="008968CC">
        <w:t xml:space="preserve"> </w:t>
      </w:r>
      <w:r w:rsidR="008968CC">
        <w:t xml:space="preserve">fluorescence in situ hybridisation; </w:t>
      </w:r>
      <w:r w:rsidRPr="00EB5599">
        <w:t>PFS=progression-free survival; ORR=overall response rate; OS=overall survival; TTNT=time to next treatment; SLL=small lymphocytic lymphoma</w:t>
      </w:r>
    </w:p>
    <w:p w:rsidR="009901F3" w:rsidRDefault="00BE7A12" w:rsidP="001E39A7">
      <w:pPr>
        <w:pStyle w:val="TableFooter"/>
        <w:keepNext/>
        <w:keepLines/>
      </w:pPr>
      <w:r w:rsidRPr="00EB5599">
        <w:t>Source: Table 1.1, p6 of Section 1.1.1</w:t>
      </w:r>
      <w:r w:rsidR="00F74A7D">
        <w:t>, Table 3.9, p81 of Section 3.6.1</w:t>
      </w:r>
      <w:r w:rsidRPr="00EB5599">
        <w:t xml:space="preserve"> of the resubmission.</w:t>
      </w:r>
    </w:p>
    <w:p w:rsidR="009901F3" w:rsidRPr="009901F3" w:rsidRDefault="009901F3" w:rsidP="009901F3">
      <w:pPr>
        <w:jc w:val="left"/>
        <w:rPr>
          <w:rFonts w:ascii="Arial Narrow" w:hAnsi="Arial Narrow"/>
          <w:sz w:val="18"/>
        </w:rPr>
      </w:pPr>
      <w:r>
        <w:br w:type="page"/>
      </w:r>
    </w:p>
    <w:p w:rsidR="00B46747" w:rsidRDefault="00B50DB8" w:rsidP="001E39A7">
      <w:pPr>
        <w:pStyle w:val="PBACHeading1"/>
        <w:spacing w:before="240" w:after="120"/>
      </w:pPr>
      <w:bookmarkStart w:id="1" w:name="_Toc19716421"/>
      <w:r w:rsidRPr="00407F2D">
        <w:lastRenderedPageBreak/>
        <w:t>Requested listing</w:t>
      </w:r>
      <w:bookmarkEnd w:id="1"/>
    </w:p>
    <w:p w:rsidR="00B46747" w:rsidRPr="00B46747" w:rsidRDefault="00B46747" w:rsidP="00B46747">
      <w:pPr>
        <w:pStyle w:val="ListParagraph"/>
        <w:numPr>
          <w:ilvl w:val="1"/>
          <w:numId w:val="1"/>
        </w:numPr>
        <w:spacing w:before="120" w:after="240"/>
      </w:pPr>
      <w:r w:rsidRPr="00B46747">
        <w:rPr>
          <w:rFonts w:cs="Calibri"/>
          <w:bCs/>
        </w:rPr>
        <w:t xml:space="preserve">Suggestions and additions proposed by the Secretariat to the requested listing are added in italics and suggested deletions are crossed out with strikethrough. </w:t>
      </w:r>
    </w:p>
    <w:tbl>
      <w:tblPr>
        <w:tblW w:w="9214" w:type="dxa"/>
        <w:tblLayout w:type="fixed"/>
        <w:tblLook w:val="0000" w:firstRow="0" w:lastRow="0" w:firstColumn="0" w:lastColumn="0" w:noHBand="0" w:noVBand="0"/>
      </w:tblPr>
      <w:tblGrid>
        <w:gridCol w:w="2835"/>
        <w:gridCol w:w="426"/>
        <w:gridCol w:w="567"/>
        <w:gridCol w:w="850"/>
        <w:gridCol w:w="1701"/>
        <w:gridCol w:w="1559"/>
        <w:gridCol w:w="1276"/>
      </w:tblGrid>
      <w:tr w:rsidR="00B46747" w:rsidRPr="00B46747" w:rsidTr="00A37F2E">
        <w:trPr>
          <w:cantSplit/>
          <w:trHeight w:val="471"/>
        </w:trPr>
        <w:tc>
          <w:tcPr>
            <w:tcW w:w="3261" w:type="dxa"/>
            <w:gridSpan w:val="2"/>
            <w:tcBorders>
              <w:bottom w:val="single" w:sz="4" w:space="0" w:color="auto"/>
            </w:tcBorders>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Name, Restriction,</w:t>
            </w: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Manner of administration and form</w:t>
            </w:r>
          </w:p>
        </w:tc>
        <w:tc>
          <w:tcPr>
            <w:tcW w:w="567" w:type="dxa"/>
            <w:tcBorders>
              <w:bottom w:val="single" w:sz="4" w:space="0" w:color="auto"/>
            </w:tcBorders>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Max.</w:t>
            </w: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Qty</w:t>
            </w:r>
          </w:p>
        </w:tc>
        <w:tc>
          <w:tcPr>
            <w:tcW w:w="850" w:type="dxa"/>
            <w:tcBorders>
              <w:bottom w:val="single" w:sz="4" w:space="0" w:color="auto"/>
            </w:tcBorders>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№.of</w:t>
            </w: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Rpts</w:t>
            </w:r>
          </w:p>
        </w:tc>
        <w:tc>
          <w:tcPr>
            <w:tcW w:w="1701" w:type="dxa"/>
            <w:tcBorders>
              <w:bottom w:val="single" w:sz="4" w:space="0" w:color="auto"/>
            </w:tcBorders>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Dispensed Price for Max. Qty</w:t>
            </w:r>
          </w:p>
        </w:tc>
        <w:tc>
          <w:tcPr>
            <w:tcW w:w="2835" w:type="dxa"/>
            <w:gridSpan w:val="2"/>
            <w:tcBorders>
              <w:bottom w:val="single" w:sz="4" w:space="0" w:color="auto"/>
            </w:tcBorders>
          </w:tcPr>
          <w:p w:rsidR="00B46747" w:rsidRPr="00B46747" w:rsidRDefault="00B46747" w:rsidP="00A37F2E">
            <w:pPr>
              <w:keepNext/>
              <w:rPr>
                <w:rFonts w:ascii="Arial Narrow" w:hAnsi="Arial Narrow" w:cs="Arial"/>
                <w:sz w:val="20"/>
                <w:szCs w:val="20"/>
                <w:lang w:val="fr-FR"/>
              </w:rPr>
            </w:pPr>
            <w:r w:rsidRPr="00B46747">
              <w:rPr>
                <w:rFonts w:ascii="Arial Narrow" w:hAnsi="Arial Narrow" w:cs="Arial"/>
                <w:sz w:val="20"/>
                <w:szCs w:val="20"/>
              </w:rPr>
              <w:t>Proprietary Name and Manufacturer</w:t>
            </w:r>
          </w:p>
        </w:tc>
      </w:tr>
      <w:tr w:rsidR="00B46747" w:rsidRPr="00B46747" w:rsidTr="00A37F2E">
        <w:trPr>
          <w:cantSplit/>
          <w:trHeight w:val="577"/>
        </w:trPr>
        <w:tc>
          <w:tcPr>
            <w:tcW w:w="3261" w:type="dxa"/>
            <w:gridSpan w:val="2"/>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mallCaps/>
                <w:sz w:val="20"/>
                <w:szCs w:val="20"/>
              </w:rPr>
              <w:t>Ibrutinib</w:t>
            </w:r>
          </w:p>
          <w:p w:rsidR="00B46747" w:rsidRPr="00B46747" w:rsidRDefault="00B46747" w:rsidP="00A37F2E">
            <w:pPr>
              <w:keepNext/>
              <w:ind w:left="-108"/>
              <w:rPr>
                <w:rFonts w:ascii="Arial Narrow" w:hAnsi="Arial Narrow" w:cs="Arial"/>
                <w:color w:val="FF0000"/>
                <w:sz w:val="20"/>
                <w:szCs w:val="20"/>
              </w:rPr>
            </w:pPr>
            <w:r w:rsidRPr="00B46747">
              <w:rPr>
                <w:rFonts w:ascii="Arial Narrow" w:hAnsi="Arial Narrow" w:cs="Arial"/>
                <w:sz w:val="20"/>
                <w:szCs w:val="20"/>
              </w:rPr>
              <w:t>Capsule 140 mg, 90</w:t>
            </w:r>
          </w:p>
        </w:tc>
        <w:tc>
          <w:tcPr>
            <w:tcW w:w="567" w:type="dxa"/>
          </w:tcPr>
          <w:p w:rsidR="00B46747" w:rsidRPr="00B46747" w:rsidRDefault="00B46747" w:rsidP="00A37F2E">
            <w:pPr>
              <w:keepNext/>
              <w:ind w:left="-108"/>
              <w:rPr>
                <w:rFonts w:ascii="Arial Narrow" w:hAnsi="Arial Narrow" w:cs="Arial"/>
                <w:sz w:val="20"/>
                <w:szCs w:val="20"/>
              </w:rPr>
            </w:pP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1</w:t>
            </w:r>
          </w:p>
        </w:tc>
        <w:tc>
          <w:tcPr>
            <w:tcW w:w="850" w:type="dxa"/>
          </w:tcPr>
          <w:p w:rsidR="00B46747" w:rsidRPr="00B46747" w:rsidRDefault="00B46747" w:rsidP="00A37F2E">
            <w:pPr>
              <w:keepNext/>
              <w:ind w:left="-108"/>
              <w:rPr>
                <w:rFonts w:ascii="Arial Narrow" w:hAnsi="Arial Narrow" w:cs="Arial"/>
                <w:sz w:val="20"/>
                <w:szCs w:val="20"/>
              </w:rPr>
            </w:pP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5</w:t>
            </w:r>
          </w:p>
        </w:tc>
        <w:tc>
          <w:tcPr>
            <w:tcW w:w="1701" w:type="dxa"/>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Effective: $</w:t>
            </w:r>
            <w:r w:rsidR="007E3667">
              <w:rPr>
                <w:rFonts w:ascii="Arial Narrow" w:hAnsi="Arial Narrow" w:cs="Arial"/>
                <w:noProof/>
                <w:color w:val="000000"/>
                <w:sz w:val="20"/>
                <w:szCs w:val="20"/>
                <w:highlight w:val="black"/>
              </w:rPr>
              <w:t>'''''''''''''''''''''</w:t>
            </w: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Published: $8,784.33</w:t>
            </w:r>
          </w:p>
          <w:p w:rsidR="00B46747" w:rsidRPr="00B46747" w:rsidRDefault="00B46747" w:rsidP="00A37F2E">
            <w:pPr>
              <w:keepNext/>
              <w:ind w:left="-108"/>
              <w:rPr>
                <w:rFonts w:ascii="Arial Narrow" w:hAnsi="Arial Narrow" w:cs="Arial"/>
                <w:sz w:val="20"/>
                <w:szCs w:val="20"/>
              </w:rPr>
            </w:pPr>
          </w:p>
        </w:tc>
        <w:tc>
          <w:tcPr>
            <w:tcW w:w="1559" w:type="dxa"/>
          </w:tcPr>
          <w:p w:rsidR="00B46747" w:rsidRPr="00B46747" w:rsidRDefault="00B46747" w:rsidP="00A37F2E">
            <w:pPr>
              <w:keepNext/>
              <w:rPr>
                <w:rFonts w:ascii="Arial Narrow" w:hAnsi="Arial Narrow" w:cs="Arial"/>
                <w:sz w:val="20"/>
                <w:szCs w:val="20"/>
              </w:rPr>
            </w:pPr>
            <w:r w:rsidRPr="00B46747">
              <w:rPr>
                <w:rFonts w:ascii="Arial Narrow" w:hAnsi="Arial Narrow" w:cs="Arial"/>
                <w:sz w:val="20"/>
                <w:szCs w:val="20"/>
              </w:rPr>
              <w:t xml:space="preserve"> Imbruvica® </w:t>
            </w:r>
          </w:p>
        </w:tc>
        <w:tc>
          <w:tcPr>
            <w:tcW w:w="1276" w:type="dxa"/>
          </w:tcPr>
          <w:p w:rsidR="00B46747" w:rsidRPr="00B46747" w:rsidRDefault="00B46747" w:rsidP="00A37F2E">
            <w:pPr>
              <w:keepNext/>
              <w:rPr>
                <w:rFonts w:ascii="Arial Narrow" w:hAnsi="Arial Narrow" w:cs="Arial"/>
                <w:sz w:val="20"/>
                <w:szCs w:val="20"/>
              </w:rPr>
            </w:pPr>
            <w:r w:rsidRPr="00B46747">
              <w:rPr>
                <w:rFonts w:ascii="Arial Narrow" w:hAnsi="Arial Narrow" w:cs="Arial"/>
                <w:sz w:val="20"/>
                <w:szCs w:val="20"/>
              </w:rPr>
              <w:t>Janssen-</w:t>
            </w:r>
            <w:proofErr w:type="spellStart"/>
            <w:r w:rsidRPr="00B46747">
              <w:rPr>
                <w:rFonts w:ascii="Arial Narrow" w:hAnsi="Arial Narrow" w:cs="Arial"/>
                <w:sz w:val="20"/>
                <w:szCs w:val="20"/>
              </w:rPr>
              <w:t>Cilag</w:t>
            </w:r>
            <w:proofErr w:type="spellEnd"/>
            <w:r w:rsidRPr="00B46747">
              <w:rPr>
                <w:rFonts w:ascii="Arial Narrow" w:hAnsi="Arial Narrow" w:cs="Arial"/>
                <w:sz w:val="20"/>
                <w:szCs w:val="20"/>
              </w:rPr>
              <w:t xml:space="preserve"> Pty Ltd</w:t>
            </w:r>
          </w:p>
        </w:tc>
      </w:tr>
      <w:tr w:rsidR="00B46747" w:rsidRPr="00B46747" w:rsidTr="00A37F2E">
        <w:trPr>
          <w:cantSplit/>
          <w:trHeight w:val="360"/>
        </w:trPr>
        <w:tc>
          <w:tcPr>
            <w:tcW w:w="9214" w:type="dxa"/>
            <w:gridSpan w:val="7"/>
            <w:tcBorders>
              <w:bottom w:val="single" w:sz="4" w:space="0" w:color="auto"/>
            </w:tcBorders>
          </w:tcPr>
          <w:p w:rsidR="00B46747" w:rsidRPr="00B46747" w:rsidRDefault="00B46747" w:rsidP="00A37F2E">
            <w:pPr>
              <w:rPr>
                <w:rFonts w:ascii="Arial Narrow" w:hAnsi="Arial Narrow" w:cs="Arial"/>
                <w:sz w:val="20"/>
                <w:szCs w:val="20"/>
              </w:rPr>
            </w:pP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t>GENERAL – General Schedule (Code GE)</w:t>
            </w:r>
          </w:p>
          <w:p w:rsidR="00B46747" w:rsidRPr="00B46747" w:rsidRDefault="00B46747" w:rsidP="00A37F2E">
            <w:pPr>
              <w:jc w:val="left"/>
              <w:rPr>
                <w:rFonts w:ascii="Arial Narrow" w:hAnsi="Arial Narrow" w:cs="Arial"/>
                <w:sz w:val="20"/>
                <w:szCs w:val="20"/>
              </w:rPr>
            </w:pP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Prescriber type:</w:t>
            </w:r>
          </w:p>
          <w:p w:rsidR="00B46747" w:rsidRPr="00B46747" w:rsidRDefault="00B46747" w:rsidP="00A37F2E">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Check1"/>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 xml:space="preserve">Dental  </w:t>
            </w:r>
            <w:r w:rsidRPr="00B46747">
              <w:rPr>
                <w:rFonts w:ascii="Arial Narrow" w:hAnsi="Arial Narrow" w:cs="Arial"/>
                <w:sz w:val="20"/>
                <w:szCs w:val="20"/>
              </w:rPr>
              <w:fldChar w:fldCharType="begin">
                <w:ffData>
                  <w:name w:val=""/>
                  <w:enabled/>
                  <w:calcOnExit w:val="0"/>
                  <w:checkBox>
                    <w:sizeAuto/>
                    <w:default w:val="1"/>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 xml:space="preserve">Medical Practitioners  </w:t>
            </w:r>
            <w:r w:rsidRPr="00B46747">
              <w:rPr>
                <w:rFonts w:ascii="Arial Narrow" w:hAnsi="Arial Narrow" w:cs="Arial"/>
                <w:sz w:val="20"/>
                <w:szCs w:val="20"/>
              </w:rPr>
              <w:fldChar w:fldCharType="begin">
                <w:ffData>
                  <w:name w:val="Check3"/>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 xml:space="preserve">Nurse practitioners  </w:t>
            </w:r>
            <w:r w:rsidRPr="00B46747">
              <w:rPr>
                <w:rFonts w:ascii="Arial Narrow" w:hAnsi="Arial Narrow" w:cs="Arial"/>
                <w:sz w:val="20"/>
                <w:szCs w:val="20"/>
              </w:rPr>
              <w:fldChar w:fldCharType="begin">
                <w:ffData>
                  <w:name w:val=""/>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Optometrists</w:t>
            </w:r>
          </w:p>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Check5"/>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Midwives</w:t>
            </w: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PBS Indication:</w:t>
            </w:r>
          </w:p>
          <w:p w:rsidR="00B46747" w:rsidRPr="00B46747" w:rsidRDefault="00B46747" w:rsidP="00A37F2E">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B46747" w:rsidRPr="00B46747" w:rsidRDefault="00B46747" w:rsidP="00A37F2E">
            <w:pPr>
              <w:jc w:val="left"/>
              <w:rPr>
                <w:rFonts w:ascii="Arial Narrow" w:hAnsi="Arial Narrow" w:cs="Arial"/>
                <w:sz w:val="20"/>
                <w:szCs w:val="20"/>
              </w:rPr>
            </w:pPr>
            <w:r w:rsidRPr="00B46747">
              <w:rPr>
                <w:rFonts w:ascii="Arial Narrow" w:hAnsi="Arial Narrow"/>
                <w:sz w:val="20"/>
                <w:szCs w:val="20"/>
              </w:rPr>
              <w:t>Chronic lymphocytic leukaemia (CLL</w:t>
            </w:r>
            <w:r w:rsidRPr="00B46747">
              <w:rPr>
                <w:rFonts w:ascii="Arial Narrow" w:hAnsi="Arial Narrow"/>
                <w:strike/>
                <w:sz w:val="20"/>
                <w:szCs w:val="20"/>
              </w:rPr>
              <w:t>/</w:t>
            </w:r>
            <w:r w:rsidRPr="00B46747">
              <w:rPr>
                <w:rFonts w:ascii="Arial Narrow" w:hAnsi="Arial Narrow"/>
                <w:sz w:val="20"/>
                <w:szCs w:val="20"/>
              </w:rPr>
              <w:t xml:space="preserve">) </w:t>
            </w:r>
            <w:r w:rsidRPr="00B46747">
              <w:rPr>
                <w:rFonts w:ascii="Arial Narrow" w:hAnsi="Arial Narrow"/>
                <w:i/>
                <w:sz w:val="20"/>
                <w:szCs w:val="20"/>
              </w:rPr>
              <w:t>or</w:t>
            </w:r>
            <w:r w:rsidRPr="00B46747">
              <w:rPr>
                <w:rFonts w:ascii="Arial Narrow" w:hAnsi="Arial Narrow"/>
                <w:sz w:val="20"/>
                <w:szCs w:val="20"/>
              </w:rPr>
              <w:t xml:space="preserve"> </w:t>
            </w:r>
            <w:r w:rsidRPr="00B46747">
              <w:rPr>
                <w:rFonts w:ascii="Arial Narrow" w:hAnsi="Arial Narrow"/>
                <w:strike/>
                <w:sz w:val="20"/>
                <w:szCs w:val="20"/>
              </w:rPr>
              <w:t>/</w:t>
            </w:r>
            <w:proofErr w:type="spellStart"/>
            <w:r w:rsidRPr="00B46747">
              <w:rPr>
                <w:rFonts w:ascii="Arial Narrow" w:hAnsi="Arial Narrow"/>
                <w:strike/>
                <w:sz w:val="20"/>
                <w:szCs w:val="20"/>
              </w:rPr>
              <w:t>S</w:t>
            </w:r>
            <w:r w:rsidRPr="00B46747">
              <w:rPr>
                <w:rFonts w:ascii="Arial Narrow" w:hAnsi="Arial Narrow"/>
                <w:sz w:val="20"/>
                <w:szCs w:val="20"/>
              </w:rPr>
              <w:t>small</w:t>
            </w:r>
            <w:proofErr w:type="spellEnd"/>
            <w:r w:rsidRPr="00B46747">
              <w:rPr>
                <w:rFonts w:ascii="Arial Narrow" w:hAnsi="Arial Narrow"/>
                <w:sz w:val="20"/>
                <w:szCs w:val="20"/>
              </w:rPr>
              <w:t xml:space="preserve"> lymphocytic lymphoma (SLL)</w:t>
            </w: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cs="Arial"/>
                <w:sz w:val="20"/>
                <w:szCs w:val="20"/>
              </w:rPr>
            </w:pPr>
            <w:r w:rsidRPr="00B46747">
              <w:rPr>
                <w:rFonts w:ascii="Arial Narrow" w:hAnsi="Arial Narrow"/>
                <w:sz w:val="20"/>
                <w:szCs w:val="20"/>
              </w:rPr>
              <w:t>Initial treatment</w:t>
            </w: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Restriction Level:</w:t>
            </w:r>
          </w:p>
          <w:p w:rsidR="00B46747" w:rsidRPr="00B46747" w:rsidRDefault="00B46747" w:rsidP="00A37F2E">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Check1"/>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Restricted benefit</w:t>
            </w:r>
          </w:p>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
                  <w:enabled/>
                  <w:calcOnExit w:val="0"/>
                  <w:checkBox>
                    <w:sizeAuto/>
                    <w:default w:val="1"/>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Authority Required – In Writing</w:t>
            </w:r>
          </w:p>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Check3"/>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Authority Required – Telephone/Electronic/Emergency</w:t>
            </w:r>
          </w:p>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Check5"/>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Streamlined</w:t>
            </w:r>
            <w:r w:rsidRPr="00B46747" w:rsidDel="004C45E4">
              <w:rPr>
                <w:rFonts w:ascii="Arial Narrow" w:hAnsi="Arial Narrow" w:cs="Arial"/>
                <w:sz w:val="20"/>
                <w:szCs w:val="20"/>
              </w:rPr>
              <w:t xml:space="preserve"> </w:t>
            </w:r>
          </w:p>
        </w:tc>
      </w:tr>
      <w:tr w:rsidR="00B46747" w:rsidRPr="00B46747" w:rsidTr="00A37F2E">
        <w:trPr>
          <w:cantSplit/>
          <w:trHeight w:val="657"/>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Clinical criteria:</w:t>
            </w:r>
          </w:p>
          <w:p w:rsidR="00B46747" w:rsidRPr="00B46747" w:rsidRDefault="00B46747" w:rsidP="00A37F2E">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spacing w:after="40"/>
              <w:jc w:val="left"/>
              <w:rPr>
                <w:rFonts w:ascii="Arial Narrow" w:hAnsi="Arial Narrow"/>
                <w:sz w:val="20"/>
                <w:szCs w:val="20"/>
              </w:rPr>
            </w:pPr>
            <w:r w:rsidRPr="00B46747">
              <w:rPr>
                <w:rFonts w:ascii="Arial Narrow" w:hAnsi="Arial Narrow"/>
                <w:strike/>
                <w:sz w:val="20"/>
                <w:szCs w:val="20"/>
              </w:rPr>
              <w:t>The patient must require treatment for chronic lymphocytic leukaemia (CLL) or small lymphocytic lymphoma (SLL)</w:t>
            </w:r>
            <w:r w:rsidRPr="00B46747">
              <w:rPr>
                <w:rFonts w:ascii="Arial Narrow" w:hAnsi="Arial Narrow"/>
                <w:sz w:val="20"/>
                <w:szCs w:val="20"/>
              </w:rPr>
              <w:br/>
            </w:r>
            <w:r w:rsidRPr="00B46747">
              <w:rPr>
                <w:rFonts w:ascii="Arial Narrow" w:hAnsi="Arial Narrow"/>
                <w:strike/>
                <w:sz w:val="20"/>
                <w:szCs w:val="20"/>
              </w:rPr>
              <w:t>AND</w:t>
            </w:r>
            <w:r w:rsidRPr="00B46747">
              <w:rPr>
                <w:rFonts w:ascii="Arial Narrow" w:hAnsi="Arial Narrow"/>
                <w:sz w:val="20"/>
                <w:szCs w:val="20"/>
              </w:rPr>
              <w:br/>
              <w:t>The condition must be previously untreated,</w:t>
            </w:r>
            <w:r w:rsidRPr="00B46747">
              <w:rPr>
                <w:rFonts w:ascii="Arial Narrow" w:hAnsi="Arial Narrow"/>
                <w:sz w:val="20"/>
                <w:szCs w:val="20"/>
              </w:rPr>
              <w:br/>
              <w:t>AND</w:t>
            </w:r>
          </w:p>
          <w:p w:rsidR="00B46747" w:rsidRPr="00B46747" w:rsidRDefault="00B46747" w:rsidP="00A37F2E">
            <w:pPr>
              <w:spacing w:after="40"/>
              <w:jc w:val="left"/>
              <w:rPr>
                <w:rFonts w:ascii="Arial Narrow" w:hAnsi="Arial Narrow"/>
                <w:sz w:val="20"/>
                <w:szCs w:val="20"/>
              </w:rPr>
            </w:pPr>
            <w:r w:rsidRPr="00B46747">
              <w:rPr>
                <w:rFonts w:ascii="Arial Narrow" w:hAnsi="Arial Narrow"/>
                <w:sz w:val="20"/>
                <w:szCs w:val="20"/>
              </w:rPr>
              <w:t>Patient must have a WHO performance status of 0, 1 or 2,</w:t>
            </w:r>
            <w:r w:rsidRPr="00B46747">
              <w:rPr>
                <w:rFonts w:ascii="Arial Narrow" w:hAnsi="Arial Narrow"/>
                <w:sz w:val="20"/>
                <w:szCs w:val="20"/>
              </w:rPr>
              <w:br/>
              <w:t>AND</w:t>
            </w:r>
          </w:p>
          <w:p w:rsidR="00B46747" w:rsidRPr="00B46747" w:rsidRDefault="00B46747" w:rsidP="00A37F2E">
            <w:pPr>
              <w:jc w:val="left"/>
              <w:rPr>
                <w:rFonts w:ascii="Arial Narrow" w:hAnsi="Arial Narrow"/>
                <w:sz w:val="20"/>
                <w:szCs w:val="20"/>
              </w:rPr>
            </w:pPr>
            <w:r w:rsidRPr="00B46747">
              <w:rPr>
                <w:rFonts w:ascii="Arial Narrow" w:hAnsi="Arial Narrow"/>
                <w:sz w:val="20"/>
                <w:szCs w:val="20"/>
              </w:rPr>
              <w:t>The treatment must be the sole PBS-subsidised therapy for this condition</w:t>
            </w:r>
            <w:proofErr w:type="gramStart"/>
            <w:r w:rsidRPr="00B46747">
              <w:rPr>
                <w:rFonts w:ascii="Arial Narrow" w:hAnsi="Arial Narrow"/>
                <w:sz w:val="20"/>
                <w:szCs w:val="20"/>
              </w:rPr>
              <w:t>,</w:t>
            </w:r>
            <w:proofErr w:type="gramEnd"/>
            <w:r w:rsidRPr="00B46747">
              <w:rPr>
                <w:rFonts w:ascii="Arial Narrow" w:hAnsi="Arial Narrow"/>
                <w:sz w:val="20"/>
                <w:szCs w:val="20"/>
              </w:rPr>
              <w:br/>
              <w:t>AND</w:t>
            </w:r>
            <w:r w:rsidRPr="00B46747">
              <w:rPr>
                <w:rFonts w:ascii="Arial Narrow" w:hAnsi="Arial Narrow"/>
                <w:sz w:val="20"/>
                <w:szCs w:val="20"/>
              </w:rPr>
              <w:br/>
            </w:r>
            <w:r w:rsidRPr="00B46747">
              <w:rPr>
                <w:rFonts w:ascii="Arial Narrow" w:hAnsi="Arial Narrow"/>
                <w:strike/>
                <w:sz w:val="20"/>
                <w:szCs w:val="20"/>
              </w:rPr>
              <w:t xml:space="preserve">The </w:t>
            </w:r>
            <w:r w:rsidRPr="00B46747">
              <w:rPr>
                <w:rFonts w:ascii="Arial Narrow" w:hAnsi="Arial Narrow"/>
                <w:sz w:val="20"/>
                <w:szCs w:val="20"/>
              </w:rPr>
              <w:t>Patient must show evidence of one or more 17p chromosomal deletions demonstrated by fluorescence in situ hybridisation (FISH).</w:t>
            </w:r>
            <w:r w:rsidRPr="00B46747">
              <w:rPr>
                <w:rFonts w:ascii="Arial Narrow" w:hAnsi="Arial Narrow"/>
              </w:rPr>
              <w:t xml:space="preserve"> </w:t>
            </w:r>
            <w:r w:rsidRPr="00B46747">
              <w:rPr>
                <w:rFonts w:ascii="Arial Narrow" w:hAnsi="Arial Narrow"/>
                <w:strike/>
                <w:sz w:val="20"/>
                <w:szCs w:val="20"/>
              </w:rPr>
              <w:t>The presence of 17p deletion without any signs of active disease is not an indication for treatment.</w:t>
            </w:r>
          </w:p>
          <w:p w:rsidR="00B46747" w:rsidRPr="00B46747" w:rsidRDefault="00B46747" w:rsidP="00A37F2E">
            <w:pPr>
              <w:jc w:val="left"/>
              <w:rPr>
                <w:rFonts w:ascii="Arial Narrow" w:hAnsi="Arial Narrow" w:cs="Arial"/>
                <w:sz w:val="20"/>
                <w:szCs w:val="20"/>
              </w:rPr>
            </w:pP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lastRenderedPageBreak/>
              <w:t>Prescriber Instructions:</w:t>
            </w:r>
          </w:p>
          <w:p w:rsidR="00B46747" w:rsidRPr="00B46747" w:rsidRDefault="00B46747" w:rsidP="00A37F2E">
            <w:pPr>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strike/>
                <w:sz w:val="20"/>
                <w:szCs w:val="20"/>
              </w:rPr>
            </w:pPr>
            <w:r w:rsidRPr="00B46747">
              <w:rPr>
                <w:rFonts w:ascii="Arial Narrow" w:hAnsi="Arial Narrow"/>
                <w:strike/>
                <w:sz w:val="20"/>
                <w:szCs w:val="20"/>
              </w:rPr>
              <w:t>PBS-subsidised ibrutinib for the treatment of CLL/SLL can only be used once in a patient’s lifetime. If a patient has received PBS-subsidised ibrutinib for their first line of treatment, they will not be eligible to access PBS-subsidised ibrutinib for subsequent lines of therapy.</w:t>
            </w:r>
          </w:p>
          <w:p w:rsidR="00B46747" w:rsidRPr="00B46747" w:rsidRDefault="00B46747" w:rsidP="00A37F2E">
            <w:pPr>
              <w:rPr>
                <w:rFonts w:ascii="Arial Narrow" w:hAnsi="Arial Narrow"/>
                <w:i/>
                <w:sz w:val="20"/>
                <w:szCs w:val="20"/>
              </w:rPr>
            </w:pPr>
            <w:r w:rsidRPr="00B46747">
              <w:rPr>
                <w:rFonts w:ascii="Arial Narrow" w:hAnsi="Arial Narrow"/>
                <w:i/>
                <w:sz w:val="20"/>
                <w:szCs w:val="20"/>
              </w:rPr>
              <w:t>A patient may only quality for PBS subsidised initiation treatment once in a lifetime under:</w:t>
            </w:r>
          </w:p>
          <w:p w:rsidR="00B46747" w:rsidRPr="00B46747" w:rsidRDefault="00B46747" w:rsidP="00A37F2E">
            <w:pPr>
              <w:pStyle w:val="ListParagraph"/>
              <w:numPr>
                <w:ilvl w:val="0"/>
                <w:numId w:val="7"/>
              </w:numPr>
              <w:spacing w:after="0"/>
              <w:contextualSpacing/>
              <w:rPr>
                <w:rFonts w:ascii="Arial Narrow" w:hAnsi="Arial Narrow"/>
                <w:i/>
                <w:sz w:val="20"/>
                <w:szCs w:val="20"/>
              </w:rPr>
            </w:pPr>
            <w:r w:rsidRPr="00B46747">
              <w:rPr>
                <w:rFonts w:ascii="Arial Narrow" w:hAnsi="Arial Narrow"/>
                <w:i/>
                <w:sz w:val="20"/>
                <w:szCs w:val="20"/>
              </w:rPr>
              <w:t>the previously untreated CLL/SLL initial treatment restriction; or</w:t>
            </w:r>
          </w:p>
          <w:p w:rsidR="00B46747" w:rsidRPr="00B46747" w:rsidRDefault="00B46747" w:rsidP="00A37F2E">
            <w:pPr>
              <w:pStyle w:val="ListParagraph"/>
              <w:numPr>
                <w:ilvl w:val="0"/>
                <w:numId w:val="7"/>
              </w:numPr>
              <w:spacing w:after="0"/>
              <w:contextualSpacing/>
              <w:rPr>
                <w:rFonts w:ascii="Arial Narrow" w:hAnsi="Arial Narrow"/>
                <w:i/>
                <w:sz w:val="20"/>
                <w:szCs w:val="20"/>
              </w:rPr>
            </w:pPr>
            <w:proofErr w:type="gramStart"/>
            <w:r w:rsidRPr="00B46747">
              <w:rPr>
                <w:rFonts w:ascii="Arial Narrow" w:hAnsi="Arial Narrow"/>
                <w:i/>
                <w:sz w:val="20"/>
                <w:szCs w:val="20"/>
              </w:rPr>
              <w:t>the</w:t>
            </w:r>
            <w:proofErr w:type="gramEnd"/>
            <w:r w:rsidRPr="00B46747">
              <w:rPr>
                <w:rFonts w:ascii="Arial Narrow" w:hAnsi="Arial Narrow"/>
                <w:i/>
                <w:sz w:val="20"/>
                <w:szCs w:val="20"/>
              </w:rPr>
              <w:t xml:space="preserve"> relapsed or refractory CLL/SLL initial treatment restriction. </w:t>
            </w:r>
          </w:p>
          <w:p w:rsidR="00B46747" w:rsidRPr="00B46747" w:rsidRDefault="00B46747" w:rsidP="00A37F2E">
            <w:pPr>
              <w:rPr>
                <w:rFonts w:ascii="Arial Narrow" w:hAnsi="Arial Narrow"/>
                <w:i/>
                <w:sz w:val="20"/>
                <w:szCs w:val="20"/>
              </w:rPr>
            </w:pPr>
          </w:p>
          <w:p w:rsidR="00B46747" w:rsidRPr="00B46747" w:rsidRDefault="00B46747" w:rsidP="00A37F2E">
            <w:pPr>
              <w:rPr>
                <w:rFonts w:ascii="Arial Narrow" w:hAnsi="Arial Narrow" w:cs="Arial"/>
                <w:i/>
                <w:sz w:val="20"/>
                <w:szCs w:val="20"/>
              </w:rPr>
            </w:pPr>
            <w:r w:rsidRPr="00B46747">
              <w:rPr>
                <w:rFonts w:ascii="Arial Narrow" w:hAnsi="Arial Narrow" w:cs="Arial"/>
                <w:i/>
                <w:sz w:val="20"/>
                <w:szCs w:val="20"/>
              </w:rPr>
              <w:t>Any queries concerning the arrangements to prescribe may be directed to the Department of Human Services on 1800 700 270 (hours of operation 8 a.m. to 5 p.m. EST Monday to Friday).</w:t>
            </w:r>
          </w:p>
          <w:p w:rsidR="00B46747" w:rsidRPr="00B46747" w:rsidRDefault="00B46747" w:rsidP="00A37F2E">
            <w:pPr>
              <w:rPr>
                <w:rFonts w:ascii="Arial Narrow" w:hAnsi="Arial Narrow" w:cs="Arial"/>
                <w:i/>
                <w:sz w:val="20"/>
                <w:szCs w:val="20"/>
              </w:rPr>
            </w:pPr>
          </w:p>
          <w:p w:rsidR="00B46747" w:rsidRPr="00B46747" w:rsidRDefault="00B46747" w:rsidP="00A37F2E">
            <w:pPr>
              <w:rPr>
                <w:rFonts w:ascii="Arial Narrow" w:hAnsi="Arial Narrow" w:cs="Arial"/>
                <w:i/>
                <w:sz w:val="20"/>
                <w:szCs w:val="20"/>
              </w:rPr>
            </w:pPr>
            <w:r w:rsidRPr="00B46747">
              <w:rPr>
                <w:rFonts w:ascii="Arial Narrow" w:hAnsi="Arial Narrow" w:cs="Arial"/>
                <w:i/>
                <w:sz w:val="20"/>
                <w:szCs w:val="20"/>
              </w:rPr>
              <w:t xml:space="preserve">Prescribing information (including Authority Application forms and other relevant documentation as applicable) is available on the Department of Human Services website at </w:t>
            </w:r>
            <w:r w:rsidRPr="007E3667">
              <w:rPr>
                <w:rFonts w:ascii="Arial Narrow" w:hAnsi="Arial Narrow"/>
                <w:sz w:val="20"/>
                <w:szCs w:val="20"/>
              </w:rPr>
              <w:t>www.humanservices.gov.au</w:t>
            </w:r>
          </w:p>
          <w:p w:rsidR="00B46747" w:rsidRPr="00B46747" w:rsidRDefault="00B46747" w:rsidP="00A37F2E">
            <w:pPr>
              <w:rPr>
                <w:rFonts w:ascii="Arial Narrow" w:hAnsi="Arial Narrow" w:cs="Arial"/>
                <w:i/>
                <w:sz w:val="20"/>
                <w:szCs w:val="20"/>
              </w:rPr>
            </w:pPr>
          </w:p>
          <w:p w:rsidR="00B46747" w:rsidRPr="00B46747" w:rsidRDefault="00B46747" w:rsidP="00A37F2E">
            <w:pPr>
              <w:rPr>
                <w:rFonts w:ascii="Arial Narrow" w:hAnsi="Arial Narrow" w:cs="Arial"/>
                <w:i/>
                <w:sz w:val="20"/>
                <w:szCs w:val="20"/>
              </w:rPr>
            </w:pPr>
            <w:r w:rsidRPr="00B46747">
              <w:rPr>
                <w:rFonts w:ascii="Arial Narrow" w:hAnsi="Arial Narrow" w:cs="Arial"/>
                <w:i/>
                <w:sz w:val="20"/>
                <w:szCs w:val="20"/>
              </w:rPr>
              <w:t>Applications for authority to prescribe should be forwarded to:</w:t>
            </w:r>
          </w:p>
          <w:p w:rsidR="00B46747" w:rsidRPr="00B46747" w:rsidRDefault="00B46747" w:rsidP="00A37F2E">
            <w:pPr>
              <w:rPr>
                <w:rFonts w:ascii="Arial Narrow" w:hAnsi="Arial Narrow" w:cs="Arial"/>
                <w:i/>
                <w:sz w:val="20"/>
                <w:szCs w:val="20"/>
              </w:rPr>
            </w:pPr>
            <w:r w:rsidRPr="00B46747">
              <w:rPr>
                <w:rFonts w:ascii="Arial Narrow" w:hAnsi="Arial Narrow" w:cs="Arial"/>
                <w:i/>
                <w:sz w:val="20"/>
                <w:szCs w:val="20"/>
              </w:rPr>
              <w:t>Department of Human Services</w:t>
            </w:r>
          </w:p>
          <w:p w:rsidR="00B46747" w:rsidRPr="00B46747" w:rsidRDefault="00B46747" w:rsidP="00A37F2E">
            <w:pPr>
              <w:rPr>
                <w:rFonts w:ascii="Arial Narrow" w:hAnsi="Arial Narrow" w:cs="Arial"/>
                <w:i/>
                <w:sz w:val="20"/>
                <w:szCs w:val="20"/>
              </w:rPr>
            </w:pPr>
            <w:r w:rsidRPr="00B46747">
              <w:rPr>
                <w:rFonts w:ascii="Arial Narrow" w:hAnsi="Arial Narrow" w:cs="Arial"/>
                <w:i/>
                <w:sz w:val="20"/>
                <w:szCs w:val="20"/>
              </w:rPr>
              <w:t>Complex Drugs</w:t>
            </w:r>
          </w:p>
          <w:p w:rsidR="00B46747" w:rsidRPr="00B46747" w:rsidRDefault="00B46747" w:rsidP="00A37F2E">
            <w:pPr>
              <w:rPr>
                <w:rFonts w:ascii="Arial Narrow" w:hAnsi="Arial Narrow" w:cs="Arial"/>
                <w:i/>
                <w:sz w:val="20"/>
                <w:szCs w:val="20"/>
              </w:rPr>
            </w:pPr>
            <w:r w:rsidRPr="00B46747">
              <w:rPr>
                <w:rFonts w:ascii="Arial Narrow" w:hAnsi="Arial Narrow" w:cs="Arial"/>
                <w:i/>
                <w:sz w:val="20"/>
                <w:szCs w:val="20"/>
              </w:rPr>
              <w:t>Reply Paid 9826</w:t>
            </w:r>
          </w:p>
          <w:p w:rsidR="00B46747" w:rsidRPr="00B46747" w:rsidRDefault="00B46747" w:rsidP="00A37F2E">
            <w:pPr>
              <w:rPr>
                <w:rFonts w:ascii="Arial Narrow" w:hAnsi="Arial Narrow" w:cs="Arial"/>
                <w:sz w:val="20"/>
                <w:szCs w:val="20"/>
              </w:rPr>
            </w:pPr>
            <w:r w:rsidRPr="00B46747">
              <w:rPr>
                <w:rFonts w:ascii="Arial Narrow" w:hAnsi="Arial Narrow" w:cs="Arial"/>
                <w:i/>
                <w:sz w:val="20"/>
                <w:szCs w:val="20"/>
              </w:rPr>
              <w:t>HOBART TAS 7001</w:t>
            </w: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Administrative Advice:</w:t>
            </w:r>
          </w:p>
          <w:p w:rsidR="00B46747" w:rsidRPr="00B46747" w:rsidRDefault="00B46747" w:rsidP="00A37F2E">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i/>
                <w:sz w:val="20"/>
                <w:szCs w:val="20"/>
              </w:rPr>
            </w:pPr>
            <w:r w:rsidRPr="00B46747">
              <w:rPr>
                <w:rFonts w:ascii="Arial Narrow" w:hAnsi="Arial Narrow"/>
                <w:i/>
                <w:sz w:val="20"/>
                <w:szCs w:val="20"/>
              </w:rPr>
              <w:t>No increase in the maximum quantity or number of units may be authorised</w:t>
            </w:r>
          </w:p>
          <w:p w:rsidR="00B46747" w:rsidRPr="00B46747" w:rsidRDefault="00B46747" w:rsidP="00A37F2E">
            <w:pPr>
              <w:rPr>
                <w:rFonts w:ascii="Arial Narrow" w:hAnsi="Arial Narrow"/>
                <w:i/>
                <w:sz w:val="20"/>
                <w:szCs w:val="20"/>
              </w:rPr>
            </w:pPr>
            <w:r w:rsidRPr="00B46747">
              <w:rPr>
                <w:rFonts w:ascii="Arial Narrow" w:hAnsi="Arial Narrow"/>
                <w:i/>
                <w:sz w:val="20"/>
                <w:szCs w:val="20"/>
              </w:rPr>
              <w:t>No increase in the maximum number of repeats may be authorised</w:t>
            </w:r>
          </w:p>
          <w:p w:rsidR="00B46747" w:rsidRPr="00B46747" w:rsidRDefault="00B46747" w:rsidP="00A37F2E">
            <w:pPr>
              <w:rPr>
                <w:rFonts w:ascii="Arial Narrow" w:hAnsi="Arial Narrow"/>
                <w:sz w:val="20"/>
                <w:szCs w:val="20"/>
              </w:rPr>
            </w:pPr>
            <w:r w:rsidRPr="00B46747">
              <w:rPr>
                <w:rFonts w:ascii="Arial Narrow" w:hAnsi="Arial Narrow"/>
                <w:sz w:val="20"/>
                <w:szCs w:val="20"/>
              </w:rPr>
              <w:t>Special Pricing Arrangements apply</w:t>
            </w:r>
          </w:p>
          <w:p w:rsidR="00B46747" w:rsidRPr="00B46747" w:rsidRDefault="00B46747" w:rsidP="00A37F2E">
            <w:pPr>
              <w:rPr>
                <w:rFonts w:ascii="Arial Narrow" w:hAnsi="Arial Narrow" w:cs="Arial"/>
                <w:sz w:val="20"/>
                <w:szCs w:val="20"/>
              </w:rPr>
            </w:pPr>
          </w:p>
        </w:tc>
      </w:tr>
    </w:tbl>
    <w:p w:rsidR="00B46747" w:rsidRPr="00B46747" w:rsidRDefault="00B46747" w:rsidP="00B46747">
      <w:pPr>
        <w:rPr>
          <w:rFonts w:asciiTheme="minorHAnsi" w:hAnsiTheme="minorHAnsi" w:cstheme="minorHAnsi"/>
          <w:color w:val="0070C0"/>
          <w:u w:val="single"/>
        </w:rPr>
      </w:pPr>
    </w:p>
    <w:tbl>
      <w:tblPr>
        <w:tblW w:w="9214" w:type="dxa"/>
        <w:tblLayout w:type="fixed"/>
        <w:tblLook w:val="0000" w:firstRow="0" w:lastRow="0" w:firstColumn="0" w:lastColumn="0" w:noHBand="0" w:noVBand="0"/>
      </w:tblPr>
      <w:tblGrid>
        <w:gridCol w:w="2835"/>
        <w:gridCol w:w="426"/>
        <w:gridCol w:w="567"/>
        <w:gridCol w:w="850"/>
        <w:gridCol w:w="1701"/>
        <w:gridCol w:w="1559"/>
        <w:gridCol w:w="1276"/>
      </w:tblGrid>
      <w:tr w:rsidR="00B46747" w:rsidRPr="00B46747" w:rsidTr="00A37F2E">
        <w:trPr>
          <w:cantSplit/>
          <w:trHeight w:val="471"/>
        </w:trPr>
        <w:tc>
          <w:tcPr>
            <w:tcW w:w="3261" w:type="dxa"/>
            <w:gridSpan w:val="2"/>
            <w:tcBorders>
              <w:bottom w:val="single" w:sz="4" w:space="0" w:color="auto"/>
            </w:tcBorders>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Name, Restriction,</w:t>
            </w: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Manner of administration and form</w:t>
            </w:r>
          </w:p>
        </w:tc>
        <w:tc>
          <w:tcPr>
            <w:tcW w:w="567" w:type="dxa"/>
            <w:tcBorders>
              <w:bottom w:val="single" w:sz="4" w:space="0" w:color="auto"/>
            </w:tcBorders>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Max.</w:t>
            </w: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Qty</w:t>
            </w:r>
          </w:p>
        </w:tc>
        <w:tc>
          <w:tcPr>
            <w:tcW w:w="850" w:type="dxa"/>
            <w:tcBorders>
              <w:bottom w:val="single" w:sz="4" w:space="0" w:color="auto"/>
            </w:tcBorders>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№.of</w:t>
            </w: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Rpts</w:t>
            </w:r>
          </w:p>
        </w:tc>
        <w:tc>
          <w:tcPr>
            <w:tcW w:w="1701" w:type="dxa"/>
            <w:tcBorders>
              <w:bottom w:val="single" w:sz="4" w:space="0" w:color="auto"/>
            </w:tcBorders>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Dispensed Price for Max. Qty</w:t>
            </w:r>
          </w:p>
        </w:tc>
        <w:tc>
          <w:tcPr>
            <w:tcW w:w="2835" w:type="dxa"/>
            <w:gridSpan w:val="2"/>
            <w:tcBorders>
              <w:bottom w:val="single" w:sz="4" w:space="0" w:color="auto"/>
            </w:tcBorders>
          </w:tcPr>
          <w:p w:rsidR="00B46747" w:rsidRPr="00B46747" w:rsidRDefault="00B46747" w:rsidP="00A37F2E">
            <w:pPr>
              <w:keepNext/>
              <w:rPr>
                <w:rFonts w:ascii="Arial Narrow" w:hAnsi="Arial Narrow" w:cs="Arial"/>
                <w:sz w:val="20"/>
                <w:szCs w:val="20"/>
                <w:lang w:val="fr-FR"/>
              </w:rPr>
            </w:pPr>
            <w:r w:rsidRPr="00B46747">
              <w:rPr>
                <w:rFonts w:ascii="Arial Narrow" w:hAnsi="Arial Narrow" w:cs="Arial"/>
                <w:sz w:val="20"/>
                <w:szCs w:val="20"/>
              </w:rPr>
              <w:t>Proprietary Name and Manufacturer</w:t>
            </w:r>
          </w:p>
        </w:tc>
      </w:tr>
      <w:tr w:rsidR="00B46747" w:rsidRPr="00B46747" w:rsidTr="00A37F2E">
        <w:trPr>
          <w:cantSplit/>
          <w:trHeight w:val="577"/>
        </w:trPr>
        <w:tc>
          <w:tcPr>
            <w:tcW w:w="3261" w:type="dxa"/>
            <w:gridSpan w:val="2"/>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mallCaps/>
                <w:sz w:val="20"/>
                <w:szCs w:val="20"/>
              </w:rPr>
              <w:t>Ibrutinib</w:t>
            </w:r>
          </w:p>
          <w:p w:rsidR="00B46747" w:rsidRPr="00B46747" w:rsidRDefault="00B46747" w:rsidP="00A37F2E">
            <w:pPr>
              <w:keepNext/>
              <w:ind w:left="-108"/>
              <w:rPr>
                <w:rFonts w:ascii="Arial Narrow" w:hAnsi="Arial Narrow" w:cs="Arial"/>
                <w:color w:val="FF0000"/>
                <w:sz w:val="20"/>
                <w:szCs w:val="20"/>
              </w:rPr>
            </w:pPr>
            <w:r w:rsidRPr="00B46747">
              <w:rPr>
                <w:rFonts w:ascii="Arial Narrow" w:hAnsi="Arial Narrow" w:cs="Arial"/>
                <w:sz w:val="20"/>
                <w:szCs w:val="20"/>
              </w:rPr>
              <w:t>Capsule 140 mg, 90</w:t>
            </w:r>
          </w:p>
        </w:tc>
        <w:tc>
          <w:tcPr>
            <w:tcW w:w="567" w:type="dxa"/>
          </w:tcPr>
          <w:p w:rsidR="00B46747" w:rsidRPr="00B46747" w:rsidRDefault="00B46747" w:rsidP="00A37F2E">
            <w:pPr>
              <w:keepNext/>
              <w:ind w:left="-108"/>
              <w:rPr>
                <w:rFonts w:ascii="Arial Narrow" w:hAnsi="Arial Narrow" w:cs="Arial"/>
                <w:sz w:val="20"/>
                <w:szCs w:val="20"/>
              </w:rPr>
            </w:pP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1</w:t>
            </w:r>
          </w:p>
        </w:tc>
        <w:tc>
          <w:tcPr>
            <w:tcW w:w="850" w:type="dxa"/>
          </w:tcPr>
          <w:p w:rsidR="00B46747" w:rsidRPr="00B46747" w:rsidRDefault="00B46747" w:rsidP="00A37F2E">
            <w:pPr>
              <w:keepNext/>
              <w:ind w:left="-108"/>
              <w:rPr>
                <w:rFonts w:ascii="Arial Narrow" w:hAnsi="Arial Narrow" w:cs="Arial"/>
                <w:sz w:val="20"/>
                <w:szCs w:val="20"/>
              </w:rPr>
            </w:pP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5</w:t>
            </w:r>
          </w:p>
        </w:tc>
        <w:tc>
          <w:tcPr>
            <w:tcW w:w="1701" w:type="dxa"/>
          </w:tcPr>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Effective: $</w:t>
            </w:r>
            <w:r w:rsidR="007E3667">
              <w:rPr>
                <w:rFonts w:ascii="Arial Narrow" w:hAnsi="Arial Narrow" w:cs="Arial"/>
                <w:noProof/>
                <w:color w:val="000000"/>
                <w:sz w:val="20"/>
                <w:szCs w:val="20"/>
                <w:highlight w:val="black"/>
              </w:rPr>
              <w:t>''''''''''''''''''''</w:t>
            </w:r>
          </w:p>
          <w:p w:rsidR="00B46747" w:rsidRPr="00B46747" w:rsidRDefault="00B46747" w:rsidP="00A37F2E">
            <w:pPr>
              <w:keepNext/>
              <w:ind w:left="-108"/>
              <w:rPr>
                <w:rFonts w:ascii="Arial Narrow" w:hAnsi="Arial Narrow" w:cs="Arial"/>
                <w:sz w:val="20"/>
                <w:szCs w:val="20"/>
              </w:rPr>
            </w:pPr>
            <w:r w:rsidRPr="00B46747">
              <w:rPr>
                <w:rFonts w:ascii="Arial Narrow" w:hAnsi="Arial Narrow" w:cs="Arial"/>
                <w:sz w:val="20"/>
                <w:szCs w:val="20"/>
              </w:rPr>
              <w:t>Published: $8,784.33</w:t>
            </w:r>
          </w:p>
          <w:p w:rsidR="00B46747" w:rsidRPr="00B46747" w:rsidRDefault="00B46747" w:rsidP="00A37F2E">
            <w:pPr>
              <w:keepNext/>
              <w:ind w:left="-108"/>
              <w:rPr>
                <w:rFonts w:ascii="Arial Narrow" w:hAnsi="Arial Narrow" w:cs="Arial"/>
                <w:sz w:val="20"/>
                <w:szCs w:val="20"/>
              </w:rPr>
            </w:pPr>
          </w:p>
        </w:tc>
        <w:tc>
          <w:tcPr>
            <w:tcW w:w="1559" w:type="dxa"/>
          </w:tcPr>
          <w:p w:rsidR="00B46747" w:rsidRPr="00B46747" w:rsidRDefault="00B46747" w:rsidP="00A37F2E">
            <w:pPr>
              <w:keepNext/>
              <w:rPr>
                <w:rFonts w:ascii="Arial Narrow" w:hAnsi="Arial Narrow" w:cs="Arial"/>
                <w:sz w:val="20"/>
                <w:szCs w:val="20"/>
              </w:rPr>
            </w:pPr>
            <w:r w:rsidRPr="00B46747">
              <w:rPr>
                <w:rFonts w:ascii="Arial Narrow" w:hAnsi="Arial Narrow" w:cs="Arial"/>
                <w:sz w:val="20"/>
                <w:szCs w:val="20"/>
              </w:rPr>
              <w:t xml:space="preserve"> Imbruvica® </w:t>
            </w:r>
          </w:p>
        </w:tc>
        <w:tc>
          <w:tcPr>
            <w:tcW w:w="1276" w:type="dxa"/>
          </w:tcPr>
          <w:p w:rsidR="00B46747" w:rsidRPr="00B46747" w:rsidRDefault="00B46747" w:rsidP="00A37F2E">
            <w:pPr>
              <w:keepNext/>
              <w:rPr>
                <w:rFonts w:ascii="Arial Narrow" w:hAnsi="Arial Narrow" w:cs="Arial"/>
                <w:sz w:val="20"/>
                <w:szCs w:val="20"/>
              </w:rPr>
            </w:pPr>
            <w:r w:rsidRPr="00B46747">
              <w:rPr>
                <w:rFonts w:ascii="Arial Narrow" w:hAnsi="Arial Narrow" w:cs="Arial"/>
                <w:sz w:val="20"/>
                <w:szCs w:val="20"/>
              </w:rPr>
              <w:t>Janssen-</w:t>
            </w:r>
            <w:proofErr w:type="spellStart"/>
            <w:r w:rsidRPr="00B46747">
              <w:rPr>
                <w:rFonts w:ascii="Arial Narrow" w:hAnsi="Arial Narrow" w:cs="Arial"/>
                <w:sz w:val="20"/>
                <w:szCs w:val="20"/>
              </w:rPr>
              <w:t>Cilag</w:t>
            </w:r>
            <w:proofErr w:type="spellEnd"/>
            <w:r w:rsidRPr="00B46747">
              <w:rPr>
                <w:rFonts w:ascii="Arial Narrow" w:hAnsi="Arial Narrow" w:cs="Arial"/>
                <w:sz w:val="20"/>
                <w:szCs w:val="20"/>
              </w:rPr>
              <w:t xml:space="preserve"> Pty Ltd</w:t>
            </w:r>
          </w:p>
        </w:tc>
      </w:tr>
      <w:tr w:rsidR="00B46747" w:rsidRPr="00B46747" w:rsidTr="00A37F2E">
        <w:trPr>
          <w:cantSplit/>
          <w:trHeight w:val="360"/>
        </w:trPr>
        <w:tc>
          <w:tcPr>
            <w:tcW w:w="9214" w:type="dxa"/>
            <w:gridSpan w:val="7"/>
            <w:tcBorders>
              <w:bottom w:val="single" w:sz="4" w:space="0" w:color="auto"/>
            </w:tcBorders>
          </w:tcPr>
          <w:p w:rsidR="00B46747" w:rsidRPr="00B46747" w:rsidRDefault="00B46747" w:rsidP="00A37F2E">
            <w:pPr>
              <w:rPr>
                <w:rFonts w:ascii="Arial Narrow" w:hAnsi="Arial Narrow" w:cs="Arial"/>
                <w:sz w:val="20"/>
                <w:szCs w:val="20"/>
              </w:rPr>
            </w:pP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t>GENERAL – General Schedule (Code GE)</w:t>
            </w:r>
          </w:p>
          <w:p w:rsidR="00B46747" w:rsidRPr="00B46747" w:rsidRDefault="00B46747" w:rsidP="00A37F2E">
            <w:pPr>
              <w:jc w:val="left"/>
              <w:rPr>
                <w:rFonts w:ascii="Arial Narrow" w:hAnsi="Arial Narrow" w:cs="Arial"/>
                <w:sz w:val="20"/>
                <w:szCs w:val="20"/>
              </w:rPr>
            </w:pP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Prescriber type:</w:t>
            </w:r>
          </w:p>
          <w:p w:rsidR="00B46747" w:rsidRPr="00B46747" w:rsidRDefault="00B46747" w:rsidP="00A37F2E">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Check1"/>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 xml:space="preserve">Dental  </w:t>
            </w:r>
            <w:r w:rsidRPr="00B46747">
              <w:rPr>
                <w:rFonts w:ascii="Arial Narrow" w:hAnsi="Arial Narrow" w:cs="Arial"/>
                <w:sz w:val="20"/>
                <w:szCs w:val="20"/>
              </w:rPr>
              <w:fldChar w:fldCharType="begin">
                <w:ffData>
                  <w:name w:val=""/>
                  <w:enabled/>
                  <w:calcOnExit w:val="0"/>
                  <w:checkBox>
                    <w:sizeAuto/>
                    <w:default w:val="1"/>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 xml:space="preserve">Medical Practitioners  </w:t>
            </w:r>
            <w:r w:rsidRPr="00B46747">
              <w:rPr>
                <w:rFonts w:ascii="Arial Narrow" w:hAnsi="Arial Narrow" w:cs="Arial"/>
                <w:sz w:val="20"/>
                <w:szCs w:val="20"/>
              </w:rPr>
              <w:fldChar w:fldCharType="begin">
                <w:ffData>
                  <w:name w:val="Check3"/>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 xml:space="preserve">Nurse practitioners  </w:t>
            </w:r>
            <w:r w:rsidRPr="00B46747">
              <w:rPr>
                <w:rFonts w:ascii="Arial Narrow" w:hAnsi="Arial Narrow" w:cs="Arial"/>
                <w:sz w:val="20"/>
                <w:szCs w:val="20"/>
              </w:rPr>
              <w:fldChar w:fldCharType="begin">
                <w:ffData>
                  <w:name w:val=""/>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Optometrists</w:t>
            </w:r>
          </w:p>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Check5"/>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Midwives</w:t>
            </w: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B46747" w:rsidRPr="00B46747" w:rsidRDefault="00B46747" w:rsidP="00A37F2E">
            <w:pPr>
              <w:jc w:val="left"/>
              <w:rPr>
                <w:rFonts w:ascii="Arial Narrow" w:hAnsi="Arial Narrow" w:cs="Arial"/>
                <w:sz w:val="20"/>
                <w:szCs w:val="20"/>
              </w:rPr>
            </w:pPr>
            <w:r w:rsidRPr="00B46747">
              <w:rPr>
                <w:rFonts w:ascii="Arial Narrow" w:hAnsi="Arial Narrow"/>
                <w:sz w:val="20"/>
                <w:szCs w:val="20"/>
              </w:rPr>
              <w:t>Chronic lymphocytic leukaemia (CLL</w:t>
            </w:r>
            <w:r w:rsidRPr="00B46747">
              <w:rPr>
                <w:rFonts w:ascii="Arial Narrow" w:hAnsi="Arial Narrow"/>
                <w:strike/>
                <w:sz w:val="20"/>
                <w:szCs w:val="20"/>
              </w:rPr>
              <w:t>/</w:t>
            </w:r>
            <w:r w:rsidRPr="00B46747">
              <w:rPr>
                <w:rFonts w:ascii="Arial Narrow" w:hAnsi="Arial Narrow"/>
                <w:sz w:val="20"/>
                <w:szCs w:val="20"/>
              </w:rPr>
              <w:t xml:space="preserve">) or  </w:t>
            </w:r>
            <w:r w:rsidRPr="00B46747">
              <w:rPr>
                <w:rFonts w:ascii="Arial Narrow" w:hAnsi="Arial Narrow"/>
                <w:i/>
                <w:strike/>
                <w:sz w:val="20"/>
                <w:szCs w:val="20"/>
              </w:rPr>
              <w:t>/</w:t>
            </w:r>
            <w:proofErr w:type="spellStart"/>
            <w:r w:rsidRPr="00B46747">
              <w:rPr>
                <w:rFonts w:ascii="Arial Narrow" w:hAnsi="Arial Narrow"/>
                <w:i/>
                <w:strike/>
                <w:sz w:val="20"/>
                <w:szCs w:val="20"/>
              </w:rPr>
              <w:t>S</w:t>
            </w:r>
            <w:r w:rsidRPr="00B46747">
              <w:rPr>
                <w:rFonts w:ascii="Arial Narrow" w:hAnsi="Arial Narrow"/>
                <w:i/>
                <w:sz w:val="20"/>
                <w:szCs w:val="20"/>
              </w:rPr>
              <w:t>s</w:t>
            </w:r>
            <w:r w:rsidRPr="00B46747">
              <w:rPr>
                <w:rFonts w:ascii="Arial Narrow" w:hAnsi="Arial Narrow"/>
                <w:sz w:val="20"/>
                <w:szCs w:val="20"/>
              </w:rPr>
              <w:t>mall</w:t>
            </w:r>
            <w:proofErr w:type="spellEnd"/>
            <w:r w:rsidRPr="00B46747">
              <w:rPr>
                <w:rFonts w:ascii="Arial Narrow" w:hAnsi="Arial Narrow"/>
                <w:sz w:val="20"/>
                <w:szCs w:val="20"/>
              </w:rPr>
              <w:t xml:space="preserve"> lymphocytic lymphoma (SLL)</w:t>
            </w: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cs="Arial"/>
                <w:sz w:val="20"/>
                <w:szCs w:val="20"/>
              </w:rPr>
            </w:pPr>
            <w:r w:rsidRPr="00B46747">
              <w:rPr>
                <w:rFonts w:ascii="Arial Narrow" w:hAnsi="Arial Narrow"/>
                <w:sz w:val="20"/>
                <w:szCs w:val="20"/>
              </w:rPr>
              <w:t>Continuing treatment</w:t>
            </w: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Restriction Level / Method:</w:t>
            </w:r>
          </w:p>
          <w:p w:rsidR="00B46747" w:rsidRPr="00B46747" w:rsidRDefault="00B46747" w:rsidP="00A37F2E">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Check1"/>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Restricted benefit</w:t>
            </w:r>
          </w:p>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Authority Required – In Writing</w:t>
            </w:r>
          </w:p>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Check3"/>
                  <w:enabled/>
                  <w:calcOnExit w:val="0"/>
                  <w:checkBox>
                    <w:sizeAuto/>
                    <w:default w:val="1"/>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Authority Required – Telephone/Electronic/Emergency</w:t>
            </w:r>
          </w:p>
          <w:p w:rsidR="00B46747" w:rsidRPr="00B46747" w:rsidRDefault="00B46747" w:rsidP="00A37F2E">
            <w:pPr>
              <w:jc w:val="left"/>
              <w:rPr>
                <w:rFonts w:ascii="Arial Narrow" w:hAnsi="Arial Narrow" w:cs="Arial"/>
                <w:sz w:val="20"/>
                <w:szCs w:val="20"/>
              </w:rPr>
            </w:pPr>
            <w:r w:rsidRPr="00B46747">
              <w:rPr>
                <w:rFonts w:ascii="Arial Narrow" w:hAnsi="Arial Narrow" w:cs="Arial"/>
                <w:sz w:val="20"/>
                <w:szCs w:val="20"/>
              </w:rPr>
              <w:fldChar w:fldCharType="begin">
                <w:ffData>
                  <w:name w:val="Check5"/>
                  <w:enabled/>
                  <w:calcOnExit w:val="0"/>
                  <w:checkBox>
                    <w:sizeAuto/>
                    <w:default w:val="0"/>
                  </w:checkBox>
                </w:ffData>
              </w:fldChar>
            </w:r>
            <w:r w:rsidRPr="00B46747">
              <w:rPr>
                <w:rFonts w:ascii="Arial Narrow" w:hAnsi="Arial Narrow" w:cs="Arial"/>
                <w:sz w:val="20"/>
                <w:szCs w:val="20"/>
              </w:rPr>
              <w:instrText xml:space="preserve"> FORMCHECKBOX </w:instrText>
            </w:r>
            <w:r w:rsidR="003E6798">
              <w:rPr>
                <w:rFonts w:ascii="Arial Narrow" w:hAnsi="Arial Narrow" w:cs="Arial"/>
                <w:sz w:val="20"/>
                <w:szCs w:val="20"/>
              </w:rPr>
            </w:r>
            <w:r w:rsidR="003E6798">
              <w:rPr>
                <w:rFonts w:ascii="Arial Narrow" w:hAnsi="Arial Narrow" w:cs="Arial"/>
                <w:sz w:val="20"/>
                <w:szCs w:val="20"/>
              </w:rPr>
              <w:fldChar w:fldCharType="separate"/>
            </w:r>
            <w:r w:rsidRPr="00B46747">
              <w:rPr>
                <w:rFonts w:ascii="Arial Narrow" w:hAnsi="Arial Narrow" w:cs="Arial"/>
                <w:sz w:val="20"/>
                <w:szCs w:val="20"/>
              </w:rPr>
              <w:fldChar w:fldCharType="end"/>
            </w:r>
            <w:r w:rsidRPr="00B46747">
              <w:rPr>
                <w:rFonts w:ascii="Arial Narrow" w:hAnsi="Arial Narrow" w:cs="Arial"/>
                <w:sz w:val="20"/>
                <w:szCs w:val="20"/>
              </w:rPr>
              <w:t>Streamlined</w:t>
            </w:r>
            <w:r w:rsidRPr="00B46747" w:rsidDel="004C45E4">
              <w:rPr>
                <w:rFonts w:ascii="Arial Narrow" w:hAnsi="Arial Narrow" w:cs="Arial"/>
                <w:sz w:val="20"/>
                <w:szCs w:val="20"/>
              </w:rPr>
              <w:t xml:space="preserve"> </w:t>
            </w:r>
          </w:p>
        </w:tc>
      </w:tr>
      <w:tr w:rsidR="00B46747" w:rsidRPr="00B46747" w:rsidTr="00A37F2E">
        <w:trPr>
          <w:cantSplit/>
          <w:trHeight w:val="657"/>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Clinical criteria:</w:t>
            </w:r>
          </w:p>
          <w:p w:rsidR="00B46747" w:rsidRPr="00B46747" w:rsidRDefault="00B46747" w:rsidP="00A37F2E">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sz w:val="20"/>
                <w:szCs w:val="20"/>
              </w:rPr>
            </w:pPr>
            <w:r w:rsidRPr="00B46747">
              <w:rPr>
                <w:rFonts w:ascii="Arial Narrow" w:hAnsi="Arial Narrow"/>
                <w:sz w:val="20"/>
                <w:szCs w:val="20"/>
              </w:rPr>
              <w:t xml:space="preserve">Patient must have previously </w:t>
            </w:r>
            <w:r w:rsidRPr="00B46747">
              <w:rPr>
                <w:rFonts w:ascii="Arial Narrow" w:hAnsi="Arial Narrow"/>
                <w:i/>
                <w:sz w:val="20"/>
                <w:szCs w:val="20"/>
              </w:rPr>
              <w:t xml:space="preserve">received PBS-subsidised treatment with this drug for this condition, </w:t>
            </w:r>
            <w:r w:rsidRPr="00B46747">
              <w:rPr>
                <w:rFonts w:ascii="Arial Narrow" w:hAnsi="Arial Narrow"/>
                <w:strike/>
                <w:sz w:val="20"/>
                <w:szCs w:val="20"/>
              </w:rPr>
              <w:t>been issued with an authority prescription for this drug for this condition</w:t>
            </w:r>
            <w:r w:rsidRPr="00B46747">
              <w:rPr>
                <w:rFonts w:ascii="Arial Narrow" w:hAnsi="Arial Narrow"/>
                <w:sz w:val="20"/>
                <w:szCs w:val="20"/>
              </w:rPr>
              <w:br/>
              <w:t>AND</w:t>
            </w:r>
          </w:p>
          <w:p w:rsidR="00B46747" w:rsidRPr="00B46747" w:rsidRDefault="00B46747" w:rsidP="00A37F2E">
            <w:pPr>
              <w:jc w:val="left"/>
              <w:rPr>
                <w:rFonts w:ascii="Arial Narrow" w:hAnsi="Arial Narrow"/>
                <w:sz w:val="20"/>
                <w:szCs w:val="20"/>
              </w:rPr>
            </w:pPr>
            <w:r w:rsidRPr="00B46747">
              <w:rPr>
                <w:rFonts w:ascii="Arial Narrow" w:hAnsi="Arial Narrow"/>
                <w:sz w:val="20"/>
                <w:szCs w:val="20"/>
              </w:rPr>
              <w:t xml:space="preserve">The treatment must be the sole PBS-subsidised therapy for this condition, </w:t>
            </w:r>
            <w:r w:rsidRPr="00B46747">
              <w:rPr>
                <w:rFonts w:ascii="Arial Narrow" w:hAnsi="Arial Narrow"/>
                <w:sz w:val="20"/>
                <w:szCs w:val="20"/>
              </w:rPr>
              <w:br/>
              <w:t>AND</w:t>
            </w:r>
            <w:r w:rsidRPr="00B46747">
              <w:rPr>
                <w:rFonts w:ascii="Arial Narrow" w:hAnsi="Arial Narrow"/>
                <w:sz w:val="20"/>
                <w:szCs w:val="20"/>
              </w:rPr>
              <w:br/>
              <w:t>Patient must not develop disease progression while receiving PBS-subsidised treatment with this drug for this condition.</w:t>
            </w:r>
          </w:p>
        </w:tc>
      </w:tr>
      <w:tr w:rsidR="00B46747" w:rsidRPr="00B46747"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lastRenderedPageBreak/>
              <w:t>Prescriber Instructions:</w:t>
            </w:r>
          </w:p>
          <w:p w:rsidR="00B46747" w:rsidRPr="00B46747" w:rsidRDefault="00B46747" w:rsidP="00A37F2E">
            <w:pPr>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strike/>
                <w:sz w:val="20"/>
                <w:szCs w:val="20"/>
              </w:rPr>
            </w:pPr>
            <w:r w:rsidRPr="00B46747">
              <w:rPr>
                <w:rFonts w:ascii="Arial Narrow" w:hAnsi="Arial Narrow"/>
                <w:strike/>
                <w:sz w:val="20"/>
                <w:szCs w:val="20"/>
              </w:rPr>
              <w:t>PBS-subsidised ibrutinib for the treatment of CLL/SLL can only be used once in a patient’s lifetime. If a patient has previously received PBS-subsidised ibrutinib for their first line of treatment, they will not be eligible to access PBS-subsidised ibrutinib for subsequent lines of therapy.</w:t>
            </w:r>
          </w:p>
          <w:p w:rsidR="00B46747" w:rsidRPr="00B46747" w:rsidRDefault="00B46747" w:rsidP="00A37F2E">
            <w:pPr>
              <w:jc w:val="left"/>
              <w:rPr>
                <w:rFonts w:ascii="Arial Narrow" w:hAnsi="Arial Narrow"/>
                <w:sz w:val="20"/>
                <w:szCs w:val="20"/>
              </w:rPr>
            </w:pPr>
          </w:p>
          <w:p w:rsidR="00B46747" w:rsidRPr="00B46747" w:rsidRDefault="00B46747" w:rsidP="00A37F2E">
            <w:pPr>
              <w:jc w:val="left"/>
              <w:rPr>
                <w:rFonts w:ascii="Arial Narrow" w:hAnsi="Arial Narrow" w:cs="Arial"/>
                <w:i/>
                <w:sz w:val="20"/>
                <w:szCs w:val="20"/>
              </w:rPr>
            </w:pPr>
            <w:r w:rsidRPr="00B46747">
              <w:rPr>
                <w:rFonts w:ascii="Arial Narrow" w:hAnsi="Arial Narrow" w:cs="Arial"/>
                <w:i/>
                <w:sz w:val="20"/>
                <w:szCs w:val="20"/>
              </w:rPr>
              <w:t>Applications for authorisation under this criterion may be made by telephone by contacting the Department of Human Services on 1800 700 270 (hours of operation 8 a.m. to 5 p.m. EST Monday to Friday).</w:t>
            </w:r>
          </w:p>
        </w:tc>
      </w:tr>
      <w:tr w:rsidR="00B46747" w:rsidRPr="00C254D9" w:rsidTr="00A37F2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6747" w:rsidRPr="00B46747" w:rsidRDefault="00B46747" w:rsidP="00A37F2E">
            <w:pPr>
              <w:rPr>
                <w:rFonts w:ascii="Arial Narrow" w:hAnsi="Arial Narrow" w:cs="Arial"/>
                <w:b/>
                <w:sz w:val="20"/>
                <w:szCs w:val="20"/>
              </w:rPr>
            </w:pPr>
            <w:r w:rsidRPr="00B46747">
              <w:rPr>
                <w:rFonts w:ascii="Arial Narrow" w:hAnsi="Arial Narrow" w:cs="Arial"/>
                <w:b/>
                <w:sz w:val="20"/>
                <w:szCs w:val="20"/>
              </w:rPr>
              <w:t>Administrative Advice:</w:t>
            </w:r>
          </w:p>
          <w:p w:rsidR="00B46747" w:rsidRPr="00B46747" w:rsidRDefault="00B46747" w:rsidP="00A37F2E">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6747" w:rsidRPr="00B46747" w:rsidRDefault="00B46747" w:rsidP="00A37F2E">
            <w:pPr>
              <w:jc w:val="left"/>
              <w:rPr>
                <w:rFonts w:ascii="Arial Narrow" w:hAnsi="Arial Narrow"/>
                <w:i/>
                <w:sz w:val="20"/>
                <w:szCs w:val="20"/>
              </w:rPr>
            </w:pPr>
            <w:r w:rsidRPr="00B46747">
              <w:rPr>
                <w:rFonts w:ascii="Arial Narrow" w:hAnsi="Arial Narrow"/>
                <w:i/>
                <w:sz w:val="20"/>
                <w:szCs w:val="20"/>
              </w:rPr>
              <w:t>No increase in the maximum quantity or number of units may be authorised.</w:t>
            </w:r>
          </w:p>
          <w:p w:rsidR="00B46747" w:rsidRPr="00B46747" w:rsidRDefault="00B46747" w:rsidP="00A37F2E">
            <w:pPr>
              <w:jc w:val="left"/>
              <w:rPr>
                <w:rFonts w:ascii="Arial Narrow" w:hAnsi="Arial Narrow"/>
                <w:i/>
                <w:sz w:val="20"/>
                <w:szCs w:val="20"/>
              </w:rPr>
            </w:pPr>
            <w:r w:rsidRPr="00B46747">
              <w:rPr>
                <w:rFonts w:ascii="Arial Narrow" w:hAnsi="Arial Narrow"/>
                <w:i/>
                <w:sz w:val="20"/>
                <w:szCs w:val="20"/>
              </w:rPr>
              <w:t>No increase in the maximum number of repeats may be authorised.</w:t>
            </w:r>
          </w:p>
          <w:p w:rsidR="00B46747" w:rsidRPr="00D27D62" w:rsidRDefault="00B46747" w:rsidP="00A37F2E">
            <w:pPr>
              <w:jc w:val="left"/>
              <w:rPr>
                <w:rFonts w:ascii="Arial Narrow" w:hAnsi="Arial Narrow" w:cs="Arial"/>
                <w:sz w:val="20"/>
                <w:szCs w:val="20"/>
              </w:rPr>
            </w:pPr>
            <w:r w:rsidRPr="00B46747">
              <w:rPr>
                <w:rFonts w:ascii="Arial Narrow" w:hAnsi="Arial Narrow"/>
                <w:sz w:val="20"/>
                <w:szCs w:val="20"/>
              </w:rPr>
              <w:t>Special Pricing Arrangements apply.</w:t>
            </w:r>
          </w:p>
        </w:tc>
      </w:tr>
    </w:tbl>
    <w:p w:rsidR="00B46747" w:rsidRPr="008B3257" w:rsidRDefault="00B46747" w:rsidP="00B46747">
      <w:pPr>
        <w:rPr>
          <w:rFonts w:asciiTheme="minorHAnsi" w:hAnsiTheme="minorHAnsi" w:cstheme="minorHAnsi"/>
          <w:color w:val="0070C0"/>
        </w:rPr>
      </w:pPr>
      <w:r w:rsidRPr="008B3257">
        <w:rPr>
          <w:rFonts w:asciiTheme="minorHAnsi" w:hAnsiTheme="minorHAnsi" w:cstheme="minorHAnsi"/>
          <w:color w:val="0070C0"/>
        </w:rPr>
        <w:t xml:space="preserve"> </w:t>
      </w:r>
    </w:p>
    <w:p w:rsidR="007727D5" w:rsidRPr="00940129" w:rsidRDefault="007727D5" w:rsidP="00B2597F">
      <w:pPr>
        <w:pStyle w:val="ListParagraph"/>
        <w:numPr>
          <w:ilvl w:val="1"/>
          <w:numId w:val="1"/>
        </w:numPr>
      </w:pPr>
      <w:r>
        <w:t xml:space="preserve">The requested effective </w:t>
      </w:r>
      <w:r w:rsidR="000B5E5C">
        <w:t>DPMQ for</w:t>
      </w:r>
      <w:r>
        <w:t xml:space="preserve"> ibrutinib will increase to $</w:t>
      </w:r>
      <w:r w:rsidR="007E3667">
        <w:rPr>
          <w:noProof/>
          <w:color w:val="000000"/>
          <w:highlight w:val="black"/>
        </w:rPr>
        <w:t>''''''''''''''''</w:t>
      </w:r>
      <w:r>
        <w:t xml:space="preserve"> with the July 2019 increases in </w:t>
      </w:r>
      <w:r w:rsidR="00FC0FB4">
        <w:t>administration, handling and infrastructure (</w:t>
      </w:r>
      <w:r>
        <w:t>AHI</w:t>
      </w:r>
      <w:r w:rsidR="00FC0FB4">
        <w:t>) fees</w:t>
      </w:r>
      <w:r>
        <w:t xml:space="preserve"> and dispensing fees.  The price has not been updated in the economic model or financial </w:t>
      </w:r>
      <w:r w:rsidRPr="00940129">
        <w:t>estimates.</w:t>
      </w:r>
    </w:p>
    <w:p w:rsidR="00940129" w:rsidRPr="00940129" w:rsidRDefault="00940129" w:rsidP="00940129">
      <w:pPr>
        <w:pStyle w:val="ListParagraph"/>
        <w:numPr>
          <w:ilvl w:val="1"/>
          <w:numId w:val="1"/>
        </w:numPr>
      </w:pPr>
      <w:r w:rsidRPr="00940129">
        <w:t xml:space="preserve">The ESC noted that the proposed published and effective prices </w:t>
      </w:r>
      <w:r w:rsidR="007E3667">
        <w:rPr>
          <w:noProof/>
          <w:color w:val="000000"/>
          <w:highlight w:val="black"/>
        </w:rPr>
        <w:t>''''''' '''''' '''''''''' ''''' '''''' ''''''''''''''''''' ''''''' ''''''''''''''' ''''''''''' '''' ''''''''''''''' ''''' '''''''' '''' '''''' ''''''''''''''''''''''''''''''''''' ''''''''' '''''''''''''' ''''''''''''''</w:t>
      </w:r>
      <w:r w:rsidRPr="00940129">
        <w:t xml:space="preserve">. </w:t>
      </w:r>
      <w:r w:rsidRPr="00C763D4">
        <w:t xml:space="preserve"> </w:t>
      </w:r>
    </w:p>
    <w:p w:rsidR="00921863" w:rsidRPr="00E773B1" w:rsidRDefault="00921863" w:rsidP="00B2597F">
      <w:pPr>
        <w:pStyle w:val="ListParagraph"/>
        <w:numPr>
          <w:ilvl w:val="1"/>
          <w:numId w:val="1"/>
        </w:numPr>
      </w:pPr>
      <w:r w:rsidRPr="00E773B1">
        <w:rPr>
          <w:rFonts w:asciiTheme="minorHAnsi" w:hAnsiTheme="minorHAnsi" w:cstheme="minorHAnsi"/>
        </w:rPr>
        <w:t xml:space="preserve">The resubmission requested a General Schedule Authority Required (Written) listing </w:t>
      </w:r>
      <w:r w:rsidR="000B5E5C">
        <w:rPr>
          <w:rFonts w:asciiTheme="minorHAnsi" w:hAnsiTheme="minorHAnsi" w:cstheme="minorHAnsi"/>
        </w:rPr>
        <w:t>for</w:t>
      </w:r>
      <w:r w:rsidRPr="00E773B1">
        <w:rPr>
          <w:rFonts w:asciiTheme="minorHAnsi" w:hAnsiTheme="minorHAnsi" w:cstheme="minorHAnsi"/>
        </w:rPr>
        <w:t xml:space="preserve"> ibrutinib for initial </w:t>
      </w:r>
      <w:r w:rsidR="000B5E5C">
        <w:rPr>
          <w:rFonts w:asciiTheme="minorHAnsi" w:hAnsiTheme="minorHAnsi" w:cstheme="minorHAnsi"/>
        </w:rPr>
        <w:t xml:space="preserve">treatment, </w:t>
      </w:r>
      <w:r w:rsidRPr="00E773B1">
        <w:rPr>
          <w:rFonts w:asciiTheme="minorHAnsi" w:hAnsiTheme="minorHAnsi" w:cstheme="minorHAnsi"/>
        </w:rPr>
        <w:t xml:space="preserve">and an Authority Required (Telephone) listing for continuing treatment. </w:t>
      </w:r>
      <w:r w:rsidR="000B5E5C">
        <w:rPr>
          <w:rFonts w:asciiTheme="minorHAnsi" w:hAnsiTheme="minorHAnsi" w:cstheme="minorHAnsi"/>
        </w:rPr>
        <w:t>Separate listings is appropriate given</w:t>
      </w:r>
      <w:r w:rsidRPr="00E773B1">
        <w:rPr>
          <w:rFonts w:asciiTheme="minorHAnsi" w:hAnsiTheme="minorHAnsi" w:cstheme="minorHAnsi"/>
        </w:rPr>
        <w:t xml:space="preserve"> demonstration of del17p is only required for initiation. The resubmission stated that an Authority Required (Written) </w:t>
      </w:r>
      <w:r w:rsidR="00BB63DE" w:rsidRPr="00E773B1">
        <w:rPr>
          <w:rFonts w:asciiTheme="minorHAnsi" w:hAnsiTheme="minorHAnsi" w:cstheme="minorHAnsi"/>
        </w:rPr>
        <w:t xml:space="preserve">initial </w:t>
      </w:r>
      <w:r w:rsidRPr="00E773B1">
        <w:rPr>
          <w:rFonts w:asciiTheme="minorHAnsi" w:hAnsiTheme="minorHAnsi" w:cstheme="minorHAnsi"/>
        </w:rPr>
        <w:t xml:space="preserve">listing </w:t>
      </w:r>
      <w:r w:rsidR="000B5E5C">
        <w:rPr>
          <w:rFonts w:asciiTheme="minorHAnsi" w:hAnsiTheme="minorHAnsi" w:cstheme="minorHAnsi"/>
        </w:rPr>
        <w:t>wa</w:t>
      </w:r>
      <w:r w:rsidRPr="00E773B1">
        <w:rPr>
          <w:rFonts w:asciiTheme="minorHAnsi" w:hAnsiTheme="minorHAnsi" w:cstheme="minorHAnsi"/>
        </w:rPr>
        <w:t xml:space="preserve">s requested to ensure that treatment is limited to </w:t>
      </w:r>
      <w:r w:rsidR="000B5E5C">
        <w:rPr>
          <w:rFonts w:asciiTheme="minorHAnsi" w:hAnsiTheme="minorHAnsi" w:cstheme="minorHAnsi"/>
        </w:rPr>
        <w:t xml:space="preserve">the subgroup of </w:t>
      </w:r>
      <w:r w:rsidRPr="00E773B1">
        <w:rPr>
          <w:rFonts w:asciiTheme="minorHAnsi" w:hAnsiTheme="minorHAnsi" w:cstheme="minorHAnsi"/>
        </w:rPr>
        <w:t xml:space="preserve">patients with del17p. </w:t>
      </w:r>
      <w:r w:rsidR="00BB63DE" w:rsidRPr="00E773B1">
        <w:rPr>
          <w:rFonts w:asciiTheme="minorHAnsi" w:hAnsiTheme="minorHAnsi" w:cstheme="minorHAnsi"/>
        </w:rPr>
        <w:t xml:space="preserve">The </w:t>
      </w:r>
      <w:r w:rsidR="00141834">
        <w:rPr>
          <w:rFonts w:asciiTheme="minorHAnsi" w:hAnsiTheme="minorHAnsi" w:cstheme="minorHAnsi"/>
        </w:rPr>
        <w:t>PBAC</w:t>
      </w:r>
      <w:r w:rsidR="00BB63DE" w:rsidRPr="00E773B1">
        <w:rPr>
          <w:rFonts w:asciiTheme="minorHAnsi" w:hAnsiTheme="minorHAnsi" w:cstheme="minorHAnsi"/>
        </w:rPr>
        <w:t xml:space="preserve"> considered </w:t>
      </w:r>
      <w:r w:rsidR="00902B1F">
        <w:rPr>
          <w:rFonts w:asciiTheme="minorHAnsi" w:hAnsiTheme="minorHAnsi" w:cstheme="minorHAnsi"/>
        </w:rPr>
        <w:t xml:space="preserve">that an Authority Required (Telephone) listing was appropriate for both initial and continuing treatment.  </w:t>
      </w:r>
    </w:p>
    <w:p w:rsidR="005D3D59" w:rsidRPr="00E773B1" w:rsidRDefault="0038147D" w:rsidP="00B2597F">
      <w:pPr>
        <w:pStyle w:val="ListParagraph"/>
        <w:numPr>
          <w:ilvl w:val="1"/>
          <w:numId w:val="1"/>
        </w:numPr>
        <w:rPr>
          <w:iCs/>
        </w:rPr>
      </w:pPr>
      <w:r w:rsidRPr="00E773B1">
        <w:t xml:space="preserve">The requested restriction </w:t>
      </w:r>
      <w:r w:rsidR="000854CF">
        <w:t>limits</w:t>
      </w:r>
      <w:r w:rsidRPr="00E773B1">
        <w:t xml:space="preserve"> ibrutinib for </w:t>
      </w:r>
      <w:r w:rsidR="000854CF">
        <w:t xml:space="preserve">the </w:t>
      </w:r>
      <w:r w:rsidRPr="00E773B1">
        <w:t xml:space="preserve">treatment of CLL/SLL </w:t>
      </w:r>
      <w:r w:rsidR="000854CF">
        <w:t>to</w:t>
      </w:r>
      <w:r w:rsidRPr="00E773B1">
        <w:t xml:space="preserve"> once in a patient’s lifetime, </w:t>
      </w:r>
      <w:r w:rsidR="000854CF">
        <w:t>and thus</w:t>
      </w:r>
      <w:r w:rsidRPr="00E773B1">
        <w:rPr>
          <w:iCs/>
        </w:rPr>
        <w:t xml:space="preserve"> </w:t>
      </w:r>
      <w:r w:rsidR="00FC0FB4" w:rsidRPr="00E773B1">
        <w:rPr>
          <w:iCs/>
        </w:rPr>
        <w:t>ibrutinib</w:t>
      </w:r>
      <w:r w:rsidRPr="00E773B1">
        <w:rPr>
          <w:iCs/>
        </w:rPr>
        <w:t xml:space="preserve"> treatment for </w:t>
      </w:r>
      <w:r w:rsidR="00FC0FB4" w:rsidRPr="00E773B1">
        <w:rPr>
          <w:iCs/>
        </w:rPr>
        <w:t xml:space="preserve">CLL/SLL </w:t>
      </w:r>
      <w:r w:rsidRPr="00E773B1">
        <w:rPr>
          <w:iCs/>
        </w:rPr>
        <w:t xml:space="preserve">patients with del17p </w:t>
      </w:r>
      <w:r w:rsidR="000854CF">
        <w:rPr>
          <w:iCs/>
        </w:rPr>
        <w:t xml:space="preserve">is moved </w:t>
      </w:r>
      <w:r w:rsidR="0020765A" w:rsidRPr="00E773B1">
        <w:rPr>
          <w:iCs/>
        </w:rPr>
        <w:t xml:space="preserve">to </w:t>
      </w:r>
      <w:r w:rsidRPr="00E773B1">
        <w:rPr>
          <w:iCs/>
        </w:rPr>
        <w:t>earlier in the treatment algorithm.</w:t>
      </w:r>
      <w:r w:rsidR="007727D5" w:rsidRPr="00E773B1">
        <w:rPr>
          <w:iCs/>
        </w:rPr>
        <w:t xml:space="preserve"> </w:t>
      </w:r>
      <w:r w:rsidR="000F642E" w:rsidRPr="00E773B1">
        <w:rPr>
          <w:iCs/>
        </w:rPr>
        <w:t>The ESC noted that del17p and TP53 variants are the only validated predictive markers in CLL.</w:t>
      </w:r>
      <w:r w:rsidR="004E14BD" w:rsidRPr="00E773B1">
        <w:rPr>
          <w:rStyle w:val="FootnoteReference"/>
          <w:iCs/>
        </w:rPr>
        <w:footnoteReference w:id="1"/>
      </w:r>
      <w:r w:rsidR="004E14BD" w:rsidRPr="00E773B1">
        <w:rPr>
          <w:iCs/>
        </w:rPr>
        <w:t xml:space="preserve"> The ESC noted that while TP53 variants often coincide with del17p (80-90%), sole TP53 variants can also occur in the absence of del17p.</w:t>
      </w:r>
      <w:r w:rsidR="004E14BD" w:rsidRPr="00E773B1">
        <w:rPr>
          <w:iCs/>
          <w:vertAlign w:val="superscript"/>
        </w:rPr>
        <w:t xml:space="preserve">1 </w:t>
      </w:r>
      <w:r w:rsidR="004E14BD" w:rsidRPr="00E773B1">
        <w:rPr>
          <w:iCs/>
        </w:rPr>
        <w:t>Aberrations in TP53 are detected by gene sequencing</w:t>
      </w:r>
      <w:r w:rsidR="00BC584F" w:rsidRPr="00E773B1">
        <w:rPr>
          <w:iCs/>
        </w:rPr>
        <w:t xml:space="preserve"> with the ESC noting that FISH may miss more </w:t>
      </w:r>
      <w:r w:rsidR="00045CCB" w:rsidRPr="00E773B1">
        <w:rPr>
          <w:iCs/>
        </w:rPr>
        <w:t>than 30% of all TP53 variants</w:t>
      </w:r>
      <w:r w:rsidR="00BC584F" w:rsidRPr="00E773B1">
        <w:rPr>
          <w:iCs/>
        </w:rPr>
        <w:t>.</w:t>
      </w:r>
      <w:r w:rsidR="00BC584F" w:rsidRPr="00E773B1">
        <w:rPr>
          <w:iCs/>
          <w:vertAlign w:val="superscript"/>
        </w:rPr>
        <w:t>1</w:t>
      </w:r>
      <w:r w:rsidR="00BC584F" w:rsidRPr="00E773B1">
        <w:rPr>
          <w:iCs/>
        </w:rPr>
        <w:t xml:space="preserve"> The ESC considered that there was a clinical need for effective treatments in patients with </w:t>
      </w:r>
      <w:r w:rsidR="005105E6" w:rsidRPr="00E773B1">
        <w:rPr>
          <w:iCs/>
        </w:rPr>
        <w:t>aberrations</w:t>
      </w:r>
      <w:r w:rsidR="00BC584F" w:rsidRPr="00E773B1">
        <w:rPr>
          <w:iCs/>
        </w:rPr>
        <w:t xml:space="preserve"> in TP53 who are del</w:t>
      </w:r>
      <w:r w:rsidR="004B5F9E" w:rsidRPr="00E773B1">
        <w:rPr>
          <w:iCs/>
        </w:rPr>
        <w:t>17p negative</w:t>
      </w:r>
      <w:r w:rsidR="005D3D59" w:rsidRPr="00E773B1">
        <w:rPr>
          <w:iCs/>
        </w:rPr>
        <w:t xml:space="preserve">. The ESC </w:t>
      </w:r>
      <w:r w:rsidR="004B5F9E" w:rsidRPr="00E773B1">
        <w:rPr>
          <w:iCs/>
        </w:rPr>
        <w:t xml:space="preserve">noted that a submission to </w:t>
      </w:r>
      <w:r w:rsidR="0001698A" w:rsidRPr="00E773B1">
        <w:rPr>
          <w:iCs/>
        </w:rPr>
        <w:t>e</w:t>
      </w:r>
      <w:r w:rsidR="004B5F9E" w:rsidRPr="00E773B1">
        <w:rPr>
          <w:iCs/>
        </w:rPr>
        <w:t>xtend genome-wide microarray testing (MBS item 73292)</w:t>
      </w:r>
      <w:r w:rsidR="005D3D59" w:rsidRPr="00E773B1">
        <w:rPr>
          <w:iCs/>
        </w:rPr>
        <w:t xml:space="preserve">, which can be used to identify both del17p and TP53 variants, </w:t>
      </w:r>
      <w:r w:rsidR="004B5F9E" w:rsidRPr="00E773B1">
        <w:rPr>
          <w:iCs/>
        </w:rPr>
        <w:t xml:space="preserve">to </w:t>
      </w:r>
      <w:r w:rsidR="005D3D59" w:rsidRPr="00E773B1">
        <w:rPr>
          <w:iCs/>
        </w:rPr>
        <w:t xml:space="preserve">allow </w:t>
      </w:r>
      <w:r w:rsidR="004B5F9E" w:rsidRPr="00E773B1">
        <w:rPr>
          <w:iCs/>
        </w:rPr>
        <w:t xml:space="preserve">use </w:t>
      </w:r>
      <w:r w:rsidR="0001698A" w:rsidRPr="00E773B1">
        <w:rPr>
          <w:iCs/>
        </w:rPr>
        <w:t>in CLL and multiple myeloma would be considered by MSAC in November 2019.</w:t>
      </w:r>
      <w:r w:rsidR="00DC6194" w:rsidRPr="00E773B1">
        <w:rPr>
          <w:iCs/>
        </w:rPr>
        <w:t xml:space="preserve"> </w:t>
      </w:r>
    </w:p>
    <w:p w:rsidR="00906E74" w:rsidRDefault="00D50AE0" w:rsidP="00B2597F">
      <w:pPr>
        <w:pStyle w:val="ListParagraph"/>
        <w:numPr>
          <w:ilvl w:val="1"/>
          <w:numId w:val="1"/>
        </w:numPr>
        <w:rPr>
          <w:iCs/>
        </w:rPr>
      </w:pPr>
      <w:r w:rsidRPr="00E773B1">
        <w:rPr>
          <w:iCs/>
        </w:rPr>
        <w:lastRenderedPageBreak/>
        <w:t xml:space="preserve">The ESC considered that, depending on the outcome of the MSAC </w:t>
      </w:r>
      <w:r w:rsidR="005105E6" w:rsidRPr="00E773B1">
        <w:rPr>
          <w:iCs/>
        </w:rPr>
        <w:t>recommendation</w:t>
      </w:r>
      <w:r w:rsidRPr="00E773B1">
        <w:rPr>
          <w:iCs/>
        </w:rPr>
        <w:t xml:space="preserve"> regarding MBS item 73292</w:t>
      </w:r>
      <w:r w:rsidR="00DC6194" w:rsidRPr="00E773B1">
        <w:rPr>
          <w:iCs/>
        </w:rPr>
        <w:t>, some patients may have del17p detected via genome-wide microarray testing rather than FISH.</w:t>
      </w:r>
      <w:r w:rsidR="005D3D59" w:rsidRPr="00E773B1">
        <w:rPr>
          <w:iCs/>
        </w:rPr>
        <w:t xml:space="preserve"> As such, the ESC advised</w:t>
      </w:r>
      <w:r w:rsidR="00F0626C" w:rsidRPr="00E773B1">
        <w:rPr>
          <w:iCs/>
        </w:rPr>
        <w:t xml:space="preserve"> it may be appropriate to remove specification of the del17p testing method from the restriction.</w:t>
      </w:r>
    </w:p>
    <w:p w:rsidR="000A19BD" w:rsidRPr="00EB5599" w:rsidRDefault="00906E74" w:rsidP="00B2597F">
      <w:pPr>
        <w:pStyle w:val="ListParagraph"/>
        <w:numPr>
          <w:ilvl w:val="1"/>
          <w:numId w:val="1"/>
        </w:numPr>
        <w:rPr>
          <w:iCs/>
        </w:rPr>
      </w:pPr>
      <w:r w:rsidRPr="00EB5599">
        <w:rPr>
          <w:rFonts w:cs="Calibri"/>
        </w:rPr>
        <w:t xml:space="preserve"> </w:t>
      </w:r>
      <w:r w:rsidR="000A19BD" w:rsidRPr="00EB5599">
        <w:rPr>
          <w:rFonts w:cs="Calibri"/>
        </w:rPr>
        <w:t xml:space="preserve">In </w:t>
      </w:r>
      <w:r w:rsidR="00FC0FB4" w:rsidRPr="00EB5599">
        <w:rPr>
          <w:rFonts w:cs="Calibri"/>
        </w:rPr>
        <w:t xml:space="preserve">March 2018 the </w:t>
      </w:r>
      <w:r w:rsidR="000A19BD" w:rsidRPr="00EB5599">
        <w:rPr>
          <w:rFonts w:cs="Calibri"/>
        </w:rPr>
        <w:t xml:space="preserve">PBAC considered that </w:t>
      </w:r>
      <w:r w:rsidR="00FC0FB4" w:rsidRPr="00EB5599">
        <w:rPr>
          <w:rFonts w:cs="Calibri"/>
        </w:rPr>
        <w:t xml:space="preserve">a definition of </w:t>
      </w:r>
      <w:r w:rsidR="000A19BD" w:rsidRPr="00EB5599">
        <w:rPr>
          <w:rFonts w:cs="Calibri"/>
        </w:rPr>
        <w:t xml:space="preserve">progressive disease during or after therapy characterised by at least one International Workshop on </w:t>
      </w:r>
      <w:r w:rsidR="00FC0FB4" w:rsidRPr="00EB5599">
        <w:rPr>
          <w:rFonts w:cs="Calibri"/>
        </w:rPr>
        <w:t>C</w:t>
      </w:r>
      <w:r w:rsidR="000A19BD" w:rsidRPr="00EB5599">
        <w:rPr>
          <w:rFonts w:cs="Calibri"/>
        </w:rPr>
        <w:t xml:space="preserve">hronic </w:t>
      </w:r>
      <w:r w:rsidR="00FC0FB4" w:rsidRPr="00EB5599">
        <w:rPr>
          <w:rFonts w:cs="Calibri"/>
        </w:rPr>
        <w:t>L</w:t>
      </w:r>
      <w:r w:rsidR="000A19BD" w:rsidRPr="00EB5599">
        <w:rPr>
          <w:rFonts w:cs="Calibri"/>
        </w:rPr>
        <w:t xml:space="preserve">ymphocytic </w:t>
      </w:r>
      <w:r w:rsidR="00FC0FB4" w:rsidRPr="00EB5599">
        <w:rPr>
          <w:rFonts w:cs="Calibri"/>
        </w:rPr>
        <w:t>L</w:t>
      </w:r>
      <w:r w:rsidR="000A19BD" w:rsidRPr="00EB5599">
        <w:rPr>
          <w:rFonts w:cs="Calibri"/>
        </w:rPr>
        <w:t>eukaemia</w:t>
      </w:r>
      <w:r w:rsidR="00FC0FB4" w:rsidRPr="00EB5599">
        <w:rPr>
          <w:rFonts w:cs="Calibri"/>
        </w:rPr>
        <w:t xml:space="preserve"> (</w:t>
      </w:r>
      <w:proofErr w:type="spellStart"/>
      <w:r w:rsidR="00FC0FB4" w:rsidRPr="00EB5599">
        <w:rPr>
          <w:rFonts w:cs="Calibri"/>
        </w:rPr>
        <w:t>iwCLL</w:t>
      </w:r>
      <w:proofErr w:type="spellEnd"/>
      <w:r w:rsidR="000A19BD" w:rsidRPr="00EB5599">
        <w:rPr>
          <w:rFonts w:cs="Calibri"/>
        </w:rPr>
        <w:t>)</w:t>
      </w:r>
      <w:r w:rsidR="00FC0FB4" w:rsidRPr="00EB5599">
        <w:rPr>
          <w:rFonts w:cs="Calibri"/>
        </w:rPr>
        <w:t xml:space="preserve"> criteria</w:t>
      </w:r>
      <w:r w:rsidR="000A19BD" w:rsidRPr="00EB5599">
        <w:rPr>
          <w:rFonts w:cs="Calibri"/>
        </w:rPr>
        <w:t>, as per the RESONATE-2 trial protocol, was appropriate</w:t>
      </w:r>
      <w:r w:rsidR="008119AF" w:rsidRPr="00EB5599">
        <w:rPr>
          <w:rFonts w:cs="Calibri"/>
        </w:rPr>
        <w:t xml:space="preserve"> (paragraphs 7.5 and 12.16, March 2018 Public Summary Document (PSD))</w:t>
      </w:r>
      <w:r w:rsidR="000A19BD" w:rsidRPr="00EB5599">
        <w:rPr>
          <w:rFonts w:cs="Calibri"/>
        </w:rPr>
        <w:t xml:space="preserve">.  </w:t>
      </w:r>
      <w:r w:rsidR="000A19BD" w:rsidRPr="00EB5599">
        <w:rPr>
          <w:rFonts w:cs="Calibri"/>
          <w:iCs/>
        </w:rPr>
        <w:t xml:space="preserve">The requested restriction does not include a definition of progressive disease. </w:t>
      </w:r>
      <w:r w:rsidR="000A19BD" w:rsidRPr="00EB5599">
        <w:rPr>
          <w:rFonts w:cs="Calibri"/>
        </w:rPr>
        <w:t xml:space="preserve"> </w:t>
      </w:r>
    </w:p>
    <w:p w:rsidR="004E43B2" w:rsidRPr="005B04D4" w:rsidRDefault="000A19BD" w:rsidP="00B2597F">
      <w:pPr>
        <w:pStyle w:val="ListParagraph"/>
        <w:numPr>
          <w:ilvl w:val="1"/>
          <w:numId w:val="1"/>
        </w:numPr>
        <w:rPr>
          <w:iCs/>
        </w:rPr>
      </w:pPr>
      <w:r w:rsidRPr="00EB5599">
        <w:rPr>
          <w:rFonts w:cs="Calibri"/>
        </w:rPr>
        <w:t xml:space="preserve">The resubmission </w:t>
      </w:r>
      <w:r w:rsidR="00C458D1" w:rsidRPr="00EB5599">
        <w:rPr>
          <w:rFonts w:cs="Calibri"/>
        </w:rPr>
        <w:t>noted</w:t>
      </w:r>
      <w:r w:rsidRPr="00EB5599">
        <w:rPr>
          <w:rFonts w:cs="Calibri"/>
        </w:rPr>
        <w:t xml:space="preserve"> the proposed continuing restriction </w:t>
      </w:r>
      <w:r w:rsidR="00C458D1" w:rsidRPr="00EB5599">
        <w:rPr>
          <w:rFonts w:cs="Calibri"/>
        </w:rPr>
        <w:t xml:space="preserve">includes the criterion that the </w:t>
      </w:r>
      <w:r w:rsidR="00FC0FB4" w:rsidRPr="00EB5599">
        <w:rPr>
          <w:rFonts w:cs="Calibri"/>
        </w:rPr>
        <w:t xml:space="preserve">‘patient must not develop disease progression while receiving </w:t>
      </w:r>
      <w:r w:rsidR="00C458D1" w:rsidRPr="00EB5599">
        <w:rPr>
          <w:rFonts w:cs="Calibri"/>
        </w:rPr>
        <w:t xml:space="preserve">PBS-subsidised treatment with this drug for this condition’. </w:t>
      </w:r>
      <w:r w:rsidRPr="00EB5599">
        <w:rPr>
          <w:rFonts w:cs="Calibri"/>
        </w:rPr>
        <w:t xml:space="preserve">The resubmission stated that the wording of the criterion was consistent with the ibrutinib R/R CLL/SLL and R/R </w:t>
      </w:r>
      <w:r w:rsidR="00C458D1" w:rsidRPr="00EB5599">
        <w:rPr>
          <w:rFonts w:cs="Calibri"/>
        </w:rPr>
        <w:t>mantle cell lymphoma (</w:t>
      </w:r>
      <w:r w:rsidRPr="00EB5599">
        <w:rPr>
          <w:rFonts w:cs="Calibri"/>
        </w:rPr>
        <w:t>MCL</w:t>
      </w:r>
      <w:r w:rsidR="00C458D1" w:rsidRPr="00EB5599">
        <w:rPr>
          <w:rFonts w:cs="Calibri"/>
        </w:rPr>
        <w:t>)</w:t>
      </w:r>
      <w:r w:rsidRPr="00EB5599">
        <w:rPr>
          <w:rFonts w:cs="Calibri"/>
        </w:rPr>
        <w:t xml:space="preserve"> restrictions where treatment must be ceased upon disease progression and where a detailed definition of progressive disease is not provided.  </w:t>
      </w:r>
    </w:p>
    <w:p w:rsidR="005B04D4" w:rsidRPr="007B253D" w:rsidRDefault="005B04D4" w:rsidP="00B2597F">
      <w:pPr>
        <w:pStyle w:val="ListParagraph"/>
        <w:numPr>
          <w:ilvl w:val="1"/>
          <w:numId w:val="1"/>
        </w:numPr>
        <w:rPr>
          <w:iCs/>
        </w:rPr>
      </w:pPr>
      <w:r w:rsidRPr="00E773B1">
        <w:rPr>
          <w:szCs w:val="22"/>
        </w:rPr>
        <w:t xml:space="preserve">The </w:t>
      </w:r>
      <w:r w:rsidRPr="00E773B1">
        <w:rPr>
          <w:iCs/>
        </w:rPr>
        <w:t>Pre-Sub-Committee Response</w:t>
      </w:r>
      <w:r w:rsidRPr="00E773B1">
        <w:rPr>
          <w:szCs w:val="22"/>
        </w:rPr>
        <w:t xml:space="preserve"> (PSCR) stated that the sponsor has recently received several requests for access to ibrutinib for previously untreated del17p patients. The </w:t>
      </w:r>
      <w:proofErr w:type="gramStart"/>
      <w:r w:rsidRPr="00E773B1">
        <w:rPr>
          <w:szCs w:val="22"/>
        </w:rPr>
        <w:t>PSCR  indicated</w:t>
      </w:r>
      <w:proofErr w:type="gramEnd"/>
      <w:r w:rsidRPr="00E773B1">
        <w:rPr>
          <w:szCs w:val="22"/>
        </w:rPr>
        <w:t xml:space="preserve"> that the sponsor may initiate an access program for these patients who will then be grandfathered across to the PBS listing. </w:t>
      </w:r>
    </w:p>
    <w:p w:rsidR="007B253D" w:rsidRPr="001E39A7" w:rsidRDefault="007B253D" w:rsidP="001E39A7">
      <w:pPr>
        <w:pStyle w:val="ListParagraph"/>
        <w:rPr>
          <w:rFonts w:cs="Calibri"/>
          <w:i/>
        </w:rPr>
      </w:pPr>
      <w:r w:rsidRPr="007B253D">
        <w:rPr>
          <w:rFonts w:cs="Calibri"/>
          <w:i/>
        </w:rPr>
        <w:t>For more detail on PBAC’s view, see section 7 PBAC outcome.</w:t>
      </w:r>
    </w:p>
    <w:p w:rsidR="00C458D1" w:rsidRPr="00407F2D" w:rsidRDefault="00B50DB8" w:rsidP="00F863C2">
      <w:pPr>
        <w:pStyle w:val="PBACHeading1"/>
        <w:spacing w:before="240" w:after="120"/>
      </w:pPr>
      <w:bookmarkStart w:id="2" w:name="_Toc19716422"/>
      <w:r w:rsidRPr="00407F2D">
        <w:t>Background</w:t>
      </w:r>
      <w:bookmarkEnd w:id="2"/>
    </w:p>
    <w:p w:rsidR="00B60939" w:rsidRPr="004151CF" w:rsidRDefault="00591957" w:rsidP="00B60939">
      <w:pPr>
        <w:rPr>
          <w:b/>
          <w:i/>
          <w:sz w:val="28"/>
          <w:szCs w:val="28"/>
        </w:rPr>
      </w:pPr>
      <w:r w:rsidRPr="004151CF">
        <w:rPr>
          <w:b/>
          <w:i/>
          <w:sz w:val="28"/>
          <w:szCs w:val="28"/>
        </w:rPr>
        <w:t>Registration status</w:t>
      </w:r>
    </w:p>
    <w:p w:rsidR="00591957" w:rsidRPr="00882085" w:rsidRDefault="00591957" w:rsidP="00B60939"/>
    <w:p w:rsidR="00095306" w:rsidRDefault="00095306" w:rsidP="00B2597F">
      <w:pPr>
        <w:pStyle w:val="ListParagraph"/>
        <w:numPr>
          <w:ilvl w:val="1"/>
          <w:numId w:val="1"/>
        </w:numPr>
      </w:pPr>
      <w:r>
        <w:t>Ibrutinib was approved by the TGA on 20 April 2015 and the registration was extended and modified in November 2016.  The current TGA indications are for: patients with MCL who have received at least one prior therapy; adult patients with CLL/SLL who have received at least one prior therapy, or adult patients with previously untreated CLL/SLL; patients with CLL/SLL with del17p</w:t>
      </w:r>
      <w:r w:rsidR="00085C1E">
        <w:t xml:space="preserve">; adult patients with </w:t>
      </w:r>
      <w:proofErr w:type="spellStart"/>
      <w:r w:rsidR="00085C1E">
        <w:t>Waldenstrom’s</w:t>
      </w:r>
      <w:proofErr w:type="spellEnd"/>
      <w:r w:rsidR="00085C1E">
        <w:t xml:space="preserve"> </w:t>
      </w:r>
      <w:proofErr w:type="spellStart"/>
      <w:r w:rsidR="00085C1E">
        <w:t>macroglobulinemia</w:t>
      </w:r>
      <w:proofErr w:type="spellEnd"/>
      <w:r w:rsidR="00085C1E">
        <w:t xml:space="preserve"> (WM) who have received at least one prior therapy, or in first-line treatment for patients unsuitable for combination chemo-immunotherapy.</w:t>
      </w:r>
    </w:p>
    <w:p w:rsidR="00B033E5" w:rsidRPr="004178E7" w:rsidRDefault="004178E7" w:rsidP="00981697">
      <w:pPr>
        <w:keepNext/>
        <w:keepLines/>
        <w:rPr>
          <w:b/>
          <w:i/>
          <w:sz w:val="28"/>
          <w:szCs w:val="28"/>
        </w:rPr>
      </w:pPr>
      <w:r>
        <w:rPr>
          <w:b/>
          <w:i/>
          <w:sz w:val="28"/>
          <w:szCs w:val="28"/>
        </w:rPr>
        <w:lastRenderedPageBreak/>
        <w:t>Previous PBAC consideration</w:t>
      </w:r>
    </w:p>
    <w:p w:rsidR="00085C1E" w:rsidRPr="00085C1E" w:rsidRDefault="00085C1E" w:rsidP="00B2597F">
      <w:pPr>
        <w:pStyle w:val="ListParagraph"/>
        <w:keepNext/>
        <w:keepLines/>
        <w:numPr>
          <w:ilvl w:val="1"/>
          <w:numId w:val="1"/>
        </w:numPr>
      </w:pPr>
      <w:r>
        <w:t>Following is a summary of the key concerns identified in the November 2017 and March 2018 submissions and the response taken by the resubmission.</w:t>
      </w:r>
    </w:p>
    <w:p w:rsidR="00B60939" w:rsidRPr="00085C1E" w:rsidRDefault="00661DFA" w:rsidP="00F74A7D">
      <w:pPr>
        <w:keepNext/>
        <w:keepLines/>
        <w:rPr>
          <w:rStyle w:val="CommentReference"/>
        </w:rPr>
      </w:pPr>
      <w:r w:rsidRPr="00085C1E">
        <w:rPr>
          <w:rFonts w:ascii="Arial Narrow" w:hAnsi="Arial Narrow"/>
          <w:b/>
          <w:sz w:val="20"/>
          <w:szCs w:val="20"/>
        </w:rPr>
        <w:t xml:space="preserve">Table </w:t>
      </w:r>
      <w:r w:rsidR="00BD4B83">
        <w:rPr>
          <w:rFonts w:ascii="Arial Narrow" w:hAnsi="Arial Narrow"/>
          <w:b/>
          <w:noProof/>
          <w:sz w:val="20"/>
          <w:szCs w:val="20"/>
        </w:rPr>
        <w:t>2</w:t>
      </w:r>
      <w:r w:rsidR="00203181" w:rsidRPr="00085C1E">
        <w:rPr>
          <w:rStyle w:val="CommentReference"/>
        </w:rPr>
        <w:t>:  Summary of outstanding matters of concern</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5"/>
        <w:gridCol w:w="3996"/>
        <w:gridCol w:w="3969"/>
      </w:tblGrid>
      <w:tr w:rsidR="00860B35" w:rsidRPr="00F80AE2" w:rsidTr="001804A9">
        <w:trPr>
          <w:tblHeader/>
        </w:trPr>
        <w:tc>
          <w:tcPr>
            <w:tcW w:w="1135" w:type="dxa"/>
            <w:vAlign w:val="center"/>
          </w:tcPr>
          <w:p w:rsidR="00860B35" w:rsidRPr="00F80AE2" w:rsidRDefault="00860B35" w:rsidP="00F74A7D">
            <w:pPr>
              <w:pStyle w:val="Tabletext"/>
              <w:keepNext/>
              <w:keepLines/>
              <w:rPr>
                <w:b/>
              </w:rPr>
            </w:pPr>
            <w:r w:rsidRPr="00F80AE2">
              <w:rPr>
                <w:b/>
              </w:rPr>
              <w:t>Component</w:t>
            </w:r>
          </w:p>
        </w:tc>
        <w:tc>
          <w:tcPr>
            <w:tcW w:w="3996" w:type="dxa"/>
            <w:tcBorders>
              <w:bottom w:val="single" w:sz="4" w:space="0" w:color="auto"/>
            </w:tcBorders>
            <w:vAlign w:val="center"/>
          </w:tcPr>
          <w:p w:rsidR="00860B35" w:rsidRPr="00EB5599" w:rsidRDefault="00860B35" w:rsidP="00F74A7D">
            <w:pPr>
              <w:pStyle w:val="Tabletext"/>
              <w:keepNext/>
              <w:keepLines/>
              <w:jc w:val="center"/>
              <w:rPr>
                <w:b/>
              </w:rPr>
            </w:pPr>
            <w:r w:rsidRPr="00EB5599">
              <w:rPr>
                <w:b/>
              </w:rPr>
              <w:t xml:space="preserve">Matter of concern </w:t>
            </w:r>
          </w:p>
        </w:tc>
        <w:tc>
          <w:tcPr>
            <w:tcW w:w="3969" w:type="dxa"/>
            <w:tcBorders>
              <w:bottom w:val="single" w:sz="4" w:space="0" w:color="auto"/>
            </w:tcBorders>
            <w:vAlign w:val="center"/>
          </w:tcPr>
          <w:p w:rsidR="00860B35" w:rsidRPr="00EB5599" w:rsidRDefault="00860B35" w:rsidP="00F74A7D">
            <w:pPr>
              <w:pStyle w:val="Tabletext"/>
              <w:keepNext/>
              <w:keepLines/>
              <w:jc w:val="center"/>
              <w:rPr>
                <w:b/>
              </w:rPr>
            </w:pPr>
            <w:r w:rsidRPr="00EB5599">
              <w:rPr>
                <w:b/>
              </w:rPr>
              <w:t>How the resubmission addresses it</w:t>
            </w:r>
          </w:p>
        </w:tc>
      </w:tr>
      <w:tr w:rsidR="00860B35" w:rsidTr="004178E7">
        <w:tc>
          <w:tcPr>
            <w:tcW w:w="1135" w:type="dxa"/>
            <w:vAlign w:val="center"/>
          </w:tcPr>
          <w:p w:rsidR="00860B35" w:rsidRDefault="00860B35" w:rsidP="00F74A7D">
            <w:pPr>
              <w:pStyle w:val="Tabletext"/>
              <w:keepNext/>
              <w:keepLines/>
            </w:pPr>
          </w:p>
        </w:tc>
        <w:tc>
          <w:tcPr>
            <w:tcW w:w="3996" w:type="dxa"/>
            <w:tcBorders>
              <w:top w:val="single" w:sz="4" w:space="0" w:color="auto"/>
              <w:bottom w:val="single" w:sz="4" w:space="0" w:color="auto"/>
            </w:tcBorders>
          </w:tcPr>
          <w:p w:rsidR="00860B35" w:rsidRPr="00EB5599" w:rsidRDefault="00860B35" w:rsidP="00F74A7D">
            <w:pPr>
              <w:pStyle w:val="Tabletext"/>
              <w:keepNext/>
              <w:keepLines/>
              <w:rPr>
                <w:u w:val="single"/>
              </w:rPr>
            </w:pPr>
            <w:r w:rsidRPr="00EB5599">
              <w:rPr>
                <w:u w:val="single"/>
              </w:rPr>
              <w:t>March 2018 Paragraph 12.16:</w:t>
            </w:r>
            <w:r w:rsidRPr="00EB5599">
              <w:t xml:space="preserve">  The PBAC considered that the proposed restriction should include a definition of progressive disease per the RESONATE-2 trial; restrict ibrutinib use to once in a patient’s lifetime and include separate restrictions for initial and continuing treatment </w:t>
            </w:r>
            <w:r w:rsidRPr="00EB5599">
              <w:rPr>
                <w:u w:val="single"/>
              </w:rPr>
              <w:t xml:space="preserve"> </w:t>
            </w:r>
          </w:p>
        </w:tc>
        <w:tc>
          <w:tcPr>
            <w:tcW w:w="3969" w:type="dxa"/>
            <w:tcBorders>
              <w:top w:val="single" w:sz="4" w:space="0" w:color="auto"/>
              <w:bottom w:val="single" w:sz="4" w:space="0" w:color="auto"/>
            </w:tcBorders>
            <w:vAlign w:val="center"/>
          </w:tcPr>
          <w:p w:rsidR="00860B35" w:rsidRPr="00EB5599" w:rsidRDefault="00860B35" w:rsidP="00F74A7D">
            <w:pPr>
              <w:pStyle w:val="Tabletext"/>
              <w:keepNext/>
              <w:keepLines/>
              <w:rPr>
                <w:iCs/>
              </w:rPr>
            </w:pPr>
            <w:r w:rsidRPr="00EB5599">
              <w:rPr>
                <w:iCs/>
              </w:rPr>
              <w:t>The requested restriction does not include a definition of progressive disease.</w:t>
            </w:r>
          </w:p>
          <w:p w:rsidR="00860B35" w:rsidRPr="00EB5599" w:rsidRDefault="00860B35" w:rsidP="00F74A7D">
            <w:pPr>
              <w:pStyle w:val="Tabletext"/>
              <w:keepNext/>
              <w:keepLines/>
            </w:pPr>
            <w:r w:rsidRPr="00EB5599">
              <w:t xml:space="preserve">The requested restriction specifies that if a patient has previously used ibrutinib for first-line treatment they will not be able to access PBS-subsidised ibrutinib for subsequent lines of therapy.  </w:t>
            </w:r>
            <w:r w:rsidR="00C458D1" w:rsidRPr="00EB5599">
              <w:t xml:space="preserve">Separate </w:t>
            </w:r>
            <w:r w:rsidRPr="00EB5599">
              <w:t xml:space="preserve">restrictions for initial and continuing therapy are </w:t>
            </w:r>
            <w:r w:rsidR="00C458D1" w:rsidRPr="00EB5599">
              <w:t>requested</w:t>
            </w:r>
            <w:r w:rsidRPr="00EB5599">
              <w:t>.</w:t>
            </w:r>
          </w:p>
        </w:tc>
      </w:tr>
      <w:tr w:rsidR="00860B35" w:rsidRPr="00F80AE2" w:rsidTr="00C94E55">
        <w:tc>
          <w:tcPr>
            <w:tcW w:w="1135" w:type="dxa"/>
            <w:vMerge w:val="restart"/>
            <w:vAlign w:val="center"/>
          </w:tcPr>
          <w:p w:rsidR="00860B35" w:rsidRPr="00F80AE2" w:rsidRDefault="00860B35" w:rsidP="00F74A7D">
            <w:pPr>
              <w:pStyle w:val="Tabletext"/>
              <w:keepNext/>
              <w:keepLines/>
            </w:pPr>
            <w:r>
              <w:t>Clinical evidence</w:t>
            </w:r>
          </w:p>
        </w:tc>
        <w:tc>
          <w:tcPr>
            <w:tcW w:w="3996" w:type="dxa"/>
            <w:tcBorders>
              <w:bottom w:val="nil"/>
            </w:tcBorders>
            <w:vAlign w:val="center"/>
          </w:tcPr>
          <w:p w:rsidR="00860B35" w:rsidRPr="00EB5599" w:rsidRDefault="00860B35" w:rsidP="00F74A7D">
            <w:pPr>
              <w:pStyle w:val="Tabletext"/>
              <w:keepNext/>
              <w:keepLines/>
            </w:pPr>
            <w:r w:rsidRPr="00EB5599">
              <w:rPr>
                <w:u w:val="single"/>
              </w:rPr>
              <w:t>Nov 2017: Paragraph 7.4:</w:t>
            </w:r>
            <w:r w:rsidRPr="00EB5599">
              <w:t xml:space="preserve"> The PBAC did not accept the blended comparator of </w:t>
            </w:r>
            <w:proofErr w:type="spellStart"/>
            <w:r w:rsidRPr="00EB5599">
              <w:t>ritux+chl</w:t>
            </w:r>
            <w:proofErr w:type="spellEnd"/>
            <w:r w:rsidRPr="00EB5599">
              <w:t xml:space="preserve">, </w:t>
            </w:r>
            <w:proofErr w:type="spellStart"/>
            <w:r w:rsidRPr="00EB5599">
              <w:t>obi+chl</w:t>
            </w:r>
            <w:proofErr w:type="spellEnd"/>
            <w:r w:rsidRPr="00EB5599">
              <w:t xml:space="preserve"> and </w:t>
            </w:r>
            <w:proofErr w:type="spellStart"/>
            <w:r w:rsidRPr="00EB5599">
              <w:t>ofa+chl</w:t>
            </w:r>
            <w:proofErr w:type="spellEnd"/>
            <w:r w:rsidRPr="00EB5599">
              <w:t xml:space="preserve">.  Either non-inferiority to </w:t>
            </w:r>
            <w:proofErr w:type="spellStart"/>
            <w:r w:rsidRPr="00EB5599">
              <w:t>obi+chl</w:t>
            </w:r>
            <w:proofErr w:type="spellEnd"/>
            <w:r w:rsidRPr="00EB5599">
              <w:t xml:space="preserve"> and/or superiority of </w:t>
            </w:r>
            <w:proofErr w:type="spellStart"/>
            <w:r w:rsidRPr="00EB5599">
              <w:t>ibrutinib</w:t>
            </w:r>
            <w:proofErr w:type="spellEnd"/>
            <w:r w:rsidRPr="00EB5599">
              <w:t xml:space="preserve"> versus </w:t>
            </w:r>
            <w:proofErr w:type="spellStart"/>
            <w:r w:rsidRPr="00EB5599">
              <w:t>ritux+chl</w:t>
            </w:r>
            <w:proofErr w:type="spellEnd"/>
            <w:r w:rsidRPr="00EB5599">
              <w:t xml:space="preserve"> would be the most relevant comparisons. </w:t>
            </w:r>
          </w:p>
        </w:tc>
        <w:tc>
          <w:tcPr>
            <w:tcW w:w="3969" w:type="dxa"/>
            <w:tcBorders>
              <w:bottom w:val="nil"/>
            </w:tcBorders>
          </w:tcPr>
          <w:p w:rsidR="00860B35" w:rsidRPr="00EB5599" w:rsidRDefault="00860B35" w:rsidP="001B40F3">
            <w:pPr>
              <w:pStyle w:val="Tabletext"/>
              <w:keepNext/>
              <w:keepLines/>
            </w:pPr>
            <w:r w:rsidRPr="00EB5599">
              <w:t xml:space="preserve">The resubmission claimed superiority of </w:t>
            </w:r>
            <w:proofErr w:type="spellStart"/>
            <w:r w:rsidRPr="00EB5599">
              <w:t>ibrutinib</w:t>
            </w:r>
            <w:proofErr w:type="spellEnd"/>
            <w:r w:rsidRPr="00EB5599">
              <w:t xml:space="preserve"> compared to </w:t>
            </w:r>
            <w:proofErr w:type="spellStart"/>
            <w:r w:rsidRPr="00EB5599">
              <w:t>obi+chl</w:t>
            </w:r>
            <w:proofErr w:type="spellEnd"/>
            <w:r w:rsidRPr="00EB5599">
              <w:t>, which it identified as the most commonly used chemoimmunotherapy.</w:t>
            </w:r>
          </w:p>
        </w:tc>
      </w:tr>
      <w:tr w:rsidR="00860B35" w:rsidRPr="00F406C1" w:rsidTr="00B7345D">
        <w:tc>
          <w:tcPr>
            <w:tcW w:w="1135" w:type="dxa"/>
            <w:vMerge/>
            <w:vAlign w:val="center"/>
          </w:tcPr>
          <w:p w:rsidR="00860B35" w:rsidRDefault="00860B35" w:rsidP="00F74A7D">
            <w:pPr>
              <w:pStyle w:val="Tabletext"/>
              <w:keepNext/>
              <w:keepLines/>
            </w:pPr>
          </w:p>
        </w:tc>
        <w:tc>
          <w:tcPr>
            <w:tcW w:w="3996" w:type="dxa"/>
            <w:tcBorders>
              <w:top w:val="nil"/>
              <w:bottom w:val="single" w:sz="4" w:space="0" w:color="auto"/>
            </w:tcBorders>
            <w:vAlign w:val="center"/>
          </w:tcPr>
          <w:p w:rsidR="00860B35" w:rsidRPr="00EB5599" w:rsidRDefault="00860B35" w:rsidP="00F74A7D">
            <w:pPr>
              <w:pStyle w:val="Tabletext"/>
              <w:keepNext/>
              <w:keepLines/>
              <w:rPr>
                <w:u w:val="single"/>
              </w:rPr>
            </w:pPr>
            <w:r w:rsidRPr="00EB5599">
              <w:rPr>
                <w:u w:val="single"/>
              </w:rPr>
              <w:t>Nov 2017: Paragraph 7.8:</w:t>
            </w:r>
            <w:r w:rsidRPr="00EB5599">
              <w:t xml:space="preserve"> The PBAC considered the claim of non-inferior safety was supported by the indirect comparisons, but reiterated its concerns that ibrutinib is associated with an increased risk of clinically significant atrial fibrillation.  The PBAC also noted the increased risk of bleeding with ibrutinib and was concerned the incidence of bleeding in the proposed PBS population would be higher than in RESONATE-2, where patients at high risk of bleeding had been excluded.</w:t>
            </w:r>
          </w:p>
        </w:tc>
        <w:tc>
          <w:tcPr>
            <w:tcW w:w="3969" w:type="dxa"/>
            <w:tcBorders>
              <w:top w:val="nil"/>
              <w:bottom w:val="single" w:sz="4" w:space="0" w:color="auto"/>
            </w:tcBorders>
            <w:vAlign w:val="center"/>
          </w:tcPr>
          <w:p w:rsidR="00860B35" w:rsidRPr="00EB5599" w:rsidRDefault="00860B35" w:rsidP="00F74A7D">
            <w:pPr>
              <w:pStyle w:val="Tabletext"/>
              <w:keepNext/>
              <w:keepLines/>
            </w:pPr>
            <w:r w:rsidRPr="00EB5599">
              <w:t xml:space="preserve">Incidence and cost of atrial fibrillation </w:t>
            </w:r>
            <w:r w:rsidR="001B40F3">
              <w:t>were</w:t>
            </w:r>
            <w:r w:rsidR="001B40F3" w:rsidRPr="00EB5599">
              <w:t xml:space="preserve"> </w:t>
            </w:r>
            <w:r w:rsidRPr="00EB5599">
              <w:t>included in the economic model.</w:t>
            </w:r>
          </w:p>
          <w:p w:rsidR="00860B35" w:rsidRPr="00EB5599" w:rsidRDefault="00860B35" w:rsidP="00F74A7D">
            <w:pPr>
              <w:pStyle w:val="Tabletext"/>
              <w:keepNext/>
              <w:keepLines/>
              <w:rPr>
                <w:iCs/>
              </w:rPr>
            </w:pPr>
            <w:r w:rsidRPr="00EB5599">
              <w:t xml:space="preserve">The resubmission </w:t>
            </w:r>
            <w:r w:rsidR="0009695A" w:rsidRPr="00EB5599">
              <w:t>claimed the risk of bleeding observed in the ILLUMINATE trial was consistent with the known safety profile of ibrutinib.</w:t>
            </w:r>
            <w:r w:rsidR="0009695A" w:rsidRPr="00EB5599">
              <w:rPr>
                <w:iCs/>
              </w:rPr>
              <w:t xml:space="preserve">  </w:t>
            </w:r>
            <w:r w:rsidR="00D77104" w:rsidRPr="00EB5599">
              <w:rPr>
                <w:iCs/>
              </w:rPr>
              <w:t>The ILLUMINATE trial excluded patients with known bleeding disorders</w:t>
            </w:r>
            <w:r w:rsidR="00F5575E" w:rsidRPr="00EB5599">
              <w:rPr>
                <w:iCs/>
              </w:rPr>
              <w:t>.</w:t>
            </w:r>
          </w:p>
        </w:tc>
      </w:tr>
      <w:tr w:rsidR="001804A9" w:rsidTr="004178E7">
        <w:trPr>
          <w:trHeight w:val="2301"/>
        </w:trPr>
        <w:tc>
          <w:tcPr>
            <w:tcW w:w="1135" w:type="dxa"/>
            <w:vAlign w:val="center"/>
          </w:tcPr>
          <w:p w:rsidR="001804A9" w:rsidRDefault="001804A9" w:rsidP="00F74A7D">
            <w:pPr>
              <w:pStyle w:val="Tabletext"/>
              <w:keepNext/>
              <w:keepLines/>
            </w:pPr>
            <w:r>
              <w:t>Economic evaluation</w:t>
            </w:r>
          </w:p>
        </w:tc>
        <w:tc>
          <w:tcPr>
            <w:tcW w:w="3996" w:type="dxa"/>
          </w:tcPr>
          <w:p w:rsidR="001804A9" w:rsidRPr="00EB5599" w:rsidRDefault="001804A9" w:rsidP="00F74A7D">
            <w:pPr>
              <w:pStyle w:val="Tabletext"/>
              <w:keepNext/>
              <w:keepLines/>
              <w:rPr>
                <w:u w:val="single"/>
              </w:rPr>
            </w:pPr>
            <w:r w:rsidRPr="00EB5599">
              <w:rPr>
                <w:u w:val="single"/>
              </w:rPr>
              <w:t>Nov 2017: Paragraph 7.9</w:t>
            </w:r>
            <w:r w:rsidRPr="00EB5599">
              <w:t xml:space="preserve">:  </w:t>
            </w:r>
            <w:r w:rsidRPr="00EB5599">
              <w:rPr>
                <w:szCs w:val="20"/>
              </w:rPr>
              <w:t xml:space="preserve">The PBAC considered the economic model unreliable and the resulting ICER to be high and optimistic, given the extrapolation of immature clinical trial data to a 20-year time horizon for patients &gt;70 years of age who will likely have comorbidities, and the assumed high magnitude of clinical benefit over </w:t>
            </w:r>
            <w:proofErr w:type="spellStart"/>
            <w:r w:rsidRPr="00EB5599">
              <w:rPr>
                <w:szCs w:val="20"/>
              </w:rPr>
              <w:t>obi+chl</w:t>
            </w:r>
            <w:proofErr w:type="spellEnd"/>
            <w:r w:rsidRPr="00EB5599">
              <w:rPr>
                <w:szCs w:val="20"/>
              </w:rPr>
              <w:t xml:space="preserve">…….the option of CUA over </w:t>
            </w:r>
            <w:proofErr w:type="spellStart"/>
            <w:r w:rsidRPr="00EB5599">
              <w:rPr>
                <w:szCs w:val="20"/>
              </w:rPr>
              <w:t>ritux+chl</w:t>
            </w:r>
            <w:proofErr w:type="spellEnd"/>
            <w:r w:rsidRPr="00EB5599">
              <w:rPr>
                <w:szCs w:val="20"/>
              </w:rPr>
              <w:t xml:space="preserve"> with a 10-year time horizon could be used to establish a cost-effective price, as was accepted for </w:t>
            </w:r>
            <w:proofErr w:type="spellStart"/>
            <w:r w:rsidRPr="00EB5599">
              <w:rPr>
                <w:szCs w:val="20"/>
              </w:rPr>
              <w:t>obi+chl</w:t>
            </w:r>
            <w:proofErr w:type="spellEnd"/>
            <w:r w:rsidRPr="00EB5599">
              <w:rPr>
                <w:szCs w:val="20"/>
              </w:rPr>
              <w:t xml:space="preserve"> in March 2015</w:t>
            </w:r>
            <w:r w:rsidR="001B40F3">
              <w:rPr>
                <w:szCs w:val="20"/>
              </w:rPr>
              <w:t>.</w:t>
            </w:r>
          </w:p>
        </w:tc>
        <w:tc>
          <w:tcPr>
            <w:tcW w:w="3969" w:type="dxa"/>
          </w:tcPr>
          <w:p w:rsidR="001804A9" w:rsidRPr="00EB5599" w:rsidRDefault="001804A9" w:rsidP="001B40F3">
            <w:pPr>
              <w:pStyle w:val="Tabletext"/>
              <w:keepNext/>
              <w:keepLines/>
            </w:pPr>
            <w:r w:rsidRPr="00EB5599">
              <w:t xml:space="preserve">A 10 year time horizon was used in the March 2018 model and in the current model.  The March 2018 model used </w:t>
            </w:r>
            <w:proofErr w:type="spellStart"/>
            <w:r w:rsidRPr="00EB5599">
              <w:t>ritux+chl</w:t>
            </w:r>
            <w:proofErr w:type="spellEnd"/>
            <w:r w:rsidRPr="00EB5599">
              <w:t xml:space="preserve"> as a comparator, </w:t>
            </w:r>
            <w:r w:rsidRPr="00EB5599">
              <w:rPr>
                <w:iCs/>
              </w:rPr>
              <w:t xml:space="preserve">however the comparator </w:t>
            </w:r>
            <w:r w:rsidR="001B40F3">
              <w:rPr>
                <w:iCs/>
              </w:rPr>
              <w:t>was</w:t>
            </w:r>
            <w:r w:rsidRPr="00EB5599">
              <w:rPr>
                <w:iCs/>
              </w:rPr>
              <w:t xml:space="preserve"> </w:t>
            </w:r>
            <w:r w:rsidR="001B40F3">
              <w:rPr>
                <w:iCs/>
              </w:rPr>
              <w:t>changed</w:t>
            </w:r>
            <w:r w:rsidR="001B40F3" w:rsidRPr="00EB5599">
              <w:rPr>
                <w:iCs/>
              </w:rPr>
              <w:t xml:space="preserve"> </w:t>
            </w:r>
            <w:r w:rsidRPr="00EB5599">
              <w:rPr>
                <w:iCs/>
              </w:rPr>
              <w:t xml:space="preserve">to </w:t>
            </w:r>
            <w:proofErr w:type="spellStart"/>
            <w:r w:rsidRPr="00EB5599">
              <w:rPr>
                <w:iCs/>
              </w:rPr>
              <w:t>obi+chl</w:t>
            </w:r>
            <w:proofErr w:type="spellEnd"/>
            <w:r w:rsidRPr="00EB5599">
              <w:rPr>
                <w:iCs/>
              </w:rPr>
              <w:t xml:space="preserve"> in the current model.</w:t>
            </w:r>
          </w:p>
        </w:tc>
      </w:tr>
      <w:tr w:rsidR="004178E7" w:rsidRPr="00F80AE2" w:rsidTr="004178E7">
        <w:trPr>
          <w:trHeight w:val="1616"/>
        </w:trPr>
        <w:tc>
          <w:tcPr>
            <w:tcW w:w="1135" w:type="dxa"/>
            <w:vAlign w:val="center"/>
          </w:tcPr>
          <w:p w:rsidR="004178E7" w:rsidRPr="00F80AE2" w:rsidRDefault="004178E7" w:rsidP="00F74A7D">
            <w:pPr>
              <w:pStyle w:val="Tabletext"/>
              <w:keepNext/>
              <w:keepLines/>
            </w:pPr>
            <w:r>
              <w:t>Financial estimates</w:t>
            </w:r>
          </w:p>
        </w:tc>
        <w:tc>
          <w:tcPr>
            <w:tcW w:w="3996" w:type="dxa"/>
          </w:tcPr>
          <w:p w:rsidR="004178E7" w:rsidRPr="00EB5599" w:rsidRDefault="004178E7" w:rsidP="00F74A7D">
            <w:pPr>
              <w:pStyle w:val="Tabletext"/>
              <w:keepNext/>
              <w:keepLines/>
            </w:pPr>
            <w:r w:rsidRPr="00EB5599">
              <w:rPr>
                <w:u w:val="single"/>
              </w:rPr>
              <w:t>March 2018 Paragraph 12.21:</w:t>
            </w:r>
            <w:r w:rsidRPr="00EB5599">
              <w:t xml:space="preserve">  The PBAC considered the financial estimates were substantially overestimated because the patient numbers, uptake rate and compliance rate were overestimated and/or uncertain.</w:t>
            </w:r>
          </w:p>
        </w:tc>
        <w:tc>
          <w:tcPr>
            <w:tcW w:w="3969" w:type="dxa"/>
          </w:tcPr>
          <w:p w:rsidR="004178E7" w:rsidRPr="00EB5599" w:rsidRDefault="004178E7" w:rsidP="005C6A4C">
            <w:pPr>
              <w:pStyle w:val="Tabletext"/>
              <w:keepNext/>
              <w:keepLines/>
            </w:pPr>
            <w:r w:rsidRPr="00EB5599">
              <w:rPr>
                <w:iCs/>
              </w:rPr>
              <w:t xml:space="preserve">Patient numbers decreased considerably given the requested restriction to patients with del17p. </w:t>
            </w:r>
            <w:r w:rsidRPr="00EB5599">
              <w:t xml:space="preserve"> </w:t>
            </w:r>
            <w:r w:rsidRPr="00EB5599">
              <w:rPr>
                <w:iCs/>
              </w:rPr>
              <w:t>However the proportion of del17p patients assumed (</w:t>
            </w:r>
            <w:proofErr w:type="gramStart"/>
            <w:r w:rsidR="007E3667">
              <w:rPr>
                <w:iCs/>
                <w:noProof/>
                <w:color w:val="000000"/>
                <w:highlight w:val="black"/>
              </w:rPr>
              <w:t>''''''''</w:t>
            </w:r>
            <w:r w:rsidRPr="00EB5599">
              <w:rPr>
                <w:iCs/>
              </w:rPr>
              <w:t>%</w:t>
            </w:r>
            <w:proofErr w:type="gramEnd"/>
            <w:r w:rsidRPr="00EB5599">
              <w:rPr>
                <w:iCs/>
              </w:rPr>
              <w:t>) may not be accurate.</w:t>
            </w:r>
          </w:p>
        </w:tc>
      </w:tr>
    </w:tbl>
    <w:p w:rsidR="00860B35" w:rsidRDefault="00860B35" w:rsidP="00F74A7D">
      <w:pPr>
        <w:pStyle w:val="TableFooter"/>
        <w:keepNext/>
        <w:keepLines/>
      </w:pPr>
      <w:proofErr w:type="spellStart"/>
      <w:proofErr w:type="gramStart"/>
      <w:r>
        <w:t>chl</w:t>
      </w:r>
      <w:proofErr w:type="spellEnd"/>
      <w:r>
        <w:t>=</w:t>
      </w:r>
      <w:proofErr w:type="spellStart"/>
      <w:proofErr w:type="gramEnd"/>
      <w:r>
        <w:t>chlorambucil</w:t>
      </w:r>
      <w:proofErr w:type="spellEnd"/>
      <w:r>
        <w:t>;</w:t>
      </w:r>
      <w:r w:rsidR="00E6733E">
        <w:t xml:space="preserve"> CLL=chronic lymphocytic leukaemia;</w:t>
      </w:r>
      <w:r>
        <w:t xml:space="preserve"> </w:t>
      </w:r>
      <w:proofErr w:type="spellStart"/>
      <w:r>
        <w:t>ibr</w:t>
      </w:r>
      <w:proofErr w:type="spellEnd"/>
      <w:r>
        <w:t>=</w:t>
      </w:r>
      <w:proofErr w:type="spellStart"/>
      <w:r>
        <w:t>ibrutinib</w:t>
      </w:r>
      <w:proofErr w:type="spellEnd"/>
      <w:r>
        <w:t>; obi=</w:t>
      </w:r>
      <w:proofErr w:type="spellStart"/>
      <w:r>
        <w:t>obinutuzumab</w:t>
      </w:r>
      <w:proofErr w:type="spellEnd"/>
      <w:r>
        <w:t xml:space="preserve">; </w:t>
      </w:r>
      <w:proofErr w:type="spellStart"/>
      <w:r>
        <w:t>ofa</w:t>
      </w:r>
      <w:proofErr w:type="spellEnd"/>
      <w:r>
        <w:t>=</w:t>
      </w:r>
      <w:proofErr w:type="spellStart"/>
      <w:r>
        <w:t>ofatumumab</w:t>
      </w:r>
      <w:proofErr w:type="spellEnd"/>
      <w:r>
        <w:t xml:space="preserve">; </w:t>
      </w:r>
      <w:proofErr w:type="spellStart"/>
      <w:r>
        <w:t>ritux</w:t>
      </w:r>
      <w:proofErr w:type="spellEnd"/>
      <w:r>
        <w:t>=rituximab; R/R=relapsed/refractory; RSA=risk share arrangement</w:t>
      </w:r>
      <w:r w:rsidR="00B7345D">
        <w:t>; SLL=small lymphocytic lymphoma</w:t>
      </w:r>
    </w:p>
    <w:p w:rsidR="00203181" w:rsidRDefault="00203181" w:rsidP="00F74A7D">
      <w:pPr>
        <w:pStyle w:val="TableFooter"/>
        <w:keepNext/>
        <w:keepLines/>
      </w:pPr>
      <w:r w:rsidRPr="00085C1E">
        <w:t xml:space="preserve">Source: </w:t>
      </w:r>
      <w:r w:rsidR="00860B35">
        <w:t>November 2017 PSD; March 2018 PSD.</w:t>
      </w:r>
    </w:p>
    <w:p w:rsidR="007B253D" w:rsidRDefault="007B253D" w:rsidP="00F74A7D">
      <w:pPr>
        <w:pStyle w:val="TableFooter"/>
        <w:keepNext/>
        <w:keepLines/>
      </w:pPr>
    </w:p>
    <w:p w:rsidR="007B253D" w:rsidRPr="007B253D" w:rsidRDefault="007B253D" w:rsidP="007B253D">
      <w:pPr>
        <w:pStyle w:val="ListParagraph"/>
        <w:rPr>
          <w:rFonts w:cs="Calibri"/>
          <w:i/>
        </w:rPr>
      </w:pPr>
      <w:r w:rsidRPr="007B253D">
        <w:rPr>
          <w:rFonts w:cs="Calibri"/>
          <w:i/>
        </w:rPr>
        <w:t>For more detail on PBAC’s view, see section 7 PBAC outcome.</w:t>
      </w:r>
    </w:p>
    <w:p w:rsidR="00E55BB5" w:rsidRPr="00882085" w:rsidRDefault="00E55BB5" w:rsidP="004B1CB4"/>
    <w:p w:rsidR="00B60939" w:rsidRPr="00882085" w:rsidRDefault="00203181" w:rsidP="001E39A7">
      <w:pPr>
        <w:pStyle w:val="PBACHeading1"/>
        <w:spacing w:before="240" w:after="120"/>
      </w:pPr>
      <w:bookmarkStart w:id="3" w:name="_Toc19716423"/>
      <w:r>
        <w:lastRenderedPageBreak/>
        <w:t xml:space="preserve">Population and </w:t>
      </w:r>
      <w:r w:rsidR="008E0D3C">
        <w:t>d</w:t>
      </w:r>
      <w:r>
        <w:t>isease</w:t>
      </w:r>
      <w:bookmarkEnd w:id="3"/>
    </w:p>
    <w:p w:rsidR="00113131" w:rsidRDefault="00113131" w:rsidP="00B2597F">
      <w:pPr>
        <w:pStyle w:val="ListParagraph"/>
        <w:keepNext/>
        <w:numPr>
          <w:ilvl w:val="1"/>
          <w:numId w:val="1"/>
        </w:numPr>
      </w:pPr>
      <w:r>
        <w:t>CLL/SLL is an incurable disease with the current conventional therapies, and the natural history of the disease involves repeated periods of relapse and remission.  CLL/SLL is most commonly a disease of the elderly and many patients with CLL/SLL will have major and/or multiple comorbidities.</w:t>
      </w:r>
    </w:p>
    <w:p w:rsidR="00113131" w:rsidRDefault="00404EE1" w:rsidP="00B2597F">
      <w:pPr>
        <w:pStyle w:val="ListParagraph"/>
        <w:numPr>
          <w:ilvl w:val="1"/>
          <w:numId w:val="1"/>
        </w:numPr>
      </w:pPr>
      <w:r w:rsidRPr="00EB106B">
        <w:rPr>
          <w:rFonts w:cs="Calibri"/>
        </w:rPr>
        <w:t xml:space="preserve">Treatment is only initiated in </w:t>
      </w:r>
      <w:r>
        <w:rPr>
          <w:rFonts w:cs="Calibri"/>
        </w:rPr>
        <w:t xml:space="preserve">CLL/SLL </w:t>
      </w:r>
      <w:r w:rsidRPr="00EB106B">
        <w:rPr>
          <w:rFonts w:cs="Calibri"/>
        </w:rPr>
        <w:t xml:space="preserve">patients when they show evidence of progressive or symptomatic/active disease as defined by </w:t>
      </w:r>
      <w:proofErr w:type="spellStart"/>
      <w:r w:rsidRPr="00EB106B">
        <w:rPr>
          <w:rFonts w:cs="Calibri"/>
        </w:rPr>
        <w:t>iwCLL</w:t>
      </w:r>
      <w:proofErr w:type="spellEnd"/>
      <w:r w:rsidRPr="00EB106B">
        <w:rPr>
          <w:rFonts w:cs="Calibri"/>
        </w:rPr>
        <w:t xml:space="preserve"> guidelines</w:t>
      </w:r>
      <w:r>
        <w:rPr>
          <w:rFonts w:cs="Calibri"/>
        </w:rPr>
        <w:t xml:space="preserve">.  </w:t>
      </w:r>
      <w:r w:rsidR="00113131">
        <w:t>The clinical sequelae of CLL/SLL can have substantial negative impacts on patient quality of life (</w:t>
      </w:r>
      <w:proofErr w:type="spellStart"/>
      <w:r w:rsidR="00113131">
        <w:t>QoL</w:t>
      </w:r>
      <w:proofErr w:type="spellEnd"/>
      <w:r w:rsidR="00113131">
        <w:t>) as a result of disease-related symptoms, treatment-related adverse events (AEs) and the psychological, socioeconomic and functional effects of living with the disease.</w:t>
      </w:r>
    </w:p>
    <w:p w:rsidR="00113131" w:rsidRPr="00EB5599" w:rsidRDefault="00113131" w:rsidP="00B2597F">
      <w:pPr>
        <w:pStyle w:val="ListParagraph"/>
        <w:numPr>
          <w:ilvl w:val="1"/>
          <w:numId w:val="1"/>
        </w:numPr>
      </w:pPr>
      <w:r>
        <w:t xml:space="preserve">Currently, chemoimmunotherapy is the only available reimbursed </w:t>
      </w:r>
      <w:r w:rsidR="00FA3042">
        <w:t xml:space="preserve">first-line </w:t>
      </w:r>
      <w:r>
        <w:t xml:space="preserve">option for CLL/SLL in Australia.  For young and fit </w:t>
      </w:r>
      <w:r w:rsidRPr="002069C2">
        <w:rPr>
          <w:rFonts w:cs="Calibri"/>
        </w:rPr>
        <w:t xml:space="preserve">patients with CLL/SLL, the standard first-line treatment </w:t>
      </w:r>
      <w:r>
        <w:rPr>
          <w:rFonts w:cs="Calibri"/>
        </w:rPr>
        <w:t>is</w:t>
      </w:r>
      <w:r w:rsidRPr="002069C2">
        <w:rPr>
          <w:rFonts w:cs="Calibri"/>
        </w:rPr>
        <w:t xml:space="preserve"> fludarabine, cyclophosphamide, and rituximab (FCR). Patients w</w:t>
      </w:r>
      <w:r w:rsidR="00214A72">
        <w:rPr>
          <w:rFonts w:cs="Calibri"/>
        </w:rPr>
        <w:t xml:space="preserve">ith comorbidities, </w:t>
      </w:r>
      <w:r w:rsidRPr="002069C2">
        <w:rPr>
          <w:rFonts w:cs="Calibri"/>
        </w:rPr>
        <w:t>those at an older age</w:t>
      </w:r>
      <w:r w:rsidR="00214A72">
        <w:rPr>
          <w:rFonts w:cs="Calibri"/>
        </w:rPr>
        <w:t xml:space="preserve"> or del17p positive</w:t>
      </w:r>
      <w:r w:rsidRPr="002069C2">
        <w:rPr>
          <w:rFonts w:cs="Calibri"/>
        </w:rPr>
        <w:t xml:space="preserve"> are </w:t>
      </w:r>
      <w:r>
        <w:rPr>
          <w:rFonts w:cs="Calibri"/>
        </w:rPr>
        <w:t>considered</w:t>
      </w:r>
      <w:r w:rsidRPr="002069C2">
        <w:rPr>
          <w:rFonts w:cs="Calibri"/>
        </w:rPr>
        <w:t xml:space="preserve"> unsuitable for FCR and the standard options </w:t>
      </w:r>
      <w:r w:rsidR="00FA3042">
        <w:rPr>
          <w:rFonts w:cs="Calibri"/>
        </w:rPr>
        <w:t xml:space="preserve">for these patients </w:t>
      </w:r>
      <w:r w:rsidRPr="002069C2">
        <w:rPr>
          <w:rFonts w:cs="Calibri"/>
        </w:rPr>
        <w:t>include chlorambucil plus an anti–CD20 antibody such as obinutuzumab, ofatumumab, or rituximab (</w:t>
      </w:r>
      <w:proofErr w:type="spellStart"/>
      <w:r w:rsidRPr="002069C2">
        <w:rPr>
          <w:rFonts w:cs="Calibri"/>
        </w:rPr>
        <w:t>obi+chl</w:t>
      </w:r>
      <w:proofErr w:type="spellEnd"/>
      <w:r w:rsidRPr="002069C2">
        <w:rPr>
          <w:rFonts w:cs="Calibri"/>
        </w:rPr>
        <w:t xml:space="preserve">, </w:t>
      </w:r>
      <w:proofErr w:type="spellStart"/>
      <w:r w:rsidRPr="002069C2">
        <w:rPr>
          <w:rFonts w:cs="Calibri"/>
        </w:rPr>
        <w:t>ofa+chl</w:t>
      </w:r>
      <w:proofErr w:type="spellEnd"/>
      <w:r w:rsidRPr="002069C2">
        <w:rPr>
          <w:rFonts w:cs="Calibri"/>
        </w:rPr>
        <w:t xml:space="preserve">, and </w:t>
      </w:r>
      <w:proofErr w:type="spellStart"/>
      <w:r w:rsidRPr="002069C2">
        <w:rPr>
          <w:rFonts w:cs="Calibri"/>
        </w:rPr>
        <w:t>rit</w:t>
      </w:r>
      <w:r>
        <w:rPr>
          <w:rFonts w:cs="Calibri"/>
        </w:rPr>
        <w:t>ux</w:t>
      </w:r>
      <w:r w:rsidRPr="002069C2">
        <w:rPr>
          <w:rFonts w:cs="Calibri"/>
        </w:rPr>
        <w:t>+chl</w:t>
      </w:r>
      <w:proofErr w:type="spellEnd"/>
      <w:r w:rsidRPr="002069C2">
        <w:rPr>
          <w:rFonts w:cs="Calibri"/>
        </w:rPr>
        <w:t>).</w:t>
      </w:r>
      <w:r>
        <w:rPr>
          <w:rFonts w:cs="Calibri"/>
        </w:rPr>
        <w:t xml:space="preserve">  </w:t>
      </w:r>
      <w:r w:rsidR="001B40F3">
        <w:rPr>
          <w:rFonts w:cs="Calibri"/>
          <w:iCs/>
        </w:rPr>
        <w:t>O</w:t>
      </w:r>
      <w:r w:rsidRPr="00EB5599">
        <w:rPr>
          <w:rFonts w:cs="Calibri"/>
          <w:iCs/>
        </w:rPr>
        <w:t xml:space="preserve">fatumumab </w:t>
      </w:r>
      <w:r w:rsidR="001B40F3">
        <w:rPr>
          <w:rFonts w:cs="Calibri"/>
          <w:iCs/>
        </w:rPr>
        <w:t>was</w:t>
      </w:r>
      <w:r w:rsidRPr="00EB5599">
        <w:rPr>
          <w:rFonts w:cs="Calibri"/>
          <w:iCs/>
        </w:rPr>
        <w:t xml:space="preserve"> de-listed from the PBS in September 2019.</w:t>
      </w:r>
    </w:p>
    <w:p w:rsidR="0035313E" w:rsidRDefault="003F5B2C" w:rsidP="00B13E77">
      <w:pPr>
        <w:pStyle w:val="ListParagraph"/>
        <w:numPr>
          <w:ilvl w:val="1"/>
          <w:numId w:val="1"/>
        </w:numPr>
      </w:pPr>
      <w:r>
        <w:t xml:space="preserve">At its </w:t>
      </w:r>
      <w:r w:rsidR="0035313E">
        <w:t xml:space="preserve">November 2017 </w:t>
      </w:r>
      <w:r>
        <w:t xml:space="preserve">and March 2018 meetings, </w:t>
      </w:r>
      <w:r w:rsidR="0035313E">
        <w:t>the PBAC considered there was no urgent clinical need for</w:t>
      </w:r>
      <w:r w:rsidR="001B40F3">
        <w:t xml:space="preserve"> first-line ibrutinib for</w:t>
      </w:r>
      <w:r w:rsidR="0035313E">
        <w:t xml:space="preserve"> most patients, noting the current availability of other effective first-line therapies (paragraph 7.2, November 2017 PSD</w:t>
      </w:r>
      <w:r>
        <w:t xml:space="preserve">, </w:t>
      </w:r>
      <w:r w:rsidR="0035313E">
        <w:t>paragraph 12.15, March 2018 PSD).</w:t>
      </w:r>
      <w:r w:rsidR="00682E8E">
        <w:t>In response</w:t>
      </w:r>
      <w:r w:rsidR="00475495">
        <w:t>, the resubmission propos</w:t>
      </w:r>
      <w:r w:rsidR="00C94E55">
        <w:t>ed</w:t>
      </w:r>
      <w:r w:rsidR="00475495">
        <w:t xml:space="preserve"> </w:t>
      </w:r>
      <w:r w:rsidR="00C94E55">
        <w:t>first-line</w:t>
      </w:r>
      <w:r w:rsidR="00682E8E" w:rsidRPr="00682E8E">
        <w:t xml:space="preserve"> </w:t>
      </w:r>
      <w:r w:rsidR="00682E8E">
        <w:t>use</w:t>
      </w:r>
      <w:r w:rsidR="00C94E55">
        <w:t xml:space="preserve"> </w:t>
      </w:r>
      <w:r w:rsidR="00475495">
        <w:t>in a subgroup of patients for whom the currently available therapies are known to be ineffective, specifically patients with del17p.</w:t>
      </w:r>
      <w:r w:rsidR="0035313E">
        <w:t xml:space="preserve"> </w:t>
      </w:r>
    </w:p>
    <w:p w:rsidR="00B142BE" w:rsidRPr="00042D5D" w:rsidRDefault="00B142BE" w:rsidP="00B2597F">
      <w:pPr>
        <w:pStyle w:val="ListParagraph"/>
        <w:numPr>
          <w:ilvl w:val="1"/>
          <w:numId w:val="1"/>
        </w:numPr>
      </w:pPr>
      <w:r>
        <w:t xml:space="preserve">The proposed clinical management algorithm </w:t>
      </w:r>
      <w:r w:rsidR="00C94E55">
        <w:t>with the availability of ibrutinib as a fi</w:t>
      </w:r>
      <w:r w:rsidR="007F6115">
        <w:t>r</w:t>
      </w:r>
      <w:r w:rsidR="00C94E55">
        <w:t xml:space="preserve">st-line treatment for del17p patients is presented </w:t>
      </w:r>
      <w:r>
        <w:t>in Figure 1.</w:t>
      </w:r>
    </w:p>
    <w:p w:rsidR="00B142BE" w:rsidRPr="00B142BE" w:rsidRDefault="00B142BE" w:rsidP="00B142BE">
      <w:pPr>
        <w:keepNext/>
        <w:rPr>
          <w:rFonts w:ascii="Arial Narrow" w:hAnsi="Arial Narrow"/>
          <w:b/>
          <w:sz w:val="20"/>
          <w:szCs w:val="20"/>
        </w:rPr>
      </w:pPr>
      <w:r>
        <w:rPr>
          <w:rFonts w:ascii="Arial Narrow" w:hAnsi="Arial Narrow"/>
          <w:b/>
          <w:sz w:val="20"/>
          <w:szCs w:val="20"/>
        </w:rPr>
        <w:lastRenderedPageBreak/>
        <w:t>Figure 1</w:t>
      </w:r>
      <w:r w:rsidRPr="00B142BE">
        <w:rPr>
          <w:rFonts w:ascii="Arial Narrow" w:hAnsi="Arial Narrow"/>
          <w:b/>
          <w:sz w:val="20"/>
          <w:szCs w:val="20"/>
        </w:rPr>
        <w:t xml:space="preserve">:  Proposed clinical management algorithm </w:t>
      </w:r>
      <w:r w:rsidR="00C94E55">
        <w:rPr>
          <w:rFonts w:ascii="Arial Narrow" w:hAnsi="Arial Narrow"/>
          <w:b/>
          <w:sz w:val="20"/>
          <w:szCs w:val="20"/>
        </w:rPr>
        <w:t>with first-line ibrutinib for 17p patients</w:t>
      </w:r>
    </w:p>
    <w:p w:rsidR="00B142BE" w:rsidRDefault="00B142BE" w:rsidP="00F863C2">
      <w:r w:rsidRPr="000D500C">
        <w:rPr>
          <w:noProof/>
          <w:lang w:eastAsia="en-AU"/>
        </w:rPr>
        <w:drawing>
          <wp:inline distT="0" distB="0" distL="0" distR="0" wp14:anchorId="3D633166" wp14:editId="4A4C15F2">
            <wp:extent cx="5730875" cy="4398264"/>
            <wp:effectExtent l="0" t="0" r="3175" b="2540"/>
            <wp:docPr id="24" name="Picture 24" title="Figure 1:  Proposed clinical management algorithm with first-line ibrutinib for 17p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4398264"/>
                    </a:xfrm>
                    <a:prstGeom prst="rect">
                      <a:avLst/>
                    </a:prstGeom>
                    <a:noFill/>
                  </pic:spPr>
                </pic:pic>
              </a:graphicData>
            </a:graphic>
          </wp:inline>
        </w:drawing>
      </w:r>
    </w:p>
    <w:p w:rsidR="00B142BE" w:rsidRDefault="00B142BE" w:rsidP="00B142BE">
      <w:pPr>
        <w:pStyle w:val="TableFooter"/>
      </w:pPr>
      <w:r>
        <w:t>Note:  PBS-subsidised treatment with ibrutinib in the relapsed/refractory setting is not allowed if the patient has previously received treatment with ibrutinib.</w:t>
      </w:r>
    </w:p>
    <w:p w:rsidR="00B142BE" w:rsidRDefault="00B142BE" w:rsidP="00B142BE">
      <w:pPr>
        <w:pStyle w:val="TableFooter"/>
      </w:pPr>
      <w:r>
        <w:t>Source:  Figure 1.6, p33 of Section 1.2.1.2 of the resubmission.</w:t>
      </w:r>
    </w:p>
    <w:p w:rsidR="00B142BE" w:rsidRPr="00113131" w:rsidRDefault="00B142BE" w:rsidP="00B142BE">
      <w:pPr>
        <w:pStyle w:val="ListParagraph"/>
      </w:pPr>
    </w:p>
    <w:p w:rsidR="00113131" w:rsidRDefault="00113131" w:rsidP="00B2597F">
      <w:pPr>
        <w:pStyle w:val="ListParagraph"/>
        <w:numPr>
          <w:ilvl w:val="1"/>
          <w:numId w:val="1"/>
        </w:numPr>
      </w:pPr>
      <w:r w:rsidRPr="002069C2">
        <w:rPr>
          <w:rFonts w:cs="Calibri"/>
        </w:rPr>
        <w:t xml:space="preserve">CLL/SLL patients with </w:t>
      </w:r>
      <w:r>
        <w:rPr>
          <w:rFonts w:cs="Calibri"/>
        </w:rPr>
        <w:t>del17p</w:t>
      </w:r>
      <w:r w:rsidRPr="002069C2">
        <w:rPr>
          <w:rFonts w:cs="Calibri"/>
        </w:rPr>
        <w:t xml:space="preserve"> have substantially inferior prognosis with shorter survival and marked resistance to the PBS-listed first-line regimens </w:t>
      </w:r>
      <w:r>
        <w:rPr>
          <w:rFonts w:cs="Calibri"/>
        </w:rPr>
        <w:t>(</w:t>
      </w:r>
      <w:r w:rsidRPr="002069C2">
        <w:rPr>
          <w:rFonts w:cs="Calibri"/>
        </w:rPr>
        <w:t xml:space="preserve">FCR, </w:t>
      </w:r>
      <w:proofErr w:type="spellStart"/>
      <w:r w:rsidRPr="002069C2">
        <w:rPr>
          <w:rFonts w:cs="Calibri"/>
        </w:rPr>
        <w:t>obi+chl</w:t>
      </w:r>
      <w:proofErr w:type="spellEnd"/>
      <w:r w:rsidRPr="002069C2">
        <w:rPr>
          <w:rFonts w:cs="Calibri"/>
        </w:rPr>
        <w:t xml:space="preserve">, </w:t>
      </w:r>
      <w:proofErr w:type="spellStart"/>
      <w:r w:rsidRPr="002069C2">
        <w:rPr>
          <w:rFonts w:cs="Calibri"/>
        </w:rPr>
        <w:t>ofa+chl</w:t>
      </w:r>
      <w:proofErr w:type="spellEnd"/>
      <w:r w:rsidRPr="002069C2">
        <w:rPr>
          <w:rFonts w:cs="Calibri"/>
        </w:rPr>
        <w:t xml:space="preserve">, and </w:t>
      </w:r>
      <w:proofErr w:type="spellStart"/>
      <w:r w:rsidRPr="002069C2">
        <w:rPr>
          <w:rFonts w:cs="Calibri"/>
        </w:rPr>
        <w:t>rit</w:t>
      </w:r>
      <w:r>
        <w:rPr>
          <w:rFonts w:cs="Calibri"/>
        </w:rPr>
        <w:t>ux</w:t>
      </w:r>
      <w:r w:rsidRPr="002069C2">
        <w:rPr>
          <w:rFonts w:cs="Calibri"/>
        </w:rPr>
        <w:t>+chl</w:t>
      </w:r>
      <w:proofErr w:type="spellEnd"/>
      <w:r>
        <w:rPr>
          <w:rFonts w:cs="Calibri"/>
        </w:rPr>
        <w:t>)</w:t>
      </w:r>
      <w:r w:rsidRPr="002069C2">
        <w:rPr>
          <w:rFonts w:cs="Calibri"/>
        </w:rPr>
        <w:t>.</w:t>
      </w:r>
      <w:r>
        <w:rPr>
          <w:rFonts w:cs="Calibri"/>
        </w:rPr>
        <w:t xml:space="preserve">  </w:t>
      </w:r>
      <w:r>
        <w:t xml:space="preserve">The table below provides a </w:t>
      </w:r>
      <w:r w:rsidR="00C94E55">
        <w:t xml:space="preserve">comparison </w:t>
      </w:r>
      <w:r>
        <w:t>of outcomes observed for del17p patients and ITT patients in trials identified by the resubmission</w:t>
      </w:r>
      <w:r w:rsidR="00C94E55">
        <w:t>, together with the</w:t>
      </w:r>
      <w:r w:rsidR="005D3F9E">
        <w:t xml:space="preserve"> outcomes for </w:t>
      </w:r>
      <w:proofErr w:type="spellStart"/>
      <w:r w:rsidR="005D3F9E">
        <w:t>obi+chl</w:t>
      </w:r>
      <w:proofErr w:type="spellEnd"/>
      <w:r w:rsidR="005D3F9E">
        <w:t xml:space="preserve"> </w:t>
      </w:r>
      <w:r w:rsidR="00C94E55">
        <w:t xml:space="preserve">from the </w:t>
      </w:r>
      <w:r w:rsidR="005D3F9E">
        <w:t>ILLUMINATE</w:t>
      </w:r>
      <w:r w:rsidR="00C94E55">
        <w:t xml:space="preserve"> trial</w:t>
      </w:r>
      <w:r w:rsidR="0052630B">
        <w:t>.</w:t>
      </w:r>
    </w:p>
    <w:p w:rsidR="00113131" w:rsidRDefault="00113131" w:rsidP="00113131">
      <w:pPr>
        <w:keepNext/>
      </w:pPr>
      <w:r w:rsidRPr="00085C1E">
        <w:rPr>
          <w:rFonts w:ascii="Arial Narrow" w:hAnsi="Arial Narrow"/>
          <w:b/>
          <w:sz w:val="20"/>
          <w:szCs w:val="20"/>
        </w:rPr>
        <w:lastRenderedPageBreak/>
        <w:t xml:space="preserve">Table </w:t>
      </w:r>
      <w:r w:rsidR="00BD4B83">
        <w:rPr>
          <w:rFonts w:ascii="Arial Narrow" w:hAnsi="Arial Narrow"/>
          <w:b/>
          <w:noProof/>
          <w:sz w:val="20"/>
          <w:szCs w:val="20"/>
        </w:rPr>
        <w:t>3</w:t>
      </w:r>
      <w:r w:rsidRPr="00085C1E">
        <w:rPr>
          <w:rStyle w:val="CommentReference"/>
        </w:rPr>
        <w:t xml:space="preserve">:  </w:t>
      </w:r>
      <w:r>
        <w:rPr>
          <w:rStyle w:val="CommentReference"/>
        </w:rPr>
        <w:t>Outcomes for del17p patients compared to ITT population patients</w:t>
      </w:r>
    </w:p>
    <w:tbl>
      <w:tblPr>
        <w:tblStyle w:val="TableGrid"/>
        <w:tblW w:w="0" w:type="auto"/>
        <w:tblLook w:val="04A0" w:firstRow="1" w:lastRow="0" w:firstColumn="1" w:lastColumn="0" w:noHBand="0" w:noVBand="1"/>
        <w:tblCaption w:val="Table 3:  Outcomes for del17p patients compared to ITT population patients"/>
      </w:tblPr>
      <w:tblGrid>
        <w:gridCol w:w="3033"/>
        <w:gridCol w:w="3057"/>
        <w:gridCol w:w="2927"/>
      </w:tblGrid>
      <w:tr w:rsidR="00113131" w:rsidRPr="000B6177" w:rsidTr="00906E74">
        <w:trPr>
          <w:tblHeader/>
        </w:trPr>
        <w:tc>
          <w:tcPr>
            <w:tcW w:w="3033" w:type="dxa"/>
          </w:tcPr>
          <w:p w:rsidR="00113131" w:rsidRPr="000B6177" w:rsidRDefault="00113131" w:rsidP="00113131">
            <w:pPr>
              <w:pStyle w:val="TableText1"/>
              <w:tabs>
                <w:tab w:val="left" w:pos="142"/>
              </w:tabs>
              <w:rPr>
                <w:b/>
                <w:bCs/>
              </w:rPr>
            </w:pPr>
          </w:p>
        </w:tc>
        <w:tc>
          <w:tcPr>
            <w:tcW w:w="3057" w:type="dxa"/>
          </w:tcPr>
          <w:p w:rsidR="00113131" w:rsidRPr="000B6177" w:rsidRDefault="00113131" w:rsidP="00113131">
            <w:pPr>
              <w:pStyle w:val="TableText1"/>
              <w:jc w:val="center"/>
              <w:rPr>
                <w:b/>
              </w:rPr>
            </w:pPr>
            <w:r w:rsidRPr="000B6177">
              <w:rPr>
                <w:b/>
              </w:rPr>
              <w:t>del17p</w:t>
            </w:r>
          </w:p>
        </w:tc>
        <w:tc>
          <w:tcPr>
            <w:tcW w:w="2927" w:type="dxa"/>
          </w:tcPr>
          <w:p w:rsidR="00113131" w:rsidRPr="000B6177" w:rsidRDefault="00113131" w:rsidP="00113131">
            <w:pPr>
              <w:pStyle w:val="TableText1"/>
              <w:jc w:val="center"/>
              <w:rPr>
                <w:b/>
                <w:bCs/>
              </w:rPr>
            </w:pPr>
            <w:r>
              <w:rPr>
                <w:b/>
                <w:bCs/>
              </w:rPr>
              <w:t>ITT population</w:t>
            </w:r>
          </w:p>
        </w:tc>
      </w:tr>
      <w:tr w:rsidR="00113131" w:rsidTr="005D3F9E">
        <w:tc>
          <w:tcPr>
            <w:tcW w:w="9017" w:type="dxa"/>
            <w:gridSpan w:val="3"/>
          </w:tcPr>
          <w:p w:rsidR="00113131" w:rsidRDefault="00113131" w:rsidP="00C94E55">
            <w:pPr>
              <w:pStyle w:val="TableText1"/>
              <w:tabs>
                <w:tab w:val="left" w:pos="142"/>
              </w:tabs>
            </w:pPr>
            <w:proofErr w:type="spellStart"/>
            <w:r>
              <w:t>Hallek</w:t>
            </w:r>
            <w:proofErr w:type="spellEnd"/>
            <w:r>
              <w:t xml:space="preserve"> (2010) – FCR arm</w:t>
            </w:r>
          </w:p>
        </w:tc>
      </w:tr>
      <w:tr w:rsidR="00113131" w:rsidTr="005D3F9E">
        <w:tc>
          <w:tcPr>
            <w:tcW w:w="3033" w:type="dxa"/>
          </w:tcPr>
          <w:p w:rsidR="00113131" w:rsidRDefault="00113131" w:rsidP="00404EE1">
            <w:pPr>
              <w:pStyle w:val="TableText1"/>
              <w:tabs>
                <w:tab w:val="left" w:pos="142"/>
              </w:tabs>
            </w:pPr>
            <w:r>
              <w:tab/>
              <w:t>Complete response (CR)</w:t>
            </w:r>
          </w:p>
        </w:tc>
        <w:tc>
          <w:tcPr>
            <w:tcW w:w="3057" w:type="dxa"/>
          </w:tcPr>
          <w:p w:rsidR="00113131" w:rsidRDefault="00113131" w:rsidP="00404EE1">
            <w:pPr>
              <w:pStyle w:val="TableText1"/>
              <w:jc w:val="center"/>
            </w:pPr>
            <w:r>
              <w:t>1/22 (5%)</w:t>
            </w:r>
          </w:p>
        </w:tc>
        <w:tc>
          <w:tcPr>
            <w:tcW w:w="2927" w:type="dxa"/>
          </w:tcPr>
          <w:p w:rsidR="00113131" w:rsidRDefault="00113131" w:rsidP="00404EE1">
            <w:pPr>
              <w:pStyle w:val="TableText1"/>
              <w:jc w:val="center"/>
            </w:pPr>
            <w:r>
              <w:t>180/408 (44%)</w:t>
            </w:r>
            <w:r w:rsidRPr="00224750">
              <w:rPr>
                <w:vertAlign w:val="superscript"/>
              </w:rPr>
              <w:t>a</w:t>
            </w:r>
          </w:p>
        </w:tc>
      </w:tr>
      <w:tr w:rsidR="00113131" w:rsidTr="005D3F9E">
        <w:tc>
          <w:tcPr>
            <w:tcW w:w="3033" w:type="dxa"/>
          </w:tcPr>
          <w:p w:rsidR="00113131" w:rsidRDefault="00113131" w:rsidP="00404EE1">
            <w:pPr>
              <w:pStyle w:val="TableText1"/>
              <w:tabs>
                <w:tab w:val="left" w:pos="142"/>
              </w:tabs>
            </w:pPr>
            <w:r>
              <w:tab/>
              <w:t>Median PFS</w:t>
            </w:r>
          </w:p>
        </w:tc>
        <w:tc>
          <w:tcPr>
            <w:tcW w:w="3057" w:type="dxa"/>
          </w:tcPr>
          <w:p w:rsidR="00113131" w:rsidRDefault="00113131" w:rsidP="00404EE1">
            <w:pPr>
              <w:pStyle w:val="TableText1"/>
              <w:jc w:val="center"/>
            </w:pPr>
            <w:r>
              <w:t>11.3 months</w:t>
            </w:r>
          </w:p>
        </w:tc>
        <w:tc>
          <w:tcPr>
            <w:tcW w:w="2927" w:type="dxa"/>
          </w:tcPr>
          <w:p w:rsidR="00113131" w:rsidRDefault="00113131" w:rsidP="00404EE1">
            <w:pPr>
              <w:pStyle w:val="TableText1"/>
              <w:jc w:val="center"/>
            </w:pPr>
            <w:r>
              <w:t>51.8 months</w:t>
            </w:r>
          </w:p>
        </w:tc>
      </w:tr>
      <w:tr w:rsidR="00113131" w:rsidTr="005D3F9E">
        <w:tc>
          <w:tcPr>
            <w:tcW w:w="9017" w:type="dxa"/>
            <w:gridSpan w:val="3"/>
          </w:tcPr>
          <w:p w:rsidR="00113131" w:rsidRDefault="00113131" w:rsidP="00C94E55">
            <w:pPr>
              <w:pStyle w:val="TableText1"/>
              <w:tabs>
                <w:tab w:val="left" w:pos="142"/>
              </w:tabs>
            </w:pPr>
            <w:r>
              <w:t xml:space="preserve">Fischer </w:t>
            </w:r>
            <w:r w:rsidR="00FA3042">
              <w:t>(</w:t>
            </w:r>
            <w:r>
              <w:t>2012</w:t>
            </w:r>
            <w:r w:rsidR="00FA3042">
              <w:t>)</w:t>
            </w:r>
            <w:r>
              <w:t xml:space="preserve"> –</w:t>
            </w:r>
            <w:r w:rsidR="007F6115">
              <w:t xml:space="preserve"> </w:t>
            </w:r>
            <w:proofErr w:type="spellStart"/>
            <w:r>
              <w:t>benda+ritux</w:t>
            </w:r>
            <w:proofErr w:type="spellEnd"/>
          </w:p>
        </w:tc>
      </w:tr>
      <w:tr w:rsidR="00113131" w:rsidTr="005D3F9E">
        <w:tc>
          <w:tcPr>
            <w:tcW w:w="3033" w:type="dxa"/>
          </w:tcPr>
          <w:p w:rsidR="00113131" w:rsidRDefault="00113131" w:rsidP="00404EE1">
            <w:pPr>
              <w:pStyle w:val="TableText1"/>
              <w:tabs>
                <w:tab w:val="left" w:pos="142"/>
              </w:tabs>
            </w:pPr>
            <w:r>
              <w:tab/>
              <w:t>Complete response (CR)</w:t>
            </w:r>
          </w:p>
        </w:tc>
        <w:tc>
          <w:tcPr>
            <w:tcW w:w="3057" w:type="dxa"/>
          </w:tcPr>
          <w:p w:rsidR="00113131" w:rsidRDefault="00113131" w:rsidP="00404EE1">
            <w:pPr>
              <w:pStyle w:val="TableText1"/>
              <w:jc w:val="center"/>
            </w:pPr>
            <w:r>
              <w:t>0/8 (0%)</w:t>
            </w:r>
          </w:p>
        </w:tc>
        <w:tc>
          <w:tcPr>
            <w:tcW w:w="2927" w:type="dxa"/>
          </w:tcPr>
          <w:p w:rsidR="00113131" w:rsidRDefault="00113131" w:rsidP="00404EE1">
            <w:pPr>
              <w:pStyle w:val="TableText1"/>
              <w:jc w:val="center"/>
            </w:pPr>
            <w:r>
              <w:t>27/117 (23%)</w:t>
            </w:r>
          </w:p>
        </w:tc>
      </w:tr>
      <w:tr w:rsidR="00113131" w:rsidTr="005D3F9E">
        <w:tc>
          <w:tcPr>
            <w:tcW w:w="3033" w:type="dxa"/>
          </w:tcPr>
          <w:p w:rsidR="00113131" w:rsidRDefault="00113131" w:rsidP="00404EE1">
            <w:pPr>
              <w:pStyle w:val="TableText1"/>
              <w:tabs>
                <w:tab w:val="left" w:pos="142"/>
              </w:tabs>
            </w:pPr>
            <w:r>
              <w:tab/>
              <w:t>Median PFS</w:t>
            </w:r>
          </w:p>
        </w:tc>
        <w:tc>
          <w:tcPr>
            <w:tcW w:w="3057" w:type="dxa"/>
          </w:tcPr>
          <w:p w:rsidR="00113131" w:rsidRDefault="00113131" w:rsidP="00404EE1">
            <w:pPr>
              <w:pStyle w:val="TableText1"/>
              <w:jc w:val="center"/>
            </w:pPr>
            <w:r>
              <w:t>7.9 months</w:t>
            </w:r>
          </w:p>
        </w:tc>
        <w:tc>
          <w:tcPr>
            <w:tcW w:w="2927" w:type="dxa"/>
          </w:tcPr>
          <w:p w:rsidR="00113131" w:rsidRDefault="00113131" w:rsidP="00404EE1">
            <w:pPr>
              <w:pStyle w:val="TableText1"/>
              <w:jc w:val="center"/>
            </w:pPr>
            <w:r>
              <w:t>33.8 months</w:t>
            </w:r>
          </w:p>
        </w:tc>
      </w:tr>
      <w:tr w:rsidR="00113131" w:rsidTr="005D3F9E">
        <w:tc>
          <w:tcPr>
            <w:tcW w:w="9017" w:type="dxa"/>
            <w:gridSpan w:val="3"/>
          </w:tcPr>
          <w:p w:rsidR="00113131" w:rsidRDefault="00113131" w:rsidP="00C94E55">
            <w:pPr>
              <w:pStyle w:val="TableText1"/>
              <w:tabs>
                <w:tab w:val="left" w:pos="142"/>
              </w:tabs>
            </w:pPr>
            <w:proofErr w:type="spellStart"/>
            <w:r>
              <w:t>Stilgenbauer</w:t>
            </w:r>
            <w:proofErr w:type="spellEnd"/>
            <w:r>
              <w:t xml:space="preserve"> (2014) – FCR arm</w:t>
            </w:r>
          </w:p>
        </w:tc>
      </w:tr>
      <w:tr w:rsidR="00113131" w:rsidTr="005D3F9E">
        <w:tc>
          <w:tcPr>
            <w:tcW w:w="3033" w:type="dxa"/>
          </w:tcPr>
          <w:p w:rsidR="00113131" w:rsidRDefault="00113131" w:rsidP="00404EE1">
            <w:pPr>
              <w:pStyle w:val="TableText1"/>
              <w:tabs>
                <w:tab w:val="left" w:pos="142"/>
              </w:tabs>
            </w:pPr>
            <w:r>
              <w:tab/>
              <w:t>Median PFS</w:t>
            </w:r>
          </w:p>
        </w:tc>
        <w:tc>
          <w:tcPr>
            <w:tcW w:w="3057" w:type="dxa"/>
          </w:tcPr>
          <w:p w:rsidR="00113131" w:rsidRDefault="00113131" w:rsidP="00404EE1">
            <w:pPr>
              <w:pStyle w:val="TableText1"/>
              <w:jc w:val="center"/>
            </w:pPr>
            <w:r>
              <w:t>15.4 months</w:t>
            </w:r>
          </w:p>
        </w:tc>
        <w:tc>
          <w:tcPr>
            <w:tcW w:w="2927" w:type="dxa"/>
          </w:tcPr>
          <w:p w:rsidR="00113131" w:rsidRDefault="00113131" w:rsidP="00404EE1">
            <w:pPr>
              <w:pStyle w:val="TableText1"/>
              <w:jc w:val="center"/>
            </w:pPr>
            <w:r>
              <w:t>59 months</w:t>
            </w:r>
          </w:p>
        </w:tc>
      </w:tr>
      <w:tr w:rsidR="005D3F9E" w:rsidTr="001F7AC0">
        <w:tc>
          <w:tcPr>
            <w:tcW w:w="9017" w:type="dxa"/>
            <w:gridSpan w:val="3"/>
          </w:tcPr>
          <w:p w:rsidR="005D3F9E" w:rsidRDefault="005D3F9E" w:rsidP="00C94E55">
            <w:pPr>
              <w:pStyle w:val="TableText1"/>
            </w:pPr>
            <w:r>
              <w:t>ILLUMINATE –</w:t>
            </w:r>
            <w:r w:rsidR="0052630B">
              <w:t xml:space="preserve"> </w:t>
            </w:r>
            <w:proofErr w:type="spellStart"/>
            <w:r w:rsidR="0052630B">
              <w:t>obi+chl</w:t>
            </w:r>
            <w:proofErr w:type="spellEnd"/>
            <w:r w:rsidR="0052630B">
              <w:t xml:space="preserve"> arm</w:t>
            </w:r>
          </w:p>
        </w:tc>
      </w:tr>
      <w:tr w:rsidR="005D3F9E" w:rsidTr="005D3F9E">
        <w:tc>
          <w:tcPr>
            <w:tcW w:w="3033" w:type="dxa"/>
          </w:tcPr>
          <w:p w:rsidR="005D3F9E" w:rsidRDefault="005D3F9E" w:rsidP="00404EE1">
            <w:pPr>
              <w:pStyle w:val="TableText1"/>
              <w:tabs>
                <w:tab w:val="left" w:pos="142"/>
              </w:tabs>
            </w:pPr>
            <w:r>
              <w:tab/>
              <w:t>Median PFS</w:t>
            </w:r>
          </w:p>
        </w:tc>
        <w:tc>
          <w:tcPr>
            <w:tcW w:w="3057" w:type="dxa"/>
          </w:tcPr>
          <w:p w:rsidR="005D3F9E" w:rsidRDefault="007E3667" w:rsidP="00404EE1">
            <w:pPr>
              <w:pStyle w:val="TableText1"/>
              <w:jc w:val="center"/>
            </w:pPr>
            <w:r>
              <w:rPr>
                <w:noProof/>
                <w:color w:val="000000"/>
                <w:highlight w:val="black"/>
              </w:rPr>
              <w:t>'''''</w:t>
            </w:r>
            <w:r w:rsidR="00787747" w:rsidRPr="005700CD">
              <w:t xml:space="preserve"> </w:t>
            </w:r>
            <w:proofErr w:type="spellStart"/>
            <w:r w:rsidR="00787747" w:rsidRPr="002E49FD">
              <w:t>months</w:t>
            </w:r>
            <w:r w:rsidR="00787747" w:rsidRPr="002E49FD">
              <w:rPr>
                <w:vertAlign w:val="superscript"/>
              </w:rPr>
              <w:t>b</w:t>
            </w:r>
            <w:proofErr w:type="spellEnd"/>
          </w:p>
        </w:tc>
        <w:tc>
          <w:tcPr>
            <w:tcW w:w="2927" w:type="dxa"/>
          </w:tcPr>
          <w:p w:rsidR="005D3F9E" w:rsidRDefault="0052630B" w:rsidP="00404EE1">
            <w:pPr>
              <w:pStyle w:val="TableText1"/>
              <w:jc w:val="center"/>
            </w:pPr>
            <w:r>
              <w:t>19.0 months</w:t>
            </w:r>
          </w:p>
        </w:tc>
      </w:tr>
    </w:tbl>
    <w:p w:rsidR="00113131" w:rsidRPr="005B04D4" w:rsidRDefault="00113131" w:rsidP="00113131">
      <w:pPr>
        <w:pStyle w:val="TableFooter"/>
        <w:tabs>
          <w:tab w:val="left" w:pos="142"/>
        </w:tabs>
        <w:rPr>
          <w:iCs/>
        </w:rPr>
      </w:pPr>
      <w:proofErr w:type="gramStart"/>
      <w:r w:rsidRPr="005B04D4">
        <w:rPr>
          <w:iCs/>
          <w:vertAlign w:val="superscript"/>
        </w:rPr>
        <w:t>a</w:t>
      </w:r>
      <w:proofErr w:type="gramEnd"/>
      <w:r w:rsidRPr="005B04D4">
        <w:rPr>
          <w:iCs/>
        </w:rPr>
        <w:tab/>
        <w:t>This total includes del17p patients, as reported by the publication.  If del17p patients are removed, the proportion becomes 46%.</w:t>
      </w:r>
    </w:p>
    <w:p w:rsidR="00787747" w:rsidRPr="00224750" w:rsidRDefault="00787747" w:rsidP="00113131">
      <w:pPr>
        <w:pStyle w:val="TableFooter"/>
        <w:tabs>
          <w:tab w:val="left" w:pos="142"/>
        </w:tabs>
        <w:rPr>
          <w:i/>
          <w:iCs/>
        </w:rPr>
      </w:pPr>
      <w:proofErr w:type="gramStart"/>
      <w:r>
        <w:rPr>
          <w:vertAlign w:val="superscript"/>
        </w:rPr>
        <w:t>b</w:t>
      </w:r>
      <w:proofErr w:type="gramEnd"/>
      <w:r w:rsidRPr="00442E5D">
        <w:tab/>
        <w:t xml:space="preserve">The </w:t>
      </w:r>
      <w:r>
        <w:t xml:space="preserve">resubmission reported median PFS in the </w:t>
      </w:r>
      <w:proofErr w:type="spellStart"/>
      <w:r>
        <w:t>obi+chl</w:t>
      </w:r>
      <w:proofErr w:type="spellEnd"/>
      <w:r>
        <w:t xml:space="preserve"> arm as ‘approximately </w:t>
      </w:r>
      <w:r w:rsidR="007E3667">
        <w:rPr>
          <w:noProof/>
          <w:color w:val="000000"/>
          <w:highlight w:val="black"/>
        </w:rPr>
        <w:t>''''''</w:t>
      </w:r>
      <w:r>
        <w:t xml:space="preserve"> months’.</w:t>
      </w:r>
    </w:p>
    <w:p w:rsidR="00113131" w:rsidRDefault="00113131" w:rsidP="00113131">
      <w:pPr>
        <w:pStyle w:val="TableFooter"/>
      </w:pPr>
      <w:proofErr w:type="spellStart"/>
      <w:proofErr w:type="gramStart"/>
      <w:r>
        <w:t>benda</w:t>
      </w:r>
      <w:proofErr w:type="spellEnd"/>
      <w:r>
        <w:t>=</w:t>
      </w:r>
      <w:proofErr w:type="spellStart"/>
      <w:proofErr w:type="gramEnd"/>
      <w:r w:rsidRPr="000D500C">
        <w:t>bendamustine</w:t>
      </w:r>
      <w:proofErr w:type="spellEnd"/>
      <w:r>
        <w:t xml:space="preserve">; </w:t>
      </w:r>
      <w:proofErr w:type="spellStart"/>
      <w:r w:rsidR="000226CA">
        <w:t>chl</w:t>
      </w:r>
      <w:proofErr w:type="spellEnd"/>
      <w:r w:rsidR="000226CA">
        <w:t>=</w:t>
      </w:r>
      <w:proofErr w:type="spellStart"/>
      <w:r w:rsidR="000226CA">
        <w:t>chlorambucil</w:t>
      </w:r>
      <w:proofErr w:type="spellEnd"/>
      <w:r w:rsidR="000226CA">
        <w:t xml:space="preserve">; </w:t>
      </w:r>
      <w:r w:rsidR="00463DFB">
        <w:t>FC=</w:t>
      </w:r>
      <w:proofErr w:type="spellStart"/>
      <w:r w:rsidR="00463DFB" w:rsidRPr="002069C2">
        <w:rPr>
          <w:rFonts w:cs="Calibri"/>
        </w:rPr>
        <w:t>fludarabine</w:t>
      </w:r>
      <w:proofErr w:type="spellEnd"/>
      <w:r w:rsidR="00463DFB">
        <w:rPr>
          <w:rFonts w:cs="Calibri"/>
        </w:rPr>
        <w:t xml:space="preserve"> and</w:t>
      </w:r>
      <w:r w:rsidR="00463DFB" w:rsidRPr="002069C2">
        <w:rPr>
          <w:rFonts w:cs="Calibri"/>
        </w:rPr>
        <w:t xml:space="preserve"> cyclophosphamide</w:t>
      </w:r>
      <w:r w:rsidR="00463DFB">
        <w:rPr>
          <w:rFonts w:cs="Calibri"/>
        </w:rPr>
        <w:t>; FCR=</w:t>
      </w:r>
      <w:r w:rsidR="00463DFB" w:rsidRPr="002069C2">
        <w:rPr>
          <w:rFonts w:cs="Calibri"/>
        </w:rPr>
        <w:t>fludarabine, cyclophosphamide, and rituximab</w:t>
      </w:r>
      <w:r w:rsidR="00463DFB">
        <w:rPr>
          <w:rFonts w:cs="Calibri"/>
        </w:rPr>
        <w:t xml:space="preserve">; </w:t>
      </w:r>
      <w:r w:rsidR="000226CA">
        <w:rPr>
          <w:rFonts w:cs="Calibri"/>
        </w:rPr>
        <w:t>obi=</w:t>
      </w:r>
      <w:proofErr w:type="spellStart"/>
      <w:r w:rsidR="000226CA">
        <w:rPr>
          <w:rFonts w:cs="Calibri"/>
        </w:rPr>
        <w:t>obinutuzumab</w:t>
      </w:r>
      <w:proofErr w:type="spellEnd"/>
      <w:r w:rsidR="000226CA">
        <w:rPr>
          <w:rFonts w:cs="Calibri"/>
        </w:rPr>
        <w:t xml:space="preserve">; </w:t>
      </w:r>
      <w:r w:rsidR="00463DFB">
        <w:rPr>
          <w:rFonts w:cs="Calibri"/>
        </w:rPr>
        <w:t>PFS=progression-free survival;</w:t>
      </w:r>
      <w:r w:rsidR="00463DFB">
        <w:t xml:space="preserve"> </w:t>
      </w:r>
      <w:proofErr w:type="spellStart"/>
      <w:r>
        <w:t>ritux</w:t>
      </w:r>
      <w:proofErr w:type="spellEnd"/>
      <w:r>
        <w:t>=</w:t>
      </w:r>
      <w:r w:rsidRPr="000D500C">
        <w:t>rituximab</w:t>
      </w:r>
      <w:r>
        <w:t xml:space="preserve">; </w:t>
      </w:r>
    </w:p>
    <w:p w:rsidR="00113131" w:rsidRDefault="00113131" w:rsidP="00113131">
      <w:pPr>
        <w:pStyle w:val="TableFooter"/>
      </w:pPr>
      <w:r>
        <w:t xml:space="preserve">Source: Section 1.1, p2-4 of the resubmission; </w:t>
      </w:r>
      <w:proofErr w:type="spellStart"/>
      <w:r>
        <w:t>Stilgenbauer</w:t>
      </w:r>
      <w:proofErr w:type="spellEnd"/>
      <w:r>
        <w:t xml:space="preserve"> (2014)</w:t>
      </w:r>
      <w:r w:rsidR="0052630B">
        <w:t>; Table 2.18, p87 of Section 2.5.1.1; Section 2.6.1, p123-124 of the resubmission</w:t>
      </w:r>
      <w:r>
        <w:t>.</w:t>
      </w:r>
    </w:p>
    <w:p w:rsidR="00113131" w:rsidRPr="00113131" w:rsidRDefault="00113131" w:rsidP="00113131"/>
    <w:p w:rsidR="0035313E" w:rsidRPr="00E773B1" w:rsidRDefault="00682E8E" w:rsidP="00B2597F">
      <w:pPr>
        <w:pStyle w:val="ListParagraph"/>
        <w:numPr>
          <w:ilvl w:val="1"/>
          <w:numId w:val="1"/>
        </w:numPr>
      </w:pPr>
      <w:r>
        <w:t>Based on the above, t</w:t>
      </w:r>
      <w:r w:rsidR="00213A38">
        <w:t xml:space="preserve">he resubmission concluded there </w:t>
      </w:r>
      <w:r w:rsidR="00213A38">
        <w:rPr>
          <w:rFonts w:cs="Calibri"/>
        </w:rPr>
        <w:t xml:space="preserve">is a </w:t>
      </w:r>
      <w:r w:rsidR="00213A38" w:rsidRPr="00BE3BE2">
        <w:rPr>
          <w:rFonts w:cs="Calibri"/>
        </w:rPr>
        <w:t xml:space="preserve">significant unmet clinical need for </w:t>
      </w:r>
      <w:r w:rsidR="00715A37">
        <w:rPr>
          <w:rFonts w:cs="Calibri"/>
        </w:rPr>
        <w:t>effective first-line treatments</w:t>
      </w:r>
      <w:r w:rsidR="00213A38" w:rsidRPr="00BE3BE2">
        <w:rPr>
          <w:rFonts w:cs="Calibri"/>
        </w:rPr>
        <w:t xml:space="preserve"> in </w:t>
      </w:r>
      <w:r w:rsidR="00715A37">
        <w:rPr>
          <w:rFonts w:cs="Calibri"/>
        </w:rPr>
        <w:t>del</w:t>
      </w:r>
      <w:r w:rsidR="00213A38" w:rsidRPr="00BE3BE2">
        <w:rPr>
          <w:rFonts w:cs="Calibri"/>
        </w:rPr>
        <w:t>17p patients</w:t>
      </w:r>
      <w:r w:rsidR="00213A38">
        <w:rPr>
          <w:rFonts w:cs="Calibri"/>
        </w:rPr>
        <w:t xml:space="preserve"> given </w:t>
      </w:r>
      <w:r w:rsidR="00715A37">
        <w:rPr>
          <w:rFonts w:cs="Calibri"/>
        </w:rPr>
        <w:t>they</w:t>
      </w:r>
      <w:r w:rsidR="00213A38">
        <w:rPr>
          <w:rFonts w:cs="Calibri"/>
        </w:rPr>
        <w:t xml:space="preserve"> have a poor prognosis and poor response to the chemoimmunotherapy agents </w:t>
      </w:r>
      <w:r w:rsidR="00715A37">
        <w:rPr>
          <w:rFonts w:cs="Calibri"/>
        </w:rPr>
        <w:t xml:space="preserve">currently </w:t>
      </w:r>
      <w:r w:rsidR="00213A38">
        <w:rPr>
          <w:rFonts w:cs="Calibri"/>
        </w:rPr>
        <w:t>used to treat CLL/SLL.</w:t>
      </w:r>
      <w:r w:rsidR="00715A37">
        <w:rPr>
          <w:rFonts w:cs="Calibri"/>
        </w:rPr>
        <w:t xml:space="preserve"> </w:t>
      </w:r>
      <w:r w:rsidR="00715A37" w:rsidRPr="00E773B1">
        <w:rPr>
          <w:rFonts w:cs="Calibri"/>
        </w:rPr>
        <w:t xml:space="preserve">The ESC agreed with the resubmission that there was an unmet clinical need for effective first-line treatments in del17p patients. The ESC also considered there to be an unmet clinical need for effective first-line treatments for </w:t>
      </w:r>
      <w:r w:rsidR="00715A37" w:rsidRPr="00E773B1">
        <w:rPr>
          <w:iCs/>
        </w:rPr>
        <w:t xml:space="preserve">patients with </w:t>
      </w:r>
      <w:r w:rsidR="005B04D4" w:rsidRPr="00E773B1">
        <w:rPr>
          <w:iCs/>
        </w:rPr>
        <w:t>aberrations</w:t>
      </w:r>
      <w:r w:rsidR="00715A37" w:rsidRPr="00E773B1">
        <w:rPr>
          <w:iCs/>
        </w:rPr>
        <w:t xml:space="preserve"> in TP53 who are del17p negative. </w:t>
      </w:r>
      <w:r w:rsidR="00317491" w:rsidRPr="00317491">
        <w:rPr>
          <w:iCs/>
        </w:rPr>
        <w:t xml:space="preserve"> </w:t>
      </w:r>
      <w:r w:rsidR="00317491">
        <w:rPr>
          <w:iCs/>
        </w:rPr>
        <w:t xml:space="preserve">The pre-PBAC </w:t>
      </w:r>
      <w:proofErr w:type="gramStart"/>
      <w:r w:rsidR="00317491">
        <w:rPr>
          <w:iCs/>
        </w:rPr>
        <w:t>response  agreed</w:t>
      </w:r>
      <w:proofErr w:type="gramEnd"/>
      <w:r w:rsidR="00317491">
        <w:rPr>
          <w:iCs/>
        </w:rPr>
        <w:t xml:space="preserve"> with the ESC that there is an unmet need for more effective treatments for patients with TP53 mutation.  </w:t>
      </w:r>
    </w:p>
    <w:p w:rsidR="00113131" w:rsidRDefault="0035313E" w:rsidP="00B2597F">
      <w:pPr>
        <w:pStyle w:val="ListParagraph"/>
        <w:numPr>
          <w:ilvl w:val="1"/>
          <w:numId w:val="1"/>
        </w:numPr>
      </w:pPr>
      <w:r w:rsidRPr="00E773B1">
        <w:rPr>
          <w:rFonts w:cs="Calibri"/>
        </w:rPr>
        <w:t>Current international guidelines from the</w:t>
      </w:r>
      <w:r w:rsidR="00721DCB" w:rsidRPr="00E773B1">
        <w:rPr>
          <w:rFonts w:cs="Calibri"/>
        </w:rPr>
        <w:t xml:space="preserve"> </w:t>
      </w:r>
      <w:proofErr w:type="spellStart"/>
      <w:r w:rsidRPr="00E773B1">
        <w:rPr>
          <w:rFonts w:cs="Calibri"/>
        </w:rPr>
        <w:t>iwCLL</w:t>
      </w:r>
      <w:proofErr w:type="spellEnd"/>
      <w:r w:rsidR="0023543F" w:rsidRPr="00E773B1">
        <w:rPr>
          <w:rFonts w:cs="Calibri"/>
        </w:rPr>
        <w:t xml:space="preserve"> (2018)</w:t>
      </w:r>
      <w:r w:rsidRPr="00E773B1">
        <w:rPr>
          <w:rFonts w:cs="Calibri"/>
        </w:rPr>
        <w:t>, National Comprehensive Cancer Network (NCCN 2018), and the European Society for Medical Oncology (ESMO</w:t>
      </w:r>
      <w:r w:rsidR="0023543F" w:rsidRPr="00E773B1">
        <w:rPr>
          <w:rFonts w:cs="Calibri"/>
        </w:rPr>
        <w:t xml:space="preserve"> 2015</w:t>
      </w:r>
      <w:r w:rsidRPr="00E773B1">
        <w:rPr>
          <w:rFonts w:cs="Calibri"/>
        </w:rPr>
        <w:t>) recommend testing for del17p before treatment is commenced, to determine the most appropriate management strategy.</w:t>
      </w:r>
      <w:r w:rsidR="00113131" w:rsidRPr="00E773B1">
        <w:t xml:space="preserve"> </w:t>
      </w:r>
      <w:r w:rsidR="00881316" w:rsidRPr="00E773B1">
        <w:t>The ESC noted that the</w:t>
      </w:r>
      <w:r w:rsidR="00682E8E">
        <w:t>se</w:t>
      </w:r>
      <w:r w:rsidR="00881316" w:rsidRPr="00E773B1">
        <w:t xml:space="preserve"> guidelines also recommended testing for TP53 mutation before treatment is commenced and that ibrutinib was recommended for first-line use in patients with del17p or TP53 mutation. </w:t>
      </w:r>
    </w:p>
    <w:p w:rsidR="007B253D" w:rsidRPr="007B253D" w:rsidRDefault="007B253D" w:rsidP="007B253D">
      <w:pPr>
        <w:pStyle w:val="ListParagraph"/>
        <w:rPr>
          <w:i/>
          <w:iCs/>
        </w:rPr>
      </w:pPr>
      <w:r w:rsidRPr="007B253D">
        <w:rPr>
          <w:i/>
          <w:iCs/>
        </w:rPr>
        <w:t>For more detail on PBAC’s view, see section 7 PBAC outcome.</w:t>
      </w:r>
    </w:p>
    <w:p w:rsidR="00B60939" w:rsidRPr="00882085" w:rsidRDefault="00B50DB8" w:rsidP="004B1CB4">
      <w:pPr>
        <w:pStyle w:val="PBACHeading1"/>
        <w:spacing w:before="240" w:after="120"/>
      </w:pPr>
      <w:bookmarkStart w:id="4" w:name="_Toc19716424"/>
      <w:r w:rsidRPr="00407F2D">
        <w:t>Comparator</w:t>
      </w:r>
      <w:bookmarkEnd w:id="4"/>
    </w:p>
    <w:p w:rsidR="00FC65E7" w:rsidRPr="00E773B1" w:rsidRDefault="00294AD2" w:rsidP="00B2597F">
      <w:pPr>
        <w:pStyle w:val="ListParagraph"/>
        <w:numPr>
          <w:ilvl w:val="1"/>
          <w:numId w:val="1"/>
        </w:numPr>
      </w:pPr>
      <w:r>
        <w:t xml:space="preserve">The resubmission nominated chemoimmunotherapy, of which </w:t>
      </w:r>
      <w:r w:rsidR="00FA3042">
        <w:t xml:space="preserve">it </w:t>
      </w:r>
      <w:r w:rsidR="00C94E55">
        <w:t xml:space="preserve">identified </w:t>
      </w:r>
      <w:proofErr w:type="spellStart"/>
      <w:r w:rsidR="00C94E55">
        <w:t>obi+chl</w:t>
      </w:r>
      <w:proofErr w:type="spellEnd"/>
      <w:r w:rsidR="00C94E55">
        <w:t xml:space="preserve"> as </w:t>
      </w:r>
      <w:r>
        <w:t>the most commonly used treatment in Australia, as the main comparator.  This was change</w:t>
      </w:r>
      <w:r w:rsidR="00A5315E">
        <w:t>d</w:t>
      </w:r>
      <w:r>
        <w:t xml:space="preserve"> from the March 2018 resubmission, which used </w:t>
      </w:r>
      <w:proofErr w:type="spellStart"/>
      <w:r>
        <w:t>ritux+chl</w:t>
      </w:r>
      <w:proofErr w:type="spellEnd"/>
      <w:r>
        <w:t xml:space="preserve"> as the main comparator, and the November 2017 submission which used a blended comparator (</w:t>
      </w:r>
      <w:proofErr w:type="spellStart"/>
      <w:r>
        <w:t>obi+chl</w:t>
      </w:r>
      <w:proofErr w:type="spellEnd"/>
      <w:r>
        <w:t xml:space="preserve">; </w:t>
      </w:r>
      <w:proofErr w:type="spellStart"/>
      <w:r>
        <w:t>ofa+chl</w:t>
      </w:r>
      <w:proofErr w:type="spellEnd"/>
      <w:r>
        <w:t xml:space="preserve">; </w:t>
      </w:r>
      <w:proofErr w:type="spellStart"/>
      <w:r>
        <w:t>ritux+chl</w:t>
      </w:r>
      <w:proofErr w:type="spellEnd"/>
      <w:r>
        <w:t>).</w:t>
      </w:r>
      <w:r w:rsidR="00CB3912">
        <w:t xml:space="preserve"> </w:t>
      </w:r>
      <w:r w:rsidR="00CB3912" w:rsidRPr="00E773B1">
        <w:t>The ESC considered the nominated comparator was appropriate.</w:t>
      </w:r>
    </w:p>
    <w:p w:rsidR="00B60939" w:rsidRPr="007B253D" w:rsidRDefault="004800C1" w:rsidP="00B2597F">
      <w:pPr>
        <w:pStyle w:val="ListParagraph"/>
        <w:numPr>
          <w:ilvl w:val="1"/>
          <w:numId w:val="1"/>
        </w:numPr>
      </w:pPr>
      <w:r w:rsidRPr="00E773B1">
        <w:lastRenderedPageBreak/>
        <w:t xml:space="preserve">The resubmission </w:t>
      </w:r>
      <w:r w:rsidR="00C94E55" w:rsidRPr="00E773B1">
        <w:t>noted</w:t>
      </w:r>
      <w:r w:rsidRPr="00E773B1">
        <w:t xml:space="preserve"> that FCR is not a relevant comparator as del17p patients respond poorly and progres</w:t>
      </w:r>
      <w:r w:rsidR="00B142BE" w:rsidRPr="00E773B1">
        <w:t xml:space="preserve">s rapidly on this regimen, and </w:t>
      </w:r>
      <w:r w:rsidR="00CD13C0" w:rsidRPr="00E773B1">
        <w:t xml:space="preserve">hence </w:t>
      </w:r>
      <w:r w:rsidRPr="00E773B1">
        <w:t xml:space="preserve">patients with del17p are considered unsuitable for FCR.  </w:t>
      </w:r>
      <w:r w:rsidRPr="00E773B1">
        <w:rPr>
          <w:iCs/>
        </w:rPr>
        <w:t>Th</w:t>
      </w:r>
      <w:r w:rsidR="002D3C3B" w:rsidRPr="00E773B1">
        <w:rPr>
          <w:iCs/>
        </w:rPr>
        <w:t>e ESC agreed with the resubmission that FCR was not a relevant comparator.</w:t>
      </w:r>
      <w:r w:rsidRPr="00E773B1">
        <w:rPr>
          <w:iCs/>
        </w:rPr>
        <w:t xml:space="preserve"> </w:t>
      </w:r>
    </w:p>
    <w:p w:rsidR="007B253D" w:rsidRPr="00582C84" w:rsidRDefault="007B253D" w:rsidP="00582C84">
      <w:pPr>
        <w:pStyle w:val="ListParagraph"/>
        <w:rPr>
          <w:i/>
        </w:rPr>
      </w:pPr>
      <w:r w:rsidRPr="007B253D">
        <w:rPr>
          <w:i/>
        </w:rPr>
        <w:t>For more detail on PBAC’s view, see section 7 PBAC outcome.</w:t>
      </w:r>
    </w:p>
    <w:p w:rsidR="00B50DB8" w:rsidRDefault="00BD6CF3" w:rsidP="001E39A7">
      <w:pPr>
        <w:pStyle w:val="PBACHeading1"/>
        <w:spacing w:before="240" w:after="120"/>
      </w:pPr>
      <w:bookmarkStart w:id="5" w:name="_Toc19716425"/>
      <w:r>
        <w:t>C</w:t>
      </w:r>
      <w:r w:rsidR="00B50DB8" w:rsidRPr="00407F2D">
        <w:t>onsideration of the evidence</w:t>
      </w:r>
      <w:bookmarkEnd w:id="5"/>
    </w:p>
    <w:p w:rsidR="007B253D" w:rsidRDefault="007B253D" w:rsidP="00032FEF">
      <w:pPr>
        <w:pStyle w:val="Heading2"/>
        <w:spacing w:before="240"/>
        <w:rPr>
          <w:rFonts w:asciiTheme="minorHAnsi" w:hAnsiTheme="minorHAnsi" w:cs="Arial"/>
          <w:bCs/>
          <w:snapToGrid w:val="0"/>
          <w:szCs w:val="28"/>
        </w:rPr>
      </w:pPr>
      <w:r w:rsidRPr="00032FEF">
        <w:t>Sponsor</w:t>
      </w:r>
      <w:r w:rsidRPr="00135F36">
        <w:rPr>
          <w:rFonts w:asciiTheme="minorHAnsi" w:hAnsiTheme="minorHAnsi" w:cs="Arial"/>
          <w:bCs/>
          <w:snapToGrid w:val="0"/>
          <w:szCs w:val="28"/>
        </w:rPr>
        <w:t xml:space="preserve"> hearing</w:t>
      </w:r>
    </w:p>
    <w:p w:rsidR="00032FEF" w:rsidRPr="00032FEF" w:rsidRDefault="00032FEF" w:rsidP="00032FEF"/>
    <w:p w:rsidR="007B253D" w:rsidRPr="00135F36" w:rsidRDefault="007B253D" w:rsidP="00B2597F">
      <w:pPr>
        <w:widowControl w:val="0"/>
        <w:numPr>
          <w:ilvl w:val="1"/>
          <w:numId w:val="1"/>
        </w:numPr>
        <w:spacing w:after="120"/>
        <w:rPr>
          <w:rFonts w:asciiTheme="minorHAnsi" w:hAnsiTheme="minorHAnsi" w:cs="Arial"/>
          <w:bCs/>
          <w:snapToGrid w:val="0"/>
        </w:rPr>
      </w:pPr>
      <w:r w:rsidRPr="00135F36">
        <w:rPr>
          <w:rFonts w:asciiTheme="minorHAnsi" w:hAnsiTheme="minorHAnsi" w:cs="Arial"/>
          <w:bCs/>
          <w:snapToGrid w:val="0"/>
        </w:rPr>
        <w:t>The</w:t>
      </w:r>
      <w:r w:rsidR="00135F36">
        <w:rPr>
          <w:rFonts w:asciiTheme="minorHAnsi" w:hAnsiTheme="minorHAnsi" w:cs="Arial"/>
          <w:bCs/>
          <w:snapToGrid w:val="0"/>
        </w:rPr>
        <w:t>re was no hearing for this item</w:t>
      </w:r>
      <w:r w:rsidRPr="00135F36">
        <w:rPr>
          <w:rFonts w:asciiTheme="minorHAnsi" w:hAnsiTheme="minorHAnsi" w:cs="Arial"/>
          <w:bCs/>
          <w:snapToGrid w:val="0"/>
        </w:rPr>
        <w:t>.</w:t>
      </w:r>
    </w:p>
    <w:p w:rsidR="007B253D" w:rsidRDefault="007B253D" w:rsidP="00032FEF">
      <w:pPr>
        <w:pStyle w:val="Heading2"/>
        <w:rPr>
          <w:rFonts w:asciiTheme="minorHAnsi" w:hAnsiTheme="minorHAnsi" w:cs="Arial"/>
          <w:bCs/>
          <w:snapToGrid w:val="0"/>
          <w:szCs w:val="28"/>
        </w:rPr>
      </w:pPr>
      <w:r w:rsidRPr="00032FEF">
        <w:t>Consumer</w:t>
      </w:r>
      <w:r w:rsidRPr="00135F36">
        <w:rPr>
          <w:rFonts w:asciiTheme="minorHAnsi" w:hAnsiTheme="minorHAnsi" w:cs="Arial"/>
          <w:bCs/>
          <w:snapToGrid w:val="0"/>
          <w:szCs w:val="28"/>
        </w:rPr>
        <w:t xml:space="preserve"> comments</w:t>
      </w:r>
    </w:p>
    <w:p w:rsidR="00032FEF" w:rsidRPr="00032FEF" w:rsidRDefault="00032FEF" w:rsidP="00032FEF"/>
    <w:p w:rsidR="007B253D" w:rsidRDefault="007B253D" w:rsidP="00B2597F">
      <w:pPr>
        <w:widowControl w:val="0"/>
        <w:numPr>
          <w:ilvl w:val="1"/>
          <w:numId w:val="1"/>
        </w:numPr>
        <w:spacing w:after="120"/>
        <w:rPr>
          <w:rFonts w:asciiTheme="minorHAnsi" w:hAnsiTheme="minorHAnsi" w:cs="Arial"/>
          <w:bCs/>
          <w:snapToGrid w:val="0"/>
        </w:rPr>
      </w:pPr>
      <w:r w:rsidRPr="00135F36">
        <w:rPr>
          <w:rFonts w:asciiTheme="minorHAnsi" w:hAnsiTheme="minorHAnsi" w:cs="Arial"/>
          <w:bCs/>
          <w:snapToGrid w:val="0"/>
        </w:rPr>
        <w:t>The PBAC noted and welcom</w:t>
      </w:r>
      <w:r w:rsidR="00135F36">
        <w:rPr>
          <w:rFonts w:asciiTheme="minorHAnsi" w:hAnsiTheme="minorHAnsi" w:cs="Arial"/>
          <w:bCs/>
          <w:snapToGrid w:val="0"/>
        </w:rPr>
        <w:t>ed the input from individuals (8), health care professionals (3) and organisations (3</w:t>
      </w:r>
      <w:r w:rsidRPr="00135F36">
        <w:rPr>
          <w:rFonts w:asciiTheme="minorHAnsi" w:hAnsiTheme="minorHAnsi" w:cs="Arial"/>
          <w:bCs/>
          <w:snapToGrid w:val="0"/>
        </w:rPr>
        <w:t xml:space="preserve">) via the Consumer Comments facility on the PBS website.  The comments described </w:t>
      </w:r>
      <w:r w:rsidR="00A06F09">
        <w:rPr>
          <w:rFonts w:asciiTheme="minorHAnsi" w:hAnsiTheme="minorHAnsi" w:cs="Arial"/>
          <w:bCs/>
          <w:snapToGrid w:val="0"/>
        </w:rPr>
        <w:t xml:space="preserve">concerns regarding the limited effectiveness and significant toxicity associated with currently available first-line treatment options for del17p (or mutation of TP53) CLL/SLL patients. The comments also described </w:t>
      </w:r>
      <w:r w:rsidRPr="00135F36">
        <w:rPr>
          <w:rFonts w:asciiTheme="minorHAnsi" w:hAnsiTheme="minorHAnsi" w:cs="Arial"/>
          <w:bCs/>
          <w:snapToGrid w:val="0"/>
        </w:rPr>
        <w:t xml:space="preserve">a range of benefits of treatment with </w:t>
      </w:r>
      <w:r w:rsidR="00135F36">
        <w:rPr>
          <w:rFonts w:asciiTheme="minorHAnsi" w:hAnsiTheme="minorHAnsi" w:cs="Arial"/>
          <w:bCs/>
          <w:snapToGrid w:val="0"/>
        </w:rPr>
        <w:t>ibrutinib</w:t>
      </w:r>
      <w:r w:rsidRPr="00135F36">
        <w:rPr>
          <w:rFonts w:asciiTheme="minorHAnsi" w:hAnsiTheme="minorHAnsi" w:cs="Arial"/>
          <w:bCs/>
          <w:snapToGrid w:val="0"/>
        </w:rPr>
        <w:t xml:space="preserve"> including </w:t>
      </w:r>
      <w:r w:rsidR="00A06F09">
        <w:rPr>
          <w:rFonts w:asciiTheme="minorHAnsi" w:hAnsiTheme="minorHAnsi" w:cs="Arial"/>
          <w:bCs/>
          <w:snapToGrid w:val="0"/>
        </w:rPr>
        <w:t xml:space="preserve">improved quality of life with side effects reported to be manageable. </w:t>
      </w:r>
    </w:p>
    <w:p w:rsidR="00B60939" w:rsidRPr="00882085" w:rsidRDefault="00B60939" w:rsidP="004B1CB4"/>
    <w:p w:rsidR="00B60939" w:rsidRPr="007E3667" w:rsidRDefault="00B60939" w:rsidP="00C9624D">
      <w:pPr>
        <w:pStyle w:val="Heading2"/>
      </w:pPr>
      <w:bookmarkStart w:id="6" w:name="_Toc19716426"/>
      <w:r w:rsidRPr="00C9624D">
        <w:t>Clinical trials</w:t>
      </w:r>
      <w:bookmarkEnd w:id="6"/>
    </w:p>
    <w:p w:rsidR="00B60939" w:rsidRPr="00882085" w:rsidRDefault="00B60939" w:rsidP="00B60939"/>
    <w:p w:rsidR="00862502" w:rsidRDefault="007A3278" w:rsidP="00B2597F">
      <w:pPr>
        <w:pStyle w:val="ListParagraph"/>
        <w:numPr>
          <w:ilvl w:val="1"/>
          <w:numId w:val="1"/>
        </w:numPr>
      </w:pPr>
      <w:r>
        <w:t xml:space="preserve">The resubmission was based on one head-to-head trial comparing </w:t>
      </w:r>
      <w:proofErr w:type="spellStart"/>
      <w:r>
        <w:t>ibr+obi</w:t>
      </w:r>
      <w:proofErr w:type="spellEnd"/>
      <w:r>
        <w:t xml:space="preserve"> and </w:t>
      </w:r>
      <w:proofErr w:type="spellStart"/>
      <w:r>
        <w:t>obi+chl</w:t>
      </w:r>
      <w:proofErr w:type="spellEnd"/>
      <w:r>
        <w:t xml:space="preserve"> </w:t>
      </w:r>
      <w:r w:rsidR="00367A7E">
        <w:t>(</w:t>
      </w:r>
      <w:r>
        <w:t>ILLUMINATE),</w:t>
      </w:r>
      <w:r w:rsidR="00367A7E">
        <w:t xml:space="preserve"> to demonstrate superiority of an </w:t>
      </w:r>
      <w:proofErr w:type="spellStart"/>
      <w:r w:rsidR="00367A7E">
        <w:t>ibrutinib</w:t>
      </w:r>
      <w:proofErr w:type="spellEnd"/>
      <w:r w:rsidR="00367A7E">
        <w:t xml:space="preserve">-containing regimen over </w:t>
      </w:r>
      <w:proofErr w:type="spellStart"/>
      <w:r w:rsidR="00367A7E">
        <w:t>obi+chl</w:t>
      </w:r>
      <w:proofErr w:type="spellEnd"/>
      <w:r w:rsidR="00367A7E">
        <w:t>,</w:t>
      </w:r>
      <w:r>
        <w:t xml:space="preserve"> along with two additional trials, one comparing </w:t>
      </w:r>
      <w:proofErr w:type="spellStart"/>
      <w:r>
        <w:t>ibrutinib</w:t>
      </w:r>
      <w:proofErr w:type="spellEnd"/>
      <w:r>
        <w:t xml:space="preserve"> to </w:t>
      </w:r>
      <w:proofErr w:type="spellStart"/>
      <w:r>
        <w:t>ibr+ritux</w:t>
      </w:r>
      <w:proofErr w:type="spellEnd"/>
      <w:r>
        <w:t xml:space="preserve"> and </w:t>
      </w:r>
      <w:proofErr w:type="spellStart"/>
      <w:r>
        <w:t>benda+ritux</w:t>
      </w:r>
      <w:proofErr w:type="spellEnd"/>
      <w:r>
        <w:t xml:space="preserve"> (ALLIANCE) and the second comparing ibrutinib to chlorambucil (RESONATE-2)</w:t>
      </w:r>
      <w:r w:rsidR="00367A7E">
        <w:t xml:space="preserve">, to support the claim that ibrutinib monotherapy is similar to </w:t>
      </w:r>
      <w:proofErr w:type="spellStart"/>
      <w:r w:rsidR="00367A7E">
        <w:t>ibr+obi</w:t>
      </w:r>
      <w:proofErr w:type="spellEnd"/>
      <w:r w:rsidRPr="00EB5599">
        <w:t xml:space="preserve">.  The RESONATE-2 trial, </w:t>
      </w:r>
      <w:r w:rsidRPr="00EB5599">
        <w:rPr>
          <w:iCs/>
        </w:rPr>
        <w:t>which excluded del17p patients</w:t>
      </w:r>
      <w:r w:rsidRPr="00EB5599">
        <w:t xml:space="preserve">, was </w:t>
      </w:r>
      <w:r w:rsidR="00A5315E" w:rsidRPr="00EB5599">
        <w:t xml:space="preserve">presented </w:t>
      </w:r>
      <w:r w:rsidRPr="00EB5599">
        <w:t>in the previous PBAC submissions requesting listing of ibrutinib for first-line treatment</w:t>
      </w:r>
      <w:r>
        <w:t xml:space="preserve"> of CLL/SLL.</w:t>
      </w:r>
    </w:p>
    <w:p w:rsidR="00CD13C0" w:rsidRPr="00045CCB" w:rsidRDefault="00CD13C0" w:rsidP="00B2597F">
      <w:pPr>
        <w:pStyle w:val="ListParagraph"/>
        <w:numPr>
          <w:ilvl w:val="1"/>
          <w:numId w:val="1"/>
        </w:numPr>
      </w:pPr>
      <w:r>
        <w:t>A diagrammatic representation of the clinical evidence included in the resubmission is presented in the figure below.</w:t>
      </w:r>
      <w:r w:rsidDel="00CD3F9F">
        <w:t xml:space="preserve"> </w:t>
      </w:r>
    </w:p>
    <w:p w:rsidR="00CD13C0" w:rsidRDefault="00CD13C0" w:rsidP="00CD13C0">
      <w:pPr>
        <w:rPr>
          <w:rFonts w:ascii="Arial Narrow" w:hAnsi="Arial Narrow"/>
          <w:b/>
          <w:bCs/>
          <w:sz w:val="20"/>
          <w:szCs w:val="20"/>
        </w:rPr>
      </w:pPr>
    </w:p>
    <w:p w:rsidR="00CD13C0" w:rsidRDefault="00CD13C0">
      <w:pPr>
        <w:jc w:val="left"/>
        <w:rPr>
          <w:rFonts w:ascii="Arial Narrow" w:hAnsi="Arial Narrow"/>
          <w:b/>
          <w:bCs/>
          <w:sz w:val="20"/>
          <w:szCs w:val="20"/>
        </w:rPr>
      </w:pPr>
      <w:r>
        <w:rPr>
          <w:rFonts w:ascii="Arial Narrow" w:hAnsi="Arial Narrow"/>
          <w:b/>
          <w:bCs/>
          <w:sz w:val="20"/>
          <w:szCs w:val="20"/>
        </w:rPr>
        <w:br w:type="page"/>
      </w:r>
    </w:p>
    <w:p w:rsidR="00545A8B" w:rsidRDefault="00545A8B" w:rsidP="00916482">
      <w:pPr>
        <w:rPr>
          <w:rFonts w:ascii="Arial Narrow" w:hAnsi="Arial Narrow"/>
          <w:b/>
          <w:bCs/>
          <w:sz w:val="20"/>
          <w:szCs w:val="20"/>
        </w:rPr>
      </w:pPr>
    </w:p>
    <w:p w:rsidR="00916482" w:rsidRDefault="00CD13C0" w:rsidP="00916482">
      <w:pPr>
        <w:rPr>
          <w:rFonts w:ascii="Arial Narrow" w:hAnsi="Arial Narrow"/>
          <w:b/>
          <w:bCs/>
          <w:sz w:val="20"/>
          <w:szCs w:val="20"/>
        </w:rPr>
      </w:pPr>
      <w:r>
        <w:rPr>
          <w:rFonts w:ascii="Arial Narrow" w:hAnsi="Arial Narrow"/>
          <w:b/>
          <w:bCs/>
          <w:sz w:val="20"/>
          <w:szCs w:val="20"/>
        </w:rPr>
        <w:t>Figure 2</w:t>
      </w:r>
      <w:r w:rsidR="00AF0125">
        <w:rPr>
          <w:rFonts w:ascii="Arial Narrow" w:hAnsi="Arial Narrow"/>
          <w:b/>
          <w:bCs/>
          <w:sz w:val="20"/>
          <w:szCs w:val="20"/>
        </w:rPr>
        <w:t xml:space="preserve">: </w:t>
      </w:r>
      <w:r w:rsidRPr="00CD3F9F">
        <w:rPr>
          <w:rFonts w:ascii="Arial Narrow" w:hAnsi="Arial Narrow"/>
          <w:b/>
          <w:bCs/>
          <w:sz w:val="20"/>
          <w:szCs w:val="20"/>
        </w:rPr>
        <w:t>Evidence bas</w:t>
      </w:r>
      <w:r w:rsidR="00916482">
        <w:rPr>
          <w:rFonts w:ascii="Arial Narrow" w:hAnsi="Arial Narrow"/>
          <w:b/>
          <w:bCs/>
          <w:sz w:val="20"/>
          <w:szCs w:val="20"/>
        </w:rPr>
        <w:t>e presented in the resubmission</w:t>
      </w:r>
    </w:p>
    <w:p w:rsidR="00916482" w:rsidRPr="00916482" w:rsidRDefault="00906E74" w:rsidP="00916482">
      <w:pPr>
        <w:rPr>
          <w:rFonts w:ascii="Arial Narrow" w:hAnsi="Arial Narrow"/>
          <w:b/>
          <w:bCs/>
          <w:sz w:val="20"/>
          <w:szCs w:val="20"/>
        </w:rPr>
      </w:pPr>
      <w:r>
        <w:rPr>
          <w:rFonts w:ascii="Arial" w:hAnsi="Arial" w:cs="Arial"/>
          <w:b/>
          <w:noProof/>
          <w:color w:val="A30001"/>
          <w:lang w:eastAsia="en-AU"/>
        </w:rPr>
        <mc:AlternateContent>
          <mc:Choice Requires="wpg">
            <w:drawing>
              <wp:anchor distT="0" distB="0" distL="114300" distR="114300" simplePos="0" relativeHeight="251664896" behindDoc="0" locked="0" layoutInCell="1" allowOverlap="1" wp14:anchorId="5DE9585E" wp14:editId="5BF0073B">
                <wp:simplePos x="0" y="0"/>
                <wp:positionH relativeFrom="column">
                  <wp:posOffset>0</wp:posOffset>
                </wp:positionH>
                <wp:positionV relativeFrom="paragraph">
                  <wp:posOffset>114300</wp:posOffset>
                </wp:positionV>
                <wp:extent cx="6238240" cy="5059045"/>
                <wp:effectExtent l="19050" t="0" r="10160" b="27305"/>
                <wp:wrapNone/>
                <wp:docPr id="2" name="Group 2" title="Figure 2:  Evidence base presented in the resubmission"/>
                <wp:cNvGraphicFramePr/>
                <a:graphic xmlns:a="http://schemas.openxmlformats.org/drawingml/2006/main">
                  <a:graphicData uri="http://schemas.microsoft.com/office/word/2010/wordprocessingGroup">
                    <wpg:wgp>
                      <wpg:cNvGrpSpPr/>
                      <wpg:grpSpPr>
                        <a:xfrm>
                          <a:off x="0" y="0"/>
                          <a:ext cx="6238240" cy="5059045"/>
                          <a:chOff x="0" y="0"/>
                          <a:chExt cx="6238457" cy="5059206"/>
                        </a:xfrm>
                      </wpg:grpSpPr>
                      <wps:wsp>
                        <wps:cNvPr id="3" name="Text Box 3"/>
                        <wps:cNvSpPr txBox="1"/>
                        <wps:spPr>
                          <a:xfrm>
                            <a:off x="1863524" y="822928"/>
                            <a:ext cx="2453833" cy="1018572"/>
                          </a:xfrm>
                          <a:prstGeom prst="rect">
                            <a:avLst/>
                          </a:prstGeom>
                          <a:solidFill>
                            <a:schemeClr val="lt1"/>
                          </a:solidFill>
                          <a:ln w="28575">
                            <a:solidFill>
                              <a:prstClr val="black"/>
                            </a:solidFill>
                          </a:ln>
                        </wps:spPr>
                        <wps:txbx>
                          <w:txbxContent>
                            <w:p w:rsidR="003E6798" w:rsidRPr="00177DAA" w:rsidRDefault="003E6798" w:rsidP="003E6798">
                              <w:pPr>
                                <w:jc w:val="center"/>
                                <w:rPr>
                                  <w:b/>
                                  <w:bCs/>
                                </w:rPr>
                              </w:pPr>
                              <w:r w:rsidRPr="00177DAA">
                                <w:rPr>
                                  <w:b/>
                                  <w:bCs/>
                                </w:rPr>
                                <w:t>ILLUMINATE</w:t>
                              </w:r>
                            </w:p>
                            <w:p w:rsidR="003E6798" w:rsidRPr="00C75B45" w:rsidRDefault="003E6798" w:rsidP="003E6798">
                              <w:pPr>
                                <w:jc w:val="center"/>
                                <w:rPr>
                                  <w:sz w:val="20"/>
                                  <w:szCs w:val="20"/>
                                </w:rPr>
                              </w:pPr>
                            </w:p>
                            <w:p w:rsidR="003E6798" w:rsidRDefault="00916482" w:rsidP="00916482">
                              <w:pPr>
                                <w:jc w:val="center"/>
                              </w:pPr>
                              <w:proofErr w:type="spellStart"/>
                              <w:proofErr w:type="gramStart"/>
                              <w:r>
                                <w:t>ibr+</w:t>
                              </w:r>
                              <w:proofErr w:type="gramEnd"/>
                              <w:r>
                                <w:t>obi</w:t>
                              </w:r>
                              <w:proofErr w:type="spellEnd"/>
                              <w:r>
                                <w:tab/>
                              </w:r>
                              <w:r>
                                <w:tab/>
                              </w:r>
                              <w:bookmarkStart w:id="7" w:name="_GoBack"/>
                              <w:bookmarkEnd w:id="7"/>
                              <w:r>
                                <w:t>vs.</w:t>
                              </w:r>
                              <w:r>
                                <w:tab/>
                              </w:r>
                              <w:proofErr w:type="spellStart"/>
                              <w:r w:rsidR="003E6798">
                                <w:t>obi+chl</w:t>
                              </w:r>
                              <w:proofErr w:type="spellEnd"/>
                            </w:p>
                            <w:p w:rsidR="003E6798" w:rsidRDefault="00916482" w:rsidP="00916482">
                              <w:pPr>
                                <w:jc w:val="center"/>
                              </w:pPr>
                              <w:r>
                                <w:t>N=113 (ITT)</w:t>
                              </w:r>
                              <w:r w:rsidR="003E6798">
                                <w:tab/>
                                <w:t>N=116 (ITT)</w:t>
                              </w:r>
                            </w:p>
                            <w:p w:rsidR="003E6798" w:rsidRDefault="00916482" w:rsidP="00916482">
                              <w:r>
                                <w:t xml:space="preserve"> N=14 (del17p)</w:t>
                              </w:r>
                              <w:r>
                                <w:tab/>
                                <w:t xml:space="preserve"> </w:t>
                              </w:r>
                              <w:r w:rsidR="003E6798">
                                <w:t>N=18 (del17p)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3265186"/>
                            <a:ext cx="1758950" cy="982635"/>
                          </a:xfrm>
                          <a:prstGeom prst="rect">
                            <a:avLst/>
                          </a:prstGeom>
                          <a:solidFill>
                            <a:schemeClr val="lt1"/>
                          </a:solidFill>
                          <a:ln w="28575">
                            <a:solidFill>
                              <a:srgbClr val="0070C0"/>
                            </a:solidFill>
                          </a:ln>
                        </wps:spPr>
                        <wps:txbx>
                          <w:txbxContent>
                            <w:p w:rsidR="003E6798" w:rsidRPr="00A7574C" w:rsidRDefault="003E6798" w:rsidP="00CD13C0">
                              <w:pPr>
                                <w:jc w:val="center"/>
                                <w:rPr>
                                  <w:b/>
                                  <w:bCs/>
                                  <w:color w:val="0070C0"/>
                                  <w:sz w:val="20"/>
                                  <w:szCs w:val="20"/>
                                </w:rPr>
                              </w:pPr>
                              <w:r w:rsidRPr="00A7574C">
                                <w:rPr>
                                  <w:b/>
                                  <w:bCs/>
                                  <w:color w:val="0070C0"/>
                                  <w:sz w:val="20"/>
                                  <w:szCs w:val="20"/>
                                </w:rPr>
                                <w:t>Naive comparison</w:t>
                              </w:r>
                            </w:p>
                            <w:p w:rsidR="003E6798" w:rsidRPr="00100A4E" w:rsidRDefault="003E6798" w:rsidP="00CD13C0">
                              <w:pPr>
                                <w:jc w:val="center"/>
                                <w:rPr>
                                  <w:b/>
                                  <w:bCs/>
                                  <w:sz w:val="20"/>
                                  <w:szCs w:val="20"/>
                                </w:rPr>
                              </w:pPr>
                              <w:proofErr w:type="gramStart"/>
                              <w:r w:rsidRPr="00A7574C">
                                <w:rPr>
                                  <w:b/>
                                  <w:bCs/>
                                  <w:color w:val="0070C0"/>
                                  <w:sz w:val="20"/>
                                  <w:szCs w:val="20"/>
                                </w:rPr>
                                <w:t>in</w:t>
                              </w:r>
                              <w:proofErr w:type="gramEnd"/>
                              <w:r w:rsidRPr="00A7574C">
                                <w:rPr>
                                  <w:b/>
                                  <w:bCs/>
                                  <w:color w:val="0070C0"/>
                                  <w:sz w:val="20"/>
                                  <w:szCs w:val="20"/>
                                </w:rPr>
                                <w:t xml:space="preserve"> del17p </w:t>
                              </w:r>
                              <w:r>
                                <w:rPr>
                                  <w:b/>
                                  <w:bCs/>
                                  <w:color w:val="0070C0"/>
                                  <w:sz w:val="20"/>
                                  <w:szCs w:val="20"/>
                                </w:rPr>
                                <w:t>subgroup</w:t>
                              </w:r>
                            </w:p>
                            <w:p w:rsidR="003E6798" w:rsidRPr="00CA2D04" w:rsidRDefault="003E6798" w:rsidP="00CD13C0">
                              <w:pPr>
                                <w:rPr>
                                  <w:sz w:val="13"/>
                                  <w:szCs w:val="13"/>
                                </w:rPr>
                              </w:pPr>
                            </w:p>
                            <w:p w:rsidR="003E6798" w:rsidRPr="00100A4E" w:rsidRDefault="003E6798" w:rsidP="008D51CC">
                              <w:pPr>
                                <w:jc w:val="center"/>
                                <w:rPr>
                                  <w:sz w:val="20"/>
                                  <w:szCs w:val="20"/>
                                </w:rPr>
                              </w:pPr>
                              <w:proofErr w:type="spellStart"/>
                              <w:proofErr w:type="gramStart"/>
                              <w:r w:rsidRPr="00100A4E">
                                <w:rPr>
                                  <w:sz w:val="20"/>
                                  <w:szCs w:val="20"/>
                                </w:rPr>
                                <w:t>ibr</w:t>
                              </w:r>
                              <w:proofErr w:type="spellEnd"/>
                              <w:proofErr w:type="gramEnd"/>
                              <w:r w:rsidRPr="00100A4E">
                                <w:rPr>
                                  <w:sz w:val="20"/>
                                  <w:szCs w:val="20"/>
                                </w:rPr>
                                <w:tab/>
                                <w:t>vs.</w:t>
                              </w:r>
                              <w:r w:rsidRPr="00100A4E">
                                <w:rPr>
                                  <w:sz w:val="20"/>
                                  <w:szCs w:val="20"/>
                                </w:rPr>
                                <w:tab/>
                                <w:t xml:space="preserve"> </w:t>
                              </w:r>
                              <w:proofErr w:type="spellStart"/>
                              <w:proofErr w:type="gramStart"/>
                              <w:r w:rsidRPr="00100A4E">
                                <w:rPr>
                                  <w:sz w:val="20"/>
                                  <w:szCs w:val="20"/>
                                </w:rPr>
                                <w:t>ibr+</w:t>
                              </w:r>
                              <w:proofErr w:type="gramEnd"/>
                              <w:r w:rsidRPr="00100A4E">
                                <w:rPr>
                                  <w:sz w:val="20"/>
                                  <w:szCs w:val="20"/>
                                </w:rPr>
                                <w:t>obi</w:t>
                              </w:r>
                              <w:proofErr w:type="spellEnd"/>
                              <w:r w:rsidRPr="00100A4E">
                                <w:rPr>
                                  <w:sz w:val="20"/>
                                  <w:szCs w:val="20"/>
                                </w:rPr>
                                <w:t xml:space="preserve"> </w:t>
                              </w:r>
                            </w:p>
                            <w:p w:rsidR="003E6798" w:rsidRPr="00100A4E" w:rsidRDefault="003E6798" w:rsidP="008D51CC">
                              <w:pPr>
                                <w:jc w:val="center"/>
                                <w:rPr>
                                  <w:sz w:val="20"/>
                                  <w:szCs w:val="20"/>
                                </w:rPr>
                              </w:pPr>
                              <w:r>
                                <w:rPr>
                                  <w:sz w:val="20"/>
                                  <w:szCs w:val="20"/>
                                </w:rPr>
                                <w:t>N=9</w:t>
                              </w:r>
                              <w:r>
                                <w:rPr>
                                  <w:sz w:val="20"/>
                                  <w:szCs w:val="20"/>
                                </w:rPr>
                                <w:tab/>
                              </w:r>
                              <w:r>
                                <w:rPr>
                                  <w:sz w:val="20"/>
                                  <w:szCs w:val="20"/>
                                </w:rPr>
                                <w:tab/>
                              </w:r>
                              <w:r w:rsidRPr="00100A4E">
                                <w:rPr>
                                  <w:sz w:val="20"/>
                                  <w:szCs w:val="20"/>
                                </w:rPr>
                                <w:t xml:space="preserve">N=14 </w:t>
                              </w:r>
                            </w:p>
                            <w:p w:rsidR="003E6798" w:rsidRDefault="003E6798" w:rsidP="008D51CC">
                              <w:pPr>
                                <w:bidi/>
                                <w:jc w:val="center"/>
                              </w:pPr>
                              <w:r w:rsidRPr="00100A4E">
                                <w:rPr>
                                  <w:sz w:val="20"/>
                                  <w:szCs w:val="20"/>
                                </w:rPr>
                                <w:t>ALLIANCE</w:t>
                              </w:r>
                              <w:r>
                                <w:rPr>
                                  <w:sz w:val="20"/>
                                  <w:szCs w:val="20"/>
                                </w:rPr>
                                <w:t xml:space="preserve"> </w:t>
                              </w:r>
                              <w:r w:rsidR="00545A8B">
                                <w:rPr>
                                  <w:sz w:val="20"/>
                                  <w:szCs w:val="20"/>
                                </w:rPr>
                                <w:t xml:space="preserve"> </w:t>
                              </w:r>
                              <w:r w:rsidR="008D51CC">
                                <w:rPr>
                                  <w:sz w:val="20"/>
                                  <w:szCs w:val="20"/>
                                </w:rPr>
                                <w:t xml:space="preserve"> </w:t>
                              </w:r>
                              <w:r w:rsidRPr="00100A4E">
                                <w:rPr>
                                  <w:sz w:val="20"/>
                                  <w:szCs w:val="20"/>
                                </w:rPr>
                                <w:t>ILLUMINATE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Down Arrow 6"/>
                        <wps:cNvSpPr/>
                        <wps:spPr>
                          <a:xfrm>
                            <a:off x="2997843" y="1840375"/>
                            <a:ext cx="45719" cy="37039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060293" y="3265186"/>
                            <a:ext cx="1758950" cy="982345"/>
                          </a:xfrm>
                          <a:prstGeom prst="rect">
                            <a:avLst/>
                          </a:prstGeom>
                          <a:solidFill>
                            <a:schemeClr val="lt1"/>
                          </a:solidFill>
                          <a:ln w="28575">
                            <a:solidFill>
                              <a:srgbClr val="0070C0"/>
                            </a:solidFill>
                          </a:ln>
                        </wps:spPr>
                        <wps:txbx>
                          <w:txbxContent>
                            <w:p w:rsidR="003E6798" w:rsidRPr="001B7D20" w:rsidRDefault="003E6798" w:rsidP="00CD13C0">
                              <w:pPr>
                                <w:jc w:val="center"/>
                                <w:rPr>
                                  <w:b/>
                                  <w:bCs/>
                                  <w:color w:val="0070C0"/>
                                  <w:sz w:val="20"/>
                                  <w:szCs w:val="20"/>
                                </w:rPr>
                              </w:pPr>
                              <w:r w:rsidRPr="001B7D20">
                                <w:rPr>
                                  <w:b/>
                                  <w:bCs/>
                                  <w:color w:val="0070C0"/>
                                  <w:sz w:val="20"/>
                                  <w:szCs w:val="20"/>
                                </w:rPr>
                                <w:t>Naive comparison</w:t>
                              </w:r>
                            </w:p>
                            <w:p w:rsidR="003E6798" w:rsidRPr="00100A4E" w:rsidRDefault="003E6798" w:rsidP="00CD13C0">
                              <w:pPr>
                                <w:jc w:val="center"/>
                                <w:rPr>
                                  <w:b/>
                                  <w:bCs/>
                                  <w:sz w:val="20"/>
                                  <w:szCs w:val="20"/>
                                </w:rPr>
                              </w:pPr>
                              <w:proofErr w:type="gramStart"/>
                              <w:r w:rsidRPr="001B7D20">
                                <w:rPr>
                                  <w:b/>
                                  <w:bCs/>
                                  <w:color w:val="0070C0"/>
                                  <w:sz w:val="20"/>
                                  <w:szCs w:val="20"/>
                                </w:rPr>
                                <w:t>in</w:t>
                              </w:r>
                              <w:proofErr w:type="gramEnd"/>
                              <w:r w:rsidRPr="001B7D20">
                                <w:rPr>
                                  <w:b/>
                                  <w:bCs/>
                                  <w:color w:val="0070C0"/>
                                  <w:sz w:val="20"/>
                                  <w:szCs w:val="20"/>
                                </w:rPr>
                                <w:t xml:space="preserve"> non del17p </w:t>
                              </w:r>
                              <w:r>
                                <w:rPr>
                                  <w:b/>
                                  <w:bCs/>
                                  <w:color w:val="0070C0"/>
                                  <w:sz w:val="20"/>
                                  <w:szCs w:val="20"/>
                                </w:rPr>
                                <w:t>subgroup</w:t>
                              </w:r>
                            </w:p>
                            <w:p w:rsidR="003E6798" w:rsidRPr="00CA2D04" w:rsidRDefault="003E6798" w:rsidP="00CD13C0">
                              <w:pPr>
                                <w:rPr>
                                  <w:sz w:val="13"/>
                                  <w:szCs w:val="13"/>
                                </w:rPr>
                              </w:pPr>
                            </w:p>
                            <w:p w:rsidR="003E6798" w:rsidRPr="00100A4E" w:rsidRDefault="008D51CC" w:rsidP="008D51CC">
                              <w:pPr>
                                <w:jc w:val="center"/>
                                <w:rPr>
                                  <w:sz w:val="20"/>
                                  <w:szCs w:val="20"/>
                                </w:rPr>
                              </w:pPr>
                              <w:proofErr w:type="spellStart"/>
                              <w:proofErr w:type="gramStart"/>
                              <w:r>
                                <w:rPr>
                                  <w:sz w:val="20"/>
                                  <w:szCs w:val="20"/>
                                </w:rPr>
                                <w:t>ibr</w:t>
                              </w:r>
                              <w:proofErr w:type="spellEnd"/>
                              <w:proofErr w:type="gramEnd"/>
                              <w:r>
                                <w:rPr>
                                  <w:sz w:val="20"/>
                                  <w:szCs w:val="20"/>
                                </w:rPr>
                                <w:tab/>
                                <w:t>vs.</w:t>
                              </w:r>
                              <w:r>
                                <w:rPr>
                                  <w:sz w:val="20"/>
                                  <w:szCs w:val="20"/>
                                </w:rPr>
                                <w:tab/>
                              </w:r>
                              <w:proofErr w:type="spellStart"/>
                              <w:r w:rsidR="003E6798" w:rsidRPr="00100A4E">
                                <w:rPr>
                                  <w:sz w:val="20"/>
                                  <w:szCs w:val="20"/>
                                </w:rPr>
                                <w:t>ibr+obi</w:t>
                              </w:r>
                              <w:proofErr w:type="spellEnd"/>
                              <w:r w:rsidR="003E6798" w:rsidRPr="00100A4E">
                                <w:rPr>
                                  <w:sz w:val="20"/>
                                  <w:szCs w:val="20"/>
                                </w:rPr>
                                <w:t xml:space="preserve"> </w:t>
                              </w:r>
                            </w:p>
                            <w:p w:rsidR="003E6798" w:rsidRPr="00100A4E" w:rsidRDefault="003E6798" w:rsidP="008D51CC">
                              <w:pPr>
                                <w:jc w:val="center"/>
                                <w:rPr>
                                  <w:sz w:val="20"/>
                                  <w:szCs w:val="20"/>
                                </w:rPr>
                              </w:pPr>
                              <w:r w:rsidRPr="00100A4E">
                                <w:rPr>
                                  <w:sz w:val="20"/>
                                  <w:szCs w:val="20"/>
                                </w:rPr>
                                <w:t>N=</w:t>
                              </w:r>
                              <w:r>
                                <w:rPr>
                                  <w:sz w:val="20"/>
                                  <w:szCs w:val="20"/>
                                </w:rPr>
                                <w:t>136</w:t>
                              </w:r>
                              <w:r w:rsidR="008D51CC">
                                <w:rPr>
                                  <w:sz w:val="20"/>
                                  <w:szCs w:val="20"/>
                                </w:rPr>
                                <w:tab/>
                              </w:r>
                              <w:r w:rsidR="008D51CC">
                                <w:rPr>
                                  <w:sz w:val="20"/>
                                  <w:szCs w:val="20"/>
                                </w:rPr>
                                <w:tab/>
                              </w:r>
                              <w:r w:rsidRPr="00100A4E">
                                <w:rPr>
                                  <w:sz w:val="20"/>
                                  <w:szCs w:val="20"/>
                                </w:rPr>
                                <w:t>N=</w:t>
                              </w:r>
                              <w:r>
                                <w:rPr>
                                  <w:sz w:val="20"/>
                                  <w:szCs w:val="20"/>
                                </w:rPr>
                                <w:t>99</w:t>
                              </w:r>
                              <w:r w:rsidRPr="00100A4E">
                                <w:rPr>
                                  <w:sz w:val="20"/>
                                  <w:szCs w:val="20"/>
                                </w:rPr>
                                <w:t xml:space="preserve"> </w:t>
                              </w:r>
                            </w:p>
                            <w:p w:rsidR="003E6798" w:rsidRDefault="008D51CC" w:rsidP="008D51CC">
                              <w:pPr>
                                <w:jc w:val="center"/>
                              </w:pPr>
                              <w:r>
                                <w:rPr>
                                  <w:sz w:val="20"/>
                                  <w:szCs w:val="20"/>
                                </w:rPr>
                                <w:t xml:space="preserve">RESONATE-2  </w:t>
                              </w:r>
                              <w:r w:rsidR="00545A8B">
                                <w:rPr>
                                  <w:sz w:val="20"/>
                                  <w:szCs w:val="20"/>
                                </w:rPr>
                                <w:t xml:space="preserve"> </w:t>
                              </w:r>
                              <w:r w:rsidR="003E6798" w:rsidRPr="00100A4E">
                                <w:rPr>
                                  <w:sz w:val="20"/>
                                  <w:szCs w:val="20"/>
                                </w:rPr>
                                <w:t>ILLUMINATE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132162" y="3276761"/>
                            <a:ext cx="2106295" cy="1782445"/>
                          </a:xfrm>
                          <a:prstGeom prst="rect">
                            <a:avLst/>
                          </a:prstGeom>
                          <a:solidFill>
                            <a:schemeClr val="lt1"/>
                          </a:solidFill>
                          <a:ln w="28575">
                            <a:solidFill>
                              <a:srgbClr val="7030A0"/>
                            </a:solidFill>
                          </a:ln>
                        </wps:spPr>
                        <wps:txbx>
                          <w:txbxContent>
                            <w:p w:rsidR="003E6798" w:rsidRPr="001544E8" w:rsidRDefault="003E6798" w:rsidP="00CD13C0">
                              <w:pPr>
                                <w:jc w:val="center"/>
                                <w:rPr>
                                  <w:b/>
                                  <w:bCs/>
                                  <w:color w:val="7030A0"/>
                                  <w:sz w:val="20"/>
                                  <w:szCs w:val="20"/>
                                </w:rPr>
                              </w:pPr>
                              <w:r w:rsidRPr="001544E8">
                                <w:rPr>
                                  <w:b/>
                                  <w:bCs/>
                                  <w:color w:val="7030A0"/>
                                  <w:sz w:val="20"/>
                                  <w:szCs w:val="20"/>
                                </w:rPr>
                                <w:t>Direct comparison</w:t>
                              </w:r>
                            </w:p>
                            <w:p w:rsidR="003E6798" w:rsidRPr="00100A4E" w:rsidRDefault="003E6798" w:rsidP="00CD13C0">
                              <w:pPr>
                                <w:jc w:val="center"/>
                                <w:rPr>
                                  <w:b/>
                                  <w:bCs/>
                                  <w:sz w:val="20"/>
                                  <w:szCs w:val="20"/>
                                </w:rPr>
                              </w:pPr>
                              <w:proofErr w:type="gramStart"/>
                              <w:r w:rsidRPr="001544E8">
                                <w:rPr>
                                  <w:b/>
                                  <w:bCs/>
                                  <w:color w:val="7030A0"/>
                                  <w:sz w:val="20"/>
                                  <w:szCs w:val="20"/>
                                </w:rPr>
                                <w:t>in</w:t>
                              </w:r>
                              <w:proofErr w:type="gramEnd"/>
                              <w:r w:rsidRPr="001544E8">
                                <w:rPr>
                                  <w:b/>
                                  <w:bCs/>
                                  <w:color w:val="7030A0"/>
                                  <w:sz w:val="20"/>
                                  <w:szCs w:val="20"/>
                                </w:rPr>
                                <w:t xml:space="preserve"> del17p subgroup</w:t>
                              </w:r>
                            </w:p>
                            <w:p w:rsidR="003E6798" w:rsidRPr="00CA2D04" w:rsidRDefault="003E6798" w:rsidP="00CD13C0">
                              <w:pPr>
                                <w:rPr>
                                  <w:sz w:val="13"/>
                                  <w:szCs w:val="13"/>
                                </w:rPr>
                              </w:pPr>
                            </w:p>
                            <w:p w:rsidR="003E6798" w:rsidRPr="00100A4E" w:rsidRDefault="003E6798" w:rsidP="008D51CC">
                              <w:pPr>
                                <w:jc w:val="center"/>
                                <w:rPr>
                                  <w:sz w:val="20"/>
                                  <w:szCs w:val="20"/>
                                </w:rPr>
                              </w:pPr>
                              <w:proofErr w:type="spellStart"/>
                              <w:proofErr w:type="gramStart"/>
                              <w:r w:rsidRPr="00100A4E">
                                <w:rPr>
                                  <w:sz w:val="20"/>
                                  <w:szCs w:val="20"/>
                                </w:rPr>
                                <w:t>ibr</w:t>
                              </w:r>
                              <w:proofErr w:type="spellEnd"/>
                              <w:proofErr w:type="gramEnd"/>
                              <w:r w:rsidRPr="00100A4E">
                                <w:rPr>
                                  <w:sz w:val="20"/>
                                  <w:szCs w:val="20"/>
                                </w:rPr>
                                <w:tab/>
                                <w:t>vs.</w:t>
                              </w:r>
                              <w:r w:rsidRPr="00100A4E">
                                <w:rPr>
                                  <w:sz w:val="20"/>
                                  <w:szCs w:val="20"/>
                                </w:rPr>
                                <w:tab/>
                                <w:t xml:space="preserve"> </w:t>
                              </w:r>
                              <w:proofErr w:type="spellStart"/>
                              <w:proofErr w:type="gramStart"/>
                              <w:r w:rsidRPr="00100A4E">
                                <w:rPr>
                                  <w:sz w:val="20"/>
                                  <w:szCs w:val="20"/>
                                </w:rPr>
                                <w:t>ibr+</w:t>
                              </w:r>
                              <w:proofErr w:type="gramEnd"/>
                              <w:r>
                                <w:rPr>
                                  <w:sz w:val="20"/>
                                  <w:szCs w:val="20"/>
                                </w:rPr>
                                <w:t>ritux</w:t>
                              </w:r>
                              <w:proofErr w:type="spellEnd"/>
                            </w:p>
                            <w:p w:rsidR="003E6798" w:rsidRPr="00100A4E" w:rsidRDefault="003E6798" w:rsidP="008D51CC">
                              <w:pPr>
                                <w:jc w:val="center"/>
                                <w:rPr>
                                  <w:sz w:val="20"/>
                                  <w:szCs w:val="20"/>
                                </w:rPr>
                              </w:pPr>
                              <w:r w:rsidRPr="00100A4E">
                                <w:rPr>
                                  <w:sz w:val="20"/>
                                  <w:szCs w:val="20"/>
                                </w:rPr>
                                <w:t>N=9</w:t>
                              </w:r>
                              <w:r w:rsidRPr="00100A4E">
                                <w:rPr>
                                  <w:sz w:val="20"/>
                                  <w:szCs w:val="20"/>
                                </w:rPr>
                                <w:tab/>
                              </w:r>
                              <w:r w:rsidRPr="00100A4E">
                                <w:rPr>
                                  <w:sz w:val="20"/>
                                  <w:szCs w:val="20"/>
                                </w:rPr>
                                <w:tab/>
                                <w:t>N=</w:t>
                              </w:r>
                              <w:r>
                                <w:rPr>
                                  <w:sz w:val="20"/>
                                  <w:szCs w:val="20"/>
                                </w:rPr>
                                <w:t>11</w:t>
                              </w:r>
                            </w:p>
                            <w:p w:rsidR="003E6798" w:rsidRDefault="003E6798" w:rsidP="008D51CC">
                              <w:pPr>
                                <w:jc w:val="center"/>
                                <w:rPr>
                                  <w:sz w:val="20"/>
                                  <w:szCs w:val="20"/>
                                </w:rPr>
                              </w:pPr>
                              <w:r>
                                <w:rPr>
                                  <w:sz w:val="20"/>
                                  <w:szCs w:val="20"/>
                                </w:rPr>
                                <w:t>ALLIANCE</w:t>
                              </w:r>
                            </w:p>
                            <w:p w:rsidR="003E6798" w:rsidRPr="00010AB9" w:rsidRDefault="003E6798" w:rsidP="008D51CC">
                              <w:pPr>
                                <w:jc w:val="center"/>
                                <w:rPr>
                                  <w:sz w:val="13"/>
                                  <w:szCs w:val="13"/>
                                </w:rPr>
                              </w:pPr>
                            </w:p>
                            <w:p w:rsidR="003E6798" w:rsidRPr="007C63E6" w:rsidRDefault="003E6798" w:rsidP="008D51CC">
                              <w:pPr>
                                <w:jc w:val="center"/>
                                <w:rPr>
                                  <w:b/>
                                  <w:bCs/>
                                  <w:sz w:val="20"/>
                                  <w:szCs w:val="20"/>
                                </w:rPr>
                              </w:pPr>
                              <w:proofErr w:type="gramStart"/>
                              <w:r w:rsidRPr="001544E8">
                                <w:rPr>
                                  <w:b/>
                                  <w:bCs/>
                                  <w:color w:val="7030A0"/>
                                  <w:sz w:val="20"/>
                                  <w:szCs w:val="20"/>
                                </w:rPr>
                                <w:t>and</w:t>
                              </w:r>
                              <w:proofErr w:type="gramEnd"/>
                              <w:r w:rsidRPr="001544E8">
                                <w:rPr>
                                  <w:b/>
                                  <w:bCs/>
                                  <w:color w:val="7030A0"/>
                                  <w:sz w:val="20"/>
                                  <w:szCs w:val="20"/>
                                </w:rPr>
                                <w:t xml:space="preserve"> in ITT population</w:t>
                              </w:r>
                            </w:p>
                            <w:p w:rsidR="003E6798" w:rsidRPr="00010AB9" w:rsidRDefault="003E6798" w:rsidP="008D51CC">
                              <w:pPr>
                                <w:jc w:val="center"/>
                                <w:rPr>
                                  <w:sz w:val="13"/>
                                  <w:szCs w:val="13"/>
                                </w:rPr>
                              </w:pPr>
                            </w:p>
                            <w:p w:rsidR="003E6798" w:rsidRPr="007C63E6" w:rsidRDefault="003E6798" w:rsidP="008D51CC">
                              <w:pPr>
                                <w:jc w:val="center"/>
                                <w:rPr>
                                  <w:sz w:val="20"/>
                                  <w:szCs w:val="20"/>
                                </w:rPr>
                              </w:pPr>
                              <w:proofErr w:type="spellStart"/>
                              <w:proofErr w:type="gramStart"/>
                              <w:r w:rsidRPr="007C63E6">
                                <w:rPr>
                                  <w:sz w:val="20"/>
                                  <w:szCs w:val="20"/>
                                </w:rPr>
                                <w:t>ibr</w:t>
                              </w:r>
                              <w:proofErr w:type="spellEnd"/>
                              <w:proofErr w:type="gramEnd"/>
                              <w:r w:rsidRPr="007C63E6">
                                <w:rPr>
                                  <w:sz w:val="20"/>
                                  <w:szCs w:val="20"/>
                                </w:rPr>
                                <w:tab/>
                                <w:t xml:space="preserve">vs. </w:t>
                              </w:r>
                              <w:r w:rsidRPr="007C63E6">
                                <w:rPr>
                                  <w:sz w:val="20"/>
                                  <w:szCs w:val="20"/>
                                </w:rPr>
                                <w:tab/>
                              </w:r>
                              <w:proofErr w:type="spellStart"/>
                              <w:proofErr w:type="gramStart"/>
                              <w:r w:rsidRPr="007C63E6">
                                <w:rPr>
                                  <w:sz w:val="20"/>
                                  <w:szCs w:val="20"/>
                                </w:rPr>
                                <w:t>ibr+</w:t>
                              </w:r>
                              <w:proofErr w:type="gramEnd"/>
                              <w:r w:rsidRPr="007C63E6">
                                <w:rPr>
                                  <w:sz w:val="20"/>
                                  <w:szCs w:val="20"/>
                                </w:rPr>
                                <w:t>ritux</w:t>
                              </w:r>
                              <w:proofErr w:type="spellEnd"/>
                            </w:p>
                            <w:p w:rsidR="003E6798" w:rsidRPr="007C63E6" w:rsidRDefault="003E6798" w:rsidP="008D51CC">
                              <w:pPr>
                                <w:jc w:val="center"/>
                                <w:rPr>
                                  <w:sz w:val="20"/>
                                  <w:szCs w:val="20"/>
                                </w:rPr>
                              </w:pPr>
                              <w:r w:rsidRPr="007C63E6">
                                <w:rPr>
                                  <w:sz w:val="20"/>
                                  <w:szCs w:val="20"/>
                                </w:rPr>
                                <w:t>N=</w:t>
                              </w:r>
                              <w:r>
                                <w:rPr>
                                  <w:sz w:val="20"/>
                                  <w:szCs w:val="20"/>
                                </w:rPr>
                                <w:t>182</w:t>
                              </w:r>
                              <w:r w:rsidR="008D51CC">
                                <w:rPr>
                                  <w:sz w:val="20"/>
                                  <w:szCs w:val="20"/>
                                </w:rPr>
                                <w:tab/>
                              </w:r>
                              <w:r w:rsidRPr="007C63E6">
                                <w:rPr>
                                  <w:sz w:val="20"/>
                                  <w:szCs w:val="20"/>
                                </w:rPr>
                                <w:tab/>
                                <w:t>N=</w:t>
                              </w:r>
                              <w:r>
                                <w:rPr>
                                  <w:sz w:val="20"/>
                                  <w:szCs w:val="20"/>
                                </w:rPr>
                                <w:t>182</w:t>
                              </w:r>
                            </w:p>
                            <w:p w:rsidR="003E6798" w:rsidRPr="007C63E6" w:rsidRDefault="003E6798" w:rsidP="008D51CC">
                              <w:pPr>
                                <w:jc w:val="center"/>
                                <w:rPr>
                                  <w:sz w:val="20"/>
                                  <w:szCs w:val="20"/>
                                </w:rPr>
                              </w:pPr>
                              <w:r w:rsidRPr="007C63E6">
                                <w:rPr>
                                  <w:sz w:val="20"/>
                                  <w:szCs w:val="20"/>
                                </w:rPr>
                                <w:t>ALLIANCE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3002344" y="2465408"/>
                            <a:ext cx="0" cy="798653"/>
                          </a:xfrm>
                          <a:prstGeom prst="line">
                            <a:avLst/>
                          </a:prstGeom>
                          <a:ln>
                            <a:solidFill>
                              <a:schemeClr val="tx1"/>
                            </a:solidFill>
                            <a:headEnd w="lg" len="sm"/>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2996717" y="2465408"/>
                            <a:ext cx="2147264" cy="79819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822927" y="2476982"/>
                            <a:ext cx="2176040" cy="79819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Text Box 26"/>
                        <wps:cNvSpPr txBox="1"/>
                        <wps:spPr>
                          <a:xfrm>
                            <a:off x="820590" y="2210555"/>
                            <a:ext cx="4478655" cy="273050"/>
                          </a:xfrm>
                          <a:prstGeom prst="rect">
                            <a:avLst/>
                          </a:prstGeom>
                          <a:noFill/>
                          <a:ln w="6350">
                            <a:noFill/>
                          </a:ln>
                        </wps:spPr>
                        <wps:txbx>
                          <w:txbxContent>
                            <w:p w:rsidR="003E6798" w:rsidRPr="001544E8" w:rsidRDefault="003E6798" w:rsidP="00CD13C0">
                              <w:pPr>
                                <w:jc w:val="center"/>
                                <w:rPr>
                                  <w:rFonts w:ascii="Arial" w:hAnsi="Arial" w:cs="Arial"/>
                                  <w:b/>
                                  <w:bCs/>
                                  <w:color w:val="730001"/>
                                </w:rPr>
                              </w:pPr>
                              <w:r w:rsidRPr="001544E8">
                                <w:rPr>
                                  <w:rFonts w:ascii="Arial" w:hAnsi="Arial" w:cs="Arial"/>
                                  <w:b/>
                                  <w:bCs/>
                                  <w:color w:val="730001"/>
                                </w:rPr>
                                <w:t xml:space="preserve">To </w:t>
                              </w:r>
                              <w:r>
                                <w:rPr>
                                  <w:rFonts w:ascii="Arial" w:hAnsi="Arial" w:cs="Arial"/>
                                  <w:b/>
                                  <w:bCs/>
                                  <w:color w:val="730001"/>
                                </w:rPr>
                                <w:t>support claim that</w:t>
                              </w:r>
                              <w:r w:rsidRPr="00FF1CE8">
                                <w:rPr>
                                  <w:rFonts w:ascii="Arial" w:hAnsi="Arial" w:cs="Arial"/>
                                  <w:b/>
                                  <w:bCs/>
                                  <w:color w:val="730001"/>
                                </w:rPr>
                                <w:t xml:space="preserve"> </w:t>
                              </w:r>
                              <w:proofErr w:type="spellStart"/>
                              <w:r w:rsidRPr="00FF1CE8">
                                <w:rPr>
                                  <w:rFonts w:ascii="Arial" w:hAnsi="Arial" w:cs="Arial"/>
                                  <w:b/>
                                  <w:bCs/>
                                  <w:color w:val="730001"/>
                                </w:rPr>
                                <w:t>ibr</w:t>
                              </w:r>
                              <w:proofErr w:type="spellEnd"/>
                              <w:r w:rsidRPr="001544E8">
                                <w:rPr>
                                  <w:rFonts w:ascii="Arial" w:hAnsi="Arial" w:cs="Arial"/>
                                  <w:b/>
                                  <w:bCs/>
                                  <w:color w:val="730001"/>
                                </w:rPr>
                                <w:t xml:space="preserve"> monotherapy is similar to </w:t>
                              </w:r>
                              <w:proofErr w:type="spellStart"/>
                              <w:r w:rsidRPr="001544E8">
                                <w:rPr>
                                  <w:rFonts w:ascii="Arial" w:hAnsi="Arial" w:cs="Arial"/>
                                  <w:b/>
                                  <w:bCs/>
                                  <w:color w:val="730001"/>
                                </w:rPr>
                                <w:t>ibr+obi</w:t>
                              </w:r>
                              <w:proofErr w:type="spellEnd"/>
                              <w:r w:rsidRPr="001544E8">
                                <w:rPr>
                                  <w:rFonts w:ascii="Arial" w:hAnsi="Arial" w:cs="Arial"/>
                                  <w:b/>
                                  <w:bCs/>
                                  <w:color w:val="73000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7" name="Down Arrow 27"/>
                        <wps:cNvSpPr/>
                        <wps:spPr>
                          <a:xfrm>
                            <a:off x="2951544" y="243069"/>
                            <a:ext cx="45719" cy="474787"/>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647057" y="0"/>
                            <a:ext cx="4803494" cy="243069"/>
                          </a:xfrm>
                          <a:prstGeom prst="rect">
                            <a:avLst/>
                          </a:prstGeom>
                          <a:solidFill>
                            <a:schemeClr val="lt1"/>
                          </a:solidFill>
                          <a:ln w="6350">
                            <a:noFill/>
                          </a:ln>
                        </wps:spPr>
                        <wps:txbx>
                          <w:txbxContent>
                            <w:p w:rsidR="003E6798" w:rsidRPr="00AA4E95" w:rsidRDefault="003E6798" w:rsidP="00CD13C0">
                              <w:pPr>
                                <w:rPr>
                                  <w14:textOutline w14:w="9525" w14:cap="rnd" w14:cmpd="sng" w14:algn="ctr">
                                    <w14:noFill/>
                                    <w14:prstDash w14:val="solid"/>
                                    <w14:bevel/>
                                  </w14:textOutline>
                                </w:rPr>
                              </w:pPr>
                              <w:r w:rsidRPr="00AA4E95">
                                <w:rPr>
                                  <w:rFonts w:ascii="Arial" w:hAnsi="Arial" w:cs="Arial"/>
                                  <w:b/>
                                  <w:color w:val="730001"/>
                                  <w14:textOutline w14:w="9525" w14:cap="rnd" w14:cmpd="sng" w14:algn="ctr">
                                    <w14:noFill/>
                                    <w14:prstDash w14:val="solid"/>
                                    <w14:bevel/>
                                  </w14:textOutline>
                                </w:rPr>
                                <w:t xml:space="preserve">To support claim of superiority of </w:t>
                              </w:r>
                              <w:proofErr w:type="spellStart"/>
                              <w:r w:rsidRPr="00AA4E95">
                                <w:rPr>
                                  <w:rFonts w:ascii="Arial" w:hAnsi="Arial" w:cs="Arial"/>
                                  <w:b/>
                                  <w:color w:val="730001"/>
                                  <w14:textOutline w14:w="9525" w14:cap="rnd" w14:cmpd="sng" w14:algn="ctr">
                                    <w14:noFill/>
                                    <w14:prstDash w14:val="solid"/>
                                    <w14:bevel/>
                                  </w14:textOutline>
                                </w:rPr>
                                <w:t>ibr+obi</w:t>
                              </w:r>
                              <w:proofErr w:type="spellEnd"/>
                              <w:r w:rsidRPr="00AA4E95">
                                <w:rPr>
                                  <w:rFonts w:ascii="Arial" w:hAnsi="Arial" w:cs="Arial"/>
                                  <w:b/>
                                  <w:color w:val="730001"/>
                                  <w14:textOutline w14:w="9525" w14:cap="rnd" w14:cmpd="sng" w14:algn="ctr">
                                    <w14:noFill/>
                                    <w14:prstDash w14:val="solid"/>
                                    <w14:bevel/>
                                  </w14:textOutline>
                                </w:rPr>
                                <w:t xml:space="preserve"> compared to </w:t>
                              </w:r>
                              <w:proofErr w:type="spellStart"/>
                              <w:r w:rsidRPr="00AA4E95">
                                <w:rPr>
                                  <w:rFonts w:ascii="Arial" w:hAnsi="Arial" w:cs="Arial"/>
                                  <w:b/>
                                  <w:color w:val="730001"/>
                                  <w14:textOutline w14:w="9525" w14:cap="rnd" w14:cmpd="sng" w14:algn="ctr">
                                    <w14:noFill/>
                                    <w14:prstDash w14:val="solid"/>
                                    <w14:bevel/>
                                  </w14:textOutline>
                                </w:rPr>
                                <w:t>obi+chl</w:t>
                              </w:r>
                              <w:proofErr w:type="spellEnd"/>
                              <w:r w:rsidRPr="00AA4E95">
                                <w:rPr>
                                  <w:rFonts w:ascii="Arial" w:hAnsi="Arial" w:cs="Arial"/>
                                  <w:b/>
                                  <w:color w:val="73000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79897" y="4849793"/>
                            <a:ext cx="1979271" cy="209413"/>
                          </a:xfrm>
                          <a:prstGeom prst="rect">
                            <a:avLst/>
                          </a:prstGeom>
                          <a:solidFill>
                            <a:schemeClr val="lt1"/>
                          </a:solidFill>
                          <a:ln w="6350">
                            <a:noFill/>
                          </a:ln>
                        </wps:spPr>
                        <wps:txbx>
                          <w:txbxContent>
                            <w:p w:rsidR="003E6798" w:rsidRPr="00F85069" w:rsidRDefault="003E6798" w:rsidP="00CD13C0">
                              <w:pPr>
                                <w:rPr>
                                  <w:rFonts w:ascii="Arial Narrow" w:hAnsi="Arial Narrow"/>
                                  <w:sz w:val="18"/>
                                  <w:szCs w:val="18"/>
                                </w:rPr>
                              </w:pPr>
                              <w:r w:rsidRPr="00F85069">
                                <w:rPr>
                                  <w:rFonts w:ascii="Arial Narrow" w:hAnsi="Arial Narrow"/>
                                  <w:sz w:val="18"/>
                                  <w:szCs w:val="18"/>
                                </w:rPr>
                                <w:t>Source:  Developed during the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DE9585E" id="Group 2" o:spid="_x0000_s1026" alt="Title: Figure 2:  Evidence base presented in the resubmission" style="position:absolute;left:0;text-align:left;margin-left:0;margin-top:9pt;width:491.2pt;height:398.35pt;z-index:251664896;mso-height-relative:margin" coordsize="62384,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">
                <v:shapetype id="_x0000_t202" coordsize="21600,21600" o:spt="202" path="m,l,21600r21600,l21600,xe">
                  <v:stroke joinstyle="miter"/>
                  <v:path gradientshapeok="t" o:connecttype="rect"/>
                </v:shapetype>
                <v:shape id="Text Box 3" o:spid="_x0000_s1027" type="#_x0000_t202" style="position:absolute;left:18635;top:8229;width:24538;height:10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" fillcolor="white [3201]" strokeweight="2.25pt">
                  <v:textbox>
                    <w:txbxContent>
                      <w:p w:rsidR="003E6798" w:rsidRPr="00177DAA" w:rsidRDefault="003E6798" w:rsidP="003E6798">
                        <w:pPr>
                          <w:jc w:val="center"/>
                          <w:rPr>
                            <w:b/>
                            <w:bCs/>
                          </w:rPr>
                        </w:pPr>
                        <w:r w:rsidRPr="00177DAA">
                          <w:rPr>
                            <w:b/>
                            <w:bCs/>
                          </w:rPr>
                          <w:t>ILLUMINATE</w:t>
                        </w:r>
                      </w:p>
                      <w:p w:rsidR="003E6798" w:rsidRPr="00C75B45" w:rsidRDefault="003E6798" w:rsidP="003E6798">
                        <w:pPr>
                          <w:jc w:val="center"/>
                          <w:rPr>
                            <w:sz w:val="20"/>
                            <w:szCs w:val="20"/>
                          </w:rPr>
                        </w:pPr>
                      </w:p>
                      <w:p w:rsidR="003E6798" w:rsidRDefault="00916482" w:rsidP="00916482">
                        <w:pPr>
                          <w:jc w:val="center"/>
                        </w:pPr>
                        <w:proofErr w:type="spellStart"/>
                        <w:proofErr w:type="gramStart"/>
                        <w:r>
                          <w:t>ibr+</w:t>
                        </w:r>
                        <w:proofErr w:type="gramEnd"/>
                        <w:r>
                          <w:t>obi</w:t>
                        </w:r>
                        <w:proofErr w:type="spellEnd"/>
                        <w:r>
                          <w:tab/>
                        </w:r>
                        <w:r>
                          <w:tab/>
                        </w:r>
                        <w:bookmarkStart w:id="8" w:name="_GoBack"/>
                        <w:bookmarkEnd w:id="8"/>
                        <w:r>
                          <w:t>vs.</w:t>
                        </w:r>
                        <w:r>
                          <w:tab/>
                        </w:r>
                        <w:proofErr w:type="spellStart"/>
                        <w:r w:rsidR="003E6798">
                          <w:t>obi+chl</w:t>
                        </w:r>
                        <w:proofErr w:type="spellEnd"/>
                      </w:p>
                      <w:p w:rsidR="003E6798" w:rsidRDefault="00916482" w:rsidP="00916482">
                        <w:pPr>
                          <w:jc w:val="center"/>
                        </w:pPr>
                        <w:r>
                          <w:t>N=113 (ITT)</w:t>
                        </w:r>
                        <w:r w:rsidR="003E6798">
                          <w:tab/>
                          <w:t>N=116 (ITT)</w:t>
                        </w:r>
                      </w:p>
                      <w:p w:rsidR="003E6798" w:rsidRDefault="00916482" w:rsidP="00916482">
                        <w:r>
                          <w:t xml:space="preserve"> N=14 (del17p)</w:t>
                        </w:r>
                        <w:r>
                          <w:tab/>
                          <w:t xml:space="preserve"> </w:t>
                        </w:r>
                        <w:r w:rsidR="003E6798">
                          <w:t>N=18 (del17p)</w:t>
                        </w:r>
                      </w:p>
                    </w:txbxContent>
                  </v:textbox>
                </v:shape>
                <v:shape id="Text Box 5" o:spid="_x0000_s1028" type="#_x0000_t202" style="position:absolute;top:32651;width:17589;height:9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" fillcolor="white [3201]" strokecolor="#0070c0" strokeweight="2.25pt">
                  <v:textbox>
                    <w:txbxContent>
                      <w:p w:rsidR="003E6798" w:rsidRPr="00A7574C" w:rsidRDefault="003E6798" w:rsidP="00CD13C0">
                        <w:pPr>
                          <w:jc w:val="center"/>
                          <w:rPr>
                            <w:b/>
                            <w:bCs/>
                            <w:color w:val="0070C0"/>
                            <w:sz w:val="20"/>
                            <w:szCs w:val="20"/>
                          </w:rPr>
                        </w:pPr>
                        <w:r w:rsidRPr="00A7574C">
                          <w:rPr>
                            <w:b/>
                            <w:bCs/>
                            <w:color w:val="0070C0"/>
                            <w:sz w:val="20"/>
                            <w:szCs w:val="20"/>
                          </w:rPr>
                          <w:t>Naive comparison</w:t>
                        </w:r>
                      </w:p>
                      <w:p w:rsidR="003E6798" w:rsidRPr="00100A4E" w:rsidRDefault="003E6798" w:rsidP="00CD13C0">
                        <w:pPr>
                          <w:jc w:val="center"/>
                          <w:rPr>
                            <w:b/>
                            <w:bCs/>
                            <w:sz w:val="20"/>
                            <w:szCs w:val="20"/>
                          </w:rPr>
                        </w:pPr>
                        <w:proofErr w:type="gramStart"/>
                        <w:r w:rsidRPr="00A7574C">
                          <w:rPr>
                            <w:b/>
                            <w:bCs/>
                            <w:color w:val="0070C0"/>
                            <w:sz w:val="20"/>
                            <w:szCs w:val="20"/>
                          </w:rPr>
                          <w:t>in</w:t>
                        </w:r>
                        <w:proofErr w:type="gramEnd"/>
                        <w:r w:rsidRPr="00A7574C">
                          <w:rPr>
                            <w:b/>
                            <w:bCs/>
                            <w:color w:val="0070C0"/>
                            <w:sz w:val="20"/>
                            <w:szCs w:val="20"/>
                          </w:rPr>
                          <w:t xml:space="preserve"> del17p </w:t>
                        </w:r>
                        <w:r>
                          <w:rPr>
                            <w:b/>
                            <w:bCs/>
                            <w:color w:val="0070C0"/>
                            <w:sz w:val="20"/>
                            <w:szCs w:val="20"/>
                          </w:rPr>
                          <w:t>subgroup</w:t>
                        </w:r>
                      </w:p>
                      <w:p w:rsidR="003E6798" w:rsidRPr="00CA2D04" w:rsidRDefault="003E6798" w:rsidP="00CD13C0">
                        <w:pPr>
                          <w:rPr>
                            <w:sz w:val="13"/>
                            <w:szCs w:val="13"/>
                          </w:rPr>
                        </w:pPr>
                      </w:p>
                      <w:p w:rsidR="003E6798" w:rsidRPr="00100A4E" w:rsidRDefault="003E6798" w:rsidP="008D51CC">
                        <w:pPr>
                          <w:jc w:val="center"/>
                          <w:rPr>
                            <w:sz w:val="20"/>
                            <w:szCs w:val="20"/>
                          </w:rPr>
                        </w:pPr>
                        <w:proofErr w:type="spellStart"/>
                        <w:proofErr w:type="gramStart"/>
                        <w:r w:rsidRPr="00100A4E">
                          <w:rPr>
                            <w:sz w:val="20"/>
                            <w:szCs w:val="20"/>
                          </w:rPr>
                          <w:t>ibr</w:t>
                        </w:r>
                        <w:proofErr w:type="spellEnd"/>
                        <w:proofErr w:type="gramEnd"/>
                        <w:r w:rsidRPr="00100A4E">
                          <w:rPr>
                            <w:sz w:val="20"/>
                            <w:szCs w:val="20"/>
                          </w:rPr>
                          <w:tab/>
                          <w:t>vs.</w:t>
                        </w:r>
                        <w:r w:rsidRPr="00100A4E">
                          <w:rPr>
                            <w:sz w:val="20"/>
                            <w:szCs w:val="20"/>
                          </w:rPr>
                          <w:tab/>
                          <w:t xml:space="preserve"> </w:t>
                        </w:r>
                        <w:proofErr w:type="spellStart"/>
                        <w:proofErr w:type="gramStart"/>
                        <w:r w:rsidRPr="00100A4E">
                          <w:rPr>
                            <w:sz w:val="20"/>
                            <w:szCs w:val="20"/>
                          </w:rPr>
                          <w:t>ibr+</w:t>
                        </w:r>
                        <w:proofErr w:type="gramEnd"/>
                        <w:r w:rsidRPr="00100A4E">
                          <w:rPr>
                            <w:sz w:val="20"/>
                            <w:szCs w:val="20"/>
                          </w:rPr>
                          <w:t>obi</w:t>
                        </w:r>
                        <w:proofErr w:type="spellEnd"/>
                        <w:r w:rsidRPr="00100A4E">
                          <w:rPr>
                            <w:sz w:val="20"/>
                            <w:szCs w:val="20"/>
                          </w:rPr>
                          <w:t xml:space="preserve"> </w:t>
                        </w:r>
                      </w:p>
                      <w:p w:rsidR="003E6798" w:rsidRPr="00100A4E" w:rsidRDefault="003E6798" w:rsidP="008D51CC">
                        <w:pPr>
                          <w:jc w:val="center"/>
                          <w:rPr>
                            <w:sz w:val="20"/>
                            <w:szCs w:val="20"/>
                          </w:rPr>
                        </w:pPr>
                        <w:r>
                          <w:rPr>
                            <w:sz w:val="20"/>
                            <w:szCs w:val="20"/>
                          </w:rPr>
                          <w:t>N=9</w:t>
                        </w:r>
                        <w:r>
                          <w:rPr>
                            <w:sz w:val="20"/>
                            <w:szCs w:val="20"/>
                          </w:rPr>
                          <w:tab/>
                        </w:r>
                        <w:r>
                          <w:rPr>
                            <w:sz w:val="20"/>
                            <w:szCs w:val="20"/>
                          </w:rPr>
                          <w:tab/>
                        </w:r>
                        <w:r w:rsidRPr="00100A4E">
                          <w:rPr>
                            <w:sz w:val="20"/>
                            <w:szCs w:val="20"/>
                          </w:rPr>
                          <w:t xml:space="preserve">N=14 </w:t>
                        </w:r>
                      </w:p>
                      <w:p w:rsidR="003E6798" w:rsidRDefault="003E6798" w:rsidP="008D51CC">
                        <w:pPr>
                          <w:bidi/>
                          <w:jc w:val="center"/>
                        </w:pPr>
                        <w:r w:rsidRPr="00100A4E">
                          <w:rPr>
                            <w:sz w:val="20"/>
                            <w:szCs w:val="20"/>
                          </w:rPr>
                          <w:t>ALLIANCE</w:t>
                        </w:r>
                        <w:r>
                          <w:rPr>
                            <w:sz w:val="20"/>
                            <w:szCs w:val="20"/>
                          </w:rPr>
                          <w:t xml:space="preserve"> </w:t>
                        </w:r>
                        <w:r w:rsidR="00545A8B">
                          <w:rPr>
                            <w:sz w:val="20"/>
                            <w:szCs w:val="20"/>
                          </w:rPr>
                          <w:t xml:space="preserve"> </w:t>
                        </w:r>
                        <w:r w:rsidR="008D51CC">
                          <w:rPr>
                            <w:sz w:val="20"/>
                            <w:szCs w:val="20"/>
                          </w:rPr>
                          <w:t xml:space="preserve"> </w:t>
                        </w:r>
                        <w:r w:rsidRPr="00100A4E">
                          <w:rPr>
                            <w:sz w:val="20"/>
                            <w:szCs w:val="20"/>
                          </w:rPr>
                          <w:t>ILLUMINATE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9" type="#_x0000_t67" style="position:absolute;left:29978;top:18403;width:457;height:3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" adj="20267" fillcolor="#4f81bd [3204]" strokecolor="black [3213]" strokeweight="2pt"/>
                <v:shape id="Text Box 7" o:spid="_x0000_s1030" type="#_x0000_t202" style="position:absolute;left:20602;top:32651;width:17590;height:9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" fillcolor="white [3201]" strokecolor="#0070c0" strokeweight="2.25pt">
                  <v:textbox>
                    <w:txbxContent>
                      <w:p w:rsidR="003E6798" w:rsidRPr="001B7D20" w:rsidRDefault="003E6798" w:rsidP="00CD13C0">
                        <w:pPr>
                          <w:jc w:val="center"/>
                          <w:rPr>
                            <w:b/>
                            <w:bCs/>
                            <w:color w:val="0070C0"/>
                            <w:sz w:val="20"/>
                            <w:szCs w:val="20"/>
                          </w:rPr>
                        </w:pPr>
                        <w:r w:rsidRPr="001B7D20">
                          <w:rPr>
                            <w:b/>
                            <w:bCs/>
                            <w:color w:val="0070C0"/>
                            <w:sz w:val="20"/>
                            <w:szCs w:val="20"/>
                          </w:rPr>
                          <w:t>Naive comparison</w:t>
                        </w:r>
                      </w:p>
                      <w:p w:rsidR="003E6798" w:rsidRPr="00100A4E" w:rsidRDefault="003E6798" w:rsidP="00CD13C0">
                        <w:pPr>
                          <w:jc w:val="center"/>
                          <w:rPr>
                            <w:b/>
                            <w:bCs/>
                            <w:sz w:val="20"/>
                            <w:szCs w:val="20"/>
                          </w:rPr>
                        </w:pPr>
                        <w:proofErr w:type="gramStart"/>
                        <w:r w:rsidRPr="001B7D20">
                          <w:rPr>
                            <w:b/>
                            <w:bCs/>
                            <w:color w:val="0070C0"/>
                            <w:sz w:val="20"/>
                            <w:szCs w:val="20"/>
                          </w:rPr>
                          <w:t>in</w:t>
                        </w:r>
                        <w:proofErr w:type="gramEnd"/>
                        <w:r w:rsidRPr="001B7D20">
                          <w:rPr>
                            <w:b/>
                            <w:bCs/>
                            <w:color w:val="0070C0"/>
                            <w:sz w:val="20"/>
                            <w:szCs w:val="20"/>
                          </w:rPr>
                          <w:t xml:space="preserve"> non del17p </w:t>
                        </w:r>
                        <w:r>
                          <w:rPr>
                            <w:b/>
                            <w:bCs/>
                            <w:color w:val="0070C0"/>
                            <w:sz w:val="20"/>
                            <w:szCs w:val="20"/>
                          </w:rPr>
                          <w:t>subgroup</w:t>
                        </w:r>
                      </w:p>
                      <w:p w:rsidR="003E6798" w:rsidRPr="00CA2D04" w:rsidRDefault="003E6798" w:rsidP="00CD13C0">
                        <w:pPr>
                          <w:rPr>
                            <w:sz w:val="13"/>
                            <w:szCs w:val="13"/>
                          </w:rPr>
                        </w:pPr>
                      </w:p>
                      <w:p w:rsidR="003E6798" w:rsidRPr="00100A4E" w:rsidRDefault="008D51CC" w:rsidP="008D51CC">
                        <w:pPr>
                          <w:jc w:val="center"/>
                          <w:rPr>
                            <w:sz w:val="20"/>
                            <w:szCs w:val="20"/>
                          </w:rPr>
                        </w:pPr>
                        <w:proofErr w:type="spellStart"/>
                        <w:proofErr w:type="gramStart"/>
                        <w:r>
                          <w:rPr>
                            <w:sz w:val="20"/>
                            <w:szCs w:val="20"/>
                          </w:rPr>
                          <w:t>ibr</w:t>
                        </w:r>
                        <w:proofErr w:type="spellEnd"/>
                        <w:proofErr w:type="gramEnd"/>
                        <w:r>
                          <w:rPr>
                            <w:sz w:val="20"/>
                            <w:szCs w:val="20"/>
                          </w:rPr>
                          <w:tab/>
                          <w:t>vs.</w:t>
                        </w:r>
                        <w:r>
                          <w:rPr>
                            <w:sz w:val="20"/>
                            <w:szCs w:val="20"/>
                          </w:rPr>
                          <w:tab/>
                        </w:r>
                        <w:proofErr w:type="spellStart"/>
                        <w:r w:rsidR="003E6798" w:rsidRPr="00100A4E">
                          <w:rPr>
                            <w:sz w:val="20"/>
                            <w:szCs w:val="20"/>
                          </w:rPr>
                          <w:t>ibr+obi</w:t>
                        </w:r>
                        <w:proofErr w:type="spellEnd"/>
                        <w:r w:rsidR="003E6798" w:rsidRPr="00100A4E">
                          <w:rPr>
                            <w:sz w:val="20"/>
                            <w:szCs w:val="20"/>
                          </w:rPr>
                          <w:t xml:space="preserve"> </w:t>
                        </w:r>
                      </w:p>
                      <w:p w:rsidR="003E6798" w:rsidRPr="00100A4E" w:rsidRDefault="003E6798" w:rsidP="008D51CC">
                        <w:pPr>
                          <w:jc w:val="center"/>
                          <w:rPr>
                            <w:sz w:val="20"/>
                            <w:szCs w:val="20"/>
                          </w:rPr>
                        </w:pPr>
                        <w:r w:rsidRPr="00100A4E">
                          <w:rPr>
                            <w:sz w:val="20"/>
                            <w:szCs w:val="20"/>
                          </w:rPr>
                          <w:t>N=</w:t>
                        </w:r>
                        <w:r>
                          <w:rPr>
                            <w:sz w:val="20"/>
                            <w:szCs w:val="20"/>
                          </w:rPr>
                          <w:t>136</w:t>
                        </w:r>
                        <w:r w:rsidR="008D51CC">
                          <w:rPr>
                            <w:sz w:val="20"/>
                            <w:szCs w:val="20"/>
                          </w:rPr>
                          <w:tab/>
                        </w:r>
                        <w:r w:rsidR="008D51CC">
                          <w:rPr>
                            <w:sz w:val="20"/>
                            <w:szCs w:val="20"/>
                          </w:rPr>
                          <w:tab/>
                        </w:r>
                        <w:r w:rsidRPr="00100A4E">
                          <w:rPr>
                            <w:sz w:val="20"/>
                            <w:szCs w:val="20"/>
                          </w:rPr>
                          <w:t>N=</w:t>
                        </w:r>
                        <w:r>
                          <w:rPr>
                            <w:sz w:val="20"/>
                            <w:szCs w:val="20"/>
                          </w:rPr>
                          <w:t>99</w:t>
                        </w:r>
                        <w:r w:rsidRPr="00100A4E">
                          <w:rPr>
                            <w:sz w:val="20"/>
                            <w:szCs w:val="20"/>
                          </w:rPr>
                          <w:t xml:space="preserve"> </w:t>
                        </w:r>
                      </w:p>
                      <w:p w:rsidR="003E6798" w:rsidRDefault="008D51CC" w:rsidP="008D51CC">
                        <w:pPr>
                          <w:jc w:val="center"/>
                        </w:pPr>
                        <w:r>
                          <w:rPr>
                            <w:sz w:val="20"/>
                            <w:szCs w:val="20"/>
                          </w:rPr>
                          <w:t xml:space="preserve">RESONATE-2  </w:t>
                        </w:r>
                        <w:r w:rsidR="00545A8B">
                          <w:rPr>
                            <w:sz w:val="20"/>
                            <w:szCs w:val="20"/>
                          </w:rPr>
                          <w:t xml:space="preserve"> </w:t>
                        </w:r>
                        <w:r w:rsidR="003E6798" w:rsidRPr="00100A4E">
                          <w:rPr>
                            <w:sz w:val="20"/>
                            <w:szCs w:val="20"/>
                          </w:rPr>
                          <w:t>ILLUMINATE</w:t>
                        </w:r>
                      </w:p>
                    </w:txbxContent>
                  </v:textbox>
                </v:shape>
                <v:shape id="Text Box 8" o:spid="_x0000_s1031" type="#_x0000_t202" style="position:absolute;left:41321;top:32767;width:21063;height:17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" fillcolor="white [3201]" strokecolor="#7030a0" strokeweight="2.25pt">
                  <v:textbox>
                    <w:txbxContent>
                      <w:p w:rsidR="003E6798" w:rsidRPr="001544E8" w:rsidRDefault="003E6798" w:rsidP="00CD13C0">
                        <w:pPr>
                          <w:jc w:val="center"/>
                          <w:rPr>
                            <w:b/>
                            <w:bCs/>
                            <w:color w:val="7030A0"/>
                            <w:sz w:val="20"/>
                            <w:szCs w:val="20"/>
                          </w:rPr>
                        </w:pPr>
                        <w:r w:rsidRPr="001544E8">
                          <w:rPr>
                            <w:b/>
                            <w:bCs/>
                            <w:color w:val="7030A0"/>
                            <w:sz w:val="20"/>
                            <w:szCs w:val="20"/>
                          </w:rPr>
                          <w:t>Direct comparison</w:t>
                        </w:r>
                      </w:p>
                      <w:p w:rsidR="003E6798" w:rsidRPr="00100A4E" w:rsidRDefault="003E6798" w:rsidP="00CD13C0">
                        <w:pPr>
                          <w:jc w:val="center"/>
                          <w:rPr>
                            <w:b/>
                            <w:bCs/>
                            <w:sz w:val="20"/>
                            <w:szCs w:val="20"/>
                          </w:rPr>
                        </w:pPr>
                        <w:proofErr w:type="gramStart"/>
                        <w:r w:rsidRPr="001544E8">
                          <w:rPr>
                            <w:b/>
                            <w:bCs/>
                            <w:color w:val="7030A0"/>
                            <w:sz w:val="20"/>
                            <w:szCs w:val="20"/>
                          </w:rPr>
                          <w:t>in</w:t>
                        </w:r>
                        <w:proofErr w:type="gramEnd"/>
                        <w:r w:rsidRPr="001544E8">
                          <w:rPr>
                            <w:b/>
                            <w:bCs/>
                            <w:color w:val="7030A0"/>
                            <w:sz w:val="20"/>
                            <w:szCs w:val="20"/>
                          </w:rPr>
                          <w:t xml:space="preserve"> del17p subgroup</w:t>
                        </w:r>
                      </w:p>
                      <w:p w:rsidR="003E6798" w:rsidRPr="00CA2D04" w:rsidRDefault="003E6798" w:rsidP="00CD13C0">
                        <w:pPr>
                          <w:rPr>
                            <w:sz w:val="13"/>
                            <w:szCs w:val="13"/>
                          </w:rPr>
                        </w:pPr>
                      </w:p>
                      <w:p w:rsidR="003E6798" w:rsidRPr="00100A4E" w:rsidRDefault="003E6798" w:rsidP="008D51CC">
                        <w:pPr>
                          <w:jc w:val="center"/>
                          <w:rPr>
                            <w:sz w:val="20"/>
                            <w:szCs w:val="20"/>
                          </w:rPr>
                        </w:pPr>
                        <w:proofErr w:type="spellStart"/>
                        <w:proofErr w:type="gramStart"/>
                        <w:r w:rsidRPr="00100A4E">
                          <w:rPr>
                            <w:sz w:val="20"/>
                            <w:szCs w:val="20"/>
                          </w:rPr>
                          <w:t>ibr</w:t>
                        </w:r>
                        <w:proofErr w:type="spellEnd"/>
                        <w:proofErr w:type="gramEnd"/>
                        <w:r w:rsidRPr="00100A4E">
                          <w:rPr>
                            <w:sz w:val="20"/>
                            <w:szCs w:val="20"/>
                          </w:rPr>
                          <w:tab/>
                          <w:t>vs.</w:t>
                        </w:r>
                        <w:r w:rsidRPr="00100A4E">
                          <w:rPr>
                            <w:sz w:val="20"/>
                            <w:szCs w:val="20"/>
                          </w:rPr>
                          <w:tab/>
                          <w:t xml:space="preserve"> </w:t>
                        </w:r>
                        <w:proofErr w:type="spellStart"/>
                        <w:proofErr w:type="gramStart"/>
                        <w:r w:rsidRPr="00100A4E">
                          <w:rPr>
                            <w:sz w:val="20"/>
                            <w:szCs w:val="20"/>
                          </w:rPr>
                          <w:t>ibr+</w:t>
                        </w:r>
                        <w:proofErr w:type="gramEnd"/>
                        <w:r>
                          <w:rPr>
                            <w:sz w:val="20"/>
                            <w:szCs w:val="20"/>
                          </w:rPr>
                          <w:t>ritux</w:t>
                        </w:r>
                        <w:proofErr w:type="spellEnd"/>
                      </w:p>
                      <w:p w:rsidR="003E6798" w:rsidRPr="00100A4E" w:rsidRDefault="003E6798" w:rsidP="008D51CC">
                        <w:pPr>
                          <w:jc w:val="center"/>
                          <w:rPr>
                            <w:sz w:val="20"/>
                            <w:szCs w:val="20"/>
                          </w:rPr>
                        </w:pPr>
                        <w:r w:rsidRPr="00100A4E">
                          <w:rPr>
                            <w:sz w:val="20"/>
                            <w:szCs w:val="20"/>
                          </w:rPr>
                          <w:t>N=9</w:t>
                        </w:r>
                        <w:r w:rsidRPr="00100A4E">
                          <w:rPr>
                            <w:sz w:val="20"/>
                            <w:szCs w:val="20"/>
                          </w:rPr>
                          <w:tab/>
                        </w:r>
                        <w:r w:rsidRPr="00100A4E">
                          <w:rPr>
                            <w:sz w:val="20"/>
                            <w:szCs w:val="20"/>
                          </w:rPr>
                          <w:tab/>
                          <w:t>N=</w:t>
                        </w:r>
                        <w:r>
                          <w:rPr>
                            <w:sz w:val="20"/>
                            <w:szCs w:val="20"/>
                          </w:rPr>
                          <w:t>11</w:t>
                        </w:r>
                      </w:p>
                      <w:p w:rsidR="003E6798" w:rsidRDefault="003E6798" w:rsidP="008D51CC">
                        <w:pPr>
                          <w:jc w:val="center"/>
                          <w:rPr>
                            <w:sz w:val="20"/>
                            <w:szCs w:val="20"/>
                          </w:rPr>
                        </w:pPr>
                        <w:r>
                          <w:rPr>
                            <w:sz w:val="20"/>
                            <w:szCs w:val="20"/>
                          </w:rPr>
                          <w:t>ALLIANCE</w:t>
                        </w:r>
                      </w:p>
                      <w:p w:rsidR="003E6798" w:rsidRPr="00010AB9" w:rsidRDefault="003E6798" w:rsidP="008D51CC">
                        <w:pPr>
                          <w:jc w:val="center"/>
                          <w:rPr>
                            <w:sz w:val="13"/>
                            <w:szCs w:val="13"/>
                          </w:rPr>
                        </w:pPr>
                      </w:p>
                      <w:p w:rsidR="003E6798" w:rsidRPr="007C63E6" w:rsidRDefault="003E6798" w:rsidP="008D51CC">
                        <w:pPr>
                          <w:jc w:val="center"/>
                          <w:rPr>
                            <w:b/>
                            <w:bCs/>
                            <w:sz w:val="20"/>
                            <w:szCs w:val="20"/>
                          </w:rPr>
                        </w:pPr>
                        <w:proofErr w:type="gramStart"/>
                        <w:r w:rsidRPr="001544E8">
                          <w:rPr>
                            <w:b/>
                            <w:bCs/>
                            <w:color w:val="7030A0"/>
                            <w:sz w:val="20"/>
                            <w:szCs w:val="20"/>
                          </w:rPr>
                          <w:t>and</w:t>
                        </w:r>
                        <w:proofErr w:type="gramEnd"/>
                        <w:r w:rsidRPr="001544E8">
                          <w:rPr>
                            <w:b/>
                            <w:bCs/>
                            <w:color w:val="7030A0"/>
                            <w:sz w:val="20"/>
                            <w:szCs w:val="20"/>
                          </w:rPr>
                          <w:t xml:space="preserve"> in ITT population</w:t>
                        </w:r>
                      </w:p>
                      <w:p w:rsidR="003E6798" w:rsidRPr="00010AB9" w:rsidRDefault="003E6798" w:rsidP="008D51CC">
                        <w:pPr>
                          <w:jc w:val="center"/>
                          <w:rPr>
                            <w:sz w:val="13"/>
                            <w:szCs w:val="13"/>
                          </w:rPr>
                        </w:pPr>
                      </w:p>
                      <w:p w:rsidR="003E6798" w:rsidRPr="007C63E6" w:rsidRDefault="003E6798" w:rsidP="008D51CC">
                        <w:pPr>
                          <w:jc w:val="center"/>
                          <w:rPr>
                            <w:sz w:val="20"/>
                            <w:szCs w:val="20"/>
                          </w:rPr>
                        </w:pPr>
                        <w:proofErr w:type="spellStart"/>
                        <w:proofErr w:type="gramStart"/>
                        <w:r w:rsidRPr="007C63E6">
                          <w:rPr>
                            <w:sz w:val="20"/>
                            <w:szCs w:val="20"/>
                          </w:rPr>
                          <w:t>ibr</w:t>
                        </w:r>
                        <w:proofErr w:type="spellEnd"/>
                        <w:proofErr w:type="gramEnd"/>
                        <w:r w:rsidRPr="007C63E6">
                          <w:rPr>
                            <w:sz w:val="20"/>
                            <w:szCs w:val="20"/>
                          </w:rPr>
                          <w:tab/>
                          <w:t xml:space="preserve">vs. </w:t>
                        </w:r>
                        <w:r w:rsidRPr="007C63E6">
                          <w:rPr>
                            <w:sz w:val="20"/>
                            <w:szCs w:val="20"/>
                          </w:rPr>
                          <w:tab/>
                        </w:r>
                        <w:proofErr w:type="spellStart"/>
                        <w:proofErr w:type="gramStart"/>
                        <w:r w:rsidRPr="007C63E6">
                          <w:rPr>
                            <w:sz w:val="20"/>
                            <w:szCs w:val="20"/>
                          </w:rPr>
                          <w:t>ibr+</w:t>
                        </w:r>
                        <w:proofErr w:type="gramEnd"/>
                        <w:r w:rsidRPr="007C63E6">
                          <w:rPr>
                            <w:sz w:val="20"/>
                            <w:szCs w:val="20"/>
                          </w:rPr>
                          <w:t>ritux</w:t>
                        </w:r>
                        <w:proofErr w:type="spellEnd"/>
                      </w:p>
                      <w:p w:rsidR="003E6798" w:rsidRPr="007C63E6" w:rsidRDefault="003E6798" w:rsidP="008D51CC">
                        <w:pPr>
                          <w:jc w:val="center"/>
                          <w:rPr>
                            <w:sz w:val="20"/>
                            <w:szCs w:val="20"/>
                          </w:rPr>
                        </w:pPr>
                        <w:r w:rsidRPr="007C63E6">
                          <w:rPr>
                            <w:sz w:val="20"/>
                            <w:szCs w:val="20"/>
                          </w:rPr>
                          <w:t>N=</w:t>
                        </w:r>
                        <w:r>
                          <w:rPr>
                            <w:sz w:val="20"/>
                            <w:szCs w:val="20"/>
                          </w:rPr>
                          <w:t>182</w:t>
                        </w:r>
                        <w:r w:rsidR="008D51CC">
                          <w:rPr>
                            <w:sz w:val="20"/>
                            <w:szCs w:val="20"/>
                          </w:rPr>
                          <w:tab/>
                        </w:r>
                        <w:r w:rsidRPr="007C63E6">
                          <w:rPr>
                            <w:sz w:val="20"/>
                            <w:szCs w:val="20"/>
                          </w:rPr>
                          <w:tab/>
                          <w:t>N=</w:t>
                        </w:r>
                        <w:r>
                          <w:rPr>
                            <w:sz w:val="20"/>
                            <w:szCs w:val="20"/>
                          </w:rPr>
                          <w:t>182</w:t>
                        </w:r>
                      </w:p>
                      <w:p w:rsidR="003E6798" w:rsidRPr="007C63E6" w:rsidRDefault="003E6798" w:rsidP="008D51CC">
                        <w:pPr>
                          <w:jc w:val="center"/>
                          <w:rPr>
                            <w:sz w:val="20"/>
                            <w:szCs w:val="20"/>
                          </w:rPr>
                        </w:pPr>
                        <w:r w:rsidRPr="007C63E6">
                          <w:rPr>
                            <w:sz w:val="20"/>
                            <w:szCs w:val="20"/>
                          </w:rPr>
                          <w:t>ALLIANCE</w:t>
                        </w:r>
                      </w:p>
                    </w:txbxContent>
                  </v:textbox>
                </v:shape>
                <v:line id="Straight Connector 9" o:spid="_x0000_s1032" style="position:absolute;visibility:visible;mso-wrap-style:square" from="30023,24654" to="30023,3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" strokecolor="black [3213]">
                  <v:stroke startarrowwidth="wide" startarrowlength="short" endarrow="block"/>
                </v:line>
                <v:line id="Straight Connector 14" o:spid="_x0000_s1033" style="position:absolute;visibility:visible;mso-wrap-style:square" from="29967,24654" to="51439,3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" strokecolor="black [3213]">
                  <v:stroke endarrow="block"/>
                </v:line>
                <v:line id="Straight Connector 25" o:spid="_x0000_s1034" style="position:absolute;flip:x;visibility:visible;mso-wrap-style:square" from="8229,24769" to="29989,3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" strokecolor="black [3213]">
                  <v:stroke endarrow="block"/>
                </v:line>
                <v:shape id="Text Box 26" o:spid="_x0000_s1035" type="#_x0000_t202" style="position:absolute;left:8205;top:22105;width:44787;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" filled="f" stroked="f" strokeweight=".5pt">
                  <v:textbox style="mso-fit-shape-to-text:t">
                    <w:txbxContent>
                      <w:p w:rsidR="003E6798" w:rsidRPr="001544E8" w:rsidRDefault="003E6798" w:rsidP="00CD13C0">
                        <w:pPr>
                          <w:jc w:val="center"/>
                          <w:rPr>
                            <w:rFonts w:ascii="Arial" w:hAnsi="Arial" w:cs="Arial"/>
                            <w:b/>
                            <w:bCs/>
                            <w:color w:val="730001"/>
                          </w:rPr>
                        </w:pPr>
                        <w:r w:rsidRPr="001544E8">
                          <w:rPr>
                            <w:rFonts w:ascii="Arial" w:hAnsi="Arial" w:cs="Arial"/>
                            <w:b/>
                            <w:bCs/>
                            <w:color w:val="730001"/>
                          </w:rPr>
                          <w:t xml:space="preserve">To </w:t>
                        </w:r>
                        <w:r>
                          <w:rPr>
                            <w:rFonts w:ascii="Arial" w:hAnsi="Arial" w:cs="Arial"/>
                            <w:b/>
                            <w:bCs/>
                            <w:color w:val="730001"/>
                          </w:rPr>
                          <w:t>support claim that</w:t>
                        </w:r>
                        <w:r w:rsidRPr="00FF1CE8">
                          <w:rPr>
                            <w:rFonts w:ascii="Arial" w:hAnsi="Arial" w:cs="Arial"/>
                            <w:b/>
                            <w:bCs/>
                            <w:color w:val="730001"/>
                          </w:rPr>
                          <w:t xml:space="preserve"> </w:t>
                        </w:r>
                        <w:proofErr w:type="spellStart"/>
                        <w:r w:rsidRPr="00FF1CE8">
                          <w:rPr>
                            <w:rFonts w:ascii="Arial" w:hAnsi="Arial" w:cs="Arial"/>
                            <w:b/>
                            <w:bCs/>
                            <w:color w:val="730001"/>
                          </w:rPr>
                          <w:t>ibr</w:t>
                        </w:r>
                        <w:proofErr w:type="spellEnd"/>
                        <w:r w:rsidRPr="001544E8">
                          <w:rPr>
                            <w:rFonts w:ascii="Arial" w:hAnsi="Arial" w:cs="Arial"/>
                            <w:b/>
                            <w:bCs/>
                            <w:color w:val="730001"/>
                          </w:rPr>
                          <w:t xml:space="preserve"> monotherapy is similar to </w:t>
                        </w:r>
                        <w:proofErr w:type="spellStart"/>
                        <w:r w:rsidRPr="001544E8">
                          <w:rPr>
                            <w:rFonts w:ascii="Arial" w:hAnsi="Arial" w:cs="Arial"/>
                            <w:b/>
                            <w:bCs/>
                            <w:color w:val="730001"/>
                          </w:rPr>
                          <w:t>ibr+obi</w:t>
                        </w:r>
                        <w:proofErr w:type="spellEnd"/>
                        <w:r w:rsidRPr="001544E8">
                          <w:rPr>
                            <w:rFonts w:ascii="Arial" w:hAnsi="Arial" w:cs="Arial"/>
                            <w:b/>
                            <w:bCs/>
                            <w:color w:val="730001"/>
                          </w:rPr>
                          <w:t>:</w:t>
                        </w:r>
                      </w:p>
                    </w:txbxContent>
                  </v:textbox>
                </v:shape>
                <v:shape id="Down Arrow 27" o:spid="_x0000_s1036" type="#_x0000_t67" style="position:absolute;left:29515;top:2430;width:457;height:4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" adj="20560" fillcolor="#4f81bd [3204]" strokecolor="black [3213]" strokeweight="2pt"/>
                <v:shape id="Text Box 28" o:spid="_x0000_s1037" type="#_x0000_t202" style="position:absolute;left:6470;width:48035;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rsidR="003E6798" w:rsidRPr="00AA4E95" w:rsidRDefault="003E6798" w:rsidP="00CD13C0">
                        <w:pPr>
                          <w:rPr>
                            <w14:textOutline w14:w="9525" w14:cap="rnd" w14:cmpd="sng" w14:algn="ctr">
                              <w14:noFill/>
                              <w14:prstDash w14:val="solid"/>
                              <w14:bevel/>
                            </w14:textOutline>
                          </w:rPr>
                        </w:pPr>
                        <w:r w:rsidRPr="00AA4E95">
                          <w:rPr>
                            <w:rFonts w:ascii="Arial" w:hAnsi="Arial" w:cs="Arial"/>
                            <w:b/>
                            <w:color w:val="730001"/>
                            <w14:textOutline w14:w="9525" w14:cap="rnd" w14:cmpd="sng" w14:algn="ctr">
                              <w14:noFill/>
                              <w14:prstDash w14:val="solid"/>
                              <w14:bevel/>
                            </w14:textOutline>
                          </w:rPr>
                          <w:t xml:space="preserve">To support claim of superiority of </w:t>
                        </w:r>
                        <w:proofErr w:type="spellStart"/>
                        <w:r w:rsidRPr="00AA4E95">
                          <w:rPr>
                            <w:rFonts w:ascii="Arial" w:hAnsi="Arial" w:cs="Arial"/>
                            <w:b/>
                            <w:color w:val="730001"/>
                            <w14:textOutline w14:w="9525" w14:cap="rnd" w14:cmpd="sng" w14:algn="ctr">
                              <w14:noFill/>
                              <w14:prstDash w14:val="solid"/>
                              <w14:bevel/>
                            </w14:textOutline>
                          </w:rPr>
                          <w:t>ibr+obi</w:t>
                        </w:r>
                        <w:proofErr w:type="spellEnd"/>
                        <w:r w:rsidRPr="00AA4E95">
                          <w:rPr>
                            <w:rFonts w:ascii="Arial" w:hAnsi="Arial" w:cs="Arial"/>
                            <w:b/>
                            <w:color w:val="730001"/>
                            <w14:textOutline w14:w="9525" w14:cap="rnd" w14:cmpd="sng" w14:algn="ctr">
                              <w14:noFill/>
                              <w14:prstDash w14:val="solid"/>
                              <w14:bevel/>
                            </w14:textOutline>
                          </w:rPr>
                          <w:t xml:space="preserve"> compared to </w:t>
                        </w:r>
                        <w:proofErr w:type="spellStart"/>
                        <w:r w:rsidRPr="00AA4E95">
                          <w:rPr>
                            <w:rFonts w:ascii="Arial" w:hAnsi="Arial" w:cs="Arial"/>
                            <w:b/>
                            <w:color w:val="730001"/>
                            <w14:textOutline w14:w="9525" w14:cap="rnd" w14:cmpd="sng" w14:algn="ctr">
                              <w14:noFill/>
                              <w14:prstDash w14:val="solid"/>
                              <w14:bevel/>
                            </w14:textOutline>
                          </w:rPr>
                          <w:t>obi+chl</w:t>
                        </w:r>
                        <w:proofErr w:type="spellEnd"/>
                        <w:r w:rsidRPr="00AA4E95">
                          <w:rPr>
                            <w:rFonts w:ascii="Arial" w:hAnsi="Arial" w:cs="Arial"/>
                            <w:b/>
                            <w:color w:val="730001"/>
                            <w14:textOutline w14:w="9525" w14:cap="rnd" w14:cmpd="sng" w14:algn="ctr">
                              <w14:noFill/>
                              <w14:prstDash w14:val="solid"/>
                              <w14:bevel/>
                            </w14:textOutline>
                          </w:rPr>
                          <w:t>:</w:t>
                        </w:r>
                      </w:p>
                    </w:txbxContent>
                  </v:textbox>
                </v:shape>
                <v:shape id="Text Box 29" o:spid="_x0000_s1038" type="#_x0000_t202" style="position:absolute;left:798;top:48497;width:1979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rsidR="003E6798" w:rsidRPr="00F85069" w:rsidRDefault="003E6798" w:rsidP="00CD13C0">
                        <w:pPr>
                          <w:rPr>
                            <w:rFonts w:ascii="Arial Narrow" w:hAnsi="Arial Narrow"/>
                            <w:sz w:val="18"/>
                            <w:szCs w:val="18"/>
                          </w:rPr>
                        </w:pPr>
                        <w:r w:rsidRPr="00F85069">
                          <w:rPr>
                            <w:rFonts w:ascii="Arial Narrow" w:hAnsi="Arial Narrow"/>
                            <w:sz w:val="18"/>
                            <w:szCs w:val="18"/>
                          </w:rPr>
                          <w:t>Source:  Developed during the evaluation</w:t>
                        </w:r>
                      </w:p>
                    </w:txbxContent>
                  </v:textbox>
                </v:shape>
              </v:group>
            </w:pict>
          </mc:Fallback>
        </mc:AlternateContent>
      </w:r>
      <w:r w:rsidR="00916482">
        <w:br w:type="page"/>
      </w:r>
    </w:p>
    <w:p w:rsidR="00862502" w:rsidRPr="00B50DB8" w:rsidRDefault="00367A7E" w:rsidP="00B2597F">
      <w:pPr>
        <w:pStyle w:val="ListParagraph"/>
        <w:numPr>
          <w:ilvl w:val="1"/>
          <w:numId w:val="1"/>
        </w:numPr>
      </w:pPr>
      <w:r>
        <w:lastRenderedPageBreak/>
        <w:t>Citation d</w:t>
      </w:r>
      <w:proofErr w:type="spellStart"/>
      <w:r w:rsidR="00A73134">
        <w:rPr>
          <w:rFonts w:cs="Calibri"/>
          <w:lang w:val="en-US" w:eastAsia="en-AU"/>
        </w:rPr>
        <w:t>etails</w:t>
      </w:r>
      <w:proofErr w:type="spellEnd"/>
      <w:r w:rsidR="00A73134">
        <w:rPr>
          <w:rFonts w:cs="Calibri"/>
          <w:lang w:val="en-US" w:eastAsia="en-AU"/>
        </w:rPr>
        <w:t xml:space="preserve"> of the trials presented in the </w:t>
      </w:r>
      <w:r w:rsidR="00761174">
        <w:rPr>
          <w:rFonts w:cs="Calibri"/>
          <w:lang w:val="en-US" w:eastAsia="en-AU"/>
        </w:rPr>
        <w:t>re</w:t>
      </w:r>
      <w:r w:rsidR="00A73134">
        <w:rPr>
          <w:rFonts w:cs="Calibri"/>
          <w:lang w:val="en-US" w:eastAsia="en-AU"/>
        </w:rPr>
        <w:t>submission are provided in</w:t>
      </w:r>
      <w:r w:rsidR="000B4772">
        <w:rPr>
          <w:rFonts w:cs="Calibri"/>
          <w:lang w:val="en-US" w:eastAsia="en-AU"/>
        </w:rPr>
        <w:t xml:space="preserve"> Table 4</w:t>
      </w:r>
      <w:r>
        <w:rPr>
          <w:rFonts w:cs="Calibri"/>
          <w:lang w:val="en-US" w:eastAsia="en-AU"/>
        </w:rPr>
        <w:t>.</w:t>
      </w:r>
    </w:p>
    <w:p w:rsidR="008E0D3C" w:rsidRPr="008E0D3C" w:rsidRDefault="00661DFA" w:rsidP="00B9191D">
      <w:pPr>
        <w:keepNext/>
        <w:keepLines/>
        <w:rPr>
          <w:rStyle w:val="CommentReference"/>
        </w:rPr>
      </w:pPr>
      <w:r w:rsidRPr="00401364">
        <w:rPr>
          <w:rFonts w:ascii="Arial Narrow" w:hAnsi="Arial Narrow"/>
          <w:b/>
          <w:sz w:val="20"/>
          <w:szCs w:val="20"/>
        </w:rPr>
        <w:t xml:space="preserve">Table </w:t>
      </w:r>
      <w:r w:rsidR="00BD4B83">
        <w:rPr>
          <w:rFonts w:ascii="Arial Narrow" w:hAnsi="Arial Narrow"/>
          <w:b/>
          <w:noProof/>
          <w:sz w:val="20"/>
          <w:szCs w:val="20"/>
        </w:rPr>
        <w:t>4</w:t>
      </w:r>
      <w:r w:rsidR="008E0D3C" w:rsidRPr="008E0D3C">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51"/>
        <w:gridCol w:w="5453"/>
        <w:gridCol w:w="2413"/>
      </w:tblGrid>
      <w:tr w:rsidR="00761174" w:rsidRPr="00B41614" w:rsidTr="00323AF3">
        <w:trPr>
          <w:tblHeader/>
        </w:trPr>
        <w:tc>
          <w:tcPr>
            <w:tcW w:w="638" w:type="pct"/>
            <w:vAlign w:val="center"/>
          </w:tcPr>
          <w:p w:rsidR="00761174" w:rsidRPr="00B41614" w:rsidRDefault="00761174" w:rsidP="00B9191D">
            <w:pPr>
              <w:pStyle w:val="Tabletext"/>
              <w:keepNext/>
              <w:keepLines/>
              <w:rPr>
                <w:b/>
              </w:rPr>
            </w:pPr>
            <w:r w:rsidRPr="00B41614">
              <w:rPr>
                <w:b/>
              </w:rPr>
              <w:t>Trial ID</w:t>
            </w:r>
          </w:p>
        </w:tc>
        <w:tc>
          <w:tcPr>
            <w:tcW w:w="3024" w:type="pct"/>
            <w:vAlign w:val="center"/>
          </w:tcPr>
          <w:p w:rsidR="00761174" w:rsidRPr="00B41614" w:rsidRDefault="00761174" w:rsidP="00B9191D">
            <w:pPr>
              <w:pStyle w:val="Tabletext"/>
              <w:keepNext/>
              <w:keepLines/>
              <w:jc w:val="center"/>
              <w:rPr>
                <w:b/>
              </w:rPr>
            </w:pPr>
            <w:r w:rsidRPr="00B41614">
              <w:rPr>
                <w:b/>
              </w:rPr>
              <w:t>Protocol title/ Publication title</w:t>
            </w:r>
          </w:p>
        </w:tc>
        <w:tc>
          <w:tcPr>
            <w:tcW w:w="1338" w:type="pct"/>
            <w:vAlign w:val="center"/>
          </w:tcPr>
          <w:p w:rsidR="00761174" w:rsidRPr="00B41614" w:rsidRDefault="00761174" w:rsidP="00B9191D">
            <w:pPr>
              <w:pStyle w:val="Tabletext"/>
              <w:keepNext/>
              <w:keepLines/>
              <w:jc w:val="center"/>
              <w:rPr>
                <w:b/>
              </w:rPr>
            </w:pPr>
            <w:r w:rsidRPr="00B41614">
              <w:rPr>
                <w:b/>
              </w:rPr>
              <w:t>Publication citation</w:t>
            </w:r>
          </w:p>
        </w:tc>
      </w:tr>
      <w:tr w:rsidR="00761174" w:rsidRPr="00CB38A8" w:rsidTr="00323AF3">
        <w:tc>
          <w:tcPr>
            <w:tcW w:w="638" w:type="pct"/>
            <w:tcBorders>
              <w:bottom w:val="nil"/>
            </w:tcBorders>
            <w:vAlign w:val="center"/>
          </w:tcPr>
          <w:p w:rsidR="00761174" w:rsidRPr="00CB38A8" w:rsidRDefault="00761174" w:rsidP="00B9191D">
            <w:pPr>
              <w:pStyle w:val="Tabletext"/>
              <w:keepNext/>
              <w:keepLines/>
              <w:rPr>
                <w:rFonts w:ascii="Times" w:hAnsi="Times"/>
              </w:rPr>
            </w:pPr>
            <w:r>
              <w:t>ILLUMINATE</w:t>
            </w:r>
          </w:p>
        </w:tc>
        <w:tc>
          <w:tcPr>
            <w:tcW w:w="3024" w:type="pct"/>
            <w:tcBorders>
              <w:bottom w:val="nil"/>
            </w:tcBorders>
            <w:vAlign w:val="center"/>
          </w:tcPr>
          <w:p w:rsidR="00761174" w:rsidRPr="00AB6248" w:rsidRDefault="00761174" w:rsidP="00B9191D">
            <w:pPr>
              <w:pStyle w:val="Tabletext"/>
              <w:keepNext/>
              <w:keepLines/>
              <w:rPr>
                <w:szCs w:val="18"/>
              </w:rPr>
            </w:pPr>
            <w:r>
              <w:rPr>
                <w:szCs w:val="18"/>
              </w:rPr>
              <w:t>A multi-</w:t>
            </w:r>
            <w:proofErr w:type="spellStart"/>
            <w:r>
              <w:rPr>
                <w:szCs w:val="18"/>
              </w:rPr>
              <w:t>center</w:t>
            </w:r>
            <w:proofErr w:type="spellEnd"/>
            <w:r>
              <w:rPr>
                <w:szCs w:val="18"/>
              </w:rPr>
              <w:t xml:space="preserve"> study of </w:t>
            </w:r>
            <w:proofErr w:type="spellStart"/>
            <w:r>
              <w:rPr>
                <w:szCs w:val="18"/>
              </w:rPr>
              <w:t>ibrutinib</w:t>
            </w:r>
            <w:proofErr w:type="spellEnd"/>
            <w:r>
              <w:rPr>
                <w:szCs w:val="18"/>
              </w:rPr>
              <w:t xml:space="preserve"> in combination with obinutuzumab versus chlorambucil in combination with obinutuzumab in patients with treatment naïve CLL or SLL. </w:t>
            </w:r>
          </w:p>
        </w:tc>
        <w:tc>
          <w:tcPr>
            <w:tcW w:w="1338" w:type="pct"/>
            <w:tcBorders>
              <w:bottom w:val="nil"/>
            </w:tcBorders>
            <w:vAlign w:val="center"/>
          </w:tcPr>
          <w:p w:rsidR="00761174" w:rsidRPr="00CB38A8" w:rsidRDefault="00761174" w:rsidP="00B9191D">
            <w:pPr>
              <w:pStyle w:val="Tabletext"/>
              <w:keepNext/>
              <w:keepLines/>
              <w:rPr>
                <w:rFonts w:ascii="Times" w:hAnsi="Times"/>
              </w:rPr>
            </w:pPr>
            <w:r>
              <w:t>July 2018</w:t>
            </w:r>
          </w:p>
        </w:tc>
      </w:tr>
      <w:tr w:rsidR="00761174" w:rsidRPr="00E34A35" w:rsidTr="00323AF3">
        <w:tc>
          <w:tcPr>
            <w:tcW w:w="638" w:type="pct"/>
            <w:tcBorders>
              <w:top w:val="nil"/>
              <w:bottom w:val="nil"/>
            </w:tcBorders>
            <w:vAlign w:val="center"/>
          </w:tcPr>
          <w:p w:rsidR="00761174" w:rsidRPr="00CB38A8" w:rsidRDefault="00761174" w:rsidP="00B9191D">
            <w:pPr>
              <w:pStyle w:val="Tabletext"/>
              <w:keepNext/>
              <w:keepLines/>
            </w:pPr>
          </w:p>
        </w:tc>
        <w:tc>
          <w:tcPr>
            <w:tcW w:w="3024" w:type="pct"/>
            <w:tcBorders>
              <w:top w:val="nil"/>
              <w:bottom w:val="nil"/>
            </w:tcBorders>
            <w:vAlign w:val="center"/>
          </w:tcPr>
          <w:p w:rsidR="00761174" w:rsidRPr="00E34A35" w:rsidRDefault="00761174" w:rsidP="00B9191D">
            <w:pPr>
              <w:pStyle w:val="Tabletext"/>
              <w:keepNext/>
              <w:keepLines/>
              <w:rPr>
                <w:szCs w:val="18"/>
                <w:lang w:eastAsia="en-AU"/>
              </w:rPr>
            </w:pPr>
            <w:r>
              <w:t xml:space="preserve">Moreno C, </w:t>
            </w:r>
            <w:proofErr w:type="spellStart"/>
            <w:r>
              <w:t>Greil</w:t>
            </w:r>
            <w:proofErr w:type="spellEnd"/>
            <w:r>
              <w:t xml:space="preserve"> R, </w:t>
            </w:r>
            <w:proofErr w:type="spellStart"/>
            <w:r>
              <w:t>Demirkan</w:t>
            </w:r>
            <w:proofErr w:type="spellEnd"/>
            <w:r>
              <w:t xml:space="preserve"> F, </w:t>
            </w:r>
            <w:proofErr w:type="spellStart"/>
            <w:r>
              <w:t>Tedeschi</w:t>
            </w:r>
            <w:proofErr w:type="spellEnd"/>
            <w:r>
              <w:t xml:space="preserve"> A et al.  Ibrutinib plus obinutuzumab versus chlorambucil plus obinutuzumab in first-line treatment of chronic lymphocytic leukaemia (IILUMINATE): a multicentre, randomised, open-label phase 3 trial.</w:t>
            </w:r>
          </w:p>
        </w:tc>
        <w:tc>
          <w:tcPr>
            <w:tcW w:w="1338" w:type="pct"/>
            <w:tcBorders>
              <w:top w:val="nil"/>
              <w:bottom w:val="nil"/>
            </w:tcBorders>
            <w:vAlign w:val="center"/>
          </w:tcPr>
          <w:p w:rsidR="00761174" w:rsidRPr="00E34A35" w:rsidRDefault="00761174" w:rsidP="00B9191D">
            <w:pPr>
              <w:pStyle w:val="Tabletext"/>
              <w:keepNext/>
              <w:keepLines/>
              <w:rPr>
                <w:szCs w:val="18"/>
                <w:lang w:eastAsia="en-AU"/>
              </w:rPr>
            </w:pPr>
            <w:r>
              <w:rPr>
                <w:i/>
                <w:szCs w:val="18"/>
                <w:lang w:eastAsia="en-AU"/>
              </w:rPr>
              <w:t xml:space="preserve">Lancet </w:t>
            </w:r>
            <w:proofErr w:type="spellStart"/>
            <w:r>
              <w:rPr>
                <w:i/>
                <w:szCs w:val="18"/>
                <w:lang w:eastAsia="en-AU"/>
              </w:rPr>
              <w:t>Oncol</w:t>
            </w:r>
            <w:proofErr w:type="spellEnd"/>
            <w:r>
              <w:rPr>
                <w:szCs w:val="18"/>
                <w:lang w:eastAsia="en-AU"/>
              </w:rPr>
              <w:t xml:space="preserve"> </w:t>
            </w:r>
            <w:r w:rsidRPr="00E34A35">
              <w:rPr>
                <w:szCs w:val="18"/>
                <w:lang w:eastAsia="en-AU"/>
              </w:rPr>
              <w:t>201</w:t>
            </w:r>
            <w:r>
              <w:rPr>
                <w:szCs w:val="18"/>
                <w:lang w:eastAsia="en-AU"/>
              </w:rPr>
              <w:t>9</w:t>
            </w:r>
            <w:r w:rsidRPr="00E34A35">
              <w:rPr>
                <w:szCs w:val="18"/>
                <w:lang w:eastAsia="en-AU"/>
              </w:rPr>
              <w:t xml:space="preserve">; </w:t>
            </w:r>
            <w:r>
              <w:rPr>
                <w:szCs w:val="18"/>
                <w:lang w:eastAsia="en-AU"/>
              </w:rPr>
              <w:t>20(1)</w:t>
            </w:r>
            <w:r w:rsidRPr="00E34A35">
              <w:rPr>
                <w:szCs w:val="18"/>
                <w:lang w:eastAsia="en-AU"/>
              </w:rPr>
              <w:t>:</w:t>
            </w:r>
            <w:r>
              <w:rPr>
                <w:szCs w:val="18"/>
                <w:lang w:eastAsia="en-AU"/>
              </w:rPr>
              <w:t xml:space="preserve"> 43-56</w:t>
            </w:r>
          </w:p>
        </w:tc>
      </w:tr>
      <w:tr w:rsidR="00761174" w:rsidRPr="004A2558" w:rsidTr="00761174">
        <w:tc>
          <w:tcPr>
            <w:tcW w:w="638" w:type="pct"/>
            <w:tcBorders>
              <w:bottom w:val="single" w:sz="4" w:space="0" w:color="auto"/>
            </w:tcBorders>
            <w:vAlign w:val="center"/>
          </w:tcPr>
          <w:p w:rsidR="00761174" w:rsidRPr="002E30D9" w:rsidRDefault="00761174" w:rsidP="00B9191D">
            <w:pPr>
              <w:pStyle w:val="Tabletext"/>
              <w:keepNext/>
              <w:keepLines/>
              <w:rPr>
                <w:szCs w:val="20"/>
              </w:rPr>
            </w:pPr>
            <w:r>
              <w:rPr>
                <w:szCs w:val="20"/>
              </w:rPr>
              <w:t>ALLIANCE</w:t>
            </w:r>
          </w:p>
        </w:tc>
        <w:tc>
          <w:tcPr>
            <w:tcW w:w="3024" w:type="pct"/>
            <w:tcBorders>
              <w:bottom w:val="single" w:sz="4" w:space="0" w:color="auto"/>
            </w:tcBorders>
            <w:vAlign w:val="center"/>
          </w:tcPr>
          <w:p w:rsidR="00761174" w:rsidRPr="003123A4" w:rsidRDefault="00761174" w:rsidP="00B9191D">
            <w:pPr>
              <w:pStyle w:val="Tabletext"/>
              <w:keepNext/>
              <w:keepLines/>
              <w:rPr>
                <w:szCs w:val="20"/>
              </w:rPr>
            </w:pPr>
            <w:proofErr w:type="spellStart"/>
            <w:r w:rsidRPr="003123A4">
              <w:rPr>
                <w:szCs w:val="20"/>
              </w:rPr>
              <w:t>Woyach</w:t>
            </w:r>
            <w:proofErr w:type="spellEnd"/>
            <w:r w:rsidRPr="003123A4">
              <w:rPr>
                <w:szCs w:val="20"/>
              </w:rPr>
              <w:t xml:space="preserve"> JA, </w:t>
            </w:r>
            <w:proofErr w:type="spellStart"/>
            <w:r w:rsidRPr="003123A4">
              <w:rPr>
                <w:szCs w:val="20"/>
              </w:rPr>
              <w:t>Ruppert</w:t>
            </w:r>
            <w:proofErr w:type="spellEnd"/>
            <w:r w:rsidRPr="003123A4">
              <w:rPr>
                <w:szCs w:val="20"/>
              </w:rPr>
              <w:t xml:space="preserve"> </w:t>
            </w:r>
            <w:r>
              <w:rPr>
                <w:szCs w:val="20"/>
              </w:rPr>
              <w:t xml:space="preserve">AS </w:t>
            </w:r>
            <w:r w:rsidRPr="003123A4">
              <w:rPr>
                <w:szCs w:val="20"/>
              </w:rPr>
              <w:t xml:space="preserve">et al.  </w:t>
            </w:r>
            <w:r>
              <w:rPr>
                <w:szCs w:val="20"/>
              </w:rPr>
              <w:t>Ibrutinib regimens versus chemoimmunotherapy in older patients with untreated CLL.</w:t>
            </w:r>
          </w:p>
        </w:tc>
        <w:tc>
          <w:tcPr>
            <w:tcW w:w="1338" w:type="pct"/>
            <w:tcBorders>
              <w:bottom w:val="single" w:sz="4" w:space="0" w:color="auto"/>
            </w:tcBorders>
            <w:vAlign w:val="center"/>
          </w:tcPr>
          <w:p w:rsidR="00761174" w:rsidRPr="004A2558" w:rsidRDefault="00761174" w:rsidP="00B9191D">
            <w:pPr>
              <w:pStyle w:val="Tabletext"/>
              <w:keepNext/>
              <w:keepLines/>
            </w:pPr>
            <w:r w:rsidRPr="003123A4">
              <w:rPr>
                <w:i/>
                <w:iCs/>
              </w:rPr>
              <w:t>NEJM</w:t>
            </w:r>
            <w:r>
              <w:t xml:space="preserve"> 2018; 379: 2517-2528.</w:t>
            </w:r>
          </w:p>
        </w:tc>
      </w:tr>
      <w:tr w:rsidR="00761174" w:rsidRPr="00AC45E8" w:rsidTr="00761174">
        <w:tc>
          <w:tcPr>
            <w:tcW w:w="638" w:type="pct"/>
            <w:vMerge w:val="restart"/>
            <w:tcBorders>
              <w:top w:val="single" w:sz="4" w:space="0" w:color="auto"/>
            </w:tcBorders>
            <w:vAlign w:val="center"/>
          </w:tcPr>
          <w:p w:rsidR="00761174" w:rsidRPr="00CB38A8" w:rsidRDefault="00761174" w:rsidP="00B9191D">
            <w:pPr>
              <w:pStyle w:val="Tabletext"/>
              <w:keepNext/>
              <w:keepLines/>
            </w:pPr>
            <w:r>
              <w:t>RESONATE-2</w:t>
            </w:r>
          </w:p>
        </w:tc>
        <w:tc>
          <w:tcPr>
            <w:tcW w:w="3024" w:type="pct"/>
            <w:tcBorders>
              <w:top w:val="single" w:sz="4" w:space="0" w:color="auto"/>
              <w:bottom w:val="nil"/>
            </w:tcBorders>
            <w:vAlign w:val="center"/>
          </w:tcPr>
          <w:p w:rsidR="00761174" w:rsidRPr="00BD69E8" w:rsidRDefault="00761174" w:rsidP="00B9191D">
            <w:pPr>
              <w:pStyle w:val="Tabletext"/>
              <w:keepNext/>
              <w:keepLines/>
              <w:rPr>
                <w:szCs w:val="20"/>
              </w:rPr>
            </w:pPr>
            <w:r w:rsidRPr="00E34A35">
              <w:rPr>
                <w:rFonts w:cs="Arial"/>
                <w:szCs w:val="18"/>
              </w:rPr>
              <w:t xml:space="preserve">A Randomized, </w:t>
            </w:r>
            <w:proofErr w:type="spellStart"/>
            <w:r w:rsidRPr="00E34A35">
              <w:rPr>
                <w:rFonts w:cs="Arial"/>
                <w:szCs w:val="18"/>
              </w:rPr>
              <w:t>Multicenter</w:t>
            </w:r>
            <w:proofErr w:type="spellEnd"/>
            <w:r w:rsidRPr="00E34A35">
              <w:rPr>
                <w:rFonts w:cs="Arial"/>
                <w:szCs w:val="18"/>
              </w:rPr>
              <w:t xml:space="preserve">, Open-label, Phase 3 Study of the </w:t>
            </w:r>
            <w:proofErr w:type="spellStart"/>
            <w:r w:rsidRPr="00E34A35">
              <w:rPr>
                <w:rFonts w:cs="Arial"/>
                <w:szCs w:val="18"/>
              </w:rPr>
              <w:t>Bruton’s</w:t>
            </w:r>
            <w:proofErr w:type="spellEnd"/>
            <w:r w:rsidRPr="00E34A35">
              <w:rPr>
                <w:rFonts w:cs="Arial"/>
                <w:szCs w:val="18"/>
              </w:rPr>
              <w:t xml:space="preserve"> Tyrosine Kinase Inhibitor PCI-32765 versus Chlorambuci</w:t>
            </w:r>
            <w:r>
              <w:rPr>
                <w:rFonts w:cs="Arial"/>
                <w:szCs w:val="18"/>
              </w:rPr>
              <w:t>l in Patients 65 Years or Older</w:t>
            </w:r>
            <w:r w:rsidRPr="00E34A35">
              <w:rPr>
                <w:rFonts w:cs="Arial"/>
                <w:szCs w:val="18"/>
              </w:rPr>
              <w:t xml:space="preserve"> with Treatment-naive Chronic Lymphocytic </w:t>
            </w:r>
            <w:proofErr w:type="spellStart"/>
            <w:r w:rsidRPr="00E34A35">
              <w:rPr>
                <w:rFonts w:cs="Arial"/>
                <w:szCs w:val="18"/>
              </w:rPr>
              <w:t>Leukemia</w:t>
            </w:r>
            <w:proofErr w:type="spellEnd"/>
            <w:r w:rsidRPr="00E34A35">
              <w:rPr>
                <w:rFonts w:cs="Arial"/>
                <w:szCs w:val="18"/>
              </w:rPr>
              <w:t xml:space="preserve"> or Small Lymphocytic Lymphoma</w:t>
            </w:r>
          </w:p>
        </w:tc>
        <w:tc>
          <w:tcPr>
            <w:tcW w:w="1338" w:type="pct"/>
            <w:tcBorders>
              <w:top w:val="single" w:sz="4" w:space="0" w:color="auto"/>
              <w:bottom w:val="nil"/>
            </w:tcBorders>
            <w:vAlign w:val="center"/>
          </w:tcPr>
          <w:p w:rsidR="00761174" w:rsidRPr="00AC45E8" w:rsidRDefault="00761174" w:rsidP="00B9191D">
            <w:pPr>
              <w:pStyle w:val="Tabletext"/>
              <w:keepNext/>
              <w:keepLines/>
            </w:pPr>
            <w:r>
              <w:t>August 2015</w:t>
            </w:r>
          </w:p>
        </w:tc>
      </w:tr>
      <w:tr w:rsidR="00761174" w:rsidRPr="00AC45E8" w:rsidTr="00761174">
        <w:tc>
          <w:tcPr>
            <w:tcW w:w="638" w:type="pct"/>
            <w:vMerge/>
            <w:vAlign w:val="center"/>
          </w:tcPr>
          <w:p w:rsidR="00761174" w:rsidRDefault="00761174" w:rsidP="00B9191D">
            <w:pPr>
              <w:pStyle w:val="Tabletext"/>
              <w:keepNext/>
              <w:keepLines/>
            </w:pPr>
          </w:p>
        </w:tc>
        <w:tc>
          <w:tcPr>
            <w:tcW w:w="3024" w:type="pct"/>
            <w:tcBorders>
              <w:top w:val="nil"/>
              <w:bottom w:val="nil"/>
            </w:tcBorders>
            <w:vAlign w:val="center"/>
          </w:tcPr>
          <w:p w:rsidR="00761174" w:rsidRPr="00BD69E8" w:rsidRDefault="00761174" w:rsidP="00B9191D">
            <w:pPr>
              <w:pStyle w:val="Tabletext"/>
              <w:keepNext/>
              <w:keepLines/>
              <w:rPr>
                <w:szCs w:val="20"/>
              </w:rPr>
            </w:pPr>
            <w:r>
              <w:rPr>
                <w:rFonts w:cs="Arial"/>
                <w:szCs w:val="18"/>
                <w:lang w:eastAsia="en-AU"/>
              </w:rPr>
              <w:t xml:space="preserve">Burger JA, </w:t>
            </w:r>
            <w:proofErr w:type="spellStart"/>
            <w:r>
              <w:rPr>
                <w:rFonts w:cs="Arial"/>
                <w:szCs w:val="18"/>
                <w:lang w:eastAsia="en-AU"/>
              </w:rPr>
              <w:t>Tedeschi</w:t>
            </w:r>
            <w:proofErr w:type="spellEnd"/>
            <w:r>
              <w:rPr>
                <w:rFonts w:cs="Arial"/>
                <w:szCs w:val="18"/>
                <w:lang w:eastAsia="en-AU"/>
              </w:rPr>
              <w:t xml:space="preserve"> A, Barr PM</w:t>
            </w:r>
            <w:r w:rsidRPr="00E34A35">
              <w:rPr>
                <w:rFonts w:cs="Arial"/>
                <w:szCs w:val="18"/>
                <w:lang w:eastAsia="en-AU"/>
              </w:rPr>
              <w:t xml:space="preserve"> et al.</w:t>
            </w:r>
            <w:r>
              <w:rPr>
                <w:rFonts w:cs="Arial"/>
                <w:szCs w:val="18"/>
                <w:lang w:eastAsia="en-AU"/>
              </w:rPr>
              <w:t xml:space="preserve">  </w:t>
            </w:r>
            <w:r w:rsidRPr="00E34A35">
              <w:rPr>
                <w:rFonts w:cs="Arial"/>
                <w:szCs w:val="18"/>
                <w:lang w:eastAsia="en-AU"/>
              </w:rPr>
              <w:t>Ibrutinib as initial therapy for patients with chronic lymp</w:t>
            </w:r>
            <w:r>
              <w:rPr>
                <w:rFonts w:cs="Arial"/>
                <w:szCs w:val="18"/>
                <w:lang w:eastAsia="en-AU"/>
              </w:rPr>
              <w:t xml:space="preserve">hocytic </w:t>
            </w:r>
            <w:proofErr w:type="spellStart"/>
            <w:r>
              <w:rPr>
                <w:rFonts w:cs="Arial"/>
                <w:szCs w:val="18"/>
                <w:lang w:eastAsia="en-AU"/>
              </w:rPr>
              <w:t>leukemia</w:t>
            </w:r>
            <w:proofErr w:type="spellEnd"/>
            <w:r>
              <w:rPr>
                <w:rFonts w:cs="Arial"/>
                <w:szCs w:val="18"/>
                <w:lang w:eastAsia="en-AU"/>
              </w:rPr>
              <w:t>.</w:t>
            </w:r>
          </w:p>
        </w:tc>
        <w:tc>
          <w:tcPr>
            <w:tcW w:w="1338" w:type="pct"/>
            <w:tcBorders>
              <w:top w:val="nil"/>
              <w:bottom w:val="nil"/>
            </w:tcBorders>
            <w:vAlign w:val="center"/>
          </w:tcPr>
          <w:p w:rsidR="00761174" w:rsidRPr="00AC45E8" w:rsidRDefault="00761174" w:rsidP="00B9191D">
            <w:pPr>
              <w:pStyle w:val="Tabletext"/>
              <w:keepNext/>
              <w:keepLines/>
            </w:pPr>
            <w:r w:rsidRPr="003123A4">
              <w:rPr>
                <w:i/>
                <w:iCs/>
              </w:rPr>
              <w:t>NEJM</w:t>
            </w:r>
            <w:r>
              <w:rPr>
                <w:rFonts w:cs="Arial"/>
                <w:szCs w:val="18"/>
                <w:lang w:eastAsia="en-AU"/>
              </w:rPr>
              <w:t xml:space="preserve"> </w:t>
            </w:r>
            <w:r w:rsidRPr="00E34A35">
              <w:rPr>
                <w:rFonts w:cs="Arial"/>
                <w:szCs w:val="18"/>
                <w:lang w:eastAsia="en-AU"/>
              </w:rPr>
              <w:t>2015; 373:2425-2437</w:t>
            </w:r>
          </w:p>
        </w:tc>
      </w:tr>
      <w:tr w:rsidR="00761174" w:rsidRPr="00AB6248" w:rsidTr="00761174">
        <w:tc>
          <w:tcPr>
            <w:tcW w:w="638" w:type="pct"/>
            <w:vMerge/>
            <w:vAlign w:val="center"/>
          </w:tcPr>
          <w:p w:rsidR="00761174" w:rsidRDefault="00761174" w:rsidP="00B9191D">
            <w:pPr>
              <w:pStyle w:val="Tabletext"/>
              <w:keepNext/>
              <w:keepLines/>
            </w:pPr>
          </w:p>
        </w:tc>
        <w:tc>
          <w:tcPr>
            <w:tcW w:w="3024" w:type="pct"/>
            <w:tcBorders>
              <w:top w:val="nil"/>
              <w:bottom w:val="single" w:sz="4" w:space="0" w:color="auto"/>
            </w:tcBorders>
            <w:vAlign w:val="center"/>
          </w:tcPr>
          <w:p w:rsidR="00761174" w:rsidRDefault="00761174" w:rsidP="00B9191D">
            <w:pPr>
              <w:pStyle w:val="Tabletext"/>
              <w:keepNext/>
              <w:keepLines/>
              <w:rPr>
                <w:rFonts w:cs="Arial"/>
                <w:szCs w:val="18"/>
                <w:lang w:val="en-US" w:eastAsia="en-AU"/>
              </w:rPr>
            </w:pPr>
            <w:r>
              <w:rPr>
                <w:rFonts w:cs="Arial"/>
                <w:szCs w:val="18"/>
                <w:lang w:val="en-US" w:eastAsia="en-AU"/>
              </w:rPr>
              <w:t xml:space="preserve">Barr P, </w:t>
            </w:r>
            <w:proofErr w:type="spellStart"/>
            <w:r>
              <w:rPr>
                <w:rFonts w:cs="Arial"/>
                <w:szCs w:val="18"/>
                <w:lang w:val="en-US" w:eastAsia="en-AU"/>
              </w:rPr>
              <w:t>Robak</w:t>
            </w:r>
            <w:proofErr w:type="spellEnd"/>
            <w:r>
              <w:rPr>
                <w:rFonts w:cs="Arial"/>
                <w:szCs w:val="18"/>
                <w:lang w:val="en-US" w:eastAsia="en-AU"/>
              </w:rPr>
              <w:t xml:space="preserve"> T et al.  Sustained efficacy and detailed clinical follow-up of first-line ibrutinib treatment in older patients with chronic lymphocytic leukemia: extended phase 3 results from RESONATE-2.</w:t>
            </w:r>
          </w:p>
        </w:tc>
        <w:tc>
          <w:tcPr>
            <w:tcW w:w="1338" w:type="pct"/>
            <w:tcBorders>
              <w:top w:val="nil"/>
              <w:bottom w:val="single" w:sz="4" w:space="0" w:color="auto"/>
            </w:tcBorders>
            <w:vAlign w:val="center"/>
          </w:tcPr>
          <w:p w:rsidR="00761174" w:rsidRPr="00AB6248" w:rsidRDefault="00761174" w:rsidP="00B9191D">
            <w:pPr>
              <w:pStyle w:val="Tabletext"/>
              <w:keepNext/>
              <w:keepLines/>
              <w:rPr>
                <w:rFonts w:cs="Arial"/>
                <w:szCs w:val="18"/>
                <w:lang w:val="en-US" w:eastAsia="en-AU"/>
              </w:rPr>
            </w:pPr>
            <w:proofErr w:type="spellStart"/>
            <w:r w:rsidRPr="00D53908">
              <w:rPr>
                <w:rFonts w:cs="Arial"/>
                <w:i/>
                <w:iCs/>
                <w:szCs w:val="18"/>
                <w:lang w:val="en-US" w:eastAsia="en-AU"/>
              </w:rPr>
              <w:t>Haematol</w:t>
            </w:r>
            <w:r>
              <w:rPr>
                <w:rFonts w:cs="Arial"/>
                <w:i/>
                <w:iCs/>
                <w:szCs w:val="18"/>
                <w:lang w:val="en-US" w:eastAsia="en-AU"/>
              </w:rPr>
              <w:t>ogica</w:t>
            </w:r>
            <w:proofErr w:type="spellEnd"/>
            <w:r>
              <w:rPr>
                <w:rFonts w:cs="Arial"/>
                <w:i/>
                <w:iCs/>
                <w:szCs w:val="18"/>
                <w:lang w:val="en-US" w:eastAsia="en-AU"/>
              </w:rPr>
              <w:t xml:space="preserve"> </w:t>
            </w:r>
            <w:r>
              <w:rPr>
                <w:rFonts w:cs="Arial"/>
                <w:szCs w:val="18"/>
                <w:lang w:val="en-US" w:eastAsia="en-AU"/>
              </w:rPr>
              <w:t>2018; 103(9):1502-1510.</w:t>
            </w:r>
          </w:p>
        </w:tc>
      </w:tr>
    </w:tbl>
    <w:p w:rsidR="00761174" w:rsidRDefault="00761174" w:rsidP="00B9191D">
      <w:pPr>
        <w:pStyle w:val="TableFooter"/>
        <w:keepNext/>
        <w:keepLines/>
      </w:pPr>
      <w:r>
        <w:t>Source:  Table 2.4, p52 and Table 2.53, p1 of Section 2.11.3 of the resubmission.</w:t>
      </w:r>
    </w:p>
    <w:p w:rsidR="00862502" w:rsidRPr="008F120A" w:rsidRDefault="00862502" w:rsidP="00761174"/>
    <w:p w:rsidR="00CA7FAC" w:rsidRPr="00EB5599" w:rsidRDefault="005819D8" w:rsidP="00B2597F">
      <w:pPr>
        <w:pStyle w:val="ListParagraph"/>
        <w:numPr>
          <w:ilvl w:val="1"/>
          <w:numId w:val="1"/>
        </w:numPr>
      </w:pPr>
      <w:r>
        <w:t>Table 5</w:t>
      </w:r>
      <w:r w:rsidR="00CA7FAC">
        <w:t xml:space="preserve"> provides a summary of the included trials.  </w:t>
      </w:r>
      <w:r w:rsidR="00CA7FAC" w:rsidRPr="00EB5599">
        <w:rPr>
          <w:iCs/>
        </w:rPr>
        <w:t>For the ALLIANCE and RESONATE-2 trials the resubmission</w:t>
      </w:r>
      <w:r w:rsidR="00682E8E" w:rsidRPr="00682E8E">
        <w:rPr>
          <w:iCs/>
        </w:rPr>
        <w:t xml:space="preserve"> </w:t>
      </w:r>
      <w:r w:rsidR="00682E8E" w:rsidRPr="00EB5599">
        <w:rPr>
          <w:iCs/>
        </w:rPr>
        <w:t>only</w:t>
      </w:r>
      <w:r w:rsidR="00CA7FAC" w:rsidRPr="00EB5599">
        <w:rPr>
          <w:iCs/>
        </w:rPr>
        <w:t xml:space="preserve"> provided information for the trial arms used in the resubmission’s comparisons.  Hence, information for the </w:t>
      </w:r>
      <w:proofErr w:type="spellStart"/>
      <w:r w:rsidR="00CA7FAC" w:rsidRPr="00EB5599">
        <w:rPr>
          <w:iCs/>
        </w:rPr>
        <w:t>benda+ritux</w:t>
      </w:r>
      <w:proofErr w:type="spellEnd"/>
      <w:r w:rsidR="00CA7FAC" w:rsidRPr="00EB5599">
        <w:rPr>
          <w:iCs/>
        </w:rPr>
        <w:t xml:space="preserve"> arm from ALLIANCE and the chlorambucil arm from RESONATE-2 are not included in the following tables.</w:t>
      </w:r>
    </w:p>
    <w:p w:rsidR="007F1017" w:rsidRPr="00E2771E" w:rsidRDefault="00661DFA" w:rsidP="00B9191D">
      <w:pPr>
        <w:keepNext/>
        <w:keepLines/>
        <w:rPr>
          <w:rStyle w:val="CommentReference"/>
        </w:rPr>
      </w:pPr>
      <w:r w:rsidRPr="00401364">
        <w:rPr>
          <w:rFonts w:ascii="Arial Narrow" w:hAnsi="Arial Narrow"/>
          <w:b/>
          <w:sz w:val="20"/>
          <w:szCs w:val="20"/>
        </w:rPr>
        <w:lastRenderedPageBreak/>
        <w:t xml:space="preserve">Table </w:t>
      </w:r>
      <w:r w:rsidR="00BD4B83">
        <w:rPr>
          <w:rFonts w:ascii="Arial Narrow" w:hAnsi="Arial Narrow"/>
          <w:b/>
          <w:noProof/>
          <w:sz w:val="20"/>
          <w:szCs w:val="20"/>
        </w:rPr>
        <w:t>5</w:t>
      </w:r>
      <w:r w:rsidR="007F1017" w:rsidRPr="00E2771E">
        <w:rPr>
          <w:rStyle w:val="CommentReference"/>
        </w:rPr>
        <w:t xml:space="preserve">: </w:t>
      </w:r>
      <w:r w:rsidR="00FA3042">
        <w:rPr>
          <w:rStyle w:val="CommentReference"/>
        </w:rPr>
        <w:t xml:space="preserve">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9"/>
        <w:gridCol w:w="2019"/>
        <w:gridCol w:w="1636"/>
        <w:gridCol w:w="1684"/>
        <w:gridCol w:w="1190"/>
        <w:gridCol w:w="1349"/>
      </w:tblGrid>
      <w:tr w:rsidR="00674040" w:rsidTr="004D3AC9">
        <w:trPr>
          <w:tblHeader/>
        </w:trPr>
        <w:tc>
          <w:tcPr>
            <w:tcW w:w="631" w:type="pct"/>
            <w:shd w:val="clear" w:color="auto" w:fill="auto"/>
          </w:tcPr>
          <w:p w:rsidR="00170351" w:rsidRPr="00B41614" w:rsidRDefault="00170351" w:rsidP="00B9191D">
            <w:pPr>
              <w:pStyle w:val="Tabletext"/>
              <w:keepNext/>
              <w:keepLines/>
              <w:rPr>
                <w:b/>
                <w:lang w:val="en-US"/>
              </w:rPr>
            </w:pPr>
            <w:r w:rsidRPr="00B41614">
              <w:rPr>
                <w:b/>
                <w:lang w:val="en-US"/>
              </w:rPr>
              <w:t>Trial</w:t>
            </w:r>
          </w:p>
        </w:tc>
        <w:tc>
          <w:tcPr>
            <w:tcW w:w="1119" w:type="pct"/>
            <w:shd w:val="clear" w:color="auto" w:fill="auto"/>
          </w:tcPr>
          <w:p w:rsidR="00170351" w:rsidRPr="00B41614" w:rsidRDefault="00170351" w:rsidP="00B9191D">
            <w:pPr>
              <w:pStyle w:val="Tabletext"/>
              <w:keepNext/>
              <w:keepLines/>
              <w:jc w:val="center"/>
              <w:rPr>
                <w:b/>
                <w:lang w:val="en-US"/>
              </w:rPr>
            </w:pPr>
            <w:r>
              <w:rPr>
                <w:b/>
                <w:lang w:val="en-US"/>
              </w:rPr>
              <w:t>Design/follow-up</w:t>
            </w:r>
          </w:p>
        </w:tc>
        <w:tc>
          <w:tcPr>
            <w:tcW w:w="907" w:type="pct"/>
            <w:shd w:val="clear" w:color="auto" w:fill="auto"/>
          </w:tcPr>
          <w:p w:rsidR="00170351" w:rsidRPr="00B41614" w:rsidRDefault="00170351" w:rsidP="00B9191D">
            <w:pPr>
              <w:pStyle w:val="Tabletext"/>
              <w:keepNext/>
              <w:keepLines/>
              <w:jc w:val="center"/>
              <w:rPr>
                <w:b/>
                <w:lang w:val="en-US"/>
              </w:rPr>
            </w:pPr>
            <w:r>
              <w:rPr>
                <w:b/>
                <w:lang w:val="en-US"/>
              </w:rPr>
              <w:t>N</w:t>
            </w:r>
          </w:p>
        </w:tc>
        <w:tc>
          <w:tcPr>
            <w:tcW w:w="934" w:type="pct"/>
            <w:shd w:val="clear" w:color="auto" w:fill="auto"/>
          </w:tcPr>
          <w:p w:rsidR="00170351" w:rsidRPr="00B41614" w:rsidRDefault="00170351" w:rsidP="00B9191D">
            <w:pPr>
              <w:pStyle w:val="Tabletext"/>
              <w:keepNext/>
              <w:keepLines/>
              <w:jc w:val="center"/>
              <w:rPr>
                <w:b/>
                <w:lang w:val="en-US"/>
              </w:rPr>
            </w:pPr>
            <w:r w:rsidRPr="00B41614">
              <w:rPr>
                <w:b/>
                <w:lang w:val="en-US"/>
              </w:rPr>
              <w:t>Patient population</w:t>
            </w:r>
          </w:p>
        </w:tc>
        <w:tc>
          <w:tcPr>
            <w:tcW w:w="660" w:type="pct"/>
            <w:shd w:val="clear" w:color="auto" w:fill="auto"/>
          </w:tcPr>
          <w:p w:rsidR="00170351" w:rsidRPr="00B41614" w:rsidRDefault="00170351" w:rsidP="00B9191D">
            <w:pPr>
              <w:pStyle w:val="Tabletext"/>
              <w:keepNext/>
              <w:keepLines/>
              <w:jc w:val="center"/>
              <w:rPr>
                <w:b/>
                <w:lang w:val="en-US"/>
              </w:rPr>
            </w:pPr>
            <w:r>
              <w:rPr>
                <w:b/>
                <w:lang w:val="en-US"/>
              </w:rPr>
              <w:t>Outcomes</w:t>
            </w:r>
          </w:p>
        </w:tc>
        <w:tc>
          <w:tcPr>
            <w:tcW w:w="748" w:type="pct"/>
          </w:tcPr>
          <w:p w:rsidR="00170351" w:rsidRDefault="00170351" w:rsidP="00B9191D">
            <w:pPr>
              <w:pStyle w:val="Tabletext"/>
              <w:keepNext/>
              <w:keepLines/>
              <w:jc w:val="center"/>
              <w:rPr>
                <w:b/>
                <w:lang w:val="en-US"/>
              </w:rPr>
            </w:pPr>
            <w:r w:rsidRPr="00B41614">
              <w:rPr>
                <w:b/>
                <w:lang w:val="en-US"/>
              </w:rPr>
              <w:t>Use in modelled evaluation</w:t>
            </w:r>
          </w:p>
        </w:tc>
      </w:tr>
      <w:tr w:rsidR="00674040" w:rsidTr="00674040">
        <w:tc>
          <w:tcPr>
            <w:tcW w:w="631" w:type="pct"/>
            <w:shd w:val="clear" w:color="auto" w:fill="auto"/>
            <w:vAlign w:val="center"/>
          </w:tcPr>
          <w:p w:rsidR="00170351" w:rsidRPr="00E2771E" w:rsidRDefault="00170351" w:rsidP="00B9191D">
            <w:pPr>
              <w:pStyle w:val="Tabletext"/>
              <w:keepNext/>
              <w:keepLines/>
              <w:rPr>
                <w:lang w:val="en-US"/>
              </w:rPr>
            </w:pPr>
            <w:r>
              <w:rPr>
                <w:lang w:val="en-US"/>
              </w:rPr>
              <w:t>ILLUMINATE</w:t>
            </w:r>
          </w:p>
        </w:tc>
        <w:tc>
          <w:tcPr>
            <w:tcW w:w="1119" w:type="pct"/>
            <w:shd w:val="clear" w:color="auto" w:fill="auto"/>
            <w:vAlign w:val="center"/>
          </w:tcPr>
          <w:p w:rsidR="00170351" w:rsidRDefault="00170351" w:rsidP="00B9191D">
            <w:pPr>
              <w:pStyle w:val="Tabletext"/>
              <w:keepNext/>
              <w:keepLines/>
              <w:rPr>
                <w:lang w:val="en-US"/>
              </w:rPr>
            </w:pPr>
            <w:r w:rsidRPr="00E2771E">
              <w:rPr>
                <w:lang w:val="en-US"/>
              </w:rPr>
              <w:t xml:space="preserve">R, </w:t>
            </w:r>
            <w:r>
              <w:rPr>
                <w:lang w:val="en-US"/>
              </w:rPr>
              <w:t xml:space="preserve">OL, MC comparison of </w:t>
            </w:r>
            <w:proofErr w:type="spellStart"/>
            <w:r>
              <w:rPr>
                <w:lang w:val="en-US"/>
              </w:rPr>
              <w:t>ibr+obi</w:t>
            </w:r>
            <w:proofErr w:type="spellEnd"/>
            <w:r>
              <w:rPr>
                <w:lang w:val="en-US"/>
              </w:rPr>
              <w:t xml:space="preserve"> vs. </w:t>
            </w:r>
            <w:proofErr w:type="spellStart"/>
            <w:r>
              <w:rPr>
                <w:lang w:val="en-US"/>
              </w:rPr>
              <w:t>obi+chl</w:t>
            </w:r>
            <w:proofErr w:type="spellEnd"/>
          </w:p>
          <w:p w:rsidR="00170351" w:rsidRPr="00E2771E" w:rsidRDefault="00170351" w:rsidP="00B9191D">
            <w:pPr>
              <w:pStyle w:val="Tabletext"/>
              <w:keepNext/>
              <w:keepLines/>
              <w:rPr>
                <w:lang w:val="en-US"/>
              </w:rPr>
            </w:pPr>
            <w:r>
              <w:rPr>
                <w:lang w:val="en-US"/>
              </w:rPr>
              <w:t>Median follow-up: 31.3 months</w:t>
            </w:r>
          </w:p>
        </w:tc>
        <w:tc>
          <w:tcPr>
            <w:tcW w:w="907" w:type="pct"/>
            <w:shd w:val="clear" w:color="auto" w:fill="auto"/>
            <w:vAlign w:val="center"/>
          </w:tcPr>
          <w:p w:rsidR="00170351" w:rsidRDefault="00170351" w:rsidP="00B9191D">
            <w:pPr>
              <w:pStyle w:val="Tabletext"/>
              <w:keepNext/>
              <w:keepLines/>
              <w:rPr>
                <w:lang w:val="pt-PT"/>
              </w:rPr>
            </w:pPr>
            <w:r>
              <w:rPr>
                <w:lang w:val="pt-PT"/>
              </w:rPr>
              <w:t>ibr+obi</w:t>
            </w:r>
            <w:r w:rsidRPr="009A4DCD">
              <w:rPr>
                <w:lang w:val="pt-PT"/>
              </w:rPr>
              <w:t>: N=</w:t>
            </w:r>
            <w:r>
              <w:rPr>
                <w:lang w:val="pt-PT"/>
              </w:rPr>
              <w:t>113</w:t>
            </w:r>
          </w:p>
          <w:p w:rsidR="00170351" w:rsidRPr="009A4DCD" w:rsidRDefault="00170351" w:rsidP="00B9191D">
            <w:pPr>
              <w:pStyle w:val="Tabletext"/>
              <w:keepNext/>
              <w:keepLines/>
              <w:rPr>
                <w:lang w:val="pt-PT"/>
              </w:rPr>
            </w:pPr>
            <w:r>
              <w:rPr>
                <w:lang w:val="pt-PT"/>
              </w:rPr>
              <w:t>obi+chl N=116</w:t>
            </w:r>
          </w:p>
          <w:p w:rsidR="00170351" w:rsidRDefault="00170351" w:rsidP="00B9191D">
            <w:pPr>
              <w:pStyle w:val="Tabletext"/>
              <w:keepNext/>
              <w:keepLines/>
              <w:rPr>
                <w:lang w:val="pt-PT"/>
              </w:rPr>
            </w:pPr>
            <w:r>
              <w:rPr>
                <w:lang w:val="pt-PT"/>
              </w:rPr>
              <w:t>ibr+obi del17p</w:t>
            </w:r>
            <w:r w:rsidRPr="009A4DCD">
              <w:rPr>
                <w:lang w:val="pt-PT"/>
              </w:rPr>
              <w:t>: N=</w:t>
            </w:r>
            <w:r>
              <w:rPr>
                <w:lang w:val="pt-PT"/>
              </w:rPr>
              <w:t>14</w:t>
            </w:r>
          </w:p>
          <w:p w:rsidR="00170351" w:rsidRPr="009A4DCD" w:rsidRDefault="00170351" w:rsidP="00B9191D">
            <w:pPr>
              <w:pStyle w:val="Tabletext"/>
              <w:keepNext/>
              <w:keepLines/>
              <w:rPr>
                <w:lang w:val="pt-PT"/>
              </w:rPr>
            </w:pPr>
            <w:r>
              <w:rPr>
                <w:lang w:val="pt-PT"/>
              </w:rPr>
              <w:t>obi+chl del17p N=18</w:t>
            </w:r>
          </w:p>
        </w:tc>
        <w:tc>
          <w:tcPr>
            <w:tcW w:w="934" w:type="pct"/>
            <w:shd w:val="clear" w:color="auto" w:fill="auto"/>
            <w:vAlign w:val="center"/>
          </w:tcPr>
          <w:p w:rsidR="00170351" w:rsidRDefault="00170351" w:rsidP="00B9191D">
            <w:pPr>
              <w:pStyle w:val="Tabletext"/>
              <w:keepNext/>
              <w:keepLines/>
              <w:rPr>
                <w:lang w:val="en-US"/>
              </w:rPr>
            </w:pPr>
            <w:r>
              <w:rPr>
                <w:lang w:val="en-US"/>
              </w:rPr>
              <w:t xml:space="preserve">Previously untreated CLL/SLL; </w:t>
            </w:r>
          </w:p>
          <w:p w:rsidR="00170351" w:rsidRPr="00E2771E" w:rsidRDefault="00170351" w:rsidP="00B9191D">
            <w:pPr>
              <w:pStyle w:val="Tabletext"/>
              <w:keepNext/>
              <w:keepLines/>
              <w:rPr>
                <w:lang w:val="en-US"/>
              </w:rPr>
            </w:pPr>
            <w:r>
              <w:rPr>
                <w:lang w:val="en-US"/>
              </w:rPr>
              <w:t>≥65 years or if &lt;65 years must have</w:t>
            </w:r>
            <w:r w:rsidR="00C811D2">
              <w:rPr>
                <w:lang w:val="en-US"/>
              </w:rPr>
              <w:t xml:space="preserve"> one of</w:t>
            </w:r>
            <w:r>
              <w:rPr>
                <w:lang w:val="en-US"/>
              </w:rPr>
              <w:t xml:space="preserve"> </w:t>
            </w:r>
            <w:r w:rsidR="00C811D2">
              <w:rPr>
                <w:lang w:val="en-US"/>
              </w:rPr>
              <w:t>(</w:t>
            </w:r>
            <w:r>
              <w:rPr>
                <w:lang w:val="en-US"/>
              </w:rPr>
              <w:t>CIRS &gt;6 or creatinine clearance &lt;70ml/min</w:t>
            </w:r>
            <w:r w:rsidR="00FA3042">
              <w:rPr>
                <w:lang w:val="en-US"/>
              </w:rPr>
              <w:t xml:space="preserve"> </w:t>
            </w:r>
            <w:r w:rsidR="00FA3042" w:rsidRPr="00C811D2">
              <w:rPr>
                <w:lang w:val="en-US"/>
              </w:rPr>
              <w:t>or del17p or TP53 mutation</w:t>
            </w:r>
            <w:r w:rsidR="00C811D2">
              <w:rPr>
                <w:lang w:val="en-US"/>
              </w:rPr>
              <w:t>)</w:t>
            </w:r>
          </w:p>
        </w:tc>
        <w:tc>
          <w:tcPr>
            <w:tcW w:w="660" w:type="pct"/>
            <w:shd w:val="clear" w:color="auto" w:fill="auto"/>
            <w:vAlign w:val="center"/>
          </w:tcPr>
          <w:p w:rsidR="00170351" w:rsidRDefault="00170351" w:rsidP="00B9191D">
            <w:pPr>
              <w:pStyle w:val="Tabletext"/>
              <w:keepNext/>
              <w:keepLines/>
              <w:rPr>
                <w:lang w:val="en-US"/>
              </w:rPr>
            </w:pPr>
            <w:r>
              <w:rPr>
                <w:lang w:val="en-US"/>
              </w:rPr>
              <w:t xml:space="preserve">Primary: PFS </w:t>
            </w:r>
          </w:p>
          <w:p w:rsidR="00170351" w:rsidRPr="00E2771E" w:rsidRDefault="00170351" w:rsidP="00B9191D">
            <w:pPr>
              <w:pStyle w:val="Tabletext"/>
              <w:keepNext/>
              <w:keepLines/>
              <w:rPr>
                <w:lang w:val="en-US"/>
              </w:rPr>
            </w:pPr>
            <w:r>
              <w:rPr>
                <w:lang w:val="en-US"/>
              </w:rPr>
              <w:t>Secondary: OS, ORR, MRD, CR, PROs, safety</w:t>
            </w:r>
          </w:p>
        </w:tc>
        <w:tc>
          <w:tcPr>
            <w:tcW w:w="748" w:type="pct"/>
            <w:vAlign w:val="center"/>
          </w:tcPr>
          <w:p w:rsidR="00170351" w:rsidRDefault="00170351" w:rsidP="00B9191D">
            <w:pPr>
              <w:pStyle w:val="Tabletext"/>
              <w:keepNext/>
              <w:keepLines/>
              <w:rPr>
                <w:lang w:val="en-US"/>
              </w:rPr>
            </w:pPr>
            <w:r>
              <w:rPr>
                <w:lang w:val="en-US"/>
              </w:rPr>
              <w:t>PFS, OS, safety</w:t>
            </w:r>
          </w:p>
        </w:tc>
      </w:tr>
      <w:tr w:rsidR="00674040" w:rsidTr="00674040">
        <w:tc>
          <w:tcPr>
            <w:tcW w:w="631" w:type="pct"/>
            <w:shd w:val="clear" w:color="auto" w:fill="auto"/>
            <w:vAlign w:val="center"/>
          </w:tcPr>
          <w:p w:rsidR="00170351" w:rsidRDefault="00170351" w:rsidP="00B9191D">
            <w:pPr>
              <w:pStyle w:val="Tabletext"/>
              <w:keepNext/>
              <w:keepLines/>
              <w:rPr>
                <w:lang w:val="en-US"/>
              </w:rPr>
            </w:pPr>
            <w:r>
              <w:rPr>
                <w:lang w:val="en-US"/>
              </w:rPr>
              <w:t>ALLIANCE</w:t>
            </w:r>
          </w:p>
        </w:tc>
        <w:tc>
          <w:tcPr>
            <w:tcW w:w="1119" w:type="pct"/>
            <w:shd w:val="clear" w:color="auto" w:fill="auto"/>
            <w:vAlign w:val="center"/>
          </w:tcPr>
          <w:p w:rsidR="00170351" w:rsidRDefault="00170351" w:rsidP="00B9191D">
            <w:pPr>
              <w:pStyle w:val="Tabletext"/>
              <w:keepNext/>
              <w:keepLines/>
              <w:rPr>
                <w:lang w:val="en-US"/>
              </w:rPr>
            </w:pPr>
            <w:r w:rsidRPr="00E2771E">
              <w:rPr>
                <w:lang w:val="en-US"/>
              </w:rPr>
              <w:t xml:space="preserve">R, </w:t>
            </w:r>
            <w:r>
              <w:rPr>
                <w:lang w:val="en-US"/>
              </w:rPr>
              <w:t xml:space="preserve">OL, MC comparison of </w:t>
            </w:r>
            <w:proofErr w:type="spellStart"/>
            <w:r>
              <w:rPr>
                <w:lang w:val="en-US"/>
              </w:rPr>
              <w:t>ibr</w:t>
            </w:r>
            <w:proofErr w:type="spellEnd"/>
            <w:r>
              <w:rPr>
                <w:lang w:val="en-US"/>
              </w:rPr>
              <w:t xml:space="preserve"> vs. </w:t>
            </w:r>
            <w:proofErr w:type="spellStart"/>
            <w:r>
              <w:rPr>
                <w:lang w:val="en-US"/>
              </w:rPr>
              <w:t>ibr+ritux</w:t>
            </w:r>
            <w:proofErr w:type="spellEnd"/>
            <w:r>
              <w:rPr>
                <w:lang w:val="en-US"/>
              </w:rPr>
              <w:t xml:space="preserve"> vs. </w:t>
            </w:r>
            <w:proofErr w:type="spellStart"/>
            <w:r>
              <w:rPr>
                <w:lang w:val="en-US"/>
              </w:rPr>
              <w:t>benda+ritux</w:t>
            </w:r>
            <w:proofErr w:type="spellEnd"/>
          </w:p>
          <w:p w:rsidR="00170351" w:rsidRDefault="00170351" w:rsidP="00B9191D">
            <w:pPr>
              <w:pStyle w:val="Tabletext"/>
              <w:keepNext/>
              <w:keepLines/>
              <w:rPr>
                <w:lang w:val="en-US"/>
              </w:rPr>
            </w:pPr>
            <w:r>
              <w:rPr>
                <w:lang w:val="en-US"/>
              </w:rPr>
              <w:t>Median follow-up: 38 months</w:t>
            </w:r>
          </w:p>
        </w:tc>
        <w:tc>
          <w:tcPr>
            <w:tcW w:w="907" w:type="pct"/>
            <w:shd w:val="clear" w:color="auto" w:fill="auto"/>
            <w:vAlign w:val="center"/>
          </w:tcPr>
          <w:p w:rsidR="00170351" w:rsidRDefault="00170351" w:rsidP="00B9191D">
            <w:pPr>
              <w:pStyle w:val="Tabletext"/>
              <w:keepNext/>
              <w:keepLines/>
              <w:rPr>
                <w:lang w:val="pt-PT"/>
              </w:rPr>
            </w:pPr>
            <w:r>
              <w:rPr>
                <w:lang w:val="pt-PT"/>
              </w:rPr>
              <w:t>ibr;</w:t>
            </w:r>
            <w:r w:rsidRPr="009A4DCD">
              <w:rPr>
                <w:lang w:val="pt-PT"/>
              </w:rPr>
              <w:t xml:space="preserve"> N=</w:t>
            </w:r>
            <w:r>
              <w:rPr>
                <w:lang w:val="pt-PT"/>
              </w:rPr>
              <w:t>182</w:t>
            </w:r>
          </w:p>
          <w:p w:rsidR="00170351" w:rsidRDefault="00170351" w:rsidP="00B9191D">
            <w:pPr>
              <w:pStyle w:val="Tabletext"/>
              <w:keepNext/>
              <w:keepLines/>
              <w:rPr>
                <w:lang w:val="pt-PT"/>
              </w:rPr>
            </w:pPr>
            <w:r>
              <w:rPr>
                <w:lang w:val="pt-PT"/>
              </w:rPr>
              <w:t>ibr+ritux</w:t>
            </w:r>
            <w:r w:rsidRPr="009A4DCD">
              <w:rPr>
                <w:lang w:val="pt-PT"/>
              </w:rPr>
              <w:t>: N=</w:t>
            </w:r>
            <w:r>
              <w:rPr>
                <w:lang w:val="pt-PT"/>
              </w:rPr>
              <w:t>182</w:t>
            </w:r>
          </w:p>
          <w:p w:rsidR="00170351" w:rsidRPr="009A4DCD" w:rsidRDefault="00170351" w:rsidP="00B9191D">
            <w:pPr>
              <w:pStyle w:val="Tabletext"/>
              <w:keepNext/>
              <w:keepLines/>
              <w:rPr>
                <w:lang w:val="pt-PT"/>
              </w:rPr>
            </w:pPr>
            <w:r>
              <w:rPr>
                <w:lang w:val="pt-PT"/>
              </w:rPr>
              <w:t>ibr del17p;</w:t>
            </w:r>
            <w:r w:rsidRPr="009A4DCD">
              <w:rPr>
                <w:lang w:val="pt-PT"/>
              </w:rPr>
              <w:t xml:space="preserve"> N=</w:t>
            </w:r>
            <w:r>
              <w:rPr>
                <w:lang w:val="pt-PT"/>
              </w:rPr>
              <w:t>9</w:t>
            </w:r>
          </w:p>
        </w:tc>
        <w:tc>
          <w:tcPr>
            <w:tcW w:w="934" w:type="pct"/>
            <w:shd w:val="clear" w:color="auto" w:fill="auto"/>
            <w:vAlign w:val="center"/>
          </w:tcPr>
          <w:p w:rsidR="00170351" w:rsidRDefault="00170351" w:rsidP="00B9191D">
            <w:pPr>
              <w:pStyle w:val="Tabletext"/>
              <w:keepNext/>
              <w:keepLines/>
              <w:rPr>
                <w:lang w:val="en-US"/>
              </w:rPr>
            </w:pPr>
            <w:r>
              <w:rPr>
                <w:lang w:val="en-US"/>
              </w:rPr>
              <w:t xml:space="preserve">Previously untreated CLL/SLL for which treatment is indicated as defined by </w:t>
            </w:r>
            <w:proofErr w:type="spellStart"/>
            <w:r>
              <w:rPr>
                <w:lang w:val="en-US"/>
              </w:rPr>
              <w:t>iwCLL</w:t>
            </w:r>
            <w:proofErr w:type="spellEnd"/>
            <w:r>
              <w:rPr>
                <w:lang w:val="en-US"/>
              </w:rPr>
              <w:t xml:space="preserve"> criteria; </w:t>
            </w:r>
          </w:p>
          <w:p w:rsidR="00170351" w:rsidRPr="009A4DCD" w:rsidRDefault="00170351" w:rsidP="00B9191D">
            <w:pPr>
              <w:pStyle w:val="Tabletext"/>
              <w:keepNext/>
              <w:keepLines/>
              <w:rPr>
                <w:lang w:val="pt-PT"/>
              </w:rPr>
            </w:pPr>
            <w:r>
              <w:rPr>
                <w:lang w:val="en-US"/>
              </w:rPr>
              <w:t>≥65 years</w:t>
            </w:r>
          </w:p>
        </w:tc>
        <w:tc>
          <w:tcPr>
            <w:tcW w:w="660" w:type="pct"/>
            <w:shd w:val="clear" w:color="auto" w:fill="auto"/>
            <w:vAlign w:val="center"/>
          </w:tcPr>
          <w:p w:rsidR="00170351" w:rsidRDefault="00170351" w:rsidP="00B9191D">
            <w:pPr>
              <w:pStyle w:val="Tabletext"/>
              <w:keepNext/>
              <w:keepLines/>
              <w:rPr>
                <w:lang w:val="en-US"/>
              </w:rPr>
            </w:pPr>
            <w:r>
              <w:rPr>
                <w:lang w:val="en-US"/>
              </w:rPr>
              <w:t xml:space="preserve">Primary: PFS </w:t>
            </w:r>
          </w:p>
          <w:p w:rsidR="00170351" w:rsidRDefault="00170351" w:rsidP="00B9191D">
            <w:pPr>
              <w:pStyle w:val="Tabletext"/>
              <w:keepNext/>
              <w:keepLines/>
              <w:rPr>
                <w:lang w:val="en-US"/>
              </w:rPr>
            </w:pPr>
            <w:r>
              <w:rPr>
                <w:lang w:val="en-US"/>
              </w:rPr>
              <w:t>Secondary: OR, CR, OS, PROs, safety</w:t>
            </w:r>
          </w:p>
        </w:tc>
        <w:tc>
          <w:tcPr>
            <w:tcW w:w="748" w:type="pct"/>
            <w:vAlign w:val="center"/>
          </w:tcPr>
          <w:p w:rsidR="00170351" w:rsidRDefault="00170351" w:rsidP="00B9191D">
            <w:pPr>
              <w:pStyle w:val="Tabletext"/>
              <w:keepNext/>
              <w:keepLines/>
              <w:rPr>
                <w:lang w:val="en-US"/>
              </w:rPr>
            </w:pPr>
            <w:r>
              <w:rPr>
                <w:lang w:val="en-US"/>
              </w:rPr>
              <w:t>Not used</w:t>
            </w:r>
          </w:p>
        </w:tc>
      </w:tr>
      <w:tr w:rsidR="00674040" w:rsidTr="00674040">
        <w:tc>
          <w:tcPr>
            <w:tcW w:w="631" w:type="pct"/>
            <w:shd w:val="clear" w:color="auto" w:fill="auto"/>
            <w:vAlign w:val="center"/>
          </w:tcPr>
          <w:p w:rsidR="00170351" w:rsidRDefault="00170351" w:rsidP="00B9191D">
            <w:pPr>
              <w:pStyle w:val="Tabletext"/>
              <w:keepNext/>
              <w:keepLines/>
              <w:rPr>
                <w:lang w:val="en-US"/>
              </w:rPr>
            </w:pPr>
            <w:r>
              <w:rPr>
                <w:lang w:val="en-US"/>
              </w:rPr>
              <w:t>RESONATE-2</w:t>
            </w:r>
          </w:p>
        </w:tc>
        <w:tc>
          <w:tcPr>
            <w:tcW w:w="1119" w:type="pct"/>
            <w:shd w:val="clear" w:color="auto" w:fill="auto"/>
            <w:vAlign w:val="center"/>
          </w:tcPr>
          <w:p w:rsidR="00170351" w:rsidRDefault="00170351" w:rsidP="00B9191D">
            <w:pPr>
              <w:pStyle w:val="Tabletext"/>
              <w:keepNext/>
              <w:keepLines/>
              <w:rPr>
                <w:lang w:val="en-US"/>
              </w:rPr>
            </w:pPr>
            <w:r w:rsidRPr="00E2771E">
              <w:rPr>
                <w:lang w:val="en-US"/>
              </w:rPr>
              <w:t xml:space="preserve">R, </w:t>
            </w:r>
            <w:r>
              <w:rPr>
                <w:lang w:val="en-US"/>
              </w:rPr>
              <w:t xml:space="preserve">OL, MC comparison of </w:t>
            </w:r>
            <w:proofErr w:type="spellStart"/>
            <w:r>
              <w:rPr>
                <w:lang w:val="en-US"/>
              </w:rPr>
              <w:t>ibr</w:t>
            </w:r>
            <w:proofErr w:type="spellEnd"/>
            <w:r>
              <w:rPr>
                <w:lang w:val="en-US"/>
              </w:rPr>
              <w:t xml:space="preserve"> vs. </w:t>
            </w:r>
            <w:proofErr w:type="spellStart"/>
            <w:r>
              <w:rPr>
                <w:lang w:val="en-US"/>
              </w:rPr>
              <w:t>chl</w:t>
            </w:r>
            <w:proofErr w:type="spellEnd"/>
          </w:p>
          <w:p w:rsidR="00170351" w:rsidRDefault="00170351" w:rsidP="00B9191D">
            <w:pPr>
              <w:pStyle w:val="Tabletext"/>
              <w:keepNext/>
              <w:keepLines/>
              <w:rPr>
                <w:lang w:val="en-US"/>
              </w:rPr>
            </w:pPr>
            <w:r>
              <w:rPr>
                <w:lang w:val="en-US"/>
              </w:rPr>
              <w:t>Median follow-up: 48 months efficacy; 29 months safety</w:t>
            </w:r>
          </w:p>
        </w:tc>
        <w:tc>
          <w:tcPr>
            <w:tcW w:w="907" w:type="pct"/>
            <w:shd w:val="clear" w:color="auto" w:fill="auto"/>
            <w:vAlign w:val="center"/>
          </w:tcPr>
          <w:p w:rsidR="00170351" w:rsidRPr="009A4DCD" w:rsidRDefault="00170351" w:rsidP="00B9191D">
            <w:pPr>
              <w:pStyle w:val="Tabletext"/>
              <w:keepNext/>
              <w:keepLines/>
              <w:rPr>
                <w:lang w:val="pt-PT"/>
              </w:rPr>
            </w:pPr>
            <w:r>
              <w:rPr>
                <w:lang w:val="pt-PT"/>
              </w:rPr>
              <w:t>ibr</w:t>
            </w:r>
            <w:r w:rsidRPr="009A4DCD">
              <w:rPr>
                <w:lang w:val="pt-PT"/>
              </w:rPr>
              <w:t>: N=</w:t>
            </w:r>
            <w:r>
              <w:rPr>
                <w:lang w:val="pt-PT"/>
              </w:rPr>
              <w:t>136</w:t>
            </w:r>
          </w:p>
        </w:tc>
        <w:tc>
          <w:tcPr>
            <w:tcW w:w="934" w:type="pct"/>
            <w:shd w:val="clear" w:color="auto" w:fill="auto"/>
            <w:vAlign w:val="center"/>
          </w:tcPr>
          <w:p w:rsidR="00170351" w:rsidRDefault="00170351" w:rsidP="00B9191D">
            <w:pPr>
              <w:pStyle w:val="Tabletext"/>
              <w:keepNext/>
              <w:keepLines/>
              <w:rPr>
                <w:lang w:val="en-US"/>
              </w:rPr>
            </w:pPr>
            <w:r>
              <w:rPr>
                <w:lang w:val="en-US"/>
              </w:rPr>
              <w:t xml:space="preserve">Previously untreated CLL/SLL with comorbidities excluding use of fludarabine; </w:t>
            </w:r>
          </w:p>
          <w:p w:rsidR="00170351" w:rsidRPr="009A4DCD" w:rsidRDefault="00170351" w:rsidP="00B9191D">
            <w:pPr>
              <w:pStyle w:val="Tabletext"/>
              <w:keepNext/>
              <w:keepLines/>
              <w:rPr>
                <w:lang w:val="pt-PT"/>
              </w:rPr>
            </w:pPr>
            <w:r>
              <w:rPr>
                <w:lang w:val="en-US"/>
              </w:rPr>
              <w:t>≥65 years</w:t>
            </w:r>
          </w:p>
        </w:tc>
        <w:tc>
          <w:tcPr>
            <w:tcW w:w="660" w:type="pct"/>
            <w:shd w:val="clear" w:color="auto" w:fill="auto"/>
            <w:vAlign w:val="center"/>
          </w:tcPr>
          <w:p w:rsidR="00170351" w:rsidRDefault="00170351" w:rsidP="00B9191D">
            <w:pPr>
              <w:pStyle w:val="Tabletext"/>
              <w:keepNext/>
              <w:keepLines/>
              <w:rPr>
                <w:lang w:val="en-US"/>
              </w:rPr>
            </w:pPr>
            <w:r>
              <w:rPr>
                <w:lang w:val="en-US"/>
              </w:rPr>
              <w:t xml:space="preserve">Primary: PFS </w:t>
            </w:r>
          </w:p>
          <w:p w:rsidR="00170351" w:rsidRDefault="00170351" w:rsidP="00B9191D">
            <w:pPr>
              <w:pStyle w:val="Tabletext"/>
              <w:keepNext/>
              <w:keepLines/>
              <w:rPr>
                <w:lang w:val="en-US"/>
              </w:rPr>
            </w:pPr>
            <w:r>
              <w:rPr>
                <w:lang w:val="en-US"/>
              </w:rPr>
              <w:t>Secondary: OS, MRD, safety</w:t>
            </w:r>
          </w:p>
        </w:tc>
        <w:tc>
          <w:tcPr>
            <w:tcW w:w="748" w:type="pct"/>
            <w:vAlign w:val="center"/>
          </w:tcPr>
          <w:p w:rsidR="00170351" w:rsidRDefault="00170351" w:rsidP="00B9191D">
            <w:pPr>
              <w:pStyle w:val="Tabletext"/>
              <w:keepNext/>
              <w:keepLines/>
              <w:rPr>
                <w:lang w:val="en-US"/>
              </w:rPr>
            </w:pPr>
            <w:r>
              <w:rPr>
                <w:lang w:val="en-US"/>
              </w:rPr>
              <w:t>Not used</w:t>
            </w:r>
          </w:p>
        </w:tc>
      </w:tr>
    </w:tbl>
    <w:p w:rsidR="00170351" w:rsidRDefault="00170351" w:rsidP="00B9191D">
      <w:pPr>
        <w:pStyle w:val="TableFooter"/>
        <w:keepNext/>
        <w:keepLines/>
      </w:pPr>
      <w:proofErr w:type="spellStart"/>
      <w:proofErr w:type="gramStart"/>
      <w:r>
        <w:t>benda</w:t>
      </w:r>
      <w:proofErr w:type="spellEnd"/>
      <w:r>
        <w:t>=</w:t>
      </w:r>
      <w:proofErr w:type="spellStart"/>
      <w:proofErr w:type="gramEnd"/>
      <w:r>
        <w:t>bendamustine</w:t>
      </w:r>
      <w:proofErr w:type="spellEnd"/>
      <w:r>
        <w:t xml:space="preserve">; </w:t>
      </w:r>
      <w:proofErr w:type="spellStart"/>
      <w:r>
        <w:t>chl</w:t>
      </w:r>
      <w:proofErr w:type="spellEnd"/>
      <w:r>
        <w:t>=</w:t>
      </w:r>
      <w:proofErr w:type="spellStart"/>
      <w:r>
        <w:t>chlorambucil</w:t>
      </w:r>
      <w:proofErr w:type="spellEnd"/>
      <w:r>
        <w:t xml:space="preserve">; CLL=chronic lymphocytic leukaemia; CR=complete response; </w:t>
      </w:r>
      <w:proofErr w:type="spellStart"/>
      <w:r>
        <w:t>ibr</w:t>
      </w:r>
      <w:proofErr w:type="spellEnd"/>
      <w:r>
        <w:t>=</w:t>
      </w:r>
      <w:proofErr w:type="spellStart"/>
      <w:r>
        <w:t>ibrutinib</w:t>
      </w:r>
      <w:proofErr w:type="spellEnd"/>
      <w:r>
        <w:t>;</w:t>
      </w:r>
      <w:r w:rsidRPr="00B47360">
        <w:t xml:space="preserve"> </w:t>
      </w:r>
      <w:proofErr w:type="spellStart"/>
      <w:r>
        <w:t>iwCLL</w:t>
      </w:r>
      <w:proofErr w:type="spellEnd"/>
      <w:r>
        <w:t xml:space="preserve">=International Workshop on chronic lymphocytic leukaemia; obi=obinutuzumab; MC=multicentre; MRD=minimal residual disease; OL=open-label; ORR=overall response rate; OS=overall survival; PFS=progression-free survival; PROs=patient-reported outcomes; R=randomised; </w:t>
      </w:r>
      <w:proofErr w:type="spellStart"/>
      <w:r>
        <w:t>ritux</w:t>
      </w:r>
      <w:proofErr w:type="spellEnd"/>
      <w:r>
        <w:t>=rituximab; SLL=small lymphocytic lymphoma</w:t>
      </w:r>
    </w:p>
    <w:p w:rsidR="00170351" w:rsidRDefault="00170351" w:rsidP="00B9191D">
      <w:pPr>
        <w:pStyle w:val="TableFooter"/>
        <w:keepNext/>
        <w:keepLines/>
      </w:pPr>
      <w:r>
        <w:t>Source: Table 2.54, p6 of Section 2.12.1; Table 2.57, p16 of Section 2.13.1.2; Table 2.65, p30 of Section 2.14.1.1 of the resubmission.</w:t>
      </w:r>
    </w:p>
    <w:p w:rsidR="007F1017" w:rsidRDefault="007F1017" w:rsidP="007F1017"/>
    <w:p w:rsidR="00AD6E3E" w:rsidRDefault="004E25CA" w:rsidP="00B2597F">
      <w:pPr>
        <w:pStyle w:val="ListParagraph"/>
        <w:numPr>
          <w:ilvl w:val="1"/>
          <w:numId w:val="1"/>
        </w:numPr>
      </w:pPr>
      <w:r>
        <w:t>All three trials were randomised</w:t>
      </w:r>
      <w:r w:rsidR="00CD13C0">
        <w:t xml:space="preserve"> and</w:t>
      </w:r>
      <w:r>
        <w:t xml:space="preserve"> open-label </w:t>
      </w:r>
      <w:r w:rsidR="00CD13C0">
        <w:t>in design</w:t>
      </w:r>
      <w:r>
        <w:t xml:space="preserve">. The resubmission </w:t>
      </w:r>
      <w:r w:rsidR="00CD13C0">
        <w:t>considered</w:t>
      </w:r>
      <w:r>
        <w:t xml:space="preserve"> the risk of bias within the trials was low given that outcome assessors were blinded, key outcomes including progression-free survival (PFS) and overall survival (OS) were objective and the primary efficacy evaluations were performed by an independent review committee (IRC).  </w:t>
      </w:r>
    </w:p>
    <w:p w:rsidR="00B60939" w:rsidRPr="00E773B1" w:rsidRDefault="00B633F1" w:rsidP="00B2597F">
      <w:pPr>
        <w:pStyle w:val="ListParagraph"/>
        <w:numPr>
          <w:ilvl w:val="1"/>
          <w:numId w:val="1"/>
        </w:numPr>
        <w:rPr>
          <w:iCs/>
        </w:rPr>
      </w:pPr>
      <w:r w:rsidRPr="00E773B1">
        <w:rPr>
          <w:iCs/>
        </w:rPr>
        <w:t xml:space="preserve">The </w:t>
      </w:r>
      <w:r w:rsidR="00767CAC">
        <w:rPr>
          <w:iCs/>
        </w:rPr>
        <w:t xml:space="preserve">PBAC agreed with the </w:t>
      </w:r>
      <w:r w:rsidRPr="00E773B1">
        <w:rPr>
          <w:iCs/>
        </w:rPr>
        <w:t>ESC that w</w:t>
      </w:r>
      <w:r w:rsidR="00C12928" w:rsidRPr="00E773B1">
        <w:rPr>
          <w:iCs/>
        </w:rPr>
        <w:t>hile the individual trials had a low risk of bias, the naïve single arm comparisons</w:t>
      </w:r>
      <w:r w:rsidR="00CD13C0" w:rsidRPr="00E773B1">
        <w:rPr>
          <w:iCs/>
        </w:rPr>
        <w:t xml:space="preserve"> of </w:t>
      </w:r>
      <w:proofErr w:type="spellStart"/>
      <w:r w:rsidR="00CD13C0" w:rsidRPr="00E773B1">
        <w:rPr>
          <w:iCs/>
        </w:rPr>
        <w:t>ibrutinib</w:t>
      </w:r>
      <w:proofErr w:type="spellEnd"/>
      <w:r w:rsidR="00CD13C0" w:rsidRPr="00E773B1">
        <w:rPr>
          <w:iCs/>
        </w:rPr>
        <w:t xml:space="preserve"> monotherapy and </w:t>
      </w:r>
      <w:proofErr w:type="spellStart"/>
      <w:r w:rsidR="00CD13C0" w:rsidRPr="00E773B1">
        <w:rPr>
          <w:iCs/>
        </w:rPr>
        <w:t>ibr+chl</w:t>
      </w:r>
      <w:proofErr w:type="spellEnd"/>
      <w:r w:rsidR="00CD13C0" w:rsidRPr="00E773B1">
        <w:rPr>
          <w:iCs/>
        </w:rPr>
        <w:t xml:space="preserve"> was associated with</w:t>
      </w:r>
      <w:r w:rsidR="00095E02" w:rsidRPr="00E773B1">
        <w:rPr>
          <w:iCs/>
        </w:rPr>
        <w:t xml:space="preserve"> a </w:t>
      </w:r>
      <w:r w:rsidRPr="00E773B1">
        <w:rPr>
          <w:iCs/>
        </w:rPr>
        <w:t xml:space="preserve">high </w:t>
      </w:r>
      <w:r w:rsidR="00095E02" w:rsidRPr="00E773B1">
        <w:rPr>
          <w:iCs/>
        </w:rPr>
        <w:t>risk of bias</w:t>
      </w:r>
      <w:r w:rsidRPr="00E773B1">
        <w:rPr>
          <w:iCs/>
        </w:rPr>
        <w:t>.</w:t>
      </w:r>
    </w:p>
    <w:p w:rsidR="00B60939" w:rsidRPr="00C9624D" w:rsidRDefault="00B60939" w:rsidP="00C9624D">
      <w:pPr>
        <w:pStyle w:val="Heading2"/>
      </w:pPr>
      <w:bookmarkStart w:id="9" w:name="_Toc19716427"/>
      <w:r w:rsidRPr="00C9624D">
        <w:t>Comparative effectiveness</w:t>
      </w:r>
      <w:bookmarkEnd w:id="9"/>
    </w:p>
    <w:p w:rsidR="00B60939" w:rsidRPr="00882085" w:rsidRDefault="00B60939" w:rsidP="00B60939"/>
    <w:p w:rsidR="00601CCA" w:rsidRPr="00601CCA" w:rsidRDefault="00601CCA" w:rsidP="00601CCA">
      <w:pPr>
        <w:rPr>
          <w:u w:val="single"/>
        </w:rPr>
      </w:pPr>
      <w:r w:rsidRPr="00601CCA">
        <w:rPr>
          <w:u w:val="single"/>
        </w:rPr>
        <w:t xml:space="preserve">Comparisons to support the claim of superiority of </w:t>
      </w:r>
      <w:proofErr w:type="spellStart"/>
      <w:r w:rsidRPr="00601CCA">
        <w:rPr>
          <w:u w:val="single"/>
        </w:rPr>
        <w:t>ibr+obi</w:t>
      </w:r>
      <w:proofErr w:type="spellEnd"/>
      <w:r w:rsidRPr="00601CCA">
        <w:rPr>
          <w:u w:val="single"/>
        </w:rPr>
        <w:t xml:space="preserve"> compared to </w:t>
      </w:r>
      <w:proofErr w:type="spellStart"/>
      <w:r w:rsidRPr="00601CCA">
        <w:rPr>
          <w:u w:val="single"/>
        </w:rPr>
        <w:t>obi+chl</w:t>
      </w:r>
      <w:proofErr w:type="spellEnd"/>
    </w:p>
    <w:p w:rsidR="00601CCA" w:rsidRDefault="00601CCA" w:rsidP="00601CCA"/>
    <w:p w:rsidR="00F1270A" w:rsidRPr="00F1270A" w:rsidRDefault="00F1270A" w:rsidP="00B2597F">
      <w:pPr>
        <w:pStyle w:val="ListParagraph"/>
        <w:numPr>
          <w:ilvl w:val="1"/>
          <w:numId w:val="4"/>
        </w:numPr>
      </w:pPr>
      <w:r>
        <w:t xml:space="preserve">Table 6 provides the results of the ILLUMINATE trial, comparing </w:t>
      </w:r>
      <w:proofErr w:type="spellStart"/>
      <w:r>
        <w:t>ibr+obi</w:t>
      </w:r>
      <w:proofErr w:type="spellEnd"/>
      <w:r>
        <w:t xml:space="preserve"> to </w:t>
      </w:r>
      <w:proofErr w:type="spellStart"/>
      <w:r>
        <w:t>obi+chl</w:t>
      </w:r>
      <w:proofErr w:type="spellEnd"/>
      <w:r>
        <w:t xml:space="preserve">.  </w:t>
      </w:r>
    </w:p>
    <w:p w:rsidR="00E6446E" w:rsidRDefault="00922313" w:rsidP="00601CCA">
      <w:pPr>
        <w:keepNext/>
        <w:keepLines/>
      </w:pPr>
      <w:r w:rsidRPr="00401364">
        <w:rPr>
          <w:rFonts w:ascii="Arial Narrow" w:hAnsi="Arial Narrow"/>
          <w:b/>
          <w:sz w:val="20"/>
          <w:szCs w:val="20"/>
        </w:rPr>
        <w:lastRenderedPageBreak/>
        <w:t xml:space="preserve">Table </w:t>
      </w:r>
      <w:r w:rsidR="00BD4B83">
        <w:rPr>
          <w:rFonts w:ascii="Arial Narrow" w:hAnsi="Arial Narrow"/>
          <w:b/>
          <w:noProof/>
          <w:sz w:val="20"/>
          <w:szCs w:val="20"/>
        </w:rPr>
        <w:t>6</w:t>
      </w:r>
      <w:r w:rsidRPr="00E2771E">
        <w:rPr>
          <w:rStyle w:val="CommentReference"/>
        </w:rPr>
        <w:t xml:space="preserve">: </w:t>
      </w:r>
      <w:r w:rsidRPr="00922313">
        <w:rPr>
          <w:rFonts w:ascii="Arial Narrow" w:hAnsi="Arial Narrow"/>
          <w:b/>
          <w:bCs/>
          <w:sz w:val="20"/>
          <w:szCs w:val="20"/>
        </w:rPr>
        <w:t xml:space="preserve">Results of comparisons to </w:t>
      </w:r>
      <w:r w:rsidR="00264AC1">
        <w:rPr>
          <w:rFonts w:ascii="Arial Narrow" w:hAnsi="Arial Narrow"/>
          <w:b/>
          <w:bCs/>
          <w:sz w:val="20"/>
          <w:szCs w:val="20"/>
        </w:rPr>
        <w:t>support the claim of</w:t>
      </w:r>
      <w:r w:rsidR="00264AC1" w:rsidRPr="00922313">
        <w:rPr>
          <w:rFonts w:ascii="Arial Narrow" w:hAnsi="Arial Narrow"/>
          <w:b/>
          <w:bCs/>
          <w:sz w:val="20"/>
          <w:szCs w:val="20"/>
        </w:rPr>
        <w:t xml:space="preserve"> </w:t>
      </w:r>
      <w:r w:rsidRPr="00922313">
        <w:rPr>
          <w:rFonts w:ascii="Arial Narrow" w:hAnsi="Arial Narrow"/>
          <w:b/>
          <w:bCs/>
          <w:sz w:val="20"/>
          <w:szCs w:val="20"/>
        </w:rPr>
        <w:t xml:space="preserve">superiority of </w:t>
      </w:r>
      <w:proofErr w:type="spellStart"/>
      <w:r w:rsidRPr="00922313">
        <w:rPr>
          <w:rFonts w:ascii="Arial Narrow" w:hAnsi="Arial Narrow"/>
          <w:b/>
          <w:bCs/>
          <w:sz w:val="20"/>
          <w:szCs w:val="20"/>
        </w:rPr>
        <w:t>ibr+obi</w:t>
      </w:r>
      <w:proofErr w:type="spellEnd"/>
      <w:r w:rsidRPr="00922313">
        <w:rPr>
          <w:rFonts w:ascii="Arial Narrow" w:hAnsi="Arial Narrow"/>
          <w:b/>
          <w:bCs/>
          <w:sz w:val="20"/>
          <w:szCs w:val="20"/>
        </w:rPr>
        <w:t xml:space="preserve"> </w:t>
      </w:r>
    </w:p>
    <w:tbl>
      <w:tblPr>
        <w:tblStyle w:val="TableGrid"/>
        <w:tblW w:w="9283" w:type="dxa"/>
        <w:tblLook w:val="04A0" w:firstRow="1" w:lastRow="0" w:firstColumn="1" w:lastColumn="0" w:noHBand="0" w:noVBand="1"/>
        <w:tblCaption w:val="Table 6: Results of comparisons to support the claim of superiority of ibr+obi "/>
      </w:tblPr>
      <w:tblGrid>
        <w:gridCol w:w="2518"/>
        <w:gridCol w:w="1848"/>
        <w:gridCol w:w="1615"/>
        <w:gridCol w:w="1601"/>
        <w:gridCol w:w="1701"/>
      </w:tblGrid>
      <w:tr w:rsidR="00F1270A" w:rsidRPr="000549DC" w:rsidTr="001F7AC0">
        <w:trPr>
          <w:tblHeader/>
        </w:trPr>
        <w:tc>
          <w:tcPr>
            <w:tcW w:w="2518" w:type="dxa"/>
            <w:vAlign w:val="center"/>
          </w:tcPr>
          <w:p w:rsidR="00F1270A" w:rsidRPr="000549DC" w:rsidRDefault="00F1270A" w:rsidP="00601CCA">
            <w:pPr>
              <w:pStyle w:val="TableText1"/>
              <w:keepLines/>
              <w:widowControl w:val="0"/>
            </w:pPr>
            <w:r w:rsidRPr="003F685D">
              <w:rPr>
                <w:b/>
                <w:szCs w:val="20"/>
              </w:rPr>
              <w:t xml:space="preserve">Trial </w:t>
            </w:r>
          </w:p>
        </w:tc>
        <w:tc>
          <w:tcPr>
            <w:tcW w:w="1848" w:type="dxa"/>
            <w:vAlign w:val="center"/>
          </w:tcPr>
          <w:p w:rsidR="00F1270A" w:rsidRPr="000549DC" w:rsidRDefault="00F1270A" w:rsidP="00601CCA">
            <w:pPr>
              <w:pStyle w:val="TableText1"/>
              <w:keepLines/>
              <w:widowControl w:val="0"/>
              <w:jc w:val="center"/>
            </w:pPr>
            <w:r w:rsidRPr="003F685D">
              <w:rPr>
                <w:b/>
                <w:szCs w:val="20"/>
              </w:rPr>
              <w:t>Outcome</w:t>
            </w:r>
          </w:p>
        </w:tc>
        <w:tc>
          <w:tcPr>
            <w:tcW w:w="1615" w:type="dxa"/>
            <w:vAlign w:val="center"/>
          </w:tcPr>
          <w:p w:rsidR="00F1270A" w:rsidRDefault="00F1270A" w:rsidP="00601CCA">
            <w:pPr>
              <w:pStyle w:val="TableText1"/>
              <w:keepLines/>
              <w:widowControl w:val="0"/>
              <w:jc w:val="center"/>
              <w:rPr>
                <w:b/>
                <w:iCs/>
                <w:szCs w:val="20"/>
              </w:rPr>
            </w:pPr>
            <w:proofErr w:type="spellStart"/>
            <w:r w:rsidRPr="003F685D">
              <w:rPr>
                <w:b/>
                <w:iCs/>
                <w:szCs w:val="20"/>
              </w:rPr>
              <w:t>Ibr</w:t>
            </w:r>
            <w:r>
              <w:rPr>
                <w:b/>
                <w:iCs/>
                <w:szCs w:val="20"/>
              </w:rPr>
              <w:t>+obi</w:t>
            </w:r>
            <w:proofErr w:type="spellEnd"/>
          </w:p>
          <w:p w:rsidR="00F1270A" w:rsidRPr="000549DC" w:rsidRDefault="00F1270A" w:rsidP="00601CCA">
            <w:pPr>
              <w:pStyle w:val="TableText1"/>
              <w:keepLines/>
              <w:widowControl w:val="0"/>
              <w:jc w:val="center"/>
            </w:pPr>
            <w:proofErr w:type="gramStart"/>
            <w:r w:rsidRPr="003F685D">
              <w:rPr>
                <w:b/>
                <w:iCs/>
                <w:szCs w:val="20"/>
              </w:rPr>
              <w:t>n/N</w:t>
            </w:r>
            <w:proofErr w:type="gramEnd"/>
            <w:r w:rsidRPr="003F685D">
              <w:rPr>
                <w:b/>
                <w:iCs/>
                <w:szCs w:val="20"/>
              </w:rPr>
              <w:t xml:space="preserve"> (%)</w:t>
            </w:r>
          </w:p>
        </w:tc>
        <w:tc>
          <w:tcPr>
            <w:tcW w:w="1601" w:type="dxa"/>
            <w:vAlign w:val="center"/>
          </w:tcPr>
          <w:p w:rsidR="00F1270A" w:rsidRDefault="00F1270A" w:rsidP="00601CCA">
            <w:pPr>
              <w:pStyle w:val="TableText1"/>
              <w:keepLines/>
              <w:widowControl w:val="0"/>
              <w:jc w:val="center"/>
              <w:rPr>
                <w:b/>
                <w:szCs w:val="20"/>
              </w:rPr>
            </w:pPr>
            <w:proofErr w:type="spellStart"/>
            <w:r>
              <w:rPr>
                <w:b/>
                <w:szCs w:val="20"/>
              </w:rPr>
              <w:t>Obi+chl</w:t>
            </w:r>
            <w:proofErr w:type="spellEnd"/>
          </w:p>
          <w:p w:rsidR="00F1270A" w:rsidRPr="000549DC" w:rsidRDefault="00F1270A" w:rsidP="00601CCA">
            <w:pPr>
              <w:pStyle w:val="TableText1"/>
              <w:keepLines/>
              <w:widowControl w:val="0"/>
              <w:jc w:val="center"/>
            </w:pPr>
            <w:proofErr w:type="gramStart"/>
            <w:r w:rsidRPr="003F685D">
              <w:rPr>
                <w:b/>
                <w:szCs w:val="20"/>
              </w:rPr>
              <w:t>n/N</w:t>
            </w:r>
            <w:proofErr w:type="gramEnd"/>
            <w:r w:rsidRPr="003F685D">
              <w:rPr>
                <w:b/>
                <w:szCs w:val="20"/>
              </w:rPr>
              <w:t xml:space="preserve"> (%)</w:t>
            </w:r>
          </w:p>
        </w:tc>
        <w:tc>
          <w:tcPr>
            <w:tcW w:w="1701" w:type="dxa"/>
            <w:vAlign w:val="center"/>
          </w:tcPr>
          <w:p w:rsidR="00F1270A" w:rsidRPr="000549DC" w:rsidRDefault="00F1270A" w:rsidP="00601CCA">
            <w:pPr>
              <w:pStyle w:val="TableText1"/>
              <w:keepLines/>
              <w:widowControl w:val="0"/>
              <w:jc w:val="center"/>
            </w:pPr>
            <w:r w:rsidRPr="003F685D">
              <w:rPr>
                <w:b/>
                <w:szCs w:val="20"/>
              </w:rPr>
              <w:t>HR (95% CI)</w:t>
            </w:r>
          </w:p>
        </w:tc>
      </w:tr>
      <w:tr w:rsidR="00F1270A" w:rsidRPr="00E06F40" w:rsidTr="001F7AC0">
        <w:tc>
          <w:tcPr>
            <w:tcW w:w="9283" w:type="dxa"/>
            <w:gridSpan w:val="5"/>
            <w:vAlign w:val="center"/>
          </w:tcPr>
          <w:p w:rsidR="00F1270A" w:rsidRPr="00E06F40" w:rsidRDefault="00F1270A" w:rsidP="00601CCA">
            <w:pPr>
              <w:pStyle w:val="TableText1"/>
              <w:keepLines/>
              <w:widowControl w:val="0"/>
              <w:rPr>
                <w:b/>
                <w:bCs/>
                <w:szCs w:val="20"/>
              </w:rPr>
            </w:pPr>
            <w:r>
              <w:rPr>
                <w:b/>
              </w:rPr>
              <w:t xml:space="preserve">Comparisons to support the </w:t>
            </w:r>
            <w:r w:rsidRPr="00264AC1">
              <w:rPr>
                <w:b/>
              </w:rPr>
              <w:t>claim of supe</w:t>
            </w:r>
            <w:r>
              <w:rPr>
                <w:b/>
              </w:rPr>
              <w:t xml:space="preserve">riority of </w:t>
            </w:r>
            <w:proofErr w:type="spellStart"/>
            <w:r>
              <w:rPr>
                <w:b/>
              </w:rPr>
              <w:t>ibr+obi</w:t>
            </w:r>
            <w:proofErr w:type="spellEnd"/>
            <w:r>
              <w:rPr>
                <w:b/>
              </w:rPr>
              <w:t xml:space="preserve"> compared to </w:t>
            </w:r>
            <w:proofErr w:type="spellStart"/>
            <w:r>
              <w:rPr>
                <w:b/>
              </w:rPr>
              <w:t>o</w:t>
            </w:r>
            <w:r w:rsidRPr="00264AC1">
              <w:rPr>
                <w:b/>
              </w:rPr>
              <w:t>bi+chl</w:t>
            </w:r>
            <w:proofErr w:type="spellEnd"/>
          </w:p>
        </w:tc>
      </w:tr>
      <w:tr w:rsidR="00F1270A" w:rsidRPr="00E06F40" w:rsidTr="001F7AC0">
        <w:tc>
          <w:tcPr>
            <w:tcW w:w="9283" w:type="dxa"/>
            <w:gridSpan w:val="5"/>
            <w:vAlign w:val="center"/>
          </w:tcPr>
          <w:p w:rsidR="00F1270A" w:rsidRPr="00E06F40" w:rsidRDefault="00F1270A" w:rsidP="00601CCA">
            <w:pPr>
              <w:pStyle w:val="TableText1"/>
              <w:keepLines/>
              <w:widowControl w:val="0"/>
              <w:rPr>
                <w:b/>
                <w:bCs/>
              </w:rPr>
            </w:pPr>
            <w:r w:rsidRPr="00E06F40">
              <w:rPr>
                <w:b/>
                <w:bCs/>
                <w:szCs w:val="20"/>
              </w:rPr>
              <w:t>ITT population of ILLUMINATE</w:t>
            </w:r>
            <w:r>
              <w:rPr>
                <w:b/>
                <w:bCs/>
                <w:szCs w:val="20"/>
              </w:rPr>
              <w:t xml:space="preserve"> – PFS (IRC-assessed)</w:t>
            </w:r>
          </w:p>
        </w:tc>
      </w:tr>
      <w:tr w:rsidR="00F1270A" w:rsidRPr="000549DC" w:rsidTr="001F7AC0">
        <w:tc>
          <w:tcPr>
            <w:tcW w:w="2518" w:type="dxa"/>
            <w:vMerge w:val="restart"/>
          </w:tcPr>
          <w:p w:rsidR="00F1270A" w:rsidRPr="000549DC" w:rsidRDefault="00F1270A" w:rsidP="00601CCA">
            <w:pPr>
              <w:pStyle w:val="TableText1"/>
              <w:keepLines/>
              <w:widowControl w:val="0"/>
            </w:pPr>
            <w:r>
              <w:t>ILLUMINATE</w:t>
            </w:r>
          </w:p>
          <w:p w:rsidR="00F1270A" w:rsidRPr="000549DC" w:rsidRDefault="00F1270A" w:rsidP="00601CCA">
            <w:pPr>
              <w:pStyle w:val="TableText1"/>
              <w:keepLines/>
              <w:widowControl w:val="0"/>
            </w:pPr>
            <w:r>
              <w:t>(31.3 months median follow-up)</w:t>
            </w:r>
          </w:p>
        </w:tc>
        <w:tc>
          <w:tcPr>
            <w:tcW w:w="1848" w:type="dxa"/>
            <w:vAlign w:val="center"/>
          </w:tcPr>
          <w:p w:rsidR="00F1270A" w:rsidRPr="000549DC" w:rsidRDefault="00F1270A" w:rsidP="00601CCA">
            <w:pPr>
              <w:pStyle w:val="TableText1"/>
              <w:keepLines/>
              <w:widowControl w:val="0"/>
            </w:pPr>
            <w:r>
              <w:rPr>
                <w:szCs w:val="20"/>
              </w:rPr>
              <w:t>Events</w:t>
            </w:r>
          </w:p>
        </w:tc>
        <w:tc>
          <w:tcPr>
            <w:tcW w:w="1615" w:type="dxa"/>
            <w:vAlign w:val="center"/>
          </w:tcPr>
          <w:p w:rsidR="00F1270A" w:rsidRPr="000549DC" w:rsidRDefault="00F1270A" w:rsidP="00601CCA">
            <w:pPr>
              <w:pStyle w:val="TableText1"/>
              <w:keepLines/>
              <w:widowControl w:val="0"/>
              <w:jc w:val="center"/>
            </w:pPr>
            <w:r>
              <w:rPr>
                <w:iCs/>
                <w:szCs w:val="20"/>
              </w:rPr>
              <w:t>24/113 (21.1%)</w:t>
            </w:r>
          </w:p>
        </w:tc>
        <w:tc>
          <w:tcPr>
            <w:tcW w:w="1601" w:type="dxa"/>
            <w:vAlign w:val="center"/>
          </w:tcPr>
          <w:p w:rsidR="00F1270A" w:rsidRPr="000549DC" w:rsidRDefault="00F1270A" w:rsidP="00601CCA">
            <w:pPr>
              <w:pStyle w:val="TableText1"/>
              <w:keepLines/>
              <w:widowControl w:val="0"/>
              <w:jc w:val="center"/>
            </w:pPr>
            <w:r>
              <w:rPr>
                <w:iCs/>
                <w:szCs w:val="20"/>
              </w:rPr>
              <w:t>74/116 (63.8%)</w:t>
            </w:r>
          </w:p>
        </w:tc>
        <w:tc>
          <w:tcPr>
            <w:tcW w:w="1701" w:type="dxa"/>
          </w:tcPr>
          <w:p w:rsidR="00F1270A" w:rsidRPr="000549DC" w:rsidRDefault="00F1270A" w:rsidP="00601CCA">
            <w:pPr>
              <w:pStyle w:val="TableText1"/>
              <w:keepLines/>
              <w:widowControl w:val="0"/>
              <w:jc w:val="center"/>
            </w:pPr>
          </w:p>
        </w:tc>
      </w:tr>
      <w:tr w:rsidR="00F1270A" w:rsidRPr="000549DC" w:rsidTr="001F7AC0">
        <w:tc>
          <w:tcPr>
            <w:tcW w:w="2518" w:type="dxa"/>
            <w:vMerge/>
          </w:tcPr>
          <w:p w:rsidR="00F1270A" w:rsidRPr="000549DC" w:rsidRDefault="00F1270A" w:rsidP="00601CCA">
            <w:pPr>
              <w:pStyle w:val="TableText1"/>
              <w:keepLines/>
              <w:widowControl w:val="0"/>
            </w:pPr>
          </w:p>
        </w:tc>
        <w:tc>
          <w:tcPr>
            <w:tcW w:w="1848" w:type="dxa"/>
            <w:vAlign w:val="center"/>
          </w:tcPr>
          <w:p w:rsidR="00F1270A" w:rsidRPr="000549DC" w:rsidRDefault="00F1270A" w:rsidP="00601CCA">
            <w:pPr>
              <w:pStyle w:val="TableText1"/>
              <w:keepLines/>
              <w:widowControl w:val="0"/>
            </w:pPr>
            <w:r w:rsidRPr="003F685D">
              <w:rPr>
                <w:szCs w:val="20"/>
              </w:rPr>
              <w:t>Median months PFS</w:t>
            </w:r>
          </w:p>
        </w:tc>
        <w:tc>
          <w:tcPr>
            <w:tcW w:w="1615" w:type="dxa"/>
            <w:vAlign w:val="center"/>
          </w:tcPr>
          <w:p w:rsidR="00F1270A" w:rsidRPr="000549DC" w:rsidRDefault="00F1270A" w:rsidP="00601CCA">
            <w:pPr>
              <w:pStyle w:val="TableText1"/>
              <w:keepLines/>
              <w:widowControl w:val="0"/>
              <w:jc w:val="center"/>
            </w:pPr>
            <w:r>
              <w:rPr>
                <w:iCs/>
                <w:szCs w:val="20"/>
              </w:rPr>
              <w:t>NE (33.6, NE)</w:t>
            </w:r>
          </w:p>
        </w:tc>
        <w:tc>
          <w:tcPr>
            <w:tcW w:w="1601" w:type="dxa"/>
            <w:vAlign w:val="center"/>
          </w:tcPr>
          <w:p w:rsidR="00F1270A" w:rsidRPr="000549DC" w:rsidRDefault="00F1270A" w:rsidP="00601CCA">
            <w:pPr>
              <w:pStyle w:val="TableText1"/>
              <w:keepLines/>
              <w:widowControl w:val="0"/>
              <w:jc w:val="center"/>
            </w:pPr>
            <w:r>
              <w:rPr>
                <w:iCs/>
                <w:szCs w:val="20"/>
              </w:rPr>
              <w:t>19.0 (15.1, 22.1)</w:t>
            </w:r>
          </w:p>
        </w:tc>
        <w:tc>
          <w:tcPr>
            <w:tcW w:w="1701" w:type="dxa"/>
          </w:tcPr>
          <w:p w:rsidR="00F1270A" w:rsidRPr="000549DC" w:rsidRDefault="00F1270A" w:rsidP="00601CCA">
            <w:pPr>
              <w:pStyle w:val="TableText1"/>
              <w:keepLines/>
              <w:widowControl w:val="0"/>
              <w:jc w:val="center"/>
            </w:pPr>
            <w:r w:rsidRPr="00A248E2">
              <w:rPr>
                <w:b/>
                <w:bCs/>
                <w:szCs w:val="20"/>
              </w:rPr>
              <w:t>0.23 (0.15, 0.37)</w:t>
            </w:r>
          </w:p>
        </w:tc>
      </w:tr>
      <w:tr w:rsidR="00F1270A" w:rsidRPr="000549DC" w:rsidTr="001F7AC0">
        <w:tc>
          <w:tcPr>
            <w:tcW w:w="9283" w:type="dxa"/>
            <w:gridSpan w:val="5"/>
            <w:vAlign w:val="center"/>
          </w:tcPr>
          <w:p w:rsidR="00F1270A" w:rsidRPr="000549DC" w:rsidRDefault="00F1270A" w:rsidP="00601CCA">
            <w:pPr>
              <w:pStyle w:val="TableText1"/>
              <w:keepLines/>
              <w:widowControl w:val="0"/>
            </w:pPr>
            <w:r w:rsidRPr="00E06F40">
              <w:rPr>
                <w:b/>
                <w:bCs/>
                <w:szCs w:val="20"/>
              </w:rPr>
              <w:t>ITT population of ILLUMINATE</w:t>
            </w:r>
            <w:r>
              <w:rPr>
                <w:b/>
                <w:bCs/>
                <w:szCs w:val="20"/>
              </w:rPr>
              <w:t xml:space="preserve"> – OS </w:t>
            </w:r>
          </w:p>
        </w:tc>
      </w:tr>
      <w:tr w:rsidR="00F1270A" w:rsidRPr="000549DC" w:rsidTr="001F7AC0">
        <w:tc>
          <w:tcPr>
            <w:tcW w:w="2518" w:type="dxa"/>
            <w:vMerge w:val="restart"/>
          </w:tcPr>
          <w:p w:rsidR="00F1270A" w:rsidRPr="000549DC" w:rsidRDefault="00F1270A" w:rsidP="00601CCA">
            <w:pPr>
              <w:pStyle w:val="TableText1"/>
              <w:keepLines/>
              <w:widowControl w:val="0"/>
            </w:pPr>
            <w:r>
              <w:t>ILLUMINATE</w:t>
            </w:r>
          </w:p>
          <w:p w:rsidR="00F1270A" w:rsidRPr="000549DC" w:rsidRDefault="00F1270A" w:rsidP="00601CCA">
            <w:pPr>
              <w:pStyle w:val="TableText1"/>
              <w:keepLines/>
              <w:widowControl w:val="0"/>
            </w:pPr>
            <w:r>
              <w:t>(31.3 months median follow-up)</w:t>
            </w:r>
          </w:p>
        </w:tc>
        <w:tc>
          <w:tcPr>
            <w:tcW w:w="1848" w:type="dxa"/>
            <w:vAlign w:val="center"/>
          </w:tcPr>
          <w:p w:rsidR="00F1270A" w:rsidRPr="000549DC" w:rsidRDefault="00F1270A" w:rsidP="00601CCA">
            <w:pPr>
              <w:pStyle w:val="TableText1"/>
              <w:keepLines/>
              <w:widowControl w:val="0"/>
            </w:pPr>
            <w:r>
              <w:rPr>
                <w:szCs w:val="20"/>
              </w:rPr>
              <w:t>Dead</w:t>
            </w:r>
          </w:p>
        </w:tc>
        <w:tc>
          <w:tcPr>
            <w:tcW w:w="1615" w:type="dxa"/>
            <w:vAlign w:val="center"/>
          </w:tcPr>
          <w:p w:rsidR="00F1270A" w:rsidRPr="000549DC" w:rsidRDefault="00F1270A" w:rsidP="00601CCA">
            <w:pPr>
              <w:pStyle w:val="TableText1"/>
              <w:keepLines/>
              <w:widowControl w:val="0"/>
              <w:jc w:val="center"/>
            </w:pPr>
            <w:r>
              <w:rPr>
                <w:iCs/>
                <w:szCs w:val="20"/>
              </w:rPr>
              <w:t>17/113 (15.0%)</w:t>
            </w:r>
          </w:p>
        </w:tc>
        <w:tc>
          <w:tcPr>
            <w:tcW w:w="1601" w:type="dxa"/>
            <w:vAlign w:val="center"/>
          </w:tcPr>
          <w:p w:rsidR="00F1270A" w:rsidRPr="000549DC" w:rsidRDefault="00F1270A" w:rsidP="00601CCA">
            <w:pPr>
              <w:pStyle w:val="TableText1"/>
              <w:keepLines/>
              <w:widowControl w:val="0"/>
              <w:jc w:val="center"/>
            </w:pPr>
            <w:r>
              <w:rPr>
                <w:iCs/>
                <w:szCs w:val="20"/>
              </w:rPr>
              <w:t>19/116</w:t>
            </w:r>
            <w:r w:rsidRPr="003F685D">
              <w:rPr>
                <w:szCs w:val="20"/>
              </w:rPr>
              <w:t xml:space="preserve"> (</w:t>
            </w:r>
            <w:r>
              <w:rPr>
                <w:szCs w:val="20"/>
              </w:rPr>
              <w:t>16.4</w:t>
            </w:r>
            <w:r w:rsidRPr="003F685D">
              <w:rPr>
                <w:szCs w:val="20"/>
              </w:rPr>
              <w:t>%)</w:t>
            </w:r>
          </w:p>
        </w:tc>
        <w:tc>
          <w:tcPr>
            <w:tcW w:w="1701" w:type="dxa"/>
          </w:tcPr>
          <w:p w:rsidR="00F1270A" w:rsidRPr="000549DC" w:rsidRDefault="00F1270A" w:rsidP="00601CCA">
            <w:pPr>
              <w:pStyle w:val="TableText1"/>
              <w:keepLines/>
              <w:widowControl w:val="0"/>
              <w:jc w:val="center"/>
            </w:pPr>
          </w:p>
        </w:tc>
      </w:tr>
      <w:tr w:rsidR="00F1270A" w:rsidRPr="000549DC" w:rsidTr="001F7AC0">
        <w:tc>
          <w:tcPr>
            <w:tcW w:w="2518" w:type="dxa"/>
            <w:vMerge/>
          </w:tcPr>
          <w:p w:rsidR="00F1270A" w:rsidRPr="000549DC" w:rsidRDefault="00F1270A" w:rsidP="00601CCA">
            <w:pPr>
              <w:pStyle w:val="TableText1"/>
              <w:keepLines/>
              <w:widowControl w:val="0"/>
            </w:pPr>
          </w:p>
        </w:tc>
        <w:tc>
          <w:tcPr>
            <w:tcW w:w="1848" w:type="dxa"/>
            <w:vAlign w:val="center"/>
          </w:tcPr>
          <w:p w:rsidR="00F1270A" w:rsidRPr="000549DC" w:rsidRDefault="00F1270A" w:rsidP="00601CCA">
            <w:pPr>
              <w:pStyle w:val="TableText1"/>
              <w:keepLines/>
              <w:widowControl w:val="0"/>
            </w:pPr>
            <w:r w:rsidRPr="003F685D">
              <w:rPr>
                <w:szCs w:val="20"/>
              </w:rPr>
              <w:t xml:space="preserve">Median months </w:t>
            </w:r>
            <w:r>
              <w:rPr>
                <w:szCs w:val="20"/>
              </w:rPr>
              <w:t>O</w:t>
            </w:r>
            <w:r w:rsidRPr="003F685D">
              <w:rPr>
                <w:szCs w:val="20"/>
              </w:rPr>
              <w:t>S</w:t>
            </w:r>
          </w:p>
        </w:tc>
        <w:tc>
          <w:tcPr>
            <w:tcW w:w="1615" w:type="dxa"/>
            <w:vAlign w:val="center"/>
          </w:tcPr>
          <w:p w:rsidR="00F1270A" w:rsidRPr="000549DC" w:rsidRDefault="00F1270A" w:rsidP="00601CCA">
            <w:pPr>
              <w:pStyle w:val="TableText1"/>
              <w:keepLines/>
              <w:widowControl w:val="0"/>
              <w:jc w:val="center"/>
            </w:pPr>
            <w:r>
              <w:rPr>
                <w:iCs/>
                <w:szCs w:val="20"/>
              </w:rPr>
              <w:t>NE</w:t>
            </w:r>
          </w:p>
        </w:tc>
        <w:tc>
          <w:tcPr>
            <w:tcW w:w="1601" w:type="dxa"/>
            <w:vAlign w:val="center"/>
          </w:tcPr>
          <w:p w:rsidR="00F1270A" w:rsidRPr="000549DC" w:rsidRDefault="00F1270A" w:rsidP="00601CCA">
            <w:pPr>
              <w:pStyle w:val="TableText1"/>
              <w:keepLines/>
              <w:widowControl w:val="0"/>
              <w:jc w:val="center"/>
            </w:pPr>
            <w:r>
              <w:rPr>
                <w:iCs/>
                <w:szCs w:val="20"/>
              </w:rPr>
              <w:t>NE</w:t>
            </w:r>
          </w:p>
        </w:tc>
        <w:tc>
          <w:tcPr>
            <w:tcW w:w="1701" w:type="dxa"/>
          </w:tcPr>
          <w:p w:rsidR="00F1270A" w:rsidRPr="000549DC" w:rsidRDefault="00F1270A" w:rsidP="00601CCA">
            <w:pPr>
              <w:pStyle w:val="TableText1"/>
              <w:keepLines/>
              <w:widowControl w:val="0"/>
              <w:jc w:val="center"/>
            </w:pPr>
            <w:r w:rsidRPr="00A248E2">
              <w:rPr>
                <w:bCs/>
                <w:szCs w:val="20"/>
              </w:rPr>
              <w:t>0.92 (0.48, 1.77)</w:t>
            </w:r>
          </w:p>
        </w:tc>
      </w:tr>
      <w:tr w:rsidR="00F1270A" w:rsidRPr="009B3EBA" w:rsidTr="001F7AC0">
        <w:tc>
          <w:tcPr>
            <w:tcW w:w="9283" w:type="dxa"/>
            <w:gridSpan w:val="5"/>
          </w:tcPr>
          <w:p w:rsidR="00F1270A" w:rsidRPr="009B3EBA" w:rsidRDefault="00F1270A" w:rsidP="00601CCA">
            <w:pPr>
              <w:pStyle w:val="TableText1"/>
              <w:keepLines/>
              <w:widowControl w:val="0"/>
              <w:rPr>
                <w:b/>
                <w:bCs/>
              </w:rPr>
            </w:pPr>
            <w:r>
              <w:rPr>
                <w:b/>
                <w:bCs/>
                <w:szCs w:val="20"/>
              </w:rPr>
              <w:t>del17p subgroup</w:t>
            </w:r>
            <w:r w:rsidRPr="00E06F40">
              <w:rPr>
                <w:b/>
                <w:bCs/>
                <w:szCs w:val="20"/>
              </w:rPr>
              <w:t xml:space="preserve"> of ILLUMINATE</w:t>
            </w:r>
            <w:r>
              <w:rPr>
                <w:b/>
                <w:bCs/>
                <w:szCs w:val="20"/>
              </w:rPr>
              <w:t xml:space="preserve"> – PFS (IRC-assessed)</w:t>
            </w:r>
          </w:p>
        </w:tc>
      </w:tr>
      <w:tr w:rsidR="00F1270A" w:rsidRPr="000549DC" w:rsidTr="001F7AC0">
        <w:tc>
          <w:tcPr>
            <w:tcW w:w="2518" w:type="dxa"/>
            <w:vMerge w:val="restart"/>
          </w:tcPr>
          <w:p w:rsidR="00F1270A" w:rsidRPr="000549DC" w:rsidRDefault="00F1270A" w:rsidP="00601CCA">
            <w:pPr>
              <w:pStyle w:val="TableText1"/>
              <w:keepLines/>
              <w:widowControl w:val="0"/>
            </w:pPr>
            <w:r>
              <w:t>ILLUMINATE</w:t>
            </w:r>
          </w:p>
          <w:p w:rsidR="00F1270A" w:rsidRPr="000549DC" w:rsidRDefault="00F1270A" w:rsidP="00601CCA">
            <w:pPr>
              <w:pStyle w:val="TableText1"/>
              <w:keepLines/>
              <w:widowControl w:val="0"/>
            </w:pPr>
            <w:r>
              <w:t>(31.3 months median follow-up)</w:t>
            </w:r>
          </w:p>
        </w:tc>
        <w:tc>
          <w:tcPr>
            <w:tcW w:w="1848" w:type="dxa"/>
            <w:vAlign w:val="center"/>
          </w:tcPr>
          <w:p w:rsidR="00F1270A" w:rsidRPr="000549DC" w:rsidRDefault="00F1270A" w:rsidP="00601CCA">
            <w:pPr>
              <w:pStyle w:val="TableText1"/>
              <w:keepLines/>
              <w:widowControl w:val="0"/>
            </w:pPr>
            <w:r>
              <w:rPr>
                <w:szCs w:val="20"/>
              </w:rPr>
              <w:t>Events</w:t>
            </w:r>
          </w:p>
        </w:tc>
        <w:tc>
          <w:tcPr>
            <w:tcW w:w="1615" w:type="dxa"/>
          </w:tcPr>
          <w:p w:rsidR="00F1270A" w:rsidRPr="000549DC" w:rsidRDefault="00F1270A" w:rsidP="00601CCA">
            <w:pPr>
              <w:pStyle w:val="TableText1"/>
              <w:keepLines/>
              <w:widowControl w:val="0"/>
              <w:jc w:val="center"/>
            </w:pPr>
            <w:r>
              <w:t>3/14 (21.4%)</w:t>
            </w:r>
          </w:p>
        </w:tc>
        <w:tc>
          <w:tcPr>
            <w:tcW w:w="1601" w:type="dxa"/>
          </w:tcPr>
          <w:p w:rsidR="00F1270A" w:rsidRPr="000549DC" w:rsidRDefault="00F1270A" w:rsidP="00601CCA">
            <w:pPr>
              <w:pStyle w:val="TableText1"/>
              <w:keepLines/>
              <w:widowControl w:val="0"/>
              <w:jc w:val="center"/>
            </w:pPr>
            <w:r>
              <w:t>14/18 (77.8%)</w:t>
            </w:r>
          </w:p>
        </w:tc>
        <w:tc>
          <w:tcPr>
            <w:tcW w:w="1701" w:type="dxa"/>
          </w:tcPr>
          <w:p w:rsidR="00F1270A" w:rsidRPr="000549DC" w:rsidRDefault="00F1270A" w:rsidP="00601CCA">
            <w:pPr>
              <w:pStyle w:val="TableText1"/>
              <w:keepLines/>
              <w:widowControl w:val="0"/>
              <w:jc w:val="center"/>
            </w:pPr>
          </w:p>
        </w:tc>
      </w:tr>
      <w:tr w:rsidR="00F1270A" w:rsidRPr="003D5821" w:rsidTr="001F7AC0">
        <w:tc>
          <w:tcPr>
            <w:tcW w:w="2518" w:type="dxa"/>
            <w:vMerge/>
          </w:tcPr>
          <w:p w:rsidR="00F1270A" w:rsidRPr="000549DC" w:rsidRDefault="00F1270A" w:rsidP="00601CCA">
            <w:pPr>
              <w:pStyle w:val="TableText1"/>
              <w:keepLines/>
              <w:widowControl w:val="0"/>
            </w:pPr>
          </w:p>
        </w:tc>
        <w:tc>
          <w:tcPr>
            <w:tcW w:w="1848" w:type="dxa"/>
            <w:vAlign w:val="center"/>
          </w:tcPr>
          <w:p w:rsidR="00F1270A" w:rsidRPr="000549DC" w:rsidRDefault="00F1270A" w:rsidP="00601CCA">
            <w:pPr>
              <w:pStyle w:val="TableText1"/>
              <w:keepLines/>
              <w:widowControl w:val="0"/>
            </w:pPr>
            <w:r w:rsidRPr="003F685D">
              <w:rPr>
                <w:szCs w:val="20"/>
              </w:rPr>
              <w:t>Median months PFS</w:t>
            </w:r>
          </w:p>
        </w:tc>
        <w:tc>
          <w:tcPr>
            <w:tcW w:w="1615" w:type="dxa"/>
          </w:tcPr>
          <w:p w:rsidR="00F1270A" w:rsidRPr="000549DC" w:rsidRDefault="00F1270A" w:rsidP="00601CCA">
            <w:pPr>
              <w:pStyle w:val="TableText1"/>
              <w:keepLines/>
              <w:widowControl w:val="0"/>
              <w:jc w:val="center"/>
            </w:pPr>
            <w:r>
              <w:t>NE</w:t>
            </w:r>
          </w:p>
        </w:tc>
        <w:tc>
          <w:tcPr>
            <w:tcW w:w="1601" w:type="dxa"/>
          </w:tcPr>
          <w:p w:rsidR="00F1270A" w:rsidRPr="000549DC" w:rsidRDefault="007E3667" w:rsidP="00601CCA">
            <w:pPr>
              <w:pStyle w:val="TableText1"/>
              <w:keepLines/>
              <w:widowControl w:val="0"/>
              <w:jc w:val="center"/>
            </w:pPr>
            <w:r>
              <w:rPr>
                <w:noProof/>
                <w:color w:val="000000"/>
                <w:highlight w:val="black"/>
              </w:rPr>
              <w:t>''''''</w:t>
            </w:r>
            <w:r w:rsidR="00F1270A" w:rsidRPr="00FF43A7">
              <w:rPr>
                <w:vertAlign w:val="superscript"/>
              </w:rPr>
              <w:t>a</w:t>
            </w:r>
          </w:p>
        </w:tc>
        <w:tc>
          <w:tcPr>
            <w:tcW w:w="1701" w:type="dxa"/>
          </w:tcPr>
          <w:p w:rsidR="00F1270A" w:rsidRPr="003D5821" w:rsidRDefault="00F1270A" w:rsidP="00601CCA">
            <w:pPr>
              <w:pStyle w:val="TableText1"/>
              <w:keepLines/>
              <w:widowControl w:val="0"/>
              <w:jc w:val="center"/>
              <w:rPr>
                <w:b/>
                <w:bCs/>
              </w:rPr>
            </w:pPr>
            <w:r w:rsidRPr="003D5821">
              <w:rPr>
                <w:b/>
                <w:bCs/>
              </w:rPr>
              <w:t>0.14 (0.04, 0.51)</w:t>
            </w:r>
          </w:p>
        </w:tc>
      </w:tr>
      <w:tr w:rsidR="00F1270A" w:rsidRPr="000549DC" w:rsidTr="001F7AC0">
        <w:tc>
          <w:tcPr>
            <w:tcW w:w="9283" w:type="dxa"/>
            <w:gridSpan w:val="5"/>
          </w:tcPr>
          <w:p w:rsidR="00F1270A" w:rsidRPr="000549DC" w:rsidRDefault="00F1270A" w:rsidP="00601CCA">
            <w:pPr>
              <w:pStyle w:val="TableText1"/>
              <w:keepLines/>
              <w:widowControl w:val="0"/>
            </w:pPr>
            <w:r>
              <w:rPr>
                <w:b/>
                <w:bCs/>
                <w:szCs w:val="20"/>
              </w:rPr>
              <w:t>del17p subgroup</w:t>
            </w:r>
            <w:r w:rsidRPr="00E06F40">
              <w:rPr>
                <w:b/>
                <w:bCs/>
                <w:szCs w:val="20"/>
              </w:rPr>
              <w:t xml:space="preserve"> of ILLUMINATE</w:t>
            </w:r>
            <w:r>
              <w:rPr>
                <w:b/>
                <w:bCs/>
                <w:szCs w:val="20"/>
              </w:rPr>
              <w:t xml:space="preserve"> – OS</w:t>
            </w:r>
          </w:p>
        </w:tc>
      </w:tr>
      <w:tr w:rsidR="00F1270A" w:rsidRPr="000549DC" w:rsidTr="001F7AC0">
        <w:tc>
          <w:tcPr>
            <w:tcW w:w="2518" w:type="dxa"/>
            <w:vMerge w:val="restart"/>
          </w:tcPr>
          <w:p w:rsidR="00F1270A" w:rsidRPr="000549DC" w:rsidRDefault="00F1270A" w:rsidP="00601CCA">
            <w:pPr>
              <w:pStyle w:val="TableText1"/>
              <w:keepLines/>
              <w:widowControl w:val="0"/>
            </w:pPr>
            <w:r>
              <w:t>ILLUMINATE</w:t>
            </w:r>
          </w:p>
          <w:p w:rsidR="00F1270A" w:rsidRPr="000549DC" w:rsidRDefault="00F1270A" w:rsidP="00601CCA">
            <w:pPr>
              <w:pStyle w:val="TableText1"/>
              <w:keepLines/>
              <w:widowControl w:val="0"/>
            </w:pPr>
            <w:r>
              <w:t>(31.3 months median follow-up)</w:t>
            </w:r>
          </w:p>
        </w:tc>
        <w:tc>
          <w:tcPr>
            <w:tcW w:w="1848" w:type="dxa"/>
            <w:vAlign w:val="center"/>
          </w:tcPr>
          <w:p w:rsidR="00F1270A" w:rsidRPr="000549DC" w:rsidRDefault="00F1270A" w:rsidP="00601CCA">
            <w:pPr>
              <w:pStyle w:val="TableText1"/>
              <w:keepLines/>
              <w:widowControl w:val="0"/>
            </w:pPr>
            <w:r>
              <w:rPr>
                <w:szCs w:val="20"/>
              </w:rPr>
              <w:t>Dead</w:t>
            </w:r>
          </w:p>
        </w:tc>
        <w:tc>
          <w:tcPr>
            <w:tcW w:w="1615" w:type="dxa"/>
          </w:tcPr>
          <w:p w:rsidR="00F1270A" w:rsidRPr="000549DC" w:rsidRDefault="007E3667" w:rsidP="00601CCA">
            <w:pPr>
              <w:pStyle w:val="TableText1"/>
              <w:keepLines/>
              <w:widowControl w:val="0"/>
              <w:jc w:val="center"/>
            </w:pPr>
            <w:r>
              <w:rPr>
                <w:noProof/>
                <w:color w:val="000000"/>
                <w:highlight w:val="black"/>
              </w:rPr>
              <w:t>'''</w:t>
            </w:r>
            <w:r w:rsidR="00F1270A">
              <w:t>/14 (</w:t>
            </w:r>
            <w:r>
              <w:rPr>
                <w:noProof/>
                <w:color w:val="000000"/>
                <w:highlight w:val="black"/>
              </w:rPr>
              <w:t>'''''''''''</w:t>
            </w:r>
            <w:r w:rsidR="00F1270A">
              <w:t>%)</w:t>
            </w:r>
          </w:p>
        </w:tc>
        <w:tc>
          <w:tcPr>
            <w:tcW w:w="1601" w:type="dxa"/>
          </w:tcPr>
          <w:p w:rsidR="00F1270A" w:rsidRPr="000549DC" w:rsidRDefault="007E3667" w:rsidP="00601CCA">
            <w:pPr>
              <w:pStyle w:val="TableText1"/>
              <w:keepLines/>
              <w:widowControl w:val="0"/>
              <w:jc w:val="center"/>
            </w:pPr>
            <w:r>
              <w:rPr>
                <w:noProof/>
                <w:color w:val="000000"/>
                <w:highlight w:val="black"/>
              </w:rPr>
              <w:t>''''</w:t>
            </w:r>
            <w:r w:rsidR="00F1270A">
              <w:t>/18 (</w:t>
            </w:r>
            <w:proofErr w:type="gramStart"/>
            <w:r>
              <w:rPr>
                <w:noProof/>
                <w:color w:val="000000"/>
                <w:highlight w:val="black"/>
              </w:rPr>
              <w:t>''''''''''</w:t>
            </w:r>
            <w:r w:rsidR="00F1270A">
              <w:t>%</w:t>
            </w:r>
            <w:proofErr w:type="gramEnd"/>
            <w:r w:rsidR="00F1270A">
              <w:t>)</w:t>
            </w:r>
          </w:p>
        </w:tc>
        <w:tc>
          <w:tcPr>
            <w:tcW w:w="1701" w:type="dxa"/>
          </w:tcPr>
          <w:p w:rsidR="00F1270A" w:rsidRPr="000549DC" w:rsidRDefault="00F1270A" w:rsidP="00601CCA">
            <w:pPr>
              <w:pStyle w:val="TableText1"/>
              <w:keepLines/>
              <w:widowControl w:val="0"/>
              <w:jc w:val="center"/>
            </w:pPr>
          </w:p>
        </w:tc>
      </w:tr>
      <w:tr w:rsidR="00F1270A" w:rsidRPr="000549DC" w:rsidTr="001F7AC0">
        <w:tc>
          <w:tcPr>
            <w:tcW w:w="2518" w:type="dxa"/>
            <w:vMerge/>
            <w:tcBorders>
              <w:bottom w:val="single" w:sz="4" w:space="0" w:color="auto"/>
            </w:tcBorders>
          </w:tcPr>
          <w:p w:rsidR="00F1270A" w:rsidRPr="000549DC" w:rsidRDefault="00F1270A" w:rsidP="00601CCA">
            <w:pPr>
              <w:pStyle w:val="TableText1"/>
              <w:keepLines/>
              <w:widowControl w:val="0"/>
            </w:pPr>
          </w:p>
        </w:tc>
        <w:tc>
          <w:tcPr>
            <w:tcW w:w="1848" w:type="dxa"/>
            <w:tcBorders>
              <w:bottom w:val="single" w:sz="4" w:space="0" w:color="auto"/>
            </w:tcBorders>
            <w:vAlign w:val="center"/>
          </w:tcPr>
          <w:p w:rsidR="00F1270A" w:rsidRPr="000549DC" w:rsidRDefault="00F1270A" w:rsidP="00601CCA">
            <w:pPr>
              <w:pStyle w:val="TableText1"/>
              <w:keepLines/>
              <w:widowControl w:val="0"/>
            </w:pPr>
            <w:r w:rsidRPr="003F685D">
              <w:rPr>
                <w:szCs w:val="20"/>
              </w:rPr>
              <w:t xml:space="preserve">Median months </w:t>
            </w:r>
            <w:r>
              <w:rPr>
                <w:szCs w:val="20"/>
              </w:rPr>
              <w:t>O</w:t>
            </w:r>
            <w:r w:rsidRPr="003F685D">
              <w:rPr>
                <w:szCs w:val="20"/>
              </w:rPr>
              <w:t>S</w:t>
            </w:r>
          </w:p>
        </w:tc>
        <w:tc>
          <w:tcPr>
            <w:tcW w:w="1615" w:type="dxa"/>
            <w:tcBorders>
              <w:bottom w:val="single" w:sz="4" w:space="0" w:color="auto"/>
            </w:tcBorders>
            <w:vAlign w:val="center"/>
          </w:tcPr>
          <w:p w:rsidR="00F1270A" w:rsidRPr="000549DC" w:rsidRDefault="00F1270A" w:rsidP="00601CCA">
            <w:pPr>
              <w:pStyle w:val="TableText1"/>
              <w:keepLines/>
              <w:widowControl w:val="0"/>
              <w:jc w:val="center"/>
            </w:pPr>
            <w:r>
              <w:rPr>
                <w:iCs/>
                <w:szCs w:val="20"/>
              </w:rPr>
              <w:t>NE</w:t>
            </w:r>
          </w:p>
        </w:tc>
        <w:tc>
          <w:tcPr>
            <w:tcW w:w="1601" w:type="dxa"/>
            <w:tcBorders>
              <w:bottom w:val="single" w:sz="4" w:space="0" w:color="auto"/>
            </w:tcBorders>
            <w:vAlign w:val="center"/>
          </w:tcPr>
          <w:p w:rsidR="00F1270A" w:rsidRPr="000549DC" w:rsidRDefault="00F1270A" w:rsidP="00601CCA">
            <w:pPr>
              <w:pStyle w:val="TableText1"/>
              <w:keepLines/>
              <w:widowControl w:val="0"/>
              <w:jc w:val="center"/>
            </w:pPr>
            <w:r>
              <w:rPr>
                <w:iCs/>
                <w:szCs w:val="20"/>
              </w:rPr>
              <w:t>NE</w:t>
            </w:r>
          </w:p>
        </w:tc>
        <w:tc>
          <w:tcPr>
            <w:tcW w:w="1701" w:type="dxa"/>
            <w:tcBorders>
              <w:bottom w:val="single" w:sz="4" w:space="0" w:color="auto"/>
            </w:tcBorders>
          </w:tcPr>
          <w:p w:rsidR="00F1270A" w:rsidRPr="000549DC" w:rsidRDefault="007E3667" w:rsidP="00601CCA">
            <w:pPr>
              <w:pStyle w:val="TableText1"/>
              <w:keepLines/>
              <w:widowControl w:val="0"/>
              <w:jc w:val="center"/>
            </w:pPr>
            <w:r>
              <w:rPr>
                <w:noProof/>
                <w:color w:val="000000"/>
                <w:highlight w:val="black"/>
              </w:rPr>
              <w:t>'''''''''''</w:t>
            </w:r>
            <w:r w:rsidR="00F1270A">
              <w:t xml:space="preserve"> (</w:t>
            </w:r>
            <w:r>
              <w:rPr>
                <w:noProof/>
                <w:color w:val="000000"/>
                <w:highlight w:val="black"/>
              </w:rPr>
              <w:t>''''''''''</w:t>
            </w:r>
            <w:r w:rsidR="00F1270A">
              <w:t xml:space="preserve">, </w:t>
            </w:r>
            <w:r>
              <w:rPr>
                <w:noProof/>
                <w:color w:val="000000"/>
                <w:highlight w:val="black"/>
              </w:rPr>
              <w:t>''''''''''</w:t>
            </w:r>
            <w:r w:rsidR="00F1270A">
              <w:t>)</w:t>
            </w:r>
          </w:p>
        </w:tc>
      </w:tr>
    </w:tbl>
    <w:p w:rsidR="00F1270A" w:rsidRDefault="00F1270A" w:rsidP="00601CCA">
      <w:pPr>
        <w:pStyle w:val="TableFooter"/>
        <w:keepNext/>
        <w:keepLines/>
        <w:tabs>
          <w:tab w:val="left" w:pos="142"/>
        </w:tabs>
      </w:pPr>
      <w:proofErr w:type="gramStart"/>
      <w:r w:rsidRPr="00442E5D">
        <w:rPr>
          <w:vertAlign w:val="superscript"/>
        </w:rPr>
        <w:t>a</w:t>
      </w:r>
      <w:proofErr w:type="gramEnd"/>
      <w:r w:rsidRPr="00442E5D">
        <w:tab/>
        <w:t xml:space="preserve">The </w:t>
      </w:r>
      <w:r>
        <w:t xml:space="preserve">resubmission reported median PFS in the </w:t>
      </w:r>
      <w:proofErr w:type="spellStart"/>
      <w:r>
        <w:t>obi+chl</w:t>
      </w:r>
      <w:proofErr w:type="spellEnd"/>
      <w:r>
        <w:t xml:space="preserve"> arm as ‘approximately </w:t>
      </w:r>
      <w:r w:rsidR="007E3667">
        <w:rPr>
          <w:noProof/>
          <w:color w:val="000000"/>
          <w:highlight w:val="black"/>
        </w:rPr>
        <w:t>''''''</w:t>
      </w:r>
      <w:r>
        <w:t xml:space="preserve"> months’.</w:t>
      </w:r>
    </w:p>
    <w:p w:rsidR="00F1270A" w:rsidRDefault="00F1270A" w:rsidP="00601CCA">
      <w:pPr>
        <w:pStyle w:val="TableFooter"/>
        <w:keepNext/>
        <w:keepLines/>
      </w:pPr>
      <w:proofErr w:type="spellStart"/>
      <w:proofErr w:type="gramStart"/>
      <w:r>
        <w:t>chl</w:t>
      </w:r>
      <w:proofErr w:type="spellEnd"/>
      <w:r>
        <w:t>=</w:t>
      </w:r>
      <w:proofErr w:type="spellStart"/>
      <w:proofErr w:type="gramEnd"/>
      <w:r>
        <w:t>chlorambucil</w:t>
      </w:r>
      <w:proofErr w:type="spellEnd"/>
      <w:r>
        <w:t xml:space="preserve">; </w:t>
      </w:r>
      <w:proofErr w:type="spellStart"/>
      <w:r>
        <w:t>ibr</w:t>
      </w:r>
      <w:proofErr w:type="spellEnd"/>
      <w:r>
        <w:t>=</w:t>
      </w:r>
      <w:proofErr w:type="spellStart"/>
      <w:r>
        <w:t>ibrutinib</w:t>
      </w:r>
      <w:proofErr w:type="spellEnd"/>
      <w:r>
        <w:t xml:space="preserve">; IRC=independent review committee; NE=not estimable; obi=obinutuzumab; OS=overall survival; PFS=progression-free survival; </w:t>
      </w:r>
      <w:r w:rsidRPr="006B0188">
        <w:rPr>
          <w:b/>
        </w:rPr>
        <w:t>bold</w:t>
      </w:r>
      <w:r>
        <w:t>=statistically significant.</w:t>
      </w:r>
    </w:p>
    <w:p w:rsidR="00F1270A" w:rsidRPr="00F1270A" w:rsidRDefault="00F1270A" w:rsidP="00601CCA">
      <w:pPr>
        <w:pStyle w:val="TableFooter"/>
        <w:keepNext/>
        <w:keepLines/>
        <w:tabs>
          <w:tab w:val="left" w:pos="142"/>
        </w:tabs>
      </w:pPr>
      <w:r w:rsidRPr="000F2872">
        <w:t>Source:</w:t>
      </w:r>
      <w:r>
        <w:t xml:space="preserve"> Table 2.18, p87 of Section 2.5.1.1; Table 2.20, p90-91 of Section 2.5.1.2 of the resubmission.</w:t>
      </w:r>
    </w:p>
    <w:p w:rsidR="004E4D50" w:rsidRPr="004E4D50" w:rsidRDefault="004E4D50" w:rsidP="004E4D50">
      <w:pPr>
        <w:rPr>
          <w:u w:val="single"/>
        </w:rPr>
      </w:pPr>
    </w:p>
    <w:p w:rsidR="00332926" w:rsidRDefault="003B58C0" w:rsidP="00B2597F">
      <w:pPr>
        <w:pStyle w:val="ListParagraph"/>
        <w:numPr>
          <w:ilvl w:val="1"/>
          <w:numId w:val="1"/>
        </w:numPr>
      </w:pPr>
      <w:r>
        <w:t xml:space="preserve">In the </w:t>
      </w:r>
      <w:r w:rsidRPr="00EB5599">
        <w:t xml:space="preserve">ILLUMINATE trial, </w:t>
      </w:r>
      <w:r w:rsidR="00CD13C0">
        <w:t xml:space="preserve">the risk of progression or death (PFS) was significantly reduced with </w:t>
      </w:r>
      <w:proofErr w:type="spellStart"/>
      <w:r w:rsidR="00CD13C0">
        <w:t>ibr+obi</w:t>
      </w:r>
      <w:proofErr w:type="spellEnd"/>
      <w:r w:rsidR="00CD13C0">
        <w:t xml:space="preserve"> compared with </w:t>
      </w:r>
      <w:proofErr w:type="spellStart"/>
      <w:r w:rsidR="00CD13C0">
        <w:t>obi+chl</w:t>
      </w:r>
      <w:proofErr w:type="spellEnd"/>
      <w:r w:rsidR="00CD13C0">
        <w:t xml:space="preserve"> in the </w:t>
      </w:r>
      <w:r w:rsidRPr="00EB5599">
        <w:t>ITT population (HR=0.23; 95% CI: 0.15, 0.37)</w:t>
      </w:r>
      <w:r w:rsidR="00CD13C0" w:rsidRPr="00EB5599" w:rsidDel="00CD13C0">
        <w:t xml:space="preserve"> </w:t>
      </w:r>
      <w:r w:rsidR="00CD13C0">
        <w:t>and the del17p population</w:t>
      </w:r>
      <w:r>
        <w:t xml:space="preserve"> (HR=0.14; 95% CI: 0.04, 0.51).  The Kaplan Meier </w:t>
      </w:r>
      <w:r w:rsidR="00CD13C0">
        <w:t xml:space="preserve">PFS </w:t>
      </w:r>
      <w:r>
        <w:t>curves are provided below.</w:t>
      </w:r>
    </w:p>
    <w:p w:rsidR="0005222C" w:rsidRDefault="0005222C" w:rsidP="000E05B3">
      <w:pPr>
        <w:keepNext/>
      </w:pPr>
      <w:r w:rsidRPr="00ED2791">
        <w:rPr>
          <w:rFonts w:ascii="Arial Narrow" w:hAnsi="Arial Narrow"/>
          <w:b/>
          <w:bCs/>
          <w:sz w:val="20"/>
          <w:szCs w:val="20"/>
        </w:rPr>
        <w:t xml:space="preserve">Figure </w:t>
      </w:r>
      <w:r w:rsidR="005500A0">
        <w:rPr>
          <w:rFonts w:ascii="Arial Narrow" w:hAnsi="Arial Narrow"/>
          <w:b/>
          <w:bCs/>
          <w:sz w:val="20"/>
          <w:szCs w:val="20"/>
        </w:rPr>
        <w:t>3</w:t>
      </w:r>
      <w:r w:rsidRPr="00ED2791">
        <w:rPr>
          <w:rFonts w:ascii="Arial Narrow" w:hAnsi="Arial Narrow"/>
          <w:b/>
          <w:bCs/>
          <w:sz w:val="20"/>
          <w:szCs w:val="20"/>
        </w:rPr>
        <w:t xml:space="preserve">:  </w:t>
      </w:r>
      <w:r w:rsidRPr="0005222C">
        <w:rPr>
          <w:rFonts w:ascii="Arial Narrow" w:hAnsi="Arial Narrow"/>
          <w:b/>
          <w:bCs/>
          <w:sz w:val="20"/>
          <w:szCs w:val="20"/>
        </w:rPr>
        <w:t>Kaplan-Meier curve of PFS – ITT population of the ILLUMINATE trial (</w:t>
      </w:r>
      <w:proofErr w:type="spellStart"/>
      <w:r w:rsidRPr="0005222C">
        <w:rPr>
          <w:rFonts w:ascii="Arial Narrow" w:hAnsi="Arial Narrow"/>
          <w:b/>
          <w:bCs/>
          <w:sz w:val="20"/>
          <w:szCs w:val="20"/>
        </w:rPr>
        <w:t>ibr+obi</w:t>
      </w:r>
      <w:proofErr w:type="spellEnd"/>
      <w:r w:rsidRPr="0005222C">
        <w:rPr>
          <w:rFonts w:ascii="Arial Narrow" w:hAnsi="Arial Narrow"/>
          <w:b/>
          <w:bCs/>
          <w:sz w:val="20"/>
          <w:szCs w:val="20"/>
        </w:rPr>
        <w:t xml:space="preserve"> vs. </w:t>
      </w:r>
      <w:proofErr w:type="spellStart"/>
      <w:r w:rsidRPr="0005222C">
        <w:rPr>
          <w:rFonts w:ascii="Arial Narrow" w:hAnsi="Arial Narrow"/>
          <w:b/>
          <w:bCs/>
          <w:sz w:val="20"/>
          <w:szCs w:val="20"/>
        </w:rPr>
        <w:t>obi+chl</w:t>
      </w:r>
      <w:proofErr w:type="spellEnd"/>
      <w:r w:rsidRPr="0005222C">
        <w:rPr>
          <w:rFonts w:ascii="Arial Narrow" w:hAnsi="Arial Narrow"/>
          <w:b/>
          <w:bCs/>
          <w:sz w:val="20"/>
          <w:szCs w:val="20"/>
        </w:rPr>
        <w:t>)</w:t>
      </w:r>
    </w:p>
    <w:p w:rsidR="0005222C" w:rsidRDefault="002C5629" w:rsidP="000E05B3">
      <w:pPr>
        <w:keepNext/>
      </w:pPr>
      <w:r w:rsidRPr="000D500C">
        <w:rPr>
          <w:rFonts w:ascii="Franklin Gothic Medium" w:hAnsi="Franklin Gothic Medium"/>
          <w:noProof/>
          <w:lang w:eastAsia="en-AU"/>
        </w:rPr>
        <w:drawing>
          <wp:inline distT="0" distB="0" distL="0" distR="0" wp14:anchorId="220B4982" wp14:editId="392F0B72">
            <wp:extent cx="5448684" cy="3191256"/>
            <wp:effectExtent l="0" t="0" r="0" b="9525"/>
            <wp:docPr id="4" name="Picture 4" title="Figure 3:  Kaplan-Meier curve of PFS – ITT population of the ILLUMINATE trial (ibr+obi vs. obi+c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3537" cy="3199955"/>
                    </a:xfrm>
                    <a:prstGeom prst="rect">
                      <a:avLst/>
                    </a:prstGeom>
                  </pic:spPr>
                </pic:pic>
              </a:graphicData>
            </a:graphic>
          </wp:inline>
        </w:drawing>
      </w:r>
    </w:p>
    <w:p w:rsidR="002C5629" w:rsidRDefault="002C5629" w:rsidP="000E05B3">
      <w:pPr>
        <w:pStyle w:val="TableFooter"/>
        <w:keepNext/>
      </w:pPr>
      <w:r>
        <w:t>Source: Figure 2.3, p87 of Section 2.5.1.1 of the resubmission.</w:t>
      </w:r>
    </w:p>
    <w:p w:rsidR="002C5629" w:rsidRDefault="002C5629" w:rsidP="0005222C"/>
    <w:p w:rsidR="00FF43A7" w:rsidRDefault="00FF43A7" w:rsidP="00FF43A7">
      <w:pPr>
        <w:keepNext/>
      </w:pPr>
      <w:r w:rsidRPr="00FF43A7">
        <w:rPr>
          <w:rFonts w:ascii="Arial Narrow" w:hAnsi="Arial Narrow"/>
          <w:b/>
          <w:bCs/>
          <w:sz w:val="20"/>
          <w:szCs w:val="20"/>
        </w:rPr>
        <w:lastRenderedPageBreak/>
        <w:t>Figure 4:  Kaplan-Meier curve of PFS – del17p subgroup of the ILLUMINATE trial (</w:t>
      </w:r>
      <w:proofErr w:type="spellStart"/>
      <w:r w:rsidRPr="00FF43A7">
        <w:rPr>
          <w:rFonts w:ascii="Arial Narrow" w:hAnsi="Arial Narrow"/>
          <w:b/>
          <w:bCs/>
          <w:sz w:val="20"/>
          <w:szCs w:val="20"/>
        </w:rPr>
        <w:t>ibr+obi</w:t>
      </w:r>
      <w:proofErr w:type="spellEnd"/>
      <w:r w:rsidRPr="00FF43A7">
        <w:rPr>
          <w:rFonts w:ascii="Arial Narrow" w:hAnsi="Arial Narrow"/>
          <w:b/>
          <w:bCs/>
          <w:sz w:val="20"/>
          <w:szCs w:val="20"/>
        </w:rPr>
        <w:t xml:space="preserve"> vs. </w:t>
      </w:r>
      <w:proofErr w:type="spellStart"/>
      <w:r w:rsidRPr="00FF43A7">
        <w:rPr>
          <w:rFonts w:ascii="Arial Narrow" w:hAnsi="Arial Narrow"/>
          <w:b/>
          <w:bCs/>
          <w:sz w:val="20"/>
          <w:szCs w:val="20"/>
        </w:rPr>
        <w:t>obi+chl</w:t>
      </w:r>
      <w:proofErr w:type="spellEnd"/>
      <w:r w:rsidRPr="00FF43A7">
        <w:rPr>
          <w:rFonts w:ascii="Arial Narrow" w:hAnsi="Arial Narrow"/>
          <w:b/>
          <w:bCs/>
          <w:sz w:val="20"/>
          <w:szCs w:val="20"/>
        </w:rPr>
        <w:t>)</w:t>
      </w:r>
    </w:p>
    <w:p w:rsidR="008C545A" w:rsidRDefault="007E3667" w:rsidP="008C545A">
      <w:pPr>
        <w:keepNext/>
      </w:pPr>
      <w:r>
        <w:rPr>
          <w:noProof/>
          <w:lang w:eastAsia="en-AU"/>
        </w:rPr>
        <w:drawing>
          <wp:inline distT="0" distB="0" distL="0" distR="0">
            <wp:extent cx="5730875" cy="3794760"/>
            <wp:effectExtent l="0" t="0" r="3175" b="0"/>
            <wp:docPr id="1" name="Picture 1" title="Figure 4:  Kaplan-Meier curve of PFS – del17p subgroup of the ILLUMINATE trial (ibr+obi vs. obi+ch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0875" cy="3794760"/>
                    </a:xfrm>
                    <a:prstGeom prst="rect">
                      <a:avLst/>
                    </a:prstGeom>
                  </pic:spPr>
                </pic:pic>
              </a:graphicData>
            </a:graphic>
          </wp:inline>
        </w:drawing>
      </w:r>
    </w:p>
    <w:p w:rsidR="008C545A" w:rsidRDefault="008C545A" w:rsidP="008C545A">
      <w:pPr>
        <w:pStyle w:val="TableFooter"/>
        <w:keepNext/>
      </w:pPr>
      <w:r>
        <w:t>Source: Figure 2.6, p124 of Section 2.6.1.1 of the resubmission.</w:t>
      </w:r>
    </w:p>
    <w:p w:rsidR="0005222C" w:rsidRDefault="0005222C" w:rsidP="0005222C"/>
    <w:p w:rsidR="005F051F" w:rsidRPr="00AA1512" w:rsidRDefault="005F051F" w:rsidP="00B2597F">
      <w:pPr>
        <w:pStyle w:val="ListParagraph"/>
        <w:numPr>
          <w:ilvl w:val="1"/>
          <w:numId w:val="1"/>
        </w:numPr>
      </w:pPr>
      <w:r>
        <w:rPr>
          <w:rFonts w:cs="Calibri"/>
        </w:rPr>
        <w:t xml:space="preserve">The resubmission </w:t>
      </w:r>
      <w:r w:rsidR="004153AF">
        <w:rPr>
          <w:rFonts w:cs="Calibri"/>
        </w:rPr>
        <w:t>tested for treatment effect modification (i.e. interaction) between the treatment (</w:t>
      </w:r>
      <w:proofErr w:type="spellStart"/>
      <w:r w:rsidR="004153AF">
        <w:rPr>
          <w:rFonts w:cs="Calibri"/>
        </w:rPr>
        <w:t>ibr+obi</w:t>
      </w:r>
      <w:proofErr w:type="spellEnd"/>
      <w:r w:rsidR="004153AF">
        <w:rPr>
          <w:rFonts w:cs="Calibri"/>
        </w:rPr>
        <w:t xml:space="preserve"> versus </w:t>
      </w:r>
      <w:proofErr w:type="spellStart"/>
      <w:r w:rsidR="004153AF">
        <w:rPr>
          <w:rFonts w:cs="Calibri"/>
        </w:rPr>
        <w:t>obi+chl</w:t>
      </w:r>
      <w:proofErr w:type="spellEnd"/>
      <w:r w:rsidR="004153AF">
        <w:rPr>
          <w:rFonts w:cs="Calibri"/>
        </w:rPr>
        <w:t>) and del17p status (yes or no) for PFS</w:t>
      </w:r>
      <w:r>
        <w:rPr>
          <w:rFonts w:cs="Calibri"/>
        </w:rPr>
        <w:t xml:space="preserve">.  The analysis showed there was no </w:t>
      </w:r>
      <w:r w:rsidRPr="003E0047">
        <w:rPr>
          <w:rFonts w:cs="Calibri"/>
        </w:rPr>
        <w:t>statistically significant interaction observed for PFS</w:t>
      </w:r>
      <w:r w:rsidR="004153AF">
        <w:rPr>
          <w:rFonts w:cs="Calibri"/>
        </w:rPr>
        <w:t xml:space="preserve"> for del17p status</w:t>
      </w:r>
      <w:r w:rsidR="005819D8">
        <w:rPr>
          <w:rFonts w:cs="Calibri"/>
        </w:rPr>
        <w:t>, although the analysis was likely underpowered due to the small number of del17p patients</w:t>
      </w:r>
      <w:r w:rsidR="0073161A">
        <w:rPr>
          <w:iCs/>
        </w:rPr>
        <w:t>.</w:t>
      </w:r>
    </w:p>
    <w:p w:rsidR="00AA1512" w:rsidRPr="00E773B1" w:rsidRDefault="00AA1512" w:rsidP="00B2597F">
      <w:pPr>
        <w:pStyle w:val="ListParagraph"/>
        <w:numPr>
          <w:ilvl w:val="1"/>
          <w:numId w:val="1"/>
        </w:numPr>
      </w:pPr>
      <w:r w:rsidRPr="00E773B1">
        <w:rPr>
          <w:rFonts w:cs="Calibri"/>
        </w:rPr>
        <w:t xml:space="preserve">The </w:t>
      </w:r>
      <w:r w:rsidR="00CB37B6">
        <w:rPr>
          <w:rFonts w:cs="Calibri"/>
        </w:rPr>
        <w:t xml:space="preserve">PBAC agreed with the </w:t>
      </w:r>
      <w:r w:rsidRPr="00E773B1">
        <w:rPr>
          <w:rFonts w:cs="Calibri"/>
        </w:rPr>
        <w:t xml:space="preserve">ESC that, while the number </w:t>
      </w:r>
      <w:r w:rsidR="004808BE" w:rsidRPr="00E773B1">
        <w:rPr>
          <w:rFonts w:cs="Calibri"/>
        </w:rPr>
        <w:t>of patients with del17p was</w:t>
      </w:r>
      <w:r w:rsidRPr="00E773B1">
        <w:rPr>
          <w:rFonts w:cs="Calibri"/>
        </w:rPr>
        <w:t xml:space="preserve"> small, the results of the ILLUMINATE trial support the claim that </w:t>
      </w:r>
      <w:proofErr w:type="spellStart"/>
      <w:r w:rsidRPr="00E773B1">
        <w:rPr>
          <w:rFonts w:cs="Calibri"/>
        </w:rPr>
        <w:t>ibr+obi</w:t>
      </w:r>
      <w:proofErr w:type="spellEnd"/>
      <w:r w:rsidRPr="00E773B1">
        <w:rPr>
          <w:rFonts w:cs="Calibri"/>
        </w:rPr>
        <w:t xml:space="preserve"> is associated with a statistically and clinically significant improvement in PFS for patients with del17p compared to </w:t>
      </w:r>
      <w:proofErr w:type="spellStart"/>
      <w:r w:rsidRPr="00E773B1">
        <w:rPr>
          <w:rFonts w:cs="Calibri"/>
        </w:rPr>
        <w:t>obi+chl</w:t>
      </w:r>
      <w:proofErr w:type="spellEnd"/>
      <w:r w:rsidRPr="00E773B1">
        <w:rPr>
          <w:rFonts w:cs="Calibri"/>
        </w:rPr>
        <w:t xml:space="preserve">. </w:t>
      </w:r>
    </w:p>
    <w:p w:rsidR="0005222C" w:rsidRDefault="008C545A" w:rsidP="00B2597F">
      <w:pPr>
        <w:pStyle w:val="ListParagraph"/>
        <w:numPr>
          <w:ilvl w:val="1"/>
          <w:numId w:val="1"/>
        </w:numPr>
      </w:pPr>
      <w:r>
        <w:t xml:space="preserve">For the outcome of </w:t>
      </w:r>
      <w:r w:rsidR="005B3F45">
        <w:t>OS</w:t>
      </w:r>
      <w:r>
        <w:t xml:space="preserve">, there was no statistically significant difference between </w:t>
      </w:r>
      <w:proofErr w:type="spellStart"/>
      <w:r>
        <w:t>ibr+obi</w:t>
      </w:r>
      <w:proofErr w:type="spellEnd"/>
      <w:r>
        <w:t xml:space="preserve"> and </w:t>
      </w:r>
      <w:proofErr w:type="spellStart"/>
      <w:r>
        <w:t>obi+chl</w:t>
      </w:r>
      <w:proofErr w:type="spellEnd"/>
      <w:r>
        <w:t xml:space="preserve"> for both the ITT population (HR=0.92; 95% CI: 0.48, 1.77) and the del17p </w:t>
      </w:r>
      <w:r w:rsidRPr="00FF43A7">
        <w:t>subgroup (</w:t>
      </w:r>
      <w:r w:rsidR="00FF43A7" w:rsidRPr="00FF43A7">
        <w:t>HR=</w:t>
      </w:r>
      <w:r w:rsidR="007E3667">
        <w:rPr>
          <w:noProof/>
          <w:color w:val="000000"/>
          <w:highlight w:val="black"/>
        </w:rPr>
        <w:t>''''''''</w:t>
      </w:r>
      <w:r w:rsidR="00FF43A7" w:rsidRPr="00FF43A7">
        <w:t xml:space="preserve">; 95% CI: </w:t>
      </w:r>
      <w:r w:rsidR="007E3667">
        <w:rPr>
          <w:noProof/>
          <w:color w:val="000000"/>
          <w:highlight w:val="black"/>
        </w:rPr>
        <w:t>'''''''''</w:t>
      </w:r>
      <w:r w:rsidR="00FF43A7" w:rsidRPr="00FF43A7">
        <w:t xml:space="preserve">, </w:t>
      </w:r>
      <w:r w:rsidR="007E3667">
        <w:rPr>
          <w:noProof/>
          <w:color w:val="000000"/>
          <w:highlight w:val="black"/>
        </w:rPr>
        <w:t>'''''''''</w:t>
      </w:r>
      <w:r w:rsidRPr="00FF43A7">
        <w:t>).</w:t>
      </w:r>
    </w:p>
    <w:p w:rsidR="004E4D50" w:rsidRPr="00E773B1" w:rsidRDefault="003E7865" w:rsidP="00B2597F">
      <w:pPr>
        <w:pStyle w:val="ListParagraph"/>
        <w:numPr>
          <w:ilvl w:val="1"/>
          <w:numId w:val="1"/>
        </w:numPr>
      </w:pPr>
      <w:r>
        <w:t>While EQ-5D data from the ILLUMINATE trial was applied for first-line treatment in the economic model, both the resubmission and the ILLUMINATE CSR only provided a comparison of</w:t>
      </w:r>
      <w:r w:rsidR="001E7708">
        <w:t xml:space="preserve"> the proportion of patients with clinically meaningful improvement from baseline (defined as a utility score increase ≥0.08 points over baseline at or prior to initiation of subsequent antineoplastic therapy).  </w:t>
      </w:r>
      <w:r w:rsidR="008A46E9" w:rsidRPr="00E773B1">
        <w:t>The ESC noted that t</w:t>
      </w:r>
      <w:r w:rsidR="001E7708" w:rsidRPr="00E773B1">
        <w:t xml:space="preserve">here was no statistically significant difference between </w:t>
      </w:r>
      <w:proofErr w:type="spellStart"/>
      <w:r w:rsidR="001E7708" w:rsidRPr="00E773B1">
        <w:t>ibr+obi-treated</w:t>
      </w:r>
      <w:proofErr w:type="spellEnd"/>
      <w:r w:rsidR="001E7708" w:rsidRPr="00E773B1">
        <w:t xml:space="preserve"> patients and </w:t>
      </w:r>
      <w:proofErr w:type="spellStart"/>
      <w:r w:rsidR="001E7708" w:rsidRPr="00E773B1">
        <w:t>obi+chl-</w:t>
      </w:r>
      <w:r w:rsidR="001E7708" w:rsidRPr="00E773B1">
        <w:lastRenderedPageBreak/>
        <w:t>treated</w:t>
      </w:r>
      <w:proofErr w:type="spellEnd"/>
      <w:r w:rsidR="001E7708" w:rsidRPr="00E773B1">
        <w:t xml:space="preserve"> patients in the proportion who recorded a clinically meaningful improvement in EQ-5D.  </w:t>
      </w:r>
      <w:r w:rsidR="008A46E9" w:rsidRPr="00E773B1">
        <w:t xml:space="preserve">The ESC noted that, due to the lack of a statistically significant difference, the resubmission used the pooled utility value from both </w:t>
      </w:r>
      <w:r w:rsidR="008A46E9" w:rsidRPr="00AD261E">
        <w:t>arms (</w:t>
      </w:r>
      <w:r w:rsidR="007E3667">
        <w:rPr>
          <w:noProof/>
          <w:color w:val="000000"/>
          <w:highlight w:val="black"/>
        </w:rPr>
        <w:t>''''''''''</w:t>
      </w:r>
      <w:r w:rsidR="008A46E9" w:rsidRPr="00AD261E">
        <w:t>) as the</w:t>
      </w:r>
      <w:r w:rsidR="008A46E9" w:rsidRPr="00E773B1">
        <w:t xml:space="preserve"> first-line PFS health state utility value</w:t>
      </w:r>
      <w:r w:rsidR="00926767" w:rsidRPr="00E773B1">
        <w:t xml:space="preserve"> in the economic model</w:t>
      </w:r>
      <w:r w:rsidR="008A46E9" w:rsidRPr="00E773B1">
        <w:t>.</w:t>
      </w:r>
    </w:p>
    <w:p w:rsidR="004E4D50" w:rsidRDefault="005E3711" w:rsidP="001E4C65">
      <w:pPr>
        <w:rPr>
          <w:b/>
          <w:u w:val="single"/>
        </w:rPr>
      </w:pPr>
      <w:bookmarkStart w:id="10" w:name="_Toc19716428"/>
      <w:r>
        <w:rPr>
          <w:u w:val="single"/>
        </w:rPr>
        <w:t>Comparisons to support the cl</w:t>
      </w:r>
      <w:r w:rsidR="004E4D50" w:rsidRPr="004E4D50">
        <w:rPr>
          <w:u w:val="single"/>
        </w:rPr>
        <w:t>a</w:t>
      </w:r>
      <w:r>
        <w:rPr>
          <w:u w:val="single"/>
        </w:rPr>
        <w:t>i</w:t>
      </w:r>
      <w:r w:rsidR="004E4D50" w:rsidRPr="004E4D50">
        <w:rPr>
          <w:u w:val="single"/>
        </w:rPr>
        <w:t xml:space="preserve">m of similarity of </w:t>
      </w:r>
      <w:proofErr w:type="spellStart"/>
      <w:r w:rsidR="004E4D50" w:rsidRPr="004E4D50">
        <w:rPr>
          <w:u w:val="single"/>
        </w:rPr>
        <w:t>Ibr</w:t>
      </w:r>
      <w:proofErr w:type="spellEnd"/>
      <w:r w:rsidR="004E4D50" w:rsidRPr="004E4D50">
        <w:rPr>
          <w:u w:val="single"/>
        </w:rPr>
        <w:t xml:space="preserve"> vs. </w:t>
      </w:r>
      <w:proofErr w:type="spellStart"/>
      <w:r w:rsidR="004E4D50" w:rsidRPr="004E4D50">
        <w:rPr>
          <w:u w:val="single"/>
        </w:rPr>
        <w:t>ibr+obi</w:t>
      </w:r>
      <w:bookmarkEnd w:id="10"/>
      <w:proofErr w:type="spellEnd"/>
    </w:p>
    <w:p w:rsidR="004E4D50" w:rsidRPr="004E4D50" w:rsidRDefault="004E4D50" w:rsidP="00F863C2"/>
    <w:p w:rsidR="00D22457" w:rsidRDefault="002436B9" w:rsidP="00B2597F">
      <w:pPr>
        <w:pStyle w:val="ListParagraph"/>
        <w:numPr>
          <w:ilvl w:val="1"/>
          <w:numId w:val="1"/>
        </w:numPr>
      </w:pPr>
      <w:r>
        <w:t xml:space="preserve">To support the claim that ibrutinib monotherapy was similar to </w:t>
      </w:r>
      <w:proofErr w:type="spellStart"/>
      <w:r>
        <w:t>ibr+obi</w:t>
      </w:r>
      <w:proofErr w:type="spellEnd"/>
      <w:r>
        <w:t xml:space="preserve">, the resubmission presented a series of </w:t>
      </w:r>
      <w:r w:rsidR="005500A0">
        <w:t>analyses as outlined in Figure 2</w:t>
      </w:r>
      <w:r>
        <w:t xml:space="preserve"> above.  </w:t>
      </w:r>
      <w:r w:rsidR="00D22457">
        <w:t xml:space="preserve">Results for these comparisons are provided in </w:t>
      </w:r>
      <w:r w:rsidR="00CA6858">
        <w:t>Table 7</w:t>
      </w:r>
      <w:r w:rsidR="00D22457">
        <w:t>.</w:t>
      </w:r>
    </w:p>
    <w:p w:rsidR="00AD261E" w:rsidRDefault="00AD261E" w:rsidP="00AD261E">
      <w:pPr>
        <w:keepNext/>
        <w:keepLines/>
      </w:pPr>
      <w:r w:rsidRPr="00401364">
        <w:rPr>
          <w:rFonts w:ascii="Arial Narrow" w:hAnsi="Arial Narrow"/>
          <w:b/>
          <w:sz w:val="20"/>
          <w:szCs w:val="20"/>
        </w:rPr>
        <w:t xml:space="preserve">Table </w:t>
      </w:r>
      <w:r>
        <w:rPr>
          <w:rFonts w:ascii="Arial Narrow" w:hAnsi="Arial Narrow"/>
          <w:b/>
          <w:noProof/>
          <w:sz w:val="20"/>
          <w:szCs w:val="20"/>
        </w:rPr>
        <w:t>7</w:t>
      </w:r>
      <w:r w:rsidRPr="00E2771E">
        <w:rPr>
          <w:rStyle w:val="CommentReference"/>
        </w:rPr>
        <w:t xml:space="preserve">: </w:t>
      </w:r>
      <w:r w:rsidRPr="00922313">
        <w:rPr>
          <w:rFonts w:ascii="Arial Narrow" w:hAnsi="Arial Narrow"/>
          <w:b/>
          <w:bCs/>
          <w:sz w:val="20"/>
          <w:szCs w:val="20"/>
        </w:rPr>
        <w:t xml:space="preserve">Results of comparisons to </w:t>
      </w:r>
      <w:r>
        <w:rPr>
          <w:rFonts w:ascii="Arial Narrow" w:hAnsi="Arial Narrow"/>
          <w:b/>
          <w:bCs/>
          <w:sz w:val="20"/>
          <w:szCs w:val="20"/>
        </w:rPr>
        <w:t xml:space="preserve">support the claim similarity </w:t>
      </w:r>
      <w:r w:rsidRPr="00922313">
        <w:rPr>
          <w:rFonts w:ascii="Arial Narrow" w:hAnsi="Arial Narrow"/>
          <w:b/>
          <w:bCs/>
          <w:sz w:val="20"/>
          <w:szCs w:val="20"/>
        </w:rPr>
        <w:t xml:space="preserve">of </w:t>
      </w:r>
      <w:proofErr w:type="spellStart"/>
      <w:r w:rsidRPr="00922313">
        <w:rPr>
          <w:rFonts w:ascii="Arial Narrow" w:hAnsi="Arial Narrow"/>
          <w:b/>
          <w:bCs/>
          <w:sz w:val="20"/>
          <w:szCs w:val="20"/>
        </w:rPr>
        <w:t>ibrutinib</w:t>
      </w:r>
      <w:proofErr w:type="spellEnd"/>
      <w:r w:rsidRPr="00922313">
        <w:rPr>
          <w:rFonts w:ascii="Arial Narrow" w:hAnsi="Arial Narrow"/>
          <w:b/>
          <w:bCs/>
          <w:sz w:val="20"/>
          <w:szCs w:val="20"/>
        </w:rPr>
        <w:t xml:space="preserve"> monotherapy and </w:t>
      </w:r>
      <w:proofErr w:type="spellStart"/>
      <w:r w:rsidRPr="00922313">
        <w:rPr>
          <w:rFonts w:ascii="Arial Narrow" w:hAnsi="Arial Narrow"/>
          <w:b/>
          <w:bCs/>
          <w:sz w:val="20"/>
          <w:szCs w:val="20"/>
        </w:rPr>
        <w:t>ibr+obi</w:t>
      </w:r>
      <w:proofErr w:type="spellEnd"/>
    </w:p>
    <w:tbl>
      <w:tblPr>
        <w:tblStyle w:val="TableGrid"/>
        <w:tblW w:w="9283" w:type="dxa"/>
        <w:tblLook w:val="04A0" w:firstRow="1" w:lastRow="0" w:firstColumn="1" w:lastColumn="0" w:noHBand="0" w:noVBand="1"/>
        <w:tblCaption w:val="Table 7: Results of comparisons to support the claim similarity of ibrutinib monotherapy and ibr+obi"/>
      </w:tblPr>
      <w:tblGrid>
        <w:gridCol w:w="2518"/>
        <w:gridCol w:w="1848"/>
        <w:gridCol w:w="1615"/>
        <w:gridCol w:w="1527"/>
        <w:gridCol w:w="74"/>
        <w:gridCol w:w="1701"/>
      </w:tblGrid>
      <w:tr w:rsidR="0048700D" w:rsidRPr="00105E74" w:rsidTr="00906E74">
        <w:trPr>
          <w:tblHeader/>
        </w:trPr>
        <w:tc>
          <w:tcPr>
            <w:tcW w:w="9283" w:type="dxa"/>
            <w:gridSpan w:val="6"/>
          </w:tcPr>
          <w:p w:rsidR="0048700D" w:rsidRPr="00105E74" w:rsidRDefault="0048700D" w:rsidP="00CA6858">
            <w:pPr>
              <w:pStyle w:val="TableText1"/>
              <w:keepLines/>
              <w:widowControl w:val="0"/>
              <w:rPr>
                <w:b/>
                <w:bCs/>
              </w:rPr>
            </w:pPr>
            <w:r w:rsidRPr="0071676D">
              <w:rPr>
                <w:b/>
                <w:bCs/>
              </w:rPr>
              <w:t>del17p subgroup from ALLIANCE vs. del17p subgroup from ILLUMINATE</w:t>
            </w:r>
            <w:r>
              <w:rPr>
                <w:b/>
                <w:bCs/>
              </w:rPr>
              <w:t xml:space="preserve"> - PFS</w:t>
            </w:r>
          </w:p>
        </w:tc>
      </w:tr>
      <w:tr w:rsidR="005214C3" w:rsidRPr="000549DC" w:rsidTr="001F7AC0">
        <w:tc>
          <w:tcPr>
            <w:tcW w:w="2518" w:type="dxa"/>
          </w:tcPr>
          <w:p w:rsidR="005214C3" w:rsidRDefault="00454D8B" w:rsidP="00CA6858">
            <w:pPr>
              <w:pStyle w:val="TableText1"/>
              <w:keepLines/>
              <w:widowControl w:val="0"/>
              <w:rPr>
                <w:b/>
              </w:rPr>
            </w:pPr>
            <w:r>
              <w:rPr>
                <w:b/>
              </w:rPr>
              <w:t>Trial</w:t>
            </w:r>
          </w:p>
          <w:p w:rsidR="00454D8B" w:rsidRPr="00454D8B" w:rsidRDefault="00454D8B" w:rsidP="00CA6858">
            <w:pPr>
              <w:pStyle w:val="TableText1"/>
              <w:keepLines/>
              <w:widowControl w:val="0"/>
              <w:rPr>
                <w:b/>
              </w:rPr>
            </w:pPr>
            <w:r>
              <w:rPr>
                <w:b/>
              </w:rPr>
              <w:t>(median follow-up)</w:t>
            </w:r>
          </w:p>
        </w:tc>
        <w:tc>
          <w:tcPr>
            <w:tcW w:w="1848" w:type="dxa"/>
            <w:vAlign w:val="center"/>
          </w:tcPr>
          <w:p w:rsidR="005214C3" w:rsidRPr="005214C3" w:rsidRDefault="005214C3" w:rsidP="00CA6858">
            <w:pPr>
              <w:pStyle w:val="TableText1"/>
              <w:keepLines/>
              <w:widowControl w:val="0"/>
              <w:jc w:val="center"/>
              <w:rPr>
                <w:b/>
                <w:bCs/>
                <w:szCs w:val="20"/>
              </w:rPr>
            </w:pPr>
            <w:r w:rsidRPr="003F685D">
              <w:rPr>
                <w:b/>
                <w:szCs w:val="20"/>
              </w:rPr>
              <w:t>Outcome</w:t>
            </w:r>
          </w:p>
        </w:tc>
        <w:tc>
          <w:tcPr>
            <w:tcW w:w="1615" w:type="dxa"/>
            <w:vAlign w:val="center"/>
          </w:tcPr>
          <w:p w:rsidR="005214C3" w:rsidRDefault="005214C3" w:rsidP="00CA6858">
            <w:pPr>
              <w:pStyle w:val="TableText1"/>
              <w:keepLines/>
              <w:widowControl w:val="0"/>
              <w:jc w:val="center"/>
              <w:rPr>
                <w:b/>
                <w:iCs/>
                <w:szCs w:val="20"/>
              </w:rPr>
            </w:pPr>
            <w:proofErr w:type="spellStart"/>
            <w:r w:rsidRPr="003F685D">
              <w:rPr>
                <w:b/>
                <w:iCs/>
                <w:szCs w:val="20"/>
              </w:rPr>
              <w:t>Ibr</w:t>
            </w:r>
            <w:proofErr w:type="spellEnd"/>
          </w:p>
          <w:p w:rsidR="005214C3" w:rsidRPr="005214C3" w:rsidRDefault="005214C3" w:rsidP="00CA6858">
            <w:pPr>
              <w:pStyle w:val="TableText1"/>
              <w:keepLines/>
              <w:widowControl w:val="0"/>
              <w:jc w:val="center"/>
              <w:rPr>
                <w:b/>
                <w:bCs/>
              </w:rPr>
            </w:pPr>
            <w:proofErr w:type="gramStart"/>
            <w:r w:rsidRPr="003F685D">
              <w:rPr>
                <w:b/>
                <w:iCs/>
                <w:szCs w:val="20"/>
              </w:rPr>
              <w:t>n/N</w:t>
            </w:r>
            <w:proofErr w:type="gramEnd"/>
            <w:r w:rsidRPr="003F685D">
              <w:rPr>
                <w:b/>
                <w:iCs/>
                <w:szCs w:val="20"/>
              </w:rPr>
              <w:t xml:space="preserve"> (%)</w:t>
            </w:r>
          </w:p>
        </w:tc>
        <w:tc>
          <w:tcPr>
            <w:tcW w:w="1601" w:type="dxa"/>
            <w:gridSpan w:val="2"/>
            <w:vAlign w:val="center"/>
          </w:tcPr>
          <w:p w:rsidR="005214C3" w:rsidRDefault="005214C3" w:rsidP="00CA6858">
            <w:pPr>
              <w:pStyle w:val="TableText1"/>
              <w:keepLines/>
              <w:widowControl w:val="0"/>
              <w:jc w:val="center"/>
              <w:rPr>
                <w:b/>
                <w:szCs w:val="20"/>
              </w:rPr>
            </w:pPr>
            <w:proofErr w:type="spellStart"/>
            <w:r>
              <w:rPr>
                <w:b/>
                <w:szCs w:val="20"/>
              </w:rPr>
              <w:t>Ibr+obi</w:t>
            </w:r>
            <w:proofErr w:type="spellEnd"/>
          </w:p>
          <w:p w:rsidR="005214C3" w:rsidRPr="005214C3" w:rsidRDefault="005214C3" w:rsidP="00CA6858">
            <w:pPr>
              <w:pStyle w:val="TableText1"/>
              <w:keepLines/>
              <w:widowControl w:val="0"/>
              <w:jc w:val="center"/>
              <w:rPr>
                <w:b/>
                <w:bCs/>
              </w:rPr>
            </w:pPr>
            <w:proofErr w:type="gramStart"/>
            <w:r w:rsidRPr="003F685D">
              <w:rPr>
                <w:b/>
                <w:szCs w:val="20"/>
              </w:rPr>
              <w:t>n/N</w:t>
            </w:r>
            <w:proofErr w:type="gramEnd"/>
            <w:r w:rsidRPr="003F685D">
              <w:rPr>
                <w:b/>
                <w:szCs w:val="20"/>
              </w:rPr>
              <w:t xml:space="preserve"> (%)</w:t>
            </w:r>
          </w:p>
        </w:tc>
        <w:tc>
          <w:tcPr>
            <w:tcW w:w="1701" w:type="dxa"/>
            <w:vAlign w:val="center"/>
          </w:tcPr>
          <w:p w:rsidR="005214C3" w:rsidRPr="000549DC" w:rsidRDefault="005214C3" w:rsidP="00CA6858">
            <w:pPr>
              <w:pStyle w:val="TableText1"/>
              <w:keepLines/>
              <w:widowControl w:val="0"/>
              <w:jc w:val="center"/>
            </w:pPr>
            <w:r w:rsidRPr="003F685D">
              <w:rPr>
                <w:b/>
                <w:szCs w:val="20"/>
              </w:rPr>
              <w:t>HR (95% CI)</w:t>
            </w:r>
          </w:p>
        </w:tc>
      </w:tr>
      <w:tr w:rsidR="0048700D" w:rsidRPr="000549DC" w:rsidTr="001F7AC0">
        <w:tc>
          <w:tcPr>
            <w:tcW w:w="2518" w:type="dxa"/>
            <w:vMerge w:val="restart"/>
          </w:tcPr>
          <w:p w:rsidR="0048700D" w:rsidRDefault="0048700D" w:rsidP="00CA6858">
            <w:pPr>
              <w:pStyle w:val="TableText1"/>
              <w:keepLines/>
              <w:widowControl w:val="0"/>
            </w:pPr>
            <w:r>
              <w:t xml:space="preserve">ALLIANCE: </w:t>
            </w:r>
            <w:proofErr w:type="spellStart"/>
            <w:r>
              <w:t>ibr</w:t>
            </w:r>
            <w:proofErr w:type="spellEnd"/>
          </w:p>
          <w:p w:rsidR="0048700D" w:rsidRPr="000549DC" w:rsidRDefault="0048700D" w:rsidP="00CA6858">
            <w:pPr>
              <w:pStyle w:val="TableText1"/>
              <w:keepLines/>
              <w:widowControl w:val="0"/>
            </w:pPr>
            <w:r>
              <w:t>(38 months median follow-up)</w:t>
            </w:r>
          </w:p>
        </w:tc>
        <w:tc>
          <w:tcPr>
            <w:tcW w:w="1848" w:type="dxa"/>
            <w:vAlign w:val="center"/>
          </w:tcPr>
          <w:p w:rsidR="0048700D" w:rsidRPr="000549DC" w:rsidRDefault="0048700D" w:rsidP="00CA6858">
            <w:pPr>
              <w:pStyle w:val="TableText1"/>
              <w:keepLines/>
              <w:widowControl w:val="0"/>
            </w:pPr>
            <w:r>
              <w:rPr>
                <w:szCs w:val="20"/>
              </w:rPr>
              <w:t>Events</w:t>
            </w:r>
          </w:p>
        </w:tc>
        <w:tc>
          <w:tcPr>
            <w:tcW w:w="1615" w:type="dxa"/>
            <w:vAlign w:val="center"/>
          </w:tcPr>
          <w:p w:rsidR="0048700D" w:rsidRPr="000549DC" w:rsidRDefault="0048700D" w:rsidP="00CA6858">
            <w:pPr>
              <w:pStyle w:val="TableText1"/>
              <w:keepLines/>
              <w:widowControl w:val="0"/>
              <w:jc w:val="center"/>
            </w:pPr>
            <w:r>
              <w:t>2/9 (22.2%)</w:t>
            </w:r>
          </w:p>
        </w:tc>
        <w:tc>
          <w:tcPr>
            <w:tcW w:w="1601" w:type="dxa"/>
            <w:gridSpan w:val="2"/>
            <w:vAlign w:val="center"/>
          </w:tcPr>
          <w:p w:rsidR="0048700D" w:rsidRPr="000549DC" w:rsidRDefault="0048700D" w:rsidP="00CA6858">
            <w:pPr>
              <w:pStyle w:val="TableText1"/>
              <w:keepLines/>
              <w:widowControl w:val="0"/>
              <w:jc w:val="center"/>
            </w:pPr>
            <w:r>
              <w:t>-</w:t>
            </w:r>
          </w:p>
        </w:tc>
        <w:tc>
          <w:tcPr>
            <w:tcW w:w="1701" w:type="dxa"/>
            <w:vMerge w:val="restart"/>
          </w:tcPr>
          <w:p w:rsidR="0048700D" w:rsidRPr="000549DC" w:rsidRDefault="0048700D" w:rsidP="00CA6858">
            <w:pPr>
              <w:pStyle w:val="TableText1"/>
              <w:keepLines/>
              <w:widowControl w:val="0"/>
              <w:jc w:val="center"/>
            </w:pPr>
          </w:p>
        </w:tc>
      </w:tr>
      <w:tr w:rsidR="0048700D" w:rsidRPr="000549DC" w:rsidTr="001F7AC0">
        <w:tc>
          <w:tcPr>
            <w:tcW w:w="2518" w:type="dxa"/>
            <w:vMerge/>
          </w:tcPr>
          <w:p w:rsidR="0048700D" w:rsidRPr="000549DC" w:rsidRDefault="0048700D" w:rsidP="00CA6858">
            <w:pPr>
              <w:pStyle w:val="TableText1"/>
              <w:keepLines/>
              <w:widowControl w:val="0"/>
            </w:pPr>
          </w:p>
        </w:tc>
        <w:tc>
          <w:tcPr>
            <w:tcW w:w="1848" w:type="dxa"/>
            <w:vAlign w:val="center"/>
          </w:tcPr>
          <w:p w:rsidR="0048700D" w:rsidRPr="000549DC" w:rsidRDefault="0048700D" w:rsidP="00CA6858">
            <w:pPr>
              <w:pStyle w:val="TableText1"/>
              <w:keepLines/>
              <w:widowControl w:val="0"/>
            </w:pPr>
            <w:r w:rsidRPr="003F685D">
              <w:rPr>
                <w:szCs w:val="20"/>
              </w:rPr>
              <w:t>Median months PFS</w:t>
            </w:r>
          </w:p>
        </w:tc>
        <w:tc>
          <w:tcPr>
            <w:tcW w:w="1615" w:type="dxa"/>
            <w:vAlign w:val="center"/>
          </w:tcPr>
          <w:p w:rsidR="0048700D" w:rsidRPr="000549DC" w:rsidRDefault="0048700D" w:rsidP="00CA6858">
            <w:pPr>
              <w:pStyle w:val="TableText1"/>
              <w:keepLines/>
              <w:widowControl w:val="0"/>
              <w:jc w:val="center"/>
            </w:pPr>
            <w:r>
              <w:t>NE</w:t>
            </w:r>
          </w:p>
        </w:tc>
        <w:tc>
          <w:tcPr>
            <w:tcW w:w="1601" w:type="dxa"/>
            <w:gridSpan w:val="2"/>
            <w:vAlign w:val="center"/>
          </w:tcPr>
          <w:p w:rsidR="0048700D" w:rsidRPr="000549DC" w:rsidRDefault="0048700D" w:rsidP="00CA6858">
            <w:pPr>
              <w:pStyle w:val="TableText1"/>
              <w:keepLines/>
              <w:widowControl w:val="0"/>
              <w:jc w:val="center"/>
            </w:pPr>
            <w:r>
              <w:t>-</w:t>
            </w:r>
          </w:p>
        </w:tc>
        <w:tc>
          <w:tcPr>
            <w:tcW w:w="1701" w:type="dxa"/>
            <w:vMerge/>
          </w:tcPr>
          <w:p w:rsidR="0048700D" w:rsidRPr="000549DC" w:rsidRDefault="0048700D" w:rsidP="00CA6858">
            <w:pPr>
              <w:pStyle w:val="TableText1"/>
              <w:keepLines/>
              <w:widowControl w:val="0"/>
              <w:jc w:val="center"/>
            </w:pPr>
          </w:p>
        </w:tc>
      </w:tr>
      <w:tr w:rsidR="0048700D" w:rsidRPr="000549DC" w:rsidTr="001F7AC0">
        <w:tc>
          <w:tcPr>
            <w:tcW w:w="2518" w:type="dxa"/>
            <w:vMerge w:val="restart"/>
          </w:tcPr>
          <w:p w:rsidR="0048700D" w:rsidRDefault="0048700D" w:rsidP="00CA6858">
            <w:pPr>
              <w:pStyle w:val="TableText1"/>
              <w:keepLines/>
              <w:widowControl w:val="0"/>
            </w:pPr>
            <w:r>
              <w:t xml:space="preserve">ILLUMINATE: </w:t>
            </w:r>
            <w:proofErr w:type="spellStart"/>
            <w:r>
              <w:t>ibr+obi</w:t>
            </w:r>
            <w:proofErr w:type="spellEnd"/>
            <w:r>
              <w:t xml:space="preserve"> </w:t>
            </w:r>
          </w:p>
          <w:p w:rsidR="0048700D" w:rsidRPr="000549DC" w:rsidRDefault="0048700D" w:rsidP="00CA6858">
            <w:pPr>
              <w:pStyle w:val="TableText1"/>
              <w:keepLines/>
              <w:widowControl w:val="0"/>
            </w:pPr>
            <w:r>
              <w:t>(31.3 months median follow-up)</w:t>
            </w:r>
          </w:p>
        </w:tc>
        <w:tc>
          <w:tcPr>
            <w:tcW w:w="1848" w:type="dxa"/>
            <w:vAlign w:val="center"/>
          </w:tcPr>
          <w:p w:rsidR="0048700D" w:rsidRPr="000549DC" w:rsidRDefault="0048700D" w:rsidP="00CA6858">
            <w:pPr>
              <w:pStyle w:val="TableText1"/>
              <w:keepLines/>
              <w:widowControl w:val="0"/>
            </w:pPr>
            <w:r>
              <w:rPr>
                <w:szCs w:val="20"/>
              </w:rPr>
              <w:t>Events</w:t>
            </w:r>
          </w:p>
        </w:tc>
        <w:tc>
          <w:tcPr>
            <w:tcW w:w="1615" w:type="dxa"/>
            <w:vAlign w:val="center"/>
          </w:tcPr>
          <w:p w:rsidR="0048700D" w:rsidRPr="000549DC" w:rsidRDefault="0048700D" w:rsidP="00CA6858">
            <w:pPr>
              <w:pStyle w:val="TableText1"/>
              <w:keepLines/>
              <w:widowControl w:val="0"/>
              <w:jc w:val="center"/>
            </w:pPr>
            <w:r>
              <w:t>-</w:t>
            </w:r>
          </w:p>
        </w:tc>
        <w:tc>
          <w:tcPr>
            <w:tcW w:w="1601" w:type="dxa"/>
            <w:gridSpan w:val="2"/>
            <w:vAlign w:val="center"/>
          </w:tcPr>
          <w:p w:rsidR="0048700D" w:rsidRPr="000549DC" w:rsidRDefault="007E3667" w:rsidP="00CA6858">
            <w:pPr>
              <w:pStyle w:val="TableText1"/>
              <w:keepLines/>
              <w:widowControl w:val="0"/>
              <w:jc w:val="center"/>
            </w:pPr>
            <w:r>
              <w:rPr>
                <w:noProof/>
                <w:color w:val="000000"/>
                <w:highlight w:val="black"/>
              </w:rPr>
              <w:t>''''</w:t>
            </w:r>
            <w:r w:rsidR="0048700D">
              <w:t>/14 (</w:t>
            </w:r>
            <w:r>
              <w:rPr>
                <w:noProof/>
                <w:color w:val="000000"/>
                <w:highlight w:val="black"/>
              </w:rPr>
              <w:t>'''''''''''</w:t>
            </w:r>
            <w:r w:rsidR="0048700D">
              <w:t>%)</w:t>
            </w:r>
          </w:p>
        </w:tc>
        <w:tc>
          <w:tcPr>
            <w:tcW w:w="1701" w:type="dxa"/>
            <w:vMerge/>
          </w:tcPr>
          <w:p w:rsidR="0048700D" w:rsidRPr="000549DC" w:rsidRDefault="0048700D" w:rsidP="00CA6858">
            <w:pPr>
              <w:pStyle w:val="TableText1"/>
              <w:keepLines/>
              <w:widowControl w:val="0"/>
              <w:jc w:val="center"/>
            </w:pPr>
          </w:p>
        </w:tc>
      </w:tr>
      <w:tr w:rsidR="0048700D" w:rsidRPr="000549DC" w:rsidTr="001F7AC0">
        <w:tc>
          <w:tcPr>
            <w:tcW w:w="2518" w:type="dxa"/>
            <w:vMerge/>
          </w:tcPr>
          <w:p w:rsidR="0048700D" w:rsidRPr="000549DC" w:rsidRDefault="0048700D" w:rsidP="00CA6858">
            <w:pPr>
              <w:pStyle w:val="TableText1"/>
              <w:keepLines/>
              <w:widowControl w:val="0"/>
            </w:pPr>
          </w:p>
        </w:tc>
        <w:tc>
          <w:tcPr>
            <w:tcW w:w="1848" w:type="dxa"/>
            <w:vAlign w:val="center"/>
          </w:tcPr>
          <w:p w:rsidR="0048700D" w:rsidRPr="000549DC" w:rsidRDefault="0048700D" w:rsidP="00CA6858">
            <w:pPr>
              <w:pStyle w:val="TableText1"/>
              <w:keepLines/>
              <w:widowControl w:val="0"/>
            </w:pPr>
            <w:r w:rsidRPr="003F685D">
              <w:rPr>
                <w:szCs w:val="20"/>
              </w:rPr>
              <w:t>Median months PFS</w:t>
            </w:r>
          </w:p>
        </w:tc>
        <w:tc>
          <w:tcPr>
            <w:tcW w:w="1615" w:type="dxa"/>
            <w:vAlign w:val="center"/>
          </w:tcPr>
          <w:p w:rsidR="0048700D" w:rsidRPr="000549DC" w:rsidRDefault="0048700D" w:rsidP="00CA6858">
            <w:pPr>
              <w:pStyle w:val="TableText1"/>
              <w:keepLines/>
              <w:widowControl w:val="0"/>
              <w:jc w:val="center"/>
            </w:pPr>
            <w:r>
              <w:t>-</w:t>
            </w:r>
          </w:p>
        </w:tc>
        <w:tc>
          <w:tcPr>
            <w:tcW w:w="1601" w:type="dxa"/>
            <w:gridSpan w:val="2"/>
            <w:vAlign w:val="center"/>
          </w:tcPr>
          <w:p w:rsidR="0048700D" w:rsidRPr="000549DC" w:rsidRDefault="0048700D" w:rsidP="00CA6858">
            <w:pPr>
              <w:pStyle w:val="TableText1"/>
              <w:keepLines/>
              <w:widowControl w:val="0"/>
              <w:jc w:val="center"/>
            </w:pPr>
            <w:r>
              <w:t>NE</w:t>
            </w:r>
          </w:p>
        </w:tc>
        <w:tc>
          <w:tcPr>
            <w:tcW w:w="1701" w:type="dxa"/>
            <w:vMerge/>
          </w:tcPr>
          <w:p w:rsidR="0048700D" w:rsidRPr="000549DC" w:rsidRDefault="0048700D" w:rsidP="00CA6858">
            <w:pPr>
              <w:pStyle w:val="TableText1"/>
              <w:keepLines/>
              <w:widowControl w:val="0"/>
              <w:jc w:val="center"/>
            </w:pPr>
          </w:p>
        </w:tc>
      </w:tr>
      <w:tr w:rsidR="0048700D" w:rsidRPr="000549DC" w:rsidTr="00212DE9">
        <w:tc>
          <w:tcPr>
            <w:tcW w:w="7508" w:type="dxa"/>
            <w:gridSpan w:val="4"/>
            <w:vAlign w:val="center"/>
          </w:tcPr>
          <w:p w:rsidR="0048700D" w:rsidRPr="00695B22" w:rsidRDefault="0048700D" w:rsidP="00CA6858">
            <w:pPr>
              <w:pStyle w:val="TableText1"/>
              <w:keepLines/>
              <w:widowControl w:val="0"/>
              <w:jc w:val="right"/>
              <w:rPr>
                <w:b/>
                <w:bCs/>
              </w:rPr>
            </w:pPr>
            <w:r>
              <w:rPr>
                <w:b/>
                <w:szCs w:val="20"/>
              </w:rPr>
              <w:t>Naïve single arm</w:t>
            </w:r>
            <w:r w:rsidRPr="003F685D">
              <w:rPr>
                <w:b/>
                <w:szCs w:val="20"/>
              </w:rPr>
              <w:t xml:space="preserve"> comparison </w:t>
            </w:r>
            <w:proofErr w:type="spellStart"/>
            <w:r w:rsidRPr="003F685D">
              <w:rPr>
                <w:b/>
                <w:szCs w:val="20"/>
              </w:rPr>
              <w:t>ibr</w:t>
            </w:r>
            <w:proofErr w:type="spellEnd"/>
            <w:r w:rsidRPr="003F685D">
              <w:rPr>
                <w:b/>
                <w:szCs w:val="20"/>
              </w:rPr>
              <w:t xml:space="preserve"> vs. </w:t>
            </w:r>
            <w:proofErr w:type="spellStart"/>
            <w:r>
              <w:rPr>
                <w:b/>
                <w:szCs w:val="20"/>
              </w:rPr>
              <w:t>ibr+obi</w:t>
            </w:r>
            <w:proofErr w:type="spellEnd"/>
          </w:p>
        </w:tc>
        <w:tc>
          <w:tcPr>
            <w:tcW w:w="1775" w:type="dxa"/>
            <w:gridSpan w:val="2"/>
            <w:vAlign w:val="center"/>
          </w:tcPr>
          <w:p w:rsidR="0048700D" w:rsidRPr="000549DC" w:rsidRDefault="007E3667" w:rsidP="00CA6858">
            <w:pPr>
              <w:pStyle w:val="TableText1"/>
              <w:keepLines/>
              <w:widowControl w:val="0"/>
              <w:jc w:val="center"/>
            </w:pPr>
            <w:r>
              <w:rPr>
                <w:noProof/>
                <w:color w:val="000000"/>
                <w:highlight w:val="black"/>
              </w:rPr>
              <w:t>''''''''''''</w:t>
            </w:r>
            <w:r w:rsidR="0048700D">
              <w:t xml:space="preserve"> (</w:t>
            </w:r>
            <w:r>
              <w:rPr>
                <w:noProof/>
                <w:color w:val="000000"/>
                <w:highlight w:val="black"/>
              </w:rPr>
              <w:t>'''''''''''</w:t>
            </w:r>
            <w:r w:rsidR="0048700D">
              <w:t xml:space="preserve">, </w:t>
            </w:r>
            <w:r>
              <w:rPr>
                <w:noProof/>
                <w:color w:val="000000"/>
                <w:highlight w:val="black"/>
              </w:rPr>
              <w:t>''''''''''</w:t>
            </w:r>
            <w:r w:rsidR="0048700D">
              <w:t>)</w:t>
            </w:r>
          </w:p>
        </w:tc>
      </w:tr>
      <w:tr w:rsidR="0048700D" w:rsidRPr="000549DC" w:rsidTr="001F7AC0">
        <w:tc>
          <w:tcPr>
            <w:tcW w:w="9283" w:type="dxa"/>
            <w:gridSpan w:val="6"/>
          </w:tcPr>
          <w:p w:rsidR="0048700D" w:rsidRPr="000549DC" w:rsidRDefault="0048700D" w:rsidP="00CA6858">
            <w:pPr>
              <w:pStyle w:val="TableText1"/>
              <w:keepLines/>
              <w:widowControl w:val="0"/>
            </w:pPr>
            <w:r w:rsidRPr="0071676D">
              <w:rPr>
                <w:b/>
                <w:bCs/>
              </w:rPr>
              <w:t>ITT population from RESONATE-2 vs. non-del17 subgroup from ILLUMINATE</w:t>
            </w:r>
            <w:r>
              <w:rPr>
                <w:b/>
                <w:bCs/>
              </w:rPr>
              <w:t xml:space="preserve"> - PFS</w:t>
            </w:r>
          </w:p>
        </w:tc>
      </w:tr>
      <w:tr w:rsidR="0048700D" w:rsidRPr="000549DC" w:rsidTr="001F7AC0">
        <w:tc>
          <w:tcPr>
            <w:tcW w:w="2518" w:type="dxa"/>
            <w:vMerge w:val="restart"/>
          </w:tcPr>
          <w:p w:rsidR="0048700D" w:rsidRDefault="0048700D" w:rsidP="00CA6858">
            <w:pPr>
              <w:pStyle w:val="TableText1"/>
              <w:keepLines/>
              <w:widowControl w:val="0"/>
            </w:pPr>
            <w:r>
              <w:t xml:space="preserve">RESONATE-2: </w:t>
            </w:r>
            <w:proofErr w:type="spellStart"/>
            <w:r>
              <w:t>ibr</w:t>
            </w:r>
            <w:proofErr w:type="spellEnd"/>
            <w:r>
              <w:t xml:space="preserve"> </w:t>
            </w:r>
          </w:p>
          <w:p w:rsidR="0048700D" w:rsidRPr="000549DC" w:rsidRDefault="0048700D" w:rsidP="00CA6858">
            <w:pPr>
              <w:pStyle w:val="TableText1"/>
              <w:keepLines/>
              <w:widowControl w:val="0"/>
            </w:pPr>
            <w:r>
              <w:t>(48.1 months median follow-up)</w:t>
            </w:r>
          </w:p>
        </w:tc>
        <w:tc>
          <w:tcPr>
            <w:tcW w:w="1848" w:type="dxa"/>
            <w:vAlign w:val="center"/>
          </w:tcPr>
          <w:p w:rsidR="0048700D" w:rsidRPr="000549DC" w:rsidRDefault="0048700D" w:rsidP="00CA6858">
            <w:pPr>
              <w:pStyle w:val="TableText1"/>
              <w:keepLines/>
              <w:widowControl w:val="0"/>
            </w:pPr>
            <w:r>
              <w:rPr>
                <w:szCs w:val="20"/>
              </w:rPr>
              <w:t>Events</w:t>
            </w:r>
          </w:p>
        </w:tc>
        <w:tc>
          <w:tcPr>
            <w:tcW w:w="1615" w:type="dxa"/>
            <w:vAlign w:val="center"/>
          </w:tcPr>
          <w:p w:rsidR="0048700D" w:rsidRPr="000549DC" w:rsidRDefault="0048700D" w:rsidP="00CA6858">
            <w:pPr>
              <w:pStyle w:val="TableText1"/>
              <w:keepLines/>
              <w:widowControl w:val="0"/>
              <w:jc w:val="center"/>
            </w:pPr>
            <w:r>
              <w:rPr>
                <w:rFonts w:eastAsia="Times New Roman" w:cs="Times New Roman"/>
                <w:szCs w:val="20"/>
              </w:rPr>
              <w:t>31/136 (22.8%)</w:t>
            </w:r>
          </w:p>
        </w:tc>
        <w:tc>
          <w:tcPr>
            <w:tcW w:w="1601" w:type="dxa"/>
            <w:gridSpan w:val="2"/>
            <w:vAlign w:val="center"/>
          </w:tcPr>
          <w:p w:rsidR="0048700D" w:rsidRPr="000549DC" w:rsidRDefault="0048700D" w:rsidP="00CA6858">
            <w:pPr>
              <w:pStyle w:val="TableText1"/>
              <w:keepLines/>
              <w:widowControl w:val="0"/>
              <w:jc w:val="center"/>
            </w:pPr>
            <w:r>
              <w:t>-</w:t>
            </w:r>
          </w:p>
        </w:tc>
        <w:tc>
          <w:tcPr>
            <w:tcW w:w="1701" w:type="dxa"/>
            <w:vMerge w:val="restart"/>
          </w:tcPr>
          <w:p w:rsidR="0048700D" w:rsidRPr="000549DC" w:rsidRDefault="0048700D" w:rsidP="00CA6858">
            <w:pPr>
              <w:pStyle w:val="TableText1"/>
              <w:keepLines/>
              <w:widowControl w:val="0"/>
              <w:jc w:val="center"/>
            </w:pPr>
          </w:p>
        </w:tc>
      </w:tr>
      <w:tr w:rsidR="0048700D" w:rsidRPr="000549DC" w:rsidTr="001F7AC0">
        <w:tc>
          <w:tcPr>
            <w:tcW w:w="2518" w:type="dxa"/>
            <w:vMerge/>
          </w:tcPr>
          <w:p w:rsidR="0048700D" w:rsidRPr="000549DC" w:rsidRDefault="0048700D" w:rsidP="00CA6858">
            <w:pPr>
              <w:pStyle w:val="TableText1"/>
              <w:keepLines/>
              <w:widowControl w:val="0"/>
            </w:pPr>
          </w:p>
        </w:tc>
        <w:tc>
          <w:tcPr>
            <w:tcW w:w="1848" w:type="dxa"/>
            <w:vAlign w:val="center"/>
          </w:tcPr>
          <w:p w:rsidR="0048700D" w:rsidRPr="000549DC" w:rsidRDefault="0048700D" w:rsidP="00CA6858">
            <w:pPr>
              <w:pStyle w:val="TableText1"/>
              <w:keepLines/>
              <w:widowControl w:val="0"/>
            </w:pPr>
            <w:r w:rsidRPr="003F685D">
              <w:rPr>
                <w:szCs w:val="20"/>
              </w:rPr>
              <w:t>Median months PFS</w:t>
            </w:r>
          </w:p>
        </w:tc>
        <w:tc>
          <w:tcPr>
            <w:tcW w:w="1615" w:type="dxa"/>
            <w:vAlign w:val="center"/>
          </w:tcPr>
          <w:p w:rsidR="0048700D" w:rsidRPr="000549DC" w:rsidRDefault="0048700D" w:rsidP="00CA6858">
            <w:pPr>
              <w:pStyle w:val="TableText1"/>
              <w:keepLines/>
              <w:widowControl w:val="0"/>
              <w:jc w:val="center"/>
            </w:pPr>
            <w:r>
              <w:rPr>
                <w:rFonts w:eastAsia="Times New Roman" w:cs="Times New Roman"/>
                <w:szCs w:val="20"/>
              </w:rPr>
              <w:t>NE</w:t>
            </w:r>
          </w:p>
        </w:tc>
        <w:tc>
          <w:tcPr>
            <w:tcW w:w="1601" w:type="dxa"/>
            <w:gridSpan w:val="2"/>
            <w:vAlign w:val="center"/>
          </w:tcPr>
          <w:p w:rsidR="0048700D" w:rsidRPr="000549DC" w:rsidRDefault="0048700D" w:rsidP="00CA6858">
            <w:pPr>
              <w:pStyle w:val="TableText1"/>
              <w:keepLines/>
              <w:widowControl w:val="0"/>
              <w:jc w:val="center"/>
            </w:pPr>
            <w:r>
              <w:t>-</w:t>
            </w:r>
          </w:p>
        </w:tc>
        <w:tc>
          <w:tcPr>
            <w:tcW w:w="1701" w:type="dxa"/>
            <w:vMerge/>
          </w:tcPr>
          <w:p w:rsidR="0048700D" w:rsidRPr="000549DC" w:rsidRDefault="0048700D" w:rsidP="00CA6858">
            <w:pPr>
              <w:pStyle w:val="TableText1"/>
              <w:keepLines/>
              <w:widowControl w:val="0"/>
              <w:jc w:val="center"/>
            </w:pPr>
          </w:p>
        </w:tc>
      </w:tr>
      <w:tr w:rsidR="0048700D" w:rsidRPr="000549DC" w:rsidTr="001F7AC0">
        <w:tc>
          <w:tcPr>
            <w:tcW w:w="2518" w:type="dxa"/>
            <w:vMerge w:val="restart"/>
          </w:tcPr>
          <w:p w:rsidR="0048700D" w:rsidRDefault="0048700D" w:rsidP="00CA6858">
            <w:pPr>
              <w:pStyle w:val="TableText1"/>
              <w:keepLines/>
              <w:widowControl w:val="0"/>
            </w:pPr>
            <w:r>
              <w:t xml:space="preserve">ILLUMINATE: </w:t>
            </w:r>
            <w:proofErr w:type="spellStart"/>
            <w:r>
              <w:t>ibr+obi</w:t>
            </w:r>
            <w:proofErr w:type="spellEnd"/>
            <w:r>
              <w:t xml:space="preserve"> </w:t>
            </w:r>
          </w:p>
          <w:p w:rsidR="0048700D" w:rsidRPr="000549DC" w:rsidRDefault="0048700D" w:rsidP="00CA6858">
            <w:pPr>
              <w:pStyle w:val="TableText1"/>
              <w:keepLines/>
              <w:widowControl w:val="0"/>
            </w:pPr>
            <w:r>
              <w:t>(31.3 months median follow-up)</w:t>
            </w:r>
          </w:p>
        </w:tc>
        <w:tc>
          <w:tcPr>
            <w:tcW w:w="1848" w:type="dxa"/>
            <w:vAlign w:val="center"/>
          </w:tcPr>
          <w:p w:rsidR="0048700D" w:rsidRPr="000549DC" w:rsidRDefault="0048700D" w:rsidP="00CA6858">
            <w:pPr>
              <w:pStyle w:val="TableText1"/>
              <w:keepLines/>
              <w:widowControl w:val="0"/>
            </w:pPr>
            <w:r>
              <w:rPr>
                <w:szCs w:val="20"/>
              </w:rPr>
              <w:t>Events</w:t>
            </w:r>
          </w:p>
        </w:tc>
        <w:tc>
          <w:tcPr>
            <w:tcW w:w="1615" w:type="dxa"/>
            <w:vAlign w:val="center"/>
          </w:tcPr>
          <w:p w:rsidR="0048700D" w:rsidRPr="000549DC" w:rsidRDefault="0048700D" w:rsidP="00CA6858">
            <w:pPr>
              <w:pStyle w:val="TableText1"/>
              <w:keepLines/>
              <w:widowControl w:val="0"/>
              <w:jc w:val="center"/>
            </w:pPr>
            <w:r>
              <w:t>-</w:t>
            </w:r>
          </w:p>
        </w:tc>
        <w:tc>
          <w:tcPr>
            <w:tcW w:w="1601" w:type="dxa"/>
            <w:gridSpan w:val="2"/>
            <w:vAlign w:val="center"/>
          </w:tcPr>
          <w:p w:rsidR="0048700D" w:rsidRPr="000549DC" w:rsidRDefault="007E3667" w:rsidP="00CA6858">
            <w:pPr>
              <w:pStyle w:val="TableText1"/>
              <w:keepLines/>
              <w:widowControl w:val="0"/>
              <w:jc w:val="center"/>
            </w:pPr>
            <w:r>
              <w:rPr>
                <w:rFonts w:eastAsia="Times New Roman" w:cs="Times New Roman"/>
                <w:noProof/>
                <w:color w:val="000000"/>
                <w:szCs w:val="20"/>
                <w:highlight w:val="black"/>
              </w:rPr>
              <w:t>''''''</w:t>
            </w:r>
            <w:r w:rsidR="0048700D">
              <w:rPr>
                <w:rFonts w:eastAsia="Times New Roman" w:cs="Times New Roman"/>
                <w:szCs w:val="20"/>
              </w:rPr>
              <w:t>/99 (</w:t>
            </w:r>
            <w:r>
              <w:rPr>
                <w:rFonts w:eastAsia="Times New Roman" w:cs="Times New Roman"/>
                <w:noProof/>
                <w:color w:val="000000"/>
                <w:szCs w:val="20"/>
                <w:highlight w:val="black"/>
              </w:rPr>
              <w:t>'''''''''''</w:t>
            </w:r>
            <w:r w:rsidR="0048700D">
              <w:rPr>
                <w:rFonts w:eastAsia="Times New Roman" w:cs="Times New Roman"/>
                <w:szCs w:val="20"/>
              </w:rPr>
              <w:t>%)</w:t>
            </w:r>
          </w:p>
        </w:tc>
        <w:tc>
          <w:tcPr>
            <w:tcW w:w="1701" w:type="dxa"/>
            <w:vMerge/>
          </w:tcPr>
          <w:p w:rsidR="0048700D" w:rsidRPr="000549DC" w:rsidRDefault="0048700D" w:rsidP="00CA6858">
            <w:pPr>
              <w:pStyle w:val="TableText1"/>
              <w:keepLines/>
              <w:widowControl w:val="0"/>
              <w:jc w:val="center"/>
            </w:pPr>
          </w:p>
        </w:tc>
      </w:tr>
      <w:tr w:rsidR="0048700D" w:rsidRPr="000549DC" w:rsidTr="001F7AC0">
        <w:tc>
          <w:tcPr>
            <w:tcW w:w="2518" w:type="dxa"/>
            <w:vMerge/>
          </w:tcPr>
          <w:p w:rsidR="0048700D" w:rsidRPr="000549DC" w:rsidRDefault="0048700D" w:rsidP="00CA6858">
            <w:pPr>
              <w:pStyle w:val="TableText1"/>
              <w:keepLines/>
              <w:widowControl w:val="0"/>
            </w:pPr>
          </w:p>
        </w:tc>
        <w:tc>
          <w:tcPr>
            <w:tcW w:w="1848" w:type="dxa"/>
            <w:vAlign w:val="center"/>
          </w:tcPr>
          <w:p w:rsidR="0048700D" w:rsidRPr="000549DC" w:rsidRDefault="0048700D" w:rsidP="00CA6858">
            <w:pPr>
              <w:pStyle w:val="TableText1"/>
              <w:keepLines/>
              <w:widowControl w:val="0"/>
            </w:pPr>
            <w:r w:rsidRPr="003F685D">
              <w:rPr>
                <w:szCs w:val="20"/>
              </w:rPr>
              <w:t>Median months PFS</w:t>
            </w:r>
          </w:p>
        </w:tc>
        <w:tc>
          <w:tcPr>
            <w:tcW w:w="1615" w:type="dxa"/>
            <w:vAlign w:val="center"/>
          </w:tcPr>
          <w:p w:rsidR="0048700D" w:rsidRPr="000549DC" w:rsidRDefault="0048700D" w:rsidP="00CA6858">
            <w:pPr>
              <w:pStyle w:val="TableText1"/>
              <w:keepLines/>
              <w:widowControl w:val="0"/>
              <w:jc w:val="center"/>
            </w:pPr>
            <w:r>
              <w:t>-</w:t>
            </w:r>
          </w:p>
        </w:tc>
        <w:tc>
          <w:tcPr>
            <w:tcW w:w="1601" w:type="dxa"/>
            <w:gridSpan w:val="2"/>
            <w:vAlign w:val="center"/>
          </w:tcPr>
          <w:p w:rsidR="0048700D" w:rsidRPr="000549DC" w:rsidRDefault="0048700D" w:rsidP="00CA6858">
            <w:pPr>
              <w:pStyle w:val="TableText1"/>
              <w:keepLines/>
              <w:widowControl w:val="0"/>
              <w:jc w:val="center"/>
            </w:pPr>
            <w:r>
              <w:rPr>
                <w:rFonts w:eastAsia="Times New Roman" w:cs="Times New Roman"/>
                <w:szCs w:val="20"/>
              </w:rPr>
              <w:t>NE</w:t>
            </w:r>
          </w:p>
        </w:tc>
        <w:tc>
          <w:tcPr>
            <w:tcW w:w="1701" w:type="dxa"/>
            <w:vMerge/>
          </w:tcPr>
          <w:p w:rsidR="0048700D" w:rsidRPr="000549DC" w:rsidRDefault="0048700D" w:rsidP="00CA6858">
            <w:pPr>
              <w:pStyle w:val="TableText1"/>
              <w:keepLines/>
              <w:widowControl w:val="0"/>
              <w:jc w:val="center"/>
            </w:pPr>
          </w:p>
        </w:tc>
      </w:tr>
      <w:tr w:rsidR="0048700D" w:rsidRPr="000549DC" w:rsidTr="001F7AC0">
        <w:tc>
          <w:tcPr>
            <w:tcW w:w="7582" w:type="dxa"/>
            <w:gridSpan w:val="5"/>
            <w:vAlign w:val="center"/>
          </w:tcPr>
          <w:p w:rsidR="0048700D" w:rsidRPr="00EF5ACD" w:rsidRDefault="0048700D" w:rsidP="00CA6858">
            <w:pPr>
              <w:pStyle w:val="TableText1"/>
              <w:keepLines/>
              <w:widowControl w:val="0"/>
              <w:jc w:val="right"/>
              <w:rPr>
                <w:b/>
                <w:bCs/>
              </w:rPr>
            </w:pPr>
            <w:r>
              <w:rPr>
                <w:b/>
                <w:szCs w:val="20"/>
              </w:rPr>
              <w:t xml:space="preserve">Naïve single arm </w:t>
            </w:r>
            <w:r w:rsidRPr="003F685D">
              <w:rPr>
                <w:b/>
                <w:szCs w:val="20"/>
              </w:rPr>
              <w:t xml:space="preserve">comparison </w:t>
            </w:r>
            <w:proofErr w:type="spellStart"/>
            <w:r w:rsidRPr="003F685D">
              <w:rPr>
                <w:b/>
                <w:szCs w:val="20"/>
              </w:rPr>
              <w:t>ibr</w:t>
            </w:r>
            <w:proofErr w:type="spellEnd"/>
            <w:r w:rsidRPr="003F685D">
              <w:rPr>
                <w:b/>
                <w:szCs w:val="20"/>
              </w:rPr>
              <w:t xml:space="preserve"> vs. </w:t>
            </w:r>
            <w:proofErr w:type="spellStart"/>
            <w:r>
              <w:rPr>
                <w:b/>
                <w:szCs w:val="20"/>
              </w:rPr>
              <w:t>ibr+obi</w:t>
            </w:r>
            <w:proofErr w:type="spellEnd"/>
          </w:p>
        </w:tc>
        <w:tc>
          <w:tcPr>
            <w:tcW w:w="1701" w:type="dxa"/>
            <w:vAlign w:val="center"/>
          </w:tcPr>
          <w:p w:rsidR="0048700D" w:rsidRPr="000549DC" w:rsidRDefault="007E3667" w:rsidP="00CA6858">
            <w:pPr>
              <w:pStyle w:val="TableText1"/>
              <w:keepLines/>
              <w:widowControl w:val="0"/>
              <w:jc w:val="center"/>
            </w:pPr>
            <w:r>
              <w:rPr>
                <w:rFonts w:eastAsia="Times New Roman" w:cs="Times New Roman"/>
                <w:noProof/>
                <w:color w:val="000000"/>
                <w:szCs w:val="20"/>
                <w:highlight w:val="black"/>
              </w:rPr>
              <w:t>'''''''''''</w:t>
            </w:r>
            <w:r w:rsidR="0048700D">
              <w:rPr>
                <w:rFonts w:eastAsia="Times New Roman" w:cs="Times New Roman"/>
                <w:szCs w:val="20"/>
              </w:rPr>
              <w:t xml:space="preserve"> (</w:t>
            </w:r>
            <w:r>
              <w:rPr>
                <w:rFonts w:eastAsia="Times New Roman" w:cs="Times New Roman"/>
                <w:noProof/>
                <w:color w:val="000000"/>
                <w:szCs w:val="20"/>
                <w:highlight w:val="black"/>
              </w:rPr>
              <w:t>'''''''''''</w:t>
            </w:r>
            <w:r w:rsidR="0048700D">
              <w:rPr>
                <w:rFonts w:eastAsia="Times New Roman" w:cs="Times New Roman"/>
                <w:szCs w:val="20"/>
              </w:rPr>
              <w:t xml:space="preserve">, </w:t>
            </w:r>
            <w:r>
              <w:rPr>
                <w:rFonts w:eastAsia="Times New Roman" w:cs="Times New Roman"/>
                <w:noProof/>
                <w:color w:val="000000"/>
                <w:szCs w:val="20"/>
                <w:highlight w:val="black"/>
              </w:rPr>
              <w:t>''''''''''</w:t>
            </w:r>
            <w:r w:rsidR="0048700D">
              <w:rPr>
                <w:rFonts w:eastAsia="Times New Roman" w:cs="Times New Roman"/>
                <w:szCs w:val="20"/>
              </w:rPr>
              <w:t>)</w:t>
            </w:r>
          </w:p>
        </w:tc>
      </w:tr>
      <w:tr w:rsidR="0048700D" w:rsidRPr="00EF5ACD" w:rsidTr="001F7AC0">
        <w:tc>
          <w:tcPr>
            <w:tcW w:w="9283" w:type="dxa"/>
            <w:gridSpan w:val="6"/>
          </w:tcPr>
          <w:p w:rsidR="0048700D" w:rsidRPr="00EF5ACD" w:rsidRDefault="0048700D" w:rsidP="00CA6858">
            <w:pPr>
              <w:pStyle w:val="TableText1"/>
              <w:keepLines/>
              <w:widowControl w:val="0"/>
              <w:rPr>
                <w:b/>
                <w:bCs/>
              </w:rPr>
            </w:pPr>
            <w:r w:rsidRPr="0071676D">
              <w:rPr>
                <w:b/>
                <w:bCs/>
              </w:rPr>
              <w:t>ITT population from RESONATE-2 vs. non-del17 subgroup from ILLUMINATE</w:t>
            </w:r>
            <w:r>
              <w:rPr>
                <w:b/>
                <w:bCs/>
              </w:rPr>
              <w:t xml:space="preserve"> - OS</w:t>
            </w:r>
          </w:p>
        </w:tc>
      </w:tr>
      <w:tr w:rsidR="0048700D" w:rsidRPr="000549DC" w:rsidTr="001F7AC0">
        <w:tc>
          <w:tcPr>
            <w:tcW w:w="2518" w:type="dxa"/>
            <w:vMerge w:val="restart"/>
          </w:tcPr>
          <w:p w:rsidR="0048700D" w:rsidRDefault="0048700D" w:rsidP="00CA6858">
            <w:pPr>
              <w:pStyle w:val="TableText1"/>
              <w:keepLines/>
              <w:widowControl w:val="0"/>
            </w:pPr>
            <w:r>
              <w:t xml:space="preserve">RESONATE-2: </w:t>
            </w:r>
            <w:proofErr w:type="spellStart"/>
            <w:r>
              <w:t>ibr</w:t>
            </w:r>
            <w:proofErr w:type="spellEnd"/>
            <w:r>
              <w:t xml:space="preserve"> </w:t>
            </w:r>
          </w:p>
          <w:p w:rsidR="0048700D" w:rsidRPr="000549DC" w:rsidRDefault="0048700D" w:rsidP="00CA6858">
            <w:pPr>
              <w:pStyle w:val="TableText1"/>
              <w:keepLines/>
              <w:widowControl w:val="0"/>
            </w:pPr>
            <w:r>
              <w:t>(48.1 months median follow-up)</w:t>
            </w:r>
          </w:p>
        </w:tc>
        <w:tc>
          <w:tcPr>
            <w:tcW w:w="1848" w:type="dxa"/>
            <w:vAlign w:val="center"/>
          </w:tcPr>
          <w:p w:rsidR="0048700D" w:rsidRPr="000549DC" w:rsidRDefault="0048700D" w:rsidP="00CA6858">
            <w:pPr>
              <w:pStyle w:val="TableText1"/>
              <w:keepLines/>
              <w:widowControl w:val="0"/>
            </w:pPr>
            <w:r>
              <w:rPr>
                <w:szCs w:val="20"/>
              </w:rPr>
              <w:t>Dead</w:t>
            </w:r>
          </w:p>
        </w:tc>
        <w:tc>
          <w:tcPr>
            <w:tcW w:w="1615" w:type="dxa"/>
            <w:vAlign w:val="center"/>
          </w:tcPr>
          <w:p w:rsidR="0048700D" w:rsidRPr="000549DC" w:rsidRDefault="0048700D" w:rsidP="00CA6858">
            <w:pPr>
              <w:pStyle w:val="TableText1"/>
              <w:keepLines/>
              <w:widowControl w:val="0"/>
              <w:jc w:val="center"/>
            </w:pPr>
            <w:r>
              <w:rPr>
                <w:bCs/>
                <w:szCs w:val="20"/>
              </w:rPr>
              <w:t>20/136 (14.7%)</w:t>
            </w:r>
          </w:p>
        </w:tc>
        <w:tc>
          <w:tcPr>
            <w:tcW w:w="1601" w:type="dxa"/>
            <w:gridSpan w:val="2"/>
            <w:vAlign w:val="center"/>
          </w:tcPr>
          <w:p w:rsidR="0048700D" w:rsidRPr="000549DC" w:rsidRDefault="0048700D" w:rsidP="00CA6858">
            <w:pPr>
              <w:pStyle w:val="TableText1"/>
              <w:keepLines/>
              <w:widowControl w:val="0"/>
              <w:jc w:val="center"/>
            </w:pPr>
            <w:r>
              <w:rPr>
                <w:bCs/>
                <w:szCs w:val="20"/>
              </w:rPr>
              <w:t>-</w:t>
            </w:r>
          </w:p>
        </w:tc>
        <w:tc>
          <w:tcPr>
            <w:tcW w:w="1701" w:type="dxa"/>
            <w:vMerge w:val="restart"/>
          </w:tcPr>
          <w:p w:rsidR="0048700D" w:rsidRPr="000549DC" w:rsidRDefault="0048700D" w:rsidP="00CA6858">
            <w:pPr>
              <w:pStyle w:val="TableText1"/>
              <w:keepLines/>
              <w:widowControl w:val="0"/>
              <w:jc w:val="center"/>
            </w:pPr>
          </w:p>
        </w:tc>
      </w:tr>
      <w:tr w:rsidR="0048700D" w:rsidRPr="000549DC" w:rsidTr="001F7AC0">
        <w:tc>
          <w:tcPr>
            <w:tcW w:w="2518" w:type="dxa"/>
            <w:vMerge/>
          </w:tcPr>
          <w:p w:rsidR="0048700D" w:rsidRPr="000549DC" w:rsidRDefault="0048700D" w:rsidP="00CA6858">
            <w:pPr>
              <w:pStyle w:val="TableText1"/>
              <w:keepLines/>
              <w:widowControl w:val="0"/>
            </w:pPr>
          </w:p>
        </w:tc>
        <w:tc>
          <w:tcPr>
            <w:tcW w:w="1848" w:type="dxa"/>
            <w:vAlign w:val="center"/>
          </w:tcPr>
          <w:p w:rsidR="0048700D" w:rsidRPr="000549DC" w:rsidRDefault="0048700D" w:rsidP="00CA6858">
            <w:pPr>
              <w:pStyle w:val="TableText1"/>
              <w:keepLines/>
              <w:widowControl w:val="0"/>
            </w:pPr>
            <w:r w:rsidRPr="003F685D">
              <w:rPr>
                <w:szCs w:val="20"/>
              </w:rPr>
              <w:t xml:space="preserve">Median months </w:t>
            </w:r>
            <w:r>
              <w:rPr>
                <w:szCs w:val="20"/>
              </w:rPr>
              <w:t>O</w:t>
            </w:r>
            <w:r w:rsidRPr="003F685D">
              <w:rPr>
                <w:szCs w:val="20"/>
              </w:rPr>
              <w:t>S</w:t>
            </w:r>
          </w:p>
        </w:tc>
        <w:tc>
          <w:tcPr>
            <w:tcW w:w="1615" w:type="dxa"/>
            <w:vAlign w:val="center"/>
          </w:tcPr>
          <w:p w:rsidR="0048700D" w:rsidRPr="000549DC" w:rsidRDefault="0048700D" w:rsidP="00CA6858">
            <w:pPr>
              <w:pStyle w:val="TableText1"/>
              <w:keepLines/>
              <w:widowControl w:val="0"/>
              <w:jc w:val="center"/>
            </w:pPr>
            <w:r>
              <w:rPr>
                <w:bCs/>
                <w:szCs w:val="20"/>
              </w:rPr>
              <w:t>NE</w:t>
            </w:r>
          </w:p>
        </w:tc>
        <w:tc>
          <w:tcPr>
            <w:tcW w:w="1601" w:type="dxa"/>
            <w:gridSpan w:val="2"/>
            <w:vAlign w:val="center"/>
          </w:tcPr>
          <w:p w:rsidR="0048700D" w:rsidRPr="000549DC" w:rsidRDefault="0048700D" w:rsidP="00CA6858">
            <w:pPr>
              <w:pStyle w:val="TableText1"/>
              <w:keepLines/>
              <w:widowControl w:val="0"/>
              <w:jc w:val="center"/>
            </w:pPr>
            <w:r>
              <w:rPr>
                <w:bCs/>
                <w:szCs w:val="20"/>
              </w:rPr>
              <w:t>-</w:t>
            </w:r>
          </w:p>
        </w:tc>
        <w:tc>
          <w:tcPr>
            <w:tcW w:w="1701" w:type="dxa"/>
            <w:vMerge/>
          </w:tcPr>
          <w:p w:rsidR="0048700D" w:rsidRPr="000549DC" w:rsidRDefault="0048700D" w:rsidP="00CA6858">
            <w:pPr>
              <w:pStyle w:val="TableText1"/>
              <w:keepLines/>
              <w:widowControl w:val="0"/>
              <w:jc w:val="center"/>
            </w:pPr>
          </w:p>
        </w:tc>
      </w:tr>
      <w:tr w:rsidR="0048700D" w:rsidRPr="000549DC" w:rsidTr="001F7AC0">
        <w:tc>
          <w:tcPr>
            <w:tcW w:w="2518" w:type="dxa"/>
            <w:vMerge w:val="restart"/>
          </w:tcPr>
          <w:p w:rsidR="0048700D" w:rsidRDefault="0048700D" w:rsidP="00CA6858">
            <w:pPr>
              <w:pStyle w:val="TableText1"/>
              <w:keepLines/>
              <w:widowControl w:val="0"/>
            </w:pPr>
            <w:r>
              <w:t xml:space="preserve">ILLUMINATE: </w:t>
            </w:r>
            <w:proofErr w:type="spellStart"/>
            <w:r>
              <w:t>ibr+obi</w:t>
            </w:r>
            <w:proofErr w:type="spellEnd"/>
            <w:r>
              <w:t xml:space="preserve"> </w:t>
            </w:r>
          </w:p>
          <w:p w:rsidR="0048700D" w:rsidRPr="000549DC" w:rsidRDefault="0048700D" w:rsidP="00CA6858">
            <w:pPr>
              <w:pStyle w:val="TableText1"/>
              <w:keepLines/>
              <w:widowControl w:val="0"/>
            </w:pPr>
            <w:r>
              <w:t>(31.3 months median follow-up)</w:t>
            </w:r>
          </w:p>
        </w:tc>
        <w:tc>
          <w:tcPr>
            <w:tcW w:w="1848" w:type="dxa"/>
            <w:vAlign w:val="center"/>
          </w:tcPr>
          <w:p w:rsidR="0048700D" w:rsidRPr="000549DC" w:rsidRDefault="0048700D" w:rsidP="00CA6858">
            <w:pPr>
              <w:pStyle w:val="TableText1"/>
              <w:keepLines/>
              <w:widowControl w:val="0"/>
            </w:pPr>
            <w:r>
              <w:rPr>
                <w:szCs w:val="20"/>
              </w:rPr>
              <w:t>Dead</w:t>
            </w:r>
          </w:p>
        </w:tc>
        <w:tc>
          <w:tcPr>
            <w:tcW w:w="1615" w:type="dxa"/>
            <w:vAlign w:val="center"/>
          </w:tcPr>
          <w:p w:rsidR="0048700D" w:rsidRPr="000549DC" w:rsidRDefault="0048700D" w:rsidP="00CA6858">
            <w:pPr>
              <w:pStyle w:val="TableText1"/>
              <w:keepLines/>
              <w:widowControl w:val="0"/>
              <w:jc w:val="center"/>
            </w:pPr>
            <w:r>
              <w:rPr>
                <w:bCs/>
                <w:szCs w:val="20"/>
              </w:rPr>
              <w:t>-</w:t>
            </w:r>
          </w:p>
        </w:tc>
        <w:tc>
          <w:tcPr>
            <w:tcW w:w="1601" w:type="dxa"/>
            <w:gridSpan w:val="2"/>
            <w:vAlign w:val="center"/>
          </w:tcPr>
          <w:p w:rsidR="0048700D" w:rsidRPr="000549DC" w:rsidRDefault="007E3667" w:rsidP="00CA6858">
            <w:pPr>
              <w:pStyle w:val="TableText1"/>
              <w:keepLines/>
              <w:widowControl w:val="0"/>
              <w:jc w:val="center"/>
            </w:pPr>
            <w:r>
              <w:rPr>
                <w:bCs/>
                <w:noProof/>
                <w:color w:val="000000"/>
                <w:szCs w:val="20"/>
                <w:highlight w:val="black"/>
              </w:rPr>
              <w:t>''''''</w:t>
            </w:r>
            <w:r w:rsidR="0048700D">
              <w:rPr>
                <w:bCs/>
                <w:szCs w:val="20"/>
              </w:rPr>
              <w:t>/99 (</w:t>
            </w:r>
            <w:proofErr w:type="gramStart"/>
            <w:r>
              <w:rPr>
                <w:bCs/>
                <w:noProof/>
                <w:color w:val="000000"/>
                <w:szCs w:val="20"/>
                <w:highlight w:val="black"/>
              </w:rPr>
              <w:t>''''''''''</w:t>
            </w:r>
            <w:r w:rsidR="0048700D">
              <w:rPr>
                <w:bCs/>
                <w:szCs w:val="20"/>
              </w:rPr>
              <w:t>%</w:t>
            </w:r>
            <w:proofErr w:type="gramEnd"/>
            <w:r w:rsidR="0048700D">
              <w:rPr>
                <w:bCs/>
                <w:szCs w:val="20"/>
              </w:rPr>
              <w:t>)</w:t>
            </w:r>
          </w:p>
        </w:tc>
        <w:tc>
          <w:tcPr>
            <w:tcW w:w="1701" w:type="dxa"/>
            <w:vMerge/>
          </w:tcPr>
          <w:p w:rsidR="0048700D" w:rsidRPr="000549DC" w:rsidRDefault="0048700D" w:rsidP="00CA6858">
            <w:pPr>
              <w:pStyle w:val="TableText1"/>
              <w:keepLines/>
              <w:widowControl w:val="0"/>
              <w:jc w:val="center"/>
            </w:pPr>
          </w:p>
        </w:tc>
      </w:tr>
      <w:tr w:rsidR="0048700D" w:rsidRPr="000549DC" w:rsidTr="001F7AC0">
        <w:tc>
          <w:tcPr>
            <w:tcW w:w="2518" w:type="dxa"/>
            <w:vMerge/>
          </w:tcPr>
          <w:p w:rsidR="0048700D" w:rsidRPr="000549DC" w:rsidRDefault="0048700D" w:rsidP="00CA6858">
            <w:pPr>
              <w:pStyle w:val="TableText1"/>
              <w:keepLines/>
              <w:widowControl w:val="0"/>
            </w:pPr>
          </w:p>
        </w:tc>
        <w:tc>
          <w:tcPr>
            <w:tcW w:w="1848" w:type="dxa"/>
            <w:vAlign w:val="center"/>
          </w:tcPr>
          <w:p w:rsidR="0048700D" w:rsidRPr="000549DC" w:rsidRDefault="0048700D" w:rsidP="00CA6858">
            <w:pPr>
              <w:pStyle w:val="TableText1"/>
              <w:keepLines/>
              <w:widowControl w:val="0"/>
            </w:pPr>
            <w:r w:rsidRPr="003F685D">
              <w:rPr>
                <w:szCs w:val="20"/>
              </w:rPr>
              <w:t xml:space="preserve">Median months </w:t>
            </w:r>
            <w:r>
              <w:rPr>
                <w:szCs w:val="20"/>
              </w:rPr>
              <w:t>O</w:t>
            </w:r>
            <w:r w:rsidRPr="003F685D">
              <w:rPr>
                <w:szCs w:val="20"/>
              </w:rPr>
              <w:t>S</w:t>
            </w:r>
          </w:p>
        </w:tc>
        <w:tc>
          <w:tcPr>
            <w:tcW w:w="1615" w:type="dxa"/>
            <w:vAlign w:val="center"/>
          </w:tcPr>
          <w:p w:rsidR="0048700D" w:rsidRPr="000549DC" w:rsidRDefault="0048700D" w:rsidP="00CA6858">
            <w:pPr>
              <w:pStyle w:val="TableText1"/>
              <w:keepLines/>
              <w:widowControl w:val="0"/>
              <w:jc w:val="center"/>
            </w:pPr>
            <w:r>
              <w:rPr>
                <w:bCs/>
                <w:szCs w:val="20"/>
              </w:rPr>
              <w:t>-</w:t>
            </w:r>
          </w:p>
        </w:tc>
        <w:tc>
          <w:tcPr>
            <w:tcW w:w="1601" w:type="dxa"/>
            <w:gridSpan w:val="2"/>
            <w:vAlign w:val="center"/>
          </w:tcPr>
          <w:p w:rsidR="0048700D" w:rsidRPr="000549DC" w:rsidRDefault="0048700D" w:rsidP="00CA6858">
            <w:pPr>
              <w:pStyle w:val="TableText1"/>
              <w:keepLines/>
              <w:widowControl w:val="0"/>
              <w:jc w:val="center"/>
            </w:pPr>
            <w:r>
              <w:rPr>
                <w:bCs/>
                <w:szCs w:val="20"/>
              </w:rPr>
              <w:t>NE</w:t>
            </w:r>
          </w:p>
        </w:tc>
        <w:tc>
          <w:tcPr>
            <w:tcW w:w="1701" w:type="dxa"/>
            <w:vMerge/>
          </w:tcPr>
          <w:p w:rsidR="0048700D" w:rsidRPr="000549DC" w:rsidRDefault="0048700D" w:rsidP="00CA6858">
            <w:pPr>
              <w:pStyle w:val="TableText1"/>
              <w:keepLines/>
              <w:widowControl w:val="0"/>
              <w:jc w:val="center"/>
            </w:pPr>
          </w:p>
        </w:tc>
      </w:tr>
      <w:tr w:rsidR="0048700D" w:rsidRPr="000549DC" w:rsidTr="001F7AC0">
        <w:tc>
          <w:tcPr>
            <w:tcW w:w="7582" w:type="dxa"/>
            <w:gridSpan w:val="5"/>
            <w:vAlign w:val="center"/>
          </w:tcPr>
          <w:p w:rsidR="0048700D" w:rsidRPr="00EF5ACD" w:rsidRDefault="0048700D" w:rsidP="00CA6858">
            <w:pPr>
              <w:pStyle w:val="TableText1"/>
              <w:keepLines/>
              <w:widowControl w:val="0"/>
              <w:jc w:val="right"/>
              <w:rPr>
                <w:b/>
                <w:bCs/>
              </w:rPr>
            </w:pPr>
            <w:r>
              <w:rPr>
                <w:b/>
                <w:szCs w:val="20"/>
              </w:rPr>
              <w:t>Naïve single arm</w:t>
            </w:r>
            <w:r w:rsidRPr="003F685D">
              <w:rPr>
                <w:b/>
                <w:szCs w:val="20"/>
              </w:rPr>
              <w:t xml:space="preserve"> comparison </w:t>
            </w:r>
            <w:proofErr w:type="spellStart"/>
            <w:r w:rsidRPr="003F685D">
              <w:rPr>
                <w:b/>
                <w:szCs w:val="20"/>
              </w:rPr>
              <w:t>ibr</w:t>
            </w:r>
            <w:proofErr w:type="spellEnd"/>
            <w:r w:rsidRPr="003F685D">
              <w:rPr>
                <w:b/>
                <w:szCs w:val="20"/>
              </w:rPr>
              <w:t xml:space="preserve"> vs. </w:t>
            </w:r>
            <w:proofErr w:type="spellStart"/>
            <w:r>
              <w:rPr>
                <w:b/>
                <w:szCs w:val="20"/>
              </w:rPr>
              <w:t>ibr+obi</w:t>
            </w:r>
            <w:proofErr w:type="spellEnd"/>
          </w:p>
        </w:tc>
        <w:tc>
          <w:tcPr>
            <w:tcW w:w="1701" w:type="dxa"/>
            <w:vAlign w:val="center"/>
          </w:tcPr>
          <w:p w:rsidR="0048700D" w:rsidRPr="000549DC" w:rsidRDefault="007E3667" w:rsidP="00CA6858">
            <w:pPr>
              <w:pStyle w:val="TableText1"/>
              <w:keepLines/>
              <w:widowControl w:val="0"/>
              <w:jc w:val="center"/>
            </w:pPr>
            <w:r>
              <w:rPr>
                <w:noProof/>
                <w:color w:val="000000"/>
                <w:highlight w:val="black"/>
              </w:rPr>
              <w:t>''''''''''</w:t>
            </w:r>
            <w:r w:rsidR="0048700D">
              <w:t xml:space="preserve"> (</w:t>
            </w:r>
            <w:r>
              <w:rPr>
                <w:noProof/>
                <w:color w:val="000000"/>
                <w:highlight w:val="black"/>
              </w:rPr>
              <w:t>''''''''''</w:t>
            </w:r>
            <w:r w:rsidR="0048700D">
              <w:t xml:space="preserve">, </w:t>
            </w:r>
            <w:r>
              <w:rPr>
                <w:noProof/>
                <w:color w:val="000000"/>
                <w:highlight w:val="black"/>
              </w:rPr>
              <w:t>''''''''''</w:t>
            </w:r>
            <w:r w:rsidR="0048700D">
              <w:t>)</w:t>
            </w:r>
          </w:p>
        </w:tc>
      </w:tr>
      <w:tr w:rsidR="0048700D" w:rsidRPr="000549DC" w:rsidTr="001F7AC0">
        <w:tc>
          <w:tcPr>
            <w:tcW w:w="2518" w:type="dxa"/>
          </w:tcPr>
          <w:p w:rsidR="0048700D" w:rsidRPr="000549DC" w:rsidRDefault="0048700D" w:rsidP="00CA6858">
            <w:pPr>
              <w:pStyle w:val="TableText1"/>
              <w:keepLines/>
              <w:widowControl w:val="0"/>
            </w:pPr>
          </w:p>
        </w:tc>
        <w:tc>
          <w:tcPr>
            <w:tcW w:w="1848" w:type="dxa"/>
            <w:vAlign w:val="center"/>
          </w:tcPr>
          <w:p w:rsidR="0048700D" w:rsidRDefault="0048700D" w:rsidP="00CA6858">
            <w:pPr>
              <w:pStyle w:val="TableText1"/>
              <w:keepLines/>
              <w:widowControl w:val="0"/>
              <w:jc w:val="center"/>
              <w:rPr>
                <w:szCs w:val="20"/>
              </w:rPr>
            </w:pPr>
            <w:r w:rsidRPr="003F685D">
              <w:rPr>
                <w:b/>
                <w:szCs w:val="20"/>
              </w:rPr>
              <w:t>Outcome</w:t>
            </w:r>
          </w:p>
        </w:tc>
        <w:tc>
          <w:tcPr>
            <w:tcW w:w="1615" w:type="dxa"/>
            <w:vAlign w:val="center"/>
          </w:tcPr>
          <w:p w:rsidR="0048700D" w:rsidRDefault="0048700D" w:rsidP="00CA6858">
            <w:pPr>
              <w:pStyle w:val="TableText1"/>
              <w:keepLines/>
              <w:widowControl w:val="0"/>
              <w:jc w:val="center"/>
              <w:rPr>
                <w:b/>
                <w:iCs/>
                <w:szCs w:val="20"/>
              </w:rPr>
            </w:pPr>
            <w:proofErr w:type="spellStart"/>
            <w:r w:rsidRPr="003F685D">
              <w:rPr>
                <w:b/>
                <w:iCs/>
                <w:szCs w:val="20"/>
              </w:rPr>
              <w:t>Ibr</w:t>
            </w:r>
            <w:proofErr w:type="spellEnd"/>
            <w:r w:rsidRPr="003F685D">
              <w:rPr>
                <w:b/>
                <w:iCs/>
                <w:szCs w:val="20"/>
              </w:rPr>
              <w:t xml:space="preserve"> </w:t>
            </w:r>
          </w:p>
          <w:p w:rsidR="0048700D" w:rsidRDefault="0048700D" w:rsidP="00CA6858">
            <w:pPr>
              <w:pStyle w:val="TableText1"/>
              <w:keepLines/>
              <w:widowControl w:val="0"/>
              <w:jc w:val="center"/>
            </w:pPr>
            <w:proofErr w:type="gramStart"/>
            <w:r w:rsidRPr="003F685D">
              <w:rPr>
                <w:b/>
                <w:iCs/>
                <w:szCs w:val="20"/>
              </w:rPr>
              <w:t>n/N</w:t>
            </w:r>
            <w:proofErr w:type="gramEnd"/>
            <w:r w:rsidRPr="003F685D">
              <w:rPr>
                <w:b/>
                <w:iCs/>
                <w:szCs w:val="20"/>
              </w:rPr>
              <w:t xml:space="preserve"> (%)</w:t>
            </w:r>
          </w:p>
        </w:tc>
        <w:tc>
          <w:tcPr>
            <w:tcW w:w="1601" w:type="dxa"/>
            <w:gridSpan w:val="2"/>
            <w:vAlign w:val="center"/>
          </w:tcPr>
          <w:p w:rsidR="0048700D" w:rsidRDefault="0048700D" w:rsidP="00CA6858">
            <w:pPr>
              <w:pStyle w:val="TableText1"/>
              <w:keepLines/>
              <w:widowControl w:val="0"/>
              <w:jc w:val="center"/>
              <w:rPr>
                <w:b/>
                <w:szCs w:val="20"/>
              </w:rPr>
            </w:pPr>
            <w:proofErr w:type="spellStart"/>
            <w:r>
              <w:rPr>
                <w:b/>
                <w:szCs w:val="20"/>
              </w:rPr>
              <w:t>Ibr+ritux</w:t>
            </w:r>
            <w:proofErr w:type="spellEnd"/>
            <w:r w:rsidRPr="003F685D">
              <w:rPr>
                <w:b/>
                <w:szCs w:val="20"/>
              </w:rPr>
              <w:t xml:space="preserve"> </w:t>
            </w:r>
          </w:p>
          <w:p w:rsidR="0048700D" w:rsidRDefault="0048700D" w:rsidP="00CA6858">
            <w:pPr>
              <w:pStyle w:val="TableText1"/>
              <w:keepLines/>
              <w:widowControl w:val="0"/>
              <w:jc w:val="center"/>
            </w:pPr>
            <w:proofErr w:type="gramStart"/>
            <w:r w:rsidRPr="003F685D">
              <w:rPr>
                <w:b/>
                <w:szCs w:val="20"/>
              </w:rPr>
              <w:t>n/N</w:t>
            </w:r>
            <w:proofErr w:type="gramEnd"/>
            <w:r w:rsidRPr="003F685D">
              <w:rPr>
                <w:b/>
                <w:szCs w:val="20"/>
              </w:rPr>
              <w:t xml:space="preserve"> (%)</w:t>
            </w:r>
          </w:p>
        </w:tc>
        <w:tc>
          <w:tcPr>
            <w:tcW w:w="1701" w:type="dxa"/>
            <w:vAlign w:val="center"/>
          </w:tcPr>
          <w:p w:rsidR="0048700D" w:rsidRPr="000549DC" w:rsidRDefault="0048700D" w:rsidP="00CA6858">
            <w:pPr>
              <w:pStyle w:val="TableText1"/>
              <w:keepLines/>
              <w:widowControl w:val="0"/>
              <w:jc w:val="center"/>
            </w:pPr>
            <w:r w:rsidRPr="003F685D">
              <w:rPr>
                <w:b/>
                <w:szCs w:val="20"/>
              </w:rPr>
              <w:t>HR (95% CI)</w:t>
            </w:r>
          </w:p>
        </w:tc>
      </w:tr>
      <w:tr w:rsidR="00212DE9" w:rsidRPr="00EC27C4" w:rsidTr="003721E8">
        <w:tc>
          <w:tcPr>
            <w:tcW w:w="9283" w:type="dxa"/>
            <w:gridSpan w:val="6"/>
          </w:tcPr>
          <w:p w:rsidR="00212DE9" w:rsidRPr="00EC27C4" w:rsidRDefault="00212DE9" w:rsidP="003721E8">
            <w:pPr>
              <w:pStyle w:val="TableText1"/>
              <w:keepLines/>
              <w:widowControl w:val="0"/>
              <w:rPr>
                <w:b/>
                <w:bCs/>
              </w:rPr>
            </w:pPr>
            <w:r w:rsidRPr="0071676D">
              <w:rPr>
                <w:b/>
                <w:bCs/>
              </w:rPr>
              <w:t>del17p subgroup from ALLIANCE</w:t>
            </w:r>
            <w:r>
              <w:rPr>
                <w:b/>
                <w:bCs/>
              </w:rPr>
              <w:t xml:space="preserve"> (direct comparison </w:t>
            </w:r>
            <w:proofErr w:type="spellStart"/>
            <w:r>
              <w:rPr>
                <w:b/>
                <w:bCs/>
              </w:rPr>
              <w:t>ibr</w:t>
            </w:r>
            <w:proofErr w:type="spellEnd"/>
            <w:r>
              <w:rPr>
                <w:b/>
                <w:bCs/>
              </w:rPr>
              <w:t xml:space="preserve"> vs. </w:t>
            </w:r>
            <w:proofErr w:type="spellStart"/>
            <w:r>
              <w:rPr>
                <w:b/>
                <w:bCs/>
              </w:rPr>
              <w:t>ibr+ritux</w:t>
            </w:r>
            <w:proofErr w:type="spellEnd"/>
            <w:r>
              <w:rPr>
                <w:b/>
                <w:bCs/>
              </w:rPr>
              <w:t>) - PFS</w:t>
            </w:r>
          </w:p>
        </w:tc>
      </w:tr>
      <w:tr w:rsidR="0048700D" w:rsidRPr="000549DC" w:rsidTr="001F7AC0">
        <w:tc>
          <w:tcPr>
            <w:tcW w:w="2518" w:type="dxa"/>
            <w:vMerge w:val="restart"/>
          </w:tcPr>
          <w:p w:rsidR="0048700D" w:rsidRDefault="0048700D" w:rsidP="00CA6858">
            <w:pPr>
              <w:pStyle w:val="TableText1"/>
              <w:keepLines/>
              <w:widowControl w:val="0"/>
            </w:pPr>
            <w:r>
              <w:t>ALLIANCE:</w:t>
            </w:r>
          </w:p>
          <w:p w:rsidR="0048700D" w:rsidRPr="000549DC" w:rsidRDefault="0048700D" w:rsidP="00CA6858">
            <w:pPr>
              <w:pStyle w:val="TableText1"/>
              <w:keepLines/>
              <w:widowControl w:val="0"/>
            </w:pPr>
            <w:r>
              <w:t>(38 months median follow-up)</w:t>
            </w:r>
          </w:p>
        </w:tc>
        <w:tc>
          <w:tcPr>
            <w:tcW w:w="1848" w:type="dxa"/>
            <w:vAlign w:val="center"/>
          </w:tcPr>
          <w:p w:rsidR="0048700D" w:rsidRPr="000549DC" w:rsidRDefault="0048700D" w:rsidP="00CA6858">
            <w:pPr>
              <w:pStyle w:val="TableText1"/>
              <w:keepLines/>
              <w:widowControl w:val="0"/>
            </w:pPr>
            <w:r>
              <w:rPr>
                <w:szCs w:val="20"/>
              </w:rPr>
              <w:t>Events</w:t>
            </w:r>
          </w:p>
        </w:tc>
        <w:tc>
          <w:tcPr>
            <w:tcW w:w="1615" w:type="dxa"/>
            <w:vAlign w:val="center"/>
          </w:tcPr>
          <w:p w:rsidR="0048700D" w:rsidRPr="000549DC" w:rsidRDefault="0048700D" w:rsidP="00CA6858">
            <w:pPr>
              <w:pStyle w:val="TableText1"/>
              <w:keepLines/>
              <w:widowControl w:val="0"/>
              <w:jc w:val="center"/>
            </w:pPr>
            <w:r>
              <w:t>2/9 (22.2%)</w:t>
            </w:r>
          </w:p>
        </w:tc>
        <w:tc>
          <w:tcPr>
            <w:tcW w:w="1601" w:type="dxa"/>
            <w:gridSpan w:val="2"/>
            <w:vAlign w:val="center"/>
          </w:tcPr>
          <w:p w:rsidR="0048700D" w:rsidRPr="000549DC" w:rsidRDefault="0048700D" w:rsidP="00CA6858">
            <w:pPr>
              <w:pStyle w:val="TableText1"/>
              <w:keepLines/>
              <w:widowControl w:val="0"/>
              <w:jc w:val="center"/>
            </w:pPr>
            <w:r>
              <w:t>3/11 (27.3%)</w:t>
            </w:r>
          </w:p>
        </w:tc>
        <w:tc>
          <w:tcPr>
            <w:tcW w:w="1701" w:type="dxa"/>
            <w:vAlign w:val="center"/>
          </w:tcPr>
          <w:p w:rsidR="0048700D" w:rsidRPr="000549DC" w:rsidRDefault="0048700D" w:rsidP="00CA6858">
            <w:pPr>
              <w:pStyle w:val="TableText1"/>
              <w:keepLines/>
              <w:widowControl w:val="0"/>
              <w:jc w:val="center"/>
            </w:pPr>
          </w:p>
        </w:tc>
      </w:tr>
      <w:tr w:rsidR="0048700D" w:rsidRPr="000549DC" w:rsidTr="001F7AC0">
        <w:tc>
          <w:tcPr>
            <w:tcW w:w="2518" w:type="dxa"/>
            <w:vMerge/>
          </w:tcPr>
          <w:p w:rsidR="0048700D" w:rsidRPr="000549DC" w:rsidRDefault="0048700D" w:rsidP="00CA6858">
            <w:pPr>
              <w:pStyle w:val="TableText1"/>
              <w:keepLines/>
              <w:widowControl w:val="0"/>
            </w:pPr>
          </w:p>
        </w:tc>
        <w:tc>
          <w:tcPr>
            <w:tcW w:w="1848" w:type="dxa"/>
            <w:vAlign w:val="center"/>
          </w:tcPr>
          <w:p w:rsidR="0048700D" w:rsidRPr="000549DC" w:rsidRDefault="0048700D" w:rsidP="00CA6858">
            <w:pPr>
              <w:pStyle w:val="TableText1"/>
              <w:keepLines/>
              <w:widowControl w:val="0"/>
            </w:pPr>
            <w:r w:rsidRPr="003F685D">
              <w:rPr>
                <w:szCs w:val="20"/>
              </w:rPr>
              <w:t>Median months PFS</w:t>
            </w:r>
          </w:p>
        </w:tc>
        <w:tc>
          <w:tcPr>
            <w:tcW w:w="1615" w:type="dxa"/>
            <w:vAlign w:val="center"/>
          </w:tcPr>
          <w:p w:rsidR="0048700D" w:rsidRPr="000549DC" w:rsidRDefault="0048700D" w:rsidP="00CA6858">
            <w:pPr>
              <w:pStyle w:val="TableText1"/>
              <w:keepLines/>
              <w:widowControl w:val="0"/>
              <w:jc w:val="center"/>
            </w:pPr>
            <w:r>
              <w:t>NE</w:t>
            </w:r>
          </w:p>
        </w:tc>
        <w:tc>
          <w:tcPr>
            <w:tcW w:w="1601" w:type="dxa"/>
            <w:gridSpan w:val="2"/>
            <w:vAlign w:val="center"/>
          </w:tcPr>
          <w:p w:rsidR="0048700D" w:rsidRPr="000549DC" w:rsidRDefault="0048700D" w:rsidP="00CA6858">
            <w:pPr>
              <w:pStyle w:val="TableText1"/>
              <w:keepLines/>
              <w:widowControl w:val="0"/>
              <w:jc w:val="center"/>
            </w:pPr>
            <w:r>
              <w:t>NE</w:t>
            </w:r>
          </w:p>
        </w:tc>
        <w:tc>
          <w:tcPr>
            <w:tcW w:w="1701" w:type="dxa"/>
            <w:vAlign w:val="center"/>
          </w:tcPr>
          <w:p w:rsidR="0048700D" w:rsidRPr="000549DC" w:rsidRDefault="0048700D" w:rsidP="00CA6858">
            <w:pPr>
              <w:pStyle w:val="TableText1"/>
              <w:keepLines/>
              <w:widowControl w:val="0"/>
              <w:jc w:val="center"/>
            </w:pPr>
            <w:r>
              <w:t>not reported</w:t>
            </w:r>
          </w:p>
        </w:tc>
      </w:tr>
      <w:tr w:rsidR="0048700D" w:rsidRPr="00EC27C4" w:rsidTr="001F7AC0">
        <w:tc>
          <w:tcPr>
            <w:tcW w:w="9283" w:type="dxa"/>
            <w:gridSpan w:val="6"/>
          </w:tcPr>
          <w:p w:rsidR="0048700D" w:rsidRPr="00EC27C4" w:rsidRDefault="0048700D" w:rsidP="00CA6858">
            <w:pPr>
              <w:pStyle w:val="TableText1"/>
              <w:keepLines/>
              <w:widowControl w:val="0"/>
              <w:rPr>
                <w:b/>
                <w:bCs/>
              </w:rPr>
            </w:pPr>
            <w:r w:rsidRPr="0071676D">
              <w:rPr>
                <w:b/>
                <w:bCs/>
              </w:rPr>
              <w:t>ITT population from ALLIANCE</w:t>
            </w:r>
            <w:r>
              <w:rPr>
                <w:b/>
                <w:bCs/>
              </w:rPr>
              <w:t xml:space="preserve"> (direct comparison </w:t>
            </w:r>
            <w:proofErr w:type="spellStart"/>
            <w:r>
              <w:rPr>
                <w:b/>
                <w:bCs/>
              </w:rPr>
              <w:t>ibr</w:t>
            </w:r>
            <w:proofErr w:type="spellEnd"/>
            <w:r>
              <w:rPr>
                <w:b/>
                <w:bCs/>
              </w:rPr>
              <w:t xml:space="preserve"> vs. </w:t>
            </w:r>
            <w:proofErr w:type="spellStart"/>
            <w:r>
              <w:rPr>
                <w:b/>
                <w:bCs/>
              </w:rPr>
              <w:t>ibr+ritux</w:t>
            </w:r>
            <w:proofErr w:type="spellEnd"/>
            <w:r>
              <w:rPr>
                <w:b/>
                <w:bCs/>
              </w:rPr>
              <w:t>) - PFS</w:t>
            </w:r>
          </w:p>
        </w:tc>
      </w:tr>
      <w:tr w:rsidR="0048700D" w:rsidRPr="000549DC" w:rsidTr="001F7AC0">
        <w:tc>
          <w:tcPr>
            <w:tcW w:w="2518" w:type="dxa"/>
            <w:vMerge w:val="restart"/>
          </w:tcPr>
          <w:p w:rsidR="0048700D" w:rsidRDefault="0048700D" w:rsidP="00CA6858">
            <w:pPr>
              <w:pStyle w:val="TableText1"/>
              <w:keepLines/>
              <w:widowControl w:val="0"/>
            </w:pPr>
            <w:r>
              <w:t>ALLIANCE:</w:t>
            </w:r>
          </w:p>
          <w:p w:rsidR="0048700D" w:rsidRPr="000549DC" w:rsidRDefault="0048700D" w:rsidP="00CA6858">
            <w:pPr>
              <w:pStyle w:val="TableText1"/>
              <w:keepLines/>
              <w:widowControl w:val="0"/>
            </w:pPr>
            <w:r>
              <w:t>(38 months median follow-up)</w:t>
            </w:r>
          </w:p>
        </w:tc>
        <w:tc>
          <w:tcPr>
            <w:tcW w:w="1848" w:type="dxa"/>
            <w:vAlign w:val="center"/>
          </w:tcPr>
          <w:p w:rsidR="0048700D" w:rsidRPr="000549DC" w:rsidRDefault="0048700D" w:rsidP="00CA6858">
            <w:pPr>
              <w:pStyle w:val="TableText1"/>
              <w:keepLines/>
              <w:widowControl w:val="0"/>
            </w:pPr>
            <w:r>
              <w:rPr>
                <w:szCs w:val="20"/>
              </w:rPr>
              <w:t>Events</w:t>
            </w:r>
          </w:p>
        </w:tc>
        <w:tc>
          <w:tcPr>
            <w:tcW w:w="1615" w:type="dxa"/>
            <w:vAlign w:val="center"/>
          </w:tcPr>
          <w:p w:rsidR="0048700D" w:rsidRPr="000549DC" w:rsidRDefault="0048700D" w:rsidP="00CA6858">
            <w:pPr>
              <w:pStyle w:val="TableText1"/>
              <w:keepLines/>
              <w:widowControl w:val="0"/>
              <w:jc w:val="center"/>
            </w:pPr>
            <w:r>
              <w:t>34/178 (19.1%)</w:t>
            </w:r>
          </w:p>
        </w:tc>
        <w:tc>
          <w:tcPr>
            <w:tcW w:w="1601" w:type="dxa"/>
            <w:gridSpan w:val="2"/>
            <w:vAlign w:val="center"/>
          </w:tcPr>
          <w:p w:rsidR="0048700D" w:rsidRPr="000549DC" w:rsidRDefault="0048700D" w:rsidP="00CA6858">
            <w:pPr>
              <w:pStyle w:val="TableText1"/>
              <w:keepLines/>
              <w:widowControl w:val="0"/>
              <w:jc w:val="center"/>
            </w:pPr>
            <w:r>
              <w:t>32/170 (18.8%)</w:t>
            </w:r>
          </w:p>
        </w:tc>
        <w:tc>
          <w:tcPr>
            <w:tcW w:w="1701" w:type="dxa"/>
            <w:vAlign w:val="center"/>
          </w:tcPr>
          <w:p w:rsidR="0048700D" w:rsidRPr="000549DC" w:rsidRDefault="0048700D" w:rsidP="00CA6858">
            <w:pPr>
              <w:pStyle w:val="TableText1"/>
              <w:keepLines/>
              <w:widowControl w:val="0"/>
              <w:jc w:val="center"/>
            </w:pPr>
          </w:p>
        </w:tc>
      </w:tr>
      <w:tr w:rsidR="0048700D" w:rsidRPr="000549DC" w:rsidTr="001F7AC0">
        <w:tc>
          <w:tcPr>
            <w:tcW w:w="2518" w:type="dxa"/>
            <w:vMerge/>
          </w:tcPr>
          <w:p w:rsidR="0048700D" w:rsidRPr="000549DC" w:rsidRDefault="0048700D" w:rsidP="00CA6858">
            <w:pPr>
              <w:pStyle w:val="TableText1"/>
              <w:keepLines/>
              <w:widowControl w:val="0"/>
            </w:pPr>
          </w:p>
        </w:tc>
        <w:tc>
          <w:tcPr>
            <w:tcW w:w="1848" w:type="dxa"/>
            <w:vAlign w:val="center"/>
          </w:tcPr>
          <w:p w:rsidR="0048700D" w:rsidRPr="000549DC" w:rsidRDefault="0048700D" w:rsidP="00CA6858">
            <w:pPr>
              <w:pStyle w:val="TableText1"/>
              <w:keepLines/>
              <w:widowControl w:val="0"/>
            </w:pPr>
            <w:r w:rsidRPr="003F685D">
              <w:rPr>
                <w:szCs w:val="20"/>
              </w:rPr>
              <w:t>Median months PFS</w:t>
            </w:r>
          </w:p>
        </w:tc>
        <w:tc>
          <w:tcPr>
            <w:tcW w:w="1615" w:type="dxa"/>
            <w:vAlign w:val="center"/>
          </w:tcPr>
          <w:p w:rsidR="0048700D" w:rsidRPr="000549DC" w:rsidRDefault="0048700D" w:rsidP="00CA6858">
            <w:pPr>
              <w:pStyle w:val="TableText1"/>
              <w:keepLines/>
              <w:widowControl w:val="0"/>
              <w:jc w:val="center"/>
            </w:pPr>
            <w:r>
              <w:t>NE</w:t>
            </w:r>
          </w:p>
        </w:tc>
        <w:tc>
          <w:tcPr>
            <w:tcW w:w="1601" w:type="dxa"/>
            <w:gridSpan w:val="2"/>
            <w:vAlign w:val="center"/>
          </w:tcPr>
          <w:p w:rsidR="0048700D" w:rsidRPr="000549DC" w:rsidRDefault="0048700D" w:rsidP="00CA6858">
            <w:pPr>
              <w:pStyle w:val="TableText1"/>
              <w:keepLines/>
              <w:widowControl w:val="0"/>
              <w:jc w:val="center"/>
            </w:pPr>
            <w:r>
              <w:t>NE</w:t>
            </w:r>
          </w:p>
        </w:tc>
        <w:tc>
          <w:tcPr>
            <w:tcW w:w="1701" w:type="dxa"/>
            <w:vAlign w:val="center"/>
          </w:tcPr>
          <w:p w:rsidR="0048700D" w:rsidRPr="000549DC" w:rsidRDefault="0048700D" w:rsidP="00CA6858">
            <w:pPr>
              <w:pStyle w:val="TableText1"/>
              <w:keepLines/>
              <w:widowControl w:val="0"/>
              <w:jc w:val="center"/>
            </w:pPr>
            <w:r>
              <w:t>1.00 (0.62, 1.62)</w:t>
            </w:r>
          </w:p>
        </w:tc>
      </w:tr>
      <w:tr w:rsidR="0048700D" w:rsidRPr="00EC27C4" w:rsidTr="001F7AC0">
        <w:tc>
          <w:tcPr>
            <w:tcW w:w="9283" w:type="dxa"/>
            <w:gridSpan w:val="6"/>
          </w:tcPr>
          <w:p w:rsidR="0048700D" w:rsidRPr="00EC27C4" w:rsidRDefault="0048700D" w:rsidP="00CA6858">
            <w:pPr>
              <w:pStyle w:val="TableText1"/>
              <w:keepLines/>
              <w:widowControl w:val="0"/>
              <w:rPr>
                <w:b/>
                <w:bCs/>
              </w:rPr>
            </w:pPr>
            <w:r w:rsidRPr="0071676D">
              <w:rPr>
                <w:b/>
                <w:bCs/>
              </w:rPr>
              <w:t>ITT population from ALLIANCE</w:t>
            </w:r>
            <w:r>
              <w:rPr>
                <w:b/>
                <w:bCs/>
              </w:rPr>
              <w:t xml:space="preserve"> (direct comparison </w:t>
            </w:r>
            <w:proofErr w:type="spellStart"/>
            <w:r>
              <w:rPr>
                <w:b/>
                <w:bCs/>
              </w:rPr>
              <w:t>ibr</w:t>
            </w:r>
            <w:proofErr w:type="spellEnd"/>
            <w:r>
              <w:rPr>
                <w:b/>
                <w:bCs/>
              </w:rPr>
              <w:t xml:space="preserve"> vs. </w:t>
            </w:r>
            <w:proofErr w:type="spellStart"/>
            <w:r>
              <w:rPr>
                <w:b/>
                <w:bCs/>
              </w:rPr>
              <w:t>ibr+ritux</w:t>
            </w:r>
            <w:proofErr w:type="spellEnd"/>
            <w:r>
              <w:rPr>
                <w:b/>
                <w:bCs/>
              </w:rPr>
              <w:t>) - OS</w:t>
            </w:r>
          </w:p>
        </w:tc>
      </w:tr>
      <w:tr w:rsidR="0048700D" w:rsidRPr="000549DC" w:rsidTr="001F7AC0">
        <w:tc>
          <w:tcPr>
            <w:tcW w:w="2518" w:type="dxa"/>
            <w:vMerge w:val="restart"/>
          </w:tcPr>
          <w:p w:rsidR="0048700D" w:rsidRDefault="0048700D" w:rsidP="00CA6858">
            <w:pPr>
              <w:pStyle w:val="TableText1"/>
              <w:keepLines/>
              <w:widowControl w:val="0"/>
            </w:pPr>
            <w:r>
              <w:t>ALLIANCE:</w:t>
            </w:r>
          </w:p>
          <w:p w:rsidR="0048700D" w:rsidRPr="000549DC" w:rsidRDefault="0048700D" w:rsidP="00CA6858">
            <w:pPr>
              <w:pStyle w:val="TableText1"/>
              <w:keepLines/>
              <w:widowControl w:val="0"/>
            </w:pPr>
            <w:r>
              <w:t>(38 months median follow-up)</w:t>
            </w:r>
          </w:p>
        </w:tc>
        <w:tc>
          <w:tcPr>
            <w:tcW w:w="1848" w:type="dxa"/>
            <w:vAlign w:val="center"/>
          </w:tcPr>
          <w:p w:rsidR="0048700D" w:rsidRPr="000549DC" w:rsidRDefault="0048700D" w:rsidP="00CA6858">
            <w:pPr>
              <w:pStyle w:val="TableText1"/>
              <w:keepLines/>
              <w:widowControl w:val="0"/>
            </w:pPr>
            <w:r>
              <w:rPr>
                <w:szCs w:val="20"/>
              </w:rPr>
              <w:t>Dead</w:t>
            </w:r>
          </w:p>
        </w:tc>
        <w:tc>
          <w:tcPr>
            <w:tcW w:w="1615" w:type="dxa"/>
            <w:vAlign w:val="center"/>
          </w:tcPr>
          <w:p w:rsidR="0048700D" w:rsidRPr="000549DC" w:rsidRDefault="0048700D" w:rsidP="00CA6858">
            <w:pPr>
              <w:pStyle w:val="TableText1"/>
              <w:keepLines/>
              <w:widowControl w:val="0"/>
              <w:jc w:val="center"/>
            </w:pPr>
            <w:r>
              <w:rPr>
                <w:rFonts w:eastAsia="Times New Roman" w:cs="Times New Roman"/>
                <w:szCs w:val="20"/>
              </w:rPr>
              <w:t>24/182 (13.2%)</w:t>
            </w:r>
          </w:p>
        </w:tc>
        <w:tc>
          <w:tcPr>
            <w:tcW w:w="1601" w:type="dxa"/>
            <w:gridSpan w:val="2"/>
            <w:vAlign w:val="center"/>
          </w:tcPr>
          <w:p w:rsidR="0048700D" w:rsidRPr="000549DC" w:rsidRDefault="0048700D" w:rsidP="00CA6858">
            <w:pPr>
              <w:pStyle w:val="TableText1"/>
              <w:keepLines/>
              <w:widowControl w:val="0"/>
              <w:jc w:val="center"/>
            </w:pPr>
            <w:r>
              <w:rPr>
                <w:rFonts w:eastAsia="Times New Roman" w:cs="Times New Roman"/>
                <w:szCs w:val="20"/>
              </w:rPr>
              <w:t>22/182 (12.1%)</w:t>
            </w:r>
          </w:p>
        </w:tc>
        <w:tc>
          <w:tcPr>
            <w:tcW w:w="1701" w:type="dxa"/>
            <w:vAlign w:val="center"/>
          </w:tcPr>
          <w:p w:rsidR="0048700D" w:rsidRPr="000549DC" w:rsidRDefault="0048700D" w:rsidP="00CA6858">
            <w:pPr>
              <w:pStyle w:val="TableText1"/>
              <w:keepLines/>
              <w:widowControl w:val="0"/>
              <w:jc w:val="center"/>
            </w:pPr>
          </w:p>
        </w:tc>
      </w:tr>
      <w:tr w:rsidR="0048700D" w:rsidRPr="000549DC" w:rsidTr="001F7AC0">
        <w:tc>
          <w:tcPr>
            <w:tcW w:w="2518" w:type="dxa"/>
            <w:vMerge/>
          </w:tcPr>
          <w:p w:rsidR="0048700D" w:rsidRPr="000549DC" w:rsidRDefault="0048700D" w:rsidP="00CA6858">
            <w:pPr>
              <w:pStyle w:val="TableText1"/>
              <w:keepLines/>
              <w:widowControl w:val="0"/>
            </w:pPr>
          </w:p>
        </w:tc>
        <w:tc>
          <w:tcPr>
            <w:tcW w:w="1848" w:type="dxa"/>
            <w:vAlign w:val="center"/>
          </w:tcPr>
          <w:p w:rsidR="0048700D" w:rsidRPr="000549DC" w:rsidRDefault="0048700D" w:rsidP="00CA6858">
            <w:pPr>
              <w:pStyle w:val="TableText1"/>
              <w:keepLines/>
              <w:widowControl w:val="0"/>
            </w:pPr>
            <w:r w:rsidRPr="003F685D">
              <w:rPr>
                <w:szCs w:val="20"/>
              </w:rPr>
              <w:t xml:space="preserve">Median months </w:t>
            </w:r>
            <w:r>
              <w:rPr>
                <w:szCs w:val="20"/>
              </w:rPr>
              <w:t>O</w:t>
            </w:r>
            <w:r w:rsidRPr="003F685D">
              <w:rPr>
                <w:szCs w:val="20"/>
              </w:rPr>
              <w:t>S</w:t>
            </w:r>
          </w:p>
        </w:tc>
        <w:tc>
          <w:tcPr>
            <w:tcW w:w="1615" w:type="dxa"/>
            <w:vAlign w:val="center"/>
          </w:tcPr>
          <w:p w:rsidR="0048700D" w:rsidRPr="000549DC" w:rsidRDefault="0048700D" w:rsidP="00CA6858">
            <w:pPr>
              <w:pStyle w:val="TableText1"/>
              <w:keepLines/>
              <w:widowControl w:val="0"/>
              <w:jc w:val="center"/>
            </w:pPr>
            <w:r>
              <w:rPr>
                <w:rFonts w:eastAsia="Times New Roman" w:cs="Times New Roman"/>
                <w:szCs w:val="20"/>
              </w:rPr>
              <w:t>NE</w:t>
            </w:r>
          </w:p>
        </w:tc>
        <w:tc>
          <w:tcPr>
            <w:tcW w:w="1601" w:type="dxa"/>
            <w:gridSpan w:val="2"/>
            <w:vAlign w:val="center"/>
          </w:tcPr>
          <w:p w:rsidR="0048700D" w:rsidRPr="000549DC" w:rsidRDefault="0048700D" w:rsidP="00CA6858">
            <w:pPr>
              <w:pStyle w:val="TableText1"/>
              <w:keepLines/>
              <w:widowControl w:val="0"/>
              <w:jc w:val="center"/>
            </w:pPr>
            <w:r>
              <w:rPr>
                <w:rFonts w:eastAsia="Times New Roman" w:cs="Times New Roman"/>
                <w:szCs w:val="20"/>
              </w:rPr>
              <w:t>NE</w:t>
            </w:r>
          </w:p>
        </w:tc>
        <w:tc>
          <w:tcPr>
            <w:tcW w:w="1701" w:type="dxa"/>
            <w:vAlign w:val="center"/>
          </w:tcPr>
          <w:p w:rsidR="0048700D" w:rsidRPr="000549DC" w:rsidRDefault="00FC3E87" w:rsidP="00CA6858">
            <w:pPr>
              <w:pStyle w:val="TableText1"/>
              <w:keepLines/>
              <w:widowControl w:val="0"/>
              <w:jc w:val="center"/>
            </w:pPr>
            <w:r>
              <w:rPr>
                <w:rFonts w:eastAsia="Times New Roman" w:cs="Times New Roman"/>
                <w:bCs/>
                <w:szCs w:val="20"/>
              </w:rPr>
              <w:t>n</w:t>
            </w:r>
            <w:r w:rsidR="0048700D" w:rsidRPr="003E1E5F">
              <w:rPr>
                <w:rFonts w:eastAsia="Times New Roman" w:cs="Times New Roman"/>
                <w:bCs/>
                <w:szCs w:val="20"/>
              </w:rPr>
              <w:t xml:space="preserve">ot </w:t>
            </w:r>
            <w:proofErr w:type="spellStart"/>
            <w:r w:rsidR="0048700D" w:rsidRPr="003E1E5F">
              <w:rPr>
                <w:rFonts w:eastAsia="Times New Roman" w:cs="Times New Roman"/>
                <w:bCs/>
                <w:szCs w:val="20"/>
              </w:rPr>
              <w:t>reported</w:t>
            </w:r>
            <w:r w:rsidR="0048700D">
              <w:rPr>
                <w:rFonts w:eastAsia="Times New Roman" w:cs="Times New Roman"/>
                <w:bCs/>
                <w:szCs w:val="20"/>
                <w:vertAlign w:val="superscript"/>
              </w:rPr>
              <w:t>a</w:t>
            </w:r>
            <w:proofErr w:type="spellEnd"/>
          </w:p>
        </w:tc>
      </w:tr>
    </w:tbl>
    <w:p w:rsidR="0048700D" w:rsidRPr="00EB5599" w:rsidRDefault="0048700D" w:rsidP="00CA6858">
      <w:pPr>
        <w:pStyle w:val="TableFooter"/>
        <w:keepNext/>
        <w:keepLines/>
        <w:tabs>
          <w:tab w:val="left" w:pos="142"/>
        </w:tabs>
        <w:ind w:left="142" w:hanging="142"/>
      </w:pPr>
      <w:proofErr w:type="gramStart"/>
      <w:r>
        <w:rPr>
          <w:vertAlign w:val="superscript"/>
        </w:rPr>
        <w:t>a</w:t>
      </w:r>
      <w:proofErr w:type="gramEnd"/>
      <w:r w:rsidRPr="00442E5D">
        <w:tab/>
        <w:t xml:space="preserve">The </w:t>
      </w:r>
      <w:r>
        <w:t xml:space="preserve">resubmission stated there was no significant difference in OS between </w:t>
      </w:r>
      <w:proofErr w:type="spellStart"/>
      <w:r>
        <w:t>ibrutinib</w:t>
      </w:r>
      <w:proofErr w:type="spellEnd"/>
      <w:r>
        <w:t xml:space="preserve"> monotherapy and </w:t>
      </w:r>
      <w:proofErr w:type="spellStart"/>
      <w:r>
        <w:t>ibr+ritux</w:t>
      </w:r>
      <w:proofErr w:type="spellEnd"/>
      <w:r>
        <w:t xml:space="preserve"> and cited a p value of &gt;0.65</w:t>
      </w:r>
      <w:r w:rsidRPr="00442E5D">
        <w:rPr>
          <w:i/>
          <w:iCs/>
        </w:rPr>
        <w:t xml:space="preserve">.  </w:t>
      </w:r>
      <w:r w:rsidRPr="00EB5599">
        <w:rPr>
          <w:iCs/>
        </w:rPr>
        <w:t xml:space="preserve">However this p value was based on a comparison between the three groups in the ALLIANCE trial: </w:t>
      </w:r>
      <w:proofErr w:type="spellStart"/>
      <w:r w:rsidRPr="00EB5599">
        <w:rPr>
          <w:iCs/>
        </w:rPr>
        <w:t>ibr</w:t>
      </w:r>
      <w:proofErr w:type="spellEnd"/>
      <w:r w:rsidRPr="00EB5599">
        <w:rPr>
          <w:iCs/>
        </w:rPr>
        <w:t xml:space="preserve">; </w:t>
      </w:r>
      <w:proofErr w:type="spellStart"/>
      <w:r w:rsidRPr="00EB5599">
        <w:rPr>
          <w:iCs/>
        </w:rPr>
        <w:t>ibr+ritux</w:t>
      </w:r>
      <w:proofErr w:type="spellEnd"/>
      <w:r w:rsidRPr="00EB5599">
        <w:rPr>
          <w:iCs/>
        </w:rPr>
        <w:t xml:space="preserve">; and </w:t>
      </w:r>
      <w:proofErr w:type="spellStart"/>
      <w:r w:rsidRPr="00EB5599">
        <w:rPr>
          <w:iCs/>
        </w:rPr>
        <w:t>benda+ritux</w:t>
      </w:r>
      <w:proofErr w:type="spellEnd"/>
      <w:r w:rsidRPr="00EB5599">
        <w:rPr>
          <w:iCs/>
        </w:rPr>
        <w:t>.</w:t>
      </w:r>
    </w:p>
    <w:p w:rsidR="0048700D" w:rsidRPr="00EB5599" w:rsidRDefault="0048700D" w:rsidP="00CA6858">
      <w:pPr>
        <w:pStyle w:val="TableFooter"/>
        <w:keepNext/>
        <w:keepLines/>
      </w:pPr>
      <w:proofErr w:type="spellStart"/>
      <w:proofErr w:type="gramStart"/>
      <w:r w:rsidRPr="00EB5599">
        <w:t>chl</w:t>
      </w:r>
      <w:proofErr w:type="spellEnd"/>
      <w:r w:rsidRPr="00EB5599">
        <w:t>=</w:t>
      </w:r>
      <w:proofErr w:type="spellStart"/>
      <w:proofErr w:type="gramEnd"/>
      <w:r w:rsidRPr="00EB5599">
        <w:t>chlorambucil</w:t>
      </w:r>
      <w:proofErr w:type="spellEnd"/>
      <w:r w:rsidRPr="00EB5599">
        <w:t xml:space="preserve">; </w:t>
      </w:r>
      <w:proofErr w:type="spellStart"/>
      <w:r w:rsidRPr="00EB5599">
        <w:t>ibr</w:t>
      </w:r>
      <w:proofErr w:type="spellEnd"/>
      <w:r w:rsidRPr="00EB5599">
        <w:t>=</w:t>
      </w:r>
      <w:proofErr w:type="spellStart"/>
      <w:r w:rsidRPr="00EB5599">
        <w:t>ibrutinib</w:t>
      </w:r>
      <w:proofErr w:type="spellEnd"/>
      <w:r w:rsidRPr="00EB5599">
        <w:t>; IRC=independent review committee; NE=not estimable; obi=obinutuzumab; OS=overall survival; PFS=progression-free survival;.</w:t>
      </w:r>
    </w:p>
    <w:p w:rsidR="00D22457" w:rsidRDefault="0048700D" w:rsidP="00CA6858">
      <w:pPr>
        <w:pStyle w:val="TableFooter"/>
        <w:keepNext/>
        <w:keepLines/>
      </w:pPr>
      <w:r w:rsidRPr="000F2872">
        <w:t>Source:</w:t>
      </w:r>
      <w:r>
        <w:t xml:space="preserve"> Section 2.6.1, p123-124; Section 2.6.2, p127-128; Table 2.6.5, p31 of Section 2.14.1.1; Section 2.14.1.1, p31; Table 2.66, p34 of Section 2.14.1.1; Table 2.67, p35 of Section 2.14.1.1; Table 2.68, p38 of Section 2.14.1.2 of the resubmission.</w:t>
      </w:r>
    </w:p>
    <w:p w:rsidR="00D22457" w:rsidRDefault="00D22457" w:rsidP="00D22457"/>
    <w:p w:rsidR="008B615F" w:rsidRPr="008B615F" w:rsidRDefault="008B615F" w:rsidP="00B2597F">
      <w:pPr>
        <w:pStyle w:val="ListParagraph"/>
        <w:numPr>
          <w:ilvl w:val="1"/>
          <w:numId w:val="1"/>
        </w:numPr>
      </w:pPr>
      <w:r>
        <w:lastRenderedPageBreak/>
        <w:t>Based on the comparisons presented above, the resubmission concluded that the addition of obinutuzumab or rituximab to ibrutinib did not provide incremental PFS or OS benefit compared to ibrutinib monotherapy, for both patients with and without del17p</w:t>
      </w:r>
      <w:r w:rsidRPr="00B35FB3">
        <w:rPr>
          <w:i/>
          <w:iCs/>
        </w:rPr>
        <w:t xml:space="preserve">.  </w:t>
      </w:r>
    </w:p>
    <w:p w:rsidR="005650A8" w:rsidRPr="00A100C2" w:rsidRDefault="00C57CFB" w:rsidP="00B2597F">
      <w:pPr>
        <w:pStyle w:val="ListParagraph"/>
        <w:numPr>
          <w:ilvl w:val="1"/>
          <w:numId w:val="1"/>
        </w:numPr>
        <w:rPr>
          <w:iCs/>
        </w:rPr>
      </w:pPr>
      <w:r>
        <w:rPr>
          <w:iCs/>
        </w:rPr>
        <w:t>T</w:t>
      </w:r>
      <w:r w:rsidR="00E6446E" w:rsidRPr="00EB5599">
        <w:rPr>
          <w:iCs/>
        </w:rPr>
        <w:t xml:space="preserve">he comparisons presented by the resubmission showed no statistically significant difference between ibrutinib monotherapy and </w:t>
      </w:r>
      <w:r w:rsidR="00E6446E" w:rsidRPr="00C57CFB">
        <w:rPr>
          <w:iCs/>
        </w:rPr>
        <w:t>combination therapy</w:t>
      </w:r>
      <w:r w:rsidR="00296723" w:rsidRPr="00EB5599">
        <w:rPr>
          <w:iCs/>
        </w:rPr>
        <w:t xml:space="preserve"> (</w:t>
      </w:r>
      <w:r w:rsidR="00296723" w:rsidRPr="00B51A32">
        <w:rPr>
          <w:iCs/>
        </w:rPr>
        <w:t>see Table 7</w:t>
      </w:r>
      <w:r w:rsidR="00A8766A" w:rsidRPr="00B51A32">
        <w:rPr>
          <w:iCs/>
        </w:rPr>
        <w:t xml:space="preserve"> above</w:t>
      </w:r>
      <w:r w:rsidR="00A8766A" w:rsidRPr="00EB5599">
        <w:rPr>
          <w:iCs/>
        </w:rPr>
        <w:t>)</w:t>
      </w:r>
      <w:r w:rsidRPr="00C57CFB">
        <w:rPr>
          <w:iCs/>
        </w:rPr>
        <w:t xml:space="preserve">. However, for </w:t>
      </w:r>
      <w:proofErr w:type="spellStart"/>
      <w:r w:rsidRPr="00C57CFB">
        <w:rPr>
          <w:iCs/>
        </w:rPr>
        <w:t>ibrutinib</w:t>
      </w:r>
      <w:proofErr w:type="spellEnd"/>
      <w:r w:rsidRPr="00C57CFB">
        <w:rPr>
          <w:iCs/>
        </w:rPr>
        <w:t xml:space="preserve"> monotherapy and </w:t>
      </w:r>
      <w:proofErr w:type="spellStart"/>
      <w:r w:rsidRPr="00C57CFB">
        <w:rPr>
          <w:iCs/>
        </w:rPr>
        <w:t>ibr+obi</w:t>
      </w:r>
      <w:proofErr w:type="spellEnd"/>
      <w:r w:rsidR="00F26B2D">
        <w:rPr>
          <w:iCs/>
        </w:rPr>
        <w:t>,</w:t>
      </w:r>
      <w:r w:rsidR="00E6446E" w:rsidRPr="00EB5599">
        <w:rPr>
          <w:iCs/>
        </w:rPr>
        <w:t xml:space="preserve"> naïve comparisons </w:t>
      </w:r>
      <w:r w:rsidRPr="00C57CFB">
        <w:rPr>
          <w:iCs/>
        </w:rPr>
        <w:t xml:space="preserve">were used which </w:t>
      </w:r>
      <w:r w:rsidR="00AA3E71">
        <w:rPr>
          <w:iCs/>
        </w:rPr>
        <w:t xml:space="preserve">were </w:t>
      </w:r>
      <w:r w:rsidR="00E6446E" w:rsidRPr="00EB5599">
        <w:rPr>
          <w:iCs/>
        </w:rPr>
        <w:t xml:space="preserve">limited by heterogeneity </w:t>
      </w:r>
      <w:r w:rsidR="00AA3E71">
        <w:rPr>
          <w:iCs/>
        </w:rPr>
        <w:t>across the</w:t>
      </w:r>
      <w:r w:rsidR="00E6446E" w:rsidRPr="00EB5599">
        <w:rPr>
          <w:iCs/>
        </w:rPr>
        <w:t xml:space="preserve"> single arms from different trials</w:t>
      </w:r>
      <w:r w:rsidR="004E4D50" w:rsidRPr="00EB5599">
        <w:rPr>
          <w:iCs/>
        </w:rPr>
        <w:t xml:space="preserve">. </w:t>
      </w:r>
      <w:r w:rsidR="004E4D50" w:rsidRPr="00F26B2D">
        <w:rPr>
          <w:iCs/>
        </w:rPr>
        <w:t>In addition</w:t>
      </w:r>
      <w:r w:rsidR="00E6446E" w:rsidRPr="00F26B2D">
        <w:rPr>
          <w:iCs/>
        </w:rPr>
        <w:t>,</w:t>
      </w:r>
      <w:r w:rsidR="00F26B2D">
        <w:rPr>
          <w:iCs/>
        </w:rPr>
        <w:t xml:space="preserve"> </w:t>
      </w:r>
      <w:r w:rsidR="004E4D50" w:rsidRPr="00F26B2D">
        <w:rPr>
          <w:iCs/>
        </w:rPr>
        <w:t xml:space="preserve">the comparisons were </w:t>
      </w:r>
      <w:r w:rsidR="00E6446E" w:rsidRPr="00F26B2D">
        <w:rPr>
          <w:iCs/>
        </w:rPr>
        <w:t>limited by</w:t>
      </w:r>
      <w:r w:rsidR="004E4D50" w:rsidRPr="00F26B2D">
        <w:rPr>
          <w:iCs/>
        </w:rPr>
        <w:t xml:space="preserve"> the</w:t>
      </w:r>
      <w:r w:rsidR="00E6446E" w:rsidRPr="00F26B2D">
        <w:rPr>
          <w:iCs/>
        </w:rPr>
        <w:t xml:space="preserve"> small sample size of the </w:t>
      </w:r>
      <w:r w:rsidR="00B51A32" w:rsidRPr="00F26B2D">
        <w:rPr>
          <w:iCs/>
        </w:rPr>
        <w:t xml:space="preserve">del17p </w:t>
      </w:r>
      <w:r w:rsidR="00E6446E" w:rsidRPr="00F26B2D">
        <w:rPr>
          <w:iCs/>
        </w:rPr>
        <w:t>subgroup</w:t>
      </w:r>
      <w:r w:rsidR="00E6446E" w:rsidRPr="00A100C2">
        <w:rPr>
          <w:iCs/>
        </w:rPr>
        <w:t>.</w:t>
      </w:r>
      <w:r w:rsidR="001868F3" w:rsidRPr="00A100C2">
        <w:rPr>
          <w:iCs/>
        </w:rPr>
        <w:t xml:space="preserve"> </w:t>
      </w:r>
      <w:r w:rsidR="00F26B2D" w:rsidRPr="00A100C2">
        <w:rPr>
          <w:iCs/>
        </w:rPr>
        <w:t xml:space="preserve"> </w:t>
      </w:r>
    </w:p>
    <w:p w:rsidR="00F26B2D" w:rsidRPr="00E773B1" w:rsidRDefault="00F26B2D" w:rsidP="00B2597F">
      <w:pPr>
        <w:pStyle w:val="ListParagraph"/>
        <w:numPr>
          <w:ilvl w:val="1"/>
          <w:numId w:val="1"/>
        </w:numPr>
        <w:rPr>
          <w:iCs/>
        </w:rPr>
      </w:pPr>
      <w:r w:rsidRPr="00E773B1">
        <w:rPr>
          <w:iCs/>
        </w:rPr>
        <w:t xml:space="preserve">The </w:t>
      </w:r>
      <w:r w:rsidR="005B04D4" w:rsidRPr="00E773B1">
        <w:rPr>
          <w:iCs/>
        </w:rPr>
        <w:t xml:space="preserve">PSCR </w:t>
      </w:r>
      <w:r w:rsidRPr="00E773B1">
        <w:rPr>
          <w:iCs/>
        </w:rPr>
        <w:t xml:space="preserve"> stated that in the absence of direct head to head evidence comparing </w:t>
      </w:r>
      <w:proofErr w:type="spellStart"/>
      <w:r w:rsidRPr="00E773B1">
        <w:rPr>
          <w:iCs/>
        </w:rPr>
        <w:t>ibrutinib</w:t>
      </w:r>
      <w:proofErr w:type="spellEnd"/>
      <w:r w:rsidR="00183E99" w:rsidRPr="00E773B1">
        <w:rPr>
          <w:iCs/>
        </w:rPr>
        <w:t xml:space="preserve"> monotherapy with</w:t>
      </w:r>
      <w:r w:rsidRPr="00E773B1">
        <w:rPr>
          <w:iCs/>
        </w:rPr>
        <w:t xml:space="preserve"> </w:t>
      </w:r>
      <w:proofErr w:type="spellStart"/>
      <w:r w:rsidRPr="00E773B1">
        <w:rPr>
          <w:iCs/>
        </w:rPr>
        <w:t>obi+chl</w:t>
      </w:r>
      <w:proofErr w:type="spellEnd"/>
      <w:r w:rsidRPr="00E773B1">
        <w:rPr>
          <w:iCs/>
        </w:rPr>
        <w:t xml:space="preserve"> or evidence enabling an indirect treatment comparison using a common comparator, the sponsor presented all available evidence using the most appropriate methodology, consistent with the PBAC guidelines. The </w:t>
      </w:r>
      <w:r w:rsidR="00906E74" w:rsidRPr="00E773B1">
        <w:rPr>
          <w:iCs/>
        </w:rPr>
        <w:t>PSCR stated</w:t>
      </w:r>
      <w:r w:rsidRPr="00E773B1">
        <w:rPr>
          <w:iCs/>
        </w:rPr>
        <w:t xml:space="preserve"> that the studies used to conduct the single arm comparisons were assessed for confounding and risk of bias and the assessment showed that all studies were conducted in very similar patient populations, with no significant treatment modifying differences. </w:t>
      </w:r>
      <w:r w:rsidR="005650A8" w:rsidRPr="00E773B1">
        <w:rPr>
          <w:iCs/>
        </w:rPr>
        <w:t xml:space="preserve">In addition, the </w:t>
      </w:r>
      <w:r w:rsidR="00906E74" w:rsidRPr="00E773B1">
        <w:rPr>
          <w:iCs/>
        </w:rPr>
        <w:t>PSCR highlighted</w:t>
      </w:r>
      <w:r w:rsidR="005650A8" w:rsidRPr="00E773B1">
        <w:rPr>
          <w:iCs/>
        </w:rPr>
        <w:t xml:space="preserve"> </w:t>
      </w:r>
      <w:r w:rsidRPr="00E773B1">
        <w:rPr>
          <w:iCs/>
        </w:rPr>
        <w:t xml:space="preserve">the high unmet need </w:t>
      </w:r>
      <w:r w:rsidR="005650A8" w:rsidRPr="00E773B1">
        <w:rPr>
          <w:iCs/>
        </w:rPr>
        <w:t xml:space="preserve">for effective treatment options </w:t>
      </w:r>
      <w:r w:rsidRPr="00E773B1">
        <w:rPr>
          <w:iCs/>
        </w:rPr>
        <w:t>in the del17p population</w:t>
      </w:r>
      <w:r w:rsidR="005650A8" w:rsidRPr="00E773B1">
        <w:rPr>
          <w:iCs/>
        </w:rPr>
        <w:t xml:space="preserve"> and argued</w:t>
      </w:r>
      <w:r w:rsidRPr="00E773B1">
        <w:rPr>
          <w:iCs/>
        </w:rPr>
        <w:t xml:space="preserve"> that further evidence generation in this population for the comparison presented is unlikely</w:t>
      </w:r>
      <w:r w:rsidR="00BD6D1A" w:rsidRPr="00E773B1">
        <w:rPr>
          <w:iCs/>
        </w:rPr>
        <w:t>.</w:t>
      </w:r>
    </w:p>
    <w:p w:rsidR="00B60939" w:rsidRPr="00C9624D" w:rsidRDefault="00B60939" w:rsidP="00C9624D">
      <w:pPr>
        <w:pStyle w:val="Heading2"/>
      </w:pPr>
      <w:bookmarkStart w:id="11" w:name="_Toc19716429"/>
      <w:r w:rsidRPr="00C9624D">
        <w:t>Comparative harms</w:t>
      </w:r>
      <w:bookmarkEnd w:id="11"/>
    </w:p>
    <w:p w:rsidR="00E1464F" w:rsidRPr="00882085" w:rsidRDefault="00E1464F" w:rsidP="00E1464F"/>
    <w:p w:rsidR="00B7216A" w:rsidRDefault="00ED537F" w:rsidP="00B2597F">
      <w:pPr>
        <w:pStyle w:val="ListParagraph"/>
        <w:numPr>
          <w:ilvl w:val="1"/>
          <w:numId w:val="1"/>
        </w:numPr>
      </w:pPr>
      <w:r>
        <w:t xml:space="preserve">The resubmission </w:t>
      </w:r>
      <w:r w:rsidR="00212DE9">
        <w:t>presented</w:t>
      </w:r>
      <w:r>
        <w:t xml:space="preserve"> the harms in the ILLUMINATE trial, comparing </w:t>
      </w:r>
      <w:proofErr w:type="spellStart"/>
      <w:r>
        <w:t>ibr+obi</w:t>
      </w:r>
      <w:proofErr w:type="spellEnd"/>
      <w:r>
        <w:t xml:space="preserve"> and </w:t>
      </w:r>
      <w:proofErr w:type="spellStart"/>
      <w:r>
        <w:t>obi+chl</w:t>
      </w:r>
      <w:proofErr w:type="spellEnd"/>
      <w:r w:rsidR="00B7216A">
        <w:t>, for the ITT population</w:t>
      </w:r>
      <w:r>
        <w:t>.</w:t>
      </w:r>
      <w:r w:rsidR="0010192A">
        <w:t xml:space="preserve">  </w:t>
      </w:r>
      <w:r w:rsidR="00B7216A">
        <w:t xml:space="preserve">The results were presented </w:t>
      </w:r>
      <w:r w:rsidR="00212DE9">
        <w:t>for</w:t>
      </w:r>
      <w:r w:rsidR="00B7216A">
        <w:t xml:space="preserve"> the first 9 months of treatment (to account for active treatment in both arms given </w:t>
      </w:r>
      <w:proofErr w:type="spellStart"/>
      <w:r w:rsidR="00B7216A">
        <w:t>obi+chl</w:t>
      </w:r>
      <w:proofErr w:type="spellEnd"/>
      <w:r w:rsidR="00B7216A">
        <w:t xml:space="preserve"> were only delivered for 6 cycles) and for the entire trial period. Table 8 provides a summary of these results. </w:t>
      </w:r>
    </w:p>
    <w:p w:rsidR="00317C85" w:rsidRDefault="00317C85" w:rsidP="00296723">
      <w:pPr>
        <w:keepNext/>
        <w:keepLines/>
      </w:pPr>
      <w:r w:rsidRPr="00401364">
        <w:rPr>
          <w:rFonts w:ascii="Arial Narrow" w:hAnsi="Arial Narrow"/>
          <w:b/>
          <w:sz w:val="20"/>
          <w:szCs w:val="20"/>
        </w:rPr>
        <w:lastRenderedPageBreak/>
        <w:t xml:space="preserve">Table </w:t>
      </w:r>
      <w:r w:rsidR="00BD4B83">
        <w:rPr>
          <w:rFonts w:ascii="Arial Narrow" w:hAnsi="Arial Narrow"/>
          <w:b/>
          <w:noProof/>
          <w:sz w:val="20"/>
          <w:szCs w:val="20"/>
        </w:rPr>
        <w:t>8</w:t>
      </w:r>
      <w:r w:rsidRPr="005D26B4">
        <w:rPr>
          <w:rStyle w:val="CommentReference"/>
        </w:rPr>
        <w:t xml:space="preserve">:  Summary of </w:t>
      </w:r>
      <w:r>
        <w:rPr>
          <w:rStyle w:val="CommentReference"/>
        </w:rPr>
        <w:t xml:space="preserve">safety outcomes </w:t>
      </w:r>
      <w:r w:rsidR="009C6A43">
        <w:rPr>
          <w:rStyle w:val="CommentReference"/>
        </w:rPr>
        <w:t xml:space="preserve">for the </w:t>
      </w:r>
      <w:r>
        <w:rPr>
          <w:rStyle w:val="CommentReference"/>
        </w:rPr>
        <w:t>ILLUMINATE</w:t>
      </w:r>
      <w:r w:rsidR="009C6A43">
        <w:rPr>
          <w:rStyle w:val="CommentReference"/>
        </w:rPr>
        <w:t xml:space="preserve"> </w:t>
      </w:r>
      <w:r w:rsidR="004D28C0">
        <w:rPr>
          <w:rStyle w:val="CommentReference"/>
        </w:rPr>
        <w:t>trial</w:t>
      </w:r>
    </w:p>
    <w:tbl>
      <w:tblPr>
        <w:tblStyle w:val="TableGrid"/>
        <w:tblW w:w="9067" w:type="dxa"/>
        <w:tblLook w:val="04A0" w:firstRow="1" w:lastRow="0" w:firstColumn="1" w:lastColumn="0" w:noHBand="0" w:noVBand="1"/>
        <w:tblCaption w:val="Table 8:  Summary of safety outcomes for the ILLUMINATE trial"/>
      </w:tblPr>
      <w:tblGrid>
        <w:gridCol w:w="2909"/>
        <w:gridCol w:w="6158"/>
      </w:tblGrid>
      <w:tr w:rsidR="007D3F1D" w:rsidRPr="004A012C" w:rsidTr="00906E74">
        <w:trPr>
          <w:tblHeader/>
        </w:trPr>
        <w:tc>
          <w:tcPr>
            <w:tcW w:w="2909" w:type="dxa"/>
            <w:vAlign w:val="center"/>
          </w:tcPr>
          <w:p w:rsidR="004A012C" w:rsidRPr="004A012C" w:rsidRDefault="004A012C" w:rsidP="00296723">
            <w:pPr>
              <w:pStyle w:val="TableText1"/>
              <w:keepLines/>
              <w:tabs>
                <w:tab w:val="left" w:pos="142"/>
              </w:tabs>
              <w:rPr>
                <w:b/>
                <w:bCs/>
              </w:rPr>
            </w:pPr>
            <w:r>
              <w:rPr>
                <w:b/>
                <w:bCs/>
              </w:rPr>
              <w:t>Comparison</w:t>
            </w:r>
          </w:p>
        </w:tc>
        <w:tc>
          <w:tcPr>
            <w:tcW w:w="6158" w:type="dxa"/>
            <w:vAlign w:val="center"/>
          </w:tcPr>
          <w:p w:rsidR="004A012C" w:rsidRPr="004A012C" w:rsidRDefault="005E3711" w:rsidP="00296723">
            <w:pPr>
              <w:pStyle w:val="TableText1"/>
              <w:keepLines/>
              <w:jc w:val="center"/>
              <w:rPr>
                <w:b/>
                <w:bCs/>
              </w:rPr>
            </w:pPr>
            <w:r>
              <w:rPr>
                <w:b/>
                <w:bCs/>
              </w:rPr>
              <w:t xml:space="preserve">Summary of </w:t>
            </w:r>
            <w:r w:rsidR="004A012C">
              <w:rPr>
                <w:b/>
                <w:bCs/>
              </w:rPr>
              <w:t>AE results</w:t>
            </w:r>
          </w:p>
        </w:tc>
      </w:tr>
      <w:tr w:rsidR="007D3F1D" w:rsidTr="00D5560C">
        <w:tc>
          <w:tcPr>
            <w:tcW w:w="9067" w:type="dxa"/>
            <w:gridSpan w:val="2"/>
            <w:vAlign w:val="center"/>
          </w:tcPr>
          <w:p w:rsidR="004A012C" w:rsidRPr="00497556" w:rsidRDefault="00E565D7" w:rsidP="00296723">
            <w:pPr>
              <w:keepNext/>
              <w:keepLines/>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Comparison</w:t>
            </w:r>
            <w:r w:rsidR="005E3711" w:rsidRPr="005E3711">
              <w:rPr>
                <w:rFonts w:ascii="Arial Narrow" w:eastAsiaTheme="minorHAnsi" w:hAnsi="Arial Narrow" w:cstheme="minorBidi"/>
                <w:sz w:val="20"/>
                <w:szCs w:val="22"/>
                <w:lang w:eastAsia="en-US"/>
              </w:rPr>
              <w:t xml:space="preserve"> of </w:t>
            </w:r>
            <w:proofErr w:type="spellStart"/>
            <w:r w:rsidR="005E3711" w:rsidRPr="005E3711">
              <w:rPr>
                <w:rFonts w:ascii="Arial Narrow" w:eastAsiaTheme="minorHAnsi" w:hAnsi="Arial Narrow" w:cstheme="minorBidi"/>
                <w:sz w:val="20"/>
                <w:szCs w:val="22"/>
                <w:lang w:eastAsia="en-US"/>
              </w:rPr>
              <w:t>ibr+obi</w:t>
            </w:r>
            <w:proofErr w:type="spellEnd"/>
            <w:r w:rsidR="005E3711" w:rsidRPr="005E3711">
              <w:rPr>
                <w:rFonts w:ascii="Arial Narrow" w:eastAsiaTheme="minorHAnsi" w:hAnsi="Arial Narrow" w:cstheme="minorBidi"/>
                <w:sz w:val="20"/>
                <w:szCs w:val="22"/>
                <w:lang w:eastAsia="en-US"/>
              </w:rPr>
              <w:t xml:space="preserve"> compared to </w:t>
            </w:r>
            <w:proofErr w:type="spellStart"/>
            <w:r w:rsidR="005E3711" w:rsidRPr="005E3711">
              <w:rPr>
                <w:rFonts w:ascii="Arial Narrow" w:eastAsiaTheme="minorHAnsi" w:hAnsi="Arial Narrow" w:cstheme="minorBidi"/>
                <w:sz w:val="20"/>
                <w:szCs w:val="22"/>
                <w:lang w:eastAsia="en-US"/>
              </w:rPr>
              <w:t>obi+chl</w:t>
            </w:r>
            <w:proofErr w:type="spellEnd"/>
            <w:r w:rsidR="005E3711" w:rsidRPr="005E3711" w:rsidDel="004E4D50">
              <w:rPr>
                <w:rFonts w:ascii="Arial Narrow" w:eastAsiaTheme="minorHAnsi" w:hAnsi="Arial Narrow" w:cstheme="minorBidi"/>
                <w:sz w:val="20"/>
                <w:szCs w:val="22"/>
                <w:lang w:eastAsia="en-US"/>
              </w:rPr>
              <w:t xml:space="preserve"> </w:t>
            </w:r>
          </w:p>
        </w:tc>
      </w:tr>
      <w:tr w:rsidR="007D3F1D" w:rsidTr="00D5560C">
        <w:tc>
          <w:tcPr>
            <w:tcW w:w="2909" w:type="dxa"/>
            <w:vAlign w:val="center"/>
          </w:tcPr>
          <w:p w:rsidR="004A012C" w:rsidRDefault="00660834" w:rsidP="00296723">
            <w:pPr>
              <w:pStyle w:val="TableText1"/>
              <w:keepLines/>
              <w:tabs>
                <w:tab w:val="left" w:pos="142"/>
              </w:tabs>
            </w:pPr>
            <w:r>
              <w:tab/>
              <w:t>First 9 months of treatment</w:t>
            </w:r>
          </w:p>
          <w:p w:rsidR="00B7216A" w:rsidRDefault="00916482" w:rsidP="00B7216A">
            <w:pPr>
              <w:pStyle w:val="TableText1"/>
              <w:keepLines/>
              <w:tabs>
                <w:tab w:val="left" w:pos="142"/>
              </w:tabs>
            </w:pPr>
            <w:r>
              <w:t xml:space="preserve"> </w:t>
            </w:r>
            <w:r w:rsidR="00B7216A">
              <w:t>(ILLUMINATE)</w:t>
            </w:r>
          </w:p>
        </w:tc>
        <w:tc>
          <w:tcPr>
            <w:tcW w:w="6158" w:type="dxa"/>
            <w:vAlign w:val="center"/>
          </w:tcPr>
          <w:p w:rsidR="004A012C" w:rsidRDefault="001F7AC0" w:rsidP="006B5455">
            <w:pPr>
              <w:pStyle w:val="TableText1"/>
              <w:keepLines/>
            </w:pPr>
            <w:proofErr w:type="spellStart"/>
            <w:r>
              <w:t>Significantly</w:t>
            </w:r>
            <w:r w:rsidR="00D5560C" w:rsidRPr="00D5560C">
              <w:rPr>
                <w:vertAlign w:val="superscript"/>
              </w:rPr>
              <w:t>a</w:t>
            </w:r>
            <w:proofErr w:type="spellEnd"/>
            <w:r w:rsidR="00C94AAA">
              <w:t xml:space="preserve"> fewer obi-related Grade ≥3 AEs in patients treated with </w:t>
            </w:r>
            <w:proofErr w:type="spellStart"/>
            <w:r w:rsidR="00C94AAA">
              <w:t>ibr+obi</w:t>
            </w:r>
            <w:proofErr w:type="spellEnd"/>
            <w:r w:rsidR="00C94AAA">
              <w:t xml:space="preserve"> (</w:t>
            </w:r>
            <w:proofErr w:type="gramStart"/>
            <w:r w:rsidR="007E3667">
              <w:rPr>
                <w:noProof/>
                <w:color w:val="000000"/>
                <w:highlight w:val="black"/>
              </w:rPr>
              <w:t>''''''''''</w:t>
            </w:r>
            <w:r w:rsidR="00C94AAA">
              <w:t>%</w:t>
            </w:r>
            <w:proofErr w:type="gramEnd"/>
            <w:r w:rsidR="00C94AAA">
              <w:t xml:space="preserve">) compared to </w:t>
            </w:r>
            <w:proofErr w:type="spellStart"/>
            <w:r>
              <w:t>obi+chl-treated</w:t>
            </w:r>
            <w:proofErr w:type="spellEnd"/>
            <w:r>
              <w:t xml:space="preserve"> patients (</w:t>
            </w:r>
            <w:r w:rsidR="007E3667">
              <w:rPr>
                <w:noProof/>
                <w:color w:val="000000"/>
                <w:highlight w:val="black"/>
              </w:rPr>
              <w:t>''''''''''</w:t>
            </w:r>
            <w:r>
              <w:t>%)</w:t>
            </w:r>
            <w:r w:rsidR="00C94AAA">
              <w:t xml:space="preserve"> </w:t>
            </w:r>
            <w:r>
              <w:t>(RD=</w:t>
            </w:r>
            <w:r w:rsidR="007E3667">
              <w:rPr>
                <w:noProof/>
                <w:color w:val="000000"/>
                <w:highlight w:val="black"/>
              </w:rPr>
              <w:t>'''''''''''''</w:t>
            </w:r>
            <w:r>
              <w:t xml:space="preserve">; 95% CI: </w:t>
            </w:r>
            <w:r w:rsidR="007E3667">
              <w:rPr>
                <w:noProof/>
                <w:color w:val="000000"/>
                <w:highlight w:val="black"/>
              </w:rPr>
              <w:t>'''''''''''</w:t>
            </w:r>
            <w:r>
              <w:t xml:space="preserve">, </w:t>
            </w:r>
            <w:r w:rsidR="007E3667">
              <w:rPr>
                <w:noProof/>
                <w:color w:val="000000"/>
                <w:highlight w:val="black"/>
              </w:rPr>
              <w:t>'''''''''''''</w:t>
            </w:r>
            <w:r>
              <w:t>)</w:t>
            </w:r>
            <w:r w:rsidR="00D5560C">
              <w:t xml:space="preserve"> and any obi-related AEs (RD=</w:t>
            </w:r>
            <w:r w:rsidR="007E3667">
              <w:rPr>
                <w:noProof/>
                <w:color w:val="000000"/>
                <w:highlight w:val="black"/>
              </w:rPr>
              <w:t>'''''''''''</w:t>
            </w:r>
            <w:r w:rsidR="00D5560C">
              <w:t xml:space="preserve">; 95% CI: </w:t>
            </w:r>
            <w:r w:rsidR="007E3667">
              <w:rPr>
                <w:noProof/>
                <w:color w:val="000000"/>
                <w:highlight w:val="black"/>
              </w:rPr>
              <w:t>'''''''''''</w:t>
            </w:r>
            <w:r w:rsidR="00D5560C">
              <w:t xml:space="preserve">, </w:t>
            </w:r>
            <w:r w:rsidR="007E3667">
              <w:rPr>
                <w:noProof/>
                <w:color w:val="000000"/>
                <w:highlight w:val="black"/>
              </w:rPr>
              <w:t>'''''''''''</w:t>
            </w:r>
            <w:r w:rsidR="00D5560C">
              <w:t>)</w:t>
            </w:r>
            <w:r>
              <w:t>.</w:t>
            </w:r>
            <w:r w:rsidR="00D5560C">
              <w:t xml:space="preserve">  Also s</w:t>
            </w:r>
            <w:r>
              <w:t xml:space="preserve">ignificantly </w:t>
            </w:r>
            <w:r w:rsidR="006B5455">
              <w:t xml:space="preserve">fewer AE leading to obi infusion interruption in patients treated with </w:t>
            </w:r>
            <w:proofErr w:type="spellStart"/>
            <w:r w:rsidR="006B5455">
              <w:t>ibr+obi</w:t>
            </w:r>
            <w:proofErr w:type="spellEnd"/>
            <w:r w:rsidR="006B5455">
              <w:t xml:space="preserve"> (</w:t>
            </w:r>
            <w:proofErr w:type="gramStart"/>
            <w:r w:rsidR="007E3667">
              <w:rPr>
                <w:noProof/>
                <w:color w:val="000000"/>
                <w:highlight w:val="black"/>
              </w:rPr>
              <w:t>''''''''''</w:t>
            </w:r>
            <w:r w:rsidR="006B5455">
              <w:t>%</w:t>
            </w:r>
            <w:proofErr w:type="gramEnd"/>
            <w:r w:rsidR="006B5455">
              <w:t xml:space="preserve">) compared to </w:t>
            </w:r>
            <w:proofErr w:type="spellStart"/>
            <w:r w:rsidR="006B5455">
              <w:t>obi+chl-treated</w:t>
            </w:r>
            <w:proofErr w:type="spellEnd"/>
            <w:r w:rsidR="006B5455">
              <w:t xml:space="preserve"> patients (</w:t>
            </w:r>
            <w:r w:rsidR="007E3667">
              <w:rPr>
                <w:noProof/>
                <w:color w:val="000000"/>
                <w:highlight w:val="black"/>
              </w:rPr>
              <w:t>''''''''''</w:t>
            </w:r>
            <w:r w:rsidR="006B5455">
              <w:t xml:space="preserve">%) </w:t>
            </w:r>
            <w:r>
              <w:t>(RD=</w:t>
            </w:r>
            <w:r w:rsidR="007E3667">
              <w:rPr>
                <w:noProof/>
                <w:color w:val="000000"/>
                <w:highlight w:val="black"/>
              </w:rPr>
              <w:t>'''''''''''''</w:t>
            </w:r>
            <w:r>
              <w:t xml:space="preserve">; 95% CI: </w:t>
            </w:r>
            <w:r w:rsidR="007E3667">
              <w:rPr>
                <w:noProof/>
                <w:color w:val="000000"/>
                <w:highlight w:val="black"/>
              </w:rPr>
              <w:t>'''''''''''''</w:t>
            </w:r>
            <w:r>
              <w:t xml:space="preserve">, </w:t>
            </w:r>
            <w:r w:rsidR="007E3667">
              <w:rPr>
                <w:noProof/>
                <w:color w:val="000000"/>
                <w:highlight w:val="black"/>
              </w:rPr>
              <w:t>''''''''''''''</w:t>
            </w:r>
            <w:r>
              <w:t>).</w:t>
            </w:r>
            <w:r w:rsidR="00D5560C">
              <w:t xml:space="preserve">  No statistically significant differences between groups for other AEs.  </w:t>
            </w:r>
          </w:p>
        </w:tc>
      </w:tr>
      <w:tr w:rsidR="007D3F1D" w:rsidTr="00D5560C">
        <w:tc>
          <w:tcPr>
            <w:tcW w:w="2909" w:type="dxa"/>
            <w:vAlign w:val="center"/>
          </w:tcPr>
          <w:p w:rsidR="004A012C" w:rsidRDefault="00660834" w:rsidP="00296723">
            <w:pPr>
              <w:pStyle w:val="TableText1"/>
              <w:keepLines/>
              <w:tabs>
                <w:tab w:val="left" w:pos="142"/>
              </w:tabs>
            </w:pPr>
            <w:r>
              <w:tab/>
              <w:t>Entire trial period</w:t>
            </w:r>
          </w:p>
          <w:p w:rsidR="00B7216A" w:rsidRDefault="00916482" w:rsidP="00296723">
            <w:pPr>
              <w:pStyle w:val="TableText1"/>
              <w:keepLines/>
              <w:tabs>
                <w:tab w:val="left" w:pos="142"/>
              </w:tabs>
            </w:pPr>
            <w:r>
              <w:t xml:space="preserve"> </w:t>
            </w:r>
            <w:r w:rsidR="00B7216A">
              <w:t>(ILLUMINATE)</w:t>
            </w:r>
          </w:p>
        </w:tc>
        <w:tc>
          <w:tcPr>
            <w:tcW w:w="6158" w:type="dxa"/>
            <w:vAlign w:val="center"/>
          </w:tcPr>
          <w:p w:rsidR="004A012C" w:rsidRDefault="00895B41" w:rsidP="00296723">
            <w:pPr>
              <w:pStyle w:val="TableText1"/>
              <w:keepLines/>
            </w:pPr>
            <w:proofErr w:type="spellStart"/>
            <w:r>
              <w:t>S</w:t>
            </w:r>
            <w:r w:rsidR="00021D76">
              <w:t>ignificantly</w:t>
            </w:r>
            <w:r w:rsidR="00296723">
              <w:rPr>
                <w:vertAlign w:val="superscript"/>
              </w:rPr>
              <w:t>a</w:t>
            </w:r>
            <w:proofErr w:type="spellEnd"/>
            <w:r w:rsidR="00021D76">
              <w:t xml:space="preserve"> greater incidence of SAEs in the </w:t>
            </w:r>
            <w:proofErr w:type="spellStart"/>
            <w:r w:rsidR="00021D76">
              <w:t>ibr+obi</w:t>
            </w:r>
            <w:proofErr w:type="spellEnd"/>
            <w:r w:rsidR="00021D76">
              <w:t xml:space="preserve"> arm </w:t>
            </w:r>
            <w:r w:rsidR="006B5455">
              <w:t xml:space="preserve">compared to the </w:t>
            </w:r>
            <w:proofErr w:type="spellStart"/>
            <w:r w:rsidR="006B5455">
              <w:t>obi+chl</w:t>
            </w:r>
            <w:proofErr w:type="spellEnd"/>
            <w:r w:rsidR="006B5455">
              <w:t xml:space="preserve"> arm </w:t>
            </w:r>
            <w:r w:rsidR="00021D76">
              <w:t>(RD=</w:t>
            </w:r>
            <w:r w:rsidR="007E3667">
              <w:rPr>
                <w:noProof/>
                <w:color w:val="000000"/>
                <w:highlight w:val="black"/>
              </w:rPr>
              <w:t>''''''''''</w:t>
            </w:r>
            <w:r w:rsidR="00021D76">
              <w:t xml:space="preserve">; 95% CI: </w:t>
            </w:r>
            <w:r w:rsidR="007E3667">
              <w:rPr>
                <w:noProof/>
                <w:color w:val="000000"/>
                <w:highlight w:val="black"/>
              </w:rPr>
              <w:t>'''''''''''</w:t>
            </w:r>
            <w:r w:rsidR="00021D76">
              <w:t xml:space="preserve">, </w:t>
            </w:r>
            <w:r w:rsidR="007E3667">
              <w:rPr>
                <w:noProof/>
                <w:color w:val="000000"/>
                <w:highlight w:val="black"/>
              </w:rPr>
              <w:t>''''''''''</w:t>
            </w:r>
            <w:r w:rsidR="00021D76">
              <w:t>)</w:t>
            </w:r>
            <w:r w:rsidR="00F23E9B">
              <w:t xml:space="preserve">; </w:t>
            </w:r>
            <w:r w:rsidR="00913667">
              <w:t>Grade ≥3 SAEs (RD=</w:t>
            </w:r>
            <w:r w:rsidR="007E3667">
              <w:rPr>
                <w:noProof/>
                <w:color w:val="000000"/>
                <w:highlight w:val="black"/>
              </w:rPr>
              <w:t>''''''''''''</w:t>
            </w:r>
            <w:r w:rsidR="00913667">
              <w:t xml:space="preserve">; 95% CI: </w:t>
            </w:r>
            <w:r w:rsidR="007E3667">
              <w:rPr>
                <w:noProof/>
                <w:color w:val="000000"/>
                <w:highlight w:val="black"/>
              </w:rPr>
              <w:t>'''''''''''</w:t>
            </w:r>
            <w:r w:rsidR="00913667">
              <w:t xml:space="preserve">, </w:t>
            </w:r>
            <w:r w:rsidR="007E3667">
              <w:rPr>
                <w:noProof/>
                <w:color w:val="000000"/>
                <w:highlight w:val="black"/>
              </w:rPr>
              <w:t>'''''''''''</w:t>
            </w:r>
            <w:r w:rsidR="00913667">
              <w:t>)</w:t>
            </w:r>
            <w:r w:rsidR="00F23E9B">
              <w:t xml:space="preserve"> and any </w:t>
            </w:r>
            <w:proofErr w:type="spellStart"/>
            <w:r w:rsidR="00F23E9B">
              <w:t>ibr</w:t>
            </w:r>
            <w:proofErr w:type="spellEnd"/>
            <w:r w:rsidR="00F23E9B">
              <w:t>/</w:t>
            </w:r>
            <w:proofErr w:type="spellStart"/>
            <w:r w:rsidR="00F23E9B">
              <w:t>chl</w:t>
            </w:r>
            <w:proofErr w:type="spellEnd"/>
            <w:r w:rsidR="00F23E9B">
              <w:t>-</w:t>
            </w:r>
            <w:r w:rsidR="00A00837">
              <w:t>related</w:t>
            </w:r>
            <w:r w:rsidR="00F23E9B">
              <w:t xml:space="preserve"> AE (RD=</w:t>
            </w:r>
            <w:r w:rsidR="007E3667">
              <w:rPr>
                <w:noProof/>
                <w:color w:val="000000"/>
                <w:highlight w:val="black"/>
              </w:rPr>
              <w:t>''''''''''</w:t>
            </w:r>
            <w:r w:rsidR="00F23E9B">
              <w:t xml:space="preserve">; 95% CI: </w:t>
            </w:r>
            <w:r w:rsidR="007E3667">
              <w:rPr>
                <w:noProof/>
                <w:color w:val="000000"/>
                <w:highlight w:val="black"/>
              </w:rPr>
              <w:t>''''''''''</w:t>
            </w:r>
            <w:r w:rsidR="00F23E9B">
              <w:t xml:space="preserve">, </w:t>
            </w:r>
            <w:r w:rsidR="007E3667">
              <w:rPr>
                <w:noProof/>
                <w:color w:val="000000"/>
                <w:highlight w:val="black"/>
              </w:rPr>
              <w:t>''''''''''</w:t>
            </w:r>
            <w:r w:rsidR="00F23E9B">
              <w:t xml:space="preserve">).  Also significantly </w:t>
            </w:r>
            <w:r w:rsidR="006B5455">
              <w:t xml:space="preserve">fewer AE leading to obi infusion interruption in patients treated with </w:t>
            </w:r>
            <w:proofErr w:type="spellStart"/>
            <w:r w:rsidR="006B5455">
              <w:t>ibr+obi</w:t>
            </w:r>
            <w:proofErr w:type="spellEnd"/>
            <w:r w:rsidR="006B5455">
              <w:t xml:space="preserve"> (</w:t>
            </w:r>
            <w:proofErr w:type="gramStart"/>
            <w:r w:rsidR="007E3667">
              <w:rPr>
                <w:noProof/>
                <w:color w:val="000000"/>
                <w:highlight w:val="black"/>
              </w:rPr>
              <w:t>''''''''''</w:t>
            </w:r>
            <w:r w:rsidR="006B5455">
              <w:t>%</w:t>
            </w:r>
            <w:proofErr w:type="gramEnd"/>
            <w:r w:rsidR="006B5455">
              <w:t xml:space="preserve">) compared to </w:t>
            </w:r>
            <w:proofErr w:type="spellStart"/>
            <w:r w:rsidR="006B5455">
              <w:t>obi+chl-treated</w:t>
            </w:r>
            <w:proofErr w:type="spellEnd"/>
            <w:r w:rsidR="006B5455">
              <w:t xml:space="preserve"> </w:t>
            </w:r>
            <w:proofErr w:type="spellStart"/>
            <w:r w:rsidR="006B5455">
              <w:t>pateints</w:t>
            </w:r>
            <w:proofErr w:type="spellEnd"/>
            <w:r w:rsidR="006B5455">
              <w:t xml:space="preserve"> (</w:t>
            </w:r>
            <w:r w:rsidR="007E3667">
              <w:rPr>
                <w:noProof/>
                <w:color w:val="000000"/>
                <w:highlight w:val="black"/>
              </w:rPr>
              <w:t>'''''''''''</w:t>
            </w:r>
            <w:r w:rsidR="006B5455">
              <w:t>%)</w:t>
            </w:r>
            <w:r w:rsidR="00F23E9B">
              <w:t xml:space="preserve"> (RD=</w:t>
            </w:r>
            <w:r w:rsidR="007E3667">
              <w:rPr>
                <w:noProof/>
                <w:color w:val="000000"/>
                <w:highlight w:val="black"/>
              </w:rPr>
              <w:t>'''''''''''''</w:t>
            </w:r>
            <w:r w:rsidR="00F23E9B">
              <w:t xml:space="preserve">; 95% CI: </w:t>
            </w:r>
            <w:r w:rsidR="007E3667">
              <w:rPr>
                <w:noProof/>
                <w:color w:val="000000"/>
                <w:highlight w:val="black"/>
              </w:rPr>
              <w:t>'''''''''''</w:t>
            </w:r>
            <w:r w:rsidR="00F23E9B">
              <w:t xml:space="preserve">, </w:t>
            </w:r>
            <w:r w:rsidR="007E3667">
              <w:rPr>
                <w:noProof/>
                <w:color w:val="000000"/>
                <w:highlight w:val="black"/>
              </w:rPr>
              <w:t>'''''''''''</w:t>
            </w:r>
            <w:r w:rsidR="00F23E9B">
              <w:t>) and obi-related AE (RD=</w:t>
            </w:r>
            <w:r w:rsidR="007E3667">
              <w:rPr>
                <w:noProof/>
                <w:color w:val="000000"/>
                <w:highlight w:val="black"/>
              </w:rPr>
              <w:t>''''''''''''</w:t>
            </w:r>
            <w:r w:rsidR="00F23E9B">
              <w:t xml:space="preserve">; 95% CI: </w:t>
            </w:r>
            <w:r w:rsidR="007E3667">
              <w:rPr>
                <w:noProof/>
                <w:color w:val="000000"/>
                <w:highlight w:val="black"/>
              </w:rPr>
              <w:t>''''''''''''''</w:t>
            </w:r>
            <w:r w:rsidR="00F23E9B">
              <w:t xml:space="preserve">, </w:t>
            </w:r>
            <w:r w:rsidR="007E3667">
              <w:rPr>
                <w:noProof/>
                <w:color w:val="000000"/>
                <w:highlight w:val="black"/>
              </w:rPr>
              <w:t>'''''''''''''</w:t>
            </w:r>
            <w:r w:rsidR="00F23E9B">
              <w:t xml:space="preserve">).  No statistically significant differences between groups for other AEs. </w:t>
            </w:r>
          </w:p>
          <w:p w:rsidR="00561A52" w:rsidRDefault="00561A52" w:rsidP="00B7216A">
            <w:pPr>
              <w:pStyle w:val="TableText1"/>
              <w:keepLines/>
            </w:pPr>
            <w:r>
              <w:t xml:space="preserve">Grade 3 atrial fibrillation reported in 6 </w:t>
            </w:r>
            <w:proofErr w:type="spellStart"/>
            <w:r>
              <w:t>ibr+obi</w:t>
            </w:r>
            <w:proofErr w:type="spellEnd"/>
            <w:r>
              <w:t xml:space="preserve"> patients (5.3%)</w:t>
            </w:r>
            <w:r w:rsidR="00BF3F96">
              <w:t xml:space="preserve"> with no reports in </w:t>
            </w:r>
            <w:proofErr w:type="spellStart"/>
            <w:r w:rsidR="00BF3F96">
              <w:t>obi+chl</w:t>
            </w:r>
            <w:proofErr w:type="spellEnd"/>
            <w:r w:rsidR="00BF3F96">
              <w:t xml:space="preserve"> patients</w:t>
            </w:r>
            <w:r>
              <w:t xml:space="preserve">.  </w:t>
            </w:r>
          </w:p>
        </w:tc>
      </w:tr>
    </w:tbl>
    <w:p w:rsidR="004A012C" w:rsidRDefault="00021D76" w:rsidP="00296723">
      <w:pPr>
        <w:pStyle w:val="TableFooter"/>
        <w:keepNext/>
        <w:keepLines/>
        <w:tabs>
          <w:tab w:val="left" w:pos="142"/>
        </w:tabs>
        <w:ind w:left="142" w:hanging="142"/>
      </w:pPr>
      <w:proofErr w:type="spellStart"/>
      <w:proofErr w:type="gramStart"/>
      <w:r w:rsidRPr="00021D76">
        <w:rPr>
          <w:vertAlign w:val="superscript"/>
        </w:rPr>
        <w:t>a</w:t>
      </w:r>
      <w:proofErr w:type="spellEnd"/>
      <w:proofErr w:type="gramEnd"/>
      <w:r>
        <w:tab/>
        <w:t>The CSR provided only descriptive statistics for safety outcomes in the ILLUMINATE trial.  All statistical comparisons were conducted post-hoc by the resubmission.</w:t>
      </w:r>
      <w:r>
        <w:tab/>
      </w:r>
    </w:p>
    <w:p w:rsidR="001F7AC0" w:rsidRDefault="001F7AC0" w:rsidP="00296723">
      <w:pPr>
        <w:pStyle w:val="TableFooter"/>
        <w:keepNext/>
        <w:keepLines/>
      </w:pPr>
      <w:r>
        <w:t xml:space="preserve">AE=adverse event; </w:t>
      </w:r>
      <w:proofErr w:type="spellStart"/>
      <w:r>
        <w:t>chl</w:t>
      </w:r>
      <w:proofErr w:type="spellEnd"/>
      <w:r>
        <w:t>=</w:t>
      </w:r>
      <w:proofErr w:type="spellStart"/>
      <w:r>
        <w:t>chlorambucil</w:t>
      </w:r>
      <w:proofErr w:type="spellEnd"/>
      <w:r>
        <w:t xml:space="preserve">; </w:t>
      </w:r>
      <w:proofErr w:type="spellStart"/>
      <w:r>
        <w:t>ibr</w:t>
      </w:r>
      <w:proofErr w:type="spellEnd"/>
      <w:r>
        <w:t>=</w:t>
      </w:r>
      <w:proofErr w:type="spellStart"/>
      <w:r>
        <w:t>ibrutinib</w:t>
      </w:r>
      <w:proofErr w:type="spellEnd"/>
      <w:r>
        <w:t>; obi=</w:t>
      </w:r>
      <w:proofErr w:type="spellStart"/>
      <w:r>
        <w:t>obinutuzumab</w:t>
      </w:r>
      <w:proofErr w:type="spellEnd"/>
      <w:r>
        <w:t>; RD=risk difference; SAE=serious adverse event</w:t>
      </w:r>
    </w:p>
    <w:p w:rsidR="00317C85" w:rsidRDefault="00317C85" w:rsidP="009C6A43">
      <w:pPr>
        <w:pStyle w:val="TableFooter"/>
        <w:keepNext/>
        <w:keepLines/>
      </w:pPr>
      <w:r>
        <w:t xml:space="preserve">Source: </w:t>
      </w:r>
      <w:r w:rsidR="00021D76" w:rsidRPr="00A142BC">
        <w:t>Table 2.24, p98-99 of Section 2.5.2.1</w:t>
      </w:r>
      <w:r w:rsidR="00A142BC">
        <w:t xml:space="preserve"> </w:t>
      </w:r>
      <w:r w:rsidR="00021D76" w:rsidRPr="00A142BC">
        <w:t>of the resubmission</w:t>
      </w:r>
      <w:r w:rsidR="007D3F1D" w:rsidRPr="00A142BC">
        <w:t>.</w:t>
      </w:r>
    </w:p>
    <w:p w:rsidR="001110C9" w:rsidRDefault="001110C9" w:rsidP="00317C85"/>
    <w:p w:rsidR="00551899" w:rsidRPr="00EB5599" w:rsidRDefault="008A4BC6" w:rsidP="00B2597F">
      <w:pPr>
        <w:pStyle w:val="ListParagraph"/>
        <w:numPr>
          <w:ilvl w:val="1"/>
          <w:numId w:val="1"/>
        </w:numPr>
      </w:pPr>
      <w:r>
        <w:t xml:space="preserve">The resubmission concluded that the ILLUMINATE trial demonstrated that </w:t>
      </w:r>
      <w:proofErr w:type="spellStart"/>
      <w:r>
        <w:t>ibr+obi</w:t>
      </w:r>
      <w:proofErr w:type="spellEnd"/>
      <w:r>
        <w:t xml:space="preserve"> was non-inferior to </w:t>
      </w:r>
      <w:proofErr w:type="spellStart"/>
      <w:r>
        <w:t>obi+chl</w:t>
      </w:r>
      <w:proofErr w:type="spellEnd"/>
      <w:r>
        <w:t xml:space="preserve"> for safety over the first 9 months of the trial.  </w:t>
      </w:r>
      <w:r w:rsidRPr="00551899">
        <w:t>The</w:t>
      </w:r>
      <w:r w:rsidR="00F23E9B" w:rsidRPr="00551899">
        <w:t>re were stat</w:t>
      </w:r>
      <w:r w:rsidR="009B10FC" w:rsidRPr="00551899">
        <w:t xml:space="preserve">istically significantly </w:t>
      </w:r>
      <w:r w:rsidR="002007B5">
        <w:t>fewer</w:t>
      </w:r>
      <w:r w:rsidR="009B10FC" w:rsidRPr="00551899">
        <w:t xml:space="preserve"> </w:t>
      </w:r>
      <w:r w:rsidR="002007B5" w:rsidRPr="00551899">
        <w:t>obi-related AEs</w:t>
      </w:r>
      <w:r w:rsidR="002007B5">
        <w:t xml:space="preserve"> for </w:t>
      </w:r>
      <w:proofErr w:type="spellStart"/>
      <w:r w:rsidR="002007B5">
        <w:t>ibr+</w:t>
      </w:r>
      <w:r w:rsidR="009B10FC" w:rsidRPr="00551899">
        <w:t>obi-treated</w:t>
      </w:r>
      <w:proofErr w:type="spellEnd"/>
      <w:r w:rsidR="009B10FC" w:rsidRPr="00551899">
        <w:t xml:space="preserve"> patients </w:t>
      </w:r>
      <w:r w:rsidR="002007B5">
        <w:t>compared with obi-</w:t>
      </w:r>
      <w:proofErr w:type="spellStart"/>
      <w:r w:rsidR="002007B5">
        <w:t>chl</w:t>
      </w:r>
      <w:proofErr w:type="spellEnd"/>
      <w:r w:rsidR="002007B5">
        <w:t>-treated patients</w:t>
      </w:r>
      <w:r w:rsidR="00997FD4">
        <w:t xml:space="preserve"> (Table 8)</w:t>
      </w:r>
      <w:r w:rsidR="009B10FC" w:rsidRPr="00551899">
        <w:t>, and no other statistically significant differences for other AE outcomes.</w:t>
      </w:r>
      <w:r w:rsidR="009B10FC">
        <w:rPr>
          <w:i/>
          <w:iCs/>
        </w:rPr>
        <w:t xml:space="preserve">  </w:t>
      </w:r>
      <w:r w:rsidR="009B10FC" w:rsidRPr="00EB5599">
        <w:rPr>
          <w:iCs/>
        </w:rPr>
        <w:t>A</w:t>
      </w:r>
      <w:r w:rsidRPr="00EB5599">
        <w:rPr>
          <w:iCs/>
        </w:rPr>
        <w:t>s all statistical comparisons were post-hoc</w:t>
      </w:r>
      <w:r w:rsidR="00AB7137" w:rsidRPr="00EB5599">
        <w:rPr>
          <w:iCs/>
        </w:rPr>
        <w:t xml:space="preserve">, a more appropriate claim may be for similarity in AEs over the first 9 months of the trial. </w:t>
      </w:r>
      <w:r w:rsidR="000747C4" w:rsidRPr="00EB5599">
        <w:rPr>
          <w:iCs/>
        </w:rPr>
        <w:t xml:space="preserve"> </w:t>
      </w:r>
    </w:p>
    <w:p w:rsidR="008A4BC6" w:rsidRPr="00E773B1" w:rsidRDefault="009B10FC" w:rsidP="00B2597F">
      <w:pPr>
        <w:pStyle w:val="ListParagraph"/>
        <w:numPr>
          <w:ilvl w:val="1"/>
          <w:numId w:val="1"/>
        </w:numPr>
      </w:pPr>
      <w:r w:rsidRPr="00EB5599">
        <w:t xml:space="preserve">Over the entire trial period there were statistically significantly more </w:t>
      </w:r>
      <w:proofErr w:type="spellStart"/>
      <w:r w:rsidRPr="00EB5599">
        <w:t>ibr+obi-treated</w:t>
      </w:r>
      <w:proofErr w:type="spellEnd"/>
      <w:r w:rsidRPr="00EB5599">
        <w:t xml:space="preserve"> patients with SAEs, and significantly </w:t>
      </w:r>
      <w:r w:rsidR="00212DE9">
        <w:t>more</w:t>
      </w:r>
      <w:r w:rsidR="00212DE9" w:rsidRPr="00EB5599">
        <w:t xml:space="preserve"> </w:t>
      </w:r>
      <w:proofErr w:type="spellStart"/>
      <w:r w:rsidRPr="00EB5599">
        <w:t>obi+chl</w:t>
      </w:r>
      <w:proofErr w:type="spellEnd"/>
      <w:r w:rsidRPr="00EB5599">
        <w:t xml:space="preserve"> patients with obi-related AEs</w:t>
      </w:r>
      <w:r w:rsidR="00212DE9">
        <w:t xml:space="preserve"> (</w:t>
      </w:r>
      <w:r w:rsidR="007B1786" w:rsidRPr="00EB5599">
        <w:t xml:space="preserve">Table </w:t>
      </w:r>
      <w:r w:rsidR="00895B41" w:rsidRPr="00EB5599">
        <w:t>8</w:t>
      </w:r>
      <w:r w:rsidR="00212DE9">
        <w:t>)</w:t>
      </w:r>
      <w:r w:rsidRPr="00EB5599">
        <w:t xml:space="preserve">. </w:t>
      </w:r>
      <w:r w:rsidRPr="00EB5599">
        <w:rPr>
          <w:iCs/>
        </w:rPr>
        <w:t xml:space="preserve"> </w:t>
      </w:r>
      <w:r w:rsidR="00E300B0">
        <w:t>T</w:t>
      </w:r>
      <w:r w:rsidRPr="00EB5599">
        <w:t xml:space="preserve">he resubmission </w:t>
      </w:r>
      <w:r w:rsidR="005F0655">
        <w:t>claimed</w:t>
      </w:r>
      <w:r w:rsidRPr="00EB5599">
        <w:t xml:space="preserve"> </w:t>
      </w:r>
      <w:r w:rsidR="00AB7137" w:rsidRPr="00EB5599">
        <w:t xml:space="preserve">inferior safety for </w:t>
      </w:r>
      <w:proofErr w:type="spellStart"/>
      <w:r w:rsidR="00AB7137" w:rsidRPr="00EB5599">
        <w:t>ibr+obi</w:t>
      </w:r>
      <w:proofErr w:type="spellEnd"/>
      <w:r w:rsidR="00AB7137" w:rsidRPr="00EB5599">
        <w:t xml:space="preserve"> </w:t>
      </w:r>
      <w:r w:rsidR="008A55E5" w:rsidRPr="00EB5599">
        <w:t>beyond 9 months</w:t>
      </w:r>
      <w:r w:rsidR="00E300B0">
        <w:t xml:space="preserve"> </w:t>
      </w:r>
      <w:r w:rsidR="00E300B0" w:rsidRPr="00EB5599">
        <w:rPr>
          <w:iCs/>
        </w:rPr>
        <w:t xml:space="preserve">on the basis that </w:t>
      </w:r>
      <w:proofErr w:type="spellStart"/>
      <w:r w:rsidR="00E300B0" w:rsidRPr="00EB5599">
        <w:rPr>
          <w:iCs/>
        </w:rPr>
        <w:t>obi+chl</w:t>
      </w:r>
      <w:proofErr w:type="spellEnd"/>
      <w:r w:rsidR="00E300B0" w:rsidRPr="00EB5599">
        <w:rPr>
          <w:iCs/>
        </w:rPr>
        <w:t xml:space="preserve"> treatment ceased after 6 cycles (approximately 6 months) while ibrutinib was used until disease progression</w:t>
      </w:r>
      <w:r w:rsidR="00AB7137" w:rsidRPr="00EB5599">
        <w:rPr>
          <w:iCs/>
        </w:rPr>
        <w:t>.</w:t>
      </w:r>
      <w:r w:rsidR="00190F2D" w:rsidRPr="00EB5599">
        <w:rPr>
          <w:iCs/>
        </w:rPr>
        <w:t xml:space="preserve">  While the trial evidence was for the overall trial period, </w:t>
      </w:r>
      <w:r w:rsidR="00E300B0">
        <w:rPr>
          <w:iCs/>
        </w:rPr>
        <w:t>t</w:t>
      </w:r>
      <w:r w:rsidR="00A40BAB" w:rsidRPr="00EB5599">
        <w:rPr>
          <w:iCs/>
        </w:rPr>
        <w:t xml:space="preserve">here was a greater occurrence of SAEs with </w:t>
      </w:r>
      <w:proofErr w:type="spellStart"/>
      <w:r w:rsidR="00A40BAB" w:rsidRPr="00EB5599">
        <w:rPr>
          <w:iCs/>
        </w:rPr>
        <w:t>ibr+obi</w:t>
      </w:r>
      <w:proofErr w:type="spellEnd"/>
      <w:r w:rsidR="00A40BAB" w:rsidRPr="00EB5599">
        <w:rPr>
          <w:iCs/>
        </w:rPr>
        <w:t xml:space="preserve"> outside of the first 9 month period, which provide</w:t>
      </w:r>
      <w:r w:rsidR="0032788F" w:rsidRPr="00EB5599">
        <w:rPr>
          <w:iCs/>
        </w:rPr>
        <w:t>d</w:t>
      </w:r>
      <w:r w:rsidR="00A40BAB" w:rsidRPr="00EB5599">
        <w:rPr>
          <w:iCs/>
        </w:rPr>
        <w:t xml:space="preserve"> support for the resubmission’s claim of inferior safety for </w:t>
      </w:r>
      <w:proofErr w:type="spellStart"/>
      <w:r w:rsidR="00A40BAB" w:rsidRPr="00EB5599">
        <w:rPr>
          <w:iCs/>
        </w:rPr>
        <w:t>ibr+obi</w:t>
      </w:r>
      <w:proofErr w:type="spellEnd"/>
      <w:r w:rsidR="00E300B0">
        <w:rPr>
          <w:iCs/>
        </w:rPr>
        <w:t>. H</w:t>
      </w:r>
      <w:r w:rsidR="00A40BAB" w:rsidRPr="00EB5599">
        <w:rPr>
          <w:iCs/>
        </w:rPr>
        <w:t>owever</w:t>
      </w:r>
      <w:r w:rsidR="00E300B0">
        <w:rPr>
          <w:iCs/>
        </w:rPr>
        <w:t xml:space="preserve">, </w:t>
      </w:r>
      <w:r w:rsidR="00A40BAB" w:rsidRPr="00EB5599">
        <w:rPr>
          <w:iCs/>
        </w:rPr>
        <w:t>the resubmission (and the ILLUMINATE CSR) only provided a time breakdown of AEs (first 9 months, overall trial period) for grouped AEs</w:t>
      </w:r>
      <w:r w:rsidR="000D7AC2" w:rsidRPr="00EB5599">
        <w:rPr>
          <w:iCs/>
        </w:rPr>
        <w:t xml:space="preserve"> (</w:t>
      </w:r>
      <w:r w:rsidR="001D76F9" w:rsidRPr="00EB5599">
        <w:rPr>
          <w:iCs/>
        </w:rPr>
        <w:t>e.g.</w:t>
      </w:r>
      <w:r w:rsidR="000D7AC2" w:rsidRPr="00EB5599">
        <w:rPr>
          <w:iCs/>
        </w:rPr>
        <w:t xml:space="preserve"> any AE, SAEs) while AEs for other ibrutinib-relevant events such as atrial fibrillation were not broken down by time period.</w:t>
      </w:r>
      <w:r w:rsidR="00EE210C">
        <w:rPr>
          <w:iCs/>
        </w:rPr>
        <w:t xml:space="preserve"> </w:t>
      </w:r>
      <w:r w:rsidR="00EE210C" w:rsidRPr="00E773B1">
        <w:t>The ESC considered haemorrhagic events and atrial fibrillation to be important critical harms for ibrutinib.</w:t>
      </w:r>
    </w:p>
    <w:p w:rsidR="004A20FE" w:rsidRDefault="004A20FE" w:rsidP="00B2597F">
      <w:pPr>
        <w:pStyle w:val="ListParagraph"/>
        <w:numPr>
          <w:ilvl w:val="1"/>
          <w:numId w:val="1"/>
        </w:numPr>
      </w:pPr>
      <w:r>
        <w:t>The resubmission also presented AE data specific to del17p patients in the ILLUMINATE trial (Table 9).</w:t>
      </w:r>
    </w:p>
    <w:p w:rsidR="004A20FE" w:rsidRDefault="004A20FE" w:rsidP="00B9191D">
      <w:pPr>
        <w:keepNext/>
        <w:keepLines/>
      </w:pPr>
      <w:r w:rsidRPr="00401364">
        <w:rPr>
          <w:rFonts w:ascii="Arial Narrow" w:hAnsi="Arial Narrow"/>
          <w:b/>
          <w:sz w:val="20"/>
          <w:szCs w:val="20"/>
        </w:rPr>
        <w:lastRenderedPageBreak/>
        <w:t xml:space="preserve">Table </w:t>
      </w:r>
      <w:r w:rsidR="00BD4B83">
        <w:rPr>
          <w:rFonts w:ascii="Arial Narrow" w:hAnsi="Arial Narrow"/>
          <w:b/>
          <w:noProof/>
          <w:sz w:val="20"/>
          <w:szCs w:val="20"/>
        </w:rPr>
        <w:t>9</w:t>
      </w:r>
      <w:r w:rsidRPr="005D26B4">
        <w:rPr>
          <w:rStyle w:val="CommentReference"/>
        </w:rPr>
        <w:t xml:space="preserve">:  </w:t>
      </w:r>
      <w:r>
        <w:rPr>
          <w:rFonts w:ascii="Arial Narrow" w:hAnsi="Arial Narrow"/>
          <w:b/>
          <w:bCs/>
          <w:sz w:val="20"/>
          <w:szCs w:val="20"/>
        </w:rPr>
        <w:t>Adverse events observed</w:t>
      </w:r>
      <w:r w:rsidRPr="001110C9">
        <w:rPr>
          <w:rFonts w:ascii="Arial Narrow" w:hAnsi="Arial Narrow"/>
          <w:b/>
          <w:bCs/>
          <w:sz w:val="20"/>
          <w:szCs w:val="20"/>
        </w:rPr>
        <w:t xml:space="preserve"> in the ILLUMINATE trial for </w:t>
      </w:r>
      <w:r w:rsidR="009535EB" w:rsidRPr="001110C9">
        <w:rPr>
          <w:rFonts w:ascii="Arial Narrow" w:hAnsi="Arial Narrow"/>
          <w:b/>
          <w:bCs/>
          <w:sz w:val="20"/>
          <w:szCs w:val="20"/>
        </w:rPr>
        <w:t>del17p and non-del17p patients</w:t>
      </w:r>
    </w:p>
    <w:tbl>
      <w:tblPr>
        <w:tblStyle w:val="TableGrid"/>
        <w:tblW w:w="9080" w:type="dxa"/>
        <w:tblCellMar>
          <w:left w:w="28" w:type="dxa"/>
          <w:right w:w="28" w:type="dxa"/>
        </w:tblCellMar>
        <w:tblLook w:val="04A0" w:firstRow="1" w:lastRow="0" w:firstColumn="1" w:lastColumn="0" w:noHBand="0" w:noVBand="1"/>
        <w:tblCaption w:val="Table 9:  Adverse events observed in the ILLUMINATE trial for del17p and non-del17p patients"/>
      </w:tblPr>
      <w:tblGrid>
        <w:gridCol w:w="2547"/>
        <w:gridCol w:w="1572"/>
        <w:gridCol w:w="1559"/>
        <w:gridCol w:w="9"/>
        <w:gridCol w:w="1692"/>
        <w:gridCol w:w="1701"/>
      </w:tblGrid>
      <w:tr w:rsidR="004A20FE" w:rsidRPr="00947BED" w:rsidTr="009C6A43">
        <w:trPr>
          <w:tblHeader/>
        </w:trPr>
        <w:tc>
          <w:tcPr>
            <w:tcW w:w="2547" w:type="dxa"/>
            <w:vMerge w:val="restart"/>
            <w:vAlign w:val="center"/>
          </w:tcPr>
          <w:p w:rsidR="004A20FE" w:rsidRPr="00947BED" w:rsidRDefault="004A20FE" w:rsidP="00B9191D">
            <w:pPr>
              <w:pStyle w:val="TableText1"/>
              <w:keepLines/>
              <w:widowControl w:val="0"/>
              <w:tabs>
                <w:tab w:val="left" w:pos="142"/>
              </w:tabs>
              <w:rPr>
                <w:b/>
                <w:bCs/>
              </w:rPr>
            </w:pPr>
          </w:p>
        </w:tc>
        <w:tc>
          <w:tcPr>
            <w:tcW w:w="6533" w:type="dxa"/>
            <w:gridSpan w:val="5"/>
            <w:vAlign w:val="center"/>
          </w:tcPr>
          <w:p w:rsidR="004A20FE" w:rsidRPr="00947BED" w:rsidRDefault="004A20FE" w:rsidP="00B9191D">
            <w:pPr>
              <w:pStyle w:val="TableText1"/>
              <w:keepLines/>
              <w:widowControl w:val="0"/>
              <w:jc w:val="center"/>
              <w:rPr>
                <w:b/>
                <w:bCs/>
              </w:rPr>
            </w:pPr>
            <w:r>
              <w:rPr>
                <w:b/>
                <w:bCs/>
              </w:rPr>
              <w:t>Entire trial period</w:t>
            </w:r>
          </w:p>
        </w:tc>
      </w:tr>
      <w:tr w:rsidR="004A20FE" w:rsidRPr="00947BED" w:rsidTr="009C6A43">
        <w:trPr>
          <w:tblHeader/>
        </w:trPr>
        <w:tc>
          <w:tcPr>
            <w:tcW w:w="2547" w:type="dxa"/>
            <w:vMerge/>
            <w:vAlign w:val="center"/>
          </w:tcPr>
          <w:p w:rsidR="004A20FE" w:rsidRPr="00947BED" w:rsidRDefault="004A20FE" w:rsidP="00B9191D">
            <w:pPr>
              <w:pStyle w:val="TableText1"/>
              <w:keepLines/>
              <w:widowControl w:val="0"/>
              <w:tabs>
                <w:tab w:val="left" w:pos="142"/>
              </w:tabs>
              <w:rPr>
                <w:b/>
                <w:bCs/>
              </w:rPr>
            </w:pPr>
          </w:p>
        </w:tc>
        <w:tc>
          <w:tcPr>
            <w:tcW w:w="3140" w:type="dxa"/>
            <w:gridSpan w:val="3"/>
            <w:vAlign w:val="center"/>
          </w:tcPr>
          <w:p w:rsidR="004A20FE" w:rsidRPr="00947BED" w:rsidRDefault="004A20FE" w:rsidP="00B9191D">
            <w:pPr>
              <w:pStyle w:val="TableText1"/>
              <w:keepLines/>
              <w:widowControl w:val="0"/>
              <w:jc w:val="center"/>
              <w:rPr>
                <w:b/>
                <w:bCs/>
              </w:rPr>
            </w:pPr>
            <w:r>
              <w:rPr>
                <w:b/>
                <w:bCs/>
              </w:rPr>
              <w:t>Del17p patients</w:t>
            </w:r>
          </w:p>
        </w:tc>
        <w:tc>
          <w:tcPr>
            <w:tcW w:w="3393" w:type="dxa"/>
            <w:gridSpan w:val="2"/>
            <w:vAlign w:val="center"/>
          </w:tcPr>
          <w:p w:rsidR="004A20FE" w:rsidRPr="00947BED" w:rsidRDefault="004A20FE" w:rsidP="00B9191D">
            <w:pPr>
              <w:pStyle w:val="TableText1"/>
              <w:keepLines/>
              <w:widowControl w:val="0"/>
              <w:jc w:val="center"/>
              <w:rPr>
                <w:b/>
                <w:bCs/>
              </w:rPr>
            </w:pPr>
            <w:r>
              <w:rPr>
                <w:b/>
                <w:bCs/>
              </w:rPr>
              <w:t>Non-del17p patients</w:t>
            </w:r>
          </w:p>
        </w:tc>
      </w:tr>
      <w:tr w:rsidR="004A20FE" w:rsidRPr="00947BED" w:rsidTr="009C6A43">
        <w:trPr>
          <w:tblHeader/>
        </w:trPr>
        <w:tc>
          <w:tcPr>
            <w:tcW w:w="2547" w:type="dxa"/>
            <w:vMerge/>
            <w:vAlign w:val="center"/>
          </w:tcPr>
          <w:p w:rsidR="004A20FE" w:rsidRPr="00947BED" w:rsidRDefault="004A20FE" w:rsidP="00B9191D">
            <w:pPr>
              <w:pStyle w:val="TableText1"/>
              <w:keepLines/>
              <w:widowControl w:val="0"/>
              <w:tabs>
                <w:tab w:val="left" w:pos="142"/>
              </w:tabs>
              <w:rPr>
                <w:b/>
                <w:bCs/>
              </w:rPr>
            </w:pPr>
          </w:p>
        </w:tc>
        <w:tc>
          <w:tcPr>
            <w:tcW w:w="1572" w:type="dxa"/>
            <w:vAlign w:val="center"/>
          </w:tcPr>
          <w:p w:rsidR="004A20FE" w:rsidRPr="00947BED" w:rsidRDefault="004A20FE" w:rsidP="00B9191D">
            <w:pPr>
              <w:pStyle w:val="TableText1"/>
              <w:keepLines/>
              <w:widowControl w:val="0"/>
              <w:jc w:val="center"/>
              <w:rPr>
                <w:b/>
                <w:bCs/>
              </w:rPr>
            </w:pPr>
            <w:proofErr w:type="spellStart"/>
            <w:r w:rsidRPr="00947BED">
              <w:rPr>
                <w:b/>
                <w:bCs/>
              </w:rPr>
              <w:t>Ibr+obi</w:t>
            </w:r>
            <w:proofErr w:type="spellEnd"/>
            <w:r w:rsidRPr="00947BED">
              <w:rPr>
                <w:b/>
                <w:bCs/>
              </w:rPr>
              <w:t xml:space="preserve"> (N=1</w:t>
            </w:r>
            <w:r>
              <w:rPr>
                <w:b/>
                <w:bCs/>
              </w:rPr>
              <w:t>4</w:t>
            </w:r>
            <w:r w:rsidRPr="00947BED">
              <w:rPr>
                <w:b/>
                <w:bCs/>
              </w:rPr>
              <w:t>)</w:t>
            </w:r>
          </w:p>
        </w:tc>
        <w:tc>
          <w:tcPr>
            <w:tcW w:w="1559" w:type="dxa"/>
            <w:vAlign w:val="center"/>
          </w:tcPr>
          <w:p w:rsidR="004A20FE" w:rsidRPr="00947BED" w:rsidRDefault="004A20FE" w:rsidP="00B9191D">
            <w:pPr>
              <w:pStyle w:val="TableText1"/>
              <w:keepLines/>
              <w:widowControl w:val="0"/>
              <w:jc w:val="center"/>
              <w:rPr>
                <w:b/>
                <w:bCs/>
              </w:rPr>
            </w:pPr>
            <w:proofErr w:type="spellStart"/>
            <w:r w:rsidRPr="00947BED">
              <w:rPr>
                <w:b/>
                <w:bCs/>
              </w:rPr>
              <w:t>Obi+chl</w:t>
            </w:r>
            <w:proofErr w:type="spellEnd"/>
            <w:r w:rsidRPr="00947BED">
              <w:rPr>
                <w:b/>
                <w:bCs/>
              </w:rPr>
              <w:t xml:space="preserve"> (N=1</w:t>
            </w:r>
            <w:r>
              <w:rPr>
                <w:b/>
                <w:bCs/>
              </w:rPr>
              <w:t>8</w:t>
            </w:r>
            <w:r w:rsidRPr="00947BED">
              <w:rPr>
                <w:b/>
                <w:bCs/>
              </w:rPr>
              <w:t>)</w:t>
            </w:r>
          </w:p>
        </w:tc>
        <w:tc>
          <w:tcPr>
            <w:tcW w:w="1701" w:type="dxa"/>
            <w:gridSpan w:val="2"/>
            <w:vAlign w:val="center"/>
          </w:tcPr>
          <w:p w:rsidR="004A20FE" w:rsidRPr="00947BED" w:rsidRDefault="004A20FE" w:rsidP="00B9191D">
            <w:pPr>
              <w:pStyle w:val="TableText1"/>
              <w:keepLines/>
              <w:widowControl w:val="0"/>
              <w:jc w:val="center"/>
              <w:rPr>
                <w:b/>
                <w:bCs/>
              </w:rPr>
            </w:pPr>
            <w:proofErr w:type="spellStart"/>
            <w:r w:rsidRPr="00947BED">
              <w:rPr>
                <w:b/>
                <w:bCs/>
              </w:rPr>
              <w:t>Ibr+obi</w:t>
            </w:r>
            <w:proofErr w:type="spellEnd"/>
            <w:r w:rsidRPr="00947BED">
              <w:rPr>
                <w:b/>
                <w:bCs/>
              </w:rPr>
              <w:t xml:space="preserve"> (N=</w:t>
            </w:r>
            <w:r>
              <w:rPr>
                <w:b/>
                <w:bCs/>
              </w:rPr>
              <w:t>99</w:t>
            </w:r>
            <w:r w:rsidRPr="00947BED">
              <w:rPr>
                <w:b/>
                <w:bCs/>
              </w:rPr>
              <w:t>)</w:t>
            </w:r>
          </w:p>
        </w:tc>
        <w:tc>
          <w:tcPr>
            <w:tcW w:w="1701" w:type="dxa"/>
            <w:vAlign w:val="center"/>
          </w:tcPr>
          <w:p w:rsidR="004A20FE" w:rsidRPr="00947BED" w:rsidRDefault="004A20FE" w:rsidP="00B9191D">
            <w:pPr>
              <w:pStyle w:val="TableText1"/>
              <w:keepLines/>
              <w:widowControl w:val="0"/>
              <w:jc w:val="center"/>
              <w:rPr>
                <w:b/>
                <w:bCs/>
              </w:rPr>
            </w:pPr>
            <w:proofErr w:type="spellStart"/>
            <w:r w:rsidRPr="00947BED">
              <w:rPr>
                <w:b/>
                <w:bCs/>
              </w:rPr>
              <w:t>Obi+chl</w:t>
            </w:r>
            <w:proofErr w:type="spellEnd"/>
            <w:r w:rsidRPr="00947BED">
              <w:rPr>
                <w:b/>
                <w:bCs/>
              </w:rPr>
              <w:t xml:space="preserve"> (N=</w:t>
            </w:r>
            <w:r>
              <w:rPr>
                <w:b/>
                <w:bCs/>
              </w:rPr>
              <w:t>98</w:t>
            </w:r>
            <w:r w:rsidRPr="00947BED">
              <w:rPr>
                <w:b/>
                <w:bCs/>
              </w:rPr>
              <w:t>)</w:t>
            </w:r>
          </w:p>
        </w:tc>
      </w:tr>
      <w:tr w:rsidR="004A20FE" w:rsidRPr="0038360D" w:rsidTr="009C6A43">
        <w:tc>
          <w:tcPr>
            <w:tcW w:w="2547" w:type="dxa"/>
            <w:tcBorders>
              <w:bottom w:val="nil"/>
            </w:tcBorders>
            <w:vAlign w:val="center"/>
          </w:tcPr>
          <w:p w:rsidR="004A20FE" w:rsidRDefault="004A20FE" w:rsidP="00B9191D">
            <w:pPr>
              <w:pStyle w:val="TableText1"/>
              <w:keepLines/>
              <w:widowControl w:val="0"/>
              <w:tabs>
                <w:tab w:val="left" w:pos="142"/>
              </w:tabs>
            </w:pPr>
            <w:r>
              <w:t>Any TEAE</w:t>
            </w:r>
          </w:p>
        </w:tc>
        <w:tc>
          <w:tcPr>
            <w:tcW w:w="1572" w:type="dxa"/>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559" w:type="dxa"/>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gridSpan w:val="2"/>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r>
      <w:tr w:rsidR="004A20FE" w:rsidRPr="0038360D" w:rsidTr="009C6A43">
        <w:tc>
          <w:tcPr>
            <w:tcW w:w="2547" w:type="dxa"/>
            <w:tcBorders>
              <w:top w:val="nil"/>
            </w:tcBorders>
            <w:vAlign w:val="center"/>
          </w:tcPr>
          <w:p w:rsidR="004A20FE" w:rsidRDefault="004A20FE" w:rsidP="00B9191D">
            <w:pPr>
              <w:pStyle w:val="TableText1"/>
              <w:keepLines/>
              <w:widowControl w:val="0"/>
              <w:tabs>
                <w:tab w:val="left" w:pos="142"/>
              </w:tabs>
            </w:pPr>
            <w:r>
              <w:tab/>
              <w:t>Grade ≥3</w:t>
            </w:r>
          </w:p>
        </w:tc>
        <w:tc>
          <w:tcPr>
            <w:tcW w:w="1572" w:type="dxa"/>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559" w:type="dxa"/>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gridSpan w:val="2"/>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r>
      <w:tr w:rsidR="004A20FE" w:rsidRPr="0038360D" w:rsidTr="009C6A43">
        <w:tc>
          <w:tcPr>
            <w:tcW w:w="2547" w:type="dxa"/>
            <w:tcBorders>
              <w:bottom w:val="nil"/>
            </w:tcBorders>
            <w:vAlign w:val="center"/>
          </w:tcPr>
          <w:p w:rsidR="004A20FE" w:rsidRDefault="004A20FE" w:rsidP="00B9191D">
            <w:pPr>
              <w:pStyle w:val="TableText1"/>
              <w:keepLines/>
              <w:widowControl w:val="0"/>
              <w:tabs>
                <w:tab w:val="left" w:pos="142"/>
              </w:tabs>
            </w:pPr>
            <w:r>
              <w:t>Any SAE</w:t>
            </w:r>
          </w:p>
        </w:tc>
        <w:tc>
          <w:tcPr>
            <w:tcW w:w="1572" w:type="dxa"/>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559" w:type="dxa"/>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gridSpan w:val="2"/>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r>
      <w:tr w:rsidR="004A20FE" w:rsidRPr="0038360D" w:rsidTr="009C6A43">
        <w:tc>
          <w:tcPr>
            <w:tcW w:w="2547" w:type="dxa"/>
            <w:tcBorders>
              <w:top w:val="nil"/>
              <w:bottom w:val="nil"/>
            </w:tcBorders>
            <w:vAlign w:val="center"/>
          </w:tcPr>
          <w:p w:rsidR="004A20FE" w:rsidRDefault="004A20FE" w:rsidP="00B9191D">
            <w:pPr>
              <w:pStyle w:val="TableText1"/>
              <w:keepLines/>
              <w:widowControl w:val="0"/>
              <w:tabs>
                <w:tab w:val="left" w:pos="142"/>
              </w:tabs>
            </w:pPr>
            <w:r>
              <w:tab/>
              <w:t>Grade ≥3</w:t>
            </w:r>
          </w:p>
        </w:tc>
        <w:tc>
          <w:tcPr>
            <w:tcW w:w="1572" w:type="dxa"/>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559" w:type="dxa"/>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gridSpan w:val="2"/>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C033D">
              <w:rPr>
                <w:color w:val="000000"/>
                <w:szCs w:val="20"/>
                <w:lang w:val="en-US" w:eastAsia="en-AU"/>
              </w:rPr>
              <w:t xml:space="preserve"> </w:t>
            </w:r>
            <w:r w:rsidR="004A20FE" w:rsidRPr="0038360D">
              <w:rPr>
                <w:color w:val="000000"/>
                <w:szCs w:val="20"/>
                <w:lang w:val="en-US" w:eastAsia="en-AU"/>
              </w:rPr>
              <w:t>(</w:t>
            </w:r>
            <w:r>
              <w:rPr>
                <w:noProof/>
                <w:color w:val="000000"/>
                <w:szCs w:val="20"/>
                <w:highlight w:val="black"/>
                <w:lang w:val="en-US" w:eastAsia="en-AU"/>
              </w:rPr>
              <w:t>''''''''''''''</w:t>
            </w:r>
            <w:r w:rsidR="004A20FE" w:rsidRPr="0038360D">
              <w:rPr>
                <w:color w:val="000000"/>
                <w:szCs w:val="20"/>
                <w:lang w:val="en-US" w:eastAsia="en-AU"/>
              </w:rPr>
              <w:t>%)</w:t>
            </w:r>
          </w:p>
        </w:tc>
        <w:tc>
          <w:tcPr>
            <w:tcW w:w="1701" w:type="dxa"/>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r>
      <w:tr w:rsidR="004A20FE" w:rsidRPr="0038360D" w:rsidTr="009C6A43">
        <w:tc>
          <w:tcPr>
            <w:tcW w:w="2547" w:type="dxa"/>
            <w:tcBorders>
              <w:top w:val="nil"/>
              <w:bottom w:val="nil"/>
            </w:tcBorders>
            <w:vAlign w:val="center"/>
          </w:tcPr>
          <w:p w:rsidR="004A20FE" w:rsidRDefault="004A20FE" w:rsidP="00B9191D">
            <w:pPr>
              <w:pStyle w:val="TableText1"/>
              <w:keepLines/>
              <w:widowControl w:val="0"/>
              <w:tabs>
                <w:tab w:val="left" w:pos="142"/>
              </w:tabs>
            </w:pPr>
            <w:r>
              <w:tab/>
            </w:r>
            <w:proofErr w:type="spellStart"/>
            <w:r>
              <w:t>Ibr</w:t>
            </w:r>
            <w:proofErr w:type="spellEnd"/>
            <w:r>
              <w:t>/</w:t>
            </w:r>
            <w:proofErr w:type="spellStart"/>
            <w:r>
              <w:t>chl</w:t>
            </w:r>
            <w:proofErr w:type="spellEnd"/>
            <w:r>
              <w:t>-related SAE</w:t>
            </w:r>
          </w:p>
        </w:tc>
        <w:tc>
          <w:tcPr>
            <w:tcW w:w="1572" w:type="dxa"/>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559" w:type="dxa"/>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gridSpan w:val="2"/>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r>
      <w:tr w:rsidR="004A20FE" w:rsidRPr="0038360D" w:rsidTr="009C6A43">
        <w:tc>
          <w:tcPr>
            <w:tcW w:w="2547" w:type="dxa"/>
            <w:tcBorders>
              <w:top w:val="nil"/>
            </w:tcBorders>
            <w:vAlign w:val="center"/>
          </w:tcPr>
          <w:p w:rsidR="004A20FE" w:rsidRDefault="004A20FE" w:rsidP="00B9191D">
            <w:pPr>
              <w:pStyle w:val="TableText1"/>
              <w:keepLines/>
              <w:widowControl w:val="0"/>
              <w:tabs>
                <w:tab w:val="left" w:pos="142"/>
              </w:tabs>
            </w:pPr>
            <w:r>
              <w:tab/>
              <w:t>Obi-related SAE</w:t>
            </w:r>
          </w:p>
        </w:tc>
        <w:tc>
          <w:tcPr>
            <w:tcW w:w="1572" w:type="dxa"/>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559" w:type="dxa"/>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gridSpan w:val="2"/>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r>
      <w:tr w:rsidR="004A20FE" w:rsidRPr="0038360D" w:rsidTr="009C6A43">
        <w:tc>
          <w:tcPr>
            <w:tcW w:w="2547" w:type="dxa"/>
            <w:vAlign w:val="center"/>
          </w:tcPr>
          <w:p w:rsidR="004A20FE" w:rsidRDefault="004A20FE" w:rsidP="00B9191D">
            <w:pPr>
              <w:pStyle w:val="TableText1"/>
              <w:keepLines/>
              <w:widowControl w:val="0"/>
              <w:tabs>
                <w:tab w:val="left" w:pos="142"/>
              </w:tabs>
            </w:pPr>
            <w:r>
              <w:t>Fatal AE</w:t>
            </w:r>
          </w:p>
        </w:tc>
        <w:tc>
          <w:tcPr>
            <w:tcW w:w="1572" w:type="dxa"/>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559" w:type="dxa"/>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gridSpan w:val="2"/>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r>
      <w:tr w:rsidR="004A20FE" w:rsidRPr="0038360D" w:rsidTr="009C6A43">
        <w:tc>
          <w:tcPr>
            <w:tcW w:w="2547" w:type="dxa"/>
            <w:tcBorders>
              <w:bottom w:val="nil"/>
            </w:tcBorders>
            <w:vAlign w:val="center"/>
          </w:tcPr>
          <w:p w:rsidR="004A20FE" w:rsidRDefault="004A20FE" w:rsidP="00B9191D">
            <w:pPr>
              <w:pStyle w:val="TableText1"/>
              <w:keepLines/>
              <w:widowControl w:val="0"/>
              <w:tabs>
                <w:tab w:val="left" w:pos="142"/>
              </w:tabs>
            </w:pPr>
            <w:r>
              <w:t>Major haemorrhage</w:t>
            </w:r>
          </w:p>
        </w:tc>
        <w:tc>
          <w:tcPr>
            <w:tcW w:w="1572" w:type="dxa"/>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559" w:type="dxa"/>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gridSpan w:val="2"/>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tcBorders>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sidR="004A20FE" w:rsidRPr="00E05B6F">
              <w:rPr>
                <w:color w:val="000000"/>
                <w:szCs w:val="20"/>
                <w:lang w:val="en-US" w:eastAsia="en-AU"/>
              </w:rPr>
              <w:t>(</w:t>
            </w:r>
            <w:r>
              <w:rPr>
                <w:noProof/>
                <w:color w:val="000000"/>
                <w:szCs w:val="20"/>
                <w:highlight w:val="black"/>
                <w:lang w:val="en-US" w:eastAsia="en-AU"/>
              </w:rPr>
              <w:t>''''</w:t>
            </w:r>
            <w:r w:rsidR="004A20FE" w:rsidRPr="0038360D">
              <w:rPr>
                <w:color w:val="000000"/>
                <w:szCs w:val="20"/>
                <w:lang w:val="en-US" w:eastAsia="en-AU"/>
              </w:rPr>
              <w:t>%)</w:t>
            </w:r>
          </w:p>
        </w:tc>
      </w:tr>
      <w:tr w:rsidR="004A20FE" w:rsidRPr="0038360D" w:rsidTr="009C6A43">
        <w:tc>
          <w:tcPr>
            <w:tcW w:w="2547" w:type="dxa"/>
            <w:tcBorders>
              <w:top w:val="nil"/>
              <w:bottom w:val="nil"/>
            </w:tcBorders>
            <w:vAlign w:val="center"/>
          </w:tcPr>
          <w:p w:rsidR="004A20FE" w:rsidRDefault="004A20FE" w:rsidP="00B9191D">
            <w:pPr>
              <w:pStyle w:val="TableText1"/>
              <w:keepLines/>
              <w:widowControl w:val="0"/>
              <w:tabs>
                <w:tab w:val="left" w:pos="142"/>
              </w:tabs>
            </w:pPr>
            <w:r>
              <w:tab/>
              <w:t>Grade ≥3</w:t>
            </w:r>
          </w:p>
        </w:tc>
        <w:tc>
          <w:tcPr>
            <w:tcW w:w="1572" w:type="dxa"/>
            <w:tcBorders>
              <w:top w:val="single" w:sz="4" w:space="0" w:color="auto"/>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559" w:type="dxa"/>
            <w:tcBorders>
              <w:top w:val="single" w:sz="4" w:space="0" w:color="auto"/>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gridSpan w:val="2"/>
            <w:tcBorders>
              <w:top w:val="single" w:sz="4" w:space="0" w:color="auto"/>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tcBorders>
              <w:top w:val="single" w:sz="4" w:space="0" w:color="auto"/>
              <w:bottom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r>
      <w:tr w:rsidR="004A20FE" w:rsidRPr="0038360D" w:rsidTr="009C6A43">
        <w:tc>
          <w:tcPr>
            <w:tcW w:w="2547" w:type="dxa"/>
            <w:tcBorders>
              <w:top w:val="nil"/>
            </w:tcBorders>
            <w:vAlign w:val="center"/>
          </w:tcPr>
          <w:p w:rsidR="004A20FE" w:rsidRDefault="004A20FE" w:rsidP="00B9191D">
            <w:pPr>
              <w:pStyle w:val="TableText1"/>
              <w:keepLines/>
              <w:widowControl w:val="0"/>
              <w:tabs>
                <w:tab w:val="left" w:pos="142"/>
              </w:tabs>
            </w:pPr>
            <w:r>
              <w:tab/>
              <w:t>SAE</w:t>
            </w:r>
          </w:p>
        </w:tc>
        <w:tc>
          <w:tcPr>
            <w:tcW w:w="1572" w:type="dxa"/>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559" w:type="dxa"/>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gridSpan w:val="2"/>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c>
          <w:tcPr>
            <w:tcW w:w="1701" w:type="dxa"/>
            <w:tcBorders>
              <w:top w:val="single" w:sz="4" w:space="0" w:color="auto"/>
            </w:tcBorders>
            <w:vAlign w:val="center"/>
          </w:tcPr>
          <w:p w:rsidR="004A20FE" w:rsidRPr="0038360D" w:rsidRDefault="007E3667" w:rsidP="00B9191D">
            <w:pPr>
              <w:pStyle w:val="TableText1"/>
              <w:keepLines/>
              <w:widowControl w:val="0"/>
              <w:jc w:val="center"/>
              <w:rPr>
                <w:szCs w:val="20"/>
              </w:rPr>
            </w:pPr>
            <w:r>
              <w:rPr>
                <w:noProof/>
                <w:color w:val="000000"/>
                <w:szCs w:val="20"/>
                <w:highlight w:val="black"/>
                <w:lang w:val="en-US" w:eastAsia="en-AU"/>
              </w:rPr>
              <w:t>'''</w:t>
            </w:r>
            <w:r w:rsidR="004A20FE" w:rsidRPr="0038360D">
              <w:rPr>
                <w:color w:val="000000"/>
                <w:szCs w:val="20"/>
                <w:lang w:val="en-US" w:eastAsia="en-AU"/>
              </w:rPr>
              <w:t xml:space="preserve"> (</w:t>
            </w:r>
            <w:r>
              <w:rPr>
                <w:noProof/>
                <w:color w:val="000000"/>
                <w:szCs w:val="20"/>
                <w:highlight w:val="black"/>
                <w:lang w:val="en-US" w:eastAsia="en-AU"/>
              </w:rPr>
              <w:t>'''</w:t>
            </w:r>
            <w:r w:rsidR="004A20FE" w:rsidRPr="0038360D">
              <w:rPr>
                <w:color w:val="000000"/>
                <w:szCs w:val="20"/>
                <w:lang w:val="en-US" w:eastAsia="en-AU"/>
              </w:rPr>
              <w:t>%)</w:t>
            </w:r>
          </w:p>
        </w:tc>
      </w:tr>
    </w:tbl>
    <w:p w:rsidR="004A20FE" w:rsidRDefault="004A20FE" w:rsidP="00B9191D">
      <w:pPr>
        <w:pStyle w:val="TableFooter"/>
        <w:keepNext/>
        <w:keepLines/>
      </w:pPr>
      <w:r>
        <w:t xml:space="preserve">AE=adverse event; </w:t>
      </w:r>
      <w:proofErr w:type="spellStart"/>
      <w:r>
        <w:t>chl</w:t>
      </w:r>
      <w:proofErr w:type="spellEnd"/>
      <w:r>
        <w:t>=</w:t>
      </w:r>
      <w:proofErr w:type="spellStart"/>
      <w:r>
        <w:t>chlorambucil</w:t>
      </w:r>
      <w:proofErr w:type="spellEnd"/>
      <w:r>
        <w:t xml:space="preserve">; </w:t>
      </w:r>
      <w:proofErr w:type="spellStart"/>
      <w:r>
        <w:t>ibr</w:t>
      </w:r>
      <w:proofErr w:type="spellEnd"/>
      <w:r>
        <w:t>=</w:t>
      </w:r>
      <w:proofErr w:type="spellStart"/>
      <w:r>
        <w:t>ibrutinib</w:t>
      </w:r>
      <w:proofErr w:type="spellEnd"/>
      <w:r>
        <w:t>; obi=</w:t>
      </w:r>
      <w:proofErr w:type="spellStart"/>
      <w:r>
        <w:t>obinutuzumab</w:t>
      </w:r>
      <w:proofErr w:type="spellEnd"/>
      <w:r>
        <w:t>; SAE=serious adverse event; TEAE=treatment-emergent adverse event</w:t>
      </w:r>
    </w:p>
    <w:p w:rsidR="004A20FE" w:rsidRDefault="004A20FE" w:rsidP="00B9191D">
      <w:pPr>
        <w:pStyle w:val="TableFooter"/>
        <w:keepNext/>
        <w:keepLines/>
      </w:pPr>
      <w:r>
        <w:t>Source:  Table 2.25, p100 of Section 2.5.2.1 of the resubmission.</w:t>
      </w:r>
    </w:p>
    <w:p w:rsidR="004A20FE" w:rsidRPr="00EB5599" w:rsidRDefault="004A20FE" w:rsidP="004A20FE">
      <w:pPr>
        <w:pStyle w:val="TableFooter"/>
      </w:pPr>
    </w:p>
    <w:p w:rsidR="005F0655" w:rsidRPr="00EB5599" w:rsidRDefault="005F0655" w:rsidP="00B2597F">
      <w:pPr>
        <w:pStyle w:val="ListParagraph"/>
        <w:numPr>
          <w:ilvl w:val="1"/>
          <w:numId w:val="1"/>
        </w:numPr>
      </w:pPr>
      <w:r>
        <w:t>T</w:t>
      </w:r>
      <w:r w:rsidR="00992C5B" w:rsidRPr="00EB5599">
        <w:t xml:space="preserve">he resubmission </w:t>
      </w:r>
      <w:r>
        <w:t>claimed</w:t>
      </w:r>
      <w:r w:rsidR="00992C5B" w:rsidRPr="00EB5599">
        <w:t xml:space="preserve"> that the safety profile of patients with del17p is similar to the safety profile of the complement subgroup and the ITT population in ILLUMINATE.  The resubmission also stated there were no significant differences observed in the incidence of AEs that are associated specifically with del17p patients, either over the first 9 months or the overall duration of the trial. </w:t>
      </w:r>
      <w:r>
        <w:t xml:space="preserve">However, </w:t>
      </w:r>
      <w:r w:rsidR="00992C5B" w:rsidRPr="00EB5599">
        <w:rPr>
          <w:iCs/>
        </w:rPr>
        <w:t xml:space="preserve">no statistical comparisons </w:t>
      </w:r>
      <w:r w:rsidR="004037F4">
        <w:rPr>
          <w:iCs/>
        </w:rPr>
        <w:t xml:space="preserve">were </w:t>
      </w:r>
      <w:r w:rsidR="00992C5B" w:rsidRPr="00EB5599">
        <w:rPr>
          <w:iCs/>
        </w:rPr>
        <w:t>presented.</w:t>
      </w:r>
    </w:p>
    <w:p w:rsidR="005F0655" w:rsidRPr="00E773B1" w:rsidRDefault="00992C5B" w:rsidP="00B2597F">
      <w:pPr>
        <w:pStyle w:val="ListParagraph"/>
        <w:numPr>
          <w:ilvl w:val="1"/>
          <w:numId w:val="1"/>
        </w:numPr>
      </w:pPr>
      <w:r w:rsidRPr="00EB5599">
        <w:t xml:space="preserve">There was a </w:t>
      </w:r>
      <w:r w:rsidRPr="009535EB">
        <w:t xml:space="preserve">greater occurrence of SAEs in del17p patients treated with </w:t>
      </w:r>
      <w:proofErr w:type="spellStart"/>
      <w:r w:rsidRPr="009535EB">
        <w:t>ibr+obi</w:t>
      </w:r>
      <w:proofErr w:type="spellEnd"/>
      <w:r w:rsidRPr="009535EB">
        <w:t xml:space="preserve"> (</w:t>
      </w:r>
      <w:r w:rsidR="007E3667">
        <w:rPr>
          <w:noProof/>
          <w:color w:val="000000"/>
          <w:highlight w:val="black"/>
        </w:rPr>
        <w:t>'''''' '''</w:t>
      </w:r>
      <w:r w:rsidRPr="009535EB">
        <w:t>%) compared to non-del17p patients (</w:t>
      </w:r>
      <w:r w:rsidR="007E3667">
        <w:rPr>
          <w:noProof/>
          <w:color w:val="000000"/>
          <w:highlight w:val="black"/>
        </w:rPr>
        <w:t>'''''''''</w:t>
      </w:r>
      <w:r w:rsidR="009535EB" w:rsidRPr="009535EB">
        <w:t>%</w:t>
      </w:r>
      <w:r w:rsidRPr="009535EB">
        <w:t xml:space="preserve">) over the entire trial period. </w:t>
      </w:r>
      <w:r w:rsidR="00EE210C" w:rsidRPr="009535EB">
        <w:t>The</w:t>
      </w:r>
      <w:r w:rsidR="00255753" w:rsidRPr="009535EB">
        <w:rPr>
          <w:i/>
        </w:rPr>
        <w:t xml:space="preserve"> </w:t>
      </w:r>
      <w:r w:rsidR="00D063BE" w:rsidRPr="009535EB">
        <w:rPr>
          <w:iCs/>
        </w:rPr>
        <w:t>resubmission did not report the occurrence of atrial fibrillation for the del17p subgroup.</w:t>
      </w:r>
      <w:r w:rsidR="00D063BE" w:rsidRPr="009535EB">
        <w:t xml:space="preserve"> </w:t>
      </w:r>
      <w:r w:rsidR="00255753" w:rsidRPr="009535EB">
        <w:t xml:space="preserve">The </w:t>
      </w:r>
      <w:r w:rsidRPr="009535EB">
        <w:t>proportion of patients with major haemorrhage was greater for del17p patients (</w:t>
      </w:r>
      <w:r w:rsidR="007E3667">
        <w:rPr>
          <w:noProof/>
          <w:color w:val="000000"/>
          <w:highlight w:val="black"/>
        </w:rPr>
        <w:t>'''''''''</w:t>
      </w:r>
      <w:r w:rsidR="009535EB" w:rsidRPr="009535EB">
        <w:t xml:space="preserve">% compared to </w:t>
      </w:r>
      <w:r w:rsidR="007E3667">
        <w:rPr>
          <w:noProof/>
          <w:color w:val="000000"/>
          <w:highlight w:val="black"/>
        </w:rPr>
        <w:t>''''''</w:t>
      </w:r>
      <w:r w:rsidR="009535EB" w:rsidRPr="009535EB">
        <w:t xml:space="preserve">% for non-del17p patients) </w:t>
      </w:r>
      <w:r w:rsidR="00D063BE" w:rsidRPr="009535EB">
        <w:t>with</w:t>
      </w:r>
      <w:r w:rsidRPr="009535EB">
        <w:t xml:space="preserve"> no</w:t>
      </w:r>
      <w:r w:rsidRPr="00E773B1">
        <w:t xml:space="preserve"> incidents of major haemorrhage reported for </w:t>
      </w:r>
      <w:proofErr w:type="spellStart"/>
      <w:r w:rsidRPr="00E773B1">
        <w:t>obi+chl-treated</w:t>
      </w:r>
      <w:proofErr w:type="spellEnd"/>
      <w:r w:rsidRPr="00E773B1">
        <w:t xml:space="preserve"> patients. </w:t>
      </w:r>
      <w:r w:rsidR="00D063BE" w:rsidRPr="00E773B1">
        <w:t xml:space="preserve">The ESC noted the higher incidence of major haemorrhage but considered that the small number </w:t>
      </w:r>
      <w:r w:rsidR="00287577" w:rsidRPr="00E773B1">
        <w:t xml:space="preserve">of patients with del17p </w:t>
      </w:r>
      <w:r w:rsidR="00D063BE" w:rsidRPr="00E773B1">
        <w:t xml:space="preserve">made it difficult to determine if the risk of </w:t>
      </w:r>
      <w:r w:rsidR="00287577" w:rsidRPr="00E773B1">
        <w:t xml:space="preserve">this AE </w:t>
      </w:r>
      <w:r w:rsidR="00D063BE" w:rsidRPr="00E773B1">
        <w:t>was significant</w:t>
      </w:r>
      <w:r w:rsidR="00287577" w:rsidRPr="00E773B1">
        <w:t>ly different from those without del17p</w:t>
      </w:r>
      <w:r w:rsidR="00D063BE" w:rsidRPr="00E773B1">
        <w:t xml:space="preserve">. </w:t>
      </w:r>
    </w:p>
    <w:p w:rsidR="009C6A43" w:rsidRDefault="009C6A43" w:rsidP="00B2597F">
      <w:pPr>
        <w:pStyle w:val="ListParagraph"/>
        <w:numPr>
          <w:ilvl w:val="1"/>
          <w:numId w:val="1"/>
        </w:numPr>
      </w:pPr>
      <w:r>
        <w:t xml:space="preserve">To support the claim that </w:t>
      </w:r>
      <w:r w:rsidR="00EE210C" w:rsidRPr="00212DE9">
        <w:t>the safety of</w:t>
      </w:r>
      <w:r w:rsidR="00EE210C">
        <w:t xml:space="preserve"> </w:t>
      </w:r>
      <w:proofErr w:type="spellStart"/>
      <w:r>
        <w:t>ibrutinib</w:t>
      </w:r>
      <w:proofErr w:type="spellEnd"/>
      <w:r>
        <w:t xml:space="preserve"> monotherapy and </w:t>
      </w:r>
      <w:proofErr w:type="spellStart"/>
      <w:r>
        <w:t>ibr+obi</w:t>
      </w:r>
      <w:proofErr w:type="spellEnd"/>
      <w:r>
        <w:t xml:space="preserve"> are similar, the resubmission provided a naïve single arm comparison of ibrutinib monotherapy harm data from RESONATE-2 and </w:t>
      </w:r>
      <w:proofErr w:type="spellStart"/>
      <w:r>
        <w:t>ibr+obi</w:t>
      </w:r>
      <w:proofErr w:type="spellEnd"/>
      <w:r>
        <w:t xml:space="preserve"> data from ILLUMINATE, using the ITT populations. In addition, a direct comparison of ibrutinib monotherapy data and </w:t>
      </w:r>
      <w:proofErr w:type="spellStart"/>
      <w:r>
        <w:t>ibr+ritux</w:t>
      </w:r>
      <w:proofErr w:type="spellEnd"/>
      <w:r>
        <w:t xml:space="preserve"> data from the ALLIANCE trial was provided.</w:t>
      </w:r>
      <w:r w:rsidRPr="00B7216A">
        <w:t xml:space="preserve"> </w:t>
      </w:r>
      <w:r>
        <w:t>Table 10 provides a summary of these results.</w:t>
      </w:r>
    </w:p>
    <w:p w:rsidR="009C6A43" w:rsidRPr="009C6A43" w:rsidRDefault="009C6A43" w:rsidP="00B9191D">
      <w:pPr>
        <w:pStyle w:val="TableTitleES"/>
        <w:keepNext/>
        <w:keepLines/>
        <w:rPr>
          <w:rFonts w:ascii="Arial Narrow" w:hAnsi="Arial Narrow"/>
          <w:szCs w:val="20"/>
          <w:lang w:eastAsia="en-GB"/>
        </w:rPr>
      </w:pPr>
      <w:r w:rsidRPr="009C6A43">
        <w:rPr>
          <w:rFonts w:ascii="Arial Narrow" w:hAnsi="Arial Narrow"/>
          <w:szCs w:val="20"/>
          <w:lang w:eastAsia="en-GB"/>
        </w:rPr>
        <w:lastRenderedPageBreak/>
        <w:t xml:space="preserve">Table </w:t>
      </w:r>
      <w:r>
        <w:rPr>
          <w:rFonts w:ascii="Arial Narrow" w:hAnsi="Arial Narrow"/>
          <w:szCs w:val="20"/>
          <w:lang w:eastAsia="en-GB"/>
        </w:rPr>
        <w:t>10</w:t>
      </w:r>
      <w:r w:rsidRPr="009C6A43">
        <w:rPr>
          <w:rFonts w:ascii="Arial Narrow" w:hAnsi="Arial Narrow"/>
          <w:szCs w:val="20"/>
          <w:lang w:eastAsia="en-GB"/>
        </w:rPr>
        <w:t>:  Summary of safety outcomes across ILLUMINATE, RESONATE-2 and ALLIANCE</w:t>
      </w:r>
    </w:p>
    <w:tbl>
      <w:tblPr>
        <w:tblStyle w:val="TableGrid"/>
        <w:tblW w:w="9067" w:type="dxa"/>
        <w:tblLook w:val="04A0" w:firstRow="1" w:lastRow="0" w:firstColumn="1" w:lastColumn="0" w:noHBand="0" w:noVBand="1"/>
        <w:tblCaption w:val="Table 10:  Summary of safety outcomes across ILLUMINATE, RESONATE-2 and ALLIANCE"/>
      </w:tblPr>
      <w:tblGrid>
        <w:gridCol w:w="2909"/>
        <w:gridCol w:w="6158"/>
      </w:tblGrid>
      <w:tr w:rsidR="009C6A43" w:rsidRPr="004A012C" w:rsidTr="00906E74">
        <w:trPr>
          <w:tblHeader/>
        </w:trPr>
        <w:tc>
          <w:tcPr>
            <w:tcW w:w="2909" w:type="dxa"/>
            <w:vAlign w:val="center"/>
          </w:tcPr>
          <w:p w:rsidR="009C6A43" w:rsidRPr="004A012C" w:rsidRDefault="009C6A43" w:rsidP="00B9191D">
            <w:pPr>
              <w:pStyle w:val="TableText1"/>
              <w:keepLines/>
              <w:tabs>
                <w:tab w:val="left" w:pos="142"/>
              </w:tabs>
              <w:rPr>
                <w:b/>
                <w:bCs/>
              </w:rPr>
            </w:pPr>
            <w:r>
              <w:rPr>
                <w:b/>
                <w:bCs/>
              </w:rPr>
              <w:t>Comparison</w:t>
            </w:r>
          </w:p>
        </w:tc>
        <w:tc>
          <w:tcPr>
            <w:tcW w:w="6158" w:type="dxa"/>
            <w:vAlign w:val="center"/>
          </w:tcPr>
          <w:p w:rsidR="009C6A43" w:rsidRPr="004A012C" w:rsidRDefault="009C6A43" w:rsidP="00B9191D">
            <w:pPr>
              <w:pStyle w:val="TableText1"/>
              <w:keepLines/>
              <w:jc w:val="center"/>
              <w:rPr>
                <w:b/>
                <w:bCs/>
              </w:rPr>
            </w:pPr>
            <w:r>
              <w:rPr>
                <w:b/>
                <w:bCs/>
              </w:rPr>
              <w:t>Summary of AE results</w:t>
            </w:r>
          </w:p>
        </w:tc>
      </w:tr>
      <w:tr w:rsidR="009C6A43" w:rsidTr="009C6A43">
        <w:tc>
          <w:tcPr>
            <w:tcW w:w="9067" w:type="dxa"/>
            <w:gridSpan w:val="2"/>
            <w:vAlign w:val="center"/>
          </w:tcPr>
          <w:p w:rsidR="009C6A43" w:rsidRPr="00497556" w:rsidRDefault="009C6A43" w:rsidP="00B9191D">
            <w:pPr>
              <w:pStyle w:val="PBACHeading1"/>
              <w:keepNext/>
              <w:keepLines/>
              <w:numPr>
                <w:ilvl w:val="0"/>
                <w:numId w:val="0"/>
              </w:numPr>
              <w:ind w:left="720" w:hanging="720"/>
              <w:rPr>
                <w:rFonts w:ascii="Arial Narrow" w:eastAsiaTheme="minorHAnsi" w:hAnsi="Arial Narrow" w:cstheme="minorBidi"/>
                <w:b w:val="0"/>
                <w:snapToGrid/>
                <w:sz w:val="20"/>
              </w:rPr>
            </w:pPr>
            <w:r>
              <w:rPr>
                <w:rFonts w:ascii="Arial Narrow" w:eastAsiaTheme="minorHAnsi" w:hAnsi="Arial Narrow" w:cstheme="minorBidi"/>
                <w:b w:val="0"/>
                <w:snapToGrid/>
                <w:sz w:val="20"/>
              </w:rPr>
              <w:t xml:space="preserve">Comparisons </w:t>
            </w:r>
            <w:r w:rsidRPr="005E3711">
              <w:rPr>
                <w:rFonts w:ascii="Arial Narrow" w:eastAsiaTheme="minorHAnsi" w:hAnsi="Arial Narrow" w:cstheme="minorBidi"/>
                <w:b w:val="0"/>
                <w:snapToGrid/>
                <w:sz w:val="20"/>
              </w:rPr>
              <w:t xml:space="preserve">of </w:t>
            </w:r>
            <w:proofErr w:type="spellStart"/>
            <w:r w:rsidRPr="005E3711">
              <w:rPr>
                <w:rFonts w:ascii="Arial Narrow" w:eastAsiaTheme="minorHAnsi" w:hAnsi="Arial Narrow" w:cstheme="minorBidi"/>
                <w:b w:val="0"/>
                <w:snapToGrid/>
                <w:sz w:val="20"/>
              </w:rPr>
              <w:t>Ibr</w:t>
            </w:r>
            <w:proofErr w:type="spellEnd"/>
            <w:r w:rsidRPr="005E3711">
              <w:rPr>
                <w:rFonts w:ascii="Arial Narrow" w:eastAsiaTheme="minorHAnsi" w:hAnsi="Arial Narrow" w:cstheme="minorBidi"/>
                <w:b w:val="0"/>
                <w:snapToGrid/>
                <w:sz w:val="20"/>
              </w:rPr>
              <w:t xml:space="preserve"> vs. </w:t>
            </w:r>
            <w:proofErr w:type="spellStart"/>
            <w:r w:rsidRPr="005E3711">
              <w:rPr>
                <w:rFonts w:ascii="Arial Narrow" w:eastAsiaTheme="minorHAnsi" w:hAnsi="Arial Narrow" w:cstheme="minorBidi"/>
                <w:b w:val="0"/>
                <w:snapToGrid/>
                <w:sz w:val="20"/>
              </w:rPr>
              <w:t>ibr+obi</w:t>
            </w:r>
            <w:proofErr w:type="spellEnd"/>
            <w:r>
              <w:rPr>
                <w:rFonts w:ascii="Arial Narrow" w:eastAsiaTheme="minorHAnsi" w:hAnsi="Arial Narrow" w:cstheme="minorBidi"/>
                <w:b w:val="0"/>
                <w:snapToGrid/>
                <w:sz w:val="20"/>
              </w:rPr>
              <w:t xml:space="preserve"> and </w:t>
            </w:r>
            <w:proofErr w:type="spellStart"/>
            <w:r>
              <w:rPr>
                <w:rFonts w:ascii="Arial Narrow" w:eastAsiaTheme="minorHAnsi" w:hAnsi="Arial Narrow" w:cstheme="minorBidi"/>
                <w:b w:val="0"/>
                <w:snapToGrid/>
                <w:sz w:val="20"/>
              </w:rPr>
              <w:t>Ibr</w:t>
            </w:r>
            <w:proofErr w:type="spellEnd"/>
            <w:r>
              <w:rPr>
                <w:rFonts w:ascii="Arial Narrow" w:eastAsiaTheme="minorHAnsi" w:hAnsi="Arial Narrow" w:cstheme="minorBidi"/>
                <w:b w:val="0"/>
                <w:snapToGrid/>
                <w:sz w:val="20"/>
              </w:rPr>
              <w:t xml:space="preserve"> vs </w:t>
            </w:r>
            <w:proofErr w:type="spellStart"/>
            <w:r>
              <w:rPr>
                <w:rFonts w:ascii="Arial Narrow" w:eastAsiaTheme="minorHAnsi" w:hAnsi="Arial Narrow" w:cstheme="minorBidi"/>
                <w:b w:val="0"/>
                <w:snapToGrid/>
                <w:sz w:val="20"/>
              </w:rPr>
              <w:t>ibr+ritux</w:t>
            </w:r>
            <w:proofErr w:type="spellEnd"/>
          </w:p>
        </w:tc>
      </w:tr>
      <w:tr w:rsidR="009C6A43" w:rsidTr="009C6A43">
        <w:tc>
          <w:tcPr>
            <w:tcW w:w="2909" w:type="dxa"/>
            <w:vAlign w:val="center"/>
          </w:tcPr>
          <w:p w:rsidR="009C6A43" w:rsidRDefault="009C6A43" w:rsidP="00B9191D">
            <w:pPr>
              <w:pStyle w:val="TableText1"/>
              <w:keepLines/>
              <w:tabs>
                <w:tab w:val="left" w:pos="142"/>
              </w:tabs>
            </w:pPr>
            <w:r>
              <w:tab/>
              <w:t xml:space="preserve">Naïve single arm comparison </w:t>
            </w:r>
            <w:r>
              <w:tab/>
              <w:t>(RESONATE-2 vs. ILLUMINATE)</w:t>
            </w:r>
          </w:p>
        </w:tc>
        <w:tc>
          <w:tcPr>
            <w:tcW w:w="6158" w:type="dxa"/>
            <w:vAlign w:val="center"/>
          </w:tcPr>
          <w:p w:rsidR="009C6A43" w:rsidRDefault="009C6A43" w:rsidP="00B9191D">
            <w:pPr>
              <w:pStyle w:val="TableText1"/>
              <w:keepLines/>
            </w:pPr>
            <w:r>
              <w:t xml:space="preserve">Ibrutinib monotherapy data from RESONATE-2 (N=135) compared to </w:t>
            </w:r>
            <w:proofErr w:type="spellStart"/>
            <w:r>
              <w:t>ibr+obi</w:t>
            </w:r>
            <w:proofErr w:type="spellEnd"/>
            <w:r>
              <w:t xml:space="preserve"> data in the ILLUMINATE trial (N=113), using the ITT population.  No statistical comparisons were provided.  Incidence of Grade 3 or 4 AEs, SAEs and Grade 3 or 4 SAEs was greater with </w:t>
            </w:r>
            <w:proofErr w:type="spellStart"/>
            <w:r>
              <w:t>ibr+obi</w:t>
            </w:r>
            <w:proofErr w:type="spellEnd"/>
            <w:r>
              <w:t xml:space="preserve"> compared to </w:t>
            </w:r>
            <w:proofErr w:type="spellStart"/>
            <w:r>
              <w:t>ibrutinib</w:t>
            </w:r>
            <w:proofErr w:type="spellEnd"/>
            <w:r>
              <w:t xml:space="preserve"> monotherapy.</w:t>
            </w:r>
          </w:p>
        </w:tc>
      </w:tr>
      <w:tr w:rsidR="009C6A43" w:rsidTr="009C6A43">
        <w:tc>
          <w:tcPr>
            <w:tcW w:w="2909" w:type="dxa"/>
            <w:vAlign w:val="center"/>
          </w:tcPr>
          <w:p w:rsidR="009C6A43" w:rsidRDefault="009C6A43" w:rsidP="00B9191D">
            <w:pPr>
              <w:pStyle w:val="TableText1"/>
              <w:keepLines/>
              <w:tabs>
                <w:tab w:val="left" w:pos="142"/>
              </w:tabs>
            </w:pPr>
            <w:r>
              <w:tab/>
              <w:t>Direct comparisons (ALLIANCE)</w:t>
            </w:r>
          </w:p>
        </w:tc>
        <w:tc>
          <w:tcPr>
            <w:tcW w:w="6158" w:type="dxa"/>
            <w:vAlign w:val="center"/>
          </w:tcPr>
          <w:p w:rsidR="009C6A43" w:rsidRDefault="009C6A43" w:rsidP="00B9191D">
            <w:pPr>
              <w:pStyle w:val="TableText1"/>
              <w:keepLines/>
            </w:pPr>
            <w:r>
              <w:t xml:space="preserve">Comparison of ibrutinib monotherapy (N=180) to </w:t>
            </w:r>
            <w:proofErr w:type="spellStart"/>
            <w:r>
              <w:t>ibr+ritux</w:t>
            </w:r>
            <w:proofErr w:type="spellEnd"/>
            <w:r>
              <w:t xml:space="preserve"> (N=181) in ALLIANCE, using statistical comparisons.  There were no statistically significant differences in Grade 3+ AEs between </w:t>
            </w:r>
            <w:proofErr w:type="spellStart"/>
            <w:r>
              <w:t>ibrutinib</w:t>
            </w:r>
            <w:proofErr w:type="spellEnd"/>
            <w:r>
              <w:t xml:space="preserve"> monotherapy and </w:t>
            </w:r>
            <w:proofErr w:type="spellStart"/>
            <w:r>
              <w:t>ibr+ritux</w:t>
            </w:r>
            <w:proofErr w:type="spellEnd"/>
            <w:r>
              <w:t>.</w:t>
            </w:r>
          </w:p>
        </w:tc>
      </w:tr>
    </w:tbl>
    <w:p w:rsidR="009C6A43" w:rsidRDefault="009C6A43" w:rsidP="00B9191D">
      <w:pPr>
        <w:pStyle w:val="TableFooter"/>
        <w:keepNext/>
        <w:keepLines/>
      </w:pPr>
      <w:r>
        <w:t xml:space="preserve">AE=adverse event; </w:t>
      </w:r>
      <w:proofErr w:type="spellStart"/>
      <w:r>
        <w:t>ibr</w:t>
      </w:r>
      <w:proofErr w:type="spellEnd"/>
      <w:r>
        <w:t>=</w:t>
      </w:r>
      <w:proofErr w:type="spellStart"/>
      <w:r>
        <w:t>ibrutinib</w:t>
      </w:r>
      <w:proofErr w:type="spellEnd"/>
      <w:r>
        <w:t>; obi=</w:t>
      </w:r>
      <w:proofErr w:type="spellStart"/>
      <w:r>
        <w:t>obinutuzumab</w:t>
      </w:r>
      <w:proofErr w:type="spellEnd"/>
      <w:r>
        <w:t xml:space="preserve">; RD=risk difference; </w:t>
      </w:r>
      <w:proofErr w:type="spellStart"/>
      <w:r>
        <w:t>ritux</w:t>
      </w:r>
      <w:proofErr w:type="spellEnd"/>
      <w:r>
        <w:t>=rituximab; SAE=serious adverse event</w:t>
      </w:r>
    </w:p>
    <w:p w:rsidR="009C6A43" w:rsidRPr="00EB5599" w:rsidRDefault="009C6A43" w:rsidP="00B9191D">
      <w:pPr>
        <w:pStyle w:val="TableFooter"/>
        <w:keepNext/>
        <w:keepLines/>
        <w:spacing w:after="120"/>
      </w:pPr>
      <w:r>
        <w:t>Source: Table 2.69, p41; Table 2.70, p42; Table 2.71, p45; Table 2.72, p47 of Section 2.14.2 of the resubmission.</w:t>
      </w:r>
    </w:p>
    <w:p w:rsidR="0020295F" w:rsidRPr="00E773B1" w:rsidRDefault="00A142BC" w:rsidP="00B2597F">
      <w:pPr>
        <w:pStyle w:val="ListParagraph"/>
        <w:numPr>
          <w:ilvl w:val="1"/>
          <w:numId w:val="1"/>
        </w:numPr>
      </w:pPr>
      <w:r>
        <w:t>The</w:t>
      </w:r>
      <w:r w:rsidR="0020295F" w:rsidRPr="00EB5599">
        <w:t xml:space="preserve"> resubmission concluded </w:t>
      </w:r>
      <w:r w:rsidR="0020295F" w:rsidRPr="00EB5599">
        <w:rPr>
          <w:rFonts w:cs="Calibri"/>
        </w:rPr>
        <w:t xml:space="preserve">non-inferior safety with ibrutinib monotherapy compared to </w:t>
      </w:r>
      <w:proofErr w:type="spellStart"/>
      <w:r w:rsidR="0020295F" w:rsidRPr="00EB5599">
        <w:rPr>
          <w:rFonts w:cs="Calibri"/>
        </w:rPr>
        <w:t>ibr+obi</w:t>
      </w:r>
      <w:proofErr w:type="spellEnd"/>
      <w:r w:rsidR="00C952F8" w:rsidRPr="00EB5599">
        <w:rPr>
          <w:rFonts w:cs="Calibri"/>
        </w:rPr>
        <w:t xml:space="preserve"> (</w:t>
      </w:r>
      <w:r w:rsidR="00C952F8" w:rsidRPr="00A142BC">
        <w:rPr>
          <w:rFonts w:cs="Calibri"/>
        </w:rPr>
        <w:t>p49, Section 2.17.1</w:t>
      </w:r>
      <w:r w:rsidR="00C952F8" w:rsidRPr="00EB5599">
        <w:rPr>
          <w:rFonts w:cs="Calibri"/>
        </w:rPr>
        <w:t>)</w:t>
      </w:r>
      <w:r w:rsidR="0020295F" w:rsidRPr="00EB5599">
        <w:rPr>
          <w:rFonts w:cs="Calibri"/>
        </w:rPr>
        <w:t xml:space="preserve">.  </w:t>
      </w:r>
      <w:r w:rsidR="00D231C7" w:rsidRPr="00E773B1">
        <w:rPr>
          <w:rFonts w:cs="Calibri"/>
        </w:rPr>
        <w:t xml:space="preserve">The ESC considered that the use of naïve comparisons introduces uncertainty, however </w:t>
      </w:r>
      <w:r w:rsidR="00EE210C" w:rsidRPr="00E773B1">
        <w:rPr>
          <w:rFonts w:cs="Calibri"/>
        </w:rPr>
        <w:t xml:space="preserve">the Committee advised </w:t>
      </w:r>
      <w:r w:rsidR="00D231C7" w:rsidRPr="00E773B1">
        <w:rPr>
          <w:rFonts w:cs="Calibri"/>
        </w:rPr>
        <w:t xml:space="preserve">it was reasonable to assume non-inferior safety of ibrutinib monotherapy compared to </w:t>
      </w:r>
      <w:proofErr w:type="spellStart"/>
      <w:r w:rsidR="00D231C7" w:rsidRPr="00E773B1">
        <w:rPr>
          <w:rFonts w:cs="Calibri"/>
        </w:rPr>
        <w:t>ibr+obi</w:t>
      </w:r>
      <w:proofErr w:type="spellEnd"/>
      <w:r w:rsidR="00D231C7" w:rsidRPr="00E773B1">
        <w:rPr>
          <w:rFonts w:cs="Calibri"/>
        </w:rPr>
        <w:t xml:space="preserve">. </w:t>
      </w:r>
    </w:p>
    <w:p w:rsidR="00C952F8" w:rsidRPr="00EB5599" w:rsidRDefault="0020295F" w:rsidP="00B2597F">
      <w:pPr>
        <w:pStyle w:val="ListParagraph"/>
        <w:numPr>
          <w:ilvl w:val="1"/>
          <w:numId w:val="1"/>
        </w:numPr>
      </w:pPr>
      <w:r w:rsidRPr="00E773B1">
        <w:rPr>
          <w:rFonts w:cs="Calibri"/>
        </w:rPr>
        <w:t xml:space="preserve">The resubmission </w:t>
      </w:r>
      <w:r w:rsidR="005E3711" w:rsidRPr="00E773B1">
        <w:rPr>
          <w:rFonts w:cs="Calibri"/>
        </w:rPr>
        <w:t>applied</w:t>
      </w:r>
      <w:r w:rsidRPr="00E773B1">
        <w:rPr>
          <w:rFonts w:cs="Calibri"/>
        </w:rPr>
        <w:t xml:space="preserve"> AE rates from the </w:t>
      </w:r>
      <w:proofErr w:type="spellStart"/>
      <w:r w:rsidRPr="00E773B1">
        <w:rPr>
          <w:rFonts w:cs="Calibri"/>
        </w:rPr>
        <w:t>ibr+obi</w:t>
      </w:r>
      <w:proofErr w:type="spellEnd"/>
      <w:r w:rsidRPr="00E773B1">
        <w:rPr>
          <w:rFonts w:cs="Calibri"/>
        </w:rPr>
        <w:t xml:space="preserve"> arm of ILLUMINATE</w:t>
      </w:r>
      <w:r w:rsidR="00171F19" w:rsidRPr="00E773B1">
        <w:rPr>
          <w:rFonts w:cs="Calibri"/>
        </w:rPr>
        <w:t xml:space="preserve"> (over the entire trial period)</w:t>
      </w:r>
      <w:r w:rsidRPr="00E773B1">
        <w:rPr>
          <w:rFonts w:cs="Calibri"/>
        </w:rPr>
        <w:t xml:space="preserve"> in the economic model</w:t>
      </w:r>
      <w:r w:rsidR="00D75467" w:rsidRPr="00E773B1">
        <w:rPr>
          <w:rFonts w:cs="Calibri"/>
        </w:rPr>
        <w:t xml:space="preserve"> (</w:t>
      </w:r>
      <w:r w:rsidR="00D231C7" w:rsidRPr="00E773B1">
        <w:rPr>
          <w:rFonts w:cs="Calibri"/>
        </w:rPr>
        <w:t>Table 11</w:t>
      </w:r>
      <w:r w:rsidR="00D75467" w:rsidRPr="00E773B1">
        <w:rPr>
          <w:rFonts w:cs="Calibri"/>
        </w:rPr>
        <w:t>)</w:t>
      </w:r>
      <w:r w:rsidR="00C952F8" w:rsidRPr="00E773B1">
        <w:rPr>
          <w:rFonts w:cs="Calibri"/>
        </w:rPr>
        <w:t xml:space="preserve">.  The </w:t>
      </w:r>
      <w:r w:rsidR="00D231C7" w:rsidRPr="00E773B1">
        <w:rPr>
          <w:rFonts w:cs="Calibri"/>
        </w:rPr>
        <w:t xml:space="preserve">ESC noted that the </w:t>
      </w:r>
      <w:r w:rsidR="00C952F8" w:rsidRPr="00E773B1">
        <w:rPr>
          <w:rFonts w:cs="Calibri"/>
        </w:rPr>
        <w:t>resubmission also included costs of monitoring for atrial fibrillation</w:t>
      </w:r>
      <w:r w:rsidR="00D231C7" w:rsidRPr="00E773B1">
        <w:rPr>
          <w:rFonts w:cs="Calibri"/>
        </w:rPr>
        <w:t xml:space="preserve"> </w:t>
      </w:r>
      <w:r w:rsidR="00C952F8" w:rsidRPr="00E773B1">
        <w:rPr>
          <w:rFonts w:cs="Calibri"/>
        </w:rPr>
        <w:t>in the economic</w:t>
      </w:r>
      <w:r w:rsidR="00C952F8" w:rsidRPr="00EB5599">
        <w:rPr>
          <w:rFonts w:cs="Calibri"/>
        </w:rPr>
        <w:t xml:space="preserve"> </w:t>
      </w:r>
      <w:r w:rsidR="00C952F8" w:rsidRPr="00045CCB">
        <w:t>model.</w:t>
      </w:r>
      <w:r w:rsidRPr="00045CCB">
        <w:t xml:space="preserve"> </w:t>
      </w:r>
    </w:p>
    <w:p w:rsidR="00C952F8" w:rsidRDefault="00C952F8" w:rsidP="00045CCB">
      <w:pPr>
        <w:keepNext/>
      </w:pPr>
      <w:r w:rsidRPr="00401364">
        <w:rPr>
          <w:rFonts w:ascii="Arial Narrow" w:hAnsi="Arial Narrow"/>
          <w:b/>
          <w:sz w:val="20"/>
          <w:szCs w:val="20"/>
        </w:rPr>
        <w:t xml:space="preserve">Table </w:t>
      </w:r>
      <w:r w:rsidR="00D231C7">
        <w:rPr>
          <w:rFonts w:ascii="Arial Narrow" w:hAnsi="Arial Narrow"/>
          <w:b/>
          <w:sz w:val="20"/>
          <w:szCs w:val="20"/>
        </w:rPr>
        <w:t>11</w:t>
      </w:r>
      <w:r w:rsidRPr="005D26B4">
        <w:rPr>
          <w:rStyle w:val="CommentReference"/>
        </w:rPr>
        <w:t xml:space="preserve">:  </w:t>
      </w:r>
      <w:r>
        <w:rPr>
          <w:rStyle w:val="CommentReference"/>
        </w:rPr>
        <w:t>Adverse events applied in the economic model (sourced from ILLUMINATE)</w:t>
      </w:r>
    </w:p>
    <w:tbl>
      <w:tblPr>
        <w:tblStyle w:val="TableGrid"/>
        <w:tblW w:w="0" w:type="auto"/>
        <w:tblLook w:val="04A0" w:firstRow="1" w:lastRow="0" w:firstColumn="1" w:lastColumn="0" w:noHBand="0" w:noVBand="1"/>
        <w:tblCaption w:val="Table 11:  Adverse events applied in the economic model (sourced from ILLUMINATE)"/>
      </w:tblPr>
      <w:tblGrid>
        <w:gridCol w:w="4218"/>
        <w:gridCol w:w="2530"/>
        <w:gridCol w:w="2269"/>
      </w:tblGrid>
      <w:tr w:rsidR="00C952F8" w:rsidRPr="00582F8A" w:rsidTr="00906E74">
        <w:trPr>
          <w:tblHeader/>
        </w:trPr>
        <w:tc>
          <w:tcPr>
            <w:tcW w:w="4219" w:type="dxa"/>
            <w:vAlign w:val="center"/>
          </w:tcPr>
          <w:p w:rsidR="00C952F8" w:rsidRPr="00582F8A" w:rsidRDefault="00C952F8" w:rsidP="00045CCB">
            <w:pPr>
              <w:pStyle w:val="TableText1"/>
              <w:rPr>
                <w:b/>
                <w:bCs/>
              </w:rPr>
            </w:pPr>
            <w:r>
              <w:rPr>
                <w:b/>
                <w:bCs/>
              </w:rPr>
              <w:t>Adverse event</w:t>
            </w:r>
          </w:p>
        </w:tc>
        <w:tc>
          <w:tcPr>
            <w:tcW w:w="2530" w:type="dxa"/>
            <w:vAlign w:val="center"/>
          </w:tcPr>
          <w:p w:rsidR="00C952F8" w:rsidRDefault="00C952F8" w:rsidP="00045CCB">
            <w:pPr>
              <w:pStyle w:val="TableText1"/>
              <w:jc w:val="center"/>
              <w:rPr>
                <w:b/>
                <w:bCs/>
              </w:rPr>
            </w:pPr>
            <w:proofErr w:type="spellStart"/>
            <w:r>
              <w:rPr>
                <w:b/>
                <w:bCs/>
              </w:rPr>
              <w:t>Ibr+obi</w:t>
            </w:r>
            <w:proofErr w:type="spellEnd"/>
            <w:r>
              <w:rPr>
                <w:b/>
                <w:bCs/>
              </w:rPr>
              <w:t xml:space="preserve"> (N=113)</w:t>
            </w:r>
          </w:p>
          <w:p w:rsidR="00C952F8" w:rsidRPr="00582F8A" w:rsidRDefault="00C952F8" w:rsidP="00045CCB">
            <w:pPr>
              <w:pStyle w:val="TableText1"/>
              <w:jc w:val="center"/>
              <w:rPr>
                <w:b/>
                <w:bCs/>
              </w:rPr>
            </w:pPr>
            <w:proofErr w:type="gramStart"/>
            <w:r>
              <w:rPr>
                <w:b/>
                <w:bCs/>
              </w:rPr>
              <w:t>n</w:t>
            </w:r>
            <w:proofErr w:type="gramEnd"/>
            <w:r>
              <w:rPr>
                <w:b/>
                <w:bCs/>
              </w:rPr>
              <w:t xml:space="preserve"> (%)</w:t>
            </w:r>
          </w:p>
        </w:tc>
        <w:tc>
          <w:tcPr>
            <w:tcW w:w="2269" w:type="dxa"/>
            <w:vAlign w:val="center"/>
          </w:tcPr>
          <w:p w:rsidR="00C952F8" w:rsidRDefault="00C952F8" w:rsidP="00045CCB">
            <w:pPr>
              <w:pStyle w:val="TableText1"/>
              <w:jc w:val="center"/>
              <w:rPr>
                <w:b/>
                <w:bCs/>
              </w:rPr>
            </w:pPr>
            <w:proofErr w:type="spellStart"/>
            <w:r>
              <w:rPr>
                <w:b/>
                <w:bCs/>
              </w:rPr>
              <w:t>Obi+chl</w:t>
            </w:r>
            <w:proofErr w:type="spellEnd"/>
            <w:r>
              <w:rPr>
                <w:b/>
                <w:bCs/>
              </w:rPr>
              <w:t xml:space="preserve"> (N=115)</w:t>
            </w:r>
          </w:p>
          <w:p w:rsidR="00C952F8" w:rsidRPr="00582F8A" w:rsidRDefault="00C952F8" w:rsidP="00045CCB">
            <w:pPr>
              <w:pStyle w:val="TableText1"/>
              <w:jc w:val="center"/>
              <w:rPr>
                <w:b/>
                <w:bCs/>
              </w:rPr>
            </w:pPr>
            <w:proofErr w:type="gramStart"/>
            <w:r>
              <w:rPr>
                <w:b/>
                <w:bCs/>
              </w:rPr>
              <w:t>n</w:t>
            </w:r>
            <w:proofErr w:type="gramEnd"/>
            <w:r>
              <w:rPr>
                <w:b/>
                <w:bCs/>
              </w:rPr>
              <w:t xml:space="preserve"> (%)</w:t>
            </w:r>
          </w:p>
        </w:tc>
      </w:tr>
      <w:tr w:rsidR="00C952F8" w:rsidTr="000E05B3">
        <w:tc>
          <w:tcPr>
            <w:tcW w:w="4219" w:type="dxa"/>
            <w:vAlign w:val="center"/>
          </w:tcPr>
          <w:p w:rsidR="00C952F8" w:rsidRDefault="00C952F8" w:rsidP="00045CCB">
            <w:pPr>
              <w:pStyle w:val="TableText1"/>
            </w:pPr>
            <w:r>
              <w:t>Neutropenia and neutrophil count reduced</w:t>
            </w:r>
          </w:p>
        </w:tc>
        <w:tc>
          <w:tcPr>
            <w:tcW w:w="2530" w:type="dxa"/>
            <w:vAlign w:val="center"/>
          </w:tcPr>
          <w:p w:rsidR="00C952F8" w:rsidRDefault="00C952F8" w:rsidP="00045CCB">
            <w:pPr>
              <w:pStyle w:val="TableText1"/>
              <w:jc w:val="center"/>
            </w:pPr>
            <w:r>
              <w:t>45 (39.8%)</w:t>
            </w:r>
          </w:p>
        </w:tc>
        <w:tc>
          <w:tcPr>
            <w:tcW w:w="2269" w:type="dxa"/>
            <w:vAlign w:val="center"/>
          </w:tcPr>
          <w:p w:rsidR="00C952F8" w:rsidRDefault="00C952F8" w:rsidP="00045CCB">
            <w:pPr>
              <w:pStyle w:val="TableText1"/>
              <w:jc w:val="center"/>
            </w:pPr>
            <w:r>
              <w:t>53 (46.1%)</w:t>
            </w:r>
          </w:p>
        </w:tc>
      </w:tr>
      <w:tr w:rsidR="00C952F8" w:rsidTr="000E05B3">
        <w:tc>
          <w:tcPr>
            <w:tcW w:w="4219" w:type="dxa"/>
            <w:vAlign w:val="center"/>
          </w:tcPr>
          <w:p w:rsidR="00C952F8" w:rsidRDefault="00C952F8" w:rsidP="00045CCB">
            <w:pPr>
              <w:pStyle w:val="TableText1"/>
            </w:pPr>
            <w:r>
              <w:t>Thrombocytopenia</w:t>
            </w:r>
          </w:p>
        </w:tc>
        <w:tc>
          <w:tcPr>
            <w:tcW w:w="2530" w:type="dxa"/>
            <w:vAlign w:val="center"/>
          </w:tcPr>
          <w:p w:rsidR="00C952F8" w:rsidRDefault="00C952F8" w:rsidP="00045CCB">
            <w:pPr>
              <w:pStyle w:val="TableText1"/>
              <w:jc w:val="center"/>
            </w:pPr>
            <w:r>
              <w:t>21 (18.6%)</w:t>
            </w:r>
          </w:p>
        </w:tc>
        <w:tc>
          <w:tcPr>
            <w:tcW w:w="2269" w:type="dxa"/>
            <w:vAlign w:val="center"/>
          </w:tcPr>
          <w:p w:rsidR="00C952F8" w:rsidRDefault="00C952F8" w:rsidP="00045CCB">
            <w:pPr>
              <w:pStyle w:val="TableText1"/>
              <w:jc w:val="center"/>
            </w:pPr>
            <w:r>
              <w:t>12 (10.4%)</w:t>
            </w:r>
          </w:p>
        </w:tc>
      </w:tr>
      <w:tr w:rsidR="00C952F8" w:rsidTr="000E05B3">
        <w:tc>
          <w:tcPr>
            <w:tcW w:w="4219" w:type="dxa"/>
            <w:vAlign w:val="center"/>
          </w:tcPr>
          <w:p w:rsidR="00C952F8" w:rsidRDefault="00C952F8" w:rsidP="000E05B3">
            <w:pPr>
              <w:pStyle w:val="TableText1"/>
            </w:pPr>
            <w:r>
              <w:t>Pneumonia</w:t>
            </w:r>
          </w:p>
        </w:tc>
        <w:tc>
          <w:tcPr>
            <w:tcW w:w="2530" w:type="dxa"/>
            <w:vAlign w:val="center"/>
          </w:tcPr>
          <w:p w:rsidR="00C952F8" w:rsidRDefault="00C952F8" w:rsidP="000E05B3">
            <w:pPr>
              <w:pStyle w:val="TableText1"/>
              <w:jc w:val="center"/>
            </w:pPr>
            <w:r>
              <w:t>8 (7.1%)</w:t>
            </w:r>
          </w:p>
        </w:tc>
        <w:tc>
          <w:tcPr>
            <w:tcW w:w="2269" w:type="dxa"/>
            <w:vAlign w:val="center"/>
          </w:tcPr>
          <w:p w:rsidR="00C952F8" w:rsidRDefault="00C952F8" w:rsidP="000E05B3">
            <w:pPr>
              <w:pStyle w:val="TableText1"/>
              <w:jc w:val="center"/>
            </w:pPr>
            <w:r>
              <w:t>5 (4.3%)</w:t>
            </w:r>
          </w:p>
        </w:tc>
      </w:tr>
      <w:tr w:rsidR="00C952F8" w:rsidTr="000E05B3">
        <w:tc>
          <w:tcPr>
            <w:tcW w:w="4219" w:type="dxa"/>
            <w:vAlign w:val="center"/>
          </w:tcPr>
          <w:p w:rsidR="00C952F8" w:rsidRDefault="00C952F8" w:rsidP="000E05B3">
            <w:pPr>
              <w:pStyle w:val="TableText1"/>
            </w:pPr>
            <w:r>
              <w:t>Atrial fibrillation</w:t>
            </w:r>
          </w:p>
        </w:tc>
        <w:tc>
          <w:tcPr>
            <w:tcW w:w="2530" w:type="dxa"/>
            <w:vAlign w:val="center"/>
          </w:tcPr>
          <w:p w:rsidR="00C952F8" w:rsidRDefault="00C952F8" w:rsidP="000E05B3">
            <w:pPr>
              <w:pStyle w:val="TableText1"/>
              <w:jc w:val="center"/>
            </w:pPr>
            <w:r>
              <w:t>6 (5.3%)</w:t>
            </w:r>
          </w:p>
        </w:tc>
        <w:tc>
          <w:tcPr>
            <w:tcW w:w="2269" w:type="dxa"/>
            <w:vAlign w:val="center"/>
          </w:tcPr>
          <w:p w:rsidR="00C952F8" w:rsidRDefault="00C952F8" w:rsidP="000E05B3">
            <w:pPr>
              <w:pStyle w:val="TableText1"/>
              <w:jc w:val="center"/>
            </w:pPr>
            <w:r>
              <w:t>0 (0.0%)</w:t>
            </w:r>
          </w:p>
        </w:tc>
      </w:tr>
      <w:tr w:rsidR="00C952F8" w:rsidTr="000E05B3">
        <w:tc>
          <w:tcPr>
            <w:tcW w:w="4219" w:type="dxa"/>
            <w:vAlign w:val="center"/>
          </w:tcPr>
          <w:p w:rsidR="00C952F8" w:rsidRDefault="00C952F8" w:rsidP="000E05B3">
            <w:pPr>
              <w:pStyle w:val="TableText1"/>
            </w:pPr>
            <w:r>
              <w:t>Febrile neutropenia</w:t>
            </w:r>
          </w:p>
        </w:tc>
        <w:tc>
          <w:tcPr>
            <w:tcW w:w="2530" w:type="dxa"/>
            <w:vAlign w:val="center"/>
          </w:tcPr>
          <w:p w:rsidR="00C952F8" w:rsidRDefault="00C952F8" w:rsidP="000E05B3">
            <w:pPr>
              <w:pStyle w:val="TableText1"/>
              <w:jc w:val="center"/>
            </w:pPr>
            <w:r>
              <w:t>5 (4.4%)</w:t>
            </w:r>
          </w:p>
        </w:tc>
        <w:tc>
          <w:tcPr>
            <w:tcW w:w="2269" w:type="dxa"/>
            <w:vAlign w:val="center"/>
          </w:tcPr>
          <w:p w:rsidR="00C952F8" w:rsidRDefault="00C952F8" w:rsidP="000E05B3">
            <w:pPr>
              <w:pStyle w:val="TableText1"/>
              <w:jc w:val="center"/>
            </w:pPr>
            <w:r>
              <w:t>7 (6.1%)</w:t>
            </w:r>
          </w:p>
        </w:tc>
      </w:tr>
      <w:tr w:rsidR="00C952F8" w:rsidTr="000E05B3">
        <w:tc>
          <w:tcPr>
            <w:tcW w:w="4219" w:type="dxa"/>
            <w:vAlign w:val="center"/>
          </w:tcPr>
          <w:p w:rsidR="00C952F8" w:rsidRDefault="00C952F8" w:rsidP="000E05B3">
            <w:pPr>
              <w:pStyle w:val="TableText1"/>
            </w:pPr>
            <w:r>
              <w:t>Anaemia</w:t>
            </w:r>
          </w:p>
        </w:tc>
        <w:tc>
          <w:tcPr>
            <w:tcW w:w="2530" w:type="dxa"/>
            <w:vAlign w:val="center"/>
          </w:tcPr>
          <w:p w:rsidR="00C952F8" w:rsidRDefault="00C952F8" w:rsidP="000E05B3">
            <w:pPr>
              <w:pStyle w:val="TableText1"/>
              <w:jc w:val="center"/>
            </w:pPr>
            <w:r>
              <w:t>4 (3.5%)</w:t>
            </w:r>
          </w:p>
        </w:tc>
        <w:tc>
          <w:tcPr>
            <w:tcW w:w="2269" w:type="dxa"/>
            <w:vAlign w:val="center"/>
          </w:tcPr>
          <w:p w:rsidR="00C952F8" w:rsidRDefault="00C952F8" w:rsidP="000E05B3">
            <w:pPr>
              <w:pStyle w:val="TableText1"/>
              <w:jc w:val="center"/>
            </w:pPr>
            <w:r>
              <w:t>9 (7.8%)</w:t>
            </w:r>
          </w:p>
        </w:tc>
      </w:tr>
      <w:tr w:rsidR="00C952F8" w:rsidTr="000E05B3">
        <w:tc>
          <w:tcPr>
            <w:tcW w:w="4219" w:type="dxa"/>
            <w:vAlign w:val="center"/>
          </w:tcPr>
          <w:p w:rsidR="00C952F8" w:rsidRDefault="00C952F8" w:rsidP="000E05B3">
            <w:pPr>
              <w:pStyle w:val="TableText1"/>
            </w:pPr>
            <w:r>
              <w:t>Infusion-related reaction</w:t>
            </w:r>
          </w:p>
        </w:tc>
        <w:tc>
          <w:tcPr>
            <w:tcW w:w="2530" w:type="dxa"/>
            <w:vAlign w:val="center"/>
          </w:tcPr>
          <w:p w:rsidR="00C952F8" w:rsidRDefault="00C952F8" w:rsidP="000E05B3">
            <w:pPr>
              <w:pStyle w:val="TableText1"/>
              <w:jc w:val="center"/>
            </w:pPr>
            <w:r>
              <w:t>2 (1.8%)</w:t>
            </w:r>
          </w:p>
        </w:tc>
        <w:tc>
          <w:tcPr>
            <w:tcW w:w="2269" w:type="dxa"/>
            <w:vAlign w:val="center"/>
          </w:tcPr>
          <w:p w:rsidR="00C952F8" w:rsidRDefault="00C952F8" w:rsidP="000E05B3">
            <w:pPr>
              <w:pStyle w:val="TableText1"/>
              <w:jc w:val="center"/>
            </w:pPr>
            <w:r>
              <w:t>9 (7.8%)</w:t>
            </w:r>
          </w:p>
        </w:tc>
      </w:tr>
    </w:tbl>
    <w:p w:rsidR="00C952F8" w:rsidRDefault="00C952F8" w:rsidP="00C952F8">
      <w:pPr>
        <w:pStyle w:val="TableFooter"/>
      </w:pPr>
      <w:proofErr w:type="spellStart"/>
      <w:proofErr w:type="gramStart"/>
      <w:r>
        <w:t>chl</w:t>
      </w:r>
      <w:proofErr w:type="spellEnd"/>
      <w:r>
        <w:t>=</w:t>
      </w:r>
      <w:proofErr w:type="spellStart"/>
      <w:proofErr w:type="gramEnd"/>
      <w:r>
        <w:t>chlorambucil</w:t>
      </w:r>
      <w:proofErr w:type="spellEnd"/>
      <w:r>
        <w:t xml:space="preserve">; </w:t>
      </w:r>
      <w:proofErr w:type="spellStart"/>
      <w:r>
        <w:t>ibr</w:t>
      </w:r>
      <w:proofErr w:type="spellEnd"/>
      <w:r>
        <w:t>=</w:t>
      </w:r>
      <w:proofErr w:type="spellStart"/>
      <w:r>
        <w:t>ibrutinib</w:t>
      </w:r>
      <w:proofErr w:type="spellEnd"/>
      <w:r>
        <w:t>; obi=</w:t>
      </w:r>
      <w:proofErr w:type="spellStart"/>
      <w:r>
        <w:t>obinutuzumab</w:t>
      </w:r>
      <w:proofErr w:type="spellEnd"/>
    </w:p>
    <w:p w:rsidR="00C952F8" w:rsidRDefault="00C952F8" w:rsidP="00C952F8">
      <w:pPr>
        <w:pStyle w:val="TableFooter"/>
      </w:pPr>
      <w:r>
        <w:t>Source:  Table 3.18, p90 of Section 3.6.1 of the resubmission.</w:t>
      </w:r>
    </w:p>
    <w:p w:rsidR="005D26B4" w:rsidRDefault="005D26B4" w:rsidP="004151CF">
      <w:pPr>
        <w:pStyle w:val="ListParagraph"/>
        <w:spacing w:after="0"/>
        <w:ind w:left="0"/>
      </w:pPr>
    </w:p>
    <w:p w:rsidR="007F1017" w:rsidRPr="00C9624D" w:rsidRDefault="007F1017" w:rsidP="00C9624D">
      <w:pPr>
        <w:pStyle w:val="Heading2"/>
      </w:pPr>
      <w:bookmarkStart w:id="12" w:name="_Toc19716431"/>
      <w:r w:rsidRPr="00C9624D">
        <w:t>Benefits/harms</w:t>
      </w:r>
      <w:bookmarkEnd w:id="12"/>
    </w:p>
    <w:p w:rsidR="004151CF" w:rsidRPr="004151CF" w:rsidRDefault="004151CF" w:rsidP="004151CF"/>
    <w:p w:rsidR="00E152D1" w:rsidRDefault="00212DE9" w:rsidP="00B2597F">
      <w:pPr>
        <w:pStyle w:val="ListParagraph"/>
        <w:numPr>
          <w:ilvl w:val="1"/>
          <w:numId w:val="1"/>
        </w:numPr>
        <w:spacing w:after="0"/>
      </w:pPr>
      <w:r>
        <w:t>E</w:t>
      </w:r>
      <w:r w:rsidR="00E152D1">
        <w:t>vidence from the ILLUMINATE trial showed that for every 100</w:t>
      </w:r>
      <w:r>
        <w:t xml:space="preserve"> del17p</w:t>
      </w:r>
      <w:r w:rsidR="00E152D1">
        <w:t xml:space="preserve"> patients treated with </w:t>
      </w:r>
      <w:proofErr w:type="spellStart"/>
      <w:r w:rsidR="00E152D1">
        <w:t>ibr+obi</w:t>
      </w:r>
      <w:proofErr w:type="spellEnd"/>
      <w:r w:rsidR="00E152D1">
        <w:t xml:space="preserve"> in comparison to </w:t>
      </w:r>
      <w:proofErr w:type="spellStart"/>
      <w:r w:rsidR="00E152D1">
        <w:t>obi+chl</w:t>
      </w:r>
      <w:proofErr w:type="spellEnd"/>
      <w:r w:rsidR="00415D65">
        <w:t xml:space="preserve"> over a median duration of follow-up of 31.3 months</w:t>
      </w:r>
      <w:r w:rsidR="00E152D1">
        <w:t>:</w:t>
      </w:r>
    </w:p>
    <w:p w:rsidR="00E152D1" w:rsidRPr="00212DE9" w:rsidRDefault="00E152D1" w:rsidP="00A33D5F">
      <w:pPr>
        <w:pStyle w:val="Bulletpoints"/>
        <w:spacing w:after="160"/>
        <w:ind w:left="1276" w:hanging="425"/>
      </w:pPr>
      <w:r w:rsidRPr="00D07335">
        <w:rPr>
          <w:rFonts w:eastAsia="Calibri" w:cs="Arial"/>
        </w:rPr>
        <w:t xml:space="preserve">Approximately </w:t>
      </w:r>
      <w:r>
        <w:rPr>
          <w:rFonts w:eastAsia="Calibri" w:cs="Arial"/>
        </w:rPr>
        <w:t>56</w:t>
      </w:r>
      <w:r w:rsidRPr="00D07335">
        <w:rPr>
          <w:rFonts w:eastAsia="Calibri" w:cs="Arial"/>
        </w:rPr>
        <w:t xml:space="preserve"> more patients would remain progression free</w:t>
      </w:r>
      <w:r w:rsidR="00212DE9">
        <w:rPr>
          <w:rFonts w:eastAsia="Calibri" w:cs="Arial"/>
        </w:rPr>
        <w:t xml:space="preserve">. This estimate is not precise as it </w:t>
      </w:r>
      <w:r w:rsidR="00415D65">
        <w:rPr>
          <w:rFonts w:eastAsia="Calibri" w:cs="Arial"/>
        </w:rPr>
        <w:t>is based on small numbers of patients (</w:t>
      </w:r>
      <w:r w:rsidR="00B200D9">
        <w:rPr>
          <w:rFonts w:eastAsia="Calibri" w:cs="Arial"/>
        </w:rPr>
        <w:t>3</w:t>
      </w:r>
      <w:r w:rsidR="00415D65">
        <w:rPr>
          <w:rFonts w:eastAsia="Calibri" w:cs="Arial"/>
        </w:rPr>
        <w:t>/</w:t>
      </w:r>
      <w:r w:rsidR="00B200D9">
        <w:rPr>
          <w:rFonts w:eastAsia="Calibri" w:cs="Arial"/>
        </w:rPr>
        <w:t>14</w:t>
      </w:r>
      <w:r w:rsidR="00212DE9">
        <w:rPr>
          <w:rFonts w:eastAsia="Calibri" w:cs="Arial"/>
        </w:rPr>
        <w:t xml:space="preserve"> patients progressed</w:t>
      </w:r>
      <w:r w:rsidR="00B200D9">
        <w:rPr>
          <w:rFonts w:eastAsia="Calibri" w:cs="Arial"/>
        </w:rPr>
        <w:t xml:space="preserve"> </w:t>
      </w:r>
      <w:r w:rsidR="00415D65">
        <w:rPr>
          <w:rFonts w:eastAsia="Calibri" w:cs="Arial"/>
        </w:rPr>
        <w:t xml:space="preserve">in the </w:t>
      </w:r>
      <w:proofErr w:type="spellStart"/>
      <w:r w:rsidR="00415D65">
        <w:rPr>
          <w:rFonts w:eastAsia="Calibri" w:cs="Arial"/>
        </w:rPr>
        <w:t>ibr+obi</w:t>
      </w:r>
      <w:proofErr w:type="spellEnd"/>
      <w:r w:rsidR="00415D65">
        <w:rPr>
          <w:rFonts w:eastAsia="Calibri" w:cs="Arial"/>
        </w:rPr>
        <w:t xml:space="preserve"> arm; 14/18</w:t>
      </w:r>
      <w:r w:rsidR="00212DE9">
        <w:rPr>
          <w:rFonts w:eastAsia="Calibri" w:cs="Arial"/>
        </w:rPr>
        <w:t xml:space="preserve"> patients progressed</w:t>
      </w:r>
      <w:r w:rsidR="00415D65">
        <w:rPr>
          <w:rFonts w:eastAsia="Calibri" w:cs="Arial"/>
        </w:rPr>
        <w:t xml:space="preserve"> in the </w:t>
      </w:r>
      <w:proofErr w:type="spellStart"/>
      <w:r w:rsidR="00415D65">
        <w:rPr>
          <w:rFonts w:eastAsia="Calibri" w:cs="Arial"/>
        </w:rPr>
        <w:t>obi+chl</w:t>
      </w:r>
      <w:proofErr w:type="spellEnd"/>
      <w:r w:rsidR="00415D65">
        <w:rPr>
          <w:rFonts w:eastAsia="Calibri" w:cs="Arial"/>
        </w:rPr>
        <w:t xml:space="preserve"> arm</w:t>
      </w:r>
      <w:r w:rsidR="00212DE9">
        <w:rPr>
          <w:rFonts w:eastAsia="Calibri" w:cs="Arial"/>
        </w:rPr>
        <w:t>;</w:t>
      </w:r>
      <w:r w:rsidR="00415D65" w:rsidRPr="00045CCB">
        <w:rPr>
          <w:rFonts w:eastAsia="Calibri" w:cs="Arial"/>
        </w:rPr>
        <w:t xml:space="preserve"> Table </w:t>
      </w:r>
      <w:r w:rsidR="009A1E2F" w:rsidRPr="00045CCB">
        <w:rPr>
          <w:rFonts w:eastAsia="Calibri" w:cs="Arial"/>
        </w:rPr>
        <w:t>6</w:t>
      </w:r>
      <w:r w:rsidR="00415D65" w:rsidRPr="00045CCB">
        <w:rPr>
          <w:rFonts w:eastAsia="Calibri" w:cs="Arial"/>
        </w:rPr>
        <w:t xml:space="preserve"> above</w:t>
      </w:r>
      <w:r w:rsidR="00415D65">
        <w:rPr>
          <w:rFonts w:eastAsia="Calibri" w:cs="Arial"/>
        </w:rPr>
        <w:t>).</w:t>
      </w:r>
    </w:p>
    <w:p w:rsidR="00212DE9" w:rsidRDefault="00212DE9" w:rsidP="00A33D5F">
      <w:pPr>
        <w:pStyle w:val="Bulletpoints"/>
        <w:spacing w:after="160"/>
        <w:ind w:left="1276" w:hanging="425"/>
      </w:pPr>
      <w:r>
        <w:rPr>
          <w:rFonts w:eastAsia="Calibri" w:cs="Arial"/>
        </w:rPr>
        <w:t xml:space="preserve">There were </w:t>
      </w:r>
      <w:r w:rsidR="004037F4">
        <w:rPr>
          <w:rFonts w:eastAsia="Calibri" w:cs="Arial"/>
        </w:rPr>
        <w:t>few</w:t>
      </w:r>
      <w:r>
        <w:rPr>
          <w:rFonts w:eastAsia="Calibri" w:cs="Arial"/>
        </w:rPr>
        <w:t xml:space="preserve"> deaths (5 in total), and no evidence of a reduced death rate with </w:t>
      </w:r>
      <w:proofErr w:type="spellStart"/>
      <w:r>
        <w:rPr>
          <w:rFonts w:eastAsia="Calibri" w:cs="Arial"/>
        </w:rPr>
        <w:t>ibr+obi</w:t>
      </w:r>
      <w:proofErr w:type="spellEnd"/>
      <w:r>
        <w:rPr>
          <w:rFonts w:eastAsia="Calibri" w:cs="Arial"/>
        </w:rPr>
        <w:t>.</w:t>
      </w:r>
    </w:p>
    <w:p w:rsidR="00002237" w:rsidRDefault="00415D65" w:rsidP="00B2597F">
      <w:pPr>
        <w:pStyle w:val="ListParagraph"/>
        <w:numPr>
          <w:ilvl w:val="1"/>
          <w:numId w:val="1"/>
        </w:numPr>
      </w:pPr>
      <w:r>
        <w:lastRenderedPageBreak/>
        <w:t xml:space="preserve">No results </w:t>
      </w:r>
      <w:r w:rsidR="00A8766A">
        <w:t>we</w:t>
      </w:r>
      <w:r>
        <w:t xml:space="preserve">re available for the safety of </w:t>
      </w:r>
      <w:r w:rsidR="005E3711">
        <w:t xml:space="preserve">ibrutinib monotherapy in </w:t>
      </w:r>
      <w:r>
        <w:t xml:space="preserve">the del17p population.  </w:t>
      </w:r>
      <w:r w:rsidR="00D75467" w:rsidRPr="00E773B1">
        <w:t xml:space="preserve">The </w:t>
      </w:r>
      <w:r w:rsidR="00D6081E">
        <w:t xml:space="preserve">PBAC agreed with the </w:t>
      </w:r>
      <w:r w:rsidR="00D75467" w:rsidRPr="00E773B1">
        <w:t>ESC that there was no clinical reason to assume that ibrutinib-related harms would be different between the del17p and ITT populations.</w:t>
      </w:r>
      <w:r w:rsidR="00D75467">
        <w:rPr>
          <w:i/>
        </w:rPr>
        <w:t xml:space="preserve"> </w:t>
      </w:r>
      <w:r w:rsidR="00E152D1">
        <w:t xml:space="preserve"> </w:t>
      </w:r>
    </w:p>
    <w:p w:rsidR="00B62715" w:rsidRDefault="00B16288" w:rsidP="00B2597F">
      <w:pPr>
        <w:pStyle w:val="ListParagraph"/>
        <w:numPr>
          <w:ilvl w:val="1"/>
          <w:numId w:val="1"/>
        </w:numPr>
      </w:pPr>
      <w:r>
        <w:t>Limited data prevented</w:t>
      </w:r>
      <w:r w:rsidR="00415D65">
        <w:t xml:space="preserve"> </w:t>
      </w:r>
      <w:r w:rsidR="004037F4">
        <w:t>quantification of</w:t>
      </w:r>
      <w:r w:rsidR="00A33D5F">
        <w:t xml:space="preserve"> the benefits and harms of ibrutinib monotherapy relative to </w:t>
      </w:r>
      <w:proofErr w:type="spellStart"/>
      <w:r w:rsidR="00A33D5F">
        <w:t>obi+chl</w:t>
      </w:r>
      <w:proofErr w:type="spellEnd"/>
      <w:r w:rsidR="00A33D5F">
        <w:t xml:space="preserve"> in the del17p subgroup.</w:t>
      </w:r>
      <w:r w:rsidR="00415D65">
        <w:t xml:space="preserve"> </w:t>
      </w:r>
    </w:p>
    <w:p w:rsidR="00B60939" w:rsidRPr="00C9624D" w:rsidRDefault="00B60939" w:rsidP="00C9624D">
      <w:pPr>
        <w:pStyle w:val="Heading2"/>
      </w:pPr>
      <w:bookmarkStart w:id="13" w:name="_Toc19716432"/>
      <w:r w:rsidRPr="00C9624D">
        <w:t>Clinical claim</w:t>
      </w:r>
      <w:bookmarkEnd w:id="13"/>
    </w:p>
    <w:p w:rsidR="00B60939" w:rsidRPr="00882085" w:rsidRDefault="00B60939" w:rsidP="00B60939">
      <w:pPr>
        <w:ind w:left="720" w:hanging="720"/>
      </w:pPr>
    </w:p>
    <w:p w:rsidR="00E1464F" w:rsidRDefault="00D607BB" w:rsidP="00B2597F">
      <w:pPr>
        <w:pStyle w:val="ListParagraph"/>
        <w:numPr>
          <w:ilvl w:val="1"/>
          <w:numId w:val="1"/>
        </w:numPr>
      </w:pPr>
      <w:r>
        <w:t xml:space="preserve">The resubmission </w:t>
      </w:r>
      <w:r w:rsidR="0072247F">
        <w:t>claimed</w:t>
      </w:r>
      <w:r>
        <w:t xml:space="preserve"> that </w:t>
      </w:r>
      <w:r w:rsidR="00047132">
        <w:t xml:space="preserve">(i) </w:t>
      </w:r>
      <w:proofErr w:type="spellStart"/>
      <w:r>
        <w:t>ibr+obi</w:t>
      </w:r>
      <w:proofErr w:type="spellEnd"/>
      <w:r>
        <w:t xml:space="preserve"> is superior in effectiveness compared to </w:t>
      </w:r>
      <w:proofErr w:type="spellStart"/>
      <w:r>
        <w:t>obi+chl</w:t>
      </w:r>
      <w:proofErr w:type="spellEnd"/>
      <w:r>
        <w:t xml:space="preserve">, and </w:t>
      </w:r>
      <w:r w:rsidR="00047132">
        <w:t xml:space="preserve">(ii) </w:t>
      </w:r>
      <w:r>
        <w:t xml:space="preserve">the effectiveness of ibrutinib monotherapy is similar to </w:t>
      </w:r>
      <w:proofErr w:type="spellStart"/>
      <w:r>
        <w:t>ibr+obi</w:t>
      </w:r>
      <w:proofErr w:type="spellEnd"/>
      <w:r>
        <w:t xml:space="preserve">, </w:t>
      </w:r>
      <w:r w:rsidR="00047132">
        <w:t>and therefore</w:t>
      </w:r>
      <w:r>
        <w:t xml:space="preserve"> that ibrutinib monotherapy is superior to </w:t>
      </w:r>
      <w:proofErr w:type="spellStart"/>
      <w:r>
        <w:t>obi+chl</w:t>
      </w:r>
      <w:proofErr w:type="spellEnd"/>
      <w:r>
        <w:t xml:space="preserve">.  </w:t>
      </w:r>
      <w:r w:rsidR="0072247F">
        <w:t>T</w:t>
      </w:r>
      <w:r>
        <w:t xml:space="preserve">he resubmission claimed the safety of ibrutinib monotherapy is non-inferior to </w:t>
      </w:r>
      <w:proofErr w:type="spellStart"/>
      <w:r>
        <w:t>obi+chl</w:t>
      </w:r>
      <w:proofErr w:type="spellEnd"/>
      <w:r>
        <w:t xml:space="preserve"> during the first 9 months of treatment and inferior thereafter.  </w:t>
      </w:r>
    </w:p>
    <w:p w:rsidR="00D607BB" w:rsidRPr="00E773B1" w:rsidRDefault="00D607BB" w:rsidP="00B2597F">
      <w:pPr>
        <w:pStyle w:val="ListParagraph"/>
        <w:numPr>
          <w:ilvl w:val="1"/>
          <w:numId w:val="1"/>
        </w:numPr>
      </w:pPr>
      <w:r w:rsidRPr="00E773B1">
        <w:rPr>
          <w:iCs/>
        </w:rPr>
        <w:t xml:space="preserve">The </w:t>
      </w:r>
      <w:r w:rsidR="002D7C64" w:rsidRPr="00E773B1">
        <w:rPr>
          <w:iCs/>
        </w:rPr>
        <w:t xml:space="preserve">ESC considered that the claim </w:t>
      </w:r>
      <w:r w:rsidR="00E51104" w:rsidRPr="00E773B1">
        <w:rPr>
          <w:iCs/>
        </w:rPr>
        <w:t xml:space="preserve">of </w:t>
      </w:r>
      <w:r w:rsidR="00207F8D" w:rsidRPr="00E773B1">
        <w:rPr>
          <w:iCs/>
        </w:rPr>
        <w:t xml:space="preserve">superior </w:t>
      </w:r>
      <w:r w:rsidRPr="00E773B1">
        <w:rPr>
          <w:iCs/>
        </w:rPr>
        <w:t xml:space="preserve">effectiveness of </w:t>
      </w:r>
      <w:proofErr w:type="spellStart"/>
      <w:r w:rsidRPr="00E773B1">
        <w:rPr>
          <w:iCs/>
        </w:rPr>
        <w:t>ibr+obi</w:t>
      </w:r>
      <w:proofErr w:type="spellEnd"/>
      <w:r w:rsidRPr="00E773B1">
        <w:rPr>
          <w:iCs/>
        </w:rPr>
        <w:t xml:space="preserve"> compared to </w:t>
      </w:r>
      <w:proofErr w:type="spellStart"/>
      <w:r w:rsidRPr="00E773B1">
        <w:rPr>
          <w:iCs/>
        </w:rPr>
        <w:t>obi+chl</w:t>
      </w:r>
      <w:proofErr w:type="spellEnd"/>
      <w:r w:rsidRPr="00E773B1">
        <w:rPr>
          <w:iCs/>
        </w:rPr>
        <w:t xml:space="preserve"> was adequately supported by the evidence sourced from the ILLUMINATE trial for the ITT population</w:t>
      </w:r>
      <w:r w:rsidR="002D7C64" w:rsidRPr="00E773B1">
        <w:rPr>
          <w:iCs/>
        </w:rPr>
        <w:t xml:space="preserve">. In addition, the ESC considered that while </w:t>
      </w:r>
      <w:r w:rsidRPr="00E773B1">
        <w:rPr>
          <w:iCs/>
        </w:rPr>
        <w:t xml:space="preserve">the del17p population comprised only a small proportion of the </w:t>
      </w:r>
      <w:r w:rsidR="00E51104" w:rsidRPr="00E773B1">
        <w:rPr>
          <w:iCs/>
        </w:rPr>
        <w:t xml:space="preserve">ILLUMINATE </w:t>
      </w:r>
      <w:r w:rsidRPr="00E773B1">
        <w:rPr>
          <w:iCs/>
        </w:rPr>
        <w:t>trial (12.4%)</w:t>
      </w:r>
      <w:r w:rsidR="00E51104" w:rsidRPr="00E773B1">
        <w:rPr>
          <w:iCs/>
        </w:rPr>
        <w:t xml:space="preserve">, </w:t>
      </w:r>
      <w:r w:rsidR="002D7C64" w:rsidRPr="00E773B1">
        <w:rPr>
          <w:rFonts w:cs="Calibri"/>
        </w:rPr>
        <w:t>the results support</w:t>
      </w:r>
      <w:r w:rsidR="004037F4">
        <w:rPr>
          <w:rFonts w:cs="Calibri"/>
        </w:rPr>
        <w:t>ed</w:t>
      </w:r>
      <w:r w:rsidR="002D7C64" w:rsidRPr="00E773B1">
        <w:rPr>
          <w:rFonts w:cs="Calibri"/>
        </w:rPr>
        <w:t xml:space="preserve"> the claim that </w:t>
      </w:r>
      <w:proofErr w:type="spellStart"/>
      <w:r w:rsidR="002D7C64" w:rsidRPr="00E773B1">
        <w:rPr>
          <w:rFonts w:cs="Calibri"/>
        </w:rPr>
        <w:t>ibr+obi</w:t>
      </w:r>
      <w:proofErr w:type="spellEnd"/>
      <w:r w:rsidR="002D7C64" w:rsidRPr="00E773B1">
        <w:rPr>
          <w:rFonts w:cs="Calibri"/>
        </w:rPr>
        <w:t xml:space="preserve"> is associated with a statistically and clinically significant improvement in PFS for patients with del17p compared to </w:t>
      </w:r>
      <w:proofErr w:type="spellStart"/>
      <w:r w:rsidR="002D7C64" w:rsidRPr="00E773B1">
        <w:rPr>
          <w:rFonts w:cs="Calibri"/>
        </w:rPr>
        <w:t>obi+chl</w:t>
      </w:r>
      <w:proofErr w:type="spellEnd"/>
      <w:r w:rsidR="002D7C64" w:rsidRPr="00E773B1">
        <w:rPr>
          <w:rFonts w:cs="Calibri"/>
        </w:rPr>
        <w:t xml:space="preserve">. </w:t>
      </w:r>
    </w:p>
    <w:p w:rsidR="00D607BB" w:rsidRPr="00E773B1" w:rsidRDefault="002D7C64" w:rsidP="00B2597F">
      <w:pPr>
        <w:pStyle w:val="ListParagraph"/>
        <w:numPr>
          <w:ilvl w:val="1"/>
          <w:numId w:val="1"/>
        </w:numPr>
      </w:pPr>
      <w:r w:rsidRPr="00E773B1">
        <w:rPr>
          <w:iCs/>
        </w:rPr>
        <w:t xml:space="preserve">The ESC </w:t>
      </w:r>
      <w:r w:rsidR="00E51104" w:rsidRPr="00E773B1">
        <w:rPr>
          <w:iCs/>
        </w:rPr>
        <w:t>considered the resubmission</w:t>
      </w:r>
      <w:r w:rsidR="004037F4">
        <w:rPr>
          <w:iCs/>
        </w:rPr>
        <w:t>’</w:t>
      </w:r>
      <w:r w:rsidR="00E51104" w:rsidRPr="00E773B1">
        <w:rPr>
          <w:iCs/>
        </w:rPr>
        <w:t xml:space="preserve">s claim that the </w:t>
      </w:r>
      <w:r w:rsidR="00E51104" w:rsidRPr="00E773B1">
        <w:t xml:space="preserve">safety of </w:t>
      </w:r>
      <w:proofErr w:type="spellStart"/>
      <w:r w:rsidR="00E51104" w:rsidRPr="00E773B1">
        <w:t>ibr+obi</w:t>
      </w:r>
      <w:proofErr w:type="spellEnd"/>
      <w:r w:rsidR="00E51104" w:rsidRPr="00E773B1">
        <w:t xml:space="preserve"> was non-inferior to </w:t>
      </w:r>
      <w:proofErr w:type="spellStart"/>
      <w:r w:rsidR="00E51104" w:rsidRPr="00E773B1">
        <w:t>obi+chl</w:t>
      </w:r>
      <w:proofErr w:type="spellEnd"/>
      <w:r w:rsidR="00E51104" w:rsidRPr="00E773B1">
        <w:t xml:space="preserve"> during the first 9 months of treatment and inferior beyond 9 months was reasonable. </w:t>
      </w:r>
    </w:p>
    <w:p w:rsidR="002D67F8" w:rsidRPr="00E773B1" w:rsidRDefault="00D607BB" w:rsidP="00B2597F">
      <w:pPr>
        <w:pStyle w:val="ListParagraph"/>
        <w:numPr>
          <w:ilvl w:val="1"/>
          <w:numId w:val="1"/>
        </w:numPr>
        <w:rPr>
          <w:iCs/>
        </w:rPr>
      </w:pPr>
      <w:r w:rsidRPr="00E773B1">
        <w:rPr>
          <w:iCs/>
        </w:rPr>
        <w:t xml:space="preserve">The evidence presented by the resubmission does not strongly support the claim of similar effectiveness between </w:t>
      </w:r>
      <w:proofErr w:type="spellStart"/>
      <w:r w:rsidRPr="00E773B1">
        <w:rPr>
          <w:iCs/>
        </w:rPr>
        <w:t>ibrutinib</w:t>
      </w:r>
      <w:proofErr w:type="spellEnd"/>
      <w:r w:rsidRPr="00E773B1">
        <w:rPr>
          <w:iCs/>
        </w:rPr>
        <w:t xml:space="preserve"> monotherapy and </w:t>
      </w:r>
      <w:proofErr w:type="spellStart"/>
      <w:r w:rsidRPr="00E773B1">
        <w:rPr>
          <w:iCs/>
        </w:rPr>
        <w:t>ibr+obi</w:t>
      </w:r>
      <w:proofErr w:type="spellEnd"/>
      <w:r w:rsidR="00D00F15" w:rsidRPr="00E773B1">
        <w:rPr>
          <w:iCs/>
        </w:rPr>
        <w:t xml:space="preserve"> as the </w:t>
      </w:r>
      <w:r w:rsidRPr="00E773B1">
        <w:rPr>
          <w:iCs/>
        </w:rPr>
        <w:t xml:space="preserve">key evidence was based on naïve single arm comparisons. </w:t>
      </w:r>
      <w:r w:rsidR="00BD6D1A" w:rsidRPr="00E773B1">
        <w:rPr>
          <w:iCs/>
        </w:rPr>
        <w:t xml:space="preserve">The </w:t>
      </w:r>
      <w:proofErr w:type="gramStart"/>
      <w:r w:rsidR="00BD6D1A" w:rsidRPr="00E773B1">
        <w:rPr>
          <w:iCs/>
        </w:rPr>
        <w:t>PSCR  acknowledged</w:t>
      </w:r>
      <w:proofErr w:type="gramEnd"/>
      <w:r w:rsidR="00BD6D1A" w:rsidRPr="00E773B1">
        <w:rPr>
          <w:iCs/>
        </w:rPr>
        <w:t xml:space="preserve"> the limitations of naïve single arm comparisons and</w:t>
      </w:r>
      <w:r w:rsidRPr="00E773B1">
        <w:rPr>
          <w:iCs/>
        </w:rPr>
        <w:t xml:space="preserve"> </w:t>
      </w:r>
      <w:r w:rsidR="00BD6D1A" w:rsidRPr="00E773B1">
        <w:rPr>
          <w:iCs/>
        </w:rPr>
        <w:t xml:space="preserve">highlighted the high unmet need for effective treatment options in the del17p population and that further evidence generation in this population for the comparison presented is unlikely. </w:t>
      </w:r>
      <w:r w:rsidR="00B11EC8" w:rsidRPr="00E773B1">
        <w:rPr>
          <w:iCs/>
        </w:rPr>
        <w:t>The</w:t>
      </w:r>
      <w:r w:rsidR="002D67F8" w:rsidRPr="00E773B1">
        <w:rPr>
          <w:iCs/>
        </w:rPr>
        <w:t xml:space="preserve"> ESC agreed with the evaluation that the</w:t>
      </w:r>
      <w:r w:rsidR="00B11EC8" w:rsidRPr="00E773B1">
        <w:rPr>
          <w:iCs/>
        </w:rPr>
        <w:t xml:space="preserve"> use of naïve single arm comparisons </w:t>
      </w:r>
      <w:r w:rsidR="00707595">
        <w:rPr>
          <w:iCs/>
        </w:rPr>
        <w:t>made</w:t>
      </w:r>
      <w:r w:rsidR="00707595" w:rsidRPr="00E773B1">
        <w:rPr>
          <w:iCs/>
        </w:rPr>
        <w:t xml:space="preserve"> </w:t>
      </w:r>
      <w:r w:rsidR="00B11EC8" w:rsidRPr="00E773B1">
        <w:rPr>
          <w:iCs/>
        </w:rPr>
        <w:t xml:space="preserve">the evidence provided difficult to interpret as a high risk of bias </w:t>
      </w:r>
      <w:r w:rsidR="00707595">
        <w:rPr>
          <w:iCs/>
        </w:rPr>
        <w:t>wa</w:t>
      </w:r>
      <w:r w:rsidR="00B11EC8" w:rsidRPr="00E773B1">
        <w:rPr>
          <w:iCs/>
        </w:rPr>
        <w:t>s introduced due to the loss of the benefits of randomisation with this methodology</w:t>
      </w:r>
      <w:r w:rsidR="00B11EC8" w:rsidRPr="00E773B1">
        <w:rPr>
          <w:rStyle w:val="FootnoteReference"/>
          <w:iCs/>
        </w:rPr>
        <w:footnoteReference w:id="2"/>
      </w:r>
      <w:r w:rsidR="00B11EC8" w:rsidRPr="00E773B1">
        <w:rPr>
          <w:iCs/>
        </w:rPr>
        <w:t>.</w:t>
      </w:r>
      <w:r w:rsidR="002D67F8" w:rsidRPr="00E773B1">
        <w:rPr>
          <w:iCs/>
        </w:rPr>
        <w:t xml:space="preserve"> </w:t>
      </w:r>
      <w:r w:rsidR="00412CA5" w:rsidRPr="00E773B1">
        <w:rPr>
          <w:iCs/>
        </w:rPr>
        <w:t xml:space="preserve">However, the ESC </w:t>
      </w:r>
      <w:r w:rsidR="005C619D" w:rsidRPr="00E773B1">
        <w:rPr>
          <w:iCs/>
        </w:rPr>
        <w:t xml:space="preserve">also agreed with the PSCR regarding the high unmet clinical need for CLL/SLL </w:t>
      </w:r>
      <w:r w:rsidR="005B04D4" w:rsidRPr="00E773B1">
        <w:rPr>
          <w:iCs/>
        </w:rPr>
        <w:t>patients</w:t>
      </w:r>
      <w:r w:rsidR="005C619D" w:rsidRPr="00E773B1">
        <w:rPr>
          <w:iCs/>
        </w:rPr>
        <w:t xml:space="preserve"> with del17p and </w:t>
      </w:r>
      <w:r w:rsidR="00412CA5" w:rsidRPr="00E773B1">
        <w:rPr>
          <w:iCs/>
        </w:rPr>
        <w:t>considered that while the strength of the supporting evidence is limited by the naïve</w:t>
      </w:r>
      <w:r w:rsidR="00412CA5" w:rsidRPr="00BD6D1A">
        <w:rPr>
          <w:i/>
          <w:iCs/>
        </w:rPr>
        <w:t xml:space="preserve"> </w:t>
      </w:r>
      <w:r w:rsidR="00412CA5" w:rsidRPr="00E773B1">
        <w:rPr>
          <w:iCs/>
        </w:rPr>
        <w:t xml:space="preserve">comparisons, the assumption of similar effectiveness between </w:t>
      </w:r>
      <w:proofErr w:type="spellStart"/>
      <w:r w:rsidR="00412CA5" w:rsidRPr="00E773B1">
        <w:rPr>
          <w:iCs/>
        </w:rPr>
        <w:t>ibrutinib</w:t>
      </w:r>
      <w:proofErr w:type="spellEnd"/>
      <w:r w:rsidR="00412CA5" w:rsidRPr="00E773B1">
        <w:rPr>
          <w:iCs/>
        </w:rPr>
        <w:t xml:space="preserve"> monotherapy </w:t>
      </w:r>
      <w:r w:rsidR="00D66B9B" w:rsidRPr="00E773B1">
        <w:rPr>
          <w:iCs/>
        </w:rPr>
        <w:t xml:space="preserve">and </w:t>
      </w:r>
      <w:proofErr w:type="spellStart"/>
      <w:r w:rsidR="00D66B9B" w:rsidRPr="00E773B1">
        <w:rPr>
          <w:iCs/>
        </w:rPr>
        <w:t>ibr+obi</w:t>
      </w:r>
      <w:proofErr w:type="spellEnd"/>
      <w:r w:rsidR="00D66B9B" w:rsidRPr="00E773B1">
        <w:rPr>
          <w:iCs/>
        </w:rPr>
        <w:t xml:space="preserve"> in this population wa</w:t>
      </w:r>
      <w:r w:rsidR="00412CA5" w:rsidRPr="00E773B1">
        <w:rPr>
          <w:iCs/>
        </w:rPr>
        <w:t xml:space="preserve">s </w:t>
      </w:r>
      <w:r w:rsidR="002D67F8" w:rsidRPr="00E773B1">
        <w:rPr>
          <w:iCs/>
        </w:rPr>
        <w:t xml:space="preserve">plausible. </w:t>
      </w:r>
    </w:p>
    <w:p w:rsidR="00D607BB" w:rsidRPr="00E773B1" w:rsidRDefault="002D67F8" w:rsidP="00B2597F">
      <w:pPr>
        <w:pStyle w:val="ListParagraph"/>
        <w:numPr>
          <w:ilvl w:val="1"/>
          <w:numId w:val="1"/>
        </w:numPr>
      </w:pPr>
      <w:r w:rsidRPr="00E773B1">
        <w:rPr>
          <w:rFonts w:cs="Calibri"/>
        </w:rPr>
        <w:lastRenderedPageBreak/>
        <w:t xml:space="preserve">The ESC noted the use of naïve comparisons to support the </w:t>
      </w:r>
      <w:r w:rsidRPr="00E773B1">
        <w:t xml:space="preserve">claim that the safety of </w:t>
      </w:r>
      <w:proofErr w:type="spellStart"/>
      <w:r w:rsidRPr="00E773B1">
        <w:t>ibrutinib</w:t>
      </w:r>
      <w:proofErr w:type="spellEnd"/>
      <w:r w:rsidRPr="00E773B1">
        <w:t xml:space="preserve"> monotherapy and </w:t>
      </w:r>
      <w:proofErr w:type="spellStart"/>
      <w:r w:rsidRPr="00E773B1">
        <w:t>ibr+obi</w:t>
      </w:r>
      <w:proofErr w:type="spellEnd"/>
      <w:r w:rsidRPr="00E773B1">
        <w:t xml:space="preserve"> are similar. The </w:t>
      </w:r>
      <w:r w:rsidRPr="00E773B1">
        <w:rPr>
          <w:rFonts w:cs="Calibri"/>
        </w:rPr>
        <w:t xml:space="preserve">ESC advised that the use of naïve comparisons introduces uncertainty, however the Committee considered it was reasonable to assume non-inferior safety of ibrutinib monotherapy compared to </w:t>
      </w:r>
      <w:proofErr w:type="spellStart"/>
      <w:r w:rsidRPr="00E773B1">
        <w:rPr>
          <w:rFonts w:cs="Calibri"/>
        </w:rPr>
        <w:t>ibr+obi</w:t>
      </w:r>
      <w:proofErr w:type="spellEnd"/>
      <w:r w:rsidRPr="00E773B1">
        <w:rPr>
          <w:rFonts w:cs="Calibri"/>
        </w:rPr>
        <w:t>.</w:t>
      </w:r>
    </w:p>
    <w:p w:rsidR="00767CAC" w:rsidRPr="00854681" w:rsidRDefault="002D6DD5" w:rsidP="00854681">
      <w:pPr>
        <w:pStyle w:val="ListParagraph"/>
        <w:numPr>
          <w:ilvl w:val="1"/>
          <w:numId w:val="1"/>
        </w:numPr>
      </w:pPr>
      <w:r w:rsidRPr="00E773B1">
        <w:t xml:space="preserve">The </w:t>
      </w:r>
      <w:r w:rsidR="00767CAC">
        <w:t>PBAC</w:t>
      </w:r>
      <w:r w:rsidR="00C07C74" w:rsidRPr="00E773B1">
        <w:t xml:space="preserve"> considered that, while the strength of the supporting evidence is limited by the use of naïve indirect comparisons, the claim that ibrutinib monotherapy is superior to </w:t>
      </w:r>
      <w:proofErr w:type="spellStart"/>
      <w:r w:rsidR="00C07C74" w:rsidRPr="00E773B1">
        <w:t>obi+chl</w:t>
      </w:r>
      <w:proofErr w:type="spellEnd"/>
      <w:r w:rsidR="00C07C74" w:rsidRPr="00E773B1">
        <w:t xml:space="preserve"> was </w:t>
      </w:r>
      <w:r w:rsidR="001B1B75" w:rsidRPr="00E773B1">
        <w:t xml:space="preserve">uncertain but </w:t>
      </w:r>
      <w:r w:rsidR="00C07C74" w:rsidRPr="00E773B1">
        <w:t xml:space="preserve">not unreasonable. </w:t>
      </w:r>
    </w:p>
    <w:p w:rsidR="002D67F8" w:rsidRDefault="00767CAC" w:rsidP="00B2597F">
      <w:pPr>
        <w:pStyle w:val="ListParagraph"/>
        <w:numPr>
          <w:ilvl w:val="1"/>
          <w:numId w:val="1"/>
        </w:numPr>
        <w:rPr>
          <w:rFonts w:cs="Calibri"/>
        </w:rPr>
      </w:pPr>
      <w:r>
        <w:t>T</w:t>
      </w:r>
      <w:r w:rsidR="00C07C74" w:rsidRPr="00E773B1">
        <w:t xml:space="preserve">he </w:t>
      </w:r>
      <w:r>
        <w:t>PBAC</w:t>
      </w:r>
      <w:r w:rsidR="00C07C74" w:rsidRPr="00E773B1">
        <w:t xml:space="preserve"> considered that</w:t>
      </w:r>
      <w:r w:rsidR="008B2A43">
        <w:t>,</w:t>
      </w:r>
      <w:r w:rsidR="00C07C74" w:rsidRPr="00E773B1">
        <w:t xml:space="preserve"> despite the use of naïve indirect comparisons</w:t>
      </w:r>
      <w:r w:rsidR="008B2A43">
        <w:t>,</w:t>
      </w:r>
      <w:r w:rsidR="00C07C74" w:rsidRPr="00E773B1">
        <w:t xml:space="preserve"> </w:t>
      </w:r>
      <w:r w:rsidR="008B2A43">
        <w:t xml:space="preserve">the claim of </w:t>
      </w:r>
      <w:r w:rsidR="00C07C74" w:rsidRPr="00E773B1">
        <w:rPr>
          <w:rFonts w:cs="Calibri"/>
        </w:rPr>
        <w:t xml:space="preserve">non-inferior safety of ibrutinib monotherapy compared to </w:t>
      </w:r>
      <w:proofErr w:type="spellStart"/>
      <w:r w:rsidR="00C07C74" w:rsidRPr="00E773B1">
        <w:rPr>
          <w:rFonts w:cs="Calibri"/>
        </w:rPr>
        <w:t>obi+chl</w:t>
      </w:r>
      <w:proofErr w:type="spellEnd"/>
      <w:r w:rsidR="00C07C74" w:rsidRPr="00E773B1">
        <w:rPr>
          <w:rFonts w:cs="Calibri"/>
        </w:rPr>
        <w:t xml:space="preserve"> during the first 9 months of treatment and inferior safety thereafter</w:t>
      </w:r>
      <w:r w:rsidR="008B2A43">
        <w:rPr>
          <w:rFonts w:cs="Calibri"/>
        </w:rPr>
        <w:t xml:space="preserve"> was reasonable</w:t>
      </w:r>
      <w:r w:rsidR="00C07C74" w:rsidRPr="00E773B1">
        <w:rPr>
          <w:rFonts w:cs="Calibri"/>
        </w:rPr>
        <w:t>.</w:t>
      </w:r>
    </w:p>
    <w:p w:rsidR="00690458" w:rsidRDefault="00B60939" w:rsidP="00103B0E">
      <w:pPr>
        <w:pStyle w:val="Heading2"/>
        <w:spacing w:after="120"/>
      </w:pPr>
      <w:bookmarkStart w:id="14" w:name="_Toc19716433"/>
      <w:r w:rsidRPr="00C9624D">
        <w:t>Economic analysis</w:t>
      </w:r>
      <w:bookmarkEnd w:id="14"/>
      <w:r w:rsidR="00491B3A" w:rsidRPr="00C9624D">
        <w:t xml:space="preserve"> </w:t>
      </w:r>
    </w:p>
    <w:p w:rsidR="00690458" w:rsidRPr="00690458" w:rsidRDefault="00FA0474" w:rsidP="00B2597F">
      <w:pPr>
        <w:pStyle w:val="ListParagraph"/>
        <w:numPr>
          <w:ilvl w:val="1"/>
          <w:numId w:val="1"/>
        </w:numPr>
      </w:pPr>
      <w:r>
        <w:t>Table 1</w:t>
      </w:r>
      <w:r w:rsidR="00B9191D">
        <w:t>2</w:t>
      </w:r>
      <w:r w:rsidR="00F32793">
        <w:t xml:space="preserve"> provides a summary of the key components of the economic evaluation, along with corresponding information for the November 2017</w:t>
      </w:r>
      <w:r w:rsidR="00EB05E0">
        <w:t>/</w:t>
      </w:r>
      <w:r w:rsidR="00F32793">
        <w:t>March 2018 model.</w:t>
      </w:r>
    </w:p>
    <w:p w:rsidR="00275C5A" w:rsidRDefault="00661DFA" w:rsidP="00926767">
      <w:pPr>
        <w:keepNext/>
        <w:rPr>
          <w:rStyle w:val="CommentReference"/>
        </w:rPr>
      </w:pPr>
      <w:r w:rsidRPr="00401364">
        <w:rPr>
          <w:rFonts w:ascii="Arial Narrow" w:hAnsi="Arial Narrow"/>
          <w:b/>
          <w:sz w:val="20"/>
          <w:szCs w:val="20"/>
        </w:rPr>
        <w:lastRenderedPageBreak/>
        <w:t>Table</w:t>
      </w:r>
      <w:r w:rsidR="00B9191D">
        <w:rPr>
          <w:rFonts w:ascii="Arial Narrow" w:hAnsi="Arial Narrow"/>
          <w:b/>
          <w:sz w:val="20"/>
          <w:szCs w:val="20"/>
        </w:rPr>
        <w:t xml:space="preserve"> 12</w:t>
      </w:r>
      <w:r w:rsidR="00275C5A" w:rsidRPr="00A56B6A">
        <w:rPr>
          <w:rStyle w:val="CommentReference"/>
        </w:rPr>
        <w:t xml:space="preserve">: Summary of model structure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7"/>
        <w:gridCol w:w="3865"/>
        <w:gridCol w:w="3865"/>
      </w:tblGrid>
      <w:tr w:rsidR="009A24D7" w:rsidRPr="00E05630" w:rsidTr="009A24D7">
        <w:trPr>
          <w:tblHeader/>
        </w:trPr>
        <w:tc>
          <w:tcPr>
            <w:tcW w:w="714" w:type="pct"/>
            <w:vAlign w:val="center"/>
          </w:tcPr>
          <w:p w:rsidR="009A24D7" w:rsidRPr="00E05630" w:rsidRDefault="009A24D7" w:rsidP="00926767">
            <w:pPr>
              <w:pStyle w:val="Tabletext"/>
              <w:keepNext/>
              <w:widowControl w:val="0"/>
              <w:rPr>
                <w:b/>
              </w:rPr>
            </w:pPr>
            <w:r w:rsidRPr="00E05630">
              <w:rPr>
                <w:b/>
              </w:rPr>
              <w:t>Component</w:t>
            </w:r>
          </w:p>
        </w:tc>
        <w:tc>
          <w:tcPr>
            <w:tcW w:w="2143" w:type="pct"/>
            <w:vAlign w:val="center"/>
          </w:tcPr>
          <w:p w:rsidR="009A24D7" w:rsidRDefault="009A24D7" w:rsidP="009A24D7">
            <w:pPr>
              <w:pStyle w:val="Tabletext"/>
              <w:keepNext/>
              <w:widowControl w:val="0"/>
              <w:jc w:val="center"/>
              <w:rPr>
                <w:b/>
              </w:rPr>
            </w:pPr>
            <w:r>
              <w:rPr>
                <w:b/>
              </w:rPr>
              <w:t>November 2017/ March 2018 model</w:t>
            </w:r>
          </w:p>
        </w:tc>
        <w:tc>
          <w:tcPr>
            <w:tcW w:w="2143" w:type="pct"/>
            <w:vAlign w:val="center"/>
          </w:tcPr>
          <w:p w:rsidR="009A24D7" w:rsidRPr="00EB5599" w:rsidRDefault="009A24D7" w:rsidP="00926767">
            <w:pPr>
              <w:pStyle w:val="Tabletext"/>
              <w:keepNext/>
              <w:widowControl w:val="0"/>
              <w:jc w:val="center"/>
              <w:rPr>
                <w:b/>
              </w:rPr>
            </w:pPr>
            <w:r w:rsidRPr="00EB5599">
              <w:rPr>
                <w:b/>
              </w:rPr>
              <w:t>Current model</w:t>
            </w:r>
          </w:p>
        </w:tc>
      </w:tr>
      <w:tr w:rsidR="009A24D7" w:rsidRPr="00933A83" w:rsidTr="009A24D7">
        <w:trPr>
          <w:tblHeader/>
        </w:trPr>
        <w:tc>
          <w:tcPr>
            <w:tcW w:w="714" w:type="pct"/>
            <w:vAlign w:val="center"/>
          </w:tcPr>
          <w:p w:rsidR="009A24D7" w:rsidRPr="004E2ADC" w:rsidRDefault="009A24D7" w:rsidP="009A24D7">
            <w:pPr>
              <w:pStyle w:val="Tabletext"/>
              <w:keepNext/>
              <w:widowControl w:val="0"/>
            </w:pPr>
            <w:r>
              <w:t>Type of analysis</w:t>
            </w:r>
          </w:p>
        </w:tc>
        <w:tc>
          <w:tcPr>
            <w:tcW w:w="2143" w:type="pct"/>
            <w:vAlign w:val="center"/>
          </w:tcPr>
          <w:p w:rsidR="009A24D7" w:rsidRDefault="009A24D7" w:rsidP="009A24D7">
            <w:pPr>
              <w:pStyle w:val="Tabletext"/>
              <w:keepNext/>
              <w:widowControl w:val="0"/>
            </w:pPr>
            <w:r>
              <w:t>Cost-utility analysis</w:t>
            </w:r>
          </w:p>
        </w:tc>
        <w:tc>
          <w:tcPr>
            <w:tcW w:w="2143" w:type="pct"/>
            <w:vAlign w:val="center"/>
          </w:tcPr>
          <w:p w:rsidR="009A24D7" w:rsidRPr="00EB5599" w:rsidRDefault="009A24D7" w:rsidP="009A24D7">
            <w:pPr>
              <w:pStyle w:val="Tabletext"/>
              <w:keepNext/>
              <w:widowControl w:val="0"/>
            </w:pPr>
            <w:r>
              <w:t>Cost-utility analysis</w:t>
            </w:r>
          </w:p>
        </w:tc>
      </w:tr>
      <w:tr w:rsidR="009A24D7" w:rsidRPr="00933A83" w:rsidTr="009A24D7">
        <w:trPr>
          <w:tblHeader/>
        </w:trPr>
        <w:tc>
          <w:tcPr>
            <w:tcW w:w="714" w:type="pct"/>
            <w:vAlign w:val="center"/>
          </w:tcPr>
          <w:p w:rsidR="009A24D7" w:rsidRPr="004E2ADC" w:rsidRDefault="009A24D7" w:rsidP="009A24D7">
            <w:pPr>
              <w:pStyle w:val="Tabletext"/>
              <w:keepNext/>
              <w:widowControl w:val="0"/>
            </w:pPr>
            <w:r>
              <w:t>Outcomes</w:t>
            </w:r>
          </w:p>
        </w:tc>
        <w:tc>
          <w:tcPr>
            <w:tcW w:w="2143" w:type="pct"/>
            <w:vAlign w:val="center"/>
          </w:tcPr>
          <w:p w:rsidR="009A24D7" w:rsidRDefault="009A24D7" w:rsidP="009A24D7">
            <w:pPr>
              <w:pStyle w:val="Tabletext"/>
              <w:keepNext/>
              <w:widowControl w:val="0"/>
            </w:pPr>
            <w:r>
              <w:t>QALYs; LYG</w:t>
            </w:r>
          </w:p>
        </w:tc>
        <w:tc>
          <w:tcPr>
            <w:tcW w:w="2143" w:type="pct"/>
            <w:vAlign w:val="center"/>
          </w:tcPr>
          <w:p w:rsidR="009A24D7" w:rsidRPr="00EB5599" w:rsidRDefault="009A24D7" w:rsidP="009A24D7">
            <w:pPr>
              <w:pStyle w:val="Tabletext"/>
              <w:keepNext/>
              <w:widowControl w:val="0"/>
            </w:pPr>
            <w:r>
              <w:t>QALYs; LYG</w:t>
            </w:r>
          </w:p>
        </w:tc>
      </w:tr>
      <w:tr w:rsidR="009A24D7" w:rsidRPr="00060C49" w:rsidTr="009A24D7">
        <w:trPr>
          <w:tblHeader/>
        </w:trPr>
        <w:tc>
          <w:tcPr>
            <w:tcW w:w="714" w:type="pct"/>
            <w:vAlign w:val="center"/>
          </w:tcPr>
          <w:p w:rsidR="009A24D7" w:rsidRPr="004E2ADC" w:rsidRDefault="009A24D7" w:rsidP="00926767">
            <w:pPr>
              <w:pStyle w:val="Tabletext"/>
              <w:keepNext/>
              <w:widowControl w:val="0"/>
            </w:pPr>
            <w:r>
              <w:t>Time horizon</w:t>
            </w:r>
          </w:p>
        </w:tc>
        <w:tc>
          <w:tcPr>
            <w:tcW w:w="2143" w:type="pct"/>
            <w:vAlign w:val="center"/>
          </w:tcPr>
          <w:p w:rsidR="009A24D7" w:rsidRDefault="009A24D7" w:rsidP="00926767">
            <w:pPr>
              <w:pStyle w:val="Tabletext"/>
              <w:keepNext/>
              <w:widowControl w:val="0"/>
            </w:pPr>
            <w:r>
              <w:t>20 years (Nov 17), 10 years (Mar 18)</w:t>
            </w:r>
          </w:p>
        </w:tc>
        <w:tc>
          <w:tcPr>
            <w:tcW w:w="2143" w:type="pct"/>
            <w:vAlign w:val="center"/>
          </w:tcPr>
          <w:p w:rsidR="009A24D7" w:rsidRPr="00EB5599" w:rsidRDefault="009A24D7" w:rsidP="00926767">
            <w:pPr>
              <w:pStyle w:val="Tabletext"/>
              <w:keepNext/>
              <w:widowControl w:val="0"/>
            </w:pPr>
            <w:r w:rsidRPr="00EB5599">
              <w:t>10 years</w:t>
            </w:r>
          </w:p>
        </w:tc>
      </w:tr>
      <w:tr w:rsidR="009A24D7" w:rsidRPr="00060C49" w:rsidTr="009A24D7">
        <w:trPr>
          <w:tblHeader/>
        </w:trPr>
        <w:tc>
          <w:tcPr>
            <w:tcW w:w="714" w:type="pct"/>
            <w:vAlign w:val="center"/>
          </w:tcPr>
          <w:p w:rsidR="009A24D7" w:rsidRPr="004E2ADC" w:rsidRDefault="009A24D7" w:rsidP="00926767">
            <w:pPr>
              <w:pStyle w:val="Tabletext"/>
              <w:keepNext/>
              <w:widowControl w:val="0"/>
            </w:pPr>
            <w:r>
              <w:t>Methods used to generate results</w:t>
            </w:r>
          </w:p>
        </w:tc>
        <w:tc>
          <w:tcPr>
            <w:tcW w:w="2143" w:type="pct"/>
            <w:vAlign w:val="center"/>
          </w:tcPr>
          <w:p w:rsidR="009A24D7" w:rsidRDefault="009A24D7" w:rsidP="00926767">
            <w:pPr>
              <w:pStyle w:val="Tabletext"/>
              <w:keepNext/>
              <w:widowControl w:val="0"/>
            </w:pPr>
            <w:r>
              <w:t>Markov cohort model</w:t>
            </w:r>
          </w:p>
        </w:tc>
        <w:tc>
          <w:tcPr>
            <w:tcW w:w="2143" w:type="pct"/>
            <w:vAlign w:val="center"/>
          </w:tcPr>
          <w:p w:rsidR="009A24D7" w:rsidRPr="00EB5599" w:rsidRDefault="009A24D7" w:rsidP="00926767">
            <w:pPr>
              <w:pStyle w:val="Tabletext"/>
              <w:keepNext/>
              <w:widowControl w:val="0"/>
            </w:pPr>
            <w:r w:rsidRPr="00EB5599">
              <w:t>Hybrid model where partitioned survival analysis techniques were used to construct a Markov cohort</w:t>
            </w:r>
          </w:p>
        </w:tc>
      </w:tr>
      <w:tr w:rsidR="009A24D7" w:rsidRPr="00924288" w:rsidTr="009A24D7">
        <w:trPr>
          <w:tblHeader/>
        </w:trPr>
        <w:tc>
          <w:tcPr>
            <w:tcW w:w="714" w:type="pct"/>
            <w:vAlign w:val="center"/>
          </w:tcPr>
          <w:p w:rsidR="009A24D7" w:rsidRPr="004E2ADC" w:rsidRDefault="009A24D7" w:rsidP="00926767">
            <w:pPr>
              <w:pStyle w:val="Tabletext"/>
              <w:keepNext/>
              <w:widowControl w:val="0"/>
            </w:pPr>
            <w:r>
              <w:t>Health states</w:t>
            </w:r>
          </w:p>
        </w:tc>
        <w:tc>
          <w:tcPr>
            <w:tcW w:w="2143" w:type="pct"/>
            <w:vAlign w:val="center"/>
          </w:tcPr>
          <w:p w:rsidR="009A24D7" w:rsidRDefault="009A24D7" w:rsidP="00926767">
            <w:pPr>
              <w:pStyle w:val="Tabletext"/>
              <w:keepNext/>
              <w:widowControl w:val="0"/>
            </w:pPr>
            <w:r>
              <w:t xml:space="preserve">Three health states: </w:t>
            </w:r>
          </w:p>
          <w:p w:rsidR="009A24D7" w:rsidRDefault="009A24D7" w:rsidP="00B2597F">
            <w:pPr>
              <w:pStyle w:val="Tabletext"/>
              <w:keepNext/>
              <w:widowControl w:val="0"/>
              <w:numPr>
                <w:ilvl w:val="0"/>
                <w:numId w:val="2"/>
              </w:numPr>
              <w:ind w:left="110" w:hanging="110"/>
            </w:pPr>
            <w:proofErr w:type="spellStart"/>
            <w:r>
              <w:t>Unprogressed</w:t>
            </w:r>
            <w:proofErr w:type="spellEnd"/>
            <w:r>
              <w:t xml:space="preserve"> </w:t>
            </w:r>
          </w:p>
          <w:p w:rsidR="009A24D7" w:rsidRDefault="009A24D7" w:rsidP="00B2597F">
            <w:pPr>
              <w:pStyle w:val="Tabletext"/>
              <w:keepNext/>
              <w:widowControl w:val="0"/>
              <w:numPr>
                <w:ilvl w:val="0"/>
                <w:numId w:val="2"/>
              </w:numPr>
              <w:ind w:left="110" w:hanging="110"/>
            </w:pPr>
            <w:r>
              <w:t>Progressed</w:t>
            </w:r>
          </w:p>
          <w:p w:rsidR="009A24D7" w:rsidRDefault="009A24D7" w:rsidP="00B2597F">
            <w:pPr>
              <w:pStyle w:val="Tabletext"/>
              <w:keepNext/>
              <w:widowControl w:val="0"/>
              <w:numPr>
                <w:ilvl w:val="0"/>
                <w:numId w:val="2"/>
              </w:numPr>
              <w:ind w:left="110" w:hanging="110"/>
            </w:pPr>
            <w:r>
              <w:t xml:space="preserve">Death (absorbing) </w:t>
            </w:r>
          </w:p>
          <w:p w:rsidR="009A24D7" w:rsidRDefault="009A24D7" w:rsidP="00926767">
            <w:pPr>
              <w:pStyle w:val="Tabletext"/>
              <w:keepNext/>
              <w:widowControl w:val="0"/>
            </w:pPr>
            <w:r>
              <w:t xml:space="preserve">Plus patients can start a new treatment (second or third-line therapy) where they move to </w:t>
            </w:r>
            <w:proofErr w:type="spellStart"/>
            <w:r>
              <w:t>unprogressed</w:t>
            </w:r>
            <w:proofErr w:type="spellEnd"/>
            <w:r>
              <w:t xml:space="preserve"> for the new treatment.</w:t>
            </w:r>
          </w:p>
        </w:tc>
        <w:tc>
          <w:tcPr>
            <w:tcW w:w="2143" w:type="pct"/>
          </w:tcPr>
          <w:p w:rsidR="009A24D7" w:rsidRPr="00EB5599" w:rsidRDefault="009A24D7" w:rsidP="009A24D7">
            <w:pPr>
              <w:pStyle w:val="Tabletext"/>
              <w:keepNext/>
              <w:widowControl w:val="0"/>
            </w:pPr>
            <w:r w:rsidRPr="00EB5599">
              <w:t xml:space="preserve">Six health states: </w:t>
            </w:r>
          </w:p>
          <w:p w:rsidR="009A24D7" w:rsidRPr="00EB5599" w:rsidRDefault="009A24D7" w:rsidP="00B2597F">
            <w:pPr>
              <w:pStyle w:val="Tabletext"/>
              <w:keepNext/>
              <w:widowControl w:val="0"/>
              <w:numPr>
                <w:ilvl w:val="0"/>
                <w:numId w:val="2"/>
              </w:numPr>
              <w:ind w:left="110" w:hanging="110"/>
            </w:pPr>
            <w:r w:rsidRPr="00EB5599">
              <w:t xml:space="preserve">First-line PFS (1L PFS) </w:t>
            </w:r>
          </w:p>
          <w:p w:rsidR="009A24D7" w:rsidRPr="00EB5599" w:rsidRDefault="009A24D7" w:rsidP="00B2597F">
            <w:pPr>
              <w:pStyle w:val="Tabletext"/>
              <w:keepNext/>
              <w:widowControl w:val="0"/>
              <w:numPr>
                <w:ilvl w:val="0"/>
                <w:numId w:val="2"/>
              </w:numPr>
              <w:ind w:left="110" w:hanging="110"/>
            </w:pPr>
            <w:r w:rsidRPr="00EB5599">
              <w:t>First-line progressive disease (1L PD)</w:t>
            </w:r>
          </w:p>
          <w:p w:rsidR="009A24D7" w:rsidRPr="00EB5599" w:rsidRDefault="009A24D7" w:rsidP="00B2597F">
            <w:pPr>
              <w:pStyle w:val="Tabletext"/>
              <w:keepNext/>
              <w:widowControl w:val="0"/>
              <w:numPr>
                <w:ilvl w:val="0"/>
                <w:numId w:val="2"/>
              </w:numPr>
              <w:ind w:left="110" w:hanging="110"/>
            </w:pPr>
            <w:r w:rsidRPr="00EB5599">
              <w:t>Second-line PFS (2L PFS)</w:t>
            </w:r>
          </w:p>
          <w:p w:rsidR="009A24D7" w:rsidRPr="00EB5599" w:rsidRDefault="009A24D7" w:rsidP="00B2597F">
            <w:pPr>
              <w:pStyle w:val="Tabletext"/>
              <w:keepNext/>
              <w:widowControl w:val="0"/>
              <w:numPr>
                <w:ilvl w:val="0"/>
                <w:numId w:val="2"/>
              </w:numPr>
              <w:ind w:left="110" w:hanging="110"/>
            </w:pPr>
            <w:r w:rsidRPr="00EB5599">
              <w:t>Second-line progressive disease (2L PD)</w:t>
            </w:r>
          </w:p>
          <w:p w:rsidR="009A24D7" w:rsidRPr="00EB5599" w:rsidRDefault="009A24D7" w:rsidP="00B2597F">
            <w:pPr>
              <w:pStyle w:val="Tabletext"/>
              <w:keepNext/>
              <w:widowControl w:val="0"/>
              <w:numPr>
                <w:ilvl w:val="0"/>
                <w:numId w:val="2"/>
              </w:numPr>
              <w:ind w:left="110" w:hanging="110"/>
            </w:pPr>
            <w:r w:rsidRPr="00EB5599">
              <w:t>Third and subsequent treatment line (3L+)</w:t>
            </w:r>
          </w:p>
          <w:p w:rsidR="009A24D7" w:rsidRPr="00EB5599" w:rsidRDefault="009A24D7" w:rsidP="00B2597F">
            <w:pPr>
              <w:pStyle w:val="Tabletext"/>
              <w:keepNext/>
              <w:widowControl w:val="0"/>
              <w:numPr>
                <w:ilvl w:val="0"/>
                <w:numId w:val="2"/>
              </w:numPr>
              <w:ind w:left="110" w:hanging="110"/>
            </w:pPr>
            <w:r w:rsidRPr="00EB5599">
              <w:t>Death (absorbing)</w:t>
            </w:r>
          </w:p>
        </w:tc>
      </w:tr>
      <w:tr w:rsidR="009A24D7" w:rsidRPr="001061C3" w:rsidTr="009A24D7">
        <w:trPr>
          <w:tblHeader/>
        </w:trPr>
        <w:tc>
          <w:tcPr>
            <w:tcW w:w="714" w:type="pct"/>
            <w:vAlign w:val="center"/>
          </w:tcPr>
          <w:p w:rsidR="009A24D7" w:rsidRDefault="009A24D7" w:rsidP="00926767">
            <w:pPr>
              <w:pStyle w:val="Tabletext"/>
              <w:keepNext/>
              <w:widowControl w:val="0"/>
            </w:pPr>
            <w:r>
              <w:t>Comparison</w:t>
            </w:r>
          </w:p>
        </w:tc>
        <w:tc>
          <w:tcPr>
            <w:tcW w:w="2143" w:type="pct"/>
            <w:vAlign w:val="center"/>
          </w:tcPr>
          <w:p w:rsidR="009A24D7" w:rsidRDefault="009A24D7" w:rsidP="00926767">
            <w:pPr>
              <w:pStyle w:val="TableText1"/>
              <w:widowControl w:val="0"/>
            </w:pPr>
            <w:proofErr w:type="spellStart"/>
            <w:r>
              <w:t>ibr</w:t>
            </w:r>
            <w:proofErr w:type="spellEnd"/>
            <w:r>
              <w:t xml:space="preserve"> → </w:t>
            </w:r>
            <w:proofErr w:type="spellStart"/>
            <w:r>
              <w:t>ritux+chl</w:t>
            </w:r>
            <w:proofErr w:type="spellEnd"/>
            <w:r>
              <w:t xml:space="preserve"> → 3</w:t>
            </w:r>
            <w:r w:rsidRPr="00AD5BFB">
              <w:rPr>
                <w:vertAlign w:val="superscript"/>
              </w:rPr>
              <w:t>rd</w:t>
            </w:r>
            <w:r>
              <w:t xml:space="preserve"> line </w:t>
            </w:r>
          </w:p>
          <w:p w:rsidR="009A24D7" w:rsidRDefault="009A24D7" w:rsidP="00926767">
            <w:pPr>
              <w:pStyle w:val="TableText1"/>
              <w:widowControl w:val="0"/>
            </w:pPr>
            <w:r>
              <w:t>versus blended comparator:</w:t>
            </w:r>
          </w:p>
          <w:p w:rsidR="009A24D7" w:rsidRDefault="009A24D7" w:rsidP="00926767">
            <w:pPr>
              <w:pStyle w:val="TableText1"/>
              <w:widowControl w:val="0"/>
            </w:pPr>
            <w:proofErr w:type="spellStart"/>
            <w:proofErr w:type="gramStart"/>
            <w:r>
              <w:t>ritux+</w:t>
            </w:r>
            <w:proofErr w:type="gramEnd"/>
            <w:r>
              <w:t>chl</w:t>
            </w:r>
            <w:proofErr w:type="spellEnd"/>
            <w:r>
              <w:t xml:space="preserve"> →ibr→3</w:t>
            </w:r>
            <w:r w:rsidRPr="00AD5BFB">
              <w:rPr>
                <w:vertAlign w:val="superscript"/>
              </w:rPr>
              <w:t>rd</w:t>
            </w:r>
            <w:r>
              <w:t xml:space="preserve"> line</w:t>
            </w:r>
            <w:r w:rsidR="001D76F9">
              <w:t xml:space="preserve"> </w:t>
            </w:r>
            <w:r>
              <w:t>(61.3%)</w:t>
            </w:r>
          </w:p>
          <w:p w:rsidR="009A24D7" w:rsidRDefault="009A24D7" w:rsidP="00926767">
            <w:pPr>
              <w:pStyle w:val="TableText1"/>
              <w:widowControl w:val="0"/>
            </w:pPr>
            <w:proofErr w:type="spellStart"/>
            <w:proofErr w:type="gramStart"/>
            <w:r>
              <w:t>obi+</w:t>
            </w:r>
            <w:proofErr w:type="gramEnd"/>
            <w:r>
              <w:t>chl</w:t>
            </w:r>
            <w:proofErr w:type="spellEnd"/>
            <w:r>
              <w:t xml:space="preserve"> →</w:t>
            </w:r>
            <w:proofErr w:type="spellStart"/>
            <w:r>
              <w:t>ibr</w:t>
            </w:r>
            <w:proofErr w:type="spellEnd"/>
            <w:r>
              <w:t xml:space="preserve"> →3</w:t>
            </w:r>
            <w:r w:rsidRPr="000333E3">
              <w:rPr>
                <w:vertAlign w:val="superscript"/>
              </w:rPr>
              <w:t>rd</w:t>
            </w:r>
            <w:r>
              <w:t xml:space="preserve"> line (29.4%)</w:t>
            </w:r>
          </w:p>
          <w:p w:rsidR="009A24D7" w:rsidRDefault="009A24D7" w:rsidP="00926767">
            <w:pPr>
              <w:pStyle w:val="Tabletext"/>
              <w:keepNext/>
              <w:widowControl w:val="0"/>
            </w:pPr>
            <w:proofErr w:type="spellStart"/>
            <w:proofErr w:type="gramStart"/>
            <w:r>
              <w:t>ofa+</w:t>
            </w:r>
            <w:proofErr w:type="gramEnd"/>
            <w:r>
              <w:t>chl</w:t>
            </w:r>
            <w:proofErr w:type="spellEnd"/>
            <w:r>
              <w:t xml:space="preserve"> → </w:t>
            </w:r>
            <w:proofErr w:type="spellStart"/>
            <w:r>
              <w:t>ibr</w:t>
            </w:r>
            <w:proofErr w:type="spellEnd"/>
            <w:r>
              <w:t xml:space="preserve"> →3</w:t>
            </w:r>
            <w:r w:rsidRPr="000333E3">
              <w:rPr>
                <w:vertAlign w:val="superscript"/>
              </w:rPr>
              <w:t>rd</w:t>
            </w:r>
            <w:r>
              <w:t xml:space="preserve"> line (9.3%)</w:t>
            </w:r>
          </w:p>
        </w:tc>
        <w:tc>
          <w:tcPr>
            <w:tcW w:w="2143" w:type="pct"/>
          </w:tcPr>
          <w:p w:rsidR="009A24D7" w:rsidRPr="00EB5599" w:rsidRDefault="009A24D7" w:rsidP="009A24D7">
            <w:pPr>
              <w:pStyle w:val="TableText1"/>
              <w:widowControl w:val="0"/>
            </w:pPr>
            <w:proofErr w:type="spellStart"/>
            <w:r w:rsidRPr="00EB5599">
              <w:t>ibr</w:t>
            </w:r>
            <w:proofErr w:type="spellEnd"/>
            <w:r w:rsidRPr="00EB5599">
              <w:t xml:space="preserve"> → </w:t>
            </w:r>
            <w:proofErr w:type="spellStart"/>
            <w:r w:rsidRPr="00EB5599">
              <w:t>ven+ritux</w:t>
            </w:r>
            <w:proofErr w:type="spellEnd"/>
            <w:r w:rsidRPr="00EB5599">
              <w:t xml:space="preserve"> → </w:t>
            </w:r>
            <w:proofErr w:type="spellStart"/>
            <w:r w:rsidRPr="00EB5599">
              <w:t>idel+ritux</w:t>
            </w:r>
            <w:proofErr w:type="spellEnd"/>
            <w:r w:rsidRPr="00EB5599">
              <w:t xml:space="preserve"> </w:t>
            </w:r>
          </w:p>
          <w:p w:rsidR="009A24D7" w:rsidRPr="00EB5599" w:rsidRDefault="009A24D7" w:rsidP="009A24D7">
            <w:pPr>
              <w:pStyle w:val="TableText1"/>
              <w:widowControl w:val="0"/>
            </w:pPr>
            <w:r w:rsidRPr="00EB5599">
              <w:t xml:space="preserve">versus </w:t>
            </w:r>
          </w:p>
          <w:p w:rsidR="009A24D7" w:rsidRPr="00EB5599" w:rsidRDefault="009A24D7" w:rsidP="009A24D7">
            <w:pPr>
              <w:pStyle w:val="TableText1"/>
              <w:widowControl w:val="0"/>
            </w:pPr>
            <w:proofErr w:type="spellStart"/>
            <w:r w:rsidRPr="00EB5599">
              <w:t>obi+chl</w:t>
            </w:r>
            <w:proofErr w:type="spellEnd"/>
            <w:r w:rsidRPr="00EB5599">
              <w:t xml:space="preserve"> →</w:t>
            </w:r>
            <w:proofErr w:type="spellStart"/>
            <w:r w:rsidRPr="00EB5599">
              <w:t>ibr→ven+ritux</w:t>
            </w:r>
            <w:proofErr w:type="spellEnd"/>
          </w:p>
          <w:p w:rsidR="009A24D7" w:rsidRPr="00EB5599" w:rsidRDefault="009A24D7" w:rsidP="009A24D7">
            <w:pPr>
              <w:pStyle w:val="Tabletext"/>
              <w:keepNext/>
              <w:widowControl w:val="0"/>
            </w:pPr>
          </w:p>
        </w:tc>
      </w:tr>
      <w:tr w:rsidR="009A24D7" w:rsidRPr="006F127E" w:rsidTr="009A24D7">
        <w:trPr>
          <w:tblHeader/>
        </w:trPr>
        <w:tc>
          <w:tcPr>
            <w:tcW w:w="714" w:type="pct"/>
            <w:vAlign w:val="center"/>
          </w:tcPr>
          <w:p w:rsidR="009A24D7" w:rsidRPr="004E2ADC" w:rsidRDefault="009A24D7" w:rsidP="00926767">
            <w:pPr>
              <w:pStyle w:val="Tabletext"/>
              <w:keepNext/>
              <w:widowControl w:val="0"/>
            </w:pPr>
            <w:r>
              <w:t>Cycle length</w:t>
            </w:r>
          </w:p>
        </w:tc>
        <w:tc>
          <w:tcPr>
            <w:tcW w:w="2143" w:type="pct"/>
            <w:vAlign w:val="center"/>
          </w:tcPr>
          <w:p w:rsidR="009A24D7" w:rsidRDefault="009A24D7" w:rsidP="00926767">
            <w:pPr>
              <w:pStyle w:val="Tabletext"/>
              <w:keepNext/>
              <w:widowControl w:val="0"/>
            </w:pPr>
            <w:r>
              <w:t>30 days, with no half cycle correction</w:t>
            </w:r>
          </w:p>
        </w:tc>
        <w:tc>
          <w:tcPr>
            <w:tcW w:w="2143" w:type="pct"/>
          </w:tcPr>
          <w:p w:rsidR="009A24D7" w:rsidRPr="00EB5599" w:rsidRDefault="009A24D7" w:rsidP="009A24D7">
            <w:pPr>
              <w:pStyle w:val="Tabletext"/>
              <w:keepNext/>
              <w:widowControl w:val="0"/>
            </w:pPr>
            <w:r w:rsidRPr="00EB5599">
              <w:t>28 days, with half cycle correction</w:t>
            </w:r>
          </w:p>
        </w:tc>
      </w:tr>
      <w:tr w:rsidR="009A24D7" w:rsidTr="009A24D7">
        <w:trPr>
          <w:tblHeader/>
        </w:trPr>
        <w:tc>
          <w:tcPr>
            <w:tcW w:w="714" w:type="pct"/>
            <w:vAlign w:val="center"/>
          </w:tcPr>
          <w:p w:rsidR="009A24D7" w:rsidRDefault="009A24D7" w:rsidP="00926767">
            <w:pPr>
              <w:pStyle w:val="Tabletext"/>
              <w:keepNext/>
              <w:widowControl w:val="0"/>
            </w:pPr>
            <w:r>
              <w:t>Transition probabilities</w:t>
            </w:r>
          </w:p>
        </w:tc>
        <w:tc>
          <w:tcPr>
            <w:tcW w:w="2143" w:type="pct"/>
          </w:tcPr>
          <w:p w:rsidR="009A24D7" w:rsidRDefault="009A24D7" w:rsidP="009A24D7">
            <w:pPr>
              <w:pStyle w:val="Tabletext"/>
              <w:keepNext/>
              <w:widowControl w:val="0"/>
            </w:pPr>
            <w:r>
              <w:t>PFS transition probabilities were based on RESONATE-2 data as well as CLL11 and COMPLEMENT-1 for the comparators. Time to progression for further lines of therapy were adjusted by multipliers based on the CLL8 and REACH trials used in first and second-line treatment of CLL with rituximab-fludarabine-cyclophosphamide.</w:t>
            </w:r>
          </w:p>
        </w:tc>
        <w:tc>
          <w:tcPr>
            <w:tcW w:w="2143" w:type="pct"/>
            <w:vAlign w:val="center"/>
          </w:tcPr>
          <w:p w:rsidR="009A24D7" w:rsidRPr="00E773B1" w:rsidRDefault="009A24D7" w:rsidP="00926767">
            <w:pPr>
              <w:pStyle w:val="Tabletext"/>
              <w:keepNext/>
              <w:widowControl w:val="0"/>
              <w:rPr>
                <w:iCs/>
              </w:rPr>
            </w:pPr>
            <w:r>
              <w:t xml:space="preserve">First-line transitions were based on </w:t>
            </w:r>
            <w:r w:rsidRPr="00EB5599">
              <w:t xml:space="preserve">ILLUMINATE </w:t>
            </w:r>
            <w:r>
              <w:t>data.</w:t>
            </w:r>
            <w:r w:rsidRPr="00EB5599">
              <w:t xml:space="preserve">  </w:t>
            </w:r>
            <w:r w:rsidRPr="00EB5599">
              <w:rPr>
                <w:iCs/>
              </w:rPr>
              <w:t>The resubmission assume</w:t>
            </w:r>
            <w:r>
              <w:rPr>
                <w:iCs/>
              </w:rPr>
              <w:t>d</w:t>
            </w:r>
            <w:r w:rsidRPr="00EB5599">
              <w:rPr>
                <w:iCs/>
              </w:rPr>
              <w:t xml:space="preserve"> that the comparative efficacy of ibrutinib and ofatumumab in RESONATE was applicable to second-line the</w:t>
            </w:r>
            <w:r w:rsidR="00103B0E">
              <w:rPr>
                <w:iCs/>
              </w:rPr>
              <w:t>rapy</w:t>
            </w:r>
            <w:r w:rsidRPr="00EB5599">
              <w:rPr>
                <w:iCs/>
              </w:rPr>
              <w:t xml:space="preserve">. </w:t>
            </w:r>
            <w:r w:rsidRPr="00E773B1">
              <w:rPr>
                <w:iCs/>
              </w:rPr>
              <w:t xml:space="preserve">The PSCR  stated </w:t>
            </w:r>
            <w:r w:rsidRPr="00E773B1">
              <w:t>the model use</w:t>
            </w:r>
            <w:r w:rsidR="00F65574">
              <w:t>d</w:t>
            </w:r>
            <w:r w:rsidRPr="00E773B1">
              <w:t xml:space="preserve"> the RESONATE PFS data as a proxy for the </w:t>
            </w:r>
            <w:proofErr w:type="spellStart"/>
            <w:r w:rsidRPr="00E773B1">
              <w:t>ven+ritux</w:t>
            </w:r>
            <w:proofErr w:type="spellEnd"/>
            <w:r w:rsidRPr="00E773B1">
              <w:t xml:space="preserve">  PFS, on the basis that the PBAC recommended </w:t>
            </w:r>
            <w:proofErr w:type="spellStart"/>
            <w:r w:rsidRPr="00E773B1">
              <w:t>ven+ritux</w:t>
            </w:r>
            <w:proofErr w:type="spellEnd"/>
            <w:r w:rsidRPr="00E773B1">
              <w:t xml:space="preserve"> for PBS listing in R/R CLL on a cost-minimisation basis with ibrutinib, having considered them non-inferior in efficacy. Thus, the base case applied a PFS HR=1 to model the progression free survival outcomes of </w:t>
            </w:r>
            <w:proofErr w:type="spellStart"/>
            <w:r w:rsidRPr="00E773B1">
              <w:t>ven+ritux</w:t>
            </w:r>
            <w:proofErr w:type="spellEnd"/>
            <w:r w:rsidRPr="00E773B1">
              <w:t xml:space="preserve">. </w:t>
            </w:r>
          </w:p>
          <w:p w:rsidR="009A24D7" w:rsidRPr="00EB5599" w:rsidRDefault="00F65574" w:rsidP="00F65574">
            <w:pPr>
              <w:pStyle w:val="Tabletext"/>
              <w:keepNext/>
              <w:widowControl w:val="0"/>
            </w:pPr>
            <w:r>
              <w:rPr>
                <w:iCs/>
                <w:szCs w:val="20"/>
              </w:rPr>
              <w:t>T</w:t>
            </w:r>
            <w:r w:rsidR="009A24D7" w:rsidRPr="00EB5599">
              <w:rPr>
                <w:iCs/>
                <w:szCs w:val="20"/>
              </w:rPr>
              <w:t>he third-line health state did not distinguish between progression-free or progressed disease,</w:t>
            </w:r>
            <w:r>
              <w:rPr>
                <w:iCs/>
                <w:szCs w:val="20"/>
              </w:rPr>
              <w:t xml:space="preserve"> and</w:t>
            </w:r>
            <w:r w:rsidR="009A24D7" w:rsidRPr="00EB5599">
              <w:rPr>
                <w:iCs/>
                <w:szCs w:val="20"/>
              </w:rPr>
              <w:t xml:space="preserve"> the treatment duration was sourced from median PFS obtained from the </w:t>
            </w:r>
            <w:proofErr w:type="spellStart"/>
            <w:r w:rsidR="009A24D7" w:rsidRPr="00EB5599">
              <w:rPr>
                <w:iCs/>
                <w:szCs w:val="20"/>
              </w:rPr>
              <w:t>idelalisib</w:t>
            </w:r>
            <w:proofErr w:type="spellEnd"/>
            <w:r w:rsidR="009A24D7" w:rsidRPr="00EB5599">
              <w:rPr>
                <w:iCs/>
                <w:szCs w:val="20"/>
              </w:rPr>
              <w:t xml:space="preserve"> PI.  </w:t>
            </w:r>
          </w:p>
        </w:tc>
      </w:tr>
      <w:tr w:rsidR="009A24D7" w:rsidRPr="00060C49" w:rsidTr="009A24D7">
        <w:trPr>
          <w:tblHeader/>
        </w:trPr>
        <w:tc>
          <w:tcPr>
            <w:tcW w:w="714" w:type="pct"/>
            <w:vAlign w:val="center"/>
          </w:tcPr>
          <w:p w:rsidR="009A24D7" w:rsidRPr="004E2ADC" w:rsidRDefault="009A24D7" w:rsidP="00926767">
            <w:pPr>
              <w:pStyle w:val="Tabletext"/>
              <w:keepNext/>
              <w:widowControl w:val="0"/>
            </w:pPr>
            <w:r>
              <w:t>Utility values</w:t>
            </w:r>
          </w:p>
        </w:tc>
        <w:tc>
          <w:tcPr>
            <w:tcW w:w="2143" w:type="pct"/>
            <w:vAlign w:val="center"/>
          </w:tcPr>
          <w:p w:rsidR="009A24D7" w:rsidRDefault="009A24D7" w:rsidP="00926767">
            <w:pPr>
              <w:pStyle w:val="Tabletext"/>
              <w:keepNext/>
              <w:widowControl w:val="0"/>
            </w:pPr>
            <w:r>
              <w:t>Trial-based EQ-5D values from RESONATE-2 for first-line treatment; literature based for second and third-line treatment.</w:t>
            </w:r>
          </w:p>
        </w:tc>
        <w:tc>
          <w:tcPr>
            <w:tcW w:w="2143" w:type="pct"/>
            <w:vAlign w:val="center"/>
          </w:tcPr>
          <w:p w:rsidR="009A24D7" w:rsidRPr="00EB5599" w:rsidRDefault="009A24D7" w:rsidP="00926767">
            <w:pPr>
              <w:pStyle w:val="Tabletext"/>
              <w:keepNext/>
              <w:widowControl w:val="0"/>
            </w:pPr>
            <w:r w:rsidRPr="00EB5599">
              <w:t>Trial-based EQ-5D values from ILLUMINATE for first-line treatment; literature based for second and third-line treatment.</w:t>
            </w:r>
          </w:p>
        </w:tc>
      </w:tr>
      <w:tr w:rsidR="009A24D7" w:rsidRPr="004E2ADC" w:rsidTr="009A24D7">
        <w:trPr>
          <w:tblHeader/>
        </w:trPr>
        <w:tc>
          <w:tcPr>
            <w:tcW w:w="714" w:type="pct"/>
            <w:vAlign w:val="center"/>
          </w:tcPr>
          <w:p w:rsidR="009A24D7" w:rsidRPr="004E2ADC" w:rsidRDefault="009A24D7" w:rsidP="00926767">
            <w:pPr>
              <w:pStyle w:val="Tabletext"/>
              <w:keepNext/>
              <w:widowControl w:val="0"/>
            </w:pPr>
            <w:r>
              <w:t>Software package</w:t>
            </w:r>
          </w:p>
        </w:tc>
        <w:tc>
          <w:tcPr>
            <w:tcW w:w="2143" w:type="pct"/>
            <w:vAlign w:val="center"/>
          </w:tcPr>
          <w:p w:rsidR="009A24D7" w:rsidRDefault="009A24D7" w:rsidP="00926767">
            <w:pPr>
              <w:pStyle w:val="Tabletext"/>
              <w:keepNext/>
              <w:widowControl w:val="0"/>
            </w:pPr>
            <w:r>
              <w:t>Excel 2016</w:t>
            </w:r>
          </w:p>
        </w:tc>
        <w:tc>
          <w:tcPr>
            <w:tcW w:w="2143" w:type="pct"/>
            <w:vAlign w:val="center"/>
          </w:tcPr>
          <w:p w:rsidR="009A24D7" w:rsidRPr="00EB5599" w:rsidRDefault="009A24D7" w:rsidP="00926767">
            <w:pPr>
              <w:pStyle w:val="Tabletext"/>
              <w:keepNext/>
              <w:widowControl w:val="0"/>
            </w:pPr>
            <w:r>
              <w:t>Excel 2016</w:t>
            </w:r>
          </w:p>
        </w:tc>
      </w:tr>
    </w:tbl>
    <w:p w:rsidR="00392569" w:rsidRDefault="00392569" w:rsidP="00926767">
      <w:pPr>
        <w:pStyle w:val="TableFooter"/>
        <w:keepNext/>
        <w:keepLines/>
      </w:pPr>
      <w:proofErr w:type="spellStart"/>
      <w:proofErr w:type="gramStart"/>
      <w:r>
        <w:t>chl</w:t>
      </w:r>
      <w:proofErr w:type="spellEnd"/>
      <w:r>
        <w:t>=</w:t>
      </w:r>
      <w:proofErr w:type="spellStart"/>
      <w:proofErr w:type="gramEnd"/>
      <w:r>
        <w:t>chlorambucil</w:t>
      </w:r>
      <w:proofErr w:type="spellEnd"/>
      <w:r>
        <w:t xml:space="preserve">; CLL=chronic lymphocytic leukaemia; </w:t>
      </w:r>
      <w:proofErr w:type="spellStart"/>
      <w:r>
        <w:t>ibr</w:t>
      </w:r>
      <w:proofErr w:type="spellEnd"/>
      <w:r>
        <w:t>=</w:t>
      </w:r>
      <w:proofErr w:type="spellStart"/>
      <w:r>
        <w:t>ibrutinib</w:t>
      </w:r>
      <w:proofErr w:type="spellEnd"/>
      <w:r>
        <w:t xml:space="preserve">; </w:t>
      </w:r>
      <w:proofErr w:type="spellStart"/>
      <w:r>
        <w:t>idel</w:t>
      </w:r>
      <w:proofErr w:type="spellEnd"/>
      <w:r>
        <w:t>=</w:t>
      </w:r>
      <w:proofErr w:type="spellStart"/>
      <w:r>
        <w:t>idelalisib</w:t>
      </w:r>
      <w:proofErr w:type="spellEnd"/>
      <w:r>
        <w:t>;</w:t>
      </w:r>
      <w:r w:rsidR="004B2B18">
        <w:t xml:space="preserve"> PD=progressive disease; PFS=progression-free survival;</w:t>
      </w:r>
      <w:r>
        <w:t xml:space="preserve"> </w:t>
      </w:r>
      <w:r w:rsidR="00356BE0">
        <w:t xml:space="preserve">PI=Product Information; </w:t>
      </w:r>
      <w:r>
        <w:t>obi=</w:t>
      </w:r>
      <w:proofErr w:type="spellStart"/>
      <w:r>
        <w:t>obinutuzumab</w:t>
      </w:r>
      <w:proofErr w:type="spellEnd"/>
      <w:r>
        <w:t xml:space="preserve">; </w:t>
      </w:r>
      <w:proofErr w:type="spellStart"/>
      <w:r>
        <w:t>ofa</w:t>
      </w:r>
      <w:proofErr w:type="spellEnd"/>
      <w:r>
        <w:t>=</w:t>
      </w:r>
      <w:proofErr w:type="spellStart"/>
      <w:r>
        <w:t>ofatumumab</w:t>
      </w:r>
      <w:proofErr w:type="spellEnd"/>
      <w:r>
        <w:t xml:space="preserve">; </w:t>
      </w:r>
      <w:proofErr w:type="spellStart"/>
      <w:r>
        <w:t>ritux</w:t>
      </w:r>
      <w:proofErr w:type="spellEnd"/>
      <w:r>
        <w:t xml:space="preserve">=rituximab; </w:t>
      </w:r>
      <w:proofErr w:type="spellStart"/>
      <w:r>
        <w:t>ven</w:t>
      </w:r>
      <w:proofErr w:type="spellEnd"/>
      <w:r>
        <w:t>=</w:t>
      </w:r>
      <w:proofErr w:type="spellStart"/>
      <w:r>
        <w:t>venetoclax</w:t>
      </w:r>
      <w:proofErr w:type="spellEnd"/>
      <w:r>
        <w:t xml:space="preserve"> </w:t>
      </w:r>
    </w:p>
    <w:p w:rsidR="003270E4" w:rsidRPr="0072416F" w:rsidRDefault="006178BE" w:rsidP="00926767">
      <w:pPr>
        <w:pStyle w:val="TableFooter"/>
        <w:keepNext/>
        <w:keepLines/>
      </w:pPr>
      <w:r>
        <w:t>Source:  Table 3.1, p51 of Section 3.1.1 of the resubmission.</w:t>
      </w:r>
    </w:p>
    <w:p w:rsidR="00275C5A" w:rsidRPr="00275C5A" w:rsidRDefault="00275C5A" w:rsidP="0023209F"/>
    <w:p w:rsidR="00EB05E0" w:rsidRDefault="00AF39E1" w:rsidP="00B2597F">
      <w:pPr>
        <w:pStyle w:val="ListParagraph"/>
        <w:numPr>
          <w:ilvl w:val="1"/>
          <w:numId w:val="1"/>
        </w:numPr>
      </w:pPr>
      <w:r w:rsidRPr="00E773B1">
        <w:t xml:space="preserve">Regarding the model structure, the ESC noted </w:t>
      </w:r>
      <w:r w:rsidR="00EB05E0" w:rsidRPr="00E773B1">
        <w:t>no difference in OS for the two treatment arms</w:t>
      </w:r>
      <w:r w:rsidRPr="00E773B1">
        <w:t xml:space="preserve"> was assumed</w:t>
      </w:r>
      <w:r w:rsidR="00EB05E0" w:rsidRPr="00E773B1">
        <w:t xml:space="preserve">, and thus the increase in PFS with first-line </w:t>
      </w:r>
      <w:proofErr w:type="spellStart"/>
      <w:r w:rsidR="00EB05E0" w:rsidRPr="00E773B1">
        <w:t>ibrutinib</w:t>
      </w:r>
      <w:proofErr w:type="spellEnd"/>
      <w:r w:rsidR="00EB05E0" w:rsidRPr="00E773B1">
        <w:t xml:space="preserve"> compared with </w:t>
      </w:r>
      <w:proofErr w:type="spellStart"/>
      <w:r w:rsidRPr="00E773B1">
        <w:t>obi+chl</w:t>
      </w:r>
      <w:proofErr w:type="spellEnd"/>
      <w:r w:rsidRPr="00E773B1">
        <w:t xml:space="preserve"> </w:t>
      </w:r>
      <w:r w:rsidRPr="009535EB">
        <w:t>resulted</w:t>
      </w:r>
      <w:r w:rsidR="00EB05E0" w:rsidRPr="009535EB">
        <w:t xml:space="preserve"> in patients starting treatment with ibrutinib receiving fewer lines of treatment on average</w:t>
      </w:r>
      <w:r w:rsidRPr="009535EB">
        <w:t xml:space="preserve"> (</w:t>
      </w:r>
      <w:r w:rsidR="007E3667">
        <w:rPr>
          <w:noProof/>
          <w:color w:val="000000"/>
          <w:highlight w:val="black"/>
        </w:rPr>
        <w:t xml:space="preserve">''''''''' </w:t>
      </w:r>
      <w:r w:rsidR="009535EB" w:rsidRPr="009535EB">
        <w:t>[</w:t>
      </w:r>
      <w:r w:rsidR="007E3667">
        <w:rPr>
          <w:noProof/>
          <w:color w:val="000000"/>
          <w:highlight w:val="black"/>
        </w:rPr>
        <w:t>'''</w:t>
      </w:r>
      <w:r w:rsidR="009535EB" w:rsidRPr="009535EB">
        <w:t xml:space="preserve"> + </w:t>
      </w:r>
      <w:r w:rsidR="007E3667">
        <w:rPr>
          <w:noProof/>
          <w:color w:val="000000"/>
          <w:highlight w:val="black"/>
        </w:rPr>
        <w:t>'''''''''</w:t>
      </w:r>
      <w:r w:rsidR="009535EB" w:rsidRPr="009535EB">
        <w:t xml:space="preserve"> + </w:t>
      </w:r>
      <w:r w:rsidR="007E3667">
        <w:rPr>
          <w:noProof/>
          <w:color w:val="000000"/>
          <w:highlight w:val="black"/>
        </w:rPr>
        <w:t>'''''''''</w:t>
      </w:r>
      <w:r w:rsidR="009535EB" w:rsidRPr="009535EB">
        <w:t xml:space="preserve">] versus </w:t>
      </w:r>
      <w:r w:rsidR="007E3667">
        <w:rPr>
          <w:noProof/>
          <w:color w:val="000000"/>
          <w:highlight w:val="black"/>
        </w:rPr>
        <w:t>'''''''''</w:t>
      </w:r>
      <w:r w:rsidR="009535EB" w:rsidRPr="009535EB">
        <w:t xml:space="preserve"> [</w:t>
      </w:r>
      <w:r w:rsidR="007E3667">
        <w:rPr>
          <w:noProof/>
          <w:color w:val="000000"/>
          <w:highlight w:val="black"/>
        </w:rPr>
        <w:t>'''</w:t>
      </w:r>
      <w:r w:rsidR="009535EB" w:rsidRPr="009535EB">
        <w:t xml:space="preserve"> + </w:t>
      </w:r>
      <w:r w:rsidR="007E3667">
        <w:rPr>
          <w:noProof/>
          <w:color w:val="000000"/>
          <w:highlight w:val="black"/>
        </w:rPr>
        <w:t>'''''''''</w:t>
      </w:r>
      <w:r w:rsidR="009535EB" w:rsidRPr="009535EB">
        <w:t xml:space="preserve"> + </w:t>
      </w:r>
      <w:r w:rsidR="007E3667">
        <w:rPr>
          <w:noProof/>
          <w:color w:val="000000"/>
          <w:highlight w:val="black"/>
        </w:rPr>
        <w:t>'''''''''</w:t>
      </w:r>
      <w:r w:rsidRPr="009535EB">
        <w:t>,</w:t>
      </w:r>
      <w:r w:rsidRPr="00E773B1">
        <w:t xml:space="preserve"> </w:t>
      </w:r>
      <w:r w:rsidR="0015601B" w:rsidRPr="00E773B1">
        <w:t>Table 15</w:t>
      </w:r>
      <w:r w:rsidRPr="00E773B1">
        <w:t>). The ESC also noted the PFS for ibrutinib monotherapy was</w:t>
      </w:r>
      <w:r w:rsidR="00EB05E0" w:rsidRPr="00E773B1">
        <w:t xml:space="preserve"> </w:t>
      </w:r>
      <w:r w:rsidRPr="00E773B1">
        <w:t xml:space="preserve">assumed to be the same as for </w:t>
      </w:r>
      <w:proofErr w:type="spellStart"/>
      <w:r w:rsidRPr="00E773B1">
        <w:t>ibr+obi</w:t>
      </w:r>
      <w:proofErr w:type="spellEnd"/>
      <w:r w:rsidR="00D93058" w:rsidRPr="00E773B1">
        <w:t xml:space="preserve">, and the treatment algorithm modelled was a </w:t>
      </w:r>
      <w:r w:rsidR="00D93058" w:rsidRPr="00E773B1">
        <w:lastRenderedPageBreak/>
        <w:t>simplification of clinical practice</w:t>
      </w:r>
      <w:r w:rsidRPr="00E773B1">
        <w:t>. The impact of these assumptions were unable to be tested in sensitivity analyses.</w:t>
      </w:r>
    </w:p>
    <w:p w:rsidR="00D95A4F" w:rsidRPr="00E773B1" w:rsidRDefault="00D95A4F" w:rsidP="00B2597F">
      <w:pPr>
        <w:pStyle w:val="ListParagraph"/>
        <w:numPr>
          <w:ilvl w:val="1"/>
          <w:numId w:val="1"/>
        </w:numPr>
      </w:pPr>
      <w:r>
        <w:t>The PBAC considered the modelled 10</w:t>
      </w:r>
      <w:r w:rsidR="00780BCF">
        <w:t xml:space="preserve"> year time horizon to optimistic but reasonable</w:t>
      </w:r>
      <w:r>
        <w:t xml:space="preserve"> for the del17p CLL/SLL patient population.  </w:t>
      </w:r>
    </w:p>
    <w:p w:rsidR="00F32793" w:rsidRDefault="00F32793" w:rsidP="00B2597F">
      <w:pPr>
        <w:pStyle w:val="ListParagraph"/>
        <w:numPr>
          <w:ilvl w:val="1"/>
          <w:numId w:val="1"/>
        </w:numPr>
      </w:pPr>
      <w:r w:rsidRPr="002001A2">
        <w:t xml:space="preserve">A summary of the key drivers of the </w:t>
      </w:r>
      <w:r w:rsidR="007908DA">
        <w:t xml:space="preserve">current </w:t>
      </w:r>
      <w:r w:rsidRPr="002001A2">
        <w:t xml:space="preserve">economic model is provided in </w:t>
      </w:r>
      <w:r w:rsidR="00B9191D">
        <w:t>Table 13</w:t>
      </w:r>
      <w:r w:rsidR="007908DA">
        <w:t>.</w:t>
      </w:r>
    </w:p>
    <w:p w:rsidR="00275C5A" w:rsidRDefault="009535EB" w:rsidP="00B124AA">
      <w:pPr>
        <w:keepNext/>
      </w:pPr>
      <w:r w:rsidRPr="009535EB">
        <w:rPr>
          <w:rFonts w:ascii="Arial Narrow" w:hAnsi="Arial Narrow"/>
          <w:b/>
          <w:sz w:val="20"/>
          <w:szCs w:val="20"/>
        </w:rPr>
        <w:t>Table 13</w:t>
      </w:r>
      <w:r w:rsidRPr="009535EB">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8"/>
        <w:gridCol w:w="4986"/>
        <w:gridCol w:w="1883"/>
      </w:tblGrid>
      <w:tr w:rsidR="00F32793" w:rsidRPr="00113D1E" w:rsidTr="00BD77E3">
        <w:trPr>
          <w:tblHeader/>
        </w:trPr>
        <w:tc>
          <w:tcPr>
            <w:tcW w:w="1191" w:type="pct"/>
            <w:shd w:val="clear" w:color="auto" w:fill="auto"/>
            <w:vAlign w:val="center"/>
          </w:tcPr>
          <w:p w:rsidR="00F32793" w:rsidRPr="00113D1E" w:rsidRDefault="00F32793" w:rsidP="00B124AA">
            <w:pPr>
              <w:keepNext/>
              <w:jc w:val="left"/>
              <w:rPr>
                <w:rFonts w:ascii="Arial Narrow" w:eastAsia="Calibri" w:hAnsi="Arial Narrow"/>
                <w:b/>
                <w:sz w:val="20"/>
                <w:szCs w:val="22"/>
              </w:rPr>
            </w:pPr>
            <w:r w:rsidRPr="00113D1E">
              <w:rPr>
                <w:rFonts w:ascii="Arial Narrow" w:eastAsia="Calibri" w:hAnsi="Arial Narrow"/>
                <w:b/>
                <w:sz w:val="20"/>
                <w:szCs w:val="22"/>
              </w:rPr>
              <w:t>Description</w:t>
            </w:r>
          </w:p>
        </w:tc>
        <w:tc>
          <w:tcPr>
            <w:tcW w:w="2765" w:type="pct"/>
            <w:shd w:val="clear" w:color="auto" w:fill="auto"/>
            <w:vAlign w:val="center"/>
          </w:tcPr>
          <w:p w:rsidR="00F32793" w:rsidRPr="00113D1E" w:rsidRDefault="00F32793" w:rsidP="00947804">
            <w:pPr>
              <w:keepNext/>
              <w:jc w:val="center"/>
              <w:rPr>
                <w:rFonts w:ascii="Arial Narrow" w:eastAsia="Calibri" w:hAnsi="Arial Narrow"/>
                <w:b/>
                <w:sz w:val="20"/>
                <w:szCs w:val="22"/>
              </w:rPr>
            </w:pPr>
            <w:r w:rsidRPr="00113D1E">
              <w:rPr>
                <w:rFonts w:ascii="Arial Narrow" w:eastAsia="Calibri" w:hAnsi="Arial Narrow"/>
                <w:b/>
                <w:sz w:val="20"/>
                <w:szCs w:val="22"/>
              </w:rPr>
              <w:t>Method/Value</w:t>
            </w:r>
          </w:p>
        </w:tc>
        <w:tc>
          <w:tcPr>
            <w:tcW w:w="1044" w:type="pct"/>
            <w:shd w:val="clear" w:color="auto" w:fill="auto"/>
            <w:vAlign w:val="center"/>
          </w:tcPr>
          <w:p w:rsidR="00F32793" w:rsidRPr="00113D1E" w:rsidRDefault="00F32793" w:rsidP="00947804">
            <w:pPr>
              <w:keepNext/>
              <w:jc w:val="center"/>
              <w:rPr>
                <w:rFonts w:ascii="Arial Narrow" w:eastAsia="Calibri" w:hAnsi="Arial Narrow"/>
                <w:b/>
                <w:sz w:val="20"/>
                <w:szCs w:val="22"/>
              </w:rPr>
            </w:pPr>
            <w:r w:rsidRPr="00113D1E">
              <w:rPr>
                <w:rFonts w:ascii="Arial Narrow" w:eastAsia="Calibri" w:hAnsi="Arial Narrow"/>
                <w:b/>
                <w:sz w:val="20"/>
                <w:szCs w:val="22"/>
              </w:rPr>
              <w:t>Impact</w:t>
            </w:r>
          </w:p>
        </w:tc>
      </w:tr>
      <w:tr w:rsidR="00F32793" w:rsidRPr="00EB5599" w:rsidTr="00BD77E3">
        <w:tc>
          <w:tcPr>
            <w:tcW w:w="1191" w:type="pct"/>
            <w:shd w:val="clear" w:color="auto" w:fill="auto"/>
            <w:vAlign w:val="center"/>
          </w:tcPr>
          <w:p w:rsidR="00F32793" w:rsidRPr="00EB5599" w:rsidRDefault="00323D1C" w:rsidP="00BD77E3">
            <w:pPr>
              <w:keepNext/>
              <w:jc w:val="left"/>
              <w:rPr>
                <w:rFonts w:ascii="Arial Narrow" w:eastAsia="Calibri" w:hAnsi="Arial Narrow"/>
                <w:sz w:val="20"/>
                <w:szCs w:val="22"/>
              </w:rPr>
            </w:pPr>
            <w:r w:rsidRPr="00EB5599">
              <w:rPr>
                <w:rFonts w:ascii="Arial Narrow" w:eastAsia="Calibri" w:hAnsi="Arial Narrow"/>
                <w:sz w:val="20"/>
                <w:szCs w:val="22"/>
              </w:rPr>
              <w:t>Estimated difference in PFS</w:t>
            </w:r>
            <w:r>
              <w:rPr>
                <w:rFonts w:ascii="Arial Narrow" w:eastAsia="Calibri" w:hAnsi="Arial Narrow"/>
                <w:sz w:val="20"/>
                <w:szCs w:val="22"/>
              </w:rPr>
              <w:t xml:space="preserve"> for first line treatment </w:t>
            </w:r>
          </w:p>
        </w:tc>
        <w:tc>
          <w:tcPr>
            <w:tcW w:w="2765" w:type="pct"/>
            <w:shd w:val="clear" w:color="auto" w:fill="auto"/>
            <w:vAlign w:val="center"/>
          </w:tcPr>
          <w:p w:rsidR="00F32793" w:rsidRPr="00E773B1" w:rsidRDefault="00323D1C" w:rsidP="00F65574">
            <w:pPr>
              <w:keepNext/>
              <w:jc w:val="left"/>
              <w:rPr>
                <w:rFonts w:ascii="Arial Narrow" w:eastAsia="Calibri" w:hAnsi="Arial Narrow"/>
                <w:sz w:val="20"/>
                <w:szCs w:val="22"/>
              </w:rPr>
            </w:pPr>
            <w:r w:rsidRPr="00E773B1">
              <w:rPr>
                <w:rFonts w:ascii="Arial Narrow" w:eastAsia="Calibri" w:hAnsi="Arial Narrow"/>
                <w:sz w:val="20"/>
                <w:szCs w:val="22"/>
              </w:rPr>
              <w:t>The economic model use</w:t>
            </w:r>
            <w:r w:rsidR="00F65574">
              <w:rPr>
                <w:rFonts w:ascii="Arial Narrow" w:eastAsia="Calibri" w:hAnsi="Arial Narrow"/>
                <w:sz w:val="20"/>
                <w:szCs w:val="22"/>
              </w:rPr>
              <w:t>d</w:t>
            </w:r>
            <w:r w:rsidRPr="00E773B1">
              <w:rPr>
                <w:rFonts w:ascii="Arial Narrow" w:eastAsia="Calibri" w:hAnsi="Arial Narrow"/>
                <w:sz w:val="20"/>
                <w:szCs w:val="22"/>
              </w:rPr>
              <w:t xml:space="preserve"> clinical data for </w:t>
            </w:r>
            <w:proofErr w:type="spellStart"/>
            <w:r w:rsidRPr="00E773B1">
              <w:rPr>
                <w:rFonts w:ascii="Arial Narrow" w:eastAsia="Calibri" w:hAnsi="Arial Narrow"/>
                <w:sz w:val="20"/>
                <w:szCs w:val="22"/>
              </w:rPr>
              <w:t>ibr+obi</w:t>
            </w:r>
            <w:proofErr w:type="spellEnd"/>
            <w:r w:rsidRPr="00E773B1">
              <w:rPr>
                <w:rFonts w:ascii="Arial Narrow" w:eastAsia="Calibri" w:hAnsi="Arial Narrow"/>
                <w:sz w:val="20"/>
                <w:szCs w:val="22"/>
              </w:rPr>
              <w:t xml:space="preserve"> as being representative of ibrutinib monotherapy. This was </w:t>
            </w:r>
            <w:r w:rsidR="00CF31C0">
              <w:rPr>
                <w:rFonts w:ascii="Arial Narrow" w:eastAsia="Calibri" w:hAnsi="Arial Narrow"/>
                <w:sz w:val="20"/>
                <w:szCs w:val="22"/>
              </w:rPr>
              <w:t>based upon</w:t>
            </w:r>
            <w:r w:rsidRPr="00E773B1">
              <w:rPr>
                <w:rFonts w:ascii="Arial Narrow" w:eastAsia="Calibri" w:hAnsi="Arial Narrow"/>
                <w:sz w:val="20"/>
                <w:szCs w:val="22"/>
              </w:rPr>
              <w:t xml:space="preserve"> naïve indirect comparisons and hence is uncertain.</w:t>
            </w:r>
            <w:r w:rsidR="00463E48" w:rsidRPr="00E773B1">
              <w:rPr>
                <w:rFonts w:ascii="Arial Narrow" w:eastAsia="Calibri" w:hAnsi="Arial Narrow"/>
                <w:sz w:val="20"/>
                <w:szCs w:val="22"/>
              </w:rPr>
              <w:t xml:space="preserve"> The ESC noted the impact of this was unable to </w:t>
            </w:r>
            <w:r w:rsidR="00AF39E1" w:rsidRPr="00E773B1">
              <w:rPr>
                <w:rFonts w:ascii="Arial Narrow" w:eastAsia="Calibri" w:hAnsi="Arial Narrow"/>
                <w:sz w:val="20"/>
                <w:szCs w:val="22"/>
              </w:rPr>
              <w:t xml:space="preserve">be </w:t>
            </w:r>
            <w:r w:rsidR="00463E48" w:rsidRPr="00E773B1">
              <w:rPr>
                <w:rFonts w:ascii="Arial Narrow" w:eastAsia="Calibri" w:hAnsi="Arial Narrow"/>
                <w:sz w:val="20"/>
                <w:szCs w:val="22"/>
              </w:rPr>
              <w:t>tested in sensitivity analyses.</w:t>
            </w:r>
          </w:p>
        </w:tc>
        <w:tc>
          <w:tcPr>
            <w:tcW w:w="1044" w:type="pct"/>
            <w:shd w:val="clear" w:color="auto" w:fill="auto"/>
            <w:vAlign w:val="center"/>
          </w:tcPr>
          <w:p w:rsidR="00F32793" w:rsidRPr="00E773B1" w:rsidRDefault="00AF39E1" w:rsidP="00AF39E1">
            <w:pPr>
              <w:keepNext/>
              <w:jc w:val="left"/>
              <w:rPr>
                <w:rFonts w:ascii="Arial Narrow" w:eastAsia="Calibri" w:hAnsi="Arial Narrow"/>
                <w:sz w:val="20"/>
                <w:szCs w:val="22"/>
              </w:rPr>
            </w:pPr>
            <w:r w:rsidRPr="00E773B1">
              <w:rPr>
                <w:rFonts w:ascii="Arial Narrow" w:eastAsia="Calibri" w:hAnsi="Arial Narrow"/>
                <w:sz w:val="20"/>
                <w:szCs w:val="22"/>
              </w:rPr>
              <w:t>Unknown</w:t>
            </w:r>
            <w:r w:rsidR="00F32793" w:rsidRPr="00E773B1">
              <w:rPr>
                <w:rFonts w:ascii="Arial Narrow" w:eastAsia="Calibri" w:hAnsi="Arial Narrow"/>
                <w:sz w:val="20"/>
                <w:szCs w:val="22"/>
              </w:rPr>
              <w:t>, favours ibrutinib</w:t>
            </w:r>
          </w:p>
        </w:tc>
      </w:tr>
      <w:tr w:rsidR="00463E48" w:rsidRPr="00EB5599" w:rsidTr="00BD77E3">
        <w:tc>
          <w:tcPr>
            <w:tcW w:w="1191" w:type="pct"/>
            <w:shd w:val="clear" w:color="auto" w:fill="auto"/>
            <w:vAlign w:val="center"/>
          </w:tcPr>
          <w:p w:rsidR="00463E48" w:rsidRPr="00EB5599" w:rsidRDefault="00463E48" w:rsidP="00BD77E3">
            <w:pPr>
              <w:keepNext/>
              <w:jc w:val="left"/>
              <w:rPr>
                <w:rFonts w:ascii="Arial Narrow" w:eastAsia="Calibri" w:hAnsi="Arial Narrow"/>
                <w:sz w:val="20"/>
                <w:szCs w:val="22"/>
              </w:rPr>
            </w:pPr>
            <w:r>
              <w:rPr>
                <w:rFonts w:ascii="Arial Narrow" w:eastAsia="Calibri" w:hAnsi="Arial Narrow"/>
                <w:sz w:val="20"/>
                <w:szCs w:val="22"/>
              </w:rPr>
              <w:t>Extrapolation of PFS</w:t>
            </w:r>
          </w:p>
        </w:tc>
        <w:tc>
          <w:tcPr>
            <w:tcW w:w="2765" w:type="pct"/>
            <w:shd w:val="clear" w:color="auto" w:fill="auto"/>
            <w:vAlign w:val="center"/>
          </w:tcPr>
          <w:p w:rsidR="00463E48" w:rsidRPr="00E773B1" w:rsidRDefault="00AF39E1" w:rsidP="00F40F0F">
            <w:pPr>
              <w:keepNext/>
              <w:jc w:val="left"/>
              <w:rPr>
                <w:rFonts w:ascii="Arial Narrow" w:eastAsia="Calibri" w:hAnsi="Arial Narrow"/>
                <w:sz w:val="20"/>
                <w:szCs w:val="22"/>
              </w:rPr>
            </w:pPr>
            <w:r w:rsidRPr="00E773B1">
              <w:rPr>
                <w:rFonts w:ascii="Arial Narrow" w:eastAsia="Calibri" w:hAnsi="Arial Narrow"/>
                <w:sz w:val="20"/>
                <w:szCs w:val="22"/>
              </w:rPr>
              <w:t>First line PFS was extrapolated using a Weibull function. This was selected on the basis of AIC and BIC criteria.</w:t>
            </w:r>
          </w:p>
          <w:p w:rsidR="00AF39E1" w:rsidRPr="00E773B1" w:rsidRDefault="00AF39E1" w:rsidP="005C5F2F">
            <w:pPr>
              <w:keepNext/>
              <w:jc w:val="left"/>
              <w:rPr>
                <w:rFonts w:ascii="Arial Narrow" w:eastAsia="Calibri" w:hAnsi="Arial Narrow"/>
                <w:sz w:val="20"/>
                <w:szCs w:val="22"/>
              </w:rPr>
            </w:pPr>
            <w:r w:rsidRPr="00E773B1">
              <w:rPr>
                <w:rFonts w:ascii="Arial Narrow" w:eastAsia="Calibri" w:hAnsi="Arial Narrow"/>
                <w:sz w:val="20"/>
                <w:szCs w:val="22"/>
              </w:rPr>
              <w:t xml:space="preserve">Second line PFS was extrapolated using an exponential function. This was selected on the basis of </w:t>
            </w:r>
            <w:r w:rsidR="005C5F2F" w:rsidRPr="00E773B1">
              <w:rPr>
                <w:rFonts w:ascii="Arial Narrow" w:eastAsia="Calibri" w:hAnsi="Arial Narrow"/>
                <w:sz w:val="20"/>
                <w:szCs w:val="22"/>
              </w:rPr>
              <w:t xml:space="preserve">being the best fit to the latest RESONATE study update. The ESC noted based on AIC and BIC criteria the Weibull function would be selected. The ESC further noted use of the exponential function resulted in approximately </w:t>
            </w:r>
            <w:r w:rsidR="007E3667">
              <w:rPr>
                <w:rFonts w:ascii="Arial Narrow" w:eastAsia="Calibri" w:hAnsi="Arial Narrow"/>
                <w:noProof/>
                <w:color w:val="000000"/>
                <w:sz w:val="20"/>
                <w:szCs w:val="22"/>
                <w:highlight w:val="black"/>
              </w:rPr>
              <w:t>''''''</w:t>
            </w:r>
            <w:r w:rsidR="005C5F2F" w:rsidRPr="00E773B1">
              <w:rPr>
                <w:rFonts w:ascii="Arial Narrow" w:eastAsia="Calibri" w:hAnsi="Arial Narrow"/>
                <w:sz w:val="20"/>
                <w:szCs w:val="22"/>
              </w:rPr>
              <w:t xml:space="preserve">% of patients being progression free at 10 years which </w:t>
            </w:r>
            <w:r w:rsidR="00036CD2" w:rsidRPr="00E773B1">
              <w:rPr>
                <w:rFonts w:ascii="Arial Narrow" w:eastAsia="Calibri" w:hAnsi="Arial Narrow"/>
                <w:sz w:val="20"/>
                <w:szCs w:val="22"/>
              </w:rPr>
              <w:t>was higher than for first line (approximately</w:t>
            </w:r>
            <w:r w:rsidR="007E3667">
              <w:rPr>
                <w:rFonts w:ascii="Arial Narrow" w:eastAsia="Calibri" w:hAnsi="Arial Narrow"/>
                <w:noProof/>
                <w:color w:val="000000"/>
                <w:sz w:val="20"/>
                <w:szCs w:val="22"/>
                <w:highlight w:val="black"/>
              </w:rPr>
              <w:t xml:space="preserve"> </w:t>
            </w:r>
            <w:proofErr w:type="gramStart"/>
            <w:r w:rsidR="007E3667">
              <w:rPr>
                <w:rFonts w:ascii="Arial Narrow" w:eastAsia="Calibri" w:hAnsi="Arial Narrow"/>
                <w:noProof/>
                <w:color w:val="000000"/>
                <w:sz w:val="20"/>
                <w:szCs w:val="22"/>
                <w:highlight w:val="black"/>
              </w:rPr>
              <w:t>''''</w:t>
            </w:r>
            <w:r w:rsidR="00036CD2" w:rsidRPr="00E773B1">
              <w:rPr>
                <w:rFonts w:ascii="Arial Narrow" w:eastAsia="Calibri" w:hAnsi="Arial Narrow"/>
                <w:sz w:val="20"/>
                <w:szCs w:val="22"/>
              </w:rPr>
              <w:t>%</w:t>
            </w:r>
            <w:proofErr w:type="gramEnd"/>
            <w:r w:rsidR="00036CD2" w:rsidRPr="00E773B1">
              <w:rPr>
                <w:rFonts w:ascii="Arial Narrow" w:eastAsia="Calibri" w:hAnsi="Arial Narrow"/>
                <w:sz w:val="20"/>
                <w:szCs w:val="22"/>
              </w:rPr>
              <w:t>). The ESC considered the Weibull function more appropriate for the extrapolation of second line PFS than the selected exponential function.</w:t>
            </w:r>
          </w:p>
        </w:tc>
        <w:tc>
          <w:tcPr>
            <w:tcW w:w="1044" w:type="pct"/>
            <w:shd w:val="clear" w:color="auto" w:fill="auto"/>
            <w:vAlign w:val="center"/>
          </w:tcPr>
          <w:p w:rsidR="00463E48" w:rsidRPr="00E773B1" w:rsidRDefault="00141457" w:rsidP="00BD77E3">
            <w:pPr>
              <w:keepNext/>
              <w:jc w:val="left"/>
              <w:rPr>
                <w:rFonts w:ascii="Arial Narrow" w:eastAsia="Calibri" w:hAnsi="Arial Narrow"/>
                <w:sz w:val="20"/>
                <w:szCs w:val="22"/>
              </w:rPr>
            </w:pPr>
            <w:r w:rsidRPr="00E773B1">
              <w:rPr>
                <w:rFonts w:ascii="Arial Narrow" w:eastAsia="Calibri" w:hAnsi="Arial Narrow"/>
                <w:sz w:val="20"/>
                <w:szCs w:val="22"/>
              </w:rPr>
              <w:t>High, favours ibrutinib</w:t>
            </w:r>
          </w:p>
        </w:tc>
      </w:tr>
      <w:tr w:rsidR="007A3F12" w:rsidRPr="00EB5599" w:rsidTr="00BD77E3">
        <w:tc>
          <w:tcPr>
            <w:tcW w:w="1191" w:type="pct"/>
            <w:shd w:val="clear" w:color="auto" w:fill="auto"/>
            <w:vAlign w:val="center"/>
          </w:tcPr>
          <w:p w:rsidR="007A3F12" w:rsidRPr="00EB5599" w:rsidRDefault="007A3F12" w:rsidP="00A1468E">
            <w:pPr>
              <w:keepNext/>
              <w:jc w:val="left"/>
              <w:rPr>
                <w:rFonts w:ascii="Arial Narrow" w:eastAsia="Calibri" w:hAnsi="Arial Narrow"/>
                <w:sz w:val="20"/>
                <w:szCs w:val="22"/>
              </w:rPr>
            </w:pPr>
            <w:r w:rsidRPr="00EB5599">
              <w:rPr>
                <w:rFonts w:ascii="Arial Narrow" w:eastAsia="Calibri" w:hAnsi="Arial Narrow"/>
                <w:sz w:val="20"/>
                <w:szCs w:val="22"/>
              </w:rPr>
              <w:t>Utility value</w:t>
            </w:r>
            <w:r w:rsidR="00A1468E">
              <w:rPr>
                <w:rFonts w:ascii="Arial Narrow" w:eastAsia="Calibri" w:hAnsi="Arial Narrow"/>
                <w:sz w:val="20"/>
                <w:szCs w:val="22"/>
              </w:rPr>
              <w:t>s</w:t>
            </w:r>
          </w:p>
        </w:tc>
        <w:tc>
          <w:tcPr>
            <w:tcW w:w="2765" w:type="pct"/>
            <w:shd w:val="clear" w:color="auto" w:fill="auto"/>
            <w:vAlign w:val="center"/>
          </w:tcPr>
          <w:p w:rsidR="007A3F12" w:rsidRPr="00E773B1" w:rsidRDefault="007A3F12" w:rsidP="00F65574">
            <w:pPr>
              <w:keepNext/>
              <w:jc w:val="left"/>
              <w:rPr>
                <w:rFonts w:ascii="Arial Narrow" w:eastAsia="Calibri" w:hAnsi="Arial Narrow"/>
                <w:sz w:val="20"/>
                <w:szCs w:val="22"/>
              </w:rPr>
            </w:pPr>
            <w:r w:rsidRPr="00E773B1">
              <w:rPr>
                <w:rFonts w:ascii="Arial Narrow" w:eastAsia="Calibri" w:hAnsi="Arial Narrow"/>
                <w:sz w:val="20"/>
                <w:szCs w:val="22"/>
              </w:rPr>
              <w:t>The resubmission applied utility values sourced from the ILLUMINATE trial (</w:t>
            </w:r>
            <w:r w:rsidR="007E3667">
              <w:rPr>
                <w:rFonts w:ascii="Arial Narrow" w:eastAsia="Calibri" w:hAnsi="Arial Narrow"/>
                <w:noProof/>
                <w:color w:val="000000"/>
                <w:sz w:val="20"/>
                <w:szCs w:val="22"/>
                <w:highlight w:val="black"/>
              </w:rPr>
              <w:t>'''''''''''''</w:t>
            </w:r>
            <w:r w:rsidRPr="00E773B1">
              <w:rPr>
                <w:rFonts w:ascii="Arial Narrow" w:eastAsia="Calibri" w:hAnsi="Arial Narrow"/>
                <w:sz w:val="20"/>
                <w:szCs w:val="22"/>
              </w:rPr>
              <w:t xml:space="preserve">) to both the </w:t>
            </w:r>
            <w:proofErr w:type="spellStart"/>
            <w:r w:rsidRPr="00E773B1">
              <w:rPr>
                <w:rFonts w:ascii="Arial Narrow" w:eastAsia="Calibri" w:hAnsi="Arial Narrow"/>
                <w:sz w:val="20"/>
                <w:szCs w:val="22"/>
              </w:rPr>
              <w:t>ibrutinib</w:t>
            </w:r>
            <w:proofErr w:type="spellEnd"/>
            <w:r w:rsidRPr="00E773B1">
              <w:rPr>
                <w:rFonts w:ascii="Arial Narrow" w:eastAsia="Calibri" w:hAnsi="Arial Narrow"/>
                <w:sz w:val="20"/>
                <w:szCs w:val="22"/>
              </w:rPr>
              <w:t xml:space="preserve"> and </w:t>
            </w:r>
            <w:proofErr w:type="spellStart"/>
            <w:r w:rsidRPr="00E773B1">
              <w:rPr>
                <w:rFonts w:ascii="Arial Narrow" w:eastAsia="Calibri" w:hAnsi="Arial Narrow"/>
                <w:sz w:val="20"/>
                <w:szCs w:val="22"/>
              </w:rPr>
              <w:t>obi+chl</w:t>
            </w:r>
            <w:proofErr w:type="spellEnd"/>
            <w:r w:rsidRPr="00E773B1">
              <w:rPr>
                <w:rFonts w:ascii="Arial Narrow" w:eastAsia="Calibri" w:hAnsi="Arial Narrow"/>
                <w:sz w:val="20"/>
                <w:szCs w:val="22"/>
              </w:rPr>
              <w:t xml:space="preserve"> arms for first-line PFS.  </w:t>
            </w:r>
            <w:proofErr w:type="spellStart"/>
            <w:r w:rsidR="00036CD2" w:rsidRPr="00E773B1">
              <w:rPr>
                <w:rFonts w:ascii="Arial Narrow" w:eastAsia="Calibri" w:hAnsi="Arial Narrow"/>
                <w:sz w:val="20"/>
                <w:szCs w:val="22"/>
              </w:rPr>
              <w:t>Disutilities</w:t>
            </w:r>
            <w:proofErr w:type="spellEnd"/>
            <w:r w:rsidR="00036CD2" w:rsidRPr="00E773B1">
              <w:rPr>
                <w:rFonts w:ascii="Arial Narrow" w:eastAsia="Calibri" w:hAnsi="Arial Narrow"/>
                <w:sz w:val="20"/>
                <w:szCs w:val="22"/>
              </w:rPr>
              <w:t xml:space="preserve"> for second and third line treatments</w:t>
            </w:r>
            <w:r w:rsidRPr="00E773B1">
              <w:rPr>
                <w:rFonts w:ascii="Arial Narrow" w:eastAsia="Calibri" w:hAnsi="Arial Narrow"/>
                <w:iCs/>
                <w:sz w:val="20"/>
                <w:szCs w:val="22"/>
              </w:rPr>
              <w:t>, s</w:t>
            </w:r>
            <w:r w:rsidR="002C369A" w:rsidRPr="00E773B1">
              <w:rPr>
                <w:rFonts w:ascii="Arial Narrow" w:eastAsia="Calibri" w:hAnsi="Arial Narrow"/>
                <w:iCs/>
                <w:sz w:val="20"/>
                <w:szCs w:val="22"/>
              </w:rPr>
              <w:t>o</w:t>
            </w:r>
            <w:r w:rsidRPr="00E773B1">
              <w:rPr>
                <w:rFonts w:ascii="Arial Narrow" w:eastAsia="Calibri" w:hAnsi="Arial Narrow"/>
                <w:iCs/>
                <w:sz w:val="20"/>
                <w:szCs w:val="22"/>
              </w:rPr>
              <w:t>urced from Kosmas (2015),</w:t>
            </w:r>
            <w:r w:rsidR="00036CD2" w:rsidRPr="00E773B1">
              <w:rPr>
                <w:rFonts w:ascii="Arial Narrow" w:eastAsia="Calibri" w:hAnsi="Arial Narrow"/>
                <w:iCs/>
                <w:sz w:val="20"/>
                <w:szCs w:val="22"/>
              </w:rPr>
              <w:t xml:space="preserve"> were applied to the first line utility value. The </w:t>
            </w:r>
            <w:proofErr w:type="spellStart"/>
            <w:r w:rsidR="00036CD2" w:rsidRPr="00E773B1">
              <w:rPr>
                <w:rFonts w:ascii="Arial Narrow" w:eastAsia="Calibri" w:hAnsi="Arial Narrow"/>
                <w:iCs/>
                <w:sz w:val="20"/>
                <w:szCs w:val="22"/>
              </w:rPr>
              <w:t>disutilit</w:t>
            </w:r>
            <w:r w:rsidR="0017730C" w:rsidRPr="00E773B1">
              <w:rPr>
                <w:rFonts w:ascii="Arial Narrow" w:eastAsia="Calibri" w:hAnsi="Arial Narrow"/>
                <w:iCs/>
                <w:sz w:val="20"/>
                <w:szCs w:val="22"/>
              </w:rPr>
              <w:t>i</w:t>
            </w:r>
            <w:r w:rsidR="00036CD2" w:rsidRPr="00E773B1">
              <w:rPr>
                <w:rFonts w:ascii="Arial Narrow" w:eastAsia="Calibri" w:hAnsi="Arial Narrow"/>
                <w:iCs/>
                <w:sz w:val="20"/>
                <w:szCs w:val="22"/>
              </w:rPr>
              <w:t>es</w:t>
            </w:r>
            <w:proofErr w:type="spellEnd"/>
            <w:r w:rsidR="00036CD2" w:rsidRPr="00E773B1">
              <w:rPr>
                <w:rFonts w:ascii="Arial Narrow" w:eastAsia="Calibri" w:hAnsi="Arial Narrow"/>
                <w:iCs/>
                <w:sz w:val="20"/>
                <w:szCs w:val="22"/>
              </w:rPr>
              <w:t xml:space="preserve"> applied for second-line PFS was</w:t>
            </w:r>
            <w:r w:rsidR="00A1468E" w:rsidRPr="00E773B1">
              <w:rPr>
                <w:rFonts w:ascii="Arial Narrow" w:eastAsia="Calibri" w:hAnsi="Arial Narrow"/>
                <w:iCs/>
                <w:sz w:val="20"/>
                <w:szCs w:val="22"/>
              </w:rPr>
              <w:t xml:space="preserve"> 0.16 resulting in a utility value of </w:t>
            </w:r>
            <w:r w:rsidR="007E3667">
              <w:rPr>
                <w:rFonts w:ascii="Arial Narrow" w:eastAsia="Calibri" w:hAnsi="Arial Narrow"/>
                <w:iCs/>
                <w:noProof/>
                <w:color w:val="000000"/>
                <w:sz w:val="20"/>
                <w:szCs w:val="22"/>
                <w:highlight w:val="black"/>
              </w:rPr>
              <w:t>''''''''''</w:t>
            </w:r>
            <w:r w:rsidR="00A1468E" w:rsidRPr="00E773B1">
              <w:rPr>
                <w:rFonts w:ascii="Arial Narrow" w:eastAsia="Calibri" w:hAnsi="Arial Narrow"/>
                <w:iCs/>
                <w:sz w:val="20"/>
                <w:szCs w:val="22"/>
              </w:rPr>
              <w:t xml:space="preserve">. The disutility applied for third-line PFS was 0.29 resulting in a utility value of </w:t>
            </w:r>
            <w:r w:rsidR="007E3667">
              <w:rPr>
                <w:rFonts w:ascii="Arial Narrow" w:eastAsia="Calibri" w:hAnsi="Arial Narrow"/>
                <w:iCs/>
                <w:noProof/>
                <w:color w:val="000000"/>
                <w:sz w:val="20"/>
                <w:szCs w:val="22"/>
                <w:highlight w:val="black"/>
              </w:rPr>
              <w:t>'''''''''''</w:t>
            </w:r>
            <w:r w:rsidR="00A1468E" w:rsidRPr="00E773B1">
              <w:rPr>
                <w:rFonts w:ascii="Arial Narrow" w:eastAsia="Calibri" w:hAnsi="Arial Narrow"/>
                <w:iCs/>
                <w:sz w:val="20"/>
                <w:szCs w:val="22"/>
              </w:rPr>
              <w:t>.</w:t>
            </w:r>
            <w:r w:rsidR="00036CD2" w:rsidRPr="00E773B1">
              <w:rPr>
                <w:rFonts w:ascii="Arial Narrow" w:eastAsia="Calibri" w:hAnsi="Arial Narrow"/>
                <w:iCs/>
                <w:sz w:val="20"/>
                <w:szCs w:val="22"/>
              </w:rPr>
              <w:t xml:space="preserve"> </w:t>
            </w:r>
          </w:p>
        </w:tc>
        <w:tc>
          <w:tcPr>
            <w:tcW w:w="1044" w:type="pct"/>
            <w:shd w:val="clear" w:color="auto" w:fill="auto"/>
            <w:vAlign w:val="center"/>
          </w:tcPr>
          <w:p w:rsidR="007A3F12" w:rsidRPr="00E773B1" w:rsidRDefault="007A3F12" w:rsidP="00036CD2">
            <w:pPr>
              <w:keepNext/>
              <w:jc w:val="left"/>
              <w:rPr>
                <w:rFonts w:ascii="Arial Narrow" w:eastAsia="Calibri" w:hAnsi="Arial Narrow"/>
                <w:sz w:val="20"/>
                <w:szCs w:val="22"/>
              </w:rPr>
            </w:pPr>
            <w:r w:rsidRPr="00E773B1">
              <w:rPr>
                <w:rFonts w:ascii="Arial Narrow" w:eastAsia="Calibri" w:hAnsi="Arial Narrow"/>
                <w:sz w:val="20"/>
                <w:szCs w:val="22"/>
              </w:rPr>
              <w:t>High</w:t>
            </w:r>
          </w:p>
        </w:tc>
      </w:tr>
      <w:tr w:rsidR="00BE5D59" w:rsidRPr="00EB5599" w:rsidTr="00BD77E3">
        <w:tc>
          <w:tcPr>
            <w:tcW w:w="1191" w:type="pct"/>
            <w:shd w:val="clear" w:color="auto" w:fill="auto"/>
            <w:vAlign w:val="center"/>
          </w:tcPr>
          <w:p w:rsidR="00BE5D59" w:rsidRPr="00D95A4F" w:rsidRDefault="00BE5D59" w:rsidP="00BD77E3">
            <w:pPr>
              <w:keepNext/>
              <w:jc w:val="left"/>
              <w:rPr>
                <w:rFonts w:ascii="Arial Narrow" w:eastAsia="Calibri" w:hAnsi="Arial Narrow"/>
                <w:sz w:val="20"/>
                <w:szCs w:val="22"/>
              </w:rPr>
            </w:pPr>
            <w:r w:rsidRPr="00D95A4F">
              <w:rPr>
                <w:rFonts w:ascii="Arial Narrow" w:eastAsia="Calibri" w:hAnsi="Arial Narrow"/>
                <w:sz w:val="20"/>
                <w:szCs w:val="22"/>
              </w:rPr>
              <w:t xml:space="preserve">Duration of first-line ibrutinib </w:t>
            </w:r>
          </w:p>
        </w:tc>
        <w:tc>
          <w:tcPr>
            <w:tcW w:w="2765" w:type="pct"/>
            <w:shd w:val="clear" w:color="auto" w:fill="auto"/>
            <w:vAlign w:val="center"/>
          </w:tcPr>
          <w:p w:rsidR="00BE5D59" w:rsidRPr="00E773B1" w:rsidRDefault="00BE5D59" w:rsidP="00BE5D59">
            <w:pPr>
              <w:keepNext/>
              <w:jc w:val="left"/>
              <w:rPr>
                <w:rFonts w:ascii="Arial Narrow" w:eastAsia="Calibri" w:hAnsi="Arial Narrow"/>
                <w:iCs/>
                <w:sz w:val="20"/>
                <w:szCs w:val="22"/>
              </w:rPr>
            </w:pPr>
            <w:r w:rsidRPr="00E773B1">
              <w:rPr>
                <w:rFonts w:ascii="Arial Narrow" w:eastAsia="Calibri" w:hAnsi="Arial Narrow"/>
                <w:iCs/>
                <w:sz w:val="20"/>
                <w:szCs w:val="22"/>
              </w:rPr>
              <w:t>The cycle specific probability of remaining on first line ibrutinib was estimated from ILLUMINATE assuming a constant (exponential) rate. This resulted in the average treatment duration</w:t>
            </w:r>
            <w:r w:rsidR="003475F4" w:rsidRPr="00E773B1">
              <w:rPr>
                <w:rFonts w:ascii="Arial Narrow" w:eastAsia="Calibri" w:hAnsi="Arial Narrow"/>
                <w:iCs/>
                <w:sz w:val="20"/>
                <w:szCs w:val="22"/>
              </w:rPr>
              <w:t xml:space="preserve"> (</w:t>
            </w:r>
            <w:r w:rsidR="007E3667">
              <w:rPr>
                <w:rFonts w:ascii="Arial Narrow" w:eastAsia="Calibri" w:hAnsi="Arial Narrow"/>
                <w:iCs/>
                <w:noProof/>
                <w:color w:val="000000"/>
                <w:sz w:val="20"/>
                <w:szCs w:val="22"/>
                <w:highlight w:val="black"/>
              </w:rPr>
              <w:t>'''''''''''</w:t>
            </w:r>
            <w:r w:rsidR="003475F4" w:rsidRPr="00E773B1">
              <w:rPr>
                <w:rFonts w:ascii="Arial Narrow" w:eastAsia="Calibri" w:hAnsi="Arial Narrow"/>
                <w:iCs/>
                <w:sz w:val="20"/>
                <w:szCs w:val="22"/>
              </w:rPr>
              <w:t xml:space="preserve"> 28 day cycles or </w:t>
            </w:r>
            <w:r w:rsidR="007E3667">
              <w:rPr>
                <w:rFonts w:ascii="Arial Narrow" w:eastAsia="Calibri" w:hAnsi="Arial Narrow"/>
                <w:iCs/>
                <w:noProof/>
                <w:color w:val="000000"/>
                <w:sz w:val="20"/>
                <w:szCs w:val="22"/>
                <w:highlight w:val="black"/>
              </w:rPr>
              <w:t>'''''''''''</w:t>
            </w:r>
            <w:r w:rsidR="003475F4" w:rsidRPr="00E773B1">
              <w:rPr>
                <w:rFonts w:ascii="Arial Narrow" w:eastAsia="Calibri" w:hAnsi="Arial Narrow"/>
                <w:iCs/>
                <w:sz w:val="20"/>
                <w:szCs w:val="22"/>
              </w:rPr>
              <w:t xml:space="preserve"> months</w:t>
            </w:r>
            <w:r w:rsidR="001020E5" w:rsidRPr="00E773B1">
              <w:rPr>
                <w:rFonts w:ascii="Arial Narrow" w:eastAsia="Calibri" w:hAnsi="Arial Narrow"/>
                <w:iCs/>
                <w:sz w:val="20"/>
                <w:szCs w:val="22"/>
              </w:rPr>
              <w:t>)</w:t>
            </w:r>
            <w:r w:rsidRPr="00E773B1">
              <w:rPr>
                <w:rFonts w:ascii="Arial Narrow" w:eastAsia="Calibri" w:hAnsi="Arial Narrow"/>
                <w:iCs/>
                <w:sz w:val="20"/>
                <w:szCs w:val="22"/>
              </w:rPr>
              <w:t xml:space="preserve"> being less than the average PFS</w:t>
            </w:r>
            <w:r w:rsidR="003475F4" w:rsidRPr="00E773B1">
              <w:rPr>
                <w:rFonts w:ascii="Arial Narrow" w:eastAsia="Calibri" w:hAnsi="Arial Narrow"/>
                <w:iCs/>
                <w:sz w:val="20"/>
                <w:szCs w:val="22"/>
              </w:rPr>
              <w:t xml:space="preserve"> (</w:t>
            </w:r>
            <w:r w:rsidR="007E3667">
              <w:rPr>
                <w:rFonts w:ascii="Arial Narrow" w:eastAsia="Calibri" w:hAnsi="Arial Narrow"/>
                <w:iCs/>
                <w:noProof/>
                <w:color w:val="000000"/>
                <w:sz w:val="20"/>
                <w:szCs w:val="22"/>
                <w:highlight w:val="black"/>
              </w:rPr>
              <w:t>''''''''''</w:t>
            </w:r>
            <w:r w:rsidR="003475F4" w:rsidRPr="00E773B1">
              <w:rPr>
                <w:rFonts w:ascii="Arial Narrow" w:eastAsia="Calibri" w:hAnsi="Arial Narrow"/>
                <w:iCs/>
                <w:sz w:val="20"/>
                <w:szCs w:val="22"/>
              </w:rPr>
              <w:t xml:space="preserve"> cycles</w:t>
            </w:r>
            <w:r w:rsidR="001020E5" w:rsidRPr="00E773B1">
              <w:rPr>
                <w:rFonts w:ascii="Arial Narrow" w:eastAsia="Calibri" w:hAnsi="Arial Narrow"/>
                <w:iCs/>
                <w:sz w:val="20"/>
                <w:szCs w:val="22"/>
              </w:rPr>
              <w:t>)</w:t>
            </w:r>
            <w:r w:rsidRPr="00E773B1">
              <w:rPr>
                <w:rFonts w:ascii="Arial Narrow" w:eastAsia="Calibri" w:hAnsi="Arial Narrow"/>
                <w:iCs/>
                <w:sz w:val="20"/>
                <w:szCs w:val="22"/>
              </w:rPr>
              <w:t xml:space="preserve">.   </w:t>
            </w:r>
          </w:p>
        </w:tc>
        <w:tc>
          <w:tcPr>
            <w:tcW w:w="1044" w:type="pct"/>
            <w:shd w:val="clear" w:color="auto" w:fill="auto"/>
            <w:vAlign w:val="center"/>
          </w:tcPr>
          <w:p w:rsidR="00BE5D59" w:rsidRPr="00E773B1" w:rsidRDefault="00BE5D59" w:rsidP="00BD77E3">
            <w:pPr>
              <w:keepNext/>
              <w:jc w:val="left"/>
              <w:rPr>
                <w:rFonts w:ascii="Arial Narrow" w:eastAsia="Calibri" w:hAnsi="Arial Narrow"/>
                <w:sz w:val="20"/>
                <w:szCs w:val="22"/>
              </w:rPr>
            </w:pPr>
            <w:r w:rsidRPr="00E773B1">
              <w:rPr>
                <w:rFonts w:ascii="Arial Narrow" w:eastAsia="Calibri" w:hAnsi="Arial Narrow"/>
                <w:sz w:val="20"/>
                <w:szCs w:val="22"/>
              </w:rPr>
              <w:t>High, favours ibrutinib</w:t>
            </w:r>
          </w:p>
        </w:tc>
      </w:tr>
      <w:tr w:rsidR="00463E48" w:rsidRPr="00EB5599" w:rsidTr="00BD77E3">
        <w:tc>
          <w:tcPr>
            <w:tcW w:w="1191" w:type="pct"/>
            <w:shd w:val="clear" w:color="auto" w:fill="auto"/>
            <w:vAlign w:val="center"/>
          </w:tcPr>
          <w:p w:rsidR="00463E48" w:rsidRPr="00D95A4F" w:rsidRDefault="00463E48" w:rsidP="00BD77E3">
            <w:pPr>
              <w:keepNext/>
              <w:jc w:val="left"/>
              <w:rPr>
                <w:rFonts w:ascii="Arial Narrow" w:eastAsia="Calibri" w:hAnsi="Arial Narrow"/>
                <w:sz w:val="20"/>
                <w:szCs w:val="22"/>
              </w:rPr>
            </w:pPr>
            <w:r w:rsidRPr="00D95A4F">
              <w:rPr>
                <w:rFonts w:ascii="Arial Narrow" w:eastAsia="Calibri" w:hAnsi="Arial Narrow"/>
                <w:sz w:val="20"/>
                <w:szCs w:val="22"/>
              </w:rPr>
              <w:t>Cost of subsequent therapies</w:t>
            </w:r>
          </w:p>
        </w:tc>
        <w:tc>
          <w:tcPr>
            <w:tcW w:w="2765" w:type="pct"/>
            <w:shd w:val="clear" w:color="auto" w:fill="auto"/>
            <w:vAlign w:val="center"/>
          </w:tcPr>
          <w:p w:rsidR="00463E48" w:rsidRPr="00E773B1" w:rsidDel="00323D1C" w:rsidRDefault="00015202" w:rsidP="00E27D31">
            <w:pPr>
              <w:keepNext/>
              <w:jc w:val="left"/>
              <w:rPr>
                <w:rFonts w:ascii="Arial Narrow" w:eastAsia="Calibri" w:hAnsi="Arial Narrow"/>
                <w:iCs/>
                <w:sz w:val="20"/>
                <w:szCs w:val="22"/>
              </w:rPr>
            </w:pPr>
            <w:r w:rsidRPr="00E773B1">
              <w:rPr>
                <w:rFonts w:ascii="Arial Narrow" w:eastAsia="Calibri" w:hAnsi="Arial Narrow"/>
                <w:iCs/>
                <w:sz w:val="20"/>
                <w:szCs w:val="22"/>
              </w:rPr>
              <w:t>The base case model used the effective price for ibrutinib and published prices for other treatments. The ESC noted the expected impact of the RSA on the ibrutinib and venetoclax prices was not considered. Incorporating the RSA impact on the prices increased the ICER from $</w:t>
            </w:r>
            <w:r w:rsidR="007E3667">
              <w:rPr>
                <w:rFonts w:ascii="Arial Narrow" w:eastAsia="Calibri" w:hAnsi="Arial Narrow"/>
                <w:iCs/>
                <w:noProof/>
                <w:color w:val="000000"/>
                <w:sz w:val="20"/>
                <w:szCs w:val="22"/>
                <w:highlight w:val="black"/>
              </w:rPr>
              <w:t>''''''''''''''''</w:t>
            </w:r>
            <w:r w:rsidR="00E27D31" w:rsidRPr="00E773B1">
              <w:rPr>
                <w:rFonts w:ascii="Arial Narrow" w:eastAsia="Calibri" w:hAnsi="Arial Narrow"/>
                <w:iCs/>
                <w:sz w:val="20"/>
                <w:szCs w:val="22"/>
              </w:rPr>
              <w:t xml:space="preserve"> to $</w:t>
            </w:r>
            <w:r w:rsidR="007E3667">
              <w:rPr>
                <w:rFonts w:ascii="Arial Narrow" w:eastAsia="Calibri" w:hAnsi="Arial Narrow"/>
                <w:iCs/>
                <w:noProof/>
                <w:color w:val="000000"/>
                <w:sz w:val="20"/>
                <w:szCs w:val="22"/>
                <w:highlight w:val="black"/>
              </w:rPr>
              <w:t>'''''''''''''''''''</w:t>
            </w:r>
            <w:r w:rsidR="00E27D31" w:rsidRPr="00E773B1">
              <w:rPr>
                <w:rFonts w:ascii="Arial Narrow" w:eastAsia="Calibri" w:hAnsi="Arial Narrow"/>
                <w:iCs/>
                <w:sz w:val="20"/>
                <w:szCs w:val="22"/>
              </w:rPr>
              <w:t>.</w:t>
            </w:r>
          </w:p>
        </w:tc>
        <w:tc>
          <w:tcPr>
            <w:tcW w:w="1044" w:type="pct"/>
            <w:shd w:val="clear" w:color="auto" w:fill="auto"/>
            <w:vAlign w:val="center"/>
          </w:tcPr>
          <w:p w:rsidR="00463E48" w:rsidRPr="00E773B1" w:rsidRDefault="00A1468E" w:rsidP="00BD77E3">
            <w:pPr>
              <w:keepNext/>
              <w:jc w:val="left"/>
              <w:rPr>
                <w:rFonts w:ascii="Arial Narrow" w:eastAsia="Calibri" w:hAnsi="Arial Narrow"/>
                <w:sz w:val="20"/>
                <w:szCs w:val="22"/>
              </w:rPr>
            </w:pPr>
            <w:r w:rsidRPr="00E773B1">
              <w:rPr>
                <w:rFonts w:ascii="Arial Narrow" w:eastAsia="Calibri" w:hAnsi="Arial Narrow"/>
                <w:sz w:val="20"/>
                <w:szCs w:val="22"/>
              </w:rPr>
              <w:t>High, favours ibrutinib</w:t>
            </w:r>
          </w:p>
        </w:tc>
      </w:tr>
      <w:tr w:rsidR="007019CA" w:rsidRPr="00EB5599" w:rsidTr="00BD77E3">
        <w:tc>
          <w:tcPr>
            <w:tcW w:w="1191" w:type="pct"/>
            <w:shd w:val="clear" w:color="auto" w:fill="auto"/>
            <w:vAlign w:val="center"/>
          </w:tcPr>
          <w:p w:rsidR="007019CA" w:rsidRPr="00EB5599" w:rsidRDefault="00015202" w:rsidP="00BD77E3">
            <w:pPr>
              <w:keepNext/>
              <w:jc w:val="left"/>
              <w:rPr>
                <w:rFonts w:ascii="Arial Narrow" w:eastAsia="Calibri" w:hAnsi="Arial Narrow"/>
                <w:sz w:val="20"/>
                <w:szCs w:val="22"/>
              </w:rPr>
            </w:pPr>
            <w:r>
              <w:rPr>
                <w:rFonts w:ascii="Arial Narrow" w:eastAsia="Calibri" w:hAnsi="Arial Narrow"/>
                <w:sz w:val="20"/>
                <w:szCs w:val="22"/>
              </w:rPr>
              <w:t>Third-line treatment duration</w:t>
            </w:r>
          </w:p>
        </w:tc>
        <w:tc>
          <w:tcPr>
            <w:tcW w:w="2765" w:type="pct"/>
            <w:shd w:val="clear" w:color="auto" w:fill="auto"/>
            <w:vAlign w:val="center"/>
          </w:tcPr>
          <w:p w:rsidR="007019CA" w:rsidRPr="00E773B1" w:rsidRDefault="00015202" w:rsidP="006B139C">
            <w:pPr>
              <w:keepNext/>
              <w:jc w:val="left"/>
              <w:rPr>
                <w:rFonts w:ascii="Arial Narrow" w:eastAsia="Calibri" w:hAnsi="Arial Narrow"/>
                <w:iCs/>
                <w:sz w:val="20"/>
                <w:szCs w:val="20"/>
              </w:rPr>
            </w:pPr>
            <w:r w:rsidRPr="00E773B1">
              <w:rPr>
                <w:rFonts w:ascii="Arial Narrow" w:hAnsi="Arial Narrow"/>
                <w:iCs/>
                <w:sz w:val="20"/>
                <w:szCs w:val="20"/>
              </w:rPr>
              <w:t>T</w:t>
            </w:r>
            <w:r w:rsidR="007019CA" w:rsidRPr="00E773B1">
              <w:rPr>
                <w:rFonts w:ascii="Arial Narrow" w:hAnsi="Arial Narrow"/>
                <w:iCs/>
                <w:sz w:val="20"/>
                <w:szCs w:val="20"/>
              </w:rPr>
              <w:t>he third-line health state did not distinguish between progression-free or progressed disease</w:t>
            </w:r>
            <w:r w:rsidRPr="00E773B1">
              <w:rPr>
                <w:rFonts w:ascii="Arial Narrow" w:hAnsi="Arial Narrow"/>
                <w:iCs/>
                <w:sz w:val="20"/>
                <w:szCs w:val="20"/>
              </w:rPr>
              <w:t xml:space="preserve"> and</w:t>
            </w:r>
            <w:r w:rsidR="006B0B2C" w:rsidRPr="00E773B1">
              <w:rPr>
                <w:rFonts w:ascii="Arial Narrow" w:hAnsi="Arial Narrow"/>
                <w:iCs/>
                <w:sz w:val="20"/>
                <w:szCs w:val="20"/>
              </w:rPr>
              <w:t xml:space="preserve"> </w:t>
            </w:r>
            <w:r w:rsidR="007019CA" w:rsidRPr="00E773B1">
              <w:rPr>
                <w:rFonts w:ascii="Arial Narrow" w:hAnsi="Arial Narrow"/>
                <w:iCs/>
                <w:sz w:val="20"/>
                <w:szCs w:val="20"/>
              </w:rPr>
              <w:t xml:space="preserve">the treatment duration was sourced from </w:t>
            </w:r>
            <w:r w:rsidR="006B139C">
              <w:rPr>
                <w:rFonts w:ascii="Arial Narrow" w:hAnsi="Arial Narrow"/>
                <w:iCs/>
                <w:sz w:val="20"/>
                <w:szCs w:val="20"/>
              </w:rPr>
              <w:t xml:space="preserve">the </w:t>
            </w:r>
            <w:r w:rsidR="007019CA" w:rsidRPr="00E773B1">
              <w:rPr>
                <w:rFonts w:ascii="Arial Narrow" w:hAnsi="Arial Narrow"/>
                <w:iCs/>
                <w:sz w:val="20"/>
                <w:szCs w:val="20"/>
              </w:rPr>
              <w:t xml:space="preserve">median PFS obtained from the </w:t>
            </w:r>
            <w:proofErr w:type="spellStart"/>
            <w:r w:rsidR="007019CA" w:rsidRPr="00E773B1">
              <w:rPr>
                <w:rFonts w:ascii="Arial Narrow" w:hAnsi="Arial Narrow"/>
                <w:iCs/>
                <w:sz w:val="20"/>
                <w:szCs w:val="20"/>
              </w:rPr>
              <w:t>idelalisib</w:t>
            </w:r>
            <w:proofErr w:type="spellEnd"/>
            <w:r w:rsidR="007019CA" w:rsidRPr="00E773B1">
              <w:rPr>
                <w:rFonts w:ascii="Arial Narrow" w:hAnsi="Arial Narrow"/>
                <w:iCs/>
                <w:sz w:val="20"/>
                <w:szCs w:val="20"/>
              </w:rPr>
              <w:t xml:space="preserve"> PI. The resubmission </w:t>
            </w:r>
            <w:r w:rsidR="006B139C">
              <w:rPr>
                <w:rFonts w:ascii="Arial Narrow" w:hAnsi="Arial Narrow"/>
                <w:iCs/>
                <w:sz w:val="20"/>
                <w:szCs w:val="20"/>
              </w:rPr>
              <w:t>did</w:t>
            </w:r>
            <w:r w:rsidR="006B139C" w:rsidRPr="00E773B1">
              <w:rPr>
                <w:rFonts w:ascii="Arial Narrow" w:hAnsi="Arial Narrow"/>
                <w:iCs/>
                <w:sz w:val="20"/>
                <w:szCs w:val="20"/>
              </w:rPr>
              <w:t xml:space="preserve"> </w:t>
            </w:r>
            <w:r w:rsidR="007019CA" w:rsidRPr="00E773B1">
              <w:rPr>
                <w:rFonts w:ascii="Arial Narrow" w:hAnsi="Arial Narrow"/>
                <w:iCs/>
                <w:sz w:val="20"/>
                <w:szCs w:val="20"/>
              </w:rPr>
              <w:t>not justif</w:t>
            </w:r>
            <w:r w:rsidR="006B139C">
              <w:rPr>
                <w:rFonts w:ascii="Arial Narrow" w:hAnsi="Arial Narrow"/>
                <w:iCs/>
                <w:sz w:val="20"/>
                <w:szCs w:val="20"/>
              </w:rPr>
              <w:t>y</w:t>
            </w:r>
            <w:r w:rsidR="007019CA" w:rsidRPr="00E773B1">
              <w:rPr>
                <w:rFonts w:ascii="Arial Narrow" w:hAnsi="Arial Narrow"/>
                <w:iCs/>
                <w:sz w:val="20"/>
                <w:szCs w:val="20"/>
              </w:rPr>
              <w:t xml:space="preserve"> the applicability of this treatment duration.  </w:t>
            </w:r>
          </w:p>
        </w:tc>
        <w:tc>
          <w:tcPr>
            <w:tcW w:w="1044" w:type="pct"/>
            <w:shd w:val="clear" w:color="auto" w:fill="auto"/>
            <w:vAlign w:val="center"/>
          </w:tcPr>
          <w:p w:rsidR="007019CA" w:rsidRPr="00E773B1" w:rsidRDefault="007019CA" w:rsidP="00015202">
            <w:pPr>
              <w:keepNext/>
              <w:jc w:val="left"/>
              <w:rPr>
                <w:rFonts w:ascii="Arial Narrow" w:eastAsia="Calibri" w:hAnsi="Arial Narrow"/>
                <w:sz w:val="20"/>
                <w:szCs w:val="22"/>
              </w:rPr>
            </w:pPr>
            <w:r w:rsidRPr="00E773B1">
              <w:rPr>
                <w:rFonts w:ascii="Arial Narrow" w:eastAsia="Calibri" w:hAnsi="Arial Narrow"/>
                <w:sz w:val="20"/>
                <w:szCs w:val="22"/>
              </w:rPr>
              <w:t>High</w:t>
            </w:r>
          </w:p>
        </w:tc>
      </w:tr>
    </w:tbl>
    <w:p w:rsidR="004B2B18" w:rsidRDefault="004B2B18" w:rsidP="004B2B18">
      <w:pPr>
        <w:pStyle w:val="TableFooter"/>
        <w:keepNext/>
        <w:keepLines/>
      </w:pPr>
      <w:proofErr w:type="spellStart"/>
      <w:proofErr w:type="gramStart"/>
      <w:r>
        <w:t>chl</w:t>
      </w:r>
      <w:proofErr w:type="spellEnd"/>
      <w:r>
        <w:t>=</w:t>
      </w:r>
      <w:proofErr w:type="spellStart"/>
      <w:proofErr w:type="gramEnd"/>
      <w:r>
        <w:t>chlorambucil</w:t>
      </w:r>
      <w:proofErr w:type="spellEnd"/>
      <w:r>
        <w:t xml:space="preserve">; </w:t>
      </w:r>
      <w:proofErr w:type="spellStart"/>
      <w:r>
        <w:t>ibr</w:t>
      </w:r>
      <w:proofErr w:type="spellEnd"/>
      <w:r>
        <w:t>=</w:t>
      </w:r>
      <w:proofErr w:type="spellStart"/>
      <w:r>
        <w:t>ibrutinib</w:t>
      </w:r>
      <w:proofErr w:type="spellEnd"/>
      <w:r>
        <w:t>; obi=</w:t>
      </w:r>
      <w:proofErr w:type="spellStart"/>
      <w:r>
        <w:t>obinutuzumab</w:t>
      </w:r>
      <w:proofErr w:type="spellEnd"/>
      <w:r>
        <w:t xml:space="preserve">; </w:t>
      </w:r>
      <w:proofErr w:type="spellStart"/>
      <w:r w:rsidR="00947804">
        <w:t>ritux</w:t>
      </w:r>
      <w:proofErr w:type="spellEnd"/>
      <w:r w:rsidR="00947804">
        <w:t>=rituximab; PFS=progression-free survival</w:t>
      </w:r>
      <w:r w:rsidR="00B55E9D">
        <w:t>; PI=product information</w:t>
      </w:r>
      <w:r w:rsidR="00356BE0">
        <w:t xml:space="preserve">; </w:t>
      </w:r>
      <w:proofErr w:type="spellStart"/>
      <w:r w:rsidR="00356BE0">
        <w:t>QoL</w:t>
      </w:r>
      <w:proofErr w:type="spellEnd"/>
      <w:r w:rsidR="00356BE0">
        <w:t>=Quality of Life</w:t>
      </w:r>
    </w:p>
    <w:p w:rsidR="00F32793" w:rsidRDefault="004B2B18" w:rsidP="004B2B18">
      <w:pPr>
        <w:pStyle w:val="TableFooter"/>
      </w:pPr>
      <w:r>
        <w:t>Source:  Section 3.1-Section 3.2, p50-65 of the resubmission.</w:t>
      </w:r>
    </w:p>
    <w:p w:rsidR="00F32793" w:rsidRDefault="00F32793" w:rsidP="00275C5A"/>
    <w:p w:rsidR="00D607BB" w:rsidRPr="00D607BB" w:rsidRDefault="00D607BB" w:rsidP="00B2597F">
      <w:pPr>
        <w:pStyle w:val="ListParagraph"/>
        <w:numPr>
          <w:ilvl w:val="1"/>
          <w:numId w:val="1"/>
        </w:numPr>
      </w:pPr>
      <w:r>
        <w:t xml:space="preserve">The results of the stepped economic evaluation are provided in </w:t>
      </w:r>
      <w:r w:rsidR="006B139C">
        <w:t>Table 14</w:t>
      </w:r>
      <w:r>
        <w:t>.</w:t>
      </w:r>
    </w:p>
    <w:p w:rsidR="00D110BD" w:rsidRDefault="002F75C1" w:rsidP="00F863C2">
      <w:pPr>
        <w:keepNext/>
        <w:keepLines/>
      </w:pPr>
      <w:r w:rsidRPr="00AE19C4">
        <w:rPr>
          <w:rFonts w:ascii="Arial Narrow" w:hAnsi="Arial Narrow"/>
          <w:b/>
          <w:sz w:val="20"/>
          <w:szCs w:val="20"/>
          <w:highlight w:val="cyan"/>
        </w:rPr>
        <w:lastRenderedPageBreak/>
        <w:t>Table 14</w:t>
      </w:r>
      <w:r w:rsidRPr="00AE19C4">
        <w:rPr>
          <w:rFonts w:ascii="Arial Narrow" w:hAnsi="Arial Narrow"/>
          <w:b/>
          <w:noProof/>
          <w:sz w:val="20"/>
          <w:szCs w:val="20"/>
          <w:highlight w:val="cyan"/>
        </w:rPr>
        <w:t>:</w:t>
      </w:r>
      <w:r w:rsidRPr="00AE19C4">
        <w:rPr>
          <w:rStyle w:val="CommentReference"/>
          <w:highlight w:val="cyan"/>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D607BB" w:rsidRPr="005E6CBC" w:rsidTr="00D607BB">
        <w:trPr>
          <w:tblHeader/>
        </w:trPr>
        <w:tc>
          <w:tcPr>
            <w:tcW w:w="1529" w:type="pct"/>
            <w:vAlign w:val="center"/>
          </w:tcPr>
          <w:p w:rsidR="00D607BB" w:rsidRPr="005E6CBC" w:rsidRDefault="00D607BB" w:rsidP="00F863C2">
            <w:pPr>
              <w:pStyle w:val="Tabletext"/>
              <w:keepNext/>
              <w:keepLines/>
              <w:rPr>
                <w:b/>
              </w:rPr>
            </w:pPr>
            <w:r w:rsidRPr="005E6CBC">
              <w:rPr>
                <w:b/>
              </w:rPr>
              <w:t>Step and component</w:t>
            </w:r>
          </w:p>
        </w:tc>
        <w:tc>
          <w:tcPr>
            <w:tcW w:w="1359" w:type="pct"/>
            <w:vAlign w:val="center"/>
          </w:tcPr>
          <w:p w:rsidR="00D607BB" w:rsidRPr="005E6CBC" w:rsidRDefault="00D607BB" w:rsidP="00F863C2">
            <w:pPr>
              <w:pStyle w:val="Tabletext"/>
              <w:keepNext/>
              <w:keepLines/>
              <w:jc w:val="center"/>
              <w:rPr>
                <w:b/>
              </w:rPr>
            </w:pPr>
            <w:r>
              <w:rPr>
                <w:b/>
              </w:rPr>
              <w:t>Ibrutinib</w:t>
            </w:r>
          </w:p>
        </w:tc>
        <w:tc>
          <w:tcPr>
            <w:tcW w:w="1274" w:type="pct"/>
            <w:vAlign w:val="center"/>
          </w:tcPr>
          <w:p w:rsidR="00D607BB" w:rsidRPr="005E6CBC" w:rsidRDefault="00D607BB" w:rsidP="00F863C2">
            <w:pPr>
              <w:pStyle w:val="Tabletext"/>
              <w:keepNext/>
              <w:keepLines/>
              <w:jc w:val="center"/>
              <w:rPr>
                <w:b/>
              </w:rPr>
            </w:pPr>
            <w:proofErr w:type="spellStart"/>
            <w:r>
              <w:rPr>
                <w:b/>
              </w:rPr>
              <w:t>Obi+chl</w:t>
            </w:r>
            <w:proofErr w:type="spellEnd"/>
          </w:p>
        </w:tc>
        <w:tc>
          <w:tcPr>
            <w:tcW w:w="838" w:type="pct"/>
            <w:vAlign w:val="center"/>
          </w:tcPr>
          <w:p w:rsidR="00D607BB" w:rsidRPr="005E6CBC" w:rsidRDefault="00D607BB" w:rsidP="00F863C2">
            <w:pPr>
              <w:pStyle w:val="Tabletext"/>
              <w:keepNext/>
              <w:keepLines/>
              <w:jc w:val="center"/>
              <w:rPr>
                <w:b/>
              </w:rPr>
            </w:pPr>
            <w:r w:rsidRPr="005E6CBC">
              <w:rPr>
                <w:b/>
              </w:rPr>
              <w:t>Increment</w:t>
            </w:r>
          </w:p>
        </w:tc>
      </w:tr>
      <w:tr w:rsidR="00D607BB" w:rsidRPr="005E6CBC" w:rsidTr="00D607BB">
        <w:tc>
          <w:tcPr>
            <w:tcW w:w="5000" w:type="pct"/>
            <w:gridSpan w:val="4"/>
            <w:vAlign w:val="center"/>
          </w:tcPr>
          <w:p w:rsidR="00D607BB" w:rsidRPr="005E6CBC" w:rsidRDefault="00D607BB" w:rsidP="00F863C2">
            <w:pPr>
              <w:pStyle w:val="Tabletext"/>
              <w:keepNext/>
              <w:keepLines/>
              <w:rPr>
                <w:b/>
              </w:rPr>
            </w:pPr>
            <w:r w:rsidRPr="005E6CBC">
              <w:rPr>
                <w:b/>
              </w:rPr>
              <w:t xml:space="preserve">Step 1: trial-based </w:t>
            </w:r>
            <w:r>
              <w:rPr>
                <w:b/>
              </w:rPr>
              <w:t>(36 months) time horizon</w:t>
            </w:r>
          </w:p>
        </w:tc>
      </w:tr>
      <w:tr w:rsidR="00D607BB" w:rsidRPr="005E6CBC" w:rsidTr="00D607BB">
        <w:tc>
          <w:tcPr>
            <w:tcW w:w="1529" w:type="pct"/>
            <w:vAlign w:val="center"/>
          </w:tcPr>
          <w:p w:rsidR="00D607BB" w:rsidRPr="00E2771E" w:rsidRDefault="00D607BB" w:rsidP="00F863C2">
            <w:pPr>
              <w:pStyle w:val="Tabletext"/>
              <w:keepNext/>
              <w:keepLines/>
              <w:rPr>
                <w:rFonts w:ascii="Times" w:hAnsi="Times"/>
              </w:rPr>
            </w:pPr>
            <w:r w:rsidRPr="00E2771E">
              <w:t>Costs</w:t>
            </w:r>
          </w:p>
        </w:tc>
        <w:tc>
          <w:tcPr>
            <w:tcW w:w="1359"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c>
          <w:tcPr>
            <w:tcW w:w="1274"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c>
          <w:tcPr>
            <w:tcW w:w="838"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r>
      <w:tr w:rsidR="00D607BB" w:rsidRPr="005E6CBC" w:rsidTr="00D607BB">
        <w:tc>
          <w:tcPr>
            <w:tcW w:w="1529" w:type="pct"/>
            <w:vAlign w:val="center"/>
          </w:tcPr>
          <w:p w:rsidR="00D607BB" w:rsidRPr="00E2771E" w:rsidRDefault="00D607BB" w:rsidP="00F863C2">
            <w:pPr>
              <w:pStyle w:val="Tabletext"/>
              <w:keepNext/>
              <w:keepLines/>
              <w:rPr>
                <w:rFonts w:ascii="Times" w:hAnsi="Times"/>
              </w:rPr>
            </w:pPr>
            <w:r>
              <w:t>PF LY</w:t>
            </w:r>
          </w:p>
        </w:tc>
        <w:tc>
          <w:tcPr>
            <w:tcW w:w="1359" w:type="pct"/>
            <w:vAlign w:val="center"/>
          </w:tcPr>
          <w:p w:rsidR="00D607BB" w:rsidRPr="007E3667" w:rsidRDefault="007E3667" w:rsidP="00F863C2">
            <w:pPr>
              <w:pStyle w:val="Tabletext"/>
              <w:keepNext/>
              <w:keepLines/>
              <w:jc w:val="center"/>
              <w:rPr>
                <w:rFonts w:ascii="Times" w:hAnsi="Times"/>
                <w:highlight w:val="black"/>
              </w:rPr>
            </w:pPr>
            <w:r>
              <w:rPr>
                <w:noProof/>
                <w:color w:val="000000"/>
                <w:szCs w:val="20"/>
                <w:highlight w:val="black"/>
              </w:rPr>
              <w:t>''''''''''</w:t>
            </w:r>
          </w:p>
        </w:tc>
        <w:tc>
          <w:tcPr>
            <w:tcW w:w="1274" w:type="pct"/>
            <w:vAlign w:val="center"/>
          </w:tcPr>
          <w:p w:rsidR="00D607BB" w:rsidRPr="007E3667" w:rsidRDefault="007E3667" w:rsidP="00F863C2">
            <w:pPr>
              <w:pStyle w:val="Tabletext"/>
              <w:keepNext/>
              <w:keepLines/>
              <w:jc w:val="center"/>
              <w:rPr>
                <w:rFonts w:ascii="Times" w:hAnsi="Times"/>
                <w:highlight w:val="black"/>
              </w:rPr>
            </w:pPr>
            <w:r>
              <w:rPr>
                <w:noProof/>
                <w:color w:val="000000"/>
                <w:szCs w:val="20"/>
                <w:highlight w:val="black"/>
              </w:rPr>
              <w:t>''''''''''</w:t>
            </w:r>
          </w:p>
        </w:tc>
        <w:tc>
          <w:tcPr>
            <w:tcW w:w="838" w:type="pct"/>
            <w:vAlign w:val="center"/>
          </w:tcPr>
          <w:p w:rsidR="00D607BB" w:rsidRPr="007E3667" w:rsidRDefault="007E3667" w:rsidP="00F863C2">
            <w:pPr>
              <w:pStyle w:val="Tabletext"/>
              <w:keepNext/>
              <w:keepLines/>
              <w:jc w:val="center"/>
              <w:rPr>
                <w:highlight w:val="black"/>
              </w:rPr>
            </w:pPr>
            <w:r>
              <w:rPr>
                <w:noProof/>
                <w:color w:val="000000"/>
                <w:szCs w:val="20"/>
                <w:highlight w:val="black"/>
              </w:rPr>
              <w:t>''''''''''</w:t>
            </w:r>
          </w:p>
        </w:tc>
      </w:tr>
      <w:tr w:rsidR="00D607BB" w:rsidRPr="00BB18FB" w:rsidTr="00D607BB">
        <w:tc>
          <w:tcPr>
            <w:tcW w:w="4162" w:type="pct"/>
            <w:gridSpan w:val="3"/>
            <w:vAlign w:val="center"/>
          </w:tcPr>
          <w:p w:rsidR="00D607BB" w:rsidRPr="005E6CBC" w:rsidRDefault="00D607BB" w:rsidP="00F863C2">
            <w:pPr>
              <w:pStyle w:val="Tabletext"/>
              <w:keepNext/>
              <w:keepLines/>
              <w:rPr>
                <w:rFonts w:ascii="Times" w:hAnsi="Times"/>
              </w:rPr>
            </w:pPr>
            <w:r w:rsidRPr="005E6CBC">
              <w:t xml:space="preserve">Incremental cost/extra </w:t>
            </w:r>
            <w:r>
              <w:t xml:space="preserve">PF </w:t>
            </w:r>
            <w:r w:rsidRPr="005E6CBC">
              <w:t>LY gained</w:t>
            </w:r>
          </w:p>
        </w:tc>
        <w:tc>
          <w:tcPr>
            <w:tcW w:w="838" w:type="pct"/>
            <w:vAlign w:val="center"/>
          </w:tcPr>
          <w:p w:rsidR="00D607BB" w:rsidRPr="00BB18FB" w:rsidRDefault="00D607BB" w:rsidP="00F863C2">
            <w:pPr>
              <w:keepNext/>
              <w:keepLines/>
              <w:jc w:val="center"/>
              <w:rPr>
                <w:rFonts w:ascii="Arial Narrow" w:hAnsi="Arial Narrow"/>
                <w:sz w:val="20"/>
                <w:szCs w:val="20"/>
              </w:rPr>
            </w:pPr>
            <w:r w:rsidRPr="00BB18FB">
              <w:rPr>
                <w:rFonts w:ascii="Arial Narrow" w:hAnsi="Arial Narrow"/>
                <w:sz w:val="20"/>
                <w:szCs w:val="20"/>
              </w:rPr>
              <w:t>$</w:t>
            </w:r>
            <w:r w:rsidR="007E3667">
              <w:rPr>
                <w:rFonts w:ascii="Arial Narrow" w:hAnsi="Arial Narrow"/>
                <w:noProof/>
                <w:color w:val="000000"/>
                <w:sz w:val="20"/>
                <w:szCs w:val="20"/>
                <w:highlight w:val="black"/>
              </w:rPr>
              <w:t>''''''''''''''''</w:t>
            </w:r>
          </w:p>
        </w:tc>
      </w:tr>
      <w:tr w:rsidR="00D607BB" w:rsidRPr="005E6CBC" w:rsidTr="00D607BB">
        <w:tc>
          <w:tcPr>
            <w:tcW w:w="5000" w:type="pct"/>
            <w:gridSpan w:val="4"/>
            <w:vAlign w:val="center"/>
          </w:tcPr>
          <w:p w:rsidR="00D607BB" w:rsidRPr="005E6CBC" w:rsidRDefault="00D607BB" w:rsidP="00F863C2">
            <w:pPr>
              <w:pStyle w:val="Tabletext"/>
              <w:keepNext/>
              <w:keepLines/>
              <w:rPr>
                <w:b/>
              </w:rPr>
            </w:pPr>
            <w:r w:rsidRPr="005E6CBC">
              <w:rPr>
                <w:b/>
              </w:rPr>
              <w:t xml:space="preserve">Step 2: </w:t>
            </w:r>
            <w:r>
              <w:rPr>
                <w:b/>
              </w:rPr>
              <w:t xml:space="preserve">trial-based including </w:t>
            </w:r>
            <w:r w:rsidR="00207EC6">
              <w:rPr>
                <w:b/>
              </w:rPr>
              <w:t xml:space="preserve">costs for </w:t>
            </w:r>
            <w:r>
              <w:rPr>
                <w:b/>
              </w:rPr>
              <w:t>AEs and atrial fibrillation monitoring</w:t>
            </w:r>
          </w:p>
        </w:tc>
      </w:tr>
      <w:tr w:rsidR="00D607BB" w:rsidRPr="005E6CBC" w:rsidTr="00D607BB">
        <w:tc>
          <w:tcPr>
            <w:tcW w:w="1529" w:type="pct"/>
            <w:vAlign w:val="center"/>
          </w:tcPr>
          <w:p w:rsidR="00D607BB" w:rsidRPr="00E2771E" w:rsidRDefault="00D607BB" w:rsidP="00F863C2">
            <w:pPr>
              <w:pStyle w:val="Tabletext"/>
              <w:keepNext/>
              <w:keepLines/>
              <w:rPr>
                <w:rFonts w:ascii="Times" w:hAnsi="Times"/>
              </w:rPr>
            </w:pPr>
            <w:r w:rsidRPr="00E2771E">
              <w:t>Costs</w:t>
            </w:r>
          </w:p>
        </w:tc>
        <w:tc>
          <w:tcPr>
            <w:tcW w:w="1359"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c>
          <w:tcPr>
            <w:tcW w:w="1274"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c>
          <w:tcPr>
            <w:tcW w:w="838"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r>
      <w:tr w:rsidR="00D607BB" w:rsidRPr="005E6CBC" w:rsidTr="00D607BB">
        <w:tc>
          <w:tcPr>
            <w:tcW w:w="1529" w:type="pct"/>
            <w:vAlign w:val="center"/>
          </w:tcPr>
          <w:p w:rsidR="00D607BB" w:rsidRPr="00E2771E" w:rsidRDefault="00D607BB" w:rsidP="00F863C2">
            <w:pPr>
              <w:pStyle w:val="Tabletext"/>
              <w:keepNext/>
              <w:keepLines/>
              <w:rPr>
                <w:rFonts w:ascii="Times" w:hAnsi="Times"/>
              </w:rPr>
            </w:pPr>
            <w:r>
              <w:t>PF LY</w:t>
            </w:r>
          </w:p>
        </w:tc>
        <w:tc>
          <w:tcPr>
            <w:tcW w:w="1359" w:type="pct"/>
            <w:vAlign w:val="center"/>
          </w:tcPr>
          <w:p w:rsidR="00D607BB" w:rsidRPr="007E3667" w:rsidRDefault="007E3667" w:rsidP="00F863C2">
            <w:pPr>
              <w:pStyle w:val="Tabletext"/>
              <w:keepNext/>
              <w:keepLines/>
              <w:jc w:val="center"/>
              <w:rPr>
                <w:rFonts w:ascii="Times" w:hAnsi="Times"/>
                <w:highlight w:val="black"/>
              </w:rPr>
            </w:pPr>
            <w:r>
              <w:rPr>
                <w:noProof/>
                <w:color w:val="000000"/>
                <w:szCs w:val="20"/>
                <w:highlight w:val="black"/>
              </w:rPr>
              <w:t>''''''''''</w:t>
            </w:r>
          </w:p>
        </w:tc>
        <w:tc>
          <w:tcPr>
            <w:tcW w:w="1274" w:type="pct"/>
            <w:vAlign w:val="center"/>
          </w:tcPr>
          <w:p w:rsidR="00D607BB" w:rsidRPr="007E3667" w:rsidRDefault="007E3667" w:rsidP="00F863C2">
            <w:pPr>
              <w:pStyle w:val="Tabletext"/>
              <w:keepNext/>
              <w:keepLines/>
              <w:jc w:val="center"/>
              <w:rPr>
                <w:rFonts w:ascii="Times" w:hAnsi="Times"/>
                <w:highlight w:val="black"/>
              </w:rPr>
            </w:pPr>
            <w:r>
              <w:rPr>
                <w:noProof/>
                <w:color w:val="000000"/>
                <w:szCs w:val="20"/>
                <w:highlight w:val="black"/>
              </w:rPr>
              <w:t>'''''''''''</w:t>
            </w:r>
          </w:p>
        </w:tc>
        <w:tc>
          <w:tcPr>
            <w:tcW w:w="838" w:type="pct"/>
            <w:vAlign w:val="center"/>
          </w:tcPr>
          <w:p w:rsidR="00D607BB" w:rsidRPr="007E3667" w:rsidRDefault="007E3667" w:rsidP="00F863C2">
            <w:pPr>
              <w:pStyle w:val="Tabletext"/>
              <w:keepNext/>
              <w:keepLines/>
              <w:jc w:val="center"/>
              <w:rPr>
                <w:highlight w:val="black"/>
              </w:rPr>
            </w:pPr>
            <w:r>
              <w:rPr>
                <w:noProof/>
                <w:color w:val="000000"/>
                <w:szCs w:val="20"/>
                <w:highlight w:val="black"/>
              </w:rPr>
              <w:t>''''''''''''</w:t>
            </w:r>
          </w:p>
        </w:tc>
      </w:tr>
      <w:tr w:rsidR="00D607BB" w:rsidRPr="005E6CBC" w:rsidTr="00D607BB">
        <w:tc>
          <w:tcPr>
            <w:tcW w:w="4162" w:type="pct"/>
            <w:gridSpan w:val="3"/>
            <w:vAlign w:val="center"/>
          </w:tcPr>
          <w:p w:rsidR="00D607BB" w:rsidRPr="005E6CBC" w:rsidRDefault="00D607BB" w:rsidP="00F863C2">
            <w:pPr>
              <w:pStyle w:val="Tabletext"/>
              <w:keepNext/>
              <w:keepLines/>
              <w:rPr>
                <w:rFonts w:ascii="Times" w:hAnsi="Times"/>
              </w:rPr>
            </w:pPr>
            <w:r w:rsidRPr="005E6CBC">
              <w:t xml:space="preserve">Incremental cost/extra </w:t>
            </w:r>
            <w:r>
              <w:t xml:space="preserve">PF </w:t>
            </w:r>
            <w:r w:rsidRPr="005E6CBC">
              <w:t>LY gained</w:t>
            </w:r>
          </w:p>
        </w:tc>
        <w:tc>
          <w:tcPr>
            <w:tcW w:w="838"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r>
      <w:tr w:rsidR="00D607BB" w:rsidRPr="005E6CBC" w:rsidTr="00D607BB">
        <w:tc>
          <w:tcPr>
            <w:tcW w:w="5000" w:type="pct"/>
            <w:gridSpan w:val="4"/>
            <w:vAlign w:val="center"/>
          </w:tcPr>
          <w:p w:rsidR="00D607BB" w:rsidRPr="005E6CBC" w:rsidRDefault="00D607BB" w:rsidP="00F863C2">
            <w:pPr>
              <w:pStyle w:val="Tabletext"/>
              <w:keepNext/>
              <w:keepLines/>
              <w:rPr>
                <w:b/>
              </w:rPr>
            </w:pPr>
            <w:r w:rsidRPr="005E6CBC">
              <w:rPr>
                <w:b/>
              </w:rPr>
              <w:t xml:space="preserve">Step 3: </w:t>
            </w:r>
            <w:r>
              <w:rPr>
                <w:b/>
              </w:rPr>
              <w:t>trial-based with utilities; first-line therapy only</w:t>
            </w:r>
          </w:p>
        </w:tc>
      </w:tr>
      <w:tr w:rsidR="00D607BB" w:rsidRPr="005E6CBC" w:rsidTr="00D607BB">
        <w:tc>
          <w:tcPr>
            <w:tcW w:w="1529" w:type="pct"/>
            <w:vAlign w:val="center"/>
          </w:tcPr>
          <w:p w:rsidR="00D607BB" w:rsidRPr="00E2771E" w:rsidRDefault="00D607BB" w:rsidP="00F863C2">
            <w:pPr>
              <w:pStyle w:val="Tabletext"/>
              <w:keepNext/>
              <w:keepLines/>
              <w:rPr>
                <w:rFonts w:ascii="Times" w:hAnsi="Times"/>
              </w:rPr>
            </w:pPr>
            <w:r w:rsidRPr="00E2771E">
              <w:t>Costs</w:t>
            </w:r>
          </w:p>
        </w:tc>
        <w:tc>
          <w:tcPr>
            <w:tcW w:w="1359"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c>
          <w:tcPr>
            <w:tcW w:w="1274"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c>
          <w:tcPr>
            <w:tcW w:w="838"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r>
      <w:tr w:rsidR="00D607BB" w:rsidRPr="005E6CBC" w:rsidTr="00D607BB">
        <w:tc>
          <w:tcPr>
            <w:tcW w:w="1529" w:type="pct"/>
            <w:vAlign w:val="center"/>
          </w:tcPr>
          <w:p w:rsidR="00D607BB" w:rsidRPr="00E2771E" w:rsidRDefault="00D607BB" w:rsidP="00F863C2">
            <w:pPr>
              <w:pStyle w:val="Tabletext"/>
              <w:keepNext/>
              <w:keepLines/>
              <w:rPr>
                <w:rFonts w:ascii="Times" w:hAnsi="Times"/>
              </w:rPr>
            </w:pPr>
            <w:r>
              <w:t>QALYs</w:t>
            </w:r>
          </w:p>
        </w:tc>
        <w:tc>
          <w:tcPr>
            <w:tcW w:w="1359" w:type="pct"/>
            <w:vAlign w:val="center"/>
          </w:tcPr>
          <w:p w:rsidR="00D607BB" w:rsidRPr="007E3667" w:rsidRDefault="007E3667" w:rsidP="00F863C2">
            <w:pPr>
              <w:pStyle w:val="Tabletext"/>
              <w:keepNext/>
              <w:keepLines/>
              <w:jc w:val="center"/>
              <w:rPr>
                <w:rFonts w:ascii="Times" w:hAnsi="Times"/>
                <w:highlight w:val="black"/>
              </w:rPr>
            </w:pPr>
            <w:r>
              <w:rPr>
                <w:noProof/>
                <w:color w:val="000000"/>
                <w:szCs w:val="20"/>
                <w:highlight w:val="black"/>
              </w:rPr>
              <w:t>''''''''''</w:t>
            </w:r>
          </w:p>
        </w:tc>
        <w:tc>
          <w:tcPr>
            <w:tcW w:w="1274" w:type="pct"/>
            <w:vAlign w:val="center"/>
          </w:tcPr>
          <w:p w:rsidR="00D607BB" w:rsidRPr="007E3667" w:rsidRDefault="007E3667" w:rsidP="00F863C2">
            <w:pPr>
              <w:pStyle w:val="Tabletext"/>
              <w:keepNext/>
              <w:keepLines/>
              <w:jc w:val="center"/>
              <w:rPr>
                <w:rFonts w:ascii="Times" w:hAnsi="Times"/>
                <w:highlight w:val="black"/>
              </w:rPr>
            </w:pPr>
            <w:r>
              <w:rPr>
                <w:noProof/>
                <w:color w:val="000000"/>
                <w:szCs w:val="20"/>
                <w:highlight w:val="black"/>
              </w:rPr>
              <w:t>''''''''''</w:t>
            </w:r>
          </w:p>
        </w:tc>
        <w:tc>
          <w:tcPr>
            <w:tcW w:w="838" w:type="pct"/>
            <w:vAlign w:val="center"/>
          </w:tcPr>
          <w:p w:rsidR="00D607BB" w:rsidRPr="007E3667" w:rsidRDefault="007E3667" w:rsidP="00F863C2">
            <w:pPr>
              <w:pStyle w:val="Tabletext"/>
              <w:keepNext/>
              <w:keepLines/>
              <w:jc w:val="center"/>
              <w:rPr>
                <w:highlight w:val="black"/>
              </w:rPr>
            </w:pPr>
            <w:r>
              <w:rPr>
                <w:noProof/>
                <w:color w:val="000000"/>
                <w:szCs w:val="20"/>
                <w:highlight w:val="black"/>
              </w:rPr>
              <w:t>''''''''''</w:t>
            </w:r>
          </w:p>
        </w:tc>
      </w:tr>
      <w:tr w:rsidR="00D607BB" w:rsidRPr="00BB18FB" w:rsidTr="00D607BB">
        <w:tc>
          <w:tcPr>
            <w:tcW w:w="4162" w:type="pct"/>
            <w:gridSpan w:val="3"/>
            <w:vAlign w:val="center"/>
          </w:tcPr>
          <w:p w:rsidR="00D607BB" w:rsidRPr="005E6CBC" w:rsidRDefault="00D607BB" w:rsidP="00F863C2">
            <w:pPr>
              <w:pStyle w:val="Tabletext"/>
              <w:keepNext/>
              <w:keepLines/>
              <w:rPr>
                <w:rFonts w:ascii="Times" w:hAnsi="Times"/>
              </w:rPr>
            </w:pPr>
            <w:r w:rsidRPr="005E6CBC">
              <w:t xml:space="preserve">Incremental cost/extra </w:t>
            </w:r>
            <w:r>
              <w:t>QALY</w:t>
            </w:r>
            <w:r w:rsidRPr="005E6CBC">
              <w:t xml:space="preserve"> gained</w:t>
            </w:r>
          </w:p>
        </w:tc>
        <w:tc>
          <w:tcPr>
            <w:tcW w:w="838" w:type="pct"/>
            <w:vAlign w:val="center"/>
          </w:tcPr>
          <w:p w:rsidR="00D607BB" w:rsidRPr="00BB18FB" w:rsidRDefault="00D607BB" w:rsidP="00F863C2">
            <w:pPr>
              <w:keepNext/>
              <w:keepLines/>
              <w:jc w:val="center"/>
              <w:rPr>
                <w:rFonts w:ascii="Arial Narrow" w:hAnsi="Arial Narrow"/>
                <w:sz w:val="20"/>
                <w:szCs w:val="20"/>
              </w:rPr>
            </w:pPr>
            <w:r w:rsidRPr="00BB18FB">
              <w:rPr>
                <w:rFonts w:ascii="Arial Narrow" w:hAnsi="Arial Narrow"/>
                <w:sz w:val="20"/>
                <w:szCs w:val="20"/>
              </w:rPr>
              <w:t>$</w:t>
            </w:r>
            <w:r w:rsidR="007E3667">
              <w:rPr>
                <w:rFonts w:ascii="Arial Narrow" w:hAnsi="Arial Narrow"/>
                <w:noProof/>
                <w:color w:val="000000"/>
                <w:sz w:val="20"/>
                <w:szCs w:val="20"/>
                <w:highlight w:val="black"/>
              </w:rPr>
              <w:t>'''''''''''''''''''''''</w:t>
            </w:r>
          </w:p>
        </w:tc>
      </w:tr>
      <w:tr w:rsidR="00D607BB" w:rsidRPr="005E6CBC" w:rsidTr="00D607BB">
        <w:tc>
          <w:tcPr>
            <w:tcW w:w="5000" w:type="pct"/>
            <w:gridSpan w:val="4"/>
            <w:vAlign w:val="center"/>
          </w:tcPr>
          <w:p w:rsidR="00D607BB" w:rsidRPr="005E6CBC" w:rsidRDefault="00D607BB" w:rsidP="00F863C2">
            <w:pPr>
              <w:pStyle w:val="Tabletext"/>
              <w:keepNext/>
              <w:keepLines/>
              <w:rPr>
                <w:b/>
              </w:rPr>
            </w:pPr>
            <w:r w:rsidRPr="005E6CBC">
              <w:rPr>
                <w:b/>
              </w:rPr>
              <w:t xml:space="preserve">Step 4: </w:t>
            </w:r>
            <w:r>
              <w:rPr>
                <w:b/>
              </w:rPr>
              <w:t>Modelled evaluation: 10 year time horizon; utilities; extrapolation of PFS and OS; subsequent therapies</w:t>
            </w:r>
          </w:p>
        </w:tc>
      </w:tr>
      <w:tr w:rsidR="00D607BB" w:rsidRPr="005E6CBC" w:rsidTr="00D607BB">
        <w:tc>
          <w:tcPr>
            <w:tcW w:w="1529" w:type="pct"/>
            <w:vAlign w:val="center"/>
          </w:tcPr>
          <w:p w:rsidR="00D607BB" w:rsidRPr="00E2771E" w:rsidRDefault="00D607BB" w:rsidP="00F863C2">
            <w:pPr>
              <w:pStyle w:val="Tabletext"/>
              <w:keepNext/>
              <w:keepLines/>
              <w:rPr>
                <w:rFonts w:ascii="Times" w:hAnsi="Times"/>
              </w:rPr>
            </w:pPr>
            <w:r w:rsidRPr="00E2771E">
              <w:t>Costs</w:t>
            </w:r>
          </w:p>
        </w:tc>
        <w:tc>
          <w:tcPr>
            <w:tcW w:w="1359"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c>
          <w:tcPr>
            <w:tcW w:w="1274"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c>
          <w:tcPr>
            <w:tcW w:w="838" w:type="pct"/>
            <w:vAlign w:val="center"/>
          </w:tcPr>
          <w:p w:rsidR="00D607BB" w:rsidRPr="005E6CBC" w:rsidRDefault="00D607BB" w:rsidP="00F863C2">
            <w:pPr>
              <w:pStyle w:val="Tabletext"/>
              <w:keepNext/>
              <w:keepLines/>
              <w:jc w:val="center"/>
              <w:rPr>
                <w:rFonts w:ascii="Times" w:hAnsi="Times"/>
              </w:rPr>
            </w:pPr>
            <w:r w:rsidRPr="00BB18FB">
              <w:rPr>
                <w:szCs w:val="20"/>
              </w:rPr>
              <w:t>$</w:t>
            </w:r>
            <w:r w:rsidR="007E3667">
              <w:rPr>
                <w:noProof/>
                <w:color w:val="000000"/>
                <w:szCs w:val="20"/>
                <w:highlight w:val="black"/>
              </w:rPr>
              <w:t>''''''''''''''''</w:t>
            </w:r>
          </w:p>
        </w:tc>
      </w:tr>
      <w:tr w:rsidR="00D607BB" w:rsidRPr="005E6CBC" w:rsidTr="00854681">
        <w:tc>
          <w:tcPr>
            <w:tcW w:w="1529" w:type="pct"/>
            <w:tcBorders>
              <w:bottom w:val="single" w:sz="4" w:space="0" w:color="auto"/>
            </w:tcBorders>
            <w:vAlign w:val="center"/>
          </w:tcPr>
          <w:p w:rsidR="00D607BB" w:rsidRPr="00E2771E" w:rsidRDefault="00D607BB" w:rsidP="00F863C2">
            <w:pPr>
              <w:pStyle w:val="Tabletext"/>
              <w:keepNext/>
              <w:keepLines/>
              <w:rPr>
                <w:rFonts w:ascii="Times" w:hAnsi="Times"/>
              </w:rPr>
            </w:pPr>
            <w:r>
              <w:t>QALYs</w:t>
            </w:r>
          </w:p>
        </w:tc>
        <w:tc>
          <w:tcPr>
            <w:tcW w:w="1359" w:type="pct"/>
            <w:tcBorders>
              <w:bottom w:val="single" w:sz="4" w:space="0" w:color="auto"/>
            </w:tcBorders>
            <w:vAlign w:val="center"/>
          </w:tcPr>
          <w:p w:rsidR="00D607BB" w:rsidRPr="007E3667" w:rsidRDefault="007E3667" w:rsidP="00F863C2">
            <w:pPr>
              <w:pStyle w:val="Tabletext"/>
              <w:keepNext/>
              <w:keepLines/>
              <w:jc w:val="center"/>
              <w:rPr>
                <w:rFonts w:ascii="Times" w:hAnsi="Times"/>
                <w:highlight w:val="black"/>
              </w:rPr>
            </w:pPr>
            <w:r>
              <w:rPr>
                <w:noProof/>
                <w:color w:val="000000"/>
                <w:szCs w:val="20"/>
                <w:highlight w:val="black"/>
              </w:rPr>
              <w:t>'''''''''''</w:t>
            </w:r>
          </w:p>
        </w:tc>
        <w:tc>
          <w:tcPr>
            <w:tcW w:w="1274" w:type="pct"/>
            <w:tcBorders>
              <w:bottom w:val="single" w:sz="4" w:space="0" w:color="auto"/>
            </w:tcBorders>
            <w:vAlign w:val="center"/>
          </w:tcPr>
          <w:p w:rsidR="00D607BB" w:rsidRPr="007E3667" w:rsidRDefault="007E3667" w:rsidP="00F863C2">
            <w:pPr>
              <w:pStyle w:val="Tabletext"/>
              <w:keepNext/>
              <w:keepLines/>
              <w:jc w:val="center"/>
              <w:rPr>
                <w:rFonts w:ascii="Times" w:hAnsi="Times"/>
                <w:highlight w:val="black"/>
              </w:rPr>
            </w:pPr>
            <w:r>
              <w:rPr>
                <w:noProof/>
                <w:color w:val="000000"/>
                <w:szCs w:val="20"/>
                <w:highlight w:val="black"/>
              </w:rPr>
              <w:t>''''''''''</w:t>
            </w:r>
          </w:p>
        </w:tc>
        <w:tc>
          <w:tcPr>
            <w:tcW w:w="838" w:type="pct"/>
            <w:tcBorders>
              <w:bottom w:val="single" w:sz="4" w:space="0" w:color="auto"/>
            </w:tcBorders>
            <w:vAlign w:val="center"/>
          </w:tcPr>
          <w:p w:rsidR="00D607BB" w:rsidRPr="007E3667" w:rsidRDefault="007E3667" w:rsidP="00F863C2">
            <w:pPr>
              <w:pStyle w:val="Tabletext"/>
              <w:keepNext/>
              <w:keepLines/>
              <w:jc w:val="center"/>
              <w:rPr>
                <w:highlight w:val="black"/>
              </w:rPr>
            </w:pPr>
            <w:r>
              <w:rPr>
                <w:noProof/>
                <w:color w:val="000000"/>
                <w:szCs w:val="20"/>
                <w:highlight w:val="black"/>
              </w:rPr>
              <w:t>'''''''''''</w:t>
            </w:r>
          </w:p>
        </w:tc>
      </w:tr>
      <w:tr w:rsidR="00D607BB" w:rsidRPr="00BB18FB" w:rsidTr="00854681">
        <w:tc>
          <w:tcPr>
            <w:tcW w:w="4162" w:type="pct"/>
            <w:gridSpan w:val="3"/>
            <w:tcBorders>
              <w:bottom w:val="single" w:sz="4" w:space="0" w:color="auto"/>
            </w:tcBorders>
            <w:vAlign w:val="center"/>
          </w:tcPr>
          <w:p w:rsidR="00D607BB" w:rsidRPr="00D22D3A" w:rsidRDefault="00D607BB" w:rsidP="00F863C2">
            <w:pPr>
              <w:pStyle w:val="Tabletext"/>
              <w:keepNext/>
              <w:keepLines/>
              <w:rPr>
                <w:b/>
                <w:bCs/>
                <w:szCs w:val="20"/>
              </w:rPr>
            </w:pPr>
            <w:r w:rsidRPr="005E6CBC">
              <w:rPr>
                <w:b/>
              </w:rPr>
              <w:t>Incremental cost/extra QALY gained (base case)</w:t>
            </w:r>
          </w:p>
        </w:tc>
        <w:tc>
          <w:tcPr>
            <w:tcW w:w="838" w:type="pct"/>
            <w:tcBorders>
              <w:bottom w:val="single" w:sz="4" w:space="0" w:color="auto"/>
            </w:tcBorders>
            <w:vAlign w:val="center"/>
          </w:tcPr>
          <w:p w:rsidR="00D607BB" w:rsidRPr="00BB18FB" w:rsidRDefault="00D607BB" w:rsidP="00F863C2">
            <w:pPr>
              <w:pStyle w:val="Tabletext"/>
              <w:keepNext/>
              <w:keepLines/>
              <w:jc w:val="center"/>
              <w:rPr>
                <w:szCs w:val="20"/>
              </w:rPr>
            </w:pPr>
            <w:r w:rsidRPr="00C90558">
              <w:rPr>
                <w:b/>
                <w:bCs/>
                <w:szCs w:val="20"/>
              </w:rPr>
              <w:t>$</w:t>
            </w:r>
            <w:r w:rsidR="007E3667">
              <w:rPr>
                <w:b/>
                <w:bCs/>
                <w:noProof/>
                <w:color w:val="000000"/>
                <w:szCs w:val="20"/>
                <w:highlight w:val="black"/>
              </w:rPr>
              <w:t>''''''''''''</w:t>
            </w:r>
          </w:p>
        </w:tc>
      </w:tr>
    </w:tbl>
    <w:p w:rsidR="00D607BB" w:rsidRDefault="00D607BB" w:rsidP="00F863C2">
      <w:pPr>
        <w:pStyle w:val="TableFooter"/>
        <w:keepNext/>
        <w:keepLines/>
      </w:pPr>
      <w:proofErr w:type="spellStart"/>
      <w:proofErr w:type="gramStart"/>
      <w:r>
        <w:t>chl</w:t>
      </w:r>
      <w:proofErr w:type="spellEnd"/>
      <w:r>
        <w:t>=</w:t>
      </w:r>
      <w:proofErr w:type="spellStart"/>
      <w:proofErr w:type="gramEnd"/>
      <w:r>
        <w:t>chlorambucil</w:t>
      </w:r>
      <w:proofErr w:type="spellEnd"/>
      <w:r>
        <w:t xml:space="preserve">; </w:t>
      </w:r>
      <w:proofErr w:type="spellStart"/>
      <w:r>
        <w:t>ibr</w:t>
      </w:r>
      <w:proofErr w:type="spellEnd"/>
      <w:r>
        <w:t>=</w:t>
      </w:r>
      <w:proofErr w:type="spellStart"/>
      <w:r>
        <w:t>ibrutinib</w:t>
      </w:r>
      <w:proofErr w:type="spellEnd"/>
      <w:r>
        <w:t>; LY=life years; obi=</w:t>
      </w:r>
      <w:proofErr w:type="spellStart"/>
      <w:r>
        <w:t>obinutuzumab</w:t>
      </w:r>
      <w:proofErr w:type="spellEnd"/>
      <w:r>
        <w:t xml:space="preserve">; PF=progression-free; </w:t>
      </w:r>
      <w:proofErr w:type="spellStart"/>
      <w:r>
        <w:t>ritux</w:t>
      </w:r>
      <w:proofErr w:type="spellEnd"/>
      <w:r>
        <w:t>=rituximab</w:t>
      </w:r>
    </w:p>
    <w:p w:rsidR="00D607BB" w:rsidRDefault="00D607BB" w:rsidP="00F863C2">
      <w:pPr>
        <w:pStyle w:val="TableFooter"/>
        <w:keepNext/>
        <w:keepLines/>
      </w:pPr>
      <w:r>
        <w:t>Source: Table 3.24, p100 of Section 3.8.2 of the resubmission</w:t>
      </w:r>
      <w:r w:rsidR="00807C6D">
        <w:t>; 6.05.COM.65, Table D.5.3; 7.10-MINOR OVR-16, Table 7.</w:t>
      </w:r>
    </w:p>
    <w:p w:rsidR="00D110BD" w:rsidRPr="00D110BD" w:rsidRDefault="00D110BD" w:rsidP="00E723BA"/>
    <w:p w:rsidR="00207EC6" w:rsidRPr="00E773B1" w:rsidRDefault="00E47E28" w:rsidP="00B2597F">
      <w:pPr>
        <w:pStyle w:val="ListParagraph"/>
        <w:numPr>
          <w:ilvl w:val="1"/>
          <w:numId w:val="1"/>
        </w:numPr>
      </w:pPr>
      <w:r w:rsidRPr="002B5175">
        <w:rPr>
          <w:iCs/>
        </w:rPr>
        <w:t xml:space="preserve">The </w:t>
      </w:r>
      <w:r w:rsidR="002B5175" w:rsidRPr="002B5175">
        <w:rPr>
          <w:iCs/>
        </w:rPr>
        <w:t>incremental QALY gain (</w:t>
      </w:r>
      <w:r w:rsidR="007E3667">
        <w:rPr>
          <w:iCs/>
          <w:noProof/>
          <w:color w:val="000000"/>
          <w:highlight w:val="black"/>
        </w:rPr>
        <w:t>'''''''''</w:t>
      </w:r>
      <w:r w:rsidRPr="002B5175">
        <w:rPr>
          <w:iCs/>
        </w:rPr>
        <w:t xml:space="preserve">) has </w:t>
      </w:r>
      <w:r w:rsidR="0085213A" w:rsidRPr="002B5175">
        <w:rPr>
          <w:iCs/>
        </w:rPr>
        <w:t>reduced</w:t>
      </w:r>
      <w:r w:rsidR="0085213A" w:rsidRPr="00EB5599">
        <w:rPr>
          <w:iCs/>
        </w:rPr>
        <w:t xml:space="preserve"> </w:t>
      </w:r>
      <w:r w:rsidRPr="00EB5599">
        <w:rPr>
          <w:iCs/>
        </w:rPr>
        <w:t>considerably from the November 2017 and March 2018 models (</w:t>
      </w:r>
      <w:r w:rsidR="007E3667">
        <w:rPr>
          <w:iCs/>
          <w:noProof/>
          <w:color w:val="000000"/>
          <w:highlight w:val="black"/>
        </w:rPr>
        <w:t>''''''''</w:t>
      </w:r>
      <w:r w:rsidRPr="00EB5599">
        <w:rPr>
          <w:iCs/>
        </w:rPr>
        <w:t xml:space="preserve"> and </w:t>
      </w:r>
      <w:r w:rsidR="007E3667">
        <w:rPr>
          <w:iCs/>
          <w:noProof/>
          <w:color w:val="000000"/>
          <w:highlight w:val="black"/>
        </w:rPr>
        <w:t>''''''''</w:t>
      </w:r>
      <w:r w:rsidRPr="00EB5599">
        <w:rPr>
          <w:iCs/>
        </w:rPr>
        <w:t xml:space="preserve">, respectively) with incremental costs also decreasing. </w:t>
      </w:r>
      <w:r w:rsidR="00A85D03" w:rsidRPr="00E773B1">
        <w:rPr>
          <w:iCs/>
        </w:rPr>
        <w:t xml:space="preserve">This is consistent with the treatment algorithm being revised to include venetoclax and the assumption of no difference in </w:t>
      </w:r>
      <w:r w:rsidR="00E41CF1">
        <w:rPr>
          <w:iCs/>
        </w:rPr>
        <w:t>OS</w:t>
      </w:r>
      <w:r w:rsidR="003C2794" w:rsidRPr="00E773B1">
        <w:rPr>
          <w:iCs/>
        </w:rPr>
        <w:t xml:space="preserve"> along with the use of different utility values in the November2017/March 2018 model and the current model</w:t>
      </w:r>
      <w:r w:rsidR="00A85D03" w:rsidRPr="00E773B1">
        <w:rPr>
          <w:iCs/>
        </w:rPr>
        <w:t>.</w:t>
      </w:r>
    </w:p>
    <w:p w:rsidR="00E47E28" w:rsidRPr="00E773B1" w:rsidRDefault="00A85D03" w:rsidP="00B2597F">
      <w:pPr>
        <w:pStyle w:val="ListParagraph"/>
        <w:numPr>
          <w:ilvl w:val="1"/>
          <w:numId w:val="1"/>
        </w:numPr>
      </w:pPr>
      <w:r w:rsidRPr="00E773B1">
        <w:rPr>
          <w:iCs/>
        </w:rPr>
        <w:t xml:space="preserve">The benefit modelled </w:t>
      </w:r>
      <w:r w:rsidR="006B139C">
        <w:rPr>
          <w:iCs/>
        </w:rPr>
        <w:t>wa</w:t>
      </w:r>
      <w:r w:rsidRPr="00E773B1">
        <w:rPr>
          <w:iCs/>
        </w:rPr>
        <w:t>s PFS. The increase in PFS with ibrutinib result</w:t>
      </w:r>
      <w:r w:rsidR="006B139C">
        <w:rPr>
          <w:iCs/>
        </w:rPr>
        <w:t>ed</w:t>
      </w:r>
      <w:r w:rsidRPr="00E773B1">
        <w:rPr>
          <w:iCs/>
        </w:rPr>
        <w:t xml:space="preserve"> in fewer patients transitioning to subsequent lines of therapy which </w:t>
      </w:r>
      <w:r w:rsidR="006B139C">
        <w:rPr>
          <w:iCs/>
        </w:rPr>
        <w:t>were</w:t>
      </w:r>
      <w:r w:rsidR="006B139C" w:rsidRPr="00E773B1">
        <w:rPr>
          <w:iCs/>
        </w:rPr>
        <w:t xml:space="preserve"> </w:t>
      </w:r>
      <w:r w:rsidRPr="00E773B1">
        <w:rPr>
          <w:iCs/>
        </w:rPr>
        <w:t>associated with reduced quality of life. T</w:t>
      </w:r>
      <w:r w:rsidR="00E47E28" w:rsidRPr="00E773B1">
        <w:rPr>
          <w:iCs/>
        </w:rPr>
        <w:t>he PFS benefit attributed to ibrutinib</w:t>
      </w:r>
      <w:r w:rsidRPr="00E773B1">
        <w:rPr>
          <w:iCs/>
        </w:rPr>
        <w:t xml:space="preserve"> </w:t>
      </w:r>
      <w:r w:rsidR="006B139C">
        <w:rPr>
          <w:iCs/>
        </w:rPr>
        <w:t>wa</w:t>
      </w:r>
      <w:r w:rsidRPr="00E773B1">
        <w:rPr>
          <w:iCs/>
        </w:rPr>
        <w:t>s sourced from the ILLUMINATE trial in which ibrutinib was used in combination with obinutuzumab</w:t>
      </w:r>
      <w:r w:rsidR="00A77B6A" w:rsidRPr="00E773B1">
        <w:rPr>
          <w:iCs/>
        </w:rPr>
        <w:t xml:space="preserve">.  </w:t>
      </w:r>
      <w:r w:rsidR="003D5F91" w:rsidRPr="00E773B1">
        <w:rPr>
          <w:iCs/>
        </w:rPr>
        <w:t xml:space="preserve">As per paragraph </w:t>
      </w:r>
      <w:r w:rsidR="00023AC9" w:rsidRPr="00E773B1">
        <w:rPr>
          <w:iCs/>
        </w:rPr>
        <w:t>6.32</w:t>
      </w:r>
      <w:r w:rsidR="003D5F91" w:rsidRPr="00E773B1">
        <w:rPr>
          <w:iCs/>
        </w:rPr>
        <w:t xml:space="preserve">, while acknowledging the strength of the supporting evidence is limited, the ESC considered that the assumption of similar effectiveness between </w:t>
      </w:r>
      <w:proofErr w:type="spellStart"/>
      <w:r w:rsidR="003D5F91" w:rsidRPr="00E773B1">
        <w:rPr>
          <w:iCs/>
        </w:rPr>
        <w:t>ibrutinib</w:t>
      </w:r>
      <w:proofErr w:type="spellEnd"/>
      <w:r w:rsidR="003D5F91" w:rsidRPr="00E773B1">
        <w:rPr>
          <w:iCs/>
        </w:rPr>
        <w:t xml:space="preserve"> monotherapy and </w:t>
      </w:r>
      <w:proofErr w:type="spellStart"/>
      <w:r w:rsidR="003D5F91" w:rsidRPr="00E773B1">
        <w:rPr>
          <w:iCs/>
        </w:rPr>
        <w:t>ibr+obi</w:t>
      </w:r>
      <w:proofErr w:type="spellEnd"/>
      <w:r w:rsidR="003D5F91" w:rsidRPr="00E773B1">
        <w:rPr>
          <w:iCs/>
        </w:rPr>
        <w:t xml:space="preserve"> in the del17p popu</w:t>
      </w:r>
      <w:r w:rsidR="00D66B9B" w:rsidRPr="00E773B1">
        <w:rPr>
          <w:iCs/>
        </w:rPr>
        <w:t>lation wa</w:t>
      </w:r>
      <w:r w:rsidR="003D5F91" w:rsidRPr="00E773B1">
        <w:rPr>
          <w:iCs/>
        </w:rPr>
        <w:t xml:space="preserve">s plausible. </w:t>
      </w:r>
      <w:r w:rsidR="00445785" w:rsidRPr="00E773B1">
        <w:rPr>
          <w:iCs/>
        </w:rPr>
        <w:t xml:space="preserve">However, the ESC agreed with the evaluation that the PFS benefit attributed to </w:t>
      </w:r>
      <w:r w:rsidR="0017730C" w:rsidRPr="00E773B1">
        <w:rPr>
          <w:iCs/>
        </w:rPr>
        <w:t>ibrutinib</w:t>
      </w:r>
      <w:r w:rsidR="00445785" w:rsidRPr="00E773B1">
        <w:rPr>
          <w:iCs/>
        </w:rPr>
        <w:t xml:space="preserve"> is a key driver</w:t>
      </w:r>
      <w:r w:rsidR="00D96A37" w:rsidRPr="00E773B1">
        <w:rPr>
          <w:iCs/>
        </w:rPr>
        <w:t xml:space="preserve"> of the economic model and, given the limited evidence base, a primary source of uncertainty</w:t>
      </w:r>
      <w:r w:rsidR="00445785" w:rsidRPr="00E773B1">
        <w:rPr>
          <w:iCs/>
        </w:rPr>
        <w:t xml:space="preserve">.  </w:t>
      </w:r>
    </w:p>
    <w:p w:rsidR="00813242" w:rsidRPr="00E773B1" w:rsidRDefault="006B139C" w:rsidP="00B2597F">
      <w:pPr>
        <w:pStyle w:val="ListParagraph"/>
        <w:numPr>
          <w:ilvl w:val="1"/>
          <w:numId w:val="1"/>
        </w:numPr>
      </w:pPr>
      <w:r>
        <w:t>Table 15</w:t>
      </w:r>
      <w:r w:rsidR="00813242">
        <w:t xml:space="preserve"> provides a summary of the disaggregated costs and health outcomes observed in the model.</w:t>
      </w:r>
      <w:r w:rsidR="001205E8">
        <w:t xml:space="preserve"> </w:t>
      </w:r>
      <w:r w:rsidR="001205E8" w:rsidRPr="00E773B1">
        <w:t>This table also includes the proportion of patients transitioning to second and third line treatments.</w:t>
      </w:r>
    </w:p>
    <w:p w:rsidR="004A1489" w:rsidRDefault="004A1489" w:rsidP="00F863C2">
      <w:pPr>
        <w:keepNext/>
        <w:keepLines/>
      </w:pPr>
      <w:r w:rsidRPr="00401364">
        <w:rPr>
          <w:rFonts w:ascii="Arial Narrow" w:hAnsi="Arial Narrow"/>
          <w:b/>
          <w:sz w:val="20"/>
          <w:szCs w:val="20"/>
        </w:rPr>
        <w:lastRenderedPageBreak/>
        <w:t>Table</w:t>
      </w:r>
      <w:r w:rsidR="00B9191D">
        <w:rPr>
          <w:rFonts w:ascii="Arial Narrow" w:hAnsi="Arial Narrow"/>
          <w:b/>
          <w:sz w:val="20"/>
          <w:szCs w:val="20"/>
        </w:rPr>
        <w:t xml:space="preserve"> 15</w:t>
      </w:r>
      <w:r w:rsidR="007E4AB8">
        <w:rPr>
          <w:rFonts w:ascii="Arial Narrow" w:hAnsi="Arial Narrow"/>
          <w:b/>
          <w:noProof/>
          <w:sz w:val="20"/>
          <w:szCs w:val="20"/>
        </w:rPr>
        <w:t>:</w:t>
      </w:r>
      <w:r w:rsidRPr="001222FC">
        <w:rPr>
          <w:rStyle w:val="CommentReference"/>
        </w:rPr>
        <w:t xml:space="preserve"> </w:t>
      </w:r>
      <w:r w:rsidRPr="004A1489">
        <w:rPr>
          <w:rFonts w:ascii="Arial Narrow" w:hAnsi="Arial Narrow"/>
          <w:b/>
          <w:bCs/>
          <w:sz w:val="20"/>
          <w:szCs w:val="20"/>
        </w:rPr>
        <w:t>Breakdown of outcomes and costs in the economic evaluation (discounted)</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97"/>
        <w:gridCol w:w="1073"/>
        <w:gridCol w:w="1301"/>
        <w:gridCol w:w="1631"/>
        <w:gridCol w:w="1890"/>
      </w:tblGrid>
      <w:tr w:rsidR="004A1489" w:rsidRPr="00EF3278" w:rsidTr="001020E5">
        <w:trPr>
          <w:tblHeader/>
        </w:trPr>
        <w:tc>
          <w:tcPr>
            <w:tcW w:w="3297" w:type="dxa"/>
            <w:shd w:val="clear" w:color="auto" w:fill="FFFFFF" w:themeFill="background1"/>
            <w:vAlign w:val="center"/>
          </w:tcPr>
          <w:p w:rsidR="004A1489" w:rsidRPr="00EF3278" w:rsidRDefault="004A1489" w:rsidP="00F863C2">
            <w:pPr>
              <w:pStyle w:val="TableText1"/>
              <w:keepLines/>
              <w:widowControl w:val="0"/>
              <w:tabs>
                <w:tab w:val="left" w:pos="142"/>
              </w:tabs>
              <w:rPr>
                <w:b/>
              </w:rPr>
            </w:pPr>
            <w:r>
              <w:rPr>
                <w:b/>
              </w:rPr>
              <w:t>Cost breakdown</w:t>
            </w:r>
          </w:p>
        </w:tc>
        <w:tc>
          <w:tcPr>
            <w:tcW w:w="1073" w:type="dxa"/>
            <w:shd w:val="clear" w:color="auto" w:fill="FFFFFF" w:themeFill="background1"/>
            <w:vAlign w:val="center"/>
          </w:tcPr>
          <w:p w:rsidR="004A1489" w:rsidRPr="00EF3278" w:rsidRDefault="004A1489" w:rsidP="00F863C2">
            <w:pPr>
              <w:pStyle w:val="TableText1"/>
              <w:keepLines/>
              <w:widowControl w:val="0"/>
              <w:jc w:val="center"/>
              <w:rPr>
                <w:b/>
              </w:rPr>
            </w:pPr>
            <w:r>
              <w:rPr>
                <w:b/>
              </w:rPr>
              <w:t>Ibrutinib</w:t>
            </w:r>
          </w:p>
        </w:tc>
        <w:tc>
          <w:tcPr>
            <w:tcW w:w="1301" w:type="dxa"/>
            <w:shd w:val="clear" w:color="auto" w:fill="FFFFFF" w:themeFill="background1"/>
            <w:vAlign w:val="center"/>
          </w:tcPr>
          <w:p w:rsidR="004A1489" w:rsidRPr="00EF3278" w:rsidRDefault="004A1489" w:rsidP="00F863C2">
            <w:pPr>
              <w:pStyle w:val="TableText1"/>
              <w:keepLines/>
              <w:widowControl w:val="0"/>
              <w:jc w:val="center"/>
              <w:rPr>
                <w:b/>
              </w:rPr>
            </w:pPr>
            <w:proofErr w:type="spellStart"/>
            <w:r>
              <w:rPr>
                <w:b/>
              </w:rPr>
              <w:t>Obi+chl</w:t>
            </w:r>
            <w:proofErr w:type="spellEnd"/>
          </w:p>
        </w:tc>
        <w:tc>
          <w:tcPr>
            <w:tcW w:w="1631" w:type="dxa"/>
            <w:shd w:val="clear" w:color="auto" w:fill="FFFFFF" w:themeFill="background1"/>
            <w:vAlign w:val="center"/>
          </w:tcPr>
          <w:p w:rsidR="004A1489" w:rsidRPr="00EF3278" w:rsidRDefault="002B5175" w:rsidP="00F863C2">
            <w:pPr>
              <w:pStyle w:val="TableText1"/>
              <w:keepLines/>
              <w:widowControl w:val="0"/>
              <w:jc w:val="center"/>
              <w:rPr>
                <w:b/>
              </w:rPr>
            </w:pPr>
            <w:r>
              <w:rPr>
                <w:b/>
              </w:rPr>
              <w:t>Increment</w:t>
            </w:r>
          </w:p>
        </w:tc>
        <w:tc>
          <w:tcPr>
            <w:tcW w:w="1890" w:type="dxa"/>
            <w:shd w:val="clear" w:color="auto" w:fill="FFFFFF" w:themeFill="background1"/>
            <w:vAlign w:val="center"/>
          </w:tcPr>
          <w:p w:rsidR="004A1489" w:rsidRDefault="004A1489" w:rsidP="00F863C2">
            <w:pPr>
              <w:pStyle w:val="TableText1"/>
              <w:keepLines/>
              <w:widowControl w:val="0"/>
              <w:jc w:val="center"/>
              <w:rPr>
                <w:b/>
              </w:rPr>
            </w:pPr>
            <w:r>
              <w:rPr>
                <w:b/>
              </w:rPr>
              <w:t xml:space="preserve">% of total </w:t>
            </w:r>
          </w:p>
          <w:p w:rsidR="004A1489" w:rsidRPr="00EF3278" w:rsidRDefault="004A1489" w:rsidP="00F863C2">
            <w:pPr>
              <w:pStyle w:val="TableText1"/>
              <w:keepLines/>
              <w:widowControl w:val="0"/>
              <w:jc w:val="center"/>
              <w:rPr>
                <w:b/>
              </w:rPr>
            </w:pPr>
            <w:proofErr w:type="spellStart"/>
            <w:r>
              <w:rPr>
                <w:b/>
              </w:rPr>
              <w:t>increment</w:t>
            </w:r>
            <w:r>
              <w:rPr>
                <w:b/>
                <w:vertAlign w:val="superscript"/>
              </w:rPr>
              <w:t>a</w:t>
            </w:r>
            <w:proofErr w:type="spellEnd"/>
          </w:p>
        </w:tc>
      </w:tr>
      <w:tr w:rsidR="004A1489" w:rsidRPr="00CE4B09" w:rsidTr="00D91EAA">
        <w:tc>
          <w:tcPr>
            <w:tcW w:w="9192" w:type="dxa"/>
            <w:gridSpan w:val="5"/>
            <w:shd w:val="clear" w:color="auto" w:fill="FFFFFF" w:themeFill="background1"/>
            <w:vAlign w:val="center"/>
          </w:tcPr>
          <w:p w:rsidR="004A1489" w:rsidRPr="00CE4B09" w:rsidRDefault="004A1489" w:rsidP="00F863C2">
            <w:pPr>
              <w:pStyle w:val="TableText1"/>
              <w:keepLines/>
              <w:widowControl w:val="0"/>
              <w:rPr>
                <w:b/>
                <w:bCs/>
              </w:rPr>
            </w:pPr>
            <w:r w:rsidRPr="00CE4B09">
              <w:rPr>
                <w:b/>
                <w:bCs/>
              </w:rPr>
              <w:t>Health outcomes</w:t>
            </w:r>
          </w:p>
        </w:tc>
      </w:tr>
      <w:tr w:rsidR="004A1489" w:rsidTr="001020E5">
        <w:tc>
          <w:tcPr>
            <w:tcW w:w="3297" w:type="dxa"/>
            <w:shd w:val="clear" w:color="auto" w:fill="FFFFFF" w:themeFill="background1"/>
            <w:vAlign w:val="center"/>
          </w:tcPr>
          <w:p w:rsidR="004A1489" w:rsidRPr="00E773B1" w:rsidRDefault="004A1489" w:rsidP="00F863C2">
            <w:pPr>
              <w:pStyle w:val="TableText1"/>
              <w:keepLines/>
              <w:widowControl w:val="0"/>
              <w:tabs>
                <w:tab w:val="left" w:pos="142"/>
              </w:tabs>
              <w:ind w:left="142" w:hanging="142"/>
            </w:pPr>
            <w:r w:rsidRPr="00E773B1">
              <w:t>Total QALYs</w:t>
            </w:r>
          </w:p>
        </w:tc>
        <w:tc>
          <w:tcPr>
            <w:tcW w:w="1073" w:type="dxa"/>
            <w:shd w:val="clear" w:color="auto" w:fill="FFFFFF" w:themeFill="background1"/>
          </w:tcPr>
          <w:p w:rsidR="004A1489" w:rsidRPr="007E3667" w:rsidRDefault="007E3667" w:rsidP="00F863C2">
            <w:pPr>
              <w:pStyle w:val="TableText1"/>
              <w:keepLines/>
              <w:widowControl w:val="0"/>
              <w:jc w:val="center"/>
              <w:rPr>
                <w:iCs/>
                <w:highlight w:val="black"/>
              </w:rPr>
            </w:pPr>
            <w:r>
              <w:rPr>
                <w:rFonts w:cs="Calibri"/>
                <w:noProof/>
                <w:color w:val="000000"/>
                <w:szCs w:val="20"/>
                <w:highlight w:val="black"/>
              </w:rPr>
              <w:t xml:space="preserve">'''''''''' </w:t>
            </w:r>
          </w:p>
        </w:tc>
        <w:tc>
          <w:tcPr>
            <w:tcW w:w="1301" w:type="dxa"/>
            <w:shd w:val="clear" w:color="auto" w:fill="FFFFFF" w:themeFill="background1"/>
          </w:tcPr>
          <w:p w:rsidR="004A1489" w:rsidRPr="007E3667" w:rsidRDefault="007E3667" w:rsidP="00F863C2">
            <w:pPr>
              <w:pStyle w:val="TableText1"/>
              <w:keepLines/>
              <w:widowControl w:val="0"/>
              <w:jc w:val="center"/>
              <w:rPr>
                <w:iCs/>
                <w:highlight w:val="black"/>
              </w:rPr>
            </w:pPr>
            <w:r>
              <w:rPr>
                <w:rFonts w:cs="Calibri"/>
                <w:noProof/>
                <w:color w:val="000000"/>
                <w:szCs w:val="20"/>
                <w:highlight w:val="black"/>
              </w:rPr>
              <w:t xml:space="preserve">'''''''''' </w:t>
            </w:r>
          </w:p>
        </w:tc>
        <w:tc>
          <w:tcPr>
            <w:tcW w:w="1631" w:type="dxa"/>
            <w:shd w:val="clear" w:color="auto" w:fill="FFFFFF" w:themeFill="background1"/>
          </w:tcPr>
          <w:p w:rsidR="004A1489" w:rsidRPr="007E3667" w:rsidRDefault="007E3667" w:rsidP="00F863C2">
            <w:pPr>
              <w:pStyle w:val="TableText1"/>
              <w:keepLines/>
              <w:widowControl w:val="0"/>
              <w:jc w:val="center"/>
              <w:rPr>
                <w:iCs/>
                <w:highlight w:val="black"/>
              </w:rPr>
            </w:pPr>
            <w:r>
              <w:rPr>
                <w:rFonts w:cs="Calibri"/>
                <w:noProof/>
                <w:color w:val="000000"/>
                <w:szCs w:val="20"/>
                <w:highlight w:val="black"/>
              </w:rPr>
              <w:t>''''''''''</w:t>
            </w:r>
          </w:p>
        </w:tc>
        <w:tc>
          <w:tcPr>
            <w:tcW w:w="1890" w:type="dxa"/>
            <w:shd w:val="clear" w:color="auto" w:fill="FFFFFF" w:themeFill="background1"/>
            <w:vAlign w:val="center"/>
          </w:tcPr>
          <w:p w:rsidR="004A1489" w:rsidRPr="00E773B1" w:rsidRDefault="004A1489" w:rsidP="00F863C2">
            <w:pPr>
              <w:pStyle w:val="TableText1"/>
              <w:keepLines/>
              <w:widowControl w:val="0"/>
              <w:jc w:val="center"/>
            </w:pPr>
            <w:r w:rsidRPr="00E773B1">
              <w:t>-</w:t>
            </w:r>
          </w:p>
        </w:tc>
      </w:tr>
      <w:tr w:rsidR="004A1489" w:rsidRPr="001020E5" w:rsidTr="001020E5">
        <w:tc>
          <w:tcPr>
            <w:tcW w:w="3297" w:type="dxa"/>
            <w:shd w:val="clear" w:color="auto" w:fill="FFFFFF" w:themeFill="background1"/>
            <w:vAlign w:val="center"/>
          </w:tcPr>
          <w:p w:rsidR="004A1489" w:rsidRPr="00E773B1" w:rsidRDefault="004A1489" w:rsidP="00F863C2">
            <w:pPr>
              <w:pStyle w:val="TableText1"/>
              <w:keepLines/>
              <w:widowControl w:val="0"/>
              <w:tabs>
                <w:tab w:val="left" w:pos="142"/>
              </w:tabs>
              <w:ind w:left="142" w:hanging="142"/>
            </w:pPr>
            <w:r w:rsidRPr="00E773B1">
              <w:tab/>
              <w:t>First-line</w:t>
            </w:r>
            <w:r w:rsidR="001205E8" w:rsidRPr="00E773B1">
              <w:t>, % of patients</w:t>
            </w:r>
          </w:p>
        </w:tc>
        <w:tc>
          <w:tcPr>
            <w:tcW w:w="1073" w:type="dxa"/>
            <w:shd w:val="clear" w:color="auto" w:fill="FFFFFF" w:themeFill="background1"/>
          </w:tcPr>
          <w:p w:rsidR="004A1489" w:rsidRPr="00E773B1" w:rsidRDefault="00137FCE" w:rsidP="001205E8">
            <w:pPr>
              <w:pStyle w:val="TableText1"/>
              <w:keepLines/>
              <w:widowControl w:val="0"/>
              <w:jc w:val="center"/>
              <w:rPr>
                <w:iCs/>
              </w:rPr>
            </w:pPr>
            <w:r w:rsidRPr="00E773B1">
              <w:rPr>
                <w:rFonts w:cs="Calibri"/>
                <w:color w:val="000000"/>
                <w:szCs w:val="20"/>
              </w:rPr>
              <w:t>100%</w:t>
            </w:r>
          </w:p>
        </w:tc>
        <w:tc>
          <w:tcPr>
            <w:tcW w:w="1301" w:type="dxa"/>
            <w:shd w:val="clear" w:color="auto" w:fill="FFFFFF" w:themeFill="background1"/>
          </w:tcPr>
          <w:p w:rsidR="004A1489" w:rsidRPr="00E773B1" w:rsidRDefault="00137FCE" w:rsidP="00F863C2">
            <w:pPr>
              <w:pStyle w:val="TableText1"/>
              <w:keepLines/>
              <w:widowControl w:val="0"/>
              <w:jc w:val="center"/>
              <w:rPr>
                <w:iCs/>
              </w:rPr>
            </w:pPr>
            <w:r w:rsidRPr="00E773B1">
              <w:rPr>
                <w:rFonts w:cs="Calibri"/>
                <w:color w:val="000000"/>
                <w:szCs w:val="20"/>
              </w:rPr>
              <w:t>100%</w:t>
            </w:r>
          </w:p>
        </w:tc>
        <w:tc>
          <w:tcPr>
            <w:tcW w:w="1631" w:type="dxa"/>
            <w:shd w:val="clear" w:color="auto" w:fill="FFFFFF" w:themeFill="background1"/>
          </w:tcPr>
          <w:p w:rsidR="004A1489" w:rsidRPr="00E773B1" w:rsidRDefault="004A1489" w:rsidP="00F863C2">
            <w:pPr>
              <w:pStyle w:val="TableText1"/>
              <w:keepLines/>
              <w:widowControl w:val="0"/>
              <w:jc w:val="center"/>
              <w:rPr>
                <w:iCs/>
              </w:rPr>
            </w:pPr>
          </w:p>
        </w:tc>
        <w:tc>
          <w:tcPr>
            <w:tcW w:w="1890" w:type="dxa"/>
            <w:shd w:val="clear" w:color="auto" w:fill="FFFFFF" w:themeFill="background1"/>
            <w:vAlign w:val="center"/>
          </w:tcPr>
          <w:p w:rsidR="004A1489" w:rsidRPr="00E773B1" w:rsidRDefault="004A1489" w:rsidP="00F863C2">
            <w:pPr>
              <w:pStyle w:val="TableText1"/>
              <w:keepLines/>
              <w:widowControl w:val="0"/>
              <w:jc w:val="center"/>
            </w:pPr>
          </w:p>
        </w:tc>
      </w:tr>
      <w:tr w:rsidR="004A1489" w:rsidTr="001020E5">
        <w:tc>
          <w:tcPr>
            <w:tcW w:w="3297" w:type="dxa"/>
            <w:shd w:val="clear" w:color="auto" w:fill="FFFFFF" w:themeFill="background1"/>
            <w:vAlign w:val="center"/>
          </w:tcPr>
          <w:p w:rsidR="004A1489" w:rsidRPr="00E773B1" w:rsidRDefault="004A1489" w:rsidP="00F863C2">
            <w:pPr>
              <w:pStyle w:val="TableText1"/>
              <w:keepLines/>
              <w:widowControl w:val="0"/>
              <w:tabs>
                <w:tab w:val="left" w:pos="142"/>
              </w:tabs>
            </w:pPr>
            <w:r w:rsidRPr="00E773B1">
              <w:tab/>
            </w:r>
            <w:r w:rsidRPr="00E773B1">
              <w:tab/>
              <w:t>PFS</w:t>
            </w:r>
          </w:p>
        </w:tc>
        <w:tc>
          <w:tcPr>
            <w:tcW w:w="1073" w:type="dxa"/>
            <w:shd w:val="clear" w:color="auto" w:fill="FFFFFF" w:themeFill="background1"/>
          </w:tcPr>
          <w:p w:rsidR="004A1489" w:rsidRPr="007E3667" w:rsidRDefault="007E3667" w:rsidP="001205E8">
            <w:pPr>
              <w:pStyle w:val="TableText1"/>
              <w:keepLines/>
              <w:widowControl w:val="0"/>
              <w:jc w:val="center"/>
              <w:rPr>
                <w:iCs/>
                <w:highlight w:val="black"/>
              </w:rPr>
            </w:pPr>
            <w:r>
              <w:rPr>
                <w:rFonts w:cs="Calibri"/>
                <w:noProof/>
                <w:color w:val="000000"/>
                <w:szCs w:val="20"/>
                <w:highlight w:val="black"/>
              </w:rPr>
              <w:t xml:space="preserve">'''''''''' </w:t>
            </w:r>
          </w:p>
        </w:tc>
        <w:tc>
          <w:tcPr>
            <w:tcW w:w="1301" w:type="dxa"/>
            <w:shd w:val="clear" w:color="auto" w:fill="FFFFFF" w:themeFill="background1"/>
          </w:tcPr>
          <w:p w:rsidR="004A1489" w:rsidRPr="007E3667" w:rsidRDefault="007E3667" w:rsidP="001205E8">
            <w:pPr>
              <w:pStyle w:val="TableText1"/>
              <w:keepLines/>
              <w:widowControl w:val="0"/>
              <w:jc w:val="center"/>
              <w:rPr>
                <w:iCs/>
                <w:highlight w:val="black"/>
              </w:rPr>
            </w:pPr>
            <w:r>
              <w:rPr>
                <w:rFonts w:cs="Calibri"/>
                <w:noProof/>
                <w:color w:val="000000"/>
                <w:szCs w:val="20"/>
                <w:highlight w:val="black"/>
              </w:rPr>
              <w:t xml:space="preserve">''''''''''' </w:t>
            </w:r>
          </w:p>
        </w:tc>
        <w:tc>
          <w:tcPr>
            <w:tcW w:w="1631" w:type="dxa"/>
            <w:shd w:val="clear" w:color="auto" w:fill="FFFFFF" w:themeFill="background1"/>
          </w:tcPr>
          <w:p w:rsidR="004A1489" w:rsidRPr="007E3667" w:rsidRDefault="007E3667" w:rsidP="00F863C2">
            <w:pPr>
              <w:pStyle w:val="TableText1"/>
              <w:keepLines/>
              <w:widowControl w:val="0"/>
              <w:jc w:val="center"/>
              <w:rPr>
                <w:iCs/>
                <w:highlight w:val="black"/>
              </w:rPr>
            </w:pPr>
            <w:r>
              <w:rPr>
                <w:rFonts w:cs="Calibri"/>
                <w:noProof/>
                <w:color w:val="000000"/>
                <w:szCs w:val="20"/>
                <w:highlight w:val="black"/>
              </w:rPr>
              <w:t>''''''''''</w:t>
            </w:r>
          </w:p>
        </w:tc>
        <w:tc>
          <w:tcPr>
            <w:tcW w:w="1890" w:type="dxa"/>
            <w:shd w:val="clear" w:color="auto" w:fill="FFFFFF" w:themeFill="background1"/>
            <w:vAlign w:val="center"/>
          </w:tcPr>
          <w:p w:rsidR="004A1489" w:rsidRPr="00E773B1" w:rsidRDefault="007E3667" w:rsidP="00F863C2">
            <w:pPr>
              <w:pStyle w:val="TableText1"/>
              <w:keepLines/>
              <w:widowControl w:val="0"/>
              <w:jc w:val="center"/>
            </w:pPr>
            <w:r>
              <w:rPr>
                <w:noProof/>
                <w:color w:val="000000"/>
                <w:highlight w:val="black"/>
              </w:rPr>
              <w:t>''''''''''</w:t>
            </w:r>
            <w:r w:rsidR="004A1489" w:rsidRPr="00E773B1">
              <w:t>%</w:t>
            </w:r>
          </w:p>
        </w:tc>
      </w:tr>
      <w:tr w:rsidR="004A1489" w:rsidTr="001020E5">
        <w:tc>
          <w:tcPr>
            <w:tcW w:w="3297" w:type="dxa"/>
            <w:shd w:val="clear" w:color="auto" w:fill="FFFFFF" w:themeFill="background1"/>
            <w:vAlign w:val="center"/>
          </w:tcPr>
          <w:p w:rsidR="004A1489" w:rsidRPr="00E773B1" w:rsidRDefault="004A1489" w:rsidP="00F863C2">
            <w:pPr>
              <w:pStyle w:val="TableText1"/>
              <w:keepLines/>
              <w:widowControl w:val="0"/>
              <w:tabs>
                <w:tab w:val="left" w:pos="142"/>
              </w:tabs>
            </w:pPr>
            <w:r w:rsidRPr="00E773B1">
              <w:tab/>
            </w:r>
            <w:r w:rsidRPr="00E773B1">
              <w:tab/>
              <w:t>PD</w:t>
            </w:r>
          </w:p>
        </w:tc>
        <w:tc>
          <w:tcPr>
            <w:tcW w:w="1073" w:type="dxa"/>
            <w:shd w:val="clear" w:color="auto" w:fill="FFFFFF" w:themeFill="background1"/>
          </w:tcPr>
          <w:p w:rsidR="004A1489" w:rsidRPr="007E3667" w:rsidRDefault="007E3667" w:rsidP="00F863C2">
            <w:pPr>
              <w:pStyle w:val="TableText1"/>
              <w:keepLines/>
              <w:widowControl w:val="0"/>
              <w:jc w:val="center"/>
              <w:rPr>
                <w:iCs/>
                <w:highlight w:val="black"/>
              </w:rPr>
            </w:pPr>
            <w:r>
              <w:rPr>
                <w:rFonts w:cs="Calibri"/>
                <w:noProof/>
                <w:color w:val="000000"/>
                <w:szCs w:val="20"/>
                <w:highlight w:val="black"/>
              </w:rPr>
              <w:t xml:space="preserve">''''''''''' </w:t>
            </w:r>
          </w:p>
        </w:tc>
        <w:tc>
          <w:tcPr>
            <w:tcW w:w="1301" w:type="dxa"/>
            <w:shd w:val="clear" w:color="auto" w:fill="FFFFFF" w:themeFill="background1"/>
          </w:tcPr>
          <w:p w:rsidR="004A1489" w:rsidRPr="007E3667" w:rsidRDefault="007E3667" w:rsidP="00F863C2">
            <w:pPr>
              <w:pStyle w:val="TableText1"/>
              <w:keepLines/>
              <w:widowControl w:val="0"/>
              <w:jc w:val="center"/>
              <w:rPr>
                <w:iCs/>
                <w:highlight w:val="black"/>
              </w:rPr>
            </w:pPr>
            <w:r>
              <w:rPr>
                <w:rFonts w:cs="Calibri"/>
                <w:noProof/>
                <w:color w:val="000000"/>
                <w:szCs w:val="20"/>
                <w:highlight w:val="black"/>
              </w:rPr>
              <w:t>''''''''''</w:t>
            </w:r>
          </w:p>
        </w:tc>
        <w:tc>
          <w:tcPr>
            <w:tcW w:w="1631" w:type="dxa"/>
            <w:shd w:val="clear" w:color="auto" w:fill="FFFFFF" w:themeFill="background1"/>
          </w:tcPr>
          <w:p w:rsidR="004A1489" w:rsidRPr="00E773B1" w:rsidRDefault="004A1489" w:rsidP="00F863C2">
            <w:pPr>
              <w:pStyle w:val="TableText1"/>
              <w:keepLines/>
              <w:widowControl w:val="0"/>
              <w:jc w:val="center"/>
              <w:rPr>
                <w:iCs/>
              </w:rPr>
            </w:pPr>
            <w:r w:rsidRPr="00E773B1">
              <w:rPr>
                <w:rFonts w:cs="Calibri"/>
                <w:color w:val="000000"/>
                <w:szCs w:val="20"/>
              </w:rPr>
              <w:t>-</w:t>
            </w:r>
            <w:r w:rsidR="007E3667">
              <w:rPr>
                <w:rFonts w:cs="Calibri"/>
                <w:noProof/>
                <w:color w:val="000000"/>
                <w:szCs w:val="20"/>
                <w:highlight w:val="black"/>
              </w:rPr>
              <w:t>''''''''''</w:t>
            </w:r>
          </w:p>
        </w:tc>
        <w:tc>
          <w:tcPr>
            <w:tcW w:w="1890" w:type="dxa"/>
            <w:shd w:val="clear" w:color="auto" w:fill="FFFFFF" w:themeFill="background1"/>
            <w:vAlign w:val="center"/>
          </w:tcPr>
          <w:p w:rsidR="004A1489" w:rsidRPr="00E773B1" w:rsidRDefault="004A1489" w:rsidP="00F863C2">
            <w:pPr>
              <w:pStyle w:val="TableText1"/>
              <w:keepLines/>
              <w:widowControl w:val="0"/>
              <w:jc w:val="center"/>
            </w:pPr>
            <w:r w:rsidRPr="00E773B1">
              <w:t>-</w:t>
            </w:r>
            <w:r w:rsidR="007E3667">
              <w:rPr>
                <w:noProof/>
                <w:color w:val="000000"/>
                <w:highlight w:val="black"/>
              </w:rPr>
              <w:t>''''</w:t>
            </w:r>
            <w:r w:rsidRPr="00E773B1">
              <w:t>%</w:t>
            </w: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r>
            <w:r w:rsidRPr="00E773B1">
              <w:tab/>
              <w:t>Total</w:t>
            </w:r>
            <w:r w:rsidR="00C6344B" w:rsidRPr="00E773B1">
              <w:t xml:space="preserve"> first-line</w:t>
            </w:r>
          </w:p>
        </w:tc>
        <w:tc>
          <w:tcPr>
            <w:tcW w:w="1073" w:type="dxa"/>
            <w:shd w:val="clear" w:color="auto" w:fill="FFFFFF" w:themeFill="background1"/>
          </w:tcPr>
          <w:p w:rsidR="001205E8" w:rsidRPr="007E3667" w:rsidRDefault="007E3667" w:rsidP="001205E8">
            <w:pPr>
              <w:pStyle w:val="TableText1"/>
              <w:keepLines/>
              <w:widowControl w:val="0"/>
              <w:jc w:val="center"/>
              <w:rPr>
                <w:rFonts w:cs="Calibri"/>
                <w:color w:val="000000"/>
                <w:szCs w:val="20"/>
                <w:highlight w:val="black"/>
              </w:rPr>
            </w:pPr>
            <w:r>
              <w:rPr>
                <w:rFonts w:cs="Calibri"/>
                <w:noProof/>
                <w:color w:val="000000"/>
                <w:szCs w:val="20"/>
                <w:highlight w:val="black"/>
              </w:rPr>
              <w:t xml:space="preserve">'''''''''' </w:t>
            </w:r>
          </w:p>
        </w:tc>
        <w:tc>
          <w:tcPr>
            <w:tcW w:w="1301" w:type="dxa"/>
            <w:shd w:val="clear" w:color="auto" w:fill="FFFFFF" w:themeFill="background1"/>
          </w:tcPr>
          <w:p w:rsidR="001205E8" w:rsidRPr="007E3667" w:rsidRDefault="007E3667" w:rsidP="001205E8">
            <w:pPr>
              <w:pStyle w:val="TableText1"/>
              <w:keepLines/>
              <w:widowControl w:val="0"/>
              <w:jc w:val="center"/>
              <w:rPr>
                <w:rFonts w:cs="Calibri"/>
                <w:color w:val="000000"/>
                <w:szCs w:val="20"/>
                <w:highlight w:val="black"/>
              </w:rPr>
            </w:pPr>
            <w:r>
              <w:rPr>
                <w:rFonts w:cs="Calibri"/>
                <w:noProof/>
                <w:color w:val="000000"/>
                <w:szCs w:val="20"/>
                <w:highlight w:val="black"/>
              </w:rPr>
              <w:t xml:space="preserve">''''''''''' </w:t>
            </w:r>
          </w:p>
        </w:tc>
        <w:tc>
          <w:tcPr>
            <w:tcW w:w="1631" w:type="dxa"/>
            <w:shd w:val="clear" w:color="auto" w:fill="FFFFFF" w:themeFill="background1"/>
          </w:tcPr>
          <w:p w:rsidR="001205E8" w:rsidRPr="007E3667" w:rsidRDefault="007E3667" w:rsidP="001205E8">
            <w:pPr>
              <w:pStyle w:val="TableText1"/>
              <w:keepLines/>
              <w:widowControl w:val="0"/>
              <w:jc w:val="center"/>
              <w:rPr>
                <w:rFonts w:cs="Calibri"/>
                <w:color w:val="000000"/>
                <w:szCs w:val="20"/>
                <w:highlight w:val="black"/>
              </w:rPr>
            </w:pPr>
            <w:r>
              <w:rPr>
                <w:rFonts w:cs="Calibri"/>
                <w:noProof/>
                <w:color w:val="000000"/>
                <w:szCs w:val="20"/>
                <w:highlight w:val="black"/>
              </w:rPr>
              <w:t>''''''''''''</w:t>
            </w:r>
          </w:p>
        </w:tc>
        <w:tc>
          <w:tcPr>
            <w:tcW w:w="1890" w:type="dxa"/>
            <w:shd w:val="clear" w:color="auto" w:fill="FFFFFF" w:themeFill="background1"/>
            <w:vAlign w:val="center"/>
          </w:tcPr>
          <w:p w:rsidR="001205E8" w:rsidRPr="00E773B1" w:rsidRDefault="007E3667" w:rsidP="001205E8">
            <w:pPr>
              <w:pStyle w:val="TableText1"/>
              <w:keepLines/>
              <w:widowControl w:val="0"/>
              <w:jc w:val="center"/>
            </w:pPr>
            <w:r>
              <w:rPr>
                <w:noProof/>
                <w:color w:val="000000"/>
                <w:highlight w:val="black"/>
              </w:rPr>
              <w:t>''''''''''</w:t>
            </w:r>
            <w:r w:rsidR="001205E8" w:rsidRPr="00E773B1">
              <w:t>%</w:t>
            </w:r>
          </w:p>
        </w:tc>
      </w:tr>
      <w:tr w:rsidR="001205E8" w:rsidRPr="001020E5"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Second-line, % of patients</w:t>
            </w:r>
          </w:p>
        </w:tc>
        <w:tc>
          <w:tcPr>
            <w:tcW w:w="1073" w:type="dxa"/>
            <w:shd w:val="clear" w:color="auto" w:fill="FFFFFF" w:themeFill="background1"/>
          </w:tcPr>
          <w:p w:rsidR="001205E8" w:rsidRPr="00E773B1" w:rsidRDefault="007E3667" w:rsidP="001205E8">
            <w:pPr>
              <w:pStyle w:val="TableText1"/>
              <w:keepLines/>
              <w:widowControl w:val="0"/>
              <w:jc w:val="center"/>
              <w:rPr>
                <w:iCs/>
              </w:rPr>
            </w:pPr>
            <w:r>
              <w:rPr>
                <w:rFonts w:cs="Calibri"/>
                <w:noProof/>
                <w:color w:val="000000"/>
                <w:szCs w:val="20"/>
                <w:highlight w:val="black"/>
              </w:rPr>
              <w:t>'''''''</w:t>
            </w:r>
            <w:r w:rsidR="00137FCE" w:rsidRPr="00E773B1">
              <w:rPr>
                <w:rFonts w:cs="Calibri"/>
                <w:color w:val="000000"/>
                <w:szCs w:val="20"/>
              </w:rPr>
              <w:t>%</w:t>
            </w:r>
          </w:p>
        </w:tc>
        <w:tc>
          <w:tcPr>
            <w:tcW w:w="1301" w:type="dxa"/>
            <w:shd w:val="clear" w:color="auto" w:fill="FFFFFF" w:themeFill="background1"/>
          </w:tcPr>
          <w:p w:rsidR="001205E8" w:rsidRPr="00E773B1" w:rsidRDefault="007E3667" w:rsidP="001205E8">
            <w:pPr>
              <w:pStyle w:val="TableText1"/>
              <w:keepLines/>
              <w:widowControl w:val="0"/>
              <w:jc w:val="center"/>
              <w:rPr>
                <w:iCs/>
              </w:rPr>
            </w:pPr>
            <w:r>
              <w:rPr>
                <w:rFonts w:cs="Calibri"/>
                <w:noProof/>
                <w:color w:val="000000"/>
                <w:szCs w:val="20"/>
                <w:highlight w:val="black"/>
              </w:rPr>
              <w:t>''''''</w:t>
            </w:r>
            <w:r w:rsidR="00137FCE" w:rsidRPr="00E773B1">
              <w:rPr>
                <w:rFonts w:cs="Calibri"/>
                <w:color w:val="000000"/>
                <w:szCs w:val="20"/>
              </w:rPr>
              <w:t>%</w:t>
            </w:r>
          </w:p>
        </w:tc>
        <w:tc>
          <w:tcPr>
            <w:tcW w:w="1631" w:type="dxa"/>
            <w:shd w:val="clear" w:color="auto" w:fill="FFFFFF" w:themeFill="background1"/>
          </w:tcPr>
          <w:p w:rsidR="001205E8" w:rsidRPr="00E773B1" w:rsidRDefault="001205E8" w:rsidP="001205E8">
            <w:pPr>
              <w:pStyle w:val="TableText1"/>
              <w:keepLines/>
              <w:widowControl w:val="0"/>
              <w:jc w:val="center"/>
              <w:rPr>
                <w:iCs/>
              </w:rPr>
            </w:pPr>
          </w:p>
        </w:tc>
        <w:tc>
          <w:tcPr>
            <w:tcW w:w="1890" w:type="dxa"/>
            <w:shd w:val="clear" w:color="auto" w:fill="FFFFFF" w:themeFill="background1"/>
            <w:vAlign w:val="center"/>
          </w:tcPr>
          <w:p w:rsidR="001205E8" w:rsidRPr="00E773B1" w:rsidRDefault="001205E8" w:rsidP="001205E8">
            <w:pPr>
              <w:pStyle w:val="TableText1"/>
              <w:keepLines/>
              <w:widowControl w:val="0"/>
              <w:jc w:val="center"/>
            </w:pP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r>
            <w:r w:rsidRPr="00E773B1">
              <w:tab/>
              <w:t>PFS</w:t>
            </w:r>
          </w:p>
        </w:tc>
        <w:tc>
          <w:tcPr>
            <w:tcW w:w="1073" w:type="dxa"/>
            <w:shd w:val="clear" w:color="auto" w:fill="FFFFFF" w:themeFill="background1"/>
          </w:tcPr>
          <w:p w:rsidR="001205E8" w:rsidRPr="007E3667" w:rsidRDefault="007E3667" w:rsidP="001205E8">
            <w:pPr>
              <w:pStyle w:val="TableText1"/>
              <w:keepLines/>
              <w:widowControl w:val="0"/>
              <w:jc w:val="center"/>
              <w:rPr>
                <w:iCs/>
                <w:highlight w:val="black"/>
              </w:rPr>
            </w:pPr>
            <w:r>
              <w:rPr>
                <w:rFonts w:cs="Calibri"/>
                <w:noProof/>
                <w:color w:val="000000"/>
                <w:szCs w:val="20"/>
                <w:highlight w:val="black"/>
              </w:rPr>
              <w:t>''''''''''</w:t>
            </w:r>
          </w:p>
        </w:tc>
        <w:tc>
          <w:tcPr>
            <w:tcW w:w="1301" w:type="dxa"/>
            <w:shd w:val="clear" w:color="auto" w:fill="FFFFFF" w:themeFill="background1"/>
          </w:tcPr>
          <w:p w:rsidR="001205E8" w:rsidRPr="007E3667" w:rsidRDefault="007E3667" w:rsidP="001205E8">
            <w:pPr>
              <w:pStyle w:val="TableText1"/>
              <w:keepLines/>
              <w:widowControl w:val="0"/>
              <w:jc w:val="center"/>
              <w:rPr>
                <w:iCs/>
                <w:highlight w:val="black"/>
              </w:rPr>
            </w:pPr>
            <w:r>
              <w:rPr>
                <w:rFonts w:cs="Calibri"/>
                <w:noProof/>
                <w:color w:val="000000"/>
                <w:szCs w:val="20"/>
                <w:highlight w:val="black"/>
              </w:rPr>
              <w:t>'''''''''''</w:t>
            </w:r>
          </w:p>
        </w:tc>
        <w:tc>
          <w:tcPr>
            <w:tcW w:w="1631" w:type="dxa"/>
            <w:shd w:val="clear" w:color="auto" w:fill="FFFFFF" w:themeFill="background1"/>
          </w:tcPr>
          <w:p w:rsidR="001205E8" w:rsidRPr="00E773B1" w:rsidRDefault="001205E8" w:rsidP="001205E8">
            <w:pPr>
              <w:pStyle w:val="TableText1"/>
              <w:keepLines/>
              <w:widowControl w:val="0"/>
              <w:jc w:val="center"/>
              <w:rPr>
                <w:iCs/>
              </w:rPr>
            </w:pPr>
            <w:r w:rsidRPr="00E773B1">
              <w:rPr>
                <w:rFonts w:cs="Calibri"/>
                <w:color w:val="000000"/>
                <w:szCs w:val="20"/>
              </w:rPr>
              <w:t>-</w:t>
            </w:r>
            <w:r w:rsidR="007E3667">
              <w:rPr>
                <w:rFonts w:cs="Calibri"/>
                <w:noProof/>
                <w:color w:val="000000"/>
                <w:szCs w:val="20"/>
                <w:highlight w:val="black"/>
              </w:rPr>
              <w:t>''''''''''</w:t>
            </w:r>
          </w:p>
        </w:tc>
        <w:tc>
          <w:tcPr>
            <w:tcW w:w="1890" w:type="dxa"/>
            <w:shd w:val="clear" w:color="auto" w:fill="FFFFFF" w:themeFill="background1"/>
            <w:vAlign w:val="center"/>
          </w:tcPr>
          <w:p w:rsidR="001205E8" w:rsidRPr="00E773B1" w:rsidRDefault="007E3667" w:rsidP="001205E8">
            <w:pPr>
              <w:pStyle w:val="TableText1"/>
              <w:keepLines/>
              <w:widowControl w:val="0"/>
              <w:jc w:val="center"/>
            </w:pPr>
            <w:r>
              <w:rPr>
                <w:noProof/>
                <w:color w:val="000000"/>
                <w:highlight w:val="black"/>
              </w:rPr>
              <w:t>'''''</w:t>
            </w:r>
            <w:r w:rsidR="001205E8" w:rsidRPr="00E773B1">
              <w:t>%</w:t>
            </w: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r>
            <w:r w:rsidRPr="00E773B1">
              <w:tab/>
              <w:t>PD</w:t>
            </w:r>
          </w:p>
        </w:tc>
        <w:tc>
          <w:tcPr>
            <w:tcW w:w="1073" w:type="dxa"/>
            <w:shd w:val="clear" w:color="auto" w:fill="FFFFFF" w:themeFill="background1"/>
          </w:tcPr>
          <w:p w:rsidR="001205E8" w:rsidRPr="007E3667" w:rsidRDefault="007E3667" w:rsidP="001205E8">
            <w:pPr>
              <w:pStyle w:val="TableText1"/>
              <w:keepLines/>
              <w:widowControl w:val="0"/>
              <w:jc w:val="center"/>
              <w:rPr>
                <w:iCs/>
                <w:highlight w:val="black"/>
              </w:rPr>
            </w:pPr>
            <w:r>
              <w:rPr>
                <w:rFonts w:cs="Calibri"/>
                <w:noProof/>
                <w:color w:val="000000"/>
                <w:szCs w:val="20"/>
                <w:highlight w:val="black"/>
              </w:rPr>
              <w:t>''''''''''</w:t>
            </w:r>
          </w:p>
        </w:tc>
        <w:tc>
          <w:tcPr>
            <w:tcW w:w="1301" w:type="dxa"/>
            <w:shd w:val="clear" w:color="auto" w:fill="FFFFFF" w:themeFill="background1"/>
          </w:tcPr>
          <w:p w:rsidR="001205E8" w:rsidRPr="007E3667" w:rsidRDefault="007E3667" w:rsidP="001205E8">
            <w:pPr>
              <w:pStyle w:val="TableText1"/>
              <w:keepLines/>
              <w:widowControl w:val="0"/>
              <w:jc w:val="center"/>
              <w:rPr>
                <w:iCs/>
                <w:highlight w:val="black"/>
              </w:rPr>
            </w:pPr>
            <w:r>
              <w:rPr>
                <w:rFonts w:cs="Calibri"/>
                <w:noProof/>
                <w:color w:val="000000"/>
                <w:szCs w:val="20"/>
                <w:highlight w:val="black"/>
              </w:rPr>
              <w:t>''''''''''</w:t>
            </w:r>
          </w:p>
        </w:tc>
        <w:tc>
          <w:tcPr>
            <w:tcW w:w="1631" w:type="dxa"/>
            <w:shd w:val="clear" w:color="auto" w:fill="FFFFFF" w:themeFill="background1"/>
          </w:tcPr>
          <w:p w:rsidR="001205E8" w:rsidRPr="00E773B1" w:rsidRDefault="001205E8" w:rsidP="001205E8">
            <w:pPr>
              <w:pStyle w:val="TableText1"/>
              <w:keepLines/>
              <w:widowControl w:val="0"/>
              <w:jc w:val="center"/>
              <w:rPr>
                <w:iCs/>
              </w:rPr>
            </w:pPr>
            <w:r w:rsidRPr="00E773B1">
              <w:rPr>
                <w:rFonts w:cs="Calibri"/>
                <w:color w:val="000000"/>
                <w:szCs w:val="20"/>
              </w:rPr>
              <w:t>-</w:t>
            </w:r>
            <w:r w:rsidR="007E3667">
              <w:rPr>
                <w:rFonts w:cs="Calibri"/>
                <w:noProof/>
                <w:color w:val="000000"/>
                <w:szCs w:val="20"/>
                <w:highlight w:val="black"/>
              </w:rPr>
              <w:t>''''''''''</w:t>
            </w:r>
          </w:p>
        </w:tc>
        <w:tc>
          <w:tcPr>
            <w:tcW w:w="1890" w:type="dxa"/>
            <w:shd w:val="clear" w:color="auto" w:fill="FFFFFF" w:themeFill="background1"/>
            <w:vAlign w:val="center"/>
          </w:tcPr>
          <w:p w:rsidR="001205E8" w:rsidRPr="00E773B1" w:rsidRDefault="007E3667" w:rsidP="001205E8">
            <w:pPr>
              <w:pStyle w:val="TableText1"/>
              <w:keepLines/>
              <w:widowControl w:val="0"/>
              <w:jc w:val="center"/>
            </w:pPr>
            <w:r>
              <w:rPr>
                <w:noProof/>
                <w:color w:val="000000"/>
                <w:highlight w:val="black"/>
              </w:rPr>
              <w:t>''''</w:t>
            </w:r>
            <w:r w:rsidR="001205E8" w:rsidRPr="00E773B1">
              <w:t>%</w:t>
            </w: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r>
            <w:r w:rsidRPr="00E773B1">
              <w:tab/>
              <w:t>Total</w:t>
            </w:r>
            <w:r w:rsidR="00C6344B" w:rsidRPr="00E773B1">
              <w:t xml:space="preserve"> second-line</w:t>
            </w:r>
          </w:p>
        </w:tc>
        <w:tc>
          <w:tcPr>
            <w:tcW w:w="1073" w:type="dxa"/>
            <w:shd w:val="clear" w:color="auto" w:fill="FFFFFF" w:themeFill="background1"/>
          </w:tcPr>
          <w:p w:rsidR="001205E8" w:rsidRPr="007E3667" w:rsidRDefault="007E3667" w:rsidP="001205E8">
            <w:pPr>
              <w:pStyle w:val="TableText1"/>
              <w:keepLines/>
              <w:widowControl w:val="0"/>
              <w:jc w:val="center"/>
              <w:rPr>
                <w:rFonts w:cs="Calibri"/>
                <w:color w:val="000000"/>
                <w:szCs w:val="20"/>
                <w:highlight w:val="black"/>
              </w:rPr>
            </w:pPr>
            <w:r>
              <w:rPr>
                <w:rFonts w:cs="Calibri"/>
                <w:noProof/>
                <w:color w:val="000000"/>
                <w:szCs w:val="20"/>
                <w:highlight w:val="black"/>
              </w:rPr>
              <w:t xml:space="preserve">'''''''''' </w:t>
            </w:r>
          </w:p>
        </w:tc>
        <w:tc>
          <w:tcPr>
            <w:tcW w:w="1301" w:type="dxa"/>
            <w:shd w:val="clear" w:color="auto" w:fill="FFFFFF" w:themeFill="background1"/>
          </w:tcPr>
          <w:p w:rsidR="001205E8" w:rsidRPr="007E3667" w:rsidRDefault="007E3667" w:rsidP="001205E8">
            <w:pPr>
              <w:pStyle w:val="TableText1"/>
              <w:keepLines/>
              <w:widowControl w:val="0"/>
              <w:jc w:val="center"/>
              <w:rPr>
                <w:rFonts w:cs="Calibri"/>
                <w:color w:val="000000"/>
                <w:szCs w:val="20"/>
                <w:highlight w:val="black"/>
              </w:rPr>
            </w:pPr>
            <w:r>
              <w:rPr>
                <w:rFonts w:cs="Calibri"/>
                <w:noProof/>
                <w:color w:val="000000"/>
                <w:szCs w:val="20"/>
                <w:highlight w:val="black"/>
              </w:rPr>
              <w:t xml:space="preserve">'''''''''' </w:t>
            </w:r>
          </w:p>
        </w:tc>
        <w:tc>
          <w:tcPr>
            <w:tcW w:w="1631" w:type="dxa"/>
            <w:shd w:val="clear" w:color="auto" w:fill="FFFFFF" w:themeFill="background1"/>
          </w:tcPr>
          <w:p w:rsidR="001205E8" w:rsidRPr="00E773B1" w:rsidRDefault="001205E8" w:rsidP="001205E8">
            <w:pPr>
              <w:pStyle w:val="TableText1"/>
              <w:keepLines/>
              <w:widowControl w:val="0"/>
              <w:jc w:val="center"/>
              <w:rPr>
                <w:rFonts w:cs="Calibri"/>
                <w:color w:val="000000"/>
                <w:szCs w:val="20"/>
              </w:rPr>
            </w:pPr>
            <w:r w:rsidRPr="00E773B1">
              <w:rPr>
                <w:rFonts w:cs="Calibri"/>
                <w:color w:val="000000"/>
                <w:szCs w:val="20"/>
              </w:rPr>
              <w:t>-</w:t>
            </w:r>
            <w:r w:rsidR="007E3667">
              <w:rPr>
                <w:rFonts w:cs="Calibri"/>
                <w:noProof/>
                <w:color w:val="000000"/>
                <w:szCs w:val="20"/>
                <w:highlight w:val="black"/>
              </w:rPr>
              <w:t>''''''''''</w:t>
            </w:r>
          </w:p>
        </w:tc>
        <w:tc>
          <w:tcPr>
            <w:tcW w:w="1890" w:type="dxa"/>
            <w:shd w:val="clear" w:color="auto" w:fill="FFFFFF" w:themeFill="background1"/>
            <w:vAlign w:val="center"/>
          </w:tcPr>
          <w:p w:rsidR="001205E8" w:rsidRPr="00E773B1" w:rsidRDefault="001205E8" w:rsidP="001205E8">
            <w:pPr>
              <w:pStyle w:val="TableText1"/>
              <w:keepLines/>
              <w:widowControl w:val="0"/>
              <w:jc w:val="center"/>
            </w:pPr>
            <w:r w:rsidRPr="00E773B1">
              <w:t>-</w:t>
            </w:r>
            <w:r w:rsidR="007E3667">
              <w:rPr>
                <w:noProof/>
                <w:color w:val="000000"/>
                <w:highlight w:val="black"/>
              </w:rPr>
              <w:t>''''''''</w:t>
            </w:r>
            <w:r w:rsidRPr="00E773B1">
              <w:t>%</w:t>
            </w:r>
          </w:p>
        </w:tc>
      </w:tr>
      <w:tr w:rsidR="001205E8" w:rsidRPr="001020E5"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Third- line, % of patients</w:t>
            </w:r>
          </w:p>
        </w:tc>
        <w:tc>
          <w:tcPr>
            <w:tcW w:w="1073" w:type="dxa"/>
            <w:shd w:val="clear" w:color="auto" w:fill="FFFFFF" w:themeFill="background1"/>
          </w:tcPr>
          <w:p w:rsidR="001205E8" w:rsidRPr="00E773B1" w:rsidRDefault="007E3667" w:rsidP="001205E8">
            <w:pPr>
              <w:pStyle w:val="TableText1"/>
              <w:keepLines/>
              <w:widowControl w:val="0"/>
              <w:jc w:val="center"/>
              <w:rPr>
                <w:iCs/>
              </w:rPr>
            </w:pPr>
            <w:r>
              <w:rPr>
                <w:rFonts w:cs="Calibri"/>
                <w:noProof/>
                <w:color w:val="000000"/>
                <w:szCs w:val="20"/>
                <w:highlight w:val="black"/>
              </w:rPr>
              <w:t>'''''</w:t>
            </w:r>
            <w:r w:rsidR="00137FCE" w:rsidRPr="00E773B1">
              <w:rPr>
                <w:rFonts w:cs="Calibri"/>
                <w:color w:val="000000"/>
                <w:szCs w:val="20"/>
              </w:rPr>
              <w:t>%</w:t>
            </w:r>
          </w:p>
        </w:tc>
        <w:tc>
          <w:tcPr>
            <w:tcW w:w="1301" w:type="dxa"/>
            <w:shd w:val="clear" w:color="auto" w:fill="FFFFFF" w:themeFill="background1"/>
          </w:tcPr>
          <w:p w:rsidR="001205E8" w:rsidRPr="00E773B1" w:rsidRDefault="007E3667" w:rsidP="001205E8">
            <w:pPr>
              <w:pStyle w:val="TableText1"/>
              <w:keepLines/>
              <w:widowControl w:val="0"/>
              <w:jc w:val="center"/>
              <w:rPr>
                <w:iCs/>
              </w:rPr>
            </w:pPr>
            <w:r>
              <w:rPr>
                <w:rFonts w:cs="Calibri"/>
                <w:noProof/>
                <w:color w:val="000000"/>
                <w:szCs w:val="20"/>
                <w:highlight w:val="black"/>
              </w:rPr>
              <w:t>''''''</w:t>
            </w:r>
            <w:r w:rsidR="00137FCE" w:rsidRPr="00E773B1">
              <w:rPr>
                <w:rFonts w:cs="Calibri"/>
                <w:color w:val="000000"/>
                <w:szCs w:val="20"/>
              </w:rPr>
              <w:t>%</w:t>
            </w:r>
          </w:p>
        </w:tc>
        <w:tc>
          <w:tcPr>
            <w:tcW w:w="1631" w:type="dxa"/>
            <w:shd w:val="clear" w:color="auto" w:fill="FFFFFF" w:themeFill="background1"/>
          </w:tcPr>
          <w:p w:rsidR="001205E8" w:rsidRPr="00E773B1" w:rsidRDefault="001205E8" w:rsidP="001205E8">
            <w:pPr>
              <w:pStyle w:val="TableText1"/>
              <w:keepLines/>
              <w:widowControl w:val="0"/>
              <w:jc w:val="center"/>
              <w:rPr>
                <w:iCs/>
              </w:rPr>
            </w:pPr>
          </w:p>
        </w:tc>
        <w:tc>
          <w:tcPr>
            <w:tcW w:w="1890" w:type="dxa"/>
            <w:shd w:val="clear" w:color="auto" w:fill="FFFFFF" w:themeFill="background1"/>
            <w:vAlign w:val="center"/>
          </w:tcPr>
          <w:p w:rsidR="001205E8" w:rsidRPr="00E773B1" w:rsidRDefault="001205E8" w:rsidP="001205E8">
            <w:pPr>
              <w:pStyle w:val="TableText1"/>
              <w:keepLines/>
              <w:widowControl w:val="0"/>
              <w:jc w:val="center"/>
            </w:pP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r>
            <w:r w:rsidRPr="00E773B1">
              <w:tab/>
              <w:t>Total</w:t>
            </w:r>
            <w:r w:rsidR="00C6344B" w:rsidRPr="00E773B1">
              <w:t xml:space="preserve"> third-line</w:t>
            </w:r>
          </w:p>
        </w:tc>
        <w:tc>
          <w:tcPr>
            <w:tcW w:w="1073" w:type="dxa"/>
            <w:shd w:val="clear" w:color="auto" w:fill="FFFFFF" w:themeFill="background1"/>
          </w:tcPr>
          <w:p w:rsidR="001205E8" w:rsidRPr="007E3667" w:rsidRDefault="007E3667" w:rsidP="001205E8">
            <w:pPr>
              <w:pStyle w:val="TableText1"/>
              <w:keepLines/>
              <w:widowControl w:val="0"/>
              <w:jc w:val="center"/>
              <w:rPr>
                <w:rFonts w:cs="Calibri"/>
                <w:color w:val="000000"/>
                <w:szCs w:val="20"/>
                <w:highlight w:val="black"/>
              </w:rPr>
            </w:pPr>
            <w:r>
              <w:rPr>
                <w:rFonts w:cs="Calibri"/>
                <w:noProof/>
                <w:color w:val="000000"/>
                <w:szCs w:val="20"/>
                <w:highlight w:val="black"/>
              </w:rPr>
              <w:t xml:space="preserve">''''''''''' </w:t>
            </w:r>
          </w:p>
        </w:tc>
        <w:tc>
          <w:tcPr>
            <w:tcW w:w="1301" w:type="dxa"/>
            <w:shd w:val="clear" w:color="auto" w:fill="FFFFFF" w:themeFill="background1"/>
          </w:tcPr>
          <w:p w:rsidR="001205E8" w:rsidRPr="007E3667" w:rsidRDefault="007E3667" w:rsidP="001205E8">
            <w:pPr>
              <w:pStyle w:val="TableText1"/>
              <w:keepLines/>
              <w:widowControl w:val="0"/>
              <w:jc w:val="center"/>
              <w:rPr>
                <w:rFonts w:cs="Calibri"/>
                <w:color w:val="000000"/>
                <w:szCs w:val="20"/>
                <w:highlight w:val="black"/>
              </w:rPr>
            </w:pPr>
            <w:r>
              <w:rPr>
                <w:rFonts w:cs="Calibri"/>
                <w:noProof/>
                <w:color w:val="000000"/>
                <w:szCs w:val="20"/>
                <w:highlight w:val="black"/>
              </w:rPr>
              <w:t>''''''''''''</w:t>
            </w:r>
          </w:p>
        </w:tc>
        <w:tc>
          <w:tcPr>
            <w:tcW w:w="1631" w:type="dxa"/>
            <w:shd w:val="clear" w:color="auto" w:fill="FFFFFF" w:themeFill="background1"/>
          </w:tcPr>
          <w:p w:rsidR="001205E8" w:rsidRPr="007E3667" w:rsidRDefault="007E3667" w:rsidP="001205E8">
            <w:pPr>
              <w:pStyle w:val="TableText1"/>
              <w:keepLines/>
              <w:widowControl w:val="0"/>
              <w:jc w:val="center"/>
              <w:rPr>
                <w:rFonts w:cs="Calibri"/>
                <w:color w:val="000000"/>
                <w:szCs w:val="20"/>
                <w:highlight w:val="black"/>
              </w:rPr>
            </w:pPr>
            <w:r>
              <w:rPr>
                <w:rFonts w:cs="Calibri"/>
                <w:noProof/>
                <w:color w:val="000000"/>
                <w:szCs w:val="20"/>
                <w:highlight w:val="black"/>
              </w:rPr>
              <w:t>''''''''''''</w:t>
            </w:r>
          </w:p>
        </w:tc>
        <w:tc>
          <w:tcPr>
            <w:tcW w:w="1890" w:type="dxa"/>
            <w:shd w:val="clear" w:color="auto" w:fill="FFFFFF" w:themeFill="background1"/>
            <w:vAlign w:val="center"/>
          </w:tcPr>
          <w:p w:rsidR="001205E8" w:rsidRPr="00E773B1" w:rsidRDefault="001205E8" w:rsidP="001205E8">
            <w:pPr>
              <w:pStyle w:val="TableText1"/>
              <w:keepLines/>
              <w:widowControl w:val="0"/>
              <w:jc w:val="center"/>
            </w:pPr>
            <w:r w:rsidRPr="00E773B1">
              <w:t>-</w:t>
            </w:r>
            <w:r w:rsidR="007E3667">
              <w:rPr>
                <w:noProof/>
                <w:color w:val="000000"/>
                <w:highlight w:val="black"/>
              </w:rPr>
              <w:t>'''''''''</w:t>
            </w:r>
            <w:r w:rsidRPr="00E773B1">
              <w:t>%</w:t>
            </w:r>
          </w:p>
        </w:tc>
      </w:tr>
      <w:tr w:rsidR="001205E8" w:rsidRPr="00CE4B09" w:rsidTr="00D91EAA">
        <w:tc>
          <w:tcPr>
            <w:tcW w:w="9192" w:type="dxa"/>
            <w:gridSpan w:val="5"/>
            <w:shd w:val="clear" w:color="auto" w:fill="FFFFFF" w:themeFill="background1"/>
            <w:vAlign w:val="center"/>
          </w:tcPr>
          <w:p w:rsidR="001205E8" w:rsidRPr="00E773B1" w:rsidRDefault="001205E8" w:rsidP="001205E8">
            <w:pPr>
              <w:pStyle w:val="TableText1"/>
              <w:keepLines/>
              <w:widowControl w:val="0"/>
              <w:rPr>
                <w:b/>
                <w:bCs/>
              </w:rPr>
            </w:pPr>
            <w:r w:rsidRPr="00E773B1">
              <w:rPr>
                <w:b/>
                <w:bCs/>
              </w:rPr>
              <w:t>Costs</w:t>
            </w:r>
          </w:p>
        </w:tc>
      </w:tr>
      <w:tr w:rsidR="001020E5" w:rsidRPr="001020E5" w:rsidTr="001020E5">
        <w:tc>
          <w:tcPr>
            <w:tcW w:w="3297" w:type="dxa"/>
            <w:shd w:val="clear" w:color="auto" w:fill="FFFFFF" w:themeFill="background1"/>
            <w:vAlign w:val="center"/>
          </w:tcPr>
          <w:p w:rsidR="001020E5" w:rsidRPr="00E773B1" w:rsidRDefault="001020E5" w:rsidP="001205E8">
            <w:pPr>
              <w:pStyle w:val="TableText1"/>
              <w:keepLines/>
              <w:widowControl w:val="0"/>
              <w:tabs>
                <w:tab w:val="left" w:pos="142"/>
              </w:tabs>
            </w:pPr>
            <w:r w:rsidRPr="00E773B1">
              <w:t>First-line, % of patients</w:t>
            </w:r>
          </w:p>
        </w:tc>
        <w:tc>
          <w:tcPr>
            <w:tcW w:w="1073" w:type="dxa"/>
            <w:shd w:val="clear" w:color="auto" w:fill="FFFFFF" w:themeFill="background1"/>
            <w:vAlign w:val="center"/>
          </w:tcPr>
          <w:p w:rsidR="001020E5" w:rsidRPr="00E773B1" w:rsidRDefault="001020E5" w:rsidP="001205E8">
            <w:pPr>
              <w:pStyle w:val="TableText1"/>
              <w:keepLines/>
              <w:widowControl w:val="0"/>
              <w:jc w:val="center"/>
              <w:rPr>
                <w:iCs/>
              </w:rPr>
            </w:pPr>
            <w:r w:rsidRPr="00E773B1">
              <w:rPr>
                <w:iCs/>
              </w:rPr>
              <w:t>100%</w:t>
            </w:r>
          </w:p>
        </w:tc>
        <w:tc>
          <w:tcPr>
            <w:tcW w:w="1301" w:type="dxa"/>
            <w:shd w:val="clear" w:color="auto" w:fill="FFFFFF" w:themeFill="background1"/>
            <w:vAlign w:val="center"/>
          </w:tcPr>
          <w:p w:rsidR="001020E5" w:rsidRPr="00E773B1" w:rsidRDefault="001020E5" w:rsidP="001205E8">
            <w:pPr>
              <w:pStyle w:val="TableText1"/>
              <w:keepLines/>
              <w:widowControl w:val="0"/>
              <w:jc w:val="center"/>
              <w:rPr>
                <w:iCs/>
              </w:rPr>
            </w:pPr>
            <w:r w:rsidRPr="00E773B1">
              <w:rPr>
                <w:iCs/>
              </w:rPr>
              <w:t>100%</w:t>
            </w:r>
          </w:p>
        </w:tc>
        <w:tc>
          <w:tcPr>
            <w:tcW w:w="1631" w:type="dxa"/>
            <w:shd w:val="clear" w:color="auto" w:fill="FFFFFF" w:themeFill="background1"/>
            <w:vAlign w:val="center"/>
          </w:tcPr>
          <w:p w:rsidR="001020E5" w:rsidRPr="00E773B1" w:rsidRDefault="001020E5" w:rsidP="001205E8">
            <w:pPr>
              <w:pStyle w:val="TableText1"/>
              <w:keepLines/>
              <w:widowControl w:val="0"/>
              <w:jc w:val="center"/>
              <w:rPr>
                <w:iCs/>
              </w:rPr>
            </w:pPr>
          </w:p>
        </w:tc>
        <w:tc>
          <w:tcPr>
            <w:tcW w:w="1890" w:type="dxa"/>
            <w:shd w:val="clear" w:color="auto" w:fill="FFFFFF" w:themeFill="background1"/>
            <w:vAlign w:val="center"/>
          </w:tcPr>
          <w:p w:rsidR="001020E5" w:rsidRPr="00E773B1" w:rsidRDefault="001020E5" w:rsidP="001205E8">
            <w:pPr>
              <w:pStyle w:val="TableText1"/>
              <w:keepLines/>
              <w:widowControl w:val="0"/>
              <w:jc w:val="center"/>
            </w:pP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FISH test</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$196</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p>
        </w:tc>
        <w:tc>
          <w:tcPr>
            <w:tcW w:w="163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$196</w:t>
            </w:r>
          </w:p>
        </w:tc>
        <w:tc>
          <w:tcPr>
            <w:tcW w:w="1890" w:type="dxa"/>
            <w:shd w:val="clear" w:color="auto" w:fill="FFFFFF" w:themeFill="background1"/>
            <w:vAlign w:val="center"/>
          </w:tcPr>
          <w:p w:rsidR="001205E8" w:rsidRPr="00E773B1" w:rsidRDefault="007E3667" w:rsidP="001205E8">
            <w:pPr>
              <w:pStyle w:val="TableText1"/>
              <w:keepLines/>
              <w:widowControl w:val="0"/>
              <w:jc w:val="center"/>
            </w:pPr>
            <w:r>
              <w:rPr>
                <w:noProof/>
                <w:color w:val="000000"/>
                <w:highlight w:val="black"/>
              </w:rPr>
              <w:t>'''''''</w:t>
            </w:r>
            <w:r w:rsidR="001205E8" w:rsidRPr="00E773B1">
              <w:t>%</w:t>
            </w: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Administration, monitoring and AE cost</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63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890" w:type="dxa"/>
            <w:shd w:val="clear" w:color="auto" w:fill="FFFFFF" w:themeFill="background1"/>
            <w:vAlign w:val="center"/>
          </w:tcPr>
          <w:p w:rsidR="001205E8" w:rsidRPr="00E773B1" w:rsidRDefault="007E3667" w:rsidP="001205E8">
            <w:pPr>
              <w:pStyle w:val="TableText1"/>
              <w:keepLines/>
              <w:widowControl w:val="0"/>
              <w:jc w:val="center"/>
            </w:pPr>
            <w:r>
              <w:rPr>
                <w:noProof/>
                <w:color w:val="000000"/>
                <w:highlight w:val="black"/>
              </w:rPr>
              <w:t>'''''''</w:t>
            </w:r>
            <w:r w:rsidR="001205E8" w:rsidRPr="00E773B1">
              <w:t>%</w:t>
            </w: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First-line drug</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631" w:type="dxa"/>
            <w:shd w:val="clear" w:color="auto" w:fill="FFFFFF" w:themeFill="background1"/>
            <w:vAlign w:val="center"/>
          </w:tcPr>
          <w:p w:rsidR="001205E8" w:rsidRPr="007E3667" w:rsidRDefault="001205E8" w:rsidP="001205E8">
            <w:pPr>
              <w:pStyle w:val="TableText1"/>
              <w:keepLines/>
              <w:widowControl w:val="0"/>
              <w:jc w:val="center"/>
              <w:rPr>
                <w:iCs/>
              </w:rPr>
            </w:pPr>
            <w:r w:rsidRPr="002B5175">
              <w:rPr>
                <w:iCs/>
              </w:rPr>
              <w:t>$</w:t>
            </w:r>
            <w:r w:rsidR="007E3667">
              <w:rPr>
                <w:iCs/>
                <w:noProof/>
                <w:color w:val="000000"/>
                <w:highlight w:val="black"/>
              </w:rPr>
              <w:t>'''''''''''''''''''</w:t>
            </w:r>
          </w:p>
        </w:tc>
        <w:tc>
          <w:tcPr>
            <w:tcW w:w="1890" w:type="dxa"/>
            <w:shd w:val="clear" w:color="auto" w:fill="FFFFFF" w:themeFill="background1"/>
            <w:vAlign w:val="center"/>
          </w:tcPr>
          <w:p w:rsidR="001205E8" w:rsidRPr="007E3667" w:rsidRDefault="007E3667" w:rsidP="001205E8">
            <w:pPr>
              <w:pStyle w:val="TableText1"/>
              <w:keepLines/>
              <w:widowControl w:val="0"/>
              <w:jc w:val="center"/>
            </w:pPr>
            <w:r>
              <w:rPr>
                <w:noProof/>
                <w:color w:val="000000"/>
                <w:highlight w:val="black"/>
              </w:rPr>
              <w:t>''''''''''''</w:t>
            </w:r>
            <w:r w:rsidR="001205E8" w:rsidRPr="002B5175">
              <w:t>%</w:t>
            </w: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Total first-line</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631" w:type="dxa"/>
            <w:shd w:val="clear" w:color="auto" w:fill="FFFFFF" w:themeFill="background1"/>
            <w:vAlign w:val="center"/>
          </w:tcPr>
          <w:p w:rsidR="001205E8" w:rsidRPr="007E3667" w:rsidRDefault="001205E8" w:rsidP="001205E8">
            <w:pPr>
              <w:pStyle w:val="TableText1"/>
              <w:keepLines/>
              <w:widowControl w:val="0"/>
              <w:jc w:val="center"/>
              <w:rPr>
                <w:iCs/>
              </w:rPr>
            </w:pPr>
            <w:r w:rsidRPr="002B5175">
              <w:rPr>
                <w:iCs/>
              </w:rPr>
              <w:t>$</w:t>
            </w:r>
            <w:r w:rsidR="007E3667">
              <w:rPr>
                <w:iCs/>
                <w:noProof/>
                <w:color w:val="000000"/>
                <w:highlight w:val="black"/>
              </w:rPr>
              <w:t>'''''''''''''''''''</w:t>
            </w:r>
          </w:p>
        </w:tc>
        <w:tc>
          <w:tcPr>
            <w:tcW w:w="1890" w:type="dxa"/>
            <w:shd w:val="clear" w:color="auto" w:fill="FFFFFF" w:themeFill="background1"/>
            <w:vAlign w:val="center"/>
          </w:tcPr>
          <w:p w:rsidR="001205E8" w:rsidRPr="007E3667" w:rsidRDefault="007E3667" w:rsidP="001205E8">
            <w:pPr>
              <w:pStyle w:val="TableText1"/>
              <w:keepLines/>
              <w:widowControl w:val="0"/>
              <w:jc w:val="center"/>
            </w:pPr>
            <w:r>
              <w:rPr>
                <w:noProof/>
                <w:color w:val="000000"/>
                <w:highlight w:val="black"/>
              </w:rPr>
              <w:t>'''''''''''''''</w:t>
            </w:r>
            <w:r w:rsidR="001205E8" w:rsidRPr="002B5175">
              <w:t>%</w:t>
            </w:r>
          </w:p>
        </w:tc>
      </w:tr>
      <w:tr w:rsidR="001020E5" w:rsidRPr="001020E5" w:rsidTr="001020E5">
        <w:tc>
          <w:tcPr>
            <w:tcW w:w="3297" w:type="dxa"/>
            <w:shd w:val="clear" w:color="auto" w:fill="FFFFFF" w:themeFill="background1"/>
            <w:vAlign w:val="center"/>
          </w:tcPr>
          <w:p w:rsidR="001020E5" w:rsidRPr="00E773B1" w:rsidRDefault="001020E5" w:rsidP="001205E8">
            <w:pPr>
              <w:pStyle w:val="TableText1"/>
              <w:keepLines/>
              <w:widowControl w:val="0"/>
              <w:tabs>
                <w:tab w:val="left" w:pos="142"/>
              </w:tabs>
            </w:pPr>
            <w:r w:rsidRPr="00E773B1">
              <w:t>Second-line, % of patients</w:t>
            </w:r>
          </w:p>
        </w:tc>
        <w:tc>
          <w:tcPr>
            <w:tcW w:w="1073" w:type="dxa"/>
            <w:shd w:val="clear" w:color="auto" w:fill="FFFFFF" w:themeFill="background1"/>
            <w:vAlign w:val="center"/>
          </w:tcPr>
          <w:p w:rsidR="001020E5" w:rsidRPr="00E773B1" w:rsidRDefault="007E3667" w:rsidP="001205E8">
            <w:pPr>
              <w:pStyle w:val="TableText1"/>
              <w:keepLines/>
              <w:widowControl w:val="0"/>
              <w:jc w:val="center"/>
              <w:rPr>
                <w:iCs/>
              </w:rPr>
            </w:pPr>
            <w:r>
              <w:rPr>
                <w:iCs/>
                <w:noProof/>
                <w:color w:val="000000"/>
                <w:highlight w:val="black"/>
              </w:rPr>
              <w:t>'''''</w:t>
            </w:r>
            <w:r w:rsidR="001020E5" w:rsidRPr="00E773B1">
              <w:rPr>
                <w:iCs/>
              </w:rPr>
              <w:t>%</w:t>
            </w:r>
          </w:p>
        </w:tc>
        <w:tc>
          <w:tcPr>
            <w:tcW w:w="1301" w:type="dxa"/>
            <w:shd w:val="clear" w:color="auto" w:fill="FFFFFF" w:themeFill="background1"/>
            <w:vAlign w:val="center"/>
          </w:tcPr>
          <w:p w:rsidR="001020E5" w:rsidRPr="00E773B1" w:rsidRDefault="007E3667" w:rsidP="001205E8">
            <w:pPr>
              <w:pStyle w:val="TableText1"/>
              <w:keepLines/>
              <w:widowControl w:val="0"/>
              <w:jc w:val="center"/>
              <w:rPr>
                <w:iCs/>
              </w:rPr>
            </w:pPr>
            <w:r>
              <w:rPr>
                <w:iCs/>
                <w:noProof/>
                <w:color w:val="000000"/>
                <w:highlight w:val="black"/>
              </w:rPr>
              <w:t>''''''</w:t>
            </w:r>
            <w:r w:rsidR="001020E5" w:rsidRPr="00E773B1">
              <w:rPr>
                <w:iCs/>
              </w:rPr>
              <w:t>%</w:t>
            </w:r>
          </w:p>
        </w:tc>
        <w:tc>
          <w:tcPr>
            <w:tcW w:w="1631" w:type="dxa"/>
            <w:shd w:val="clear" w:color="auto" w:fill="FFFFFF" w:themeFill="background1"/>
            <w:vAlign w:val="center"/>
          </w:tcPr>
          <w:p w:rsidR="001020E5" w:rsidRPr="00E773B1" w:rsidRDefault="001020E5" w:rsidP="001205E8">
            <w:pPr>
              <w:pStyle w:val="TableText1"/>
              <w:keepLines/>
              <w:widowControl w:val="0"/>
              <w:jc w:val="center"/>
              <w:rPr>
                <w:iCs/>
              </w:rPr>
            </w:pPr>
          </w:p>
        </w:tc>
        <w:tc>
          <w:tcPr>
            <w:tcW w:w="1890" w:type="dxa"/>
            <w:shd w:val="clear" w:color="auto" w:fill="FFFFFF" w:themeFill="background1"/>
            <w:vAlign w:val="center"/>
          </w:tcPr>
          <w:p w:rsidR="001020E5" w:rsidRPr="00E773B1" w:rsidRDefault="001020E5" w:rsidP="001205E8">
            <w:pPr>
              <w:pStyle w:val="TableText1"/>
              <w:keepLines/>
              <w:widowControl w:val="0"/>
              <w:jc w:val="center"/>
            </w:pP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Administration</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p>
        </w:tc>
        <w:tc>
          <w:tcPr>
            <w:tcW w:w="163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890" w:type="dxa"/>
            <w:shd w:val="clear" w:color="auto" w:fill="FFFFFF" w:themeFill="background1"/>
            <w:vAlign w:val="center"/>
          </w:tcPr>
          <w:p w:rsidR="001205E8" w:rsidRPr="00E773B1" w:rsidRDefault="007E3667" w:rsidP="001205E8">
            <w:pPr>
              <w:pStyle w:val="TableText1"/>
              <w:keepLines/>
              <w:widowControl w:val="0"/>
              <w:jc w:val="center"/>
            </w:pPr>
            <w:r>
              <w:rPr>
                <w:noProof/>
                <w:color w:val="000000"/>
                <w:highlight w:val="black"/>
              </w:rPr>
              <w:t>'''''''''</w:t>
            </w:r>
            <w:r w:rsidR="001205E8" w:rsidRPr="00E773B1">
              <w:t>%</w:t>
            </w:r>
          </w:p>
        </w:tc>
      </w:tr>
      <w:tr w:rsidR="001205E8" w:rsidRPr="00191D2B"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Second-line drug</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631" w:type="dxa"/>
            <w:shd w:val="clear" w:color="auto" w:fill="FFFFFF" w:themeFill="background1"/>
            <w:vAlign w:val="center"/>
          </w:tcPr>
          <w:p w:rsidR="001205E8" w:rsidRPr="00E773B1" w:rsidRDefault="001205E8" w:rsidP="001205E8">
            <w:pPr>
              <w:pStyle w:val="TableText1"/>
              <w:keepLines/>
              <w:widowControl w:val="0"/>
              <w:jc w:val="center"/>
              <w:rPr>
                <w:iCs/>
              </w:rPr>
            </w:pPr>
            <w:r w:rsidRPr="002B5175">
              <w:rPr>
                <w:iCs/>
              </w:rPr>
              <w:t>-$</w:t>
            </w:r>
            <w:r w:rsidR="007E3667">
              <w:rPr>
                <w:iCs/>
                <w:noProof/>
                <w:color w:val="000000"/>
                <w:highlight w:val="black"/>
              </w:rPr>
              <w:t>''''''''''''''''''</w:t>
            </w:r>
          </w:p>
        </w:tc>
        <w:tc>
          <w:tcPr>
            <w:tcW w:w="1890" w:type="dxa"/>
            <w:shd w:val="clear" w:color="auto" w:fill="FFFFFF" w:themeFill="background1"/>
            <w:vAlign w:val="center"/>
          </w:tcPr>
          <w:p w:rsidR="001205E8" w:rsidRPr="007E3667" w:rsidRDefault="001205E8" w:rsidP="001205E8">
            <w:pPr>
              <w:pStyle w:val="TableText1"/>
              <w:keepLines/>
              <w:widowControl w:val="0"/>
              <w:jc w:val="center"/>
            </w:pPr>
            <w:r w:rsidRPr="002B5175">
              <w:t>-</w:t>
            </w:r>
            <w:r w:rsidR="007E3667">
              <w:rPr>
                <w:noProof/>
                <w:color w:val="000000"/>
                <w:highlight w:val="black"/>
              </w:rPr>
              <w:t>''''''''''''''</w:t>
            </w:r>
            <w:r w:rsidRPr="002B5175">
              <w:t>%</w:t>
            </w: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Total second-line</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631" w:type="dxa"/>
            <w:shd w:val="clear" w:color="auto" w:fill="FFFFFF" w:themeFill="background1"/>
            <w:vAlign w:val="center"/>
          </w:tcPr>
          <w:p w:rsidR="001205E8" w:rsidRPr="00E773B1" w:rsidRDefault="001205E8" w:rsidP="001205E8">
            <w:pPr>
              <w:pStyle w:val="TableText1"/>
              <w:keepLines/>
              <w:widowControl w:val="0"/>
              <w:jc w:val="center"/>
              <w:rPr>
                <w:iCs/>
              </w:rPr>
            </w:pPr>
            <w:r w:rsidRPr="008E3F56">
              <w:rPr>
                <w:iCs/>
              </w:rPr>
              <w:t>-$</w:t>
            </w:r>
            <w:r w:rsidR="007E3667">
              <w:rPr>
                <w:iCs/>
                <w:noProof/>
                <w:color w:val="000000"/>
                <w:highlight w:val="black"/>
              </w:rPr>
              <w:t>'''''''''''''''</w:t>
            </w:r>
          </w:p>
        </w:tc>
        <w:tc>
          <w:tcPr>
            <w:tcW w:w="1890" w:type="dxa"/>
            <w:shd w:val="clear" w:color="auto" w:fill="FFFFFF" w:themeFill="background1"/>
            <w:vAlign w:val="center"/>
          </w:tcPr>
          <w:p w:rsidR="001205E8" w:rsidRPr="007E3667" w:rsidRDefault="001205E8" w:rsidP="001205E8">
            <w:pPr>
              <w:pStyle w:val="TableText1"/>
              <w:keepLines/>
              <w:widowControl w:val="0"/>
              <w:jc w:val="center"/>
            </w:pPr>
            <w:r w:rsidRPr="002B5175">
              <w:t>-</w:t>
            </w:r>
            <w:r w:rsidR="007E3667">
              <w:rPr>
                <w:noProof/>
                <w:color w:val="000000"/>
                <w:highlight w:val="black"/>
              </w:rPr>
              <w:t>'''''''''''''''''</w:t>
            </w:r>
          </w:p>
        </w:tc>
      </w:tr>
      <w:tr w:rsidR="001020E5" w:rsidRPr="001020E5" w:rsidTr="001020E5">
        <w:tc>
          <w:tcPr>
            <w:tcW w:w="3297" w:type="dxa"/>
            <w:shd w:val="clear" w:color="auto" w:fill="FFFFFF" w:themeFill="background1"/>
            <w:vAlign w:val="center"/>
          </w:tcPr>
          <w:p w:rsidR="001020E5" w:rsidRPr="00E773B1" w:rsidRDefault="001020E5" w:rsidP="001205E8">
            <w:pPr>
              <w:pStyle w:val="TableText1"/>
              <w:keepLines/>
              <w:widowControl w:val="0"/>
              <w:tabs>
                <w:tab w:val="left" w:pos="142"/>
              </w:tabs>
            </w:pPr>
            <w:r w:rsidRPr="00E773B1">
              <w:t>Third-line, % of patients</w:t>
            </w:r>
          </w:p>
        </w:tc>
        <w:tc>
          <w:tcPr>
            <w:tcW w:w="1073" w:type="dxa"/>
            <w:shd w:val="clear" w:color="auto" w:fill="FFFFFF" w:themeFill="background1"/>
            <w:vAlign w:val="center"/>
          </w:tcPr>
          <w:p w:rsidR="001020E5" w:rsidRPr="00E773B1" w:rsidRDefault="007E3667" w:rsidP="001205E8">
            <w:pPr>
              <w:pStyle w:val="TableText1"/>
              <w:keepLines/>
              <w:widowControl w:val="0"/>
              <w:jc w:val="center"/>
              <w:rPr>
                <w:iCs/>
              </w:rPr>
            </w:pPr>
            <w:r>
              <w:rPr>
                <w:iCs/>
                <w:noProof/>
                <w:color w:val="000000"/>
                <w:highlight w:val="black"/>
              </w:rPr>
              <w:t>''''''</w:t>
            </w:r>
            <w:r w:rsidR="001020E5" w:rsidRPr="00E773B1">
              <w:rPr>
                <w:iCs/>
              </w:rPr>
              <w:t>%</w:t>
            </w:r>
          </w:p>
        </w:tc>
        <w:tc>
          <w:tcPr>
            <w:tcW w:w="1301" w:type="dxa"/>
            <w:shd w:val="clear" w:color="auto" w:fill="FFFFFF" w:themeFill="background1"/>
            <w:vAlign w:val="center"/>
          </w:tcPr>
          <w:p w:rsidR="001020E5" w:rsidRPr="00E773B1" w:rsidRDefault="007E3667" w:rsidP="001205E8">
            <w:pPr>
              <w:pStyle w:val="TableText1"/>
              <w:keepLines/>
              <w:widowControl w:val="0"/>
              <w:jc w:val="center"/>
              <w:rPr>
                <w:iCs/>
              </w:rPr>
            </w:pPr>
            <w:r>
              <w:rPr>
                <w:iCs/>
                <w:noProof/>
                <w:color w:val="000000"/>
                <w:highlight w:val="black"/>
              </w:rPr>
              <w:t>''''''</w:t>
            </w:r>
            <w:r w:rsidR="001020E5" w:rsidRPr="00E773B1">
              <w:rPr>
                <w:iCs/>
              </w:rPr>
              <w:t>%</w:t>
            </w:r>
          </w:p>
        </w:tc>
        <w:tc>
          <w:tcPr>
            <w:tcW w:w="1631" w:type="dxa"/>
            <w:shd w:val="clear" w:color="auto" w:fill="FFFFFF" w:themeFill="background1"/>
            <w:vAlign w:val="center"/>
          </w:tcPr>
          <w:p w:rsidR="001020E5" w:rsidRPr="00E773B1" w:rsidRDefault="001020E5" w:rsidP="001205E8">
            <w:pPr>
              <w:pStyle w:val="TableText1"/>
              <w:keepLines/>
              <w:widowControl w:val="0"/>
              <w:jc w:val="center"/>
              <w:rPr>
                <w:iCs/>
              </w:rPr>
            </w:pPr>
          </w:p>
        </w:tc>
        <w:tc>
          <w:tcPr>
            <w:tcW w:w="1890" w:type="dxa"/>
            <w:shd w:val="clear" w:color="auto" w:fill="FFFFFF" w:themeFill="background1"/>
            <w:vAlign w:val="center"/>
          </w:tcPr>
          <w:p w:rsidR="001020E5" w:rsidRPr="00E773B1" w:rsidRDefault="001020E5" w:rsidP="001205E8">
            <w:pPr>
              <w:pStyle w:val="TableText1"/>
              <w:keepLines/>
              <w:widowControl w:val="0"/>
              <w:jc w:val="center"/>
            </w:pP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Administration</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63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890" w:type="dxa"/>
            <w:shd w:val="clear" w:color="auto" w:fill="FFFFFF" w:themeFill="background1"/>
            <w:vAlign w:val="center"/>
          </w:tcPr>
          <w:p w:rsidR="001205E8" w:rsidRPr="00E773B1" w:rsidRDefault="001205E8" w:rsidP="001205E8">
            <w:pPr>
              <w:pStyle w:val="TableText1"/>
              <w:keepLines/>
              <w:widowControl w:val="0"/>
              <w:jc w:val="center"/>
            </w:pPr>
            <w:r w:rsidRPr="00E773B1">
              <w:t>-</w:t>
            </w:r>
            <w:r w:rsidR="007E3667">
              <w:rPr>
                <w:noProof/>
                <w:color w:val="000000"/>
                <w:highlight w:val="black"/>
              </w:rPr>
              <w:t>'''''''''</w:t>
            </w:r>
            <w:r w:rsidRPr="00E773B1">
              <w:t>%</w:t>
            </w: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Third-line drug</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631" w:type="dxa"/>
            <w:shd w:val="clear" w:color="auto" w:fill="FFFFFF" w:themeFill="background1"/>
            <w:vAlign w:val="center"/>
          </w:tcPr>
          <w:p w:rsidR="001205E8" w:rsidRPr="007E3667" w:rsidRDefault="001205E8" w:rsidP="001205E8">
            <w:pPr>
              <w:pStyle w:val="TableText1"/>
              <w:keepLines/>
              <w:widowControl w:val="0"/>
              <w:jc w:val="center"/>
              <w:rPr>
                <w:iCs/>
              </w:rPr>
            </w:pPr>
            <w:r w:rsidRPr="002B5175">
              <w:rPr>
                <w:iCs/>
              </w:rPr>
              <w:t>-$</w:t>
            </w:r>
            <w:r w:rsidR="007E3667">
              <w:rPr>
                <w:iCs/>
                <w:noProof/>
                <w:color w:val="000000"/>
                <w:highlight w:val="black"/>
              </w:rPr>
              <w:t>'''''''''''''''</w:t>
            </w:r>
          </w:p>
        </w:tc>
        <w:tc>
          <w:tcPr>
            <w:tcW w:w="1890" w:type="dxa"/>
            <w:shd w:val="clear" w:color="auto" w:fill="FFFFFF" w:themeFill="background1"/>
            <w:vAlign w:val="center"/>
          </w:tcPr>
          <w:p w:rsidR="001205E8" w:rsidRPr="007E3667" w:rsidRDefault="001205E8" w:rsidP="001205E8">
            <w:pPr>
              <w:pStyle w:val="TableText1"/>
              <w:keepLines/>
              <w:widowControl w:val="0"/>
              <w:jc w:val="center"/>
            </w:pPr>
            <w:r w:rsidRPr="002B5175">
              <w:t>-</w:t>
            </w:r>
            <w:r w:rsidR="007E3667">
              <w:rPr>
                <w:noProof/>
                <w:color w:val="000000"/>
                <w:highlight w:val="black"/>
              </w:rPr>
              <w:t>'''''''''''''</w:t>
            </w:r>
            <w:r w:rsidRPr="002B5175">
              <w:t>%</w:t>
            </w:r>
          </w:p>
        </w:tc>
      </w:tr>
      <w:tr w:rsidR="001205E8"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ab/>
              <w:t>Total third-line</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631" w:type="dxa"/>
            <w:shd w:val="clear" w:color="auto" w:fill="FFFFFF" w:themeFill="background1"/>
            <w:vAlign w:val="center"/>
          </w:tcPr>
          <w:p w:rsidR="001205E8" w:rsidRPr="007E3667" w:rsidRDefault="001205E8" w:rsidP="001205E8">
            <w:pPr>
              <w:pStyle w:val="TableText1"/>
              <w:keepLines/>
              <w:widowControl w:val="0"/>
              <w:jc w:val="center"/>
              <w:rPr>
                <w:iCs/>
              </w:rPr>
            </w:pPr>
            <w:r w:rsidRPr="002B5175">
              <w:rPr>
                <w:iCs/>
              </w:rPr>
              <w:t>-$</w:t>
            </w:r>
            <w:r w:rsidR="007E3667">
              <w:rPr>
                <w:iCs/>
                <w:noProof/>
                <w:color w:val="000000"/>
                <w:highlight w:val="black"/>
              </w:rPr>
              <w:t>'''''''''''''''''</w:t>
            </w:r>
          </w:p>
        </w:tc>
        <w:tc>
          <w:tcPr>
            <w:tcW w:w="1890" w:type="dxa"/>
            <w:shd w:val="clear" w:color="auto" w:fill="FFFFFF" w:themeFill="background1"/>
            <w:vAlign w:val="center"/>
          </w:tcPr>
          <w:p w:rsidR="001205E8" w:rsidRPr="007E3667" w:rsidRDefault="001205E8" w:rsidP="001205E8">
            <w:pPr>
              <w:pStyle w:val="TableText1"/>
              <w:keepLines/>
              <w:widowControl w:val="0"/>
              <w:jc w:val="center"/>
            </w:pPr>
            <w:r w:rsidRPr="002B5175">
              <w:t>-</w:t>
            </w:r>
            <w:r w:rsidR="007E3667">
              <w:rPr>
                <w:noProof/>
                <w:color w:val="000000"/>
                <w:highlight w:val="black"/>
              </w:rPr>
              <w:t>'''''''''''</w:t>
            </w:r>
            <w:r w:rsidRPr="002B5175">
              <w:t>%</w:t>
            </w:r>
          </w:p>
        </w:tc>
      </w:tr>
      <w:tr w:rsidR="001205E8" w:rsidRPr="00191D2B" w:rsidTr="001020E5">
        <w:tc>
          <w:tcPr>
            <w:tcW w:w="3297" w:type="dxa"/>
            <w:shd w:val="clear" w:color="auto" w:fill="FFFFFF" w:themeFill="background1"/>
            <w:vAlign w:val="center"/>
          </w:tcPr>
          <w:p w:rsidR="001205E8" w:rsidRPr="00E773B1" w:rsidRDefault="001205E8" w:rsidP="001205E8">
            <w:pPr>
              <w:pStyle w:val="TableText1"/>
              <w:keepLines/>
              <w:widowControl w:val="0"/>
              <w:tabs>
                <w:tab w:val="left" w:pos="142"/>
              </w:tabs>
            </w:pPr>
            <w:r w:rsidRPr="00E773B1">
              <w:t>Total</w:t>
            </w:r>
          </w:p>
        </w:tc>
        <w:tc>
          <w:tcPr>
            <w:tcW w:w="1073"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301" w:type="dxa"/>
            <w:shd w:val="clear" w:color="auto" w:fill="FFFFFF" w:themeFill="background1"/>
            <w:vAlign w:val="center"/>
          </w:tcPr>
          <w:p w:rsidR="001205E8" w:rsidRPr="00E773B1" w:rsidRDefault="001205E8" w:rsidP="001205E8">
            <w:pPr>
              <w:pStyle w:val="TableText1"/>
              <w:keepLines/>
              <w:widowControl w:val="0"/>
              <w:jc w:val="center"/>
              <w:rPr>
                <w:iCs/>
              </w:rPr>
            </w:pPr>
            <w:r w:rsidRPr="00E773B1">
              <w:rPr>
                <w:iCs/>
              </w:rPr>
              <w:t>$</w:t>
            </w:r>
            <w:r w:rsidR="007E3667">
              <w:rPr>
                <w:iCs/>
                <w:noProof/>
                <w:color w:val="000000"/>
                <w:highlight w:val="black"/>
              </w:rPr>
              <w:t>'''''''''''''''''''''</w:t>
            </w:r>
          </w:p>
        </w:tc>
        <w:tc>
          <w:tcPr>
            <w:tcW w:w="1631" w:type="dxa"/>
            <w:shd w:val="clear" w:color="auto" w:fill="FFFFFF" w:themeFill="background1"/>
            <w:vAlign w:val="center"/>
          </w:tcPr>
          <w:p w:rsidR="001205E8" w:rsidRPr="007E3667" w:rsidRDefault="001205E8" w:rsidP="001205E8">
            <w:pPr>
              <w:pStyle w:val="TableText1"/>
              <w:keepLines/>
              <w:widowControl w:val="0"/>
              <w:jc w:val="center"/>
              <w:rPr>
                <w:iCs/>
              </w:rPr>
            </w:pPr>
            <w:r w:rsidRPr="002B5175">
              <w:rPr>
                <w:iCs/>
              </w:rPr>
              <w:t>$</w:t>
            </w:r>
            <w:r w:rsidR="007E3667">
              <w:rPr>
                <w:iCs/>
                <w:noProof/>
                <w:color w:val="000000"/>
                <w:highlight w:val="black"/>
              </w:rPr>
              <w:t>''''''''''''''''</w:t>
            </w:r>
          </w:p>
        </w:tc>
        <w:tc>
          <w:tcPr>
            <w:tcW w:w="1890" w:type="dxa"/>
            <w:shd w:val="clear" w:color="auto" w:fill="FFFFFF" w:themeFill="background1"/>
            <w:vAlign w:val="center"/>
          </w:tcPr>
          <w:p w:rsidR="001205E8" w:rsidRPr="007E3667" w:rsidRDefault="007E3667" w:rsidP="001205E8">
            <w:pPr>
              <w:pStyle w:val="TableText1"/>
              <w:keepLines/>
              <w:widowControl w:val="0"/>
              <w:jc w:val="center"/>
              <w:rPr>
                <w:highlight w:val="black"/>
              </w:rPr>
            </w:pPr>
            <w:r>
              <w:rPr>
                <w:noProof/>
                <w:color w:val="000000"/>
                <w:highlight w:val="black"/>
              </w:rPr>
              <w:t>''</w:t>
            </w:r>
          </w:p>
        </w:tc>
      </w:tr>
    </w:tbl>
    <w:p w:rsidR="004A1489" w:rsidRPr="007123F7" w:rsidRDefault="004A1489" w:rsidP="00F863C2">
      <w:pPr>
        <w:pStyle w:val="TableFooter"/>
        <w:keepNext/>
        <w:keepLines/>
        <w:tabs>
          <w:tab w:val="left" w:pos="142"/>
        </w:tabs>
      </w:pPr>
      <w:proofErr w:type="gramStart"/>
      <w:r>
        <w:rPr>
          <w:vertAlign w:val="superscript"/>
        </w:rPr>
        <w:t>a</w:t>
      </w:r>
      <w:proofErr w:type="gramEnd"/>
      <w:r w:rsidRPr="007123F7">
        <w:rPr>
          <w:vertAlign w:val="superscript"/>
        </w:rPr>
        <w:tab/>
      </w:r>
      <w:r w:rsidRPr="007123F7">
        <w:t>Pe</w:t>
      </w:r>
      <w:r>
        <w:t>rcentages may not add exactly t</w:t>
      </w:r>
      <w:r w:rsidRPr="007123F7">
        <w:t>o 100 due to rounding.</w:t>
      </w:r>
    </w:p>
    <w:p w:rsidR="004A1489" w:rsidRDefault="004A1489" w:rsidP="00F863C2">
      <w:pPr>
        <w:pStyle w:val="TableFooter"/>
        <w:keepNext/>
        <w:keepLines/>
      </w:pPr>
      <w:proofErr w:type="spellStart"/>
      <w:proofErr w:type="gramStart"/>
      <w:r>
        <w:t>chl</w:t>
      </w:r>
      <w:proofErr w:type="spellEnd"/>
      <w:r>
        <w:t>=</w:t>
      </w:r>
      <w:proofErr w:type="spellStart"/>
      <w:proofErr w:type="gramEnd"/>
      <w:r>
        <w:t>chlorambucil</w:t>
      </w:r>
      <w:proofErr w:type="spellEnd"/>
      <w:r>
        <w:t>; obi=</w:t>
      </w:r>
      <w:proofErr w:type="spellStart"/>
      <w:r>
        <w:t>obinutuzumab</w:t>
      </w:r>
      <w:proofErr w:type="spellEnd"/>
    </w:p>
    <w:p w:rsidR="004A1489" w:rsidRDefault="004A1489" w:rsidP="00F863C2">
      <w:pPr>
        <w:pStyle w:val="TableFooter"/>
        <w:keepNext/>
        <w:keepLines/>
      </w:pPr>
      <w:r w:rsidRPr="006C5C57">
        <w:t>Source: Excel workbook ‘</w:t>
      </w:r>
      <w:r>
        <w:t>Attachment 3.2.1_cost utility model ibrutinib del17p_Final’, worksheet ‘IBR engine_del17p’; worksheet ‘OBI_CLB engine_del17p</w:t>
      </w:r>
      <w:r w:rsidRPr="006C5C57">
        <w:t>’</w:t>
      </w:r>
      <w:r>
        <w:t>; worksheet ‘Key Inputs &amp; Results’ provided with the resubmission.</w:t>
      </w:r>
    </w:p>
    <w:p w:rsidR="004A1489" w:rsidRPr="00A77B6A" w:rsidRDefault="004A1489" w:rsidP="004A1489"/>
    <w:p w:rsidR="004A1489" w:rsidRPr="00EB5599" w:rsidRDefault="004D5BA1" w:rsidP="00B2597F">
      <w:pPr>
        <w:pStyle w:val="ListParagraph"/>
        <w:numPr>
          <w:ilvl w:val="1"/>
          <w:numId w:val="1"/>
        </w:numPr>
      </w:pPr>
      <w:r>
        <w:rPr>
          <w:iCs/>
        </w:rPr>
        <w:t xml:space="preserve">The increase in QALYs with the first line treatment is </w:t>
      </w:r>
      <w:r w:rsidRPr="00822BBD">
        <w:rPr>
          <w:iCs/>
        </w:rPr>
        <w:t>substantial (</w:t>
      </w:r>
      <w:r w:rsidR="007E3667">
        <w:rPr>
          <w:iCs/>
          <w:noProof/>
          <w:color w:val="000000"/>
          <w:highlight w:val="black"/>
        </w:rPr>
        <w:t>''''''''</w:t>
      </w:r>
      <w:r w:rsidRPr="00822BBD">
        <w:rPr>
          <w:iCs/>
        </w:rPr>
        <w:t>). This</w:t>
      </w:r>
      <w:r>
        <w:rPr>
          <w:iCs/>
        </w:rPr>
        <w:t xml:space="preserve"> is offset by a reduction in QALYs in the second (</w:t>
      </w:r>
      <w:r w:rsidR="007E3667">
        <w:rPr>
          <w:iCs/>
          <w:noProof/>
          <w:color w:val="000000"/>
          <w:highlight w:val="black"/>
        </w:rPr>
        <w:t>''''''''</w:t>
      </w:r>
      <w:r>
        <w:rPr>
          <w:iCs/>
        </w:rPr>
        <w:t>) and third (</w:t>
      </w:r>
      <w:r w:rsidR="007E3667">
        <w:rPr>
          <w:iCs/>
          <w:noProof/>
          <w:color w:val="000000"/>
          <w:highlight w:val="black"/>
        </w:rPr>
        <w:t>''''''''</w:t>
      </w:r>
      <w:r>
        <w:rPr>
          <w:iCs/>
        </w:rPr>
        <w:t xml:space="preserve">) treatment lines reflecting that with first line ibrutinib fewer patients are </w:t>
      </w:r>
      <w:r w:rsidR="00CF31C0">
        <w:rPr>
          <w:iCs/>
        </w:rPr>
        <w:t xml:space="preserve">subsequently </w:t>
      </w:r>
      <w:r>
        <w:rPr>
          <w:iCs/>
        </w:rPr>
        <w:t>treated with second and thir</w:t>
      </w:r>
      <w:r w:rsidR="00EE1E14">
        <w:rPr>
          <w:iCs/>
        </w:rPr>
        <w:t>d</w:t>
      </w:r>
      <w:r>
        <w:rPr>
          <w:iCs/>
        </w:rPr>
        <w:t xml:space="preserve"> line treatments.</w:t>
      </w:r>
    </w:p>
    <w:p w:rsidR="00443F2D" w:rsidRPr="00E773B1" w:rsidRDefault="004A1489" w:rsidP="00B2597F">
      <w:pPr>
        <w:pStyle w:val="ListParagraph"/>
        <w:numPr>
          <w:ilvl w:val="1"/>
          <w:numId w:val="1"/>
        </w:numPr>
      </w:pPr>
      <w:r w:rsidRPr="00E773B1">
        <w:rPr>
          <w:iCs/>
        </w:rPr>
        <w:t xml:space="preserve">The </w:t>
      </w:r>
      <w:r w:rsidR="00445785" w:rsidRPr="00E773B1">
        <w:rPr>
          <w:iCs/>
        </w:rPr>
        <w:t xml:space="preserve">ESC </w:t>
      </w:r>
      <w:r w:rsidR="009A1282" w:rsidRPr="00E773B1">
        <w:rPr>
          <w:iCs/>
        </w:rPr>
        <w:t>noted</w:t>
      </w:r>
      <w:r w:rsidRPr="00E773B1">
        <w:rPr>
          <w:iCs/>
        </w:rPr>
        <w:t xml:space="preserve"> that </w:t>
      </w:r>
      <w:r w:rsidR="009A1282" w:rsidRPr="00E773B1">
        <w:rPr>
          <w:iCs/>
        </w:rPr>
        <w:t xml:space="preserve">the cost of </w:t>
      </w:r>
      <w:r w:rsidRPr="00E773B1">
        <w:rPr>
          <w:iCs/>
        </w:rPr>
        <w:t>first</w:t>
      </w:r>
      <w:r w:rsidR="00443F2D" w:rsidRPr="00E773B1">
        <w:rPr>
          <w:iCs/>
        </w:rPr>
        <w:t>-</w:t>
      </w:r>
      <w:r w:rsidRPr="00E773B1">
        <w:rPr>
          <w:iCs/>
        </w:rPr>
        <w:t xml:space="preserve">line </w:t>
      </w:r>
      <w:r w:rsidR="00443F2D" w:rsidRPr="00E773B1">
        <w:rPr>
          <w:iCs/>
        </w:rPr>
        <w:t>ibrutinib</w:t>
      </w:r>
      <w:r w:rsidRPr="00E773B1">
        <w:rPr>
          <w:iCs/>
        </w:rPr>
        <w:t xml:space="preserve"> treatment </w:t>
      </w:r>
      <w:r w:rsidR="009A1282" w:rsidRPr="00E773B1">
        <w:rPr>
          <w:iCs/>
        </w:rPr>
        <w:t>($</w:t>
      </w:r>
      <w:r w:rsidR="007E3667">
        <w:rPr>
          <w:iCs/>
          <w:noProof/>
          <w:color w:val="000000"/>
          <w:highlight w:val="black"/>
        </w:rPr>
        <w:t>''''''''''''''</w:t>
      </w:r>
      <w:r w:rsidR="009A1282" w:rsidRPr="00E773B1">
        <w:rPr>
          <w:iCs/>
        </w:rPr>
        <w:t>)</w:t>
      </w:r>
      <w:r w:rsidR="00C6344B" w:rsidRPr="00E773B1">
        <w:rPr>
          <w:iCs/>
        </w:rPr>
        <w:t xml:space="preserve"> </w:t>
      </w:r>
      <w:r w:rsidRPr="00E773B1">
        <w:rPr>
          <w:iCs/>
        </w:rPr>
        <w:t xml:space="preserve">is </w:t>
      </w:r>
      <w:r w:rsidR="00443F2D" w:rsidRPr="00E773B1">
        <w:rPr>
          <w:iCs/>
        </w:rPr>
        <w:t xml:space="preserve">offset to a considerable degree by </w:t>
      </w:r>
      <w:r w:rsidR="009A1282" w:rsidRPr="00E773B1">
        <w:rPr>
          <w:iCs/>
        </w:rPr>
        <w:t xml:space="preserve">the cost of </w:t>
      </w:r>
      <w:r w:rsidR="00443F2D" w:rsidRPr="00E773B1">
        <w:rPr>
          <w:iCs/>
        </w:rPr>
        <w:t>second-</w:t>
      </w:r>
      <w:r w:rsidR="009A1282" w:rsidRPr="00E773B1">
        <w:rPr>
          <w:iCs/>
        </w:rPr>
        <w:t>line ibrutinib</w:t>
      </w:r>
      <w:r w:rsidR="00443F2D" w:rsidRPr="00E773B1">
        <w:rPr>
          <w:iCs/>
        </w:rPr>
        <w:t xml:space="preserve"> </w:t>
      </w:r>
      <w:r w:rsidR="009A1282" w:rsidRPr="00E773B1">
        <w:rPr>
          <w:iCs/>
        </w:rPr>
        <w:t>($</w:t>
      </w:r>
      <w:r w:rsidR="007E3667">
        <w:rPr>
          <w:iCs/>
          <w:noProof/>
          <w:color w:val="000000"/>
          <w:highlight w:val="black"/>
        </w:rPr>
        <w:t>''''''''''''''''</w:t>
      </w:r>
      <w:r w:rsidR="009A1282" w:rsidRPr="00E773B1">
        <w:rPr>
          <w:iCs/>
        </w:rPr>
        <w:t xml:space="preserve">) </w:t>
      </w:r>
      <w:r w:rsidR="00443F2D" w:rsidRPr="00E773B1">
        <w:rPr>
          <w:iCs/>
        </w:rPr>
        <w:t>and third-line</w:t>
      </w:r>
      <w:r w:rsidR="009A1282" w:rsidRPr="00E773B1">
        <w:rPr>
          <w:iCs/>
        </w:rPr>
        <w:t xml:space="preserve"> ven</w:t>
      </w:r>
      <w:r w:rsidR="0017730C" w:rsidRPr="00E773B1">
        <w:rPr>
          <w:iCs/>
        </w:rPr>
        <w:t>e</w:t>
      </w:r>
      <w:r w:rsidR="009A1282" w:rsidRPr="00E773B1">
        <w:rPr>
          <w:iCs/>
        </w:rPr>
        <w:t>toclax ($</w:t>
      </w:r>
      <w:r w:rsidR="007E3667">
        <w:rPr>
          <w:iCs/>
          <w:noProof/>
          <w:color w:val="000000"/>
          <w:highlight w:val="black"/>
        </w:rPr>
        <w:t>''''''''''''</w:t>
      </w:r>
      <w:r w:rsidR="009A1282" w:rsidRPr="00E773B1">
        <w:rPr>
          <w:iCs/>
        </w:rPr>
        <w:t>)</w:t>
      </w:r>
      <w:r w:rsidR="00445785" w:rsidRPr="00E773B1">
        <w:rPr>
          <w:iCs/>
        </w:rPr>
        <w:t>.</w:t>
      </w:r>
      <w:r w:rsidR="009A1282" w:rsidRPr="00E773B1">
        <w:rPr>
          <w:iCs/>
        </w:rPr>
        <w:t xml:space="preserve"> The ESC </w:t>
      </w:r>
      <w:r w:rsidR="00023AC9" w:rsidRPr="00E773B1">
        <w:rPr>
          <w:iCs/>
        </w:rPr>
        <w:t>considered</w:t>
      </w:r>
      <w:r w:rsidR="009A1282" w:rsidRPr="00E773B1">
        <w:rPr>
          <w:iCs/>
        </w:rPr>
        <w:t xml:space="preserve"> that for these </w:t>
      </w:r>
      <w:r w:rsidR="00023AC9" w:rsidRPr="00E773B1">
        <w:rPr>
          <w:iCs/>
        </w:rPr>
        <w:t>cost-offsets to be realised</w:t>
      </w:r>
      <w:r w:rsidR="009A1282" w:rsidRPr="00E773B1">
        <w:rPr>
          <w:iCs/>
        </w:rPr>
        <w:t xml:space="preserve"> the caps for the current RSA for ibrutinib and venetoclax for the treatment of R/R CLL would need to be reduced, and </w:t>
      </w:r>
      <w:r w:rsidR="00023AC9" w:rsidRPr="00E773B1">
        <w:rPr>
          <w:iCs/>
        </w:rPr>
        <w:t>advised</w:t>
      </w:r>
      <w:r w:rsidR="00EE1E14" w:rsidRPr="00E773B1">
        <w:rPr>
          <w:iCs/>
        </w:rPr>
        <w:t xml:space="preserve"> </w:t>
      </w:r>
      <w:r w:rsidR="009A1282" w:rsidRPr="00E773B1">
        <w:rPr>
          <w:iCs/>
        </w:rPr>
        <w:t xml:space="preserve">that a combined RSA across the first-line and R/R settings may be appropriate. </w:t>
      </w:r>
      <w:r w:rsidR="00765CB7">
        <w:rPr>
          <w:iCs/>
        </w:rPr>
        <w:t xml:space="preserve">The PBAC considered the cost-offsets modelled </w:t>
      </w:r>
      <w:r w:rsidR="00CF31C0">
        <w:rPr>
          <w:iCs/>
        </w:rPr>
        <w:t xml:space="preserve">were generally </w:t>
      </w:r>
      <w:r w:rsidR="00765CB7">
        <w:rPr>
          <w:iCs/>
        </w:rPr>
        <w:t>appropriate as</w:t>
      </w:r>
      <w:r w:rsidR="00CF31C0">
        <w:rPr>
          <w:iCs/>
        </w:rPr>
        <w:t>,</w:t>
      </w:r>
      <w:r w:rsidR="00765CB7">
        <w:rPr>
          <w:iCs/>
        </w:rPr>
        <w:t xml:space="preserve"> in clinical practice</w:t>
      </w:r>
      <w:r w:rsidR="00CF31C0">
        <w:rPr>
          <w:iCs/>
        </w:rPr>
        <w:t>,</w:t>
      </w:r>
      <w:r w:rsidR="00765CB7">
        <w:rPr>
          <w:iCs/>
        </w:rPr>
        <w:t xml:space="preserve"> del17p CLL/SLL patients move quickly from current PBS-listed first-line regimens to use of ibrutinib or venetoclax in the R/R </w:t>
      </w:r>
      <w:r w:rsidR="00765CB7">
        <w:rPr>
          <w:iCs/>
        </w:rPr>
        <w:lastRenderedPageBreak/>
        <w:t xml:space="preserve">setting. The PBAC </w:t>
      </w:r>
      <w:r w:rsidR="006271E5">
        <w:rPr>
          <w:iCs/>
        </w:rPr>
        <w:t>agreed</w:t>
      </w:r>
      <w:r w:rsidR="00765CB7">
        <w:rPr>
          <w:iCs/>
        </w:rPr>
        <w:t xml:space="preserve"> with the ESC that a combined RSA across first-line and R/R settings would be required to enable the cost-offsets to be realised. </w:t>
      </w:r>
    </w:p>
    <w:p w:rsidR="00744E47" w:rsidRPr="009F515C" w:rsidRDefault="009F76C2" w:rsidP="00B2597F">
      <w:pPr>
        <w:pStyle w:val="ListParagraph"/>
        <w:numPr>
          <w:ilvl w:val="1"/>
          <w:numId w:val="1"/>
        </w:numPr>
        <w:rPr>
          <w:iCs/>
        </w:rPr>
      </w:pPr>
      <w:r w:rsidRPr="00E773B1">
        <w:t xml:space="preserve">In addition, the ESC noted the RSA </w:t>
      </w:r>
      <w:r w:rsidR="005B04D4" w:rsidRPr="00E773B1">
        <w:t>arrangements</w:t>
      </w:r>
      <w:r w:rsidRPr="00E773B1">
        <w:t xml:space="preserve"> in place for the use of ibrutinib</w:t>
      </w:r>
      <w:r w:rsidR="002B7289" w:rsidRPr="00E773B1">
        <w:t xml:space="preserve"> and venetoclax</w:t>
      </w:r>
      <w:r w:rsidRPr="00E773B1">
        <w:t xml:space="preserve"> in the R/R CLL/SLL setting and the </w:t>
      </w:r>
      <w:r w:rsidR="002B7289" w:rsidRPr="00E773B1">
        <w:t xml:space="preserve">expected </w:t>
      </w:r>
      <w:r w:rsidRPr="00E773B1">
        <w:t xml:space="preserve">impact of these </w:t>
      </w:r>
      <w:r w:rsidR="005B04D4" w:rsidRPr="00E773B1">
        <w:t>arrangements</w:t>
      </w:r>
      <w:r w:rsidRPr="00E773B1">
        <w:t xml:space="preserve"> on the </w:t>
      </w:r>
      <w:r w:rsidR="002B7289" w:rsidRPr="00E773B1">
        <w:t xml:space="preserve">average </w:t>
      </w:r>
      <w:r w:rsidRPr="00E773B1">
        <w:t>price of ibrutinib</w:t>
      </w:r>
      <w:r w:rsidR="002B7289" w:rsidRPr="00E773B1">
        <w:t xml:space="preserve"> and venetoclax</w:t>
      </w:r>
      <w:r w:rsidRPr="00E773B1">
        <w:t xml:space="preserve"> for this indication</w:t>
      </w:r>
      <w:r w:rsidR="002B7289" w:rsidRPr="00E773B1">
        <w:t xml:space="preserve"> (see Risk Sharing Arrangements section below)</w:t>
      </w:r>
      <w:r w:rsidRPr="00E773B1">
        <w:t xml:space="preserve">. </w:t>
      </w:r>
      <w:r w:rsidR="00045CCB" w:rsidRPr="00E773B1">
        <w:t>The ESC advised</w:t>
      </w:r>
      <w:r w:rsidRPr="00E773B1">
        <w:t xml:space="preserve"> that</w:t>
      </w:r>
      <w:r w:rsidR="002B7289" w:rsidRPr="00E773B1">
        <w:t xml:space="preserve"> </w:t>
      </w:r>
      <w:r w:rsidR="006F308B" w:rsidRPr="00E773B1">
        <w:t>incorporating</w:t>
      </w:r>
      <w:r w:rsidRPr="00E773B1">
        <w:t xml:space="preserve"> the</w:t>
      </w:r>
      <w:r w:rsidR="006F308B" w:rsidRPr="00E773B1">
        <w:t xml:space="preserve"> expected average</w:t>
      </w:r>
      <w:r w:rsidRPr="00E773B1">
        <w:t xml:space="preserve"> price of ibrutinib</w:t>
      </w:r>
      <w:r w:rsidR="006F308B" w:rsidRPr="00E773B1">
        <w:t xml:space="preserve"> and venetoclax</w:t>
      </w:r>
      <w:r w:rsidR="00BB043D" w:rsidRPr="00E773B1">
        <w:t xml:space="preserve"> </w:t>
      </w:r>
      <w:r w:rsidRPr="00E773B1">
        <w:t xml:space="preserve">for R/R CLL/SLL in the </w:t>
      </w:r>
      <w:r w:rsidR="0096096E" w:rsidRPr="00E773B1">
        <w:t xml:space="preserve">economic model increased the ICER </w:t>
      </w:r>
      <w:r w:rsidR="006F308B" w:rsidRPr="00E773B1">
        <w:t xml:space="preserve">from </w:t>
      </w:r>
      <w:r w:rsidR="00CB39C2" w:rsidRPr="0013097D">
        <w:t>$75,000-$105,000</w:t>
      </w:r>
      <w:r w:rsidR="00BF7058">
        <w:t>/QALY</w:t>
      </w:r>
      <w:r w:rsidR="006F308B" w:rsidRPr="00E773B1">
        <w:t xml:space="preserve"> to </w:t>
      </w:r>
      <w:r w:rsidR="00CB39C2" w:rsidRPr="0013097D">
        <w:t>$105,000-$200,000</w:t>
      </w:r>
      <w:r w:rsidR="00BF7058">
        <w:t>/QALY</w:t>
      </w:r>
      <w:r w:rsidR="00BB043D" w:rsidRPr="00E773B1">
        <w:t>.</w:t>
      </w:r>
      <w:r w:rsidR="0096096E" w:rsidRPr="00E773B1">
        <w:t xml:space="preserve"> </w:t>
      </w:r>
      <w:r w:rsidR="00744E47" w:rsidRPr="009F515C">
        <w:rPr>
          <w:iCs/>
        </w:rPr>
        <w:t xml:space="preserve">The pre-PBAC response  noted </w:t>
      </w:r>
      <w:r w:rsidR="009F515C">
        <w:rPr>
          <w:iCs/>
        </w:rPr>
        <w:t>the expected average</w:t>
      </w:r>
      <w:r w:rsidR="00744E47" w:rsidRPr="009F515C">
        <w:rPr>
          <w:iCs/>
        </w:rPr>
        <w:t xml:space="preserve"> price referred to by the ESC is derived from the </w:t>
      </w:r>
      <w:r w:rsidR="007E3667">
        <w:rPr>
          <w:iCs/>
          <w:noProof/>
          <w:color w:val="000000"/>
          <w:highlight w:val="black"/>
        </w:rPr>
        <w:t>''''''''''''''''''''''''''' '''''''''' '''''' ''''''''''''''' ''' ''''''''' '''''' ''''''''' ''''''' ''''''''''''''' ''''''''' '''''''''''''''' ''''''' '''''''''''''''' '''''''' '''''''''''''''''' ''''''' '''''''''''''''''''''''' ''' ''''''' '''''''' ''''''''''''</w:t>
      </w:r>
      <w:r w:rsidR="00744E47" w:rsidRPr="009F515C">
        <w:rPr>
          <w:iCs/>
        </w:rPr>
        <w:t>, accepted by PBAC in January 2017. The pre-PBAC r</w:t>
      </w:r>
      <w:r w:rsidR="009F515C" w:rsidRPr="009F515C">
        <w:rPr>
          <w:iCs/>
        </w:rPr>
        <w:t>esponse  argued that as</w:t>
      </w:r>
      <w:r w:rsidR="00744E47" w:rsidRPr="009F515C">
        <w:rPr>
          <w:iCs/>
        </w:rPr>
        <w:t xml:space="preserve"> the model assesses cost effectiveness of ibrutinib in first-line CLL/SLL in only high risk del17p patients </w:t>
      </w:r>
      <w:r w:rsidR="009F515C" w:rsidRPr="009F515C">
        <w:rPr>
          <w:iCs/>
        </w:rPr>
        <w:t xml:space="preserve">it is </w:t>
      </w:r>
      <w:r w:rsidR="00744E47" w:rsidRPr="009F515C">
        <w:rPr>
          <w:iCs/>
        </w:rPr>
        <w:t xml:space="preserve">not appropriate to apply this </w:t>
      </w:r>
      <w:r w:rsidR="007E3667">
        <w:rPr>
          <w:iCs/>
          <w:noProof/>
          <w:color w:val="000000"/>
          <w:highlight w:val="black"/>
        </w:rPr>
        <w:t>'''''''''''''''''' ''''''''' ''''' '''''''' '''''''' '''''''' ''''''''''''' '''''''''''''''''''</w:t>
      </w:r>
      <w:r w:rsidR="00744E47" w:rsidRPr="009F515C">
        <w:rPr>
          <w:iCs/>
        </w:rPr>
        <w:t xml:space="preserve">. </w:t>
      </w:r>
      <w:r w:rsidR="009F515C">
        <w:rPr>
          <w:iCs/>
        </w:rPr>
        <w:t>The</w:t>
      </w:r>
      <w:r w:rsidR="00D31AA7">
        <w:rPr>
          <w:iCs/>
        </w:rPr>
        <w:t xml:space="preserve"> PBAC agreed with the pre-PBAC response and considered that use of the cost-effective price of ibrutinib and venetoclax for R/R CLL/SLL for the high risk population only (</w:t>
      </w:r>
      <w:r w:rsidR="000579BD">
        <w:rPr>
          <w:iCs/>
        </w:rPr>
        <w:t xml:space="preserve">DPMQ </w:t>
      </w:r>
      <w:r w:rsidR="00D31AA7">
        <w:rPr>
          <w:iCs/>
        </w:rPr>
        <w:t>$</w:t>
      </w:r>
      <w:r w:rsidR="007E3667">
        <w:rPr>
          <w:iCs/>
          <w:noProof/>
          <w:color w:val="000000"/>
          <w:highlight w:val="black"/>
        </w:rPr>
        <w:t>''''''''''</w:t>
      </w:r>
      <w:r w:rsidR="004004D4">
        <w:rPr>
          <w:iCs/>
        </w:rPr>
        <w:t>, see paragraph 6.74</w:t>
      </w:r>
      <w:r w:rsidR="00D31AA7">
        <w:rPr>
          <w:iCs/>
        </w:rPr>
        <w:t xml:space="preserve">) may be more appropriate for the economic model. </w:t>
      </w:r>
    </w:p>
    <w:p w:rsidR="00FA6363" w:rsidRDefault="00FA6363" w:rsidP="00B2597F">
      <w:pPr>
        <w:pStyle w:val="ListParagraph"/>
        <w:numPr>
          <w:ilvl w:val="1"/>
          <w:numId w:val="1"/>
        </w:numPr>
      </w:pPr>
      <w:r>
        <w:t>The sensitivity analyses provided below demonstrate the key drivers of the model.</w:t>
      </w:r>
    </w:p>
    <w:p w:rsidR="00FA6363" w:rsidRDefault="007E4AB8" w:rsidP="00F863C2">
      <w:pPr>
        <w:keepNext/>
        <w:keepLines/>
      </w:pPr>
      <w:r w:rsidRPr="00401364">
        <w:rPr>
          <w:rFonts w:ascii="Arial Narrow" w:hAnsi="Arial Narrow"/>
          <w:b/>
          <w:sz w:val="20"/>
          <w:szCs w:val="20"/>
        </w:rPr>
        <w:lastRenderedPageBreak/>
        <w:t xml:space="preserve">Table </w:t>
      </w:r>
      <w:r w:rsidR="00B9191D">
        <w:rPr>
          <w:rFonts w:ascii="Arial Narrow" w:hAnsi="Arial Narrow"/>
          <w:b/>
          <w:sz w:val="20"/>
          <w:szCs w:val="20"/>
        </w:rPr>
        <w:t>16</w:t>
      </w:r>
      <w:r w:rsidR="00FA6363">
        <w:rPr>
          <w:rFonts w:ascii="Arial Narrow" w:hAnsi="Arial Narrow"/>
          <w:b/>
          <w:noProof/>
          <w:sz w:val="20"/>
          <w:szCs w:val="20"/>
        </w:rPr>
        <w:t>:</w:t>
      </w:r>
      <w:r w:rsidR="00FA6363" w:rsidRPr="001222FC">
        <w:rPr>
          <w:rStyle w:val="CommentReference"/>
        </w:rPr>
        <w:t xml:space="preserve"> Results of </w:t>
      </w:r>
      <w:r w:rsidR="001B05A8">
        <w:rPr>
          <w:rStyle w:val="CommentReference"/>
        </w:rPr>
        <w:t>sensitivity analyses</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22"/>
        <w:gridCol w:w="1275"/>
        <w:gridCol w:w="1416"/>
        <w:gridCol w:w="1255"/>
        <w:gridCol w:w="1249"/>
      </w:tblGrid>
      <w:tr w:rsidR="00FA6363" w:rsidRPr="00264D26" w:rsidTr="00B247A9">
        <w:trPr>
          <w:cantSplit/>
          <w:tblHeader/>
        </w:trPr>
        <w:tc>
          <w:tcPr>
            <w:tcW w:w="3922" w:type="dxa"/>
            <w:vAlign w:val="center"/>
          </w:tcPr>
          <w:p w:rsidR="00FA6363" w:rsidRPr="00E773B1" w:rsidRDefault="00FA6363" w:rsidP="00F863C2">
            <w:pPr>
              <w:pStyle w:val="Tabletext"/>
              <w:keepNext/>
              <w:keepLines/>
              <w:widowControl w:val="0"/>
              <w:tabs>
                <w:tab w:val="left" w:pos="142"/>
              </w:tabs>
              <w:rPr>
                <w:b/>
              </w:rPr>
            </w:pPr>
            <w:r w:rsidRPr="00E773B1">
              <w:rPr>
                <w:b/>
              </w:rPr>
              <w:t>Analyses</w:t>
            </w:r>
          </w:p>
        </w:tc>
        <w:tc>
          <w:tcPr>
            <w:tcW w:w="1275" w:type="dxa"/>
            <w:vAlign w:val="center"/>
          </w:tcPr>
          <w:p w:rsidR="00FA6363" w:rsidRPr="00E773B1" w:rsidRDefault="00FA6363" w:rsidP="00F863C2">
            <w:pPr>
              <w:pStyle w:val="Tabletext"/>
              <w:keepNext/>
              <w:keepLines/>
              <w:widowControl w:val="0"/>
              <w:jc w:val="center"/>
              <w:rPr>
                <w:b/>
              </w:rPr>
            </w:pPr>
            <w:r w:rsidRPr="00E773B1">
              <w:rPr>
                <w:b/>
              </w:rPr>
              <w:t>Incremental cost</w:t>
            </w:r>
          </w:p>
        </w:tc>
        <w:tc>
          <w:tcPr>
            <w:tcW w:w="1416" w:type="dxa"/>
            <w:vAlign w:val="center"/>
          </w:tcPr>
          <w:p w:rsidR="00FA6363" w:rsidRPr="00E773B1" w:rsidRDefault="00BE5075" w:rsidP="00F863C2">
            <w:pPr>
              <w:pStyle w:val="Tabletext"/>
              <w:keepNext/>
              <w:keepLines/>
              <w:widowControl w:val="0"/>
              <w:jc w:val="center"/>
              <w:rPr>
                <w:b/>
              </w:rPr>
            </w:pPr>
            <w:r w:rsidRPr="00BE5075">
              <w:rPr>
                <w:b/>
              </w:rPr>
              <w:t>Incremental QALY</w:t>
            </w:r>
          </w:p>
        </w:tc>
        <w:tc>
          <w:tcPr>
            <w:tcW w:w="1255" w:type="dxa"/>
            <w:vAlign w:val="center"/>
          </w:tcPr>
          <w:p w:rsidR="00FA6363" w:rsidRPr="00E773B1" w:rsidRDefault="00FA6363" w:rsidP="00F863C2">
            <w:pPr>
              <w:pStyle w:val="Tabletext"/>
              <w:keepNext/>
              <w:keepLines/>
              <w:widowControl w:val="0"/>
              <w:jc w:val="center"/>
              <w:rPr>
                <w:b/>
              </w:rPr>
            </w:pPr>
            <w:r w:rsidRPr="00E773B1">
              <w:rPr>
                <w:b/>
              </w:rPr>
              <w:t>ICER</w:t>
            </w:r>
          </w:p>
        </w:tc>
        <w:tc>
          <w:tcPr>
            <w:tcW w:w="1249" w:type="dxa"/>
            <w:vAlign w:val="center"/>
          </w:tcPr>
          <w:p w:rsidR="00FA6363" w:rsidRPr="00E773B1" w:rsidRDefault="00FA6363" w:rsidP="00F863C2">
            <w:pPr>
              <w:pStyle w:val="Tabletext"/>
              <w:keepNext/>
              <w:keepLines/>
              <w:widowControl w:val="0"/>
              <w:jc w:val="center"/>
              <w:rPr>
                <w:b/>
              </w:rPr>
            </w:pPr>
            <w:r w:rsidRPr="00E773B1">
              <w:rPr>
                <w:b/>
              </w:rPr>
              <w:t>% change ICER</w:t>
            </w:r>
          </w:p>
        </w:tc>
      </w:tr>
      <w:tr w:rsidR="00FA6363" w:rsidTr="00B247A9">
        <w:trPr>
          <w:cantSplit/>
        </w:trPr>
        <w:tc>
          <w:tcPr>
            <w:tcW w:w="3922" w:type="dxa"/>
            <w:vAlign w:val="center"/>
          </w:tcPr>
          <w:p w:rsidR="00FA6363" w:rsidRPr="00E773B1" w:rsidRDefault="00FA6363" w:rsidP="00F863C2">
            <w:pPr>
              <w:pStyle w:val="Tabletext"/>
              <w:keepNext/>
              <w:keepLines/>
              <w:widowControl w:val="0"/>
              <w:tabs>
                <w:tab w:val="left" w:pos="142"/>
              </w:tabs>
              <w:rPr>
                <w:b/>
              </w:rPr>
            </w:pPr>
            <w:r w:rsidRPr="00E773B1">
              <w:rPr>
                <w:b/>
              </w:rPr>
              <w:t>Base case</w:t>
            </w:r>
          </w:p>
        </w:tc>
        <w:tc>
          <w:tcPr>
            <w:tcW w:w="1275" w:type="dxa"/>
            <w:vAlign w:val="center"/>
          </w:tcPr>
          <w:p w:rsidR="00FA6363" w:rsidRPr="00E773B1" w:rsidRDefault="00FA6363" w:rsidP="00F863C2">
            <w:pPr>
              <w:pStyle w:val="Tabletext"/>
              <w:keepNext/>
              <w:keepLines/>
              <w:widowControl w:val="0"/>
              <w:jc w:val="center"/>
              <w:rPr>
                <w:b/>
                <w:bCs/>
              </w:rPr>
            </w:pPr>
            <w:r w:rsidRPr="00E773B1">
              <w:rPr>
                <w:b/>
                <w:bCs/>
                <w:szCs w:val="20"/>
              </w:rPr>
              <w:t>$</w:t>
            </w:r>
            <w:r w:rsidR="007E3667">
              <w:rPr>
                <w:b/>
                <w:bCs/>
                <w:noProof/>
                <w:color w:val="000000"/>
                <w:szCs w:val="20"/>
                <w:highlight w:val="black"/>
              </w:rPr>
              <w:t>''''''''''''</w:t>
            </w:r>
          </w:p>
        </w:tc>
        <w:tc>
          <w:tcPr>
            <w:tcW w:w="1416" w:type="dxa"/>
            <w:vAlign w:val="center"/>
          </w:tcPr>
          <w:p w:rsidR="00FA6363" w:rsidRPr="007E3667" w:rsidRDefault="007E3667" w:rsidP="00F863C2">
            <w:pPr>
              <w:pStyle w:val="Tabletext"/>
              <w:keepNext/>
              <w:keepLines/>
              <w:widowControl w:val="0"/>
              <w:jc w:val="center"/>
              <w:rPr>
                <w:b/>
                <w:highlight w:val="black"/>
              </w:rPr>
            </w:pPr>
            <w:r>
              <w:rPr>
                <w:rFonts w:cs="Arial"/>
                <w:b/>
                <w:noProof/>
                <w:color w:val="000000"/>
                <w:szCs w:val="20"/>
                <w:highlight w:val="black"/>
              </w:rPr>
              <w:t>'''''''''</w:t>
            </w:r>
          </w:p>
        </w:tc>
        <w:tc>
          <w:tcPr>
            <w:tcW w:w="1255" w:type="dxa"/>
            <w:vAlign w:val="center"/>
          </w:tcPr>
          <w:p w:rsidR="00FA6363" w:rsidRPr="00E773B1" w:rsidRDefault="00FA6363" w:rsidP="00F863C2">
            <w:pPr>
              <w:pStyle w:val="Tabletext"/>
              <w:keepNext/>
              <w:keepLines/>
              <w:widowControl w:val="0"/>
              <w:jc w:val="center"/>
              <w:rPr>
                <w:b/>
              </w:rPr>
            </w:pPr>
            <w:r w:rsidRPr="00E773B1">
              <w:rPr>
                <w:rFonts w:cs="Arial"/>
                <w:b/>
                <w:szCs w:val="20"/>
              </w:rPr>
              <w:t>$</w:t>
            </w:r>
            <w:r w:rsidR="007E3667">
              <w:rPr>
                <w:rFonts w:cs="Arial"/>
                <w:b/>
                <w:noProof/>
                <w:color w:val="000000"/>
                <w:szCs w:val="20"/>
                <w:highlight w:val="black"/>
              </w:rPr>
              <w:t>''''''''''''</w:t>
            </w:r>
          </w:p>
        </w:tc>
        <w:tc>
          <w:tcPr>
            <w:tcW w:w="1249" w:type="dxa"/>
            <w:vAlign w:val="center"/>
          </w:tcPr>
          <w:p w:rsidR="00FA6363" w:rsidRPr="00E773B1" w:rsidRDefault="00FA6363" w:rsidP="00F863C2">
            <w:pPr>
              <w:pStyle w:val="Tabletext"/>
              <w:keepNext/>
              <w:keepLines/>
              <w:widowControl w:val="0"/>
              <w:jc w:val="center"/>
              <w:rPr>
                <w:b/>
              </w:rPr>
            </w:pPr>
            <w:r w:rsidRPr="00E773B1">
              <w:rPr>
                <w:b/>
              </w:rPr>
              <w:t>-</w:t>
            </w:r>
          </w:p>
        </w:tc>
      </w:tr>
      <w:tr w:rsidR="00FA6363" w:rsidRPr="0031299C" w:rsidTr="00B247A9">
        <w:trPr>
          <w:cantSplit/>
          <w:trHeight w:val="129"/>
        </w:trPr>
        <w:tc>
          <w:tcPr>
            <w:tcW w:w="9117" w:type="dxa"/>
            <w:gridSpan w:val="5"/>
            <w:vAlign w:val="center"/>
          </w:tcPr>
          <w:p w:rsidR="00FA6363" w:rsidRPr="00E773B1" w:rsidRDefault="00FA6363" w:rsidP="00F863C2">
            <w:pPr>
              <w:pStyle w:val="Tabletext"/>
              <w:keepNext/>
              <w:keepLines/>
              <w:widowControl w:val="0"/>
              <w:rPr>
                <w:szCs w:val="20"/>
              </w:rPr>
            </w:pPr>
            <w:r w:rsidRPr="00E773B1">
              <w:rPr>
                <w:szCs w:val="20"/>
              </w:rPr>
              <w:t>OS source (base case: ILLUMINATE trial using exponential extrapolation)</w:t>
            </w:r>
          </w:p>
        </w:tc>
      </w:tr>
      <w:tr w:rsidR="00FA6363" w:rsidRPr="0031299C" w:rsidTr="00B247A9">
        <w:trPr>
          <w:cantSplit/>
          <w:trHeight w:val="129"/>
        </w:trPr>
        <w:tc>
          <w:tcPr>
            <w:tcW w:w="3922" w:type="dxa"/>
            <w:vAlign w:val="center"/>
          </w:tcPr>
          <w:p w:rsidR="00FA6363" w:rsidRPr="00E773B1" w:rsidRDefault="00FA6363" w:rsidP="00F863C2">
            <w:pPr>
              <w:pStyle w:val="Tabletext"/>
              <w:keepNext/>
              <w:keepLines/>
              <w:widowControl w:val="0"/>
              <w:tabs>
                <w:tab w:val="left" w:pos="142"/>
              </w:tabs>
            </w:pPr>
            <w:r w:rsidRPr="00E773B1">
              <w:tab/>
            </w:r>
            <w:proofErr w:type="spellStart"/>
            <w:r w:rsidRPr="00E773B1">
              <w:t>Baliakas</w:t>
            </w:r>
            <w:proofErr w:type="spellEnd"/>
            <w:r w:rsidRPr="00E773B1">
              <w:t xml:space="preserve"> (2018) using Weibull function</w:t>
            </w:r>
          </w:p>
        </w:tc>
        <w:tc>
          <w:tcPr>
            <w:tcW w:w="1275"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FA6363"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FA6363" w:rsidRPr="00E773B1" w:rsidRDefault="00FA6363" w:rsidP="00F863C2">
            <w:pPr>
              <w:keepNext/>
              <w:keepLines/>
              <w:widowControl w:val="0"/>
              <w:jc w:val="center"/>
              <w:rPr>
                <w:rFonts w:ascii="Arial Narrow" w:hAnsi="Arial Narrow" w:cs="Arial"/>
                <w:sz w:val="20"/>
                <w:szCs w:val="20"/>
              </w:rPr>
            </w:pPr>
            <w:r w:rsidRPr="00E773B1">
              <w:rPr>
                <w:rFonts w:ascii="Arial Narrow" w:hAnsi="Arial Narrow"/>
                <w:sz w:val="20"/>
                <w:szCs w:val="20"/>
              </w:rPr>
              <w:t>$</w:t>
            </w:r>
            <w:r w:rsidR="007E3667">
              <w:rPr>
                <w:rFonts w:ascii="Arial Narrow" w:hAnsi="Arial Narrow"/>
                <w:noProof/>
                <w:color w:val="000000"/>
                <w:sz w:val="20"/>
                <w:szCs w:val="20"/>
                <w:highlight w:val="black"/>
              </w:rPr>
              <w:t>'''''''''''''''''</w:t>
            </w:r>
          </w:p>
        </w:tc>
        <w:tc>
          <w:tcPr>
            <w:tcW w:w="1249"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r w:rsidRPr="00E773B1">
              <w:rPr>
                <w:szCs w:val="20"/>
              </w:rPr>
              <w:t>%</w:t>
            </w:r>
          </w:p>
        </w:tc>
      </w:tr>
      <w:tr w:rsidR="00FA6363" w:rsidRPr="0031299C" w:rsidTr="00B247A9">
        <w:trPr>
          <w:cantSplit/>
          <w:trHeight w:val="129"/>
        </w:trPr>
        <w:tc>
          <w:tcPr>
            <w:tcW w:w="9117" w:type="dxa"/>
            <w:gridSpan w:val="5"/>
            <w:vAlign w:val="center"/>
          </w:tcPr>
          <w:p w:rsidR="00FA6363" w:rsidRPr="00E773B1" w:rsidRDefault="00FA6363" w:rsidP="00F863C2">
            <w:pPr>
              <w:pStyle w:val="Tabletext"/>
              <w:keepNext/>
              <w:keepLines/>
              <w:widowControl w:val="0"/>
              <w:rPr>
                <w:szCs w:val="20"/>
              </w:rPr>
            </w:pPr>
            <w:r w:rsidRPr="00E773B1">
              <w:rPr>
                <w:szCs w:val="20"/>
              </w:rPr>
              <w:t>PFS extrapolation (base case: Weibull first-line; exponential second-line)</w:t>
            </w:r>
          </w:p>
        </w:tc>
      </w:tr>
      <w:tr w:rsidR="00FA6363" w:rsidRPr="0031299C" w:rsidTr="00B247A9">
        <w:trPr>
          <w:cantSplit/>
          <w:trHeight w:val="129"/>
        </w:trPr>
        <w:tc>
          <w:tcPr>
            <w:tcW w:w="3922" w:type="dxa"/>
            <w:vAlign w:val="center"/>
          </w:tcPr>
          <w:p w:rsidR="00FA6363" w:rsidRPr="00E773B1" w:rsidRDefault="00FA6363" w:rsidP="00F863C2">
            <w:pPr>
              <w:pStyle w:val="Tabletext"/>
              <w:keepNext/>
              <w:keepLines/>
              <w:widowControl w:val="0"/>
              <w:tabs>
                <w:tab w:val="left" w:pos="142"/>
              </w:tabs>
            </w:pPr>
            <w:r w:rsidRPr="00E773B1">
              <w:tab/>
              <w:t>Gamma first-line and exponential second-line</w:t>
            </w:r>
            <w:r w:rsidRPr="00E773B1">
              <w:tab/>
            </w:r>
          </w:p>
        </w:tc>
        <w:tc>
          <w:tcPr>
            <w:tcW w:w="1275"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FA6363"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FA6363" w:rsidRPr="00E773B1" w:rsidRDefault="00FA6363" w:rsidP="00F863C2">
            <w:pPr>
              <w:keepNext/>
              <w:keepLines/>
              <w:widowControl w:val="0"/>
              <w:jc w:val="center"/>
              <w:rPr>
                <w:rFonts w:ascii="Arial Narrow" w:hAnsi="Arial Narrow" w:cs="Arial"/>
                <w:sz w:val="20"/>
                <w:szCs w:val="20"/>
              </w:rPr>
            </w:pPr>
            <w:r w:rsidRPr="00E773B1">
              <w:rPr>
                <w:rFonts w:ascii="Arial Narrow" w:hAnsi="Arial Narrow"/>
                <w:sz w:val="20"/>
                <w:szCs w:val="20"/>
              </w:rPr>
              <w:t>$</w:t>
            </w:r>
            <w:r w:rsidR="007E3667">
              <w:rPr>
                <w:rFonts w:ascii="Arial Narrow" w:hAnsi="Arial Narrow"/>
                <w:noProof/>
                <w:color w:val="000000"/>
                <w:sz w:val="20"/>
                <w:szCs w:val="20"/>
                <w:highlight w:val="black"/>
              </w:rPr>
              <w:t>''''''''''''''''</w:t>
            </w:r>
          </w:p>
        </w:tc>
        <w:tc>
          <w:tcPr>
            <w:tcW w:w="1249"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r w:rsidRPr="00E773B1">
              <w:rPr>
                <w:szCs w:val="20"/>
              </w:rPr>
              <w:t>%</w:t>
            </w:r>
          </w:p>
        </w:tc>
      </w:tr>
      <w:tr w:rsidR="00FA6363" w:rsidRPr="0031299C" w:rsidTr="00B247A9">
        <w:trPr>
          <w:cantSplit/>
          <w:trHeight w:val="129"/>
        </w:trPr>
        <w:tc>
          <w:tcPr>
            <w:tcW w:w="3922" w:type="dxa"/>
            <w:vAlign w:val="center"/>
          </w:tcPr>
          <w:p w:rsidR="00FA6363" w:rsidRPr="00E773B1" w:rsidRDefault="00FA6363" w:rsidP="00F863C2">
            <w:pPr>
              <w:pStyle w:val="Tabletext"/>
              <w:keepNext/>
              <w:keepLines/>
              <w:widowControl w:val="0"/>
              <w:tabs>
                <w:tab w:val="left" w:pos="142"/>
              </w:tabs>
            </w:pPr>
            <w:r w:rsidRPr="00E773B1">
              <w:tab/>
              <w:t>Weibull first-line and log-logistic second-line</w:t>
            </w:r>
          </w:p>
        </w:tc>
        <w:tc>
          <w:tcPr>
            <w:tcW w:w="1275"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FA6363"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FA6363" w:rsidRPr="00E773B1" w:rsidRDefault="00FA6363" w:rsidP="00F863C2">
            <w:pPr>
              <w:keepNext/>
              <w:keepLines/>
              <w:widowControl w:val="0"/>
              <w:jc w:val="center"/>
              <w:rPr>
                <w:rFonts w:ascii="Arial Narrow" w:hAnsi="Arial Narrow" w:cs="Arial"/>
                <w:sz w:val="20"/>
                <w:szCs w:val="20"/>
              </w:rPr>
            </w:pPr>
            <w:r w:rsidRPr="00E773B1">
              <w:rPr>
                <w:rFonts w:ascii="Arial Narrow" w:hAnsi="Arial Narrow"/>
                <w:sz w:val="20"/>
                <w:szCs w:val="20"/>
              </w:rPr>
              <w:t>$</w:t>
            </w:r>
            <w:r w:rsidR="007E3667">
              <w:rPr>
                <w:rFonts w:ascii="Arial Narrow" w:hAnsi="Arial Narrow"/>
                <w:noProof/>
                <w:color w:val="000000"/>
                <w:sz w:val="20"/>
                <w:szCs w:val="20"/>
                <w:highlight w:val="black"/>
              </w:rPr>
              <w:t>'''''''''''''''''</w:t>
            </w:r>
          </w:p>
        </w:tc>
        <w:tc>
          <w:tcPr>
            <w:tcW w:w="1249" w:type="dxa"/>
            <w:vAlign w:val="center"/>
          </w:tcPr>
          <w:p w:rsidR="00FA6363" w:rsidRPr="00E773B1" w:rsidRDefault="007E3667" w:rsidP="00F863C2">
            <w:pPr>
              <w:pStyle w:val="Tabletext"/>
              <w:keepNext/>
              <w:keepLines/>
              <w:widowControl w:val="0"/>
              <w:jc w:val="center"/>
              <w:rPr>
                <w:szCs w:val="20"/>
              </w:rPr>
            </w:pPr>
            <w:r>
              <w:rPr>
                <w:noProof/>
                <w:color w:val="000000"/>
                <w:szCs w:val="20"/>
                <w:highlight w:val="black"/>
              </w:rPr>
              <w:t>''''''</w:t>
            </w:r>
            <w:r w:rsidR="00FA6363" w:rsidRPr="00E773B1">
              <w:rPr>
                <w:szCs w:val="20"/>
              </w:rPr>
              <w:t>%</w:t>
            </w:r>
          </w:p>
        </w:tc>
      </w:tr>
      <w:tr w:rsidR="00FA6363" w:rsidRPr="005B2422" w:rsidTr="00B247A9">
        <w:trPr>
          <w:cantSplit/>
          <w:trHeight w:val="129"/>
        </w:trPr>
        <w:tc>
          <w:tcPr>
            <w:tcW w:w="3922" w:type="dxa"/>
            <w:vAlign w:val="center"/>
          </w:tcPr>
          <w:p w:rsidR="00FA6363" w:rsidRPr="00E773B1" w:rsidRDefault="00FA6363" w:rsidP="00F863C2">
            <w:pPr>
              <w:pStyle w:val="Tabletext"/>
              <w:keepNext/>
              <w:keepLines/>
              <w:widowControl w:val="0"/>
              <w:tabs>
                <w:tab w:val="left" w:pos="142"/>
              </w:tabs>
              <w:rPr>
                <w:iCs/>
                <w:vertAlign w:val="superscript"/>
              </w:rPr>
            </w:pPr>
            <w:r w:rsidRPr="00E773B1">
              <w:tab/>
            </w:r>
            <w:r w:rsidRPr="00E773B1">
              <w:rPr>
                <w:iCs/>
              </w:rPr>
              <w:t>Gamma first line; Weibull second-</w:t>
            </w:r>
            <w:proofErr w:type="spellStart"/>
            <w:r w:rsidRPr="00E773B1">
              <w:rPr>
                <w:iCs/>
              </w:rPr>
              <w:t>line</w:t>
            </w:r>
            <w:r w:rsidR="00EE6E68" w:rsidRPr="00E773B1">
              <w:rPr>
                <w:iCs/>
                <w:vertAlign w:val="superscript"/>
              </w:rPr>
              <w:t>a</w:t>
            </w:r>
            <w:proofErr w:type="spellEnd"/>
          </w:p>
        </w:tc>
        <w:tc>
          <w:tcPr>
            <w:tcW w:w="1275" w:type="dxa"/>
            <w:vAlign w:val="center"/>
          </w:tcPr>
          <w:p w:rsidR="00FA6363" w:rsidRPr="00E773B1" w:rsidRDefault="00FA6363" w:rsidP="00F863C2">
            <w:pPr>
              <w:keepNext/>
              <w:keepLines/>
              <w:jc w:val="center"/>
              <w:rPr>
                <w:rFonts w:ascii="Arial Narrow" w:hAnsi="Arial Narrow" w:cs="Calibri"/>
                <w:iCs/>
                <w:color w:val="000000"/>
                <w:sz w:val="20"/>
                <w:szCs w:val="20"/>
              </w:rPr>
            </w:pPr>
            <w:r w:rsidRPr="00E773B1">
              <w:rPr>
                <w:rFonts w:ascii="Arial Narrow" w:hAnsi="Arial Narrow" w:cs="Calibri"/>
                <w:iCs/>
                <w:color w:val="000000"/>
                <w:sz w:val="20"/>
                <w:szCs w:val="20"/>
              </w:rPr>
              <w:t>$</w:t>
            </w:r>
            <w:r w:rsidR="007E3667">
              <w:rPr>
                <w:rFonts w:ascii="Arial Narrow" w:hAnsi="Arial Narrow" w:cs="Calibri"/>
                <w:iCs/>
                <w:noProof/>
                <w:color w:val="000000"/>
                <w:sz w:val="20"/>
                <w:szCs w:val="20"/>
                <w:highlight w:val="black"/>
              </w:rPr>
              <w:t>'''''''''''''''''</w:t>
            </w:r>
          </w:p>
        </w:tc>
        <w:tc>
          <w:tcPr>
            <w:tcW w:w="1416" w:type="dxa"/>
            <w:vAlign w:val="center"/>
          </w:tcPr>
          <w:p w:rsidR="00FA6363" w:rsidRPr="007E3667" w:rsidRDefault="007E3667" w:rsidP="00F863C2">
            <w:pPr>
              <w:pStyle w:val="Tabletext"/>
              <w:keepNext/>
              <w:keepLines/>
              <w:widowControl w:val="0"/>
              <w:jc w:val="center"/>
              <w:rPr>
                <w:iCs/>
                <w:szCs w:val="20"/>
                <w:highlight w:val="black"/>
              </w:rPr>
            </w:pPr>
            <w:r>
              <w:rPr>
                <w:iCs/>
                <w:noProof/>
                <w:color w:val="000000"/>
                <w:szCs w:val="20"/>
                <w:highlight w:val="black"/>
              </w:rPr>
              <w:t>'''''''''''</w:t>
            </w:r>
          </w:p>
        </w:tc>
        <w:tc>
          <w:tcPr>
            <w:tcW w:w="1255" w:type="dxa"/>
            <w:vAlign w:val="center"/>
          </w:tcPr>
          <w:p w:rsidR="00FA6363" w:rsidRPr="00E773B1" w:rsidRDefault="00FA6363" w:rsidP="00F863C2">
            <w:pPr>
              <w:keepNext/>
              <w:keepLines/>
              <w:jc w:val="center"/>
              <w:rPr>
                <w:rFonts w:ascii="Arial Narrow" w:hAnsi="Arial Narrow" w:cs="Calibri"/>
                <w:iCs/>
                <w:color w:val="000000"/>
                <w:sz w:val="20"/>
                <w:szCs w:val="20"/>
              </w:rPr>
            </w:pPr>
            <w:r w:rsidRPr="00E773B1">
              <w:rPr>
                <w:rFonts w:ascii="Arial Narrow" w:hAnsi="Arial Narrow" w:cs="Calibri"/>
                <w:iCs/>
                <w:color w:val="000000"/>
                <w:sz w:val="20"/>
                <w:szCs w:val="20"/>
              </w:rPr>
              <w:t>$</w:t>
            </w:r>
            <w:r w:rsidR="007E3667">
              <w:rPr>
                <w:rFonts w:ascii="Arial Narrow" w:hAnsi="Arial Narrow" w:cs="Calibri"/>
                <w:iCs/>
                <w:noProof/>
                <w:color w:val="000000"/>
                <w:sz w:val="20"/>
                <w:szCs w:val="20"/>
                <w:highlight w:val="black"/>
              </w:rPr>
              <w:t>''''''''''''''''</w:t>
            </w:r>
          </w:p>
        </w:tc>
        <w:tc>
          <w:tcPr>
            <w:tcW w:w="1249" w:type="dxa"/>
            <w:vAlign w:val="center"/>
          </w:tcPr>
          <w:p w:rsidR="00FA6363" w:rsidRPr="00E773B1" w:rsidRDefault="007E3667" w:rsidP="00F863C2">
            <w:pPr>
              <w:pStyle w:val="Tabletext"/>
              <w:keepNext/>
              <w:keepLines/>
              <w:widowControl w:val="0"/>
              <w:jc w:val="center"/>
              <w:rPr>
                <w:iCs/>
                <w:szCs w:val="20"/>
              </w:rPr>
            </w:pPr>
            <w:r>
              <w:rPr>
                <w:iCs/>
                <w:noProof/>
                <w:color w:val="000000"/>
                <w:szCs w:val="20"/>
                <w:highlight w:val="black"/>
              </w:rPr>
              <w:t>'''''</w:t>
            </w:r>
            <w:r w:rsidR="00FA6363" w:rsidRPr="00E773B1">
              <w:rPr>
                <w:iCs/>
                <w:szCs w:val="20"/>
              </w:rPr>
              <w:t>%</w:t>
            </w:r>
          </w:p>
        </w:tc>
      </w:tr>
      <w:tr w:rsidR="000C6BB9" w:rsidRPr="005B2422" w:rsidTr="00B247A9">
        <w:trPr>
          <w:cantSplit/>
          <w:trHeight w:val="129"/>
        </w:trPr>
        <w:tc>
          <w:tcPr>
            <w:tcW w:w="3922" w:type="dxa"/>
            <w:vAlign w:val="center"/>
          </w:tcPr>
          <w:p w:rsidR="000C6BB9" w:rsidRPr="00E773B1" w:rsidRDefault="000C6BB9" w:rsidP="00F863C2">
            <w:pPr>
              <w:pStyle w:val="Tabletext"/>
              <w:keepNext/>
              <w:keepLines/>
              <w:widowControl w:val="0"/>
              <w:tabs>
                <w:tab w:val="left" w:pos="142"/>
              </w:tabs>
              <w:rPr>
                <w:vertAlign w:val="superscript"/>
              </w:rPr>
            </w:pPr>
            <w:r w:rsidRPr="00E773B1">
              <w:tab/>
              <w:t>Weibull first-line, Weibull second-</w:t>
            </w:r>
            <w:proofErr w:type="spellStart"/>
            <w:r w:rsidRPr="00E773B1">
              <w:t>line</w:t>
            </w:r>
            <w:r w:rsidR="004366D2" w:rsidRPr="00E773B1">
              <w:rPr>
                <w:vertAlign w:val="superscript"/>
              </w:rPr>
              <w:t>b</w:t>
            </w:r>
            <w:proofErr w:type="spellEnd"/>
          </w:p>
        </w:tc>
        <w:tc>
          <w:tcPr>
            <w:tcW w:w="1275" w:type="dxa"/>
            <w:vAlign w:val="center"/>
          </w:tcPr>
          <w:p w:rsidR="000C6BB9" w:rsidRPr="00E773B1" w:rsidRDefault="000C6BB9" w:rsidP="00F863C2">
            <w:pPr>
              <w:keepNext/>
              <w:keepLines/>
              <w:jc w:val="center"/>
              <w:rPr>
                <w:rFonts w:ascii="Arial Narrow" w:hAnsi="Arial Narrow" w:cs="Calibri"/>
                <w:iCs/>
                <w:color w:val="000000"/>
                <w:sz w:val="20"/>
                <w:szCs w:val="20"/>
              </w:rPr>
            </w:pPr>
            <w:r w:rsidRPr="00E773B1">
              <w:rPr>
                <w:rFonts w:ascii="Arial Narrow" w:hAnsi="Arial Narrow" w:cs="Calibri"/>
                <w:iCs/>
                <w:color w:val="000000"/>
                <w:sz w:val="20"/>
                <w:szCs w:val="20"/>
              </w:rPr>
              <w:t>$</w:t>
            </w:r>
            <w:r w:rsidR="007E3667">
              <w:rPr>
                <w:rFonts w:ascii="Arial Narrow" w:hAnsi="Arial Narrow" w:cs="Calibri"/>
                <w:iCs/>
                <w:noProof/>
                <w:color w:val="000000"/>
                <w:sz w:val="20"/>
                <w:szCs w:val="20"/>
                <w:highlight w:val="black"/>
              </w:rPr>
              <w:t>'''''''''''''''''</w:t>
            </w:r>
          </w:p>
        </w:tc>
        <w:tc>
          <w:tcPr>
            <w:tcW w:w="1416" w:type="dxa"/>
            <w:vAlign w:val="center"/>
          </w:tcPr>
          <w:p w:rsidR="000C6BB9" w:rsidRPr="007E3667" w:rsidRDefault="007E3667" w:rsidP="00F863C2">
            <w:pPr>
              <w:pStyle w:val="Tabletext"/>
              <w:keepNext/>
              <w:keepLines/>
              <w:widowControl w:val="0"/>
              <w:jc w:val="center"/>
              <w:rPr>
                <w:iCs/>
                <w:szCs w:val="20"/>
                <w:highlight w:val="black"/>
              </w:rPr>
            </w:pPr>
            <w:r>
              <w:rPr>
                <w:iCs/>
                <w:noProof/>
                <w:color w:val="000000"/>
                <w:szCs w:val="20"/>
                <w:highlight w:val="black"/>
              </w:rPr>
              <w:t>'''''''''''</w:t>
            </w:r>
          </w:p>
        </w:tc>
        <w:tc>
          <w:tcPr>
            <w:tcW w:w="1255" w:type="dxa"/>
            <w:vAlign w:val="center"/>
          </w:tcPr>
          <w:p w:rsidR="000C6BB9" w:rsidRPr="00E773B1" w:rsidRDefault="000C6BB9" w:rsidP="00F863C2">
            <w:pPr>
              <w:keepNext/>
              <w:keepLines/>
              <w:jc w:val="center"/>
              <w:rPr>
                <w:rFonts w:ascii="Arial Narrow" w:hAnsi="Arial Narrow" w:cs="Calibri"/>
                <w:iCs/>
                <w:color w:val="000000"/>
                <w:sz w:val="20"/>
                <w:szCs w:val="20"/>
              </w:rPr>
            </w:pPr>
            <w:r w:rsidRPr="00E773B1">
              <w:rPr>
                <w:rFonts w:ascii="Arial Narrow" w:hAnsi="Arial Narrow" w:cs="Calibri"/>
                <w:iCs/>
                <w:color w:val="000000"/>
                <w:sz w:val="20"/>
                <w:szCs w:val="20"/>
              </w:rPr>
              <w:t>$</w:t>
            </w:r>
            <w:r w:rsidR="007E3667">
              <w:rPr>
                <w:rFonts w:ascii="Arial Narrow" w:hAnsi="Arial Narrow" w:cs="Calibri"/>
                <w:iCs/>
                <w:noProof/>
                <w:color w:val="000000"/>
                <w:sz w:val="20"/>
                <w:szCs w:val="20"/>
                <w:highlight w:val="black"/>
              </w:rPr>
              <w:t>'''''''''''''''''''</w:t>
            </w:r>
          </w:p>
        </w:tc>
        <w:tc>
          <w:tcPr>
            <w:tcW w:w="1249" w:type="dxa"/>
            <w:vAlign w:val="center"/>
          </w:tcPr>
          <w:p w:rsidR="000C6BB9" w:rsidRPr="00E773B1" w:rsidRDefault="007E3667" w:rsidP="00F863C2">
            <w:pPr>
              <w:pStyle w:val="Tabletext"/>
              <w:keepNext/>
              <w:keepLines/>
              <w:widowControl w:val="0"/>
              <w:jc w:val="center"/>
              <w:rPr>
                <w:iCs/>
                <w:szCs w:val="20"/>
              </w:rPr>
            </w:pPr>
            <w:r>
              <w:rPr>
                <w:iCs/>
                <w:noProof/>
                <w:color w:val="000000"/>
                <w:szCs w:val="20"/>
                <w:highlight w:val="black"/>
              </w:rPr>
              <w:t>''''''</w:t>
            </w:r>
            <w:r w:rsidR="002611AB" w:rsidRPr="00E773B1">
              <w:rPr>
                <w:iCs/>
                <w:szCs w:val="20"/>
              </w:rPr>
              <w:t>%</w:t>
            </w:r>
          </w:p>
        </w:tc>
      </w:tr>
      <w:tr w:rsidR="00FA6363" w:rsidRPr="00801AB5" w:rsidTr="00B247A9">
        <w:trPr>
          <w:cantSplit/>
          <w:trHeight w:val="129"/>
        </w:trPr>
        <w:tc>
          <w:tcPr>
            <w:tcW w:w="9117" w:type="dxa"/>
            <w:gridSpan w:val="5"/>
            <w:vAlign w:val="center"/>
          </w:tcPr>
          <w:p w:rsidR="00FA6363" w:rsidRPr="00E773B1" w:rsidRDefault="00FA6363" w:rsidP="00F863C2">
            <w:pPr>
              <w:pStyle w:val="Tabletext"/>
              <w:keepNext/>
              <w:keepLines/>
              <w:widowControl w:val="0"/>
              <w:rPr>
                <w:iCs/>
                <w:szCs w:val="20"/>
                <w:vertAlign w:val="superscript"/>
              </w:rPr>
            </w:pPr>
            <w:r w:rsidRPr="00E773B1">
              <w:rPr>
                <w:iCs/>
                <w:szCs w:val="20"/>
              </w:rPr>
              <w:t>OS  (base case: ILLUMINATE trial using exponential extrapolation) and PFS extrapolation (base case: Weibull first-line; exponential second-line)</w:t>
            </w:r>
            <w:r w:rsidR="00EE6E68" w:rsidRPr="00E773B1">
              <w:rPr>
                <w:iCs/>
                <w:szCs w:val="20"/>
                <w:vertAlign w:val="superscript"/>
              </w:rPr>
              <w:t>a</w:t>
            </w:r>
          </w:p>
        </w:tc>
      </w:tr>
      <w:tr w:rsidR="00FA6363" w:rsidRPr="005B2422" w:rsidTr="00B247A9">
        <w:trPr>
          <w:cantSplit/>
          <w:trHeight w:val="129"/>
        </w:trPr>
        <w:tc>
          <w:tcPr>
            <w:tcW w:w="3922" w:type="dxa"/>
            <w:vAlign w:val="center"/>
          </w:tcPr>
          <w:p w:rsidR="00FA6363" w:rsidRPr="00E773B1" w:rsidRDefault="00FA6363" w:rsidP="00F863C2">
            <w:pPr>
              <w:pStyle w:val="Tabletext"/>
              <w:keepNext/>
              <w:keepLines/>
              <w:widowControl w:val="0"/>
              <w:tabs>
                <w:tab w:val="left" w:pos="142"/>
              </w:tabs>
              <w:rPr>
                <w:iCs/>
                <w:vertAlign w:val="superscript"/>
              </w:rPr>
            </w:pPr>
            <w:r w:rsidRPr="00E773B1">
              <w:rPr>
                <w:iCs/>
              </w:rPr>
              <w:tab/>
              <w:t>OS Weibull and PFS log-logistic second-</w:t>
            </w:r>
            <w:proofErr w:type="spellStart"/>
            <w:r w:rsidRPr="00E773B1">
              <w:rPr>
                <w:iCs/>
              </w:rPr>
              <w:t>line</w:t>
            </w:r>
            <w:r w:rsidR="00EE6E68" w:rsidRPr="00E773B1">
              <w:rPr>
                <w:iCs/>
                <w:vertAlign w:val="superscript"/>
              </w:rPr>
              <w:t>a</w:t>
            </w:r>
            <w:proofErr w:type="spellEnd"/>
          </w:p>
        </w:tc>
        <w:tc>
          <w:tcPr>
            <w:tcW w:w="1275" w:type="dxa"/>
            <w:vAlign w:val="center"/>
          </w:tcPr>
          <w:p w:rsidR="00FA6363" w:rsidRPr="00E773B1" w:rsidRDefault="00FA6363" w:rsidP="00F863C2">
            <w:pPr>
              <w:keepNext/>
              <w:keepLines/>
              <w:jc w:val="center"/>
              <w:rPr>
                <w:rFonts w:ascii="Arial Narrow" w:hAnsi="Arial Narrow" w:cs="Calibri"/>
                <w:iCs/>
                <w:color w:val="000000"/>
                <w:sz w:val="20"/>
                <w:szCs w:val="20"/>
              </w:rPr>
            </w:pPr>
            <w:r w:rsidRPr="00E773B1">
              <w:rPr>
                <w:rFonts w:ascii="Arial Narrow" w:hAnsi="Arial Narrow" w:cs="Calibri"/>
                <w:iCs/>
                <w:color w:val="000000"/>
                <w:sz w:val="20"/>
                <w:szCs w:val="20"/>
              </w:rPr>
              <w:t>$</w:t>
            </w:r>
            <w:r w:rsidR="007E3667">
              <w:rPr>
                <w:rFonts w:ascii="Arial Narrow" w:hAnsi="Arial Narrow" w:cs="Calibri"/>
                <w:iCs/>
                <w:noProof/>
                <w:color w:val="000000"/>
                <w:sz w:val="20"/>
                <w:szCs w:val="20"/>
                <w:highlight w:val="black"/>
              </w:rPr>
              <w:t>'''''''''''''''''</w:t>
            </w:r>
          </w:p>
        </w:tc>
        <w:tc>
          <w:tcPr>
            <w:tcW w:w="1416" w:type="dxa"/>
            <w:vAlign w:val="center"/>
          </w:tcPr>
          <w:p w:rsidR="00FA6363" w:rsidRPr="007E3667" w:rsidRDefault="007E3667" w:rsidP="00F863C2">
            <w:pPr>
              <w:pStyle w:val="Tabletext"/>
              <w:keepNext/>
              <w:keepLines/>
              <w:widowControl w:val="0"/>
              <w:jc w:val="center"/>
              <w:rPr>
                <w:iCs/>
                <w:szCs w:val="20"/>
                <w:highlight w:val="black"/>
              </w:rPr>
            </w:pPr>
            <w:r>
              <w:rPr>
                <w:iCs/>
                <w:noProof/>
                <w:color w:val="000000"/>
                <w:szCs w:val="20"/>
                <w:highlight w:val="black"/>
              </w:rPr>
              <w:t>'''''''''''</w:t>
            </w:r>
          </w:p>
        </w:tc>
        <w:tc>
          <w:tcPr>
            <w:tcW w:w="1255" w:type="dxa"/>
            <w:vAlign w:val="center"/>
          </w:tcPr>
          <w:p w:rsidR="00FA6363" w:rsidRPr="00E773B1" w:rsidRDefault="00FA6363" w:rsidP="00F863C2">
            <w:pPr>
              <w:keepNext/>
              <w:keepLines/>
              <w:jc w:val="center"/>
              <w:rPr>
                <w:rFonts w:ascii="Arial Narrow" w:hAnsi="Arial Narrow" w:cs="Calibri"/>
                <w:iCs/>
                <w:color w:val="000000"/>
                <w:sz w:val="20"/>
                <w:szCs w:val="20"/>
              </w:rPr>
            </w:pPr>
            <w:r w:rsidRPr="00E773B1">
              <w:rPr>
                <w:rFonts w:ascii="Arial Narrow" w:hAnsi="Arial Narrow" w:cs="Calibri"/>
                <w:iCs/>
                <w:color w:val="000000"/>
                <w:sz w:val="20"/>
                <w:szCs w:val="20"/>
              </w:rPr>
              <w:t>$</w:t>
            </w:r>
            <w:r w:rsidR="007E3667">
              <w:rPr>
                <w:rFonts w:ascii="Arial Narrow" w:hAnsi="Arial Narrow" w:cs="Calibri"/>
                <w:iCs/>
                <w:noProof/>
                <w:color w:val="000000"/>
                <w:sz w:val="20"/>
                <w:szCs w:val="20"/>
                <w:highlight w:val="black"/>
              </w:rPr>
              <w:t>'''''''''''''''</w:t>
            </w:r>
          </w:p>
        </w:tc>
        <w:tc>
          <w:tcPr>
            <w:tcW w:w="1249" w:type="dxa"/>
            <w:vAlign w:val="center"/>
          </w:tcPr>
          <w:p w:rsidR="00FA6363" w:rsidRPr="00E773B1" w:rsidRDefault="007E3667" w:rsidP="00F863C2">
            <w:pPr>
              <w:pStyle w:val="Tabletext"/>
              <w:keepNext/>
              <w:keepLines/>
              <w:widowControl w:val="0"/>
              <w:jc w:val="center"/>
              <w:rPr>
                <w:iCs/>
                <w:szCs w:val="20"/>
              </w:rPr>
            </w:pPr>
            <w:r>
              <w:rPr>
                <w:iCs/>
                <w:noProof/>
                <w:color w:val="000000"/>
                <w:szCs w:val="20"/>
                <w:highlight w:val="black"/>
              </w:rPr>
              <w:t>'''''</w:t>
            </w:r>
            <w:r w:rsidR="00DE4A2E" w:rsidRPr="00E773B1">
              <w:rPr>
                <w:iCs/>
                <w:szCs w:val="20"/>
              </w:rPr>
              <w:t>%</w:t>
            </w:r>
          </w:p>
        </w:tc>
      </w:tr>
      <w:tr w:rsidR="00FA6363" w:rsidRPr="0031299C" w:rsidTr="00B247A9">
        <w:trPr>
          <w:cantSplit/>
          <w:trHeight w:val="129"/>
        </w:trPr>
        <w:tc>
          <w:tcPr>
            <w:tcW w:w="9117" w:type="dxa"/>
            <w:gridSpan w:val="5"/>
            <w:vAlign w:val="center"/>
          </w:tcPr>
          <w:p w:rsidR="00FA6363" w:rsidRPr="00E773B1" w:rsidRDefault="00FA6363" w:rsidP="00F863C2">
            <w:pPr>
              <w:pStyle w:val="Tabletext"/>
              <w:keepNext/>
              <w:keepLines/>
              <w:widowControl w:val="0"/>
              <w:rPr>
                <w:szCs w:val="20"/>
              </w:rPr>
            </w:pPr>
            <w:r w:rsidRPr="00E773B1">
              <w:rPr>
                <w:szCs w:val="20"/>
              </w:rPr>
              <w:t>Time horizon (base case: 10 years)</w:t>
            </w:r>
          </w:p>
        </w:tc>
      </w:tr>
      <w:tr w:rsidR="00FA6363" w:rsidRPr="0031299C" w:rsidTr="00B247A9">
        <w:trPr>
          <w:cantSplit/>
          <w:trHeight w:val="129"/>
        </w:trPr>
        <w:tc>
          <w:tcPr>
            <w:tcW w:w="3922" w:type="dxa"/>
            <w:vAlign w:val="center"/>
          </w:tcPr>
          <w:p w:rsidR="00FA6363" w:rsidRPr="00E773B1" w:rsidRDefault="00FA6363" w:rsidP="00F863C2">
            <w:pPr>
              <w:pStyle w:val="Tabletext"/>
              <w:keepNext/>
              <w:keepLines/>
              <w:widowControl w:val="0"/>
              <w:tabs>
                <w:tab w:val="left" w:pos="142"/>
              </w:tabs>
            </w:pPr>
            <w:r w:rsidRPr="00E773B1">
              <w:tab/>
              <w:t>15 years</w:t>
            </w:r>
          </w:p>
        </w:tc>
        <w:tc>
          <w:tcPr>
            <w:tcW w:w="1275"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FA6363"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FA6363" w:rsidRPr="00E773B1" w:rsidRDefault="00FA6363" w:rsidP="00F863C2">
            <w:pPr>
              <w:keepNext/>
              <w:keepLines/>
              <w:widowControl w:val="0"/>
              <w:jc w:val="center"/>
              <w:rPr>
                <w:rFonts w:ascii="Arial Narrow" w:hAnsi="Arial Narrow" w:cs="Arial"/>
                <w:sz w:val="20"/>
                <w:szCs w:val="20"/>
              </w:rPr>
            </w:pPr>
            <w:r w:rsidRPr="00E773B1">
              <w:rPr>
                <w:rFonts w:ascii="Arial Narrow" w:hAnsi="Arial Narrow"/>
                <w:sz w:val="20"/>
                <w:szCs w:val="20"/>
              </w:rPr>
              <w:t>$</w:t>
            </w:r>
            <w:r w:rsidR="007E3667">
              <w:rPr>
                <w:rFonts w:ascii="Arial Narrow" w:hAnsi="Arial Narrow"/>
                <w:noProof/>
                <w:color w:val="000000"/>
                <w:sz w:val="20"/>
                <w:szCs w:val="20"/>
                <w:highlight w:val="black"/>
              </w:rPr>
              <w:t>''''''''''''''''</w:t>
            </w:r>
          </w:p>
        </w:tc>
        <w:tc>
          <w:tcPr>
            <w:tcW w:w="1249"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r w:rsidRPr="00E773B1">
              <w:rPr>
                <w:szCs w:val="20"/>
              </w:rPr>
              <w:t>%</w:t>
            </w:r>
          </w:p>
        </w:tc>
      </w:tr>
      <w:tr w:rsidR="00FA6363" w:rsidRPr="0031299C" w:rsidTr="00B247A9">
        <w:trPr>
          <w:cantSplit/>
          <w:trHeight w:val="129"/>
        </w:trPr>
        <w:tc>
          <w:tcPr>
            <w:tcW w:w="3922" w:type="dxa"/>
            <w:vAlign w:val="center"/>
          </w:tcPr>
          <w:p w:rsidR="00FA6363" w:rsidRPr="00E773B1" w:rsidRDefault="00FA6363" w:rsidP="00F863C2">
            <w:pPr>
              <w:pStyle w:val="Tabletext"/>
              <w:keepNext/>
              <w:keepLines/>
              <w:widowControl w:val="0"/>
              <w:tabs>
                <w:tab w:val="left" w:pos="142"/>
              </w:tabs>
              <w:rPr>
                <w:iCs/>
              </w:rPr>
            </w:pPr>
            <w:r w:rsidRPr="00E773B1">
              <w:rPr>
                <w:iCs/>
              </w:rPr>
              <w:tab/>
              <w:t>18.4 years</w:t>
            </w:r>
          </w:p>
        </w:tc>
        <w:tc>
          <w:tcPr>
            <w:tcW w:w="1275"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FA6363"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249"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r w:rsidRPr="00E773B1">
              <w:rPr>
                <w:szCs w:val="20"/>
              </w:rPr>
              <w:t>%</w:t>
            </w:r>
          </w:p>
        </w:tc>
      </w:tr>
      <w:tr w:rsidR="00FA6363" w:rsidRPr="0031299C" w:rsidTr="00B247A9">
        <w:trPr>
          <w:cantSplit/>
          <w:trHeight w:val="129"/>
        </w:trPr>
        <w:tc>
          <w:tcPr>
            <w:tcW w:w="9117" w:type="dxa"/>
            <w:gridSpan w:val="5"/>
            <w:vAlign w:val="center"/>
          </w:tcPr>
          <w:p w:rsidR="00FA6363" w:rsidRPr="00E773B1" w:rsidRDefault="00FA6363" w:rsidP="00F863C2">
            <w:pPr>
              <w:pStyle w:val="Tabletext"/>
              <w:keepNext/>
              <w:keepLines/>
              <w:widowControl w:val="0"/>
              <w:rPr>
                <w:szCs w:val="20"/>
              </w:rPr>
            </w:pPr>
            <w:r w:rsidRPr="00E773B1">
              <w:rPr>
                <w:szCs w:val="20"/>
              </w:rPr>
              <w:t xml:space="preserve">Utility values (base case: </w:t>
            </w:r>
            <w:r w:rsidR="002C369A" w:rsidRPr="00E773B1">
              <w:rPr>
                <w:szCs w:val="20"/>
              </w:rPr>
              <w:t xml:space="preserve">ILLUMINATE-based for first-line PFS (0.791) and </w:t>
            </w:r>
            <w:r w:rsidRPr="00E773B1">
              <w:rPr>
                <w:szCs w:val="20"/>
              </w:rPr>
              <w:t>re-scaled Kosmas 2015 values</w:t>
            </w:r>
            <w:r w:rsidR="002C369A" w:rsidRPr="00E773B1">
              <w:rPr>
                <w:szCs w:val="20"/>
              </w:rPr>
              <w:t xml:space="preserve"> for later lines</w:t>
            </w:r>
            <w:r w:rsidRPr="00E773B1">
              <w:rPr>
                <w:szCs w:val="20"/>
              </w:rPr>
              <w:t>)</w:t>
            </w:r>
          </w:p>
        </w:tc>
      </w:tr>
      <w:tr w:rsidR="00FA6363" w:rsidRPr="0031299C" w:rsidTr="00B247A9">
        <w:trPr>
          <w:cantSplit/>
          <w:trHeight w:val="129"/>
        </w:trPr>
        <w:tc>
          <w:tcPr>
            <w:tcW w:w="3922" w:type="dxa"/>
            <w:vAlign w:val="center"/>
          </w:tcPr>
          <w:p w:rsidR="00FA6363" w:rsidRPr="00E773B1" w:rsidRDefault="00FA6363" w:rsidP="00F863C2">
            <w:pPr>
              <w:pStyle w:val="Tabletext"/>
              <w:keepNext/>
              <w:keepLines/>
              <w:widowControl w:val="0"/>
              <w:tabs>
                <w:tab w:val="left" w:pos="142"/>
              </w:tabs>
              <w:rPr>
                <w:iCs/>
              </w:rPr>
            </w:pPr>
            <w:r w:rsidRPr="00E773B1">
              <w:rPr>
                <w:iCs/>
              </w:rPr>
              <w:tab/>
              <w:t xml:space="preserve">Use </w:t>
            </w:r>
            <w:r w:rsidR="002C369A" w:rsidRPr="00E773B1">
              <w:rPr>
                <w:iCs/>
              </w:rPr>
              <w:t>Kosmas</w:t>
            </w:r>
            <w:r w:rsidR="00F3392A" w:rsidRPr="00E773B1">
              <w:rPr>
                <w:iCs/>
              </w:rPr>
              <w:t xml:space="preserve"> (2015)</w:t>
            </w:r>
            <w:r w:rsidR="002C369A" w:rsidRPr="00E773B1">
              <w:rPr>
                <w:iCs/>
              </w:rPr>
              <w:t xml:space="preserve"> </w:t>
            </w:r>
            <w:r w:rsidRPr="00E773B1">
              <w:rPr>
                <w:iCs/>
              </w:rPr>
              <w:t>values as published</w:t>
            </w:r>
          </w:p>
        </w:tc>
        <w:tc>
          <w:tcPr>
            <w:tcW w:w="1275"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FA6363"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249" w:type="dxa"/>
            <w:vAlign w:val="center"/>
          </w:tcPr>
          <w:p w:rsidR="00FA6363" w:rsidRPr="00E773B1" w:rsidRDefault="007E3667" w:rsidP="00F863C2">
            <w:pPr>
              <w:pStyle w:val="Tabletext"/>
              <w:keepNext/>
              <w:keepLines/>
              <w:widowControl w:val="0"/>
              <w:jc w:val="center"/>
              <w:rPr>
                <w:szCs w:val="20"/>
              </w:rPr>
            </w:pPr>
            <w:r>
              <w:rPr>
                <w:noProof/>
                <w:color w:val="000000"/>
                <w:szCs w:val="20"/>
                <w:highlight w:val="black"/>
              </w:rPr>
              <w:t>''''</w:t>
            </w:r>
            <w:r w:rsidR="00FA6363" w:rsidRPr="00E773B1">
              <w:rPr>
                <w:szCs w:val="20"/>
              </w:rPr>
              <w:t>%</w:t>
            </w:r>
          </w:p>
        </w:tc>
      </w:tr>
      <w:tr w:rsidR="002C369A" w:rsidRPr="002C369A" w:rsidTr="00B247A9">
        <w:trPr>
          <w:cantSplit/>
          <w:trHeight w:val="129"/>
        </w:trPr>
        <w:tc>
          <w:tcPr>
            <w:tcW w:w="3922" w:type="dxa"/>
            <w:vAlign w:val="center"/>
          </w:tcPr>
          <w:p w:rsidR="002C369A" w:rsidRPr="00E773B1" w:rsidRDefault="002C369A" w:rsidP="00F863C2">
            <w:pPr>
              <w:pStyle w:val="Tabletext"/>
              <w:keepNext/>
              <w:keepLines/>
              <w:widowControl w:val="0"/>
              <w:tabs>
                <w:tab w:val="left" w:pos="142"/>
              </w:tabs>
            </w:pPr>
            <w:r w:rsidRPr="00E773B1">
              <w:tab/>
              <w:t>Kosmas (2015) first-line PFS (0.71)</w:t>
            </w:r>
            <w:r w:rsidR="00EE6E68" w:rsidRPr="00E773B1">
              <w:rPr>
                <w:vertAlign w:val="superscript"/>
              </w:rPr>
              <w:t>a</w:t>
            </w:r>
            <w:r w:rsidRPr="00E773B1">
              <w:t xml:space="preserve"> </w:t>
            </w:r>
          </w:p>
        </w:tc>
        <w:tc>
          <w:tcPr>
            <w:tcW w:w="1275" w:type="dxa"/>
            <w:vAlign w:val="center"/>
          </w:tcPr>
          <w:p w:rsidR="002C369A" w:rsidRPr="00E773B1" w:rsidRDefault="002C369A"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2C369A"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2C369A" w:rsidRPr="00E773B1" w:rsidRDefault="002C369A"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249" w:type="dxa"/>
            <w:vAlign w:val="center"/>
          </w:tcPr>
          <w:p w:rsidR="002C369A" w:rsidRPr="00E773B1" w:rsidRDefault="007E3667" w:rsidP="00F863C2">
            <w:pPr>
              <w:pStyle w:val="Tabletext"/>
              <w:keepNext/>
              <w:keepLines/>
              <w:widowControl w:val="0"/>
              <w:jc w:val="center"/>
              <w:rPr>
                <w:szCs w:val="20"/>
              </w:rPr>
            </w:pPr>
            <w:r>
              <w:rPr>
                <w:noProof/>
                <w:color w:val="000000"/>
                <w:szCs w:val="20"/>
                <w:highlight w:val="black"/>
              </w:rPr>
              <w:t>'''''</w:t>
            </w:r>
            <w:r w:rsidR="00DE4A2E" w:rsidRPr="00E773B1">
              <w:rPr>
                <w:szCs w:val="20"/>
              </w:rPr>
              <w:t>%</w:t>
            </w:r>
          </w:p>
        </w:tc>
      </w:tr>
      <w:tr w:rsidR="00FA6363" w:rsidRPr="0031299C" w:rsidTr="00B247A9">
        <w:trPr>
          <w:cantSplit/>
          <w:trHeight w:val="129"/>
        </w:trPr>
        <w:tc>
          <w:tcPr>
            <w:tcW w:w="9117" w:type="dxa"/>
            <w:gridSpan w:val="5"/>
            <w:vAlign w:val="center"/>
          </w:tcPr>
          <w:p w:rsidR="00FA6363" w:rsidRPr="00E773B1" w:rsidRDefault="00FA6363" w:rsidP="00F863C2">
            <w:pPr>
              <w:pStyle w:val="Tabletext"/>
              <w:keepNext/>
              <w:keepLines/>
              <w:widowControl w:val="0"/>
              <w:rPr>
                <w:szCs w:val="20"/>
              </w:rPr>
            </w:pPr>
            <w:r w:rsidRPr="00E773B1">
              <w:rPr>
                <w:szCs w:val="20"/>
              </w:rPr>
              <w:t xml:space="preserve">Third-line cycles of </w:t>
            </w:r>
            <w:proofErr w:type="spellStart"/>
            <w:r w:rsidRPr="00E773B1">
              <w:rPr>
                <w:szCs w:val="20"/>
              </w:rPr>
              <w:t>ven</w:t>
            </w:r>
            <w:proofErr w:type="spellEnd"/>
            <w:r w:rsidRPr="00E773B1">
              <w:rPr>
                <w:szCs w:val="20"/>
              </w:rPr>
              <w:t xml:space="preserve"> and </w:t>
            </w:r>
            <w:proofErr w:type="spellStart"/>
            <w:r w:rsidRPr="00E773B1">
              <w:rPr>
                <w:szCs w:val="20"/>
              </w:rPr>
              <w:t>idel</w:t>
            </w:r>
            <w:proofErr w:type="spellEnd"/>
            <w:r w:rsidRPr="00E773B1">
              <w:rPr>
                <w:szCs w:val="20"/>
              </w:rPr>
              <w:t xml:space="preserve"> (base case: 17)</w:t>
            </w:r>
          </w:p>
        </w:tc>
      </w:tr>
      <w:tr w:rsidR="00FA6363" w:rsidRPr="0031299C" w:rsidTr="00B247A9">
        <w:trPr>
          <w:cantSplit/>
          <w:trHeight w:val="129"/>
        </w:trPr>
        <w:tc>
          <w:tcPr>
            <w:tcW w:w="3922" w:type="dxa"/>
            <w:vAlign w:val="center"/>
          </w:tcPr>
          <w:p w:rsidR="00FA6363" w:rsidRPr="00E773B1" w:rsidRDefault="00FA6363" w:rsidP="00F863C2">
            <w:pPr>
              <w:pStyle w:val="Tabletext"/>
              <w:keepNext/>
              <w:keepLines/>
              <w:widowControl w:val="0"/>
              <w:tabs>
                <w:tab w:val="left" w:pos="142"/>
              </w:tabs>
              <w:rPr>
                <w:iCs/>
                <w:szCs w:val="20"/>
              </w:rPr>
            </w:pPr>
            <w:r w:rsidRPr="00E773B1">
              <w:rPr>
                <w:iCs/>
                <w:szCs w:val="20"/>
              </w:rPr>
              <w:tab/>
              <w:t>12 cycles (29% reduction)</w:t>
            </w:r>
          </w:p>
        </w:tc>
        <w:tc>
          <w:tcPr>
            <w:tcW w:w="1275"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FA6363"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FA6363" w:rsidRPr="00E773B1" w:rsidRDefault="00FA6363" w:rsidP="00F863C2">
            <w:pPr>
              <w:keepNext/>
              <w:keepLines/>
              <w:widowControl w:val="0"/>
              <w:jc w:val="center"/>
              <w:rPr>
                <w:rFonts w:ascii="Arial Narrow" w:hAnsi="Arial Narrow" w:cs="Arial"/>
                <w:sz w:val="20"/>
                <w:szCs w:val="20"/>
              </w:rPr>
            </w:pPr>
            <w:r w:rsidRPr="00E773B1">
              <w:rPr>
                <w:rFonts w:ascii="Arial Narrow" w:hAnsi="Arial Narrow"/>
                <w:sz w:val="20"/>
                <w:szCs w:val="20"/>
              </w:rPr>
              <w:t>$</w:t>
            </w:r>
            <w:r w:rsidR="007E3667">
              <w:rPr>
                <w:rFonts w:ascii="Arial Narrow" w:hAnsi="Arial Narrow"/>
                <w:noProof/>
                <w:color w:val="000000"/>
                <w:sz w:val="20"/>
                <w:szCs w:val="20"/>
                <w:highlight w:val="black"/>
              </w:rPr>
              <w:t>'''''''''''''''''</w:t>
            </w:r>
          </w:p>
        </w:tc>
        <w:tc>
          <w:tcPr>
            <w:tcW w:w="1249" w:type="dxa"/>
            <w:vAlign w:val="center"/>
          </w:tcPr>
          <w:p w:rsidR="00FA6363" w:rsidRPr="00E773B1" w:rsidRDefault="007E3667" w:rsidP="00F863C2">
            <w:pPr>
              <w:pStyle w:val="Tabletext"/>
              <w:keepNext/>
              <w:keepLines/>
              <w:widowControl w:val="0"/>
              <w:jc w:val="center"/>
              <w:rPr>
                <w:szCs w:val="20"/>
              </w:rPr>
            </w:pPr>
            <w:r>
              <w:rPr>
                <w:noProof/>
                <w:color w:val="000000"/>
                <w:szCs w:val="20"/>
                <w:highlight w:val="black"/>
              </w:rPr>
              <w:t>''''''</w:t>
            </w:r>
            <w:r w:rsidR="00FA6363" w:rsidRPr="00E773B1">
              <w:rPr>
                <w:szCs w:val="20"/>
              </w:rPr>
              <w:t>%</w:t>
            </w:r>
          </w:p>
        </w:tc>
      </w:tr>
      <w:tr w:rsidR="00FA6363" w:rsidRPr="0031299C" w:rsidTr="00B247A9">
        <w:trPr>
          <w:cantSplit/>
          <w:trHeight w:val="129"/>
        </w:trPr>
        <w:tc>
          <w:tcPr>
            <w:tcW w:w="3922" w:type="dxa"/>
            <w:vAlign w:val="center"/>
          </w:tcPr>
          <w:p w:rsidR="00FA6363" w:rsidRPr="00E773B1" w:rsidRDefault="00FA6363" w:rsidP="00F863C2">
            <w:pPr>
              <w:pStyle w:val="Tabletext"/>
              <w:keepNext/>
              <w:keepLines/>
              <w:widowControl w:val="0"/>
              <w:tabs>
                <w:tab w:val="left" w:pos="142"/>
              </w:tabs>
              <w:rPr>
                <w:iCs/>
              </w:rPr>
            </w:pPr>
            <w:r w:rsidRPr="00E773B1">
              <w:rPr>
                <w:iCs/>
              </w:rPr>
              <w:tab/>
              <w:t>22 cycles (29% increase)</w:t>
            </w:r>
          </w:p>
        </w:tc>
        <w:tc>
          <w:tcPr>
            <w:tcW w:w="1275"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FA6363"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FA6363" w:rsidRPr="00E773B1" w:rsidRDefault="00FA6363" w:rsidP="00F863C2">
            <w:pPr>
              <w:keepNext/>
              <w:keepLines/>
              <w:widowControl w:val="0"/>
              <w:jc w:val="center"/>
              <w:rPr>
                <w:rFonts w:ascii="Arial Narrow" w:hAnsi="Arial Narrow" w:cs="Arial"/>
                <w:sz w:val="20"/>
                <w:szCs w:val="20"/>
              </w:rPr>
            </w:pPr>
            <w:r w:rsidRPr="00E773B1">
              <w:rPr>
                <w:rFonts w:ascii="Arial Narrow" w:hAnsi="Arial Narrow"/>
                <w:sz w:val="20"/>
                <w:szCs w:val="20"/>
              </w:rPr>
              <w:t>$</w:t>
            </w:r>
            <w:r w:rsidR="007E3667">
              <w:rPr>
                <w:rFonts w:ascii="Arial Narrow" w:hAnsi="Arial Narrow"/>
                <w:noProof/>
                <w:color w:val="000000"/>
                <w:sz w:val="20"/>
                <w:szCs w:val="20"/>
                <w:highlight w:val="black"/>
              </w:rPr>
              <w:t>''''''''''''''''</w:t>
            </w:r>
          </w:p>
        </w:tc>
        <w:tc>
          <w:tcPr>
            <w:tcW w:w="1249" w:type="dxa"/>
            <w:vAlign w:val="center"/>
          </w:tcPr>
          <w:p w:rsidR="00FA6363" w:rsidRPr="00E773B1" w:rsidRDefault="00FA6363" w:rsidP="00F863C2">
            <w:pPr>
              <w:pStyle w:val="Tabletext"/>
              <w:keepNext/>
              <w:keepLines/>
              <w:widowControl w:val="0"/>
              <w:jc w:val="center"/>
              <w:rPr>
                <w:szCs w:val="20"/>
              </w:rPr>
            </w:pPr>
            <w:r w:rsidRPr="00E773B1">
              <w:rPr>
                <w:szCs w:val="20"/>
              </w:rPr>
              <w:t>-</w:t>
            </w:r>
            <w:r w:rsidR="007E3667">
              <w:rPr>
                <w:noProof/>
                <w:color w:val="000000"/>
                <w:szCs w:val="20"/>
                <w:highlight w:val="black"/>
              </w:rPr>
              <w:t>'''''</w:t>
            </w:r>
            <w:r w:rsidRPr="00E773B1">
              <w:rPr>
                <w:szCs w:val="20"/>
              </w:rPr>
              <w:t>%</w:t>
            </w:r>
          </w:p>
        </w:tc>
      </w:tr>
      <w:tr w:rsidR="003721E8" w:rsidRPr="006F308B" w:rsidTr="003721E8">
        <w:trPr>
          <w:cantSplit/>
          <w:trHeight w:val="129"/>
        </w:trPr>
        <w:tc>
          <w:tcPr>
            <w:tcW w:w="9117" w:type="dxa"/>
            <w:gridSpan w:val="5"/>
            <w:vAlign w:val="center"/>
          </w:tcPr>
          <w:p w:rsidR="003721E8" w:rsidRPr="00E773B1" w:rsidRDefault="003721E8" w:rsidP="003721E8">
            <w:pPr>
              <w:pStyle w:val="Tabletext"/>
              <w:keepNext/>
              <w:keepLines/>
              <w:widowControl w:val="0"/>
              <w:rPr>
                <w:szCs w:val="20"/>
              </w:rPr>
            </w:pPr>
            <w:r w:rsidRPr="00E773B1">
              <w:rPr>
                <w:iCs/>
              </w:rPr>
              <w:t xml:space="preserve">Duration of first-line ibrutinib treatment (base case: hazard rate of </w:t>
            </w:r>
            <w:r w:rsidR="007E3667">
              <w:rPr>
                <w:iCs/>
                <w:noProof/>
                <w:color w:val="000000"/>
                <w:highlight w:val="black"/>
              </w:rPr>
              <w:t>'''''''''''''''''</w:t>
            </w:r>
            <w:r w:rsidRPr="00E773B1">
              <w:rPr>
                <w:iCs/>
              </w:rPr>
              <w:t>)</w:t>
            </w:r>
          </w:p>
        </w:tc>
      </w:tr>
      <w:tr w:rsidR="003721E8" w:rsidRPr="006F308B" w:rsidTr="00B247A9">
        <w:trPr>
          <w:cantSplit/>
          <w:trHeight w:val="129"/>
        </w:trPr>
        <w:tc>
          <w:tcPr>
            <w:tcW w:w="3922" w:type="dxa"/>
            <w:vAlign w:val="center"/>
          </w:tcPr>
          <w:p w:rsidR="003721E8" w:rsidRPr="00E773B1" w:rsidRDefault="003721E8" w:rsidP="00F863C2">
            <w:pPr>
              <w:pStyle w:val="Tabletext"/>
              <w:keepNext/>
              <w:keepLines/>
              <w:widowControl w:val="0"/>
              <w:tabs>
                <w:tab w:val="left" w:pos="142"/>
              </w:tabs>
              <w:rPr>
                <w:iCs/>
                <w:vertAlign w:val="superscript"/>
              </w:rPr>
            </w:pPr>
            <w:r w:rsidRPr="00E773B1">
              <w:rPr>
                <w:iCs/>
              </w:rPr>
              <w:tab/>
              <w:t>Based on PFS</w:t>
            </w:r>
          </w:p>
        </w:tc>
        <w:tc>
          <w:tcPr>
            <w:tcW w:w="1275" w:type="dxa"/>
            <w:vAlign w:val="center"/>
          </w:tcPr>
          <w:p w:rsidR="003721E8" w:rsidRPr="00E773B1" w:rsidRDefault="003721E8"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3721E8"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3721E8" w:rsidRPr="00E773B1" w:rsidRDefault="003721E8" w:rsidP="00F863C2">
            <w:pPr>
              <w:keepNext/>
              <w:keepLines/>
              <w:widowControl w:val="0"/>
              <w:jc w:val="center"/>
              <w:rPr>
                <w:rFonts w:ascii="Arial Narrow" w:hAnsi="Arial Narrow"/>
                <w:sz w:val="20"/>
                <w:szCs w:val="20"/>
              </w:rPr>
            </w:pPr>
            <w:r w:rsidRPr="00E773B1">
              <w:rPr>
                <w:rFonts w:ascii="Arial Narrow" w:hAnsi="Arial Narrow"/>
                <w:sz w:val="20"/>
                <w:szCs w:val="20"/>
              </w:rPr>
              <w:t>$</w:t>
            </w:r>
            <w:r w:rsidR="007E3667">
              <w:rPr>
                <w:rFonts w:ascii="Arial Narrow" w:hAnsi="Arial Narrow"/>
                <w:noProof/>
                <w:color w:val="000000"/>
                <w:sz w:val="20"/>
                <w:szCs w:val="20"/>
                <w:highlight w:val="black"/>
              </w:rPr>
              <w:t>''''''''''''''''''''</w:t>
            </w:r>
          </w:p>
        </w:tc>
        <w:tc>
          <w:tcPr>
            <w:tcW w:w="1249" w:type="dxa"/>
            <w:vAlign w:val="center"/>
          </w:tcPr>
          <w:p w:rsidR="003721E8" w:rsidRPr="00E773B1" w:rsidRDefault="007E3667" w:rsidP="00F863C2">
            <w:pPr>
              <w:pStyle w:val="Tabletext"/>
              <w:keepNext/>
              <w:keepLines/>
              <w:widowControl w:val="0"/>
              <w:jc w:val="center"/>
              <w:rPr>
                <w:szCs w:val="20"/>
              </w:rPr>
            </w:pPr>
            <w:r>
              <w:rPr>
                <w:noProof/>
                <w:color w:val="000000"/>
                <w:szCs w:val="20"/>
                <w:highlight w:val="black"/>
              </w:rPr>
              <w:t>''''''</w:t>
            </w:r>
            <w:r w:rsidR="003721E8" w:rsidRPr="00E773B1">
              <w:rPr>
                <w:szCs w:val="20"/>
              </w:rPr>
              <w:t>%</w:t>
            </w:r>
          </w:p>
        </w:tc>
      </w:tr>
      <w:tr w:rsidR="003721E8" w:rsidRPr="006F308B" w:rsidTr="003721E8">
        <w:trPr>
          <w:cantSplit/>
          <w:trHeight w:val="129"/>
        </w:trPr>
        <w:tc>
          <w:tcPr>
            <w:tcW w:w="9117" w:type="dxa"/>
            <w:gridSpan w:val="5"/>
            <w:vAlign w:val="center"/>
          </w:tcPr>
          <w:p w:rsidR="003721E8" w:rsidRPr="00E773B1" w:rsidRDefault="003721E8" w:rsidP="003721E8">
            <w:pPr>
              <w:pStyle w:val="Tabletext"/>
              <w:keepNext/>
              <w:keepLines/>
              <w:widowControl w:val="0"/>
              <w:rPr>
                <w:szCs w:val="20"/>
              </w:rPr>
            </w:pPr>
            <w:r w:rsidRPr="00E773B1">
              <w:rPr>
                <w:iCs/>
              </w:rPr>
              <w:t>Cost of ibrutinib and venetoclax in R/R setting (base case: tier 1 effective price for ibrutinib, published price for venetoclax)</w:t>
            </w:r>
          </w:p>
        </w:tc>
      </w:tr>
      <w:tr w:rsidR="003721E8" w:rsidRPr="006F308B" w:rsidTr="00B247A9">
        <w:trPr>
          <w:cantSplit/>
          <w:trHeight w:val="129"/>
        </w:trPr>
        <w:tc>
          <w:tcPr>
            <w:tcW w:w="3922" w:type="dxa"/>
            <w:vAlign w:val="center"/>
          </w:tcPr>
          <w:p w:rsidR="003721E8" w:rsidRPr="00E773B1" w:rsidRDefault="003721E8" w:rsidP="00F863C2">
            <w:pPr>
              <w:pStyle w:val="Tabletext"/>
              <w:keepNext/>
              <w:keepLines/>
              <w:widowControl w:val="0"/>
              <w:tabs>
                <w:tab w:val="left" w:pos="142"/>
              </w:tabs>
              <w:rPr>
                <w:iCs/>
                <w:vertAlign w:val="superscript"/>
              </w:rPr>
            </w:pPr>
            <w:r w:rsidRPr="00E773B1">
              <w:rPr>
                <w:iCs/>
              </w:rPr>
              <w:tab/>
              <w:t xml:space="preserve">RSA </w:t>
            </w:r>
            <w:r w:rsidR="006F308B" w:rsidRPr="00E773B1">
              <w:rPr>
                <w:iCs/>
              </w:rPr>
              <w:t xml:space="preserve">average </w:t>
            </w:r>
            <w:r w:rsidRPr="00E773B1">
              <w:rPr>
                <w:iCs/>
              </w:rPr>
              <w:t xml:space="preserve">price for </w:t>
            </w:r>
            <w:r w:rsidR="0017730C" w:rsidRPr="00E773B1">
              <w:rPr>
                <w:iCs/>
              </w:rPr>
              <w:t>ibrutinib</w:t>
            </w:r>
            <w:r w:rsidRPr="00E773B1">
              <w:rPr>
                <w:iCs/>
              </w:rPr>
              <w:t xml:space="preserve"> and venetoclax</w:t>
            </w:r>
            <w:r w:rsidR="006F308B" w:rsidRPr="00E773B1">
              <w:rPr>
                <w:iCs/>
              </w:rPr>
              <w:t xml:space="preserve"> (AEMP $</w:t>
            </w:r>
            <w:r w:rsidR="007E3667">
              <w:rPr>
                <w:iCs/>
                <w:noProof/>
                <w:color w:val="000000"/>
                <w:highlight w:val="black"/>
              </w:rPr>
              <w:t>''''''''''''</w:t>
            </w:r>
            <w:r w:rsidR="006F308B" w:rsidRPr="00E773B1">
              <w:rPr>
                <w:iCs/>
              </w:rPr>
              <w:t>, DPMQ $</w:t>
            </w:r>
            <w:r w:rsidR="007E3667">
              <w:rPr>
                <w:iCs/>
                <w:noProof/>
                <w:color w:val="000000"/>
                <w:highlight w:val="black"/>
              </w:rPr>
              <w:t>'''''''''''''''''</w:t>
            </w:r>
            <w:r w:rsidR="006F308B" w:rsidRPr="00E773B1">
              <w:rPr>
                <w:iCs/>
              </w:rPr>
              <w:t>)</w:t>
            </w:r>
            <w:r w:rsidR="004366D2" w:rsidRPr="00E773B1">
              <w:rPr>
                <w:iCs/>
                <w:vertAlign w:val="superscript"/>
              </w:rPr>
              <w:t>d</w:t>
            </w:r>
          </w:p>
        </w:tc>
        <w:tc>
          <w:tcPr>
            <w:tcW w:w="1275" w:type="dxa"/>
            <w:vAlign w:val="center"/>
          </w:tcPr>
          <w:p w:rsidR="003721E8" w:rsidRPr="00E773B1" w:rsidRDefault="00E27D31" w:rsidP="00F863C2">
            <w:pPr>
              <w:pStyle w:val="Tabletext"/>
              <w:keepNext/>
              <w:keepLines/>
              <w:widowControl w:val="0"/>
              <w:jc w:val="center"/>
              <w:rPr>
                <w:szCs w:val="20"/>
              </w:rPr>
            </w:pPr>
            <w:r w:rsidRPr="00E773B1">
              <w:rPr>
                <w:szCs w:val="20"/>
              </w:rPr>
              <w:t>$</w:t>
            </w:r>
            <w:r w:rsidR="007E3667">
              <w:rPr>
                <w:noProof/>
                <w:color w:val="000000"/>
                <w:szCs w:val="20"/>
                <w:highlight w:val="black"/>
              </w:rPr>
              <w:t>''''''''''''''''''</w:t>
            </w:r>
          </w:p>
        </w:tc>
        <w:tc>
          <w:tcPr>
            <w:tcW w:w="1416" w:type="dxa"/>
            <w:vAlign w:val="center"/>
          </w:tcPr>
          <w:p w:rsidR="003721E8" w:rsidRPr="007E3667" w:rsidRDefault="007E3667" w:rsidP="00F863C2">
            <w:pPr>
              <w:pStyle w:val="Tabletext"/>
              <w:keepNext/>
              <w:keepLines/>
              <w:widowControl w:val="0"/>
              <w:jc w:val="center"/>
              <w:rPr>
                <w:szCs w:val="20"/>
                <w:highlight w:val="black"/>
              </w:rPr>
            </w:pPr>
            <w:r>
              <w:rPr>
                <w:noProof/>
                <w:color w:val="000000"/>
                <w:szCs w:val="20"/>
                <w:highlight w:val="black"/>
              </w:rPr>
              <w:t>'''''''''''</w:t>
            </w:r>
          </w:p>
        </w:tc>
        <w:tc>
          <w:tcPr>
            <w:tcW w:w="1255" w:type="dxa"/>
            <w:vAlign w:val="center"/>
          </w:tcPr>
          <w:p w:rsidR="003721E8" w:rsidRPr="00E773B1" w:rsidRDefault="00E27D31" w:rsidP="00F863C2">
            <w:pPr>
              <w:keepNext/>
              <w:keepLines/>
              <w:widowControl w:val="0"/>
              <w:jc w:val="center"/>
              <w:rPr>
                <w:rFonts w:ascii="Arial Narrow" w:hAnsi="Arial Narrow"/>
                <w:sz w:val="20"/>
                <w:szCs w:val="20"/>
              </w:rPr>
            </w:pPr>
            <w:r w:rsidRPr="00E773B1">
              <w:rPr>
                <w:rFonts w:ascii="Arial Narrow" w:hAnsi="Arial Narrow"/>
                <w:sz w:val="20"/>
                <w:szCs w:val="20"/>
              </w:rPr>
              <w:t>$</w:t>
            </w:r>
            <w:r w:rsidR="007E3667">
              <w:rPr>
                <w:rFonts w:ascii="Arial Narrow" w:hAnsi="Arial Narrow"/>
                <w:noProof/>
                <w:color w:val="000000"/>
                <w:sz w:val="20"/>
                <w:szCs w:val="20"/>
                <w:highlight w:val="black"/>
              </w:rPr>
              <w:t>''''''''''''''''''</w:t>
            </w:r>
          </w:p>
        </w:tc>
        <w:tc>
          <w:tcPr>
            <w:tcW w:w="1249" w:type="dxa"/>
            <w:vAlign w:val="center"/>
          </w:tcPr>
          <w:p w:rsidR="003721E8" w:rsidRPr="00E773B1" w:rsidRDefault="007E3667" w:rsidP="00F863C2">
            <w:pPr>
              <w:pStyle w:val="Tabletext"/>
              <w:keepNext/>
              <w:keepLines/>
              <w:widowControl w:val="0"/>
              <w:jc w:val="center"/>
              <w:rPr>
                <w:szCs w:val="20"/>
              </w:rPr>
            </w:pPr>
            <w:r>
              <w:rPr>
                <w:noProof/>
                <w:color w:val="000000"/>
                <w:szCs w:val="20"/>
                <w:highlight w:val="black"/>
              </w:rPr>
              <w:t>''''''</w:t>
            </w:r>
            <w:r w:rsidR="00DE4A2E" w:rsidRPr="00E773B1">
              <w:rPr>
                <w:szCs w:val="20"/>
              </w:rPr>
              <w:t>%</w:t>
            </w:r>
          </w:p>
        </w:tc>
      </w:tr>
      <w:tr w:rsidR="00BA14A1" w:rsidRPr="00E773B1" w:rsidTr="00DE20FA">
        <w:trPr>
          <w:cantSplit/>
          <w:trHeight w:val="129"/>
        </w:trPr>
        <w:tc>
          <w:tcPr>
            <w:tcW w:w="9117" w:type="dxa"/>
            <w:gridSpan w:val="5"/>
            <w:vAlign w:val="center"/>
          </w:tcPr>
          <w:p w:rsidR="00BA14A1" w:rsidRPr="00E773B1" w:rsidRDefault="00BA14A1" w:rsidP="00DE20FA">
            <w:pPr>
              <w:pStyle w:val="Tabletext"/>
              <w:keepNext/>
              <w:keepLines/>
              <w:widowControl w:val="0"/>
              <w:rPr>
                <w:szCs w:val="20"/>
              </w:rPr>
            </w:pPr>
            <w:r>
              <w:t xml:space="preserve">Cost of ibrutinib first-line setting </w:t>
            </w:r>
            <w:r w:rsidRPr="00FF7C46">
              <w:t>(base case: tier 1 effective price for ibrutinib)</w:t>
            </w:r>
            <w:r>
              <w:t xml:space="preserve"> and ibrutinib and venetoclax in R/R setting </w:t>
            </w:r>
            <w:r w:rsidRPr="00FF7C46">
              <w:t>(base case: tier 1 effective price for ibrutinib, published price for venetoclax)</w:t>
            </w:r>
            <w:r>
              <w:t xml:space="preserve"> and PFS extrapolation (base case: Weibull first-line; exponential second-line)</w:t>
            </w:r>
          </w:p>
        </w:tc>
      </w:tr>
      <w:tr w:rsidR="00BA14A1" w:rsidRPr="00E773B1" w:rsidTr="00DE20FA">
        <w:trPr>
          <w:cantSplit/>
          <w:trHeight w:val="129"/>
        </w:trPr>
        <w:tc>
          <w:tcPr>
            <w:tcW w:w="3922" w:type="dxa"/>
            <w:vAlign w:val="center"/>
          </w:tcPr>
          <w:p w:rsidR="00BA14A1" w:rsidRPr="00E773B1" w:rsidRDefault="00BA14A1" w:rsidP="00DE20FA">
            <w:pPr>
              <w:pStyle w:val="Tabletext"/>
              <w:keepNext/>
              <w:keepLines/>
              <w:widowControl w:val="0"/>
              <w:tabs>
                <w:tab w:val="left" w:pos="142"/>
              </w:tabs>
              <w:rPr>
                <w:iCs/>
              </w:rPr>
            </w:pPr>
            <w:r w:rsidRPr="00FF7C46">
              <w:t>RSA tier 1 effective price for ibrutinib and venetoclax (AEMP $</w:t>
            </w:r>
            <w:r w:rsidR="007E3667">
              <w:rPr>
                <w:noProof/>
                <w:color w:val="000000"/>
                <w:highlight w:val="black"/>
              </w:rPr>
              <w:t>'''''''''''''''''''</w:t>
            </w:r>
            <w:r w:rsidRPr="00FF7C46">
              <w:t>, DPMQ $</w:t>
            </w:r>
            <w:r w:rsidR="007E3667">
              <w:rPr>
                <w:noProof/>
                <w:color w:val="000000"/>
                <w:highlight w:val="black"/>
              </w:rPr>
              <w:t xml:space="preserve">'''''''''''''' </w:t>
            </w:r>
            <w:r>
              <w:t>and PFS extrapolation Weibull first-line, Weibull second-</w:t>
            </w:r>
            <w:proofErr w:type="spellStart"/>
            <w:r>
              <w:t>line</w:t>
            </w:r>
            <w:r>
              <w:rPr>
                <w:vertAlign w:val="superscript"/>
              </w:rPr>
              <w:t>e</w:t>
            </w:r>
            <w:proofErr w:type="spellEnd"/>
          </w:p>
        </w:tc>
        <w:tc>
          <w:tcPr>
            <w:tcW w:w="1275" w:type="dxa"/>
            <w:vAlign w:val="center"/>
          </w:tcPr>
          <w:p w:rsidR="00BA14A1" w:rsidRPr="00E773B1" w:rsidRDefault="00BA14A1" w:rsidP="00DE20FA">
            <w:pPr>
              <w:pStyle w:val="Tabletext"/>
              <w:keepNext/>
              <w:keepLines/>
              <w:widowControl w:val="0"/>
              <w:jc w:val="center"/>
              <w:rPr>
                <w:szCs w:val="20"/>
              </w:rPr>
            </w:pPr>
            <w:r>
              <w:t>$</w:t>
            </w:r>
            <w:r w:rsidR="007E3667">
              <w:rPr>
                <w:noProof/>
                <w:color w:val="000000"/>
                <w:highlight w:val="black"/>
              </w:rPr>
              <w:t>'''''''''''''''</w:t>
            </w:r>
          </w:p>
        </w:tc>
        <w:tc>
          <w:tcPr>
            <w:tcW w:w="1416" w:type="dxa"/>
            <w:vAlign w:val="center"/>
          </w:tcPr>
          <w:p w:rsidR="00BA14A1" w:rsidRPr="007E3667" w:rsidRDefault="007E3667" w:rsidP="00DE20FA">
            <w:pPr>
              <w:pStyle w:val="Tabletext"/>
              <w:keepNext/>
              <w:keepLines/>
              <w:widowControl w:val="0"/>
              <w:jc w:val="center"/>
              <w:rPr>
                <w:szCs w:val="20"/>
                <w:highlight w:val="black"/>
              </w:rPr>
            </w:pPr>
            <w:r>
              <w:rPr>
                <w:noProof/>
                <w:color w:val="000000"/>
                <w:highlight w:val="black"/>
              </w:rPr>
              <w:t>''''''''''</w:t>
            </w:r>
          </w:p>
        </w:tc>
        <w:tc>
          <w:tcPr>
            <w:tcW w:w="1255" w:type="dxa"/>
            <w:vAlign w:val="center"/>
          </w:tcPr>
          <w:p w:rsidR="00BA14A1" w:rsidRPr="00E773B1" w:rsidRDefault="00BA14A1" w:rsidP="00DE20FA">
            <w:pPr>
              <w:keepNext/>
              <w:keepLines/>
              <w:widowControl w:val="0"/>
              <w:jc w:val="center"/>
              <w:rPr>
                <w:rFonts w:ascii="Arial Narrow" w:hAnsi="Arial Narrow"/>
                <w:sz w:val="20"/>
                <w:szCs w:val="20"/>
              </w:rPr>
            </w:pPr>
            <w:r>
              <w:rPr>
                <w:rFonts w:ascii="Arial Narrow" w:hAnsi="Arial Narrow"/>
                <w:sz w:val="20"/>
                <w:szCs w:val="20"/>
              </w:rPr>
              <w:t>$</w:t>
            </w:r>
            <w:r w:rsidR="007E3667">
              <w:rPr>
                <w:rFonts w:ascii="Arial Narrow" w:hAnsi="Arial Narrow"/>
                <w:noProof/>
                <w:color w:val="000000"/>
                <w:sz w:val="20"/>
                <w:szCs w:val="20"/>
                <w:highlight w:val="black"/>
              </w:rPr>
              <w:t>''''''''''''''''</w:t>
            </w:r>
          </w:p>
        </w:tc>
        <w:tc>
          <w:tcPr>
            <w:tcW w:w="1249" w:type="dxa"/>
            <w:vAlign w:val="center"/>
          </w:tcPr>
          <w:p w:rsidR="00BA14A1" w:rsidRPr="00E773B1" w:rsidRDefault="007E3667" w:rsidP="00DE20FA">
            <w:pPr>
              <w:pStyle w:val="Tabletext"/>
              <w:keepNext/>
              <w:keepLines/>
              <w:widowControl w:val="0"/>
              <w:jc w:val="center"/>
              <w:rPr>
                <w:szCs w:val="20"/>
              </w:rPr>
            </w:pPr>
            <w:r>
              <w:rPr>
                <w:noProof/>
                <w:color w:val="000000"/>
                <w:szCs w:val="20"/>
                <w:highlight w:val="black"/>
              </w:rPr>
              <w:t>'''</w:t>
            </w:r>
            <w:r w:rsidR="00BA14A1">
              <w:rPr>
                <w:szCs w:val="20"/>
              </w:rPr>
              <w:t>%</w:t>
            </w:r>
          </w:p>
        </w:tc>
      </w:tr>
    </w:tbl>
    <w:p w:rsidR="0055241B" w:rsidRDefault="00FA6363" w:rsidP="00F863C2">
      <w:pPr>
        <w:pStyle w:val="TableFooter"/>
        <w:keepNext/>
        <w:keepLines/>
      </w:pPr>
      <w:proofErr w:type="spellStart"/>
      <w:r>
        <w:t>Idel</w:t>
      </w:r>
      <w:proofErr w:type="spellEnd"/>
      <w:r>
        <w:t>=</w:t>
      </w:r>
      <w:proofErr w:type="spellStart"/>
      <w:r>
        <w:t>idelalisib</w:t>
      </w:r>
      <w:proofErr w:type="spellEnd"/>
      <w:r>
        <w:t xml:space="preserve">; OS=overall survival; PFS=progression-free survival; </w:t>
      </w:r>
      <w:proofErr w:type="spellStart"/>
      <w:r>
        <w:t>ritux</w:t>
      </w:r>
      <w:proofErr w:type="spellEnd"/>
      <w:r>
        <w:t xml:space="preserve">=rituximab; </w:t>
      </w:r>
      <w:proofErr w:type="spellStart"/>
      <w:r>
        <w:t>ven</w:t>
      </w:r>
      <w:proofErr w:type="spellEnd"/>
      <w:r>
        <w:t>=</w:t>
      </w:r>
      <w:proofErr w:type="spellStart"/>
      <w:r>
        <w:t>venetoclax</w:t>
      </w:r>
      <w:proofErr w:type="spellEnd"/>
    </w:p>
    <w:p w:rsidR="00EE6E68" w:rsidRDefault="00EE6E68" w:rsidP="00F863C2">
      <w:pPr>
        <w:pStyle w:val="TableFooter"/>
        <w:keepNext/>
        <w:keepLines/>
      </w:pPr>
      <w:proofErr w:type="spellStart"/>
      <w:proofErr w:type="gramStart"/>
      <w:r>
        <w:rPr>
          <w:vertAlign w:val="superscript"/>
        </w:rPr>
        <w:t>a</w:t>
      </w:r>
      <w:r>
        <w:t>Compiled</w:t>
      </w:r>
      <w:proofErr w:type="spellEnd"/>
      <w:proofErr w:type="gramEnd"/>
      <w:r>
        <w:t xml:space="preserve"> during the evaluation</w:t>
      </w:r>
    </w:p>
    <w:p w:rsidR="004366D2" w:rsidRDefault="004366D2" w:rsidP="00F863C2">
      <w:pPr>
        <w:pStyle w:val="TableFooter"/>
        <w:keepNext/>
        <w:keepLines/>
      </w:pPr>
      <w:proofErr w:type="gramStart"/>
      <w:r>
        <w:rPr>
          <w:vertAlign w:val="superscript"/>
        </w:rPr>
        <w:t>b</w:t>
      </w:r>
      <w:proofErr w:type="gramEnd"/>
      <w:r w:rsidR="008C3AC3">
        <w:rPr>
          <w:vertAlign w:val="superscript"/>
        </w:rPr>
        <w:t xml:space="preserve"> </w:t>
      </w:r>
      <w:r w:rsidR="008C3AC3">
        <w:t xml:space="preserve">Section 3_del17p cost utility model.xlsm, </w:t>
      </w:r>
      <w:r>
        <w:t>Key Inputs &amp; Results worksheet cell D37 changed to Weibull</w:t>
      </w:r>
    </w:p>
    <w:p w:rsidR="004366D2" w:rsidRDefault="004366D2" w:rsidP="00F863C2">
      <w:pPr>
        <w:pStyle w:val="TableFooter"/>
        <w:keepNext/>
        <w:keepLines/>
      </w:pPr>
      <w:proofErr w:type="gramStart"/>
      <w:r>
        <w:rPr>
          <w:vertAlign w:val="superscript"/>
        </w:rPr>
        <w:t>c</w:t>
      </w:r>
      <w:proofErr w:type="gramEnd"/>
      <w:r w:rsidR="008C3AC3">
        <w:rPr>
          <w:vertAlign w:val="superscript"/>
        </w:rPr>
        <w:t xml:space="preserve"> </w:t>
      </w:r>
      <w:r w:rsidR="008C3AC3">
        <w:t xml:space="preserve">Section 3_del17p cost utility model.xlsm, </w:t>
      </w:r>
      <w:r>
        <w:t>IBR engine_del17p worksheet formula in column BA changed to =AJXX where XX = row numbers</w:t>
      </w:r>
    </w:p>
    <w:p w:rsidR="004366D2" w:rsidRDefault="004366D2" w:rsidP="00F863C2">
      <w:pPr>
        <w:pStyle w:val="TableFooter"/>
        <w:keepNext/>
        <w:keepLines/>
      </w:pPr>
      <w:r>
        <w:rPr>
          <w:vertAlign w:val="superscript"/>
        </w:rPr>
        <w:t>d</w:t>
      </w:r>
      <w:r w:rsidR="008C3AC3">
        <w:rPr>
          <w:vertAlign w:val="superscript"/>
        </w:rPr>
        <w:t xml:space="preserve"> </w:t>
      </w:r>
      <w:r w:rsidR="008C3AC3">
        <w:t xml:space="preserve">Section 3_del17p cost utility model.xlsm, </w:t>
      </w:r>
      <w:r>
        <w:t>Key Inputs &amp; Results worksheet cells D11 and D15 changed to $</w:t>
      </w:r>
      <w:r w:rsidR="007E3667">
        <w:rPr>
          <w:noProof/>
          <w:color w:val="000000"/>
          <w:highlight w:val="black"/>
        </w:rPr>
        <w:t>'''''''''''''''''</w:t>
      </w:r>
      <w:r>
        <w:t>, IBR engine_del17p worksheet cells BM2, BM3, BN2 and BN3 changed to $0, OBI_CLB engine_del17p worksheet cells BX2, BX3, BY2, BY3 changed to $0.</w:t>
      </w:r>
    </w:p>
    <w:p w:rsidR="00BA14A1" w:rsidRDefault="00BA14A1" w:rsidP="00BA14A1">
      <w:pPr>
        <w:pStyle w:val="TableFooter"/>
        <w:keepNext/>
        <w:rPr>
          <w:sz w:val="20"/>
          <w:szCs w:val="20"/>
        </w:rPr>
      </w:pPr>
      <w:r>
        <w:rPr>
          <w:vertAlign w:val="superscript"/>
        </w:rPr>
        <w:t xml:space="preserve">e </w:t>
      </w:r>
      <w:r>
        <w:t>Section 3_del17p cost utility model.xlsm, Key Inputs &amp; Results worksheet cells D10, D11 and D15 changed to $</w:t>
      </w:r>
      <w:r w:rsidR="007E3667">
        <w:rPr>
          <w:noProof/>
          <w:color w:val="000000"/>
          <w:highlight w:val="black"/>
        </w:rPr>
        <w:t>''''''''''''''''''</w:t>
      </w:r>
      <w:r>
        <w:t xml:space="preserve"> and cell D37 changed to Weibull. </w:t>
      </w:r>
      <w:r w:rsidR="00815C91">
        <w:t xml:space="preserve">Note: cell D14 – venetoclax DPMQ (11630D) – first cycle (combo) price not changed. </w:t>
      </w:r>
      <w:r>
        <w:t xml:space="preserve">IBR engine_del17p worksheet cells BM2, BM3, BN2 and BN3 changed to $0, OBI_CLB engine_del17p worksheet cells BX2, BX3, BY2, </w:t>
      </w:r>
      <w:proofErr w:type="gramStart"/>
      <w:r>
        <w:t>BY3</w:t>
      </w:r>
      <w:proofErr w:type="gramEnd"/>
      <w:r>
        <w:t xml:space="preserve"> changed to $0.</w:t>
      </w:r>
    </w:p>
    <w:p w:rsidR="00BA14A1" w:rsidRPr="004366D2" w:rsidRDefault="00BA14A1" w:rsidP="00F863C2">
      <w:pPr>
        <w:pStyle w:val="TableFooter"/>
        <w:keepNext/>
        <w:keepLines/>
      </w:pPr>
    </w:p>
    <w:p w:rsidR="00FA6363" w:rsidRDefault="00FA6363" w:rsidP="00F863C2">
      <w:pPr>
        <w:pStyle w:val="TableFooter"/>
        <w:keepNext/>
        <w:keepLines/>
      </w:pPr>
      <w:r>
        <w:t>Source: Table 3.29, p106 of the resubmission.</w:t>
      </w:r>
    </w:p>
    <w:p w:rsidR="00FA6363" w:rsidRDefault="00FA6363" w:rsidP="00FA6363"/>
    <w:p w:rsidR="00A61B88" w:rsidRPr="00E773B1" w:rsidRDefault="00D248DB" w:rsidP="00B2597F">
      <w:pPr>
        <w:pStyle w:val="ListParagraph"/>
        <w:numPr>
          <w:ilvl w:val="1"/>
          <w:numId w:val="1"/>
        </w:numPr>
      </w:pPr>
      <w:r>
        <w:rPr>
          <w:iCs/>
        </w:rPr>
        <w:t>I</w:t>
      </w:r>
      <w:r w:rsidR="009064B0" w:rsidRPr="00EB5599">
        <w:rPr>
          <w:iCs/>
        </w:rPr>
        <w:t xml:space="preserve">f the trial-based </w:t>
      </w:r>
      <w:r>
        <w:rPr>
          <w:iCs/>
        </w:rPr>
        <w:t xml:space="preserve">utility </w:t>
      </w:r>
      <w:r w:rsidR="009064B0" w:rsidRPr="00EB5599">
        <w:rPr>
          <w:iCs/>
        </w:rPr>
        <w:t>value for first-line PFS was lowered to 0.71 (sourced from Kosmas 2015)</w:t>
      </w:r>
      <w:r w:rsidR="006F308B">
        <w:rPr>
          <w:iCs/>
        </w:rPr>
        <w:t xml:space="preserve">, and </w:t>
      </w:r>
      <w:r w:rsidR="006F308B" w:rsidRPr="0076378B">
        <w:rPr>
          <w:iCs/>
        </w:rPr>
        <w:t xml:space="preserve">hence the disutility for second line treatment was reduced from </w:t>
      </w:r>
      <w:r w:rsidR="00BE5075">
        <w:rPr>
          <w:iCs/>
        </w:rPr>
        <w:t xml:space="preserve">0.16 </w:t>
      </w:r>
      <w:r w:rsidR="00BE5075" w:rsidRPr="00BE5075">
        <w:rPr>
          <w:iCs/>
        </w:rPr>
        <w:t xml:space="preserve">to </w:t>
      </w:r>
      <w:r w:rsidR="007E3667">
        <w:rPr>
          <w:iCs/>
          <w:noProof/>
          <w:color w:val="000000"/>
          <w:highlight w:val="black"/>
        </w:rPr>
        <w:t>'''''''''</w:t>
      </w:r>
      <w:r w:rsidR="00E17834" w:rsidRPr="00BE5075">
        <w:rPr>
          <w:iCs/>
        </w:rPr>
        <w:t xml:space="preserve"> and</w:t>
      </w:r>
      <w:r w:rsidR="00E17834" w:rsidRPr="0076378B">
        <w:rPr>
          <w:iCs/>
        </w:rPr>
        <w:t xml:space="preserve"> the disutility for third line treatment was reduced from 0.29 to </w:t>
      </w:r>
      <w:r w:rsidR="007E3667">
        <w:rPr>
          <w:iCs/>
          <w:noProof/>
          <w:color w:val="000000"/>
          <w:highlight w:val="black"/>
        </w:rPr>
        <w:t>'''''''''</w:t>
      </w:r>
      <w:r w:rsidR="009064B0" w:rsidRPr="0076378B">
        <w:rPr>
          <w:iCs/>
        </w:rPr>
        <w:t xml:space="preserve"> the ICER/QALY increased </w:t>
      </w:r>
      <w:r w:rsidR="00E17834" w:rsidRPr="0076378B">
        <w:rPr>
          <w:iCs/>
        </w:rPr>
        <w:t xml:space="preserve">from </w:t>
      </w:r>
      <w:proofErr w:type="gramStart"/>
      <w:r w:rsidR="00E17834" w:rsidRPr="0076378B">
        <w:rPr>
          <w:iCs/>
        </w:rPr>
        <w:t>$</w:t>
      </w:r>
      <w:r w:rsidR="00196F32">
        <w:rPr>
          <w:iCs/>
        </w:rPr>
        <w:t xml:space="preserve"> </w:t>
      </w:r>
      <w:r w:rsidR="009064B0" w:rsidRPr="0076378B">
        <w:rPr>
          <w:iCs/>
        </w:rPr>
        <w:t xml:space="preserve"> </w:t>
      </w:r>
      <w:r w:rsidR="00196F32">
        <w:rPr>
          <w:iCs/>
        </w:rPr>
        <w:t>$</w:t>
      </w:r>
      <w:proofErr w:type="gramEnd"/>
      <w:r w:rsidR="00196F32">
        <w:rPr>
          <w:iCs/>
        </w:rPr>
        <w:t xml:space="preserve">75,000 - $105,000 </w:t>
      </w:r>
      <w:r w:rsidR="009064B0" w:rsidRPr="0076378B">
        <w:rPr>
          <w:iCs/>
        </w:rPr>
        <w:t>to $</w:t>
      </w:r>
      <w:r w:rsidR="00196F32">
        <w:rPr>
          <w:iCs/>
        </w:rPr>
        <w:t xml:space="preserve"> </w:t>
      </w:r>
      <w:r w:rsidR="00FF7C46">
        <w:rPr>
          <w:iCs/>
        </w:rPr>
        <w:t>105,000 -$200,000</w:t>
      </w:r>
      <w:r w:rsidR="009064B0" w:rsidRPr="00EB5599">
        <w:rPr>
          <w:iCs/>
        </w:rPr>
        <w:t xml:space="preserve">. </w:t>
      </w:r>
      <w:r w:rsidR="00D96A37" w:rsidRPr="00E773B1">
        <w:rPr>
          <w:iCs/>
        </w:rPr>
        <w:t xml:space="preserve">The </w:t>
      </w:r>
      <w:proofErr w:type="gramStart"/>
      <w:r w:rsidR="00D96A37" w:rsidRPr="00E773B1">
        <w:rPr>
          <w:iCs/>
        </w:rPr>
        <w:t>PSCR  noted</w:t>
      </w:r>
      <w:proofErr w:type="gramEnd"/>
      <w:r w:rsidR="00D96A37" w:rsidRPr="00E773B1">
        <w:rPr>
          <w:iCs/>
        </w:rPr>
        <w:t xml:space="preserve"> that in the analysis conducted by the evaluation the utility value of the anchor </w:t>
      </w:r>
      <w:r w:rsidR="00D96A37" w:rsidRPr="00E773B1">
        <w:rPr>
          <w:iCs/>
        </w:rPr>
        <w:lastRenderedPageBreak/>
        <w:t xml:space="preserve">state </w:t>
      </w:r>
      <w:r>
        <w:rPr>
          <w:iCs/>
        </w:rPr>
        <w:t>wa</w:t>
      </w:r>
      <w:r w:rsidR="00D96A37" w:rsidRPr="00E773B1">
        <w:rPr>
          <w:iCs/>
        </w:rPr>
        <w:t>s reduced to the published first-line PFS utility estimate from Kosmas whilst leaving the other utilities re-scaled to the ILLUMINATE anchor state</w:t>
      </w:r>
      <w:r w:rsidR="00023AC9" w:rsidRPr="00E773B1">
        <w:rPr>
          <w:iCs/>
        </w:rPr>
        <w:t xml:space="preserve">. The </w:t>
      </w:r>
      <w:proofErr w:type="gramStart"/>
      <w:r w:rsidR="00023AC9" w:rsidRPr="00E773B1">
        <w:rPr>
          <w:iCs/>
        </w:rPr>
        <w:t>PSCR  argued</w:t>
      </w:r>
      <w:proofErr w:type="gramEnd"/>
      <w:r w:rsidR="0015210F" w:rsidRPr="00E773B1">
        <w:rPr>
          <w:iCs/>
        </w:rPr>
        <w:t xml:space="preserve"> that using this approach, the evaluation has ignored the data reported for the subsequent health states in Kosmas. The ESC considered that the use of the p</w:t>
      </w:r>
      <w:r w:rsidR="0015210F" w:rsidRPr="00E773B1">
        <w:t xml:space="preserve">ooled utility value from both </w:t>
      </w:r>
      <w:r w:rsidR="0015210F" w:rsidRPr="00465CA6">
        <w:t>arms (</w:t>
      </w:r>
      <w:r w:rsidR="007E3667">
        <w:rPr>
          <w:noProof/>
          <w:color w:val="000000"/>
          <w:highlight w:val="black"/>
        </w:rPr>
        <w:t>'''''''''''</w:t>
      </w:r>
      <w:r w:rsidR="0015210F" w:rsidRPr="00465CA6">
        <w:t>) of the</w:t>
      </w:r>
      <w:r w:rsidR="0015210F" w:rsidRPr="00E773B1">
        <w:t xml:space="preserve"> ILLUMINATE trial as the first-line PFS health state utility value and the subsequent use of disutility increments from Kosmas (2015)</w:t>
      </w:r>
      <w:r w:rsidR="00045CCB" w:rsidRPr="00E773B1">
        <w:t>, as per the resubmission</w:t>
      </w:r>
      <w:r w:rsidR="0015210F" w:rsidRPr="00E773B1">
        <w:t xml:space="preserve"> was appropriate. </w:t>
      </w:r>
    </w:p>
    <w:p w:rsidR="00D248DB" w:rsidRDefault="00A77B6A" w:rsidP="00B2597F">
      <w:pPr>
        <w:pStyle w:val="ListParagraph"/>
        <w:numPr>
          <w:ilvl w:val="1"/>
          <w:numId w:val="1"/>
        </w:numPr>
      </w:pPr>
      <w:r w:rsidRPr="00E773B1">
        <w:t xml:space="preserve">The resubmission noted that the model was most sensitive to changes in PFS extrapolations. </w:t>
      </w:r>
      <w:r w:rsidR="00F60CE6" w:rsidRPr="00E773B1">
        <w:t>T</w:t>
      </w:r>
      <w:r w:rsidRPr="00E773B1">
        <w:t xml:space="preserve">here was </w:t>
      </w:r>
      <w:r w:rsidR="002611AB" w:rsidRPr="00E773B1">
        <w:t>minimal</w:t>
      </w:r>
      <w:r w:rsidRPr="00E773B1">
        <w:t xml:space="preserve"> change in the ICER when the first-line extrapolation was changed to </w:t>
      </w:r>
      <w:r w:rsidR="00157818" w:rsidRPr="00E773B1">
        <w:t>G</w:t>
      </w:r>
      <w:r w:rsidRPr="00E773B1">
        <w:t>amma</w:t>
      </w:r>
      <w:r w:rsidR="00F60CE6" w:rsidRPr="00E773B1">
        <w:t xml:space="preserve"> (ICER decreased </w:t>
      </w:r>
      <w:proofErr w:type="gramStart"/>
      <w:r w:rsidR="00F60CE6" w:rsidRPr="00E773B1">
        <w:t xml:space="preserve">from  </w:t>
      </w:r>
      <w:r w:rsidR="00196F32">
        <w:rPr>
          <w:iCs/>
        </w:rPr>
        <w:t>$</w:t>
      </w:r>
      <w:proofErr w:type="gramEnd"/>
      <w:r w:rsidR="00196F32">
        <w:rPr>
          <w:iCs/>
        </w:rPr>
        <w:t>75,000</w:t>
      </w:r>
      <w:r w:rsidR="00BF7058">
        <w:rPr>
          <w:iCs/>
        </w:rPr>
        <w:t>/QALY</w:t>
      </w:r>
      <w:r w:rsidR="00196F32">
        <w:rPr>
          <w:iCs/>
        </w:rPr>
        <w:t xml:space="preserve"> - $105,000</w:t>
      </w:r>
      <w:r w:rsidR="00BF7058">
        <w:rPr>
          <w:iCs/>
        </w:rPr>
        <w:t>/QALY</w:t>
      </w:r>
      <w:r w:rsidR="00196F32">
        <w:rPr>
          <w:iCs/>
        </w:rPr>
        <w:t xml:space="preserve"> </w:t>
      </w:r>
      <w:r w:rsidR="00F60CE6" w:rsidRPr="00E773B1">
        <w:t xml:space="preserve">to </w:t>
      </w:r>
      <w:r w:rsidR="00196F32" w:rsidRPr="00196F32">
        <w:t xml:space="preserve"> </w:t>
      </w:r>
      <w:r w:rsidR="00196F32">
        <w:rPr>
          <w:iCs/>
        </w:rPr>
        <w:t>$45,000</w:t>
      </w:r>
      <w:r w:rsidR="00BF7058">
        <w:rPr>
          <w:iCs/>
        </w:rPr>
        <w:t>/QALY</w:t>
      </w:r>
      <w:r w:rsidR="00196F32">
        <w:rPr>
          <w:iCs/>
        </w:rPr>
        <w:t xml:space="preserve"> - $75,000</w:t>
      </w:r>
      <w:r w:rsidR="00BF7058">
        <w:rPr>
          <w:iCs/>
        </w:rPr>
        <w:t>/QALY</w:t>
      </w:r>
      <w:r w:rsidR="00F60CE6" w:rsidRPr="00E773B1">
        <w:t xml:space="preserve">). </w:t>
      </w:r>
      <w:r w:rsidR="002611AB" w:rsidRPr="00320285">
        <w:t>Second line PFS was extrapolated using an exponential function. Th</w:t>
      </w:r>
      <w:r w:rsidR="003C07D4" w:rsidRPr="00320285">
        <w:t xml:space="preserve">e resubmission stated that it </w:t>
      </w:r>
      <w:r w:rsidR="002611AB" w:rsidRPr="00320285">
        <w:t xml:space="preserve">was selected on the basis of being the best fit to the latest RESONATE study update. The ESC noted </w:t>
      </w:r>
      <w:r w:rsidR="003C07D4" w:rsidRPr="00320285">
        <w:t xml:space="preserve">that </w:t>
      </w:r>
      <w:r w:rsidR="002611AB" w:rsidRPr="00320285">
        <w:t xml:space="preserve">based on </w:t>
      </w:r>
      <w:proofErr w:type="spellStart"/>
      <w:r w:rsidR="002611AB" w:rsidRPr="00320285">
        <w:t>Akaike</w:t>
      </w:r>
      <w:proofErr w:type="spellEnd"/>
      <w:r w:rsidR="002611AB" w:rsidRPr="00320285">
        <w:t xml:space="preserve"> information criterion (AIC) and Bayesian information criterion (BIC) criteria</w:t>
      </w:r>
      <w:r w:rsidR="00D248DB">
        <w:t>,</w:t>
      </w:r>
      <w:r w:rsidR="002611AB" w:rsidRPr="00320285">
        <w:t xml:space="preserve"> the Weibull function would be selected. The ESC further noted use of the exponential function resulted in approximately </w:t>
      </w:r>
      <w:r w:rsidR="007E3667">
        <w:rPr>
          <w:noProof/>
          <w:color w:val="000000"/>
          <w:highlight w:val="black"/>
        </w:rPr>
        <w:t>'''''</w:t>
      </w:r>
      <w:r w:rsidR="002611AB" w:rsidRPr="00320285">
        <w:t xml:space="preserve">% of patients being progression free at 10 years which was higher than for first line (approximately </w:t>
      </w:r>
      <w:r w:rsidR="007E3667">
        <w:rPr>
          <w:noProof/>
          <w:color w:val="000000"/>
          <w:highlight w:val="black"/>
        </w:rPr>
        <w:t>'''</w:t>
      </w:r>
      <w:r w:rsidR="002611AB" w:rsidRPr="00320285">
        <w:t>%). The ESC considered the Weibull function more appropriate for the extrapolation of second line PFS than the selected exponential function.</w:t>
      </w:r>
      <w:r w:rsidR="00773EDE" w:rsidRPr="00320285">
        <w:t xml:space="preserve"> The ESC noted that when </w:t>
      </w:r>
      <w:r w:rsidR="003C07D4" w:rsidRPr="00320285">
        <w:t xml:space="preserve">both </w:t>
      </w:r>
      <w:r w:rsidR="00BD4AE9" w:rsidRPr="00320285">
        <w:t>the</w:t>
      </w:r>
      <w:r w:rsidR="00773EDE" w:rsidRPr="00320285">
        <w:t xml:space="preserve"> </w:t>
      </w:r>
      <w:r w:rsidR="003C07D4" w:rsidRPr="00320285">
        <w:t xml:space="preserve">first and </w:t>
      </w:r>
      <w:r w:rsidR="00773EDE" w:rsidRPr="00320285">
        <w:t xml:space="preserve">second-line extrapolation </w:t>
      </w:r>
      <w:r w:rsidR="003C07D4" w:rsidRPr="00320285">
        <w:t xml:space="preserve">functions used </w:t>
      </w:r>
      <w:r w:rsidR="00773EDE" w:rsidRPr="00320285">
        <w:t xml:space="preserve">Weibull </w:t>
      </w:r>
      <w:r w:rsidR="003C07D4" w:rsidRPr="00320285">
        <w:t xml:space="preserve">functions </w:t>
      </w:r>
      <w:r w:rsidR="00773EDE" w:rsidRPr="00320285">
        <w:t xml:space="preserve">the ICER increased </w:t>
      </w:r>
      <w:proofErr w:type="gramStart"/>
      <w:r w:rsidR="002611AB" w:rsidRPr="00320285">
        <w:t xml:space="preserve">from </w:t>
      </w:r>
      <w:r w:rsidR="00196F32">
        <w:t xml:space="preserve"> </w:t>
      </w:r>
      <w:r w:rsidR="00196F32">
        <w:rPr>
          <w:iCs/>
        </w:rPr>
        <w:t>$</w:t>
      </w:r>
      <w:proofErr w:type="gramEnd"/>
      <w:r w:rsidR="00196F32">
        <w:rPr>
          <w:iCs/>
        </w:rPr>
        <w:t>75,000</w:t>
      </w:r>
      <w:r w:rsidR="00BF7058">
        <w:rPr>
          <w:iCs/>
        </w:rPr>
        <w:t>/QALY</w:t>
      </w:r>
      <w:r w:rsidR="00196F32">
        <w:rPr>
          <w:iCs/>
        </w:rPr>
        <w:t xml:space="preserve"> - $105,000</w:t>
      </w:r>
      <w:r w:rsidR="00BF7058">
        <w:rPr>
          <w:iCs/>
        </w:rPr>
        <w:t>/</w:t>
      </w:r>
      <w:r w:rsidR="00465CA6">
        <w:rPr>
          <w:iCs/>
        </w:rPr>
        <w:t xml:space="preserve">QALY </w:t>
      </w:r>
      <w:r w:rsidR="00465CA6" w:rsidRPr="00320285">
        <w:t>to</w:t>
      </w:r>
      <w:r w:rsidR="00196F32">
        <w:t xml:space="preserve"> </w:t>
      </w:r>
      <w:r w:rsidR="00196F32">
        <w:rPr>
          <w:iCs/>
        </w:rPr>
        <w:t>$75,000</w:t>
      </w:r>
      <w:r w:rsidR="00BF7058">
        <w:rPr>
          <w:iCs/>
        </w:rPr>
        <w:t>/QALY</w:t>
      </w:r>
      <w:r w:rsidR="00196F32">
        <w:rPr>
          <w:iCs/>
        </w:rPr>
        <w:t xml:space="preserve"> - $105,000</w:t>
      </w:r>
      <w:r w:rsidR="00BF7058">
        <w:rPr>
          <w:iCs/>
        </w:rPr>
        <w:t>/QALY</w:t>
      </w:r>
      <w:r w:rsidR="00773EDE" w:rsidRPr="00320285">
        <w:t xml:space="preserve">. </w:t>
      </w:r>
      <w:r w:rsidR="00E022ED" w:rsidRPr="00E022ED">
        <w:t xml:space="preserve"> </w:t>
      </w:r>
    </w:p>
    <w:p w:rsidR="00773EDE" w:rsidRPr="00E773B1" w:rsidRDefault="00E022ED" w:rsidP="00B2597F">
      <w:pPr>
        <w:pStyle w:val="ListParagraph"/>
        <w:numPr>
          <w:ilvl w:val="1"/>
          <w:numId w:val="1"/>
        </w:numPr>
      </w:pPr>
      <w:r>
        <w:t>The pre-PBAC response stated ‘the selection of the exponential extrapolation for second line PFS can now be further validated against more mature data (median follow up 65.3 months) from RESONATE (</w:t>
      </w:r>
      <w:proofErr w:type="spellStart"/>
      <w:r>
        <w:t>Munir</w:t>
      </w:r>
      <w:proofErr w:type="spellEnd"/>
      <w:r>
        <w:t xml:space="preserve"> 2019</w:t>
      </w:r>
      <w:r w:rsidR="00D45C53">
        <w:rPr>
          <w:rStyle w:val="FootnoteReference"/>
        </w:rPr>
        <w:footnoteReference w:id="3"/>
      </w:r>
      <w:r>
        <w:t xml:space="preserve">)’ and that the exponential function predicted the observed PFS results (from </w:t>
      </w:r>
      <w:proofErr w:type="spellStart"/>
      <w:r>
        <w:t>Munir</w:t>
      </w:r>
      <w:proofErr w:type="spellEnd"/>
      <w:r>
        <w:t xml:space="preserve"> 2019) more closely than the Weibull function, based on observations at two </w:t>
      </w:r>
      <w:r w:rsidR="006271E5">
        <w:t>time points</w:t>
      </w:r>
      <w:r>
        <w:t xml:space="preserve"> (the median and 60 months).  </w:t>
      </w:r>
      <w:r w:rsidR="00D248DB">
        <w:t>T</w:t>
      </w:r>
      <w:r>
        <w:t xml:space="preserve">he PBAC noted this was based on two single points in time and the pre-PBAC response had not directly fitted parametric functions to the updated data from </w:t>
      </w:r>
      <w:proofErr w:type="spellStart"/>
      <w:r>
        <w:t>Munir</w:t>
      </w:r>
      <w:proofErr w:type="spellEnd"/>
      <w:r>
        <w:t xml:space="preserve"> 2019</w:t>
      </w:r>
      <w:r w:rsidRPr="00320285">
        <w:t xml:space="preserve">. </w:t>
      </w:r>
      <w:r>
        <w:t xml:space="preserve">The PBAC considered that, based on the information available, the Weibull function was more appropriate for extrapolation of second-line PFS as it: had the lowest AIC/BIC for the RESONATE trial data-cut that was used in the economic model; and resulted in a more conservative extrapolation. The PBAC considered that </w:t>
      </w:r>
      <w:r w:rsidR="00D248DB">
        <w:t xml:space="preserve">a </w:t>
      </w:r>
      <w:r>
        <w:t xml:space="preserve">conservative approach was required given </w:t>
      </w:r>
      <w:r w:rsidRPr="00320285">
        <w:t xml:space="preserve">the uncertainty associated with the use of clinical data for </w:t>
      </w:r>
      <w:proofErr w:type="spellStart"/>
      <w:r w:rsidRPr="00320285">
        <w:t>ibr+obi</w:t>
      </w:r>
      <w:proofErr w:type="spellEnd"/>
      <w:r w:rsidRPr="00320285">
        <w:t xml:space="preserve"> as being representative of ibrutinib monotherapy. </w:t>
      </w:r>
      <w:r>
        <w:t xml:space="preserve">Further, the PBAC noted use of the exponential function resulted in approximately </w:t>
      </w:r>
      <w:r w:rsidR="007E3667">
        <w:rPr>
          <w:noProof/>
          <w:color w:val="000000"/>
          <w:highlight w:val="black"/>
        </w:rPr>
        <w:t>'''''</w:t>
      </w:r>
      <w:r>
        <w:t xml:space="preserve">% of patients being progression free at 10 years which was higher than for first line </w:t>
      </w:r>
      <w:r>
        <w:lastRenderedPageBreak/>
        <w:t xml:space="preserve">(approximately </w:t>
      </w:r>
      <w:r w:rsidR="007E3667">
        <w:rPr>
          <w:noProof/>
          <w:color w:val="000000"/>
          <w:highlight w:val="black"/>
        </w:rPr>
        <w:t>'''</w:t>
      </w:r>
      <w:r>
        <w:t xml:space="preserve">%). While the pre-PBAC response indicated that ‘the ICER is insensitive to differences in PFS beyond the 5-year time point because </w:t>
      </w:r>
      <w:r w:rsidR="007E3667">
        <w:rPr>
          <w:noProof/>
          <w:color w:val="000000"/>
          <w:highlight w:val="black"/>
        </w:rPr>
        <w:t>'''''</w:t>
      </w:r>
      <w:r>
        <w:t>% of progression ev</w:t>
      </w:r>
      <w:r w:rsidR="001F6D7E">
        <w:t>ents have already occurred</w:t>
      </w:r>
      <w:r>
        <w:t>’, the PBAC considered the 10 year PFS estimates indicated that the exponential function overestimated survival and resulted in survival estimates that were not clinically plausible.</w:t>
      </w:r>
    </w:p>
    <w:p w:rsidR="00FE3C20" w:rsidRPr="00E773B1" w:rsidRDefault="00FE3C20" w:rsidP="00B2597F">
      <w:pPr>
        <w:pStyle w:val="ListParagraph"/>
        <w:numPr>
          <w:ilvl w:val="1"/>
          <w:numId w:val="1"/>
        </w:numPr>
      </w:pPr>
      <w:r w:rsidRPr="00E773B1">
        <w:t>The model was sensitive to the treatment duration for first-line ibrutinib. The cycle specific probability of remaining on first line ibrutinib was estimated from ILLUMINATE assuming a constant (exponential) rate. The ESC noted this resulted in the average treatment duration (</w:t>
      </w:r>
      <w:r w:rsidR="007E3667">
        <w:rPr>
          <w:noProof/>
          <w:color w:val="000000"/>
          <w:highlight w:val="black"/>
        </w:rPr>
        <w:t>'''''''''</w:t>
      </w:r>
      <w:r w:rsidRPr="00E773B1">
        <w:t xml:space="preserve"> </w:t>
      </w:r>
      <w:r w:rsidR="003475F4" w:rsidRPr="00E773B1">
        <w:t xml:space="preserve">28 day cycles or </w:t>
      </w:r>
      <w:r w:rsidR="007E3667">
        <w:rPr>
          <w:noProof/>
          <w:color w:val="000000"/>
          <w:highlight w:val="black"/>
        </w:rPr>
        <w:t>'''''''''</w:t>
      </w:r>
      <w:r w:rsidR="003475F4" w:rsidRPr="00E773B1">
        <w:t xml:space="preserve"> </w:t>
      </w:r>
      <w:r w:rsidRPr="00E773B1">
        <w:t>months) being less t</w:t>
      </w:r>
      <w:r w:rsidR="003475F4" w:rsidRPr="00E773B1">
        <w:t>han the average PFS (</w:t>
      </w:r>
      <w:r w:rsidR="007E3667">
        <w:rPr>
          <w:noProof/>
          <w:color w:val="000000"/>
          <w:highlight w:val="black"/>
        </w:rPr>
        <w:t>''''''''</w:t>
      </w:r>
      <w:r w:rsidR="003475F4" w:rsidRPr="00E773B1">
        <w:t xml:space="preserve"> cycles</w:t>
      </w:r>
      <w:r w:rsidRPr="00E773B1">
        <w:t xml:space="preserve">), despite treatment being recommended until disease progression, although ESC also acknowledged that some patients may discontinue ibrutinib treatment due to not tolerating it. Assuming treatment until progression in all patients increased the ICER from </w:t>
      </w:r>
      <w:r w:rsidR="00196F32">
        <w:rPr>
          <w:iCs/>
        </w:rPr>
        <w:t>$75,000</w:t>
      </w:r>
      <w:r w:rsidR="0055297B">
        <w:rPr>
          <w:iCs/>
        </w:rPr>
        <w:t>/QALY</w:t>
      </w:r>
      <w:r w:rsidR="00196F32">
        <w:rPr>
          <w:iCs/>
        </w:rPr>
        <w:t xml:space="preserve"> - $105,000</w:t>
      </w:r>
      <w:r w:rsidR="0055297B">
        <w:rPr>
          <w:iCs/>
        </w:rPr>
        <w:t>/</w:t>
      </w:r>
      <w:r w:rsidR="00465CA6">
        <w:rPr>
          <w:iCs/>
        </w:rPr>
        <w:t xml:space="preserve">QALY </w:t>
      </w:r>
      <w:proofErr w:type="gramStart"/>
      <w:r w:rsidR="00465CA6" w:rsidRPr="00320285">
        <w:t>to</w:t>
      </w:r>
      <w:r w:rsidRPr="00E773B1">
        <w:t xml:space="preserve"> </w:t>
      </w:r>
      <w:r w:rsidR="00196F32">
        <w:t xml:space="preserve"> </w:t>
      </w:r>
      <w:r w:rsidR="00196F32">
        <w:rPr>
          <w:iCs/>
        </w:rPr>
        <w:t>$</w:t>
      </w:r>
      <w:proofErr w:type="gramEnd"/>
      <w:r w:rsidR="00196F32">
        <w:rPr>
          <w:iCs/>
        </w:rPr>
        <w:t>75,000</w:t>
      </w:r>
      <w:r w:rsidR="0055297B">
        <w:rPr>
          <w:iCs/>
        </w:rPr>
        <w:t>/QALY</w:t>
      </w:r>
      <w:r w:rsidR="00196F32">
        <w:rPr>
          <w:iCs/>
        </w:rPr>
        <w:t xml:space="preserve"> - $105,000</w:t>
      </w:r>
      <w:r w:rsidR="0055297B">
        <w:rPr>
          <w:iCs/>
        </w:rPr>
        <w:t>/QALY</w:t>
      </w:r>
      <w:r w:rsidRPr="00E773B1">
        <w:t>.</w:t>
      </w:r>
      <w:r w:rsidR="00A26294">
        <w:t xml:space="preserve"> </w:t>
      </w:r>
    </w:p>
    <w:p w:rsidR="00781E7D" w:rsidRDefault="00781E7D" w:rsidP="00B2597F">
      <w:pPr>
        <w:pStyle w:val="ListParagraph"/>
        <w:numPr>
          <w:ilvl w:val="1"/>
          <w:numId w:val="1"/>
        </w:numPr>
      </w:pPr>
      <w:r w:rsidRPr="00B9191D">
        <w:rPr>
          <w:iCs/>
        </w:rPr>
        <w:t>The model demonstrated sensitivity to the num</w:t>
      </w:r>
      <w:r w:rsidRPr="00EB5599">
        <w:rPr>
          <w:iCs/>
        </w:rPr>
        <w:t>ber of third-line treatment cycles.  Decreasing the number of cycles</w:t>
      </w:r>
      <w:r w:rsidR="009064B0" w:rsidRPr="00EB5599">
        <w:rPr>
          <w:iCs/>
        </w:rPr>
        <w:t xml:space="preserve"> by 5 from the base case of 17 cycles</w:t>
      </w:r>
      <w:r w:rsidRPr="00EB5599">
        <w:rPr>
          <w:iCs/>
        </w:rPr>
        <w:t xml:space="preserve"> increased the ICER/QALY </w:t>
      </w:r>
      <w:proofErr w:type="gramStart"/>
      <w:r w:rsidRPr="00EB5599">
        <w:rPr>
          <w:iCs/>
        </w:rPr>
        <w:t xml:space="preserve">to  </w:t>
      </w:r>
      <w:r w:rsidR="00196F32">
        <w:rPr>
          <w:iCs/>
        </w:rPr>
        <w:t>$</w:t>
      </w:r>
      <w:proofErr w:type="gramEnd"/>
      <w:r w:rsidR="00196F32">
        <w:rPr>
          <w:iCs/>
        </w:rPr>
        <w:t xml:space="preserve">75,000 - $105,000 </w:t>
      </w:r>
      <w:r w:rsidRPr="00EB5599">
        <w:rPr>
          <w:iCs/>
        </w:rPr>
        <w:t>while increasing cycle numbers</w:t>
      </w:r>
      <w:r w:rsidR="009064B0" w:rsidRPr="00EB5599">
        <w:rPr>
          <w:iCs/>
        </w:rPr>
        <w:t xml:space="preserve"> by 5</w:t>
      </w:r>
      <w:r w:rsidRPr="00EB5599">
        <w:rPr>
          <w:iCs/>
        </w:rPr>
        <w:t xml:space="preserve"> decrease</w:t>
      </w:r>
      <w:r w:rsidR="00D248DB">
        <w:rPr>
          <w:iCs/>
        </w:rPr>
        <w:t>d the</w:t>
      </w:r>
      <w:r w:rsidRPr="00EB5599">
        <w:rPr>
          <w:iCs/>
        </w:rPr>
        <w:t xml:space="preserve"> ICER</w:t>
      </w:r>
      <w:r w:rsidR="009064B0" w:rsidRPr="00EB5599">
        <w:rPr>
          <w:iCs/>
        </w:rPr>
        <w:t xml:space="preserve"> to </w:t>
      </w:r>
      <w:r w:rsidR="00196F32">
        <w:rPr>
          <w:iCs/>
        </w:rPr>
        <w:t xml:space="preserve"> $45,000</w:t>
      </w:r>
      <w:r w:rsidR="0055297B">
        <w:rPr>
          <w:iCs/>
        </w:rPr>
        <w:t>/QALY</w:t>
      </w:r>
      <w:r w:rsidR="00196F32">
        <w:rPr>
          <w:iCs/>
        </w:rPr>
        <w:t xml:space="preserve"> - $75,000</w:t>
      </w:r>
      <w:r w:rsidR="0055297B">
        <w:rPr>
          <w:iCs/>
        </w:rPr>
        <w:t>/QALY</w:t>
      </w:r>
      <w:r w:rsidRPr="00EB5599">
        <w:t>.</w:t>
      </w:r>
      <w:r w:rsidR="00A0195A" w:rsidRPr="00EB5599">
        <w:t xml:space="preserve">  </w:t>
      </w:r>
      <w:r w:rsidR="00077685" w:rsidRPr="00E773B1">
        <w:t xml:space="preserve">The ESC agreed with the evaluation that the number of third-line treatment cycles was a key driver of the model.  </w:t>
      </w:r>
      <w:r w:rsidR="00A0195A" w:rsidRPr="00EB5599">
        <w:rPr>
          <w:iCs/>
        </w:rPr>
        <w:t xml:space="preserve">While third-line treatment did not distinguish between progression-free and progressed disease, the sensitivity of the model to </w:t>
      </w:r>
      <w:r w:rsidR="00FE3C20">
        <w:rPr>
          <w:iCs/>
        </w:rPr>
        <w:t xml:space="preserve">the </w:t>
      </w:r>
      <w:r w:rsidR="00A0195A" w:rsidRPr="00EB5599">
        <w:rPr>
          <w:iCs/>
        </w:rPr>
        <w:t>third-line treatment duration indicate</w:t>
      </w:r>
      <w:r w:rsidR="00077685">
        <w:rPr>
          <w:iCs/>
        </w:rPr>
        <w:t>d</w:t>
      </w:r>
      <w:r w:rsidR="00A0195A" w:rsidRPr="00EB5599">
        <w:rPr>
          <w:iCs/>
        </w:rPr>
        <w:t xml:space="preserve"> </w:t>
      </w:r>
      <w:r w:rsidR="00077685">
        <w:rPr>
          <w:iCs/>
        </w:rPr>
        <w:t>the</w:t>
      </w:r>
      <w:r w:rsidR="00077685" w:rsidRPr="00EB5599">
        <w:rPr>
          <w:iCs/>
        </w:rPr>
        <w:t xml:space="preserve"> </w:t>
      </w:r>
      <w:r w:rsidR="00A0195A" w:rsidRPr="00EB5599">
        <w:rPr>
          <w:iCs/>
        </w:rPr>
        <w:t xml:space="preserve">impact of this line of treatment.  </w:t>
      </w:r>
      <w:r w:rsidR="003044A4" w:rsidRPr="00E773B1">
        <w:t>The PSCR  stated that the resubmission did</w:t>
      </w:r>
      <w:r w:rsidR="00FE3C20" w:rsidRPr="00E773B1">
        <w:t xml:space="preserve"> </w:t>
      </w:r>
      <w:r w:rsidR="003044A4" w:rsidRPr="00E773B1">
        <w:t>n</w:t>
      </w:r>
      <w:r w:rsidR="00FE3C20" w:rsidRPr="00E773B1">
        <w:t>o</w:t>
      </w:r>
      <w:r w:rsidR="003044A4" w:rsidRPr="00E773B1">
        <w:t xml:space="preserve">t include further treatments and further progression after the third-line health state, as there is a lack of information to inform such transitions (particularly in the del17p population). The </w:t>
      </w:r>
      <w:proofErr w:type="gramStart"/>
      <w:r w:rsidR="003044A4" w:rsidRPr="00E773B1">
        <w:t>PSCR  argued</w:t>
      </w:r>
      <w:proofErr w:type="gramEnd"/>
      <w:r w:rsidR="003044A4" w:rsidRPr="00E773B1">
        <w:t xml:space="preserve"> that the omission was conservative as the impact of including further progression effects would likely reduce the ICER in favour of ibrutinib. </w:t>
      </w:r>
    </w:p>
    <w:p w:rsidR="00081677" w:rsidRPr="00081677" w:rsidRDefault="00083F5A" w:rsidP="00B2597F">
      <w:pPr>
        <w:widowControl w:val="0"/>
        <w:numPr>
          <w:ilvl w:val="1"/>
          <w:numId w:val="1"/>
        </w:numPr>
        <w:spacing w:after="120"/>
        <w:rPr>
          <w:iCs/>
        </w:rPr>
      </w:pPr>
      <w:r w:rsidRPr="009E0320">
        <w:rPr>
          <w:rFonts w:asciiTheme="minorHAnsi" w:hAnsiTheme="minorHAnsi" w:cs="Arial"/>
          <w:bCs/>
          <w:snapToGrid w:val="0"/>
          <w:lang w:val="en-GB"/>
        </w:rPr>
        <w:t xml:space="preserve">The PBAC noted the ICER to be highly dependent on the </w:t>
      </w:r>
      <w:r w:rsidRPr="009E0320">
        <w:t xml:space="preserve">expected average price of ibrutinib and venetoclax for R/R CLL/SLL and the second line PFS extrapolation function used in the model. </w:t>
      </w:r>
      <w:r w:rsidR="000579BD">
        <w:t>The</w:t>
      </w:r>
      <w:r w:rsidR="00081677">
        <w:t xml:space="preserve"> PBAC noted that when</w:t>
      </w:r>
      <w:r w:rsidR="000579BD">
        <w:t xml:space="preserve"> a DPMQ of $</w:t>
      </w:r>
      <w:r w:rsidR="007E3667">
        <w:rPr>
          <w:noProof/>
          <w:color w:val="000000"/>
          <w:highlight w:val="black"/>
        </w:rPr>
        <w:t>'''''''''''</w:t>
      </w:r>
      <w:r w:rsidR="00350E65">
        <w:t xml:space="preserve"> (see paragraph 6.74)</w:t>
      </w:r>
      <w:r w:rsidR="000579BD">
        <w:t xml:space="preserve"> </w:t>
      </w:r>
      <w:r w:rsidR="00081677">
        <w:t xml:space="preserve">was used </w:t>
      </w:r>
      <w:r w:rsidR="000579BD">
        <w:t>for ibrutinib and venetoclax in the R/R setting</w:t>
      </w:r>
      <w:r w:rsidR="00350E65">
        <w:t xml:space="preserve"> the ICER increased from </w:t>
      </w:r>
      <w:r w:rsidR="00196F32">
        <w:t xml:space="preserve"> </w:t>
      </w:r>
      <w:r w:rsidR="00196F32">
        <w:rPr>
          <w:iCs/>
        </w:rPr>
        <w:t>$75,000</w:t>
      </w:r>
      <w:r w:rsidR="00D029CB">
        <w:rPr>
          <w:iCs/>
        </w:rPr>
        <w:t>/QALY</w:t>
      </w:r>
      <w:r w:rsidR="00196F32">
        <w:rPr>
          <w:iCs/>
        </w:rPr>
        <w:t xml:space="preserve"> - $105,000</w:t>
      </w:r>
      <w:r w:rsidR="00D029CB">
        <w:t xml:space="preserve">/QALY </w:t>
      </w:r>
      <w:r w:rsidR="00350E65">
        <w:t>to</w:t>
      </w:r>
      <w:r w:rsidR="00F43E36">
        <w:t xml:space="preserve"> approximately</w:t>
      </w:r>
      <w:r w:rsidR="00350E65">
        <w:t xml:space="preserve"> </w:t>
      </w:r>
      <w:r w:rsidR="00196F32">
        <w:t xml:space="preserve"> </w:t>
      </w:r>
      <w:r w:rsidR="00196F32">
        <w:rPr>
          <w:iCs/>
        </w:rPr>
        <w:t>$75,000</w:t>
      </w:r>
      <w:r w:rsidR="00D029CB">
        <w:rPr>
          <w:iCs/>
        </w:rPr>
        <w:t>/QALY</w:t>
      </w:r>
      <w:r w:rsidR="00196F32">
        <w:rPr>
          <w:iCs/>
        </w:rPr>
        <w:t xml:space="preserve"> - $105,000</w:t>
      </w:r>
      <w:r w:rsidR="00D029CB">
        <w:rPr>
          <w:iCs/>
        </w:rPr>
        <w:t>/QALY</w:t>
      </w:r>
      <w:r w:rsidR="00915A5F">
        <w:rPr>
          <w:rStyle w:val="FootnoteReference"/>
        </w:rPr>
        <w:footnoteReference w:id="4"/>
      </w:r>
      <w:r w:rsidR="00081677">
        <w:t>,</w:t>
      </w:r>
      <w:r w:rsidR="000579BD">
        <w:t xml:space="preserve"> </w:t>
      </w:r>
      <w:r w:rsidR="00081677">
        <w:t>and when</w:t>
      </w:r>
      <w:r w:rsidR="00915A5F">
        <w:t xml:space="preserve"> in addition</w:t>
      </w:r>
      <w:r w:rsidR="00081677">
        <w:t xml:space="preserve"> </w:t>
      </w:r>
      <w:r w:rsidR="000579BD" w:rsidRPr="00E773B1">
        <w:rPr>
          <w:iCs/>
        </w:rPr>
        <w:t xml:space="preserve">both the first and second-line </w:t>
      </w:r>
      <w:r w:rsidR="007C4AFD">
        <w:rPr>
          <w:iCs/>
        </w:rPr>
        <w:t xml:space="preserve">PFS </w:t>
      </w:r>
      <w:r w:rsidR="000579BD" w:rsidRPr="00E773B1">
        <w:rPr>
          <w:iCs/>
        </w:rPr>
        <w:t xml:space="preserve">extrapolation functions used Weibull functions </w:t>
      </w:r>
      <w:r w:rsidR="00915A5F">
        <w:rPr>
          <w:iCs/>
        </w:rPr>
        <w:t>the ICER increased</w:t>
      </w:r>
      <w:r w:rsidR="00081677">
        <w:t xml:space="preserve"> </w:t>
      </w:r>
      <w:r w:rsidR="00081677" w:rsidRPr="00081677">
        <w:rPr>
          <w:iCs/>
        </w:rPr>
        <w:t>to</w:t>
      </w:r>
      <w:r w:rsidR="00F43E36">
        <w:rPr>
          <w:iCs/>
        </w:rPr>
        <w:t xml:space="preserve"> approximately</w:t>
      </w:r>
      <w:r w:rsidR="00081677" w:rsidRPr="00081677">
        <w:rPr>
          <w:iCs/>
        </w:rPr>
        <w:t xml:space="preserve"> </w:t>
      </w:r>
      <w:r w:rsidR="00196F32">
        <w:rPr>
          <w:iCs/>
        </w:rPr>
        <w:t xml:space="preserve"> </w:t>
      </w:r>
      <w:r w:rsidR="00196F32">
        <w:rPr>
          <w:iCs/>
        </w:rPr>
        <w:lastRenderedPageBreak/>
        <w:t>$105,000</w:t>
      </w:r>
      <w:r w:rsidR="00013066">
        <w:rPr>
          <w:iCs/>
        </w:rPr>
        <w:t>/QALY</w:t>
      </w:r>
      <w:r w:rsidR="00196F32">
        <w:rPr>
          <w:iCs/>
        </w:rPr>
        <w:t xml:space="preserve"> - $200,000</w:t>
      </w:r>
      <w:r w:rsidR="00013066">
        <w:rPr>
          <w:iCs/>
        </w:rPr>
        <w:t>/QALY</w:t>
      </w:r>
      <w:r w:rsidR="008A24A0">
        <w:rPr>
          <w:rStyle w:val="FootnoteReference"/>
          <w:iCs/>
        </w:rPr>
        <w:footnoteReference w:id="5"/>
      </w:r>
      <w:r w:rsidR="00081677">
        <w:rPr>
          <w:iCs/>
        </w:rPr>
        <w:t xml:space="preserve">. </w:t>
      </w:r>
    </w:p>
    <w:p w:rsidR="00083F5A" w:rsidRDefault="00083F5A" w:rsidP="00081677"/>
    <w:p w:rsidR="00C25D9C" w:rsidRPr="002C2775" w:rsidRDefault="00C25D9C" w:rsidP="00C9624D">
      <w:pPr>
        <w:pStyle w:val="Heading2"/>
      </w:pPr>
      <w:bookmarkStart w:id="15" w:name="_Toc19716434"/>
      <w:r w:rsidRPr="002C2775">
        <w:t>Drug cost/patient/cours</w:t>
      </w:r>
      <w:r w:rsidR="00A9455B">
        <w:t>e</w:t>
      </w:r>
      <w:bookmarkEnd w:id="15"/>
    </w:p>
    <w:p w:rsidR="00C25D9C" w:rsidRPr="00C25D9C" w:rsidRDefault="00C25D9C" w:rsidP="00E05630">
      <w:pPr>
        <w:keepNext/>
      </w:pPr>
    </w:p>
    <w:p w:rsidR="00A9455B" w:rsidRPr="00BF252A" w:rsidRDefault="00BF252A" w:rsidP="00B2597F">
      <w:pPr>
        <w:pStyle w:val="ListParagraph"/>
        <w:keepNext/>
        <w:numPr>
          <w:ilvl w:val="1"/>
          <w:numId w:val="1"/>
        </w:numPr>
      </w:pPr>
      <w:r w:rsidRPr="00113D1E">
        <w:rPr>
          <w:rFonts w:asciiTheme="minorHAnsi" w:hAnsiTheme="minorHAnsi"/>
          <w:lang w:val="en-GB"/>
        </w:rPr>
        <w:t>The drug cost/patient/course was based on time on treatment estimated by the economic model</w:t>
      </w:r>
      <w:r>
        <w:rPr>
          <w:rFonts w:asciiTheme="minorHAnsi" w:hAnsiTheme="minorHAnsi"/>
          <w:lang w:val="en-GB"/>
        </w:rPr>
        <w:t xml:space="preserve">.  </w:t>
      </w:r>
      <w:r w:rsidRPr="00113D1E">
        <w:rPr>
          <w:rFonts w:asciiTheme="minorHAnsi" w:hAnsiTheme="minorHAnsi"/>
          <w:lang w:val="en-GB"/>
        </w:rPr>
        <w:t xml:space="preserve">The table below provides </w:t>
      </w:r>
      <w:r>
        <w:rPr>
          <w:rFonts w:asciiTheme="minorHAnsi" w:hAnsiTheme="minorHAnsi"/>
          <w:lang w:val="en-GB"/>
        </w:rPr>
        <w:t>the cost per patient per month</w:t>
      </w:r>
      <w:r w:rsidR="0053545C">
        <w:rPr>
          <w:rFonts w:asciiTheme="minorHAnsi" w:hAnsiTheme="minorHAnsi"/>
          <w:lang w:val="en-GB"/>
        </w:rPr>
        <w:t xml:space="preserve"> based on the price requested in the resubmission</w:t>
      </w:r>
      <w:r>
        <w:rPr>
          <w:rFonts w:asciiTheme="minorHAnsi" w:hAnsiTheme="minorHAnsi"/>
          <w:lang w:val="en-GB"/>
        </w:rPr>
        <w:t>,</w:t>
      </w:r>
      <w:r w:rsidRPr="00113D1E">
        <w:rPr>
          <w:rFonts w:asciiTheme="minorHAnsi" w:hAnsiTheme="minorHAnsi"/>
          <w:lang w:val="en-GB"/>
        </w:rPr>
        <w:t xml:space="preserve"> </w:t>
      </w:r>
      <w:r>
        <w:rPr>
          <w:rFonts w:asciiTheme="minorHAnsi" w:hAnsiTheme="minorHAnsi"/>
          <w:lang w:val="en-GB"/>
        </w:rPr>
        <w:t>with results from the November 2017 model provided for reference.</w:t>
      </w:r>
    </w:p>
    <w:p w:rsidR="00BF252A" w:rsidRDefault="00BF252A" w:rsidP="00BF252A">
      <w:pPr>
        <w:keepNext/>
      </w:pPr>
      <w:r w:rsidRPr="00401364">
        <w:rPr>
          <w:rFonts w:ascii="Arial Narrow" w:hAnsi="Arial Narrow"/>
          <w:b/>
          <w:sz w:val="20"/>
          <w:szCs w:val="20"/>
        </w:rPr>
        <w:t xml:space="preserve">Table </w:t>
      </w:r>
      <w:r w:rsidR="00B9191D">
        <w:rPr>
          <w:rFonts w:ascii="Arial Narrow" w:hAnsi="Arial Narrow"/>
          <w:b/>
          <w:sz w:val="20"/>
          <w:szCs w:val="20"/>
        </w:rPr>
        <w:t>17</w:t>
      </w:r>
      <w:r>
        <w:rPr>
          <w:rFonts w:ascii="Arial Narrow" w:hAnsi="Arial Narrow"/>
          <w:b/>
          <w:noProof/>
          <w:sz w:val="20"/>
          <w:szCs w:val="20"/>
        </w:rPr>
        <w:t>:</w:t>
      </w:r>
      <w:r w:rsidRPr="001222FC">
        <w:rPr>
          <w:rStyle w:val="CommentReference"/>
        </w:rPr>
        <w:t xml:space="preserve"> </w:t>
      </w:r>
      <w:r w:rsidRPr="00BF252A">
        <w:rPr>
          <w:rFonts w:ascii="Arial Narrow" w:hAnsi="Arial Narrow"/>
          <w:b/>
          <w:bCs/>
          <w:sz w:val="20"/>
          <w:szCs w:val="20"/>
        </w:rPr>
        <w:t>Estimated drug cost/patient</w:t>
      </w:r>
    </w:p>
    <w:tbl>
      <w:tblPr>
        <w:tblStyle w:val="TableGrid"/>
        <w:tblW w:w="9359" w:type="dxa"/>
        <w:tblLook w:val="04A0" w:firstRow="1" w:lastRow="0" w:firstColumn="1" w:lastColumn="0" w:noHBand="0" w:noVBand="1"/>
        <w:tblCaption w:val="Table 17: Estimated drug cost/patient"/>
      </w:tblPr>
      <w:tblGrid>
        <w:gridCol w:w="5353"/>
        <w:gridCol w:w="1984"/>
        <w:gridCol w:w="2022"/>
      </w:tblGrid>
      <w:tr w:rsidR="00BF252A" w:rsidRPr="00BD77E3" w:rsidTr="00906E74">
        <w:trPr>
          <w:tblHeader/>
        </w:trPr>
        <w:tc>
          <w:tcPr>
            <w:tcW w:w="5353" w:type="dxa"/>
          </w:tcPr>
          <w:p w:rsidR="00BF252A" w:rsidRPr="00BD77E3" w:rsidRDefault="00BF252A" w:rsidP="00BF252A">
            <w:pPr>
              <w:pStyle w:val="TableText1"/>
              <w:rPr>
                <w:b/>
                <w:bCs/>
              </w:rPr>
            </w:pPr>
          </w:p>
        </w:tc>
        <w:tc>
          <w:tcPr>
            <w:tcW w:w="1984" w:type="dxa"/>
          </w:tcPr>
          <w:p w:rsidR="00BF252A" w:rsidRPr="00BD77E3" w:rsidRDefault="00BF252A" w:rsidP="00BF252A">
            <w:pPr>
              <w:pStyle w:val="TableText1"/>
              <w:jc w:val="center"/>
              <w:rPr>
                <w:b/>
                <w:bCs/>
              </w:rPr>
            </w:pPr>
            <w:r>
              <w:rPr>
                <w:b/>
                <w:bCs/>
              </w:rPr>
              <w:t>Resubmission</w:t>
            </w:r>
          </w:p>
        </w:tc>
        <w:tc>
          <w:tcPr>
            <w:tcW w:w="2022" w:type="dxa"/>
          </w:tcPr>
          <w:p w:rsidR="00BF252A" w:rsidRPr="00BD77E3" w:rsidRDefault="00BF252A" w:rsidP="00BF252A">
            <w:pPr>
              <w:pStyle w:val="TableText1"/>
              <w:jc w:val="center"/>
              <w:rPr>
                <w:b/>
                <w:bCs/>
              </w:rPr>
            </w:pPr>
            <w:r>
              <w:rPr>
                <w:b/>
                <w:bCs/>
              </w:rPr>
              <w:t>November 2017 model</w:t>
            </w:r>
          </w:p>
        </w:tc>
      </w:tr>
      <w:tr w:rsidR="00AF4292" w:rsidTr="00337EFE">
        <w:tc>
          <w:tcPr>
            <w:tcW w:w="5353" w:type="dxa"/>
          </w:tcPr>
          <w:p w:rsidR="00AF4292" w:rsidRDefault="00AF4292" w:rsidP="00AF4292">
            <w:pPr>
              <w:pStyle w:val="TableText1"/>
            </w:pPr>
            <w:r>
              <w:t>Time on treatment in the economic model</w:t>
            </w:r>
          </w:p>
        </w:tc>
        <w:tc>
          <w:tcPr>
            <w:tcW w:w="1984" w:type="dxa"/>
          </w:tcPr>
          <w:p w:rsidR="00AF4292" w:rsidRPr="00AF4292" w:rsidRDefault="007E3667" w:rsidP="00AF4292">
            <w:pPr>
              <w:pStyle w:val="TableText1"/>
              <w:jc w:val="center"/>
            </w:pPr>
            <w:r>
              <w:rPr>
                <w:noProof/>
                <w:color w:val="000000"/>
                <w:highlight w:val="black"/>
              </w:rPr>
              <w:t>'''''''''''</w:t>
            </w:r>
            <w:r w:rsidR="00AF4292" w:rsidRPr="00AF4292">
              <w:t xml:space="preserve"> months</w:t>
            </w:r>
          </w:p>
        </w:tc>
        <w:tc>
          <w:tcPr>
            <w:tcW w:w="2022" w:type="dxa"/>
          </w:tcPr>
          <w:p w:rsidR="00AF4292" w:rsidRPr="00AF4292" w:rsidRDefault="007E3667" w:rsidP="00AF4292">
            <w:pPr>
              <w:pStyle w:val="TableText1"/>
              <w:jc w:val="center"/>
            </w:pPr>
            <w:r>
              <w:rPr>
                <w:noProof/>
                <w:color w:val="000000"/>
                <w:highlight w:val="black"/>
              </w:rPr>
              <w:t>''''''''''</w:t>
            </w:r>
            <w:r w:rsidR="00AF4292" w:rsidRPr="00AF4292">
              <w:t xml:space="preserve"> months</w:t>
            </w:r>
          </w:p>
        </w:tc>
      </w:tr>
      <w:tr w:rsidR="00BF252A" w:rsidTr="00337EFE">
        <w:tc>
          <w:tcPr>
            <w:tcW w:w="5353" w:type="dxa"/>
          </w:tcPr>
          <w:p w:rsidR="00BF252A" w:rsidRDefault="00BF252A" w:rsidP="00BF252A">
            <w:pPr>
              <w:pStyle w:val="TableText1"/>
            </w:pPr>
            <w:r>
              <w:t>Cost of treatment based on model-estimated treatment duration</w:t>
            </w:r>
          </w:p>
        </w:tc>
        <w:tc>
          <w:tcPr>
            <w:tcW w:w="1984" w:type="dxa"/>
          </w:tcPr>
          <w:p w:rsidR="00BF252A" w:rsidRPr="00C64323" w:rsidRDefault="00A63FD1" w:rsidP="00BF252A">
            <w:pPr>
              <w:pStyle w:val="TableText1"/>
              <w:jc w:val="center"/>
              <w:rPr>
                <w:highlight w:val="magenta"/>
                <w:vertAlign w:val="superscript"/>
              </w:rPr>
            </w:pPr>
            <w:r w:rsidRPr="00496747">
              <w:t>$</w:t>
            </w:r>
            <w:r w:rsidR="007E3667">
              <w:rPr>
                <w:noProof/>
                <w:color w:val="000000"/>
                <w:highlight w:val="black"/>
              </w:rPr>
              <w:t>''''''''''''''''''''</w:t>
            </w:r>
            <w:r w:rsidR="00C64323" w:rsidRPr="00013066">
              <w:rPr>
                <w:vertAlign w:val="superscript"/>
              </w:rPr>
              <w:t>a</w:t>
            </w:r>
          </w:p>
        </w:tc>
        <w:tc>
          <w:tcPr>
            <w:tcW w:w="2022" w:type="dxa"/>
          </w:tcPr>
          <w:p w:rsidR="00BF252A" w:rsidRDefault="00BF252A" w:rsidP="00BF252A">
            <w:pPr>
              <w:pStyle w:val="TableText1"/>
              <w:jc w:val="center"/>
            </w:pPr>
            <w:r>
              <w:t>$</w:t>
            </w:r>
            <w:r w:rsidR="007E3667">
              <w:rPr>
                <w:noProof/>
                <w:color w:val="000000"/>
                <w:highlight w:val="black"/>
              </w:rPr>
              <w:t>'''''''''''''''''</w:t>
            </w:r>
          </w:p>
        </w:tc>
      </w:tr>
      <w:tr w:rsidR="00BF252A" w:rsidTr="00337EFE">
        <w:tc>
          <w:tcPr>
            <w:tcW w:w="5353" w:type="dxa"/>
          </w:tcPr>
          <w:p w:rsidR="00BF252A" w:rsidRDefault="00BF252A" w:rsidP="00BF252A">
            <w:pPr>
              <w:pStyle w:val="TableText1"/>
            </w:pPr>
            <w:r>
              <w:t>Cost per month</w:t>
            </w:r>
          </w:p>
        </w:tc>
        <w:tc>
          <w:tcPr>
            <w:tcW w:w="1984" w:type="dxa"/>
          </w:tcPr>
          <w:p w:rsidR="00BF252A" w:rsidRPr="00C64323" w:rsidRDefault="003475F4" w:rsidP="00BF252A">
            <w:pPr>
              <w:pStyle w:val="TableText1"/>
              <w:jc w:val="center"/>
              <w:rPr>
                <w:highlight w:val="magenta"/>
                <w:vertAlign w:val="superscript"/>
              </w:rPr>
            </w:pPr>
            <w:r>
              <w:t>$</w:t>
            </w:r>
            <w:r w:rsidR="007E3667">
              <w:rPr>
                <w:noProof/>
                <w:color w:val="000000"/>
                <w:highlight w:val="black"/>
              </w:rPr>
              <w:t>''''''''''''''''''''''</w:t>
            </w:r>
            <w:r w:rsidR="00C64323" w:rsidRPr="00013066">
              <w:rPr>
                <w:vertAlign w:val="superscript"/>
              </w:rPr>
              <w:t>a</w:t>
            </w:r>
          </w:p>
        </w:tc>
        <w:tc>
          <w:tcPr>
            <w:tcW w:w="2022" w:type="dxa"/>
          </w:tcPr>
          <w:p w:rsidR="00BF252A" w:rsidRDefault="00BF252A" w:rsidP="00BF252A">
            <w:pPr>
              <w:pStyle w:val="TableText1"/>
              <w:jc w:val="center"/>
            </w:pPr>
            <w:r>
              <w:t>$</w:t>
            </w:r>
            <w:r w:rsidR="007E3667">
              <w:rPr>
                <w:noProof/>
                <w:color w:val="000000"/>
                <w:highlight w:val="black"/>
              </w:rPr>
              <w:t>''''''''''''''''''''''</w:t>
            </w:r>
          </w:p>
        </w:tc>
      </w:tr>
    </w:tbl>
    <w:p w:rsidR="00C64323" w:rsidRPr="00C64323" w:rsidRDefault="00C64323" w:rsidP="00BF252A">
      <w:pPr>
        <w:pStyle w:val="TableFooter"/>
      </w:pPr>
      <w:proofErr w:type="spellStart"/>
      <w:proofErr w:type="gramStart"/>
      <w:r>
        <w:rPr>
          <w:vertAlign w:val="superscript"/>
        </w:rPr>
        <w:t>a</w:t>
      </w:r>
      <w:r>
        <w:t>Based</w:t>
      </w:r>
      <w:proofErr w:type="spellEnd"/>
      <w:proofErr w:type="gramEnd"/>
      <w:r>
        <w:t xml:space="preserve"> on the price requested in the resubmission (DPMQ $</w:t>
      </w:r>
      <w:r w:rsidR="007E3667">
        <w:rPr>
          <w:noProof/>
          <w:color w:val="000000"/>
          <w:highlight w:val="black"/>
        </w:rPr>
        <w:t>'''''''''''''''''''''''</w:t>
      </w:r>
      <w:r>
        <w:t>)</w:t>
      </w:r>
    </w:p>
    <w:p w:rsidR="00BF252A" w:rsidRDefault="00BF252A" w:rsidP="00BF252A">
      <w:pPr>
        <w:pStyle w:val="TableFooter"/>
      </w:pPr>
      <w:r>
        <w:t xml:space="preserve">Source: </w:t>
      </w:r>
      <w:r w:rsidRPr="006C5C57">
        <w:t>Excel workbook ‘</w:t>
      </w:r>
      <w:r>
        <w:t>Attachment 3.2.1_cost utility model ibrutinib del17p_Final’, worksheet ‘IBR engine_del17p’ provided with the resubmission.</w:t>
      </w:r>
    </w:p>
    <w:p w:rsidR="00BF252A" w:rsidRPr="00BF252A" w:rsidRDefault="00BF252A" w:rsidP="00BF252A"/>
    <w:p w:rsidR="00BF252A" w:rsidRPr="00EB5599" w:rsidRDefault="00BF252A" w:rsidP="00B2597F">
      <w:pPr>
        <w:pStyle w:val="ListParagraph"/>
        <w:keepNext/>
        <w:numPr>
          <w:ilvl w:val="1"/>
          <w:numId w:val="1"/>
        </w:numPr>
        <w:rPr>
          <w:iCs/>
        </w:rPr>
      </w:pPr>
      <w:r w:rsidRPr="00EB5599">
        <w:rPr>
          <w:iCs/>
        </w:rPr>
        <w:t xml:space="preserve">The cost per patient per month </w:t>
      </w:r>
      <w:r w:rsidR="00210A7D" w:rsidRPr="00EB5599">
        <w:rPr>
          <w:iCs/>
        </w:rPr>
        <w:t xml:space="preserve">relies on time on treatment estimated by the economic model.  </w:t>
      </w:r>
      <w:r w:rsidR="00A63FD1" w:rsidRPr="00E773B1">
        <w:rPr>
          <w:iCs/>
        </w:rPr>
        <w:t>The average time on treatment in the model is less than the average PFS.</w:t>
      </w:r>
      <w:r w:rsidR="00210A7D" w:rsidRPr="00EB5599">
        <w:rPr>
          <w:iCs/>
        </w:rPr>
        <w:t xml:space="preserve"> </w:t>
      </w:r>
      <w:r w:rsidRPr="00EB5599">
        <w:rPr>
          <w:iCs/>
        </w:rPr>
        <w:t xml:space="preserve"> </w:t>
      </w:r>
    </w:p>
    <w:p w:rsidR="00B60939" w:rsidRPr="00C9624D" w:rsidRDefault="00B60939" w:rsidP="00C9624D">
      <w:pPr>
        <w:pStyle w:val="Heading2"/>
      </w:pPr>
      <w:bookmarkStart w:id="16" w:name="_Toc19716435"/>
      <w:r w:rsidRPr="00C9624D">
        <w:t>Estimated PBS usage &amp; financial implications</w:t>
      </w:r>
      <w:bookmarkEnd w:id="16"/>
    </w:p>
    <w:p w:rsidR="00B60939" w:rsidRPr="00882085" w:rsidRDefault="00B60939" w:rsidP="00B60939">
      <w:pPr>
        <w:ind w:left="720" w:hanging="720"/>
        <w:rPr>
          <w:b/>
          <w:i/>
        </w:rPr>
      </w:pPr>
    </w:p>
    <w:p w:rsidR="00157818" w:rsidRDefault="00F17EDA" w:rsidP="00B2597F">
      <w:pPr>
        <w:pStyle w:val="ListParagraph"/>
        <w:numPr>
          <w:ilvl w:val="1"/>
          <w:numId w:val="1"/>
        </w:numPr>
      </w:pPr>
      <w:r>
        <w:t xml:space="preserve">The resubmission </w:t>
      </w:r>
      <w:r w:rsidR="006B642D">
        <w:t>was not</w:t>
      </w:r>
      <w:r>
        <w:t xml:space="preserve"> considered by DUSC.  </w:t>
      </w:r>
      <w:r w:rsidR="005B6484">
        <w:t>The November 2017 submission was considered by DUSC</w:t>
      </w:r>
      <w:r w:rsidR="00C25D9C" w:rsidRPr="0099214D">
        <w:t>.</w:t>
      </w:r>
      <w:r w:rsidR="00973030">
        <w:t xml:space="preserve">  </w:t>
      </w:r>
    </w:p>
    <w:p w:rsidR="00973030" w:rsidRDefault="009700E5" w:rsidP="00B2597F">
      <w:pPr>
        <w:pStyle w:val="ListParagraph"/>
        <w:numPr>
          <w:ilvl w:val="1"/>
          <w:numId w:val="1"/>
        </w:numPr>
      </w:pPr>
      <w:r>
        <w:t>T</w:t>
      </w:r>
      <w:r w:rsidR="00973030">
        <w:t>he November 2017 submission and March 2018 resubmission</w:t>
      </w:r>
      <w:r>
        <w:t xml:space="preserve"> applied </w:t>
      </w:r>
      <w:r w:rsidR="00973030">
        <w:t>an epidemiological approach</w:t>
      </w:r>
      <w:r w:rsidR="00F009D5">
        <w:t xml:space="preserve"> </w:t>
      </w:r>
      <w:r w:rsidR="00973030">
        <w:t xml:space="preserve">to estimate the number of </w:t>
      </w:r>
      <w:r w:rsidR="00F009D5">
        <w:t xml:space="preserve">first-line </w:t>
      </w:r>
      <w:r w:rsidR="00973030">
        <w:t>patients treated with ibrutinib</w:t>
      </w:r>
      <w:r>
        <w:t xml:space="preserve"> and a similar approach </w:t>
      </w:r>
      <w:r w:rsidR="00B00628">
        <w:t>was</w:t>
      </w:r>
      <w:r>
        <w:t xml:space="preserve"> applied</w:t>
      </w:r>
      <w:r w:rsidR="005C4682">
        <w:t xml:space="preserve"> to estimate the number of first-line del17p patients</w:t>
      </w:r>
      <w:r w:rsidR="0047427D">
        <w:t xml:space="preserve"> in the resubmission</w:t>
      </w:r>
      <w:r w:rsidR="00973030">
        <w:t>.</w:t>
      </w:r>
      <w:r w:rsidR="00F009D5">
        <w:t xml:space="preserve">  The resubmission’s approach included estimation of incident patients; estimation of prevalent patients; and the determination of the proportion of </w:t>
      </w:r>
      <w:r w:rsidR="00157818">
        <w:t xml:space="preserve">incident and prevalent CLL/SLL </w:t>
      </w:r>
      <w:r w:rsidR="00F009D5">
        <w:t>patients with del17p.</w:t>
      </w:r>
    </w:p>
    <w:p w:rsidR="00973030" w:rsidRPr="00EB5599" w:rsidRDefault="004C05DB" w:rsidP="00B2597F">
      <w:pPr>
        <w:pStyle w:val="ListParagraph"/>
        <w:numPr>
          <w:ilvl w:val="1"/>
          <w:numId w:val="1"/>
        </w:numPr>
        <w:spacing w:after="0"/>
      </w:pPr>
      <w:r>
        <w:t xml:space="preserve">The resubmission conducted a literature review to identify the proportion of del17p patients in studies with CLL patients.  The </w:t>
      </w:r>
      <w:r w:rsidR="00157818">
        <w:t>literature review identified</w:t>
      </w:r>
      <w:r>
        <w:t xml:space="preserve"> 58 studies, which included genetic studies (</w:t>
      </w:r>
      <w:r w:rsidR="005C530B">
        <w:t xml:space="preserve">n=11; </w:t>
      </w:r>
      <w:r>
        <w:t>19%), non-randomised trials (</w:t>
      </w:r>
      <w:r w:rsidR="005C530B">
        <w:t xml:space="preserve">n=10; </w:t>
      </w:r>
      <w:r>
        <w:t>17%), randomised trials (</w:t>
      </w:r>
      <w:r w:rsidR="005C530B">
        <w:t xml:space="preserve">n=7; </w:t>
      </w:r>
      <w:r w:rsidR="00A410CA">
        <w:t>12</w:t>
      </w:r>
      <w:r>
        <w:t>%) and retrospective reviews (</w:t>
      </w:r>
      <w:r w:rsidR="005C530B">
        <w:t xml:space="preserve">n=30; </w:t>
      </w:r>
      <w:r>
        <w:t xml:space="preserve">52%).  </w:t>
      </w:r>
      <w:r w:rsidRPr="00EB5599">
        <w:rPr>
          <w:iCs/>
        </w:rPr>
        <w:t>These studies had considerable variation, as follows:</w:t>
      </w:r>
    </w:p>
    <w:p w:rsidR="004C05DB" w:rsidRPr="00EB5599" w:rsidRDefault="004C05DB" w:rsidP="00794065">
      <w:pPr>
        <w:pStyle w:val="Bulletpoints"/>
        <w:ind w:left="1276"/>
      </w:pPr>
      <w:r w:rsidRPr="00EB5599">
        <w:rPr>
          <w:iCs/>
        </w:rPr>
        <w:lastRenderedPageBreak/>
        <w:t xml:space="preserve">Age of included patients ranged from 55 to 83.2 years, </w:t>
      </w:r>
      <w:r w:rsidR="001C57B4" w:rsidRPr="00EB5599">
        <w:rPr>
          <w:iCs/>
        </w:rPr>
        <w:t xml:space="preserve">although </w:t>
      </w:r>
      <w:r w:rsidRPr="00EB5599">
        <w:rPr>
          <w:iCs/>
        </w:rPr>
        <w:t xml:space="preserve">age was not reported for nine (15.5%) of the studies.  Only seven of the studies (12.1%) included patients aged ≥70 years, which corresponded to the </w:t>
      </w:r>
      <w:r w:rsidR="00157818" w:rsidRPr="00EB5599">
        <w:rPr>
          <w:iCs/>
        </w:rPr>
        <w:t xml:space="preserve">mean </w:t>
      </w:r>
      <w:r w:rsidRPr="00EB5599">
        <w:rPr>
          <w:iCs/>
        </w:rPr>
        <w:t xml:space="preserve">age of ILLUMINATE patients </w:t>
      </w:r>
      <w:r w:rsidR="00157818" w:rsidRPr="00EB5599">
        <w:rPr>
          <w:iCs/>
        </w:rPr>
        <w:t xml:space="preserve">(71 years) </w:t>
      </w:r>
      <w:r w:rsidRPr="00EB5599">
        <w:rPr>
          <w:iCs/>
        </w:rPr>
        <w:t xml:space="preserve">used </w:t>
      </w:r>
      <w:r w:rsidR="00157818" w:rsidRPr="00EB5599">
        <w:rPr>
          <w:iCs/>
        </w:rPr>
        <w:t>at the start of</w:t>
      </w:r>
      <w:r w:rsidRPr="00EB5599">
        <w:rPr>
          <w:iCs/>
        </w:rPr>
        <w:t xml:space="preserve"> the economic model.</w:t>
      </w:r>
    </w:p>
    <w:p w:rsidR="004C05DB" w:rsidRPr="00EB5599" w:rsidRDefault="004C05DB" w:rsidP="00794065">
      <w:pPr>
        <w:pStyle w:val="Bulletpoints"/>
        <w:ind w:left="1276"/>
      </w:pPr>
      <w:r w:rsidRPr="00EB5599">
        <w:rPr>
          <w:iCs/>
        </w:rPr>
        <w:t>The number of patients in each study with del17p data ranged from 23 to 1,557, with del17p proportions ranging from 1.47% (=2/136) to 29.92% (=117/391).</w:t>
      </w:r>
    </w:p>
    <w:p w:rsidR="004C05DB" w:rsidRPr="00EB5599" w:rsidRDefault="00996F7F" w:rsidP="004C05DB">
      <w:pPr>
        <w:pStyle w:val="Bulletpoints"/>
        <w:spacing w:after="160"/>
        <w:ind w:left="1276"/>
      </w:pPr>
      <w:r w:rsidRPr="00EB5599">
        <w:rPr>
          <w:iCs/>
        </w:rPr>
        <w:t xml:space="preserve">Some studies included patients with disease progression, and no information was provided as to whether these patients were included in the counts of patients with del17p.  Another study had more than half of its patients on second-line treatment (58/105), </w:t>
      </w:r>
      <w:r w:rsidR="00BF3AA3" w:rsidRPr="00EB5599">
        <w:rPr>
          <w:iCs/>
        </w:rPr>
        <w:t>indication</w:t>
      </w:r>
      <w:r w:rsidRPr="00EB5599">
        <w:rPr>
          <w:iCs/>
        </w:rPr>
        <w:t xml:space="preserve"> </w:t>
      </w:r>
      <w:r w:rsidR="00641A46" w:rsidRPr="00EB5599">
        <w:rPr>
          <w:iCs/>
        </w:rPr>
        <w:t xml:space="preserve">that </w:t>
      </w:r>
      <w:r w:rsidRPr="00EB5599">
        <w:rPr>
          <w:iCs/>
        </w:rPr>
        <w:t>its patient population did not match with untreated or first-line patients.</w:t>
      </w:r>
    </w:p>
    <w:p w:rsidR="004C05DB" w:rsidRPr="007E3667" w:rsidRDefault="004C05DB" w:rsidP="00B2597F">
      <w:pPr>
        <w:pStyle w:val="ListParagraph"/>
        <w:numPr>
          <w:ilvl w:val="1"/>
          <w:numId w:val="1"/>
        </w:numPr>
      </w:pPr>
      <w:r w:rsidRPr="00DC1BE7">
        <w:t>While the resubmission acknowledged the wide range of study types it did not provide a consideration of the type of data available (</w:t>
      </w:r>
      <w:r w:rsidR="0017730C" w:rsidRPr="00DC1BE7">
        <w:t>e.g.</w:t>
      </w:r>
      <w:r w:rsidRPr="00DC1BE7">
        <w:t xml:space="preserve"> patients on second-line treatment; some treated, some not treated; varying age and other potentially confounding variables).  Table</w:t>
      </w:r>
      <w:r w:rsidR="00422C74" w:rsidRPr="00DC1BE7">
        <w:t xml:space="preserve"> 1</w:t>
      </w:r>
      <w:r w:rsidR="00B9191D">
        <w:t>8</w:t>
      </w:r>
      <w:r w:rsidRPr="00DC1BE7">
        <w:t xml:space="preserve"> provides a brief summary of the studies used</w:t>
      </w:r>
      <w:r w:rsidR="00516FC6" w:rsidRPr="00DC1BE7">
        <w:t xml:space="preserve"> to determine the proportion of patients with del17p</w:t>
      </w:r>
      <w:r w:rsidRPr="00DC1BE7">
        <w:t>.</w:t>
      </w:r>
      <w:r w:rsidR="00F77F34" w:rsidRPr="00DC1BE7">
        <w:t xml:space="preserve"> </w:t>
      </w:r>
      <w:r w:rsidR="00AE1B5D" w:rsidRPr="00E773B1">
        <w:t>The PSCR  stated that w</w:t>
      </w:r>
      <w:r w:rsidR="00DC1BE7" w:rsidRPr="00E773B1">
        <w:t xml:space="preserve">hen analysing the proportion estimates, stratified by the four sets of study types, the mid-point estimates are very close to the base </w:t>
      </w:r>
      <w:r w:rsidR="00DC1BE7" w:rsidRPr="004500DB">
        <w:t xml:space="preserve">case estimate of </w:t>
      </w:r>
      <w:r w:rsidR="007E3667">
        <w:rPr>
          <w:noProof/>
          <w:color w:val="000000"/>
          <w:highlight w:val="black"/>
        </w:rPr>
        <w:t>'''</w:t>
      </w:r>
      <w:r w:rsidR="00FB2E9B" w:rsidRPr="00FB2E9B">
        <w:t xml:space="preserve">% used in the submission: for the genetic analysis studies it was </w:t>
      </w:r>
      <w:r w:rsidR="007E3667">
        <w:rPr>
          <w:noProof/>
          <w:color w:val="000000"/>
          <w:highlight w:val="black"/>
        </w:rPr>
        <w:t>'''''''''</w:t>
      </w:r>
      <w:r w:rsidR="00FB2E9B" w:rsidRPr="00FB2E9B">
        <w:t xml:space="preserve">%, for the retrospective studies it was </w:t>
      </w:r>
      <w:r w:rsidR="007E3667">
        <w:rPr>
          <w:noProof/>
          <w:color w:val="000000"/>
          <w:highlight w:val="black"/>
        </w:rPr>
        <w:t>'''''''''''</w:t>
      </w:r>
      <w:r w:rsidR="00FB2E9B" w:rsidRPr="00FB2E9B">
        <w:t xml:space="preserve">%, for the non-randomised studies it was </w:t>
      </w:r>
      <w:r w:rsidR="007E3667">
        <w:rPr>
          <w:noProof/>
          <w:color w:val="000000"/>
          <w:highlight w:val="black"/>
        </w:rPr>
        <w:t>'''''''''</w:t>
      </w:r>
      <w:r w:rsidR="00FB2E9B" w:rsidRPr="00FB2E9B">
        <w:t xml:space="preserve">% and the for the randomised trials it was </w:t>
      </w:r>
      <w:r w:rsidR="007E3667">
        <w:rPr>
          <w:noProof/>
          <w:color w:val="000000"/>
          <w:highlight w:val="black"/>
        </w:rPr>
        <w:t>''''''''</w:t>
      </w:r>
      <w:r w:rsidR="00FB2E9B" w:rsidRPr="00FB2E9B">
        <w:t xml:space="preserve">%. As such, the PSCR maintained that </w:t>
      </w:r>
      <w:r w:rsidR="007E3667">
        <w:rPr>
          <w:noProof/>
          <w:color w:val="000000"/>
          <w:highlight w:val="black"/>
        </w:rPr>
        <w:t>'''</w:t>
      </w:r>
      <w:r w:rsidR="00AE1B5D" w:rsidRPr="004500DB">
        <w:t>% wa</w:t>
      </w:r>
      <w:r w:rsidR="00DC1BE7" w:rsidRPr="004500DB">
        <w:t xml:space="preserve">s an appropriate assumption for estimating del17p prevalence due to the variability in the published estimates.  </w:t>
      </w:r>
    </w:p>
    <w:p w:rsidR="004C05DB" w:rsidRDefault="00C11031" w:rsidP="006178BE">
      <w:pPr>
        <w:keepNext/>
      </w:pPr>
      <w:r w:rsidRPr="00401364">
        <w:rPr>
          <w:rFonts w:ascii="Arial Narrow" w:hAnsi="Arial Narrow"/>
          <w:b/>
          <w:sz w:val="20"/>
          <w:szCs w:val="20"/>
        </w:rPr>
        <w:t xml:space="preserve">Table </w:t>
      </w:r>
      <w:r w:rsidR="008D426E">
        <w:rPr>
          <w:rFonts w:ascii="Arial Narrow" w:hAnsi="Arial Narrow"/>
          <w:b/>
          <w:sz w:val="20"/>
          <w:szCs w:val="20"/>
        </w:rPr>
        <w:t>1</w:t>
      </w:r>
      <w:r w:rsidR="00B9191D">
        <w:rPr>
          <w:rFonts w:ascii="Arial Narrow" w:hAnsi="Arial Narrow"/>
          <w:b/>
          <w:sz w:val="20"/>
          <w:szCs w:val="20"/>
        </w:rPr>
        <w:t>8</w:t>
      </w:r>
      <w:r w:rsidRPr="001222FC">
        <w:rPr>
          <w:rStyle w:val="CommentReference"/>
        </w:rPr>
        <w:t xml:space="preserve">: </w:t>
      </w:r>
      <w:r>
        <w:rPr>
          <w:rStyle w:val="CommentReference"/>
        </w:rPr>
        <w:t xml:space="preserve">Summary of </w:t>
      </w:r>
      <w:proofErr w:type="spellStart"/>
      <w:r>
        <w:rPr>
          <w:rStyle w:val="CommentReference"/>
        </w:rPr>
        <w:t>studies</w:t>
      </w:r>
      <w:r w:rsidR="008C037B" w:rsidRPr="008C037B">
        <w:rPr>
          <w:rStyle w:val="CommentReference"/>
          <w:vertAlign w:val="superscript"/>
        </w:rPr>
        <w:t>a</w:t>
      </w:r>
      <w:proofErr w:type="spellEnd"/>
      <w:r>
        <w:rPr>
          <w:rStyle w:val="CommentReference"/>
        </w:rPr>
        <w:t xml:space="preserve"> used to determine proportion of patients with del17p</w:t>
      </w:r>
    </w:p>
    <w:tbl>
      <w:tblPr>
        <w:tblStyle w:val="TableGrid"/>
        <w:tblW w:w="0" w:type="auto"/>
        <w:tblLook w:val="04A0" w:firstRow="1" w:lastRow="0" w:firstColumn="1" w:lastColumn="0" w:noHBand="0" w:noVBand="1"/>
        <w:tblCaption w:val="Table 18: Summary of studiesa used to determine proportion of patients with del17p"/>
      </w:tblPr>
      <w:tblGrid>
        <w:gridCol w:w="1239"/>
        <w:gridCol w:w="2254"/>
        <w:gridCol w:w="1842"/>
        <w:gridCol w:w="1841"/>
        <w:gridCol w:w="1841"/>
      </w:tblGrid>
      <w:tr w:rsidR="00C11031" w:rsidRPr="00320C30" w:rsidTr="00906E74">
        <w:trPr>
          <w:tblHeader/>
        </w:trPr>
        <w:tc>
          <w:tcPr>
            <w:tcW w:w="1242" w:type="dxa"/>
            <w:vAlign w:val="center"/>
          </w:tcPr>
          <w:p w:rsidR="00C11031" w:rsidRPr="00320C30" w:rsidRDefault="00C11031" w:rsidP="006178BE">
            <w:pPr>
              <w:pStyle w:val="TableText1"/>
              <w:jc w:val="center"/>
              <w:rPr>
                <w:b/>
                <w:bCs/>
              </w:rPr>
            </w:pPr>
          </w:p>
        </w:tc>
        <w:tc>
          <w:tcPr>
            <w:tcW w:w="2268" w:type="dxa"/>
            <w:vAlign w:val="center"/>
          </w:tcPr>
          <w:p w:rsidR="00C11031" w:rsidRDefault="00C11031" w:rsidP="006178BE">
            <w:pPr>
              <w:pStyle w:val="TableText1"/>
              <w:jc w:val="center"/>
              <w:rPr>
                <w:b/>
                <w:bCs/>
              </w:rPr>
            </w:pPr>
            <w:r>
              <w:rPr>
                <w:b/>
                <w:bCs/>
              </w:rPr>
              <w:t xml:space="preserve">Genetic analysis </w:t>
            </w:r>
          </w:p>
          <w:p w:rsidR="00C11031" w:rsidRPr="00320C30" w:rsidRDefault="00C11031" w:rsidP="006178BE">
            <w:pPr>
              <w:pStyle w:val="TableText1"/>
              <w:jc w:val="center"/>
              <w:rPr>
                <w:b/>
                <w:bCs/>
              </w:rPr>
            </w:pPr>
            <w:r>
              <w:rPr>
                <w:b/>
                <w:bCs/>
              </w:rPr>
              <w:t>(N=11; 19%)</w:t>
            </w:r>
          </w:p>
        </w:tc>
        <w:tc>
          <w:tcPr>
            <w:tcW w:w="1849" w:type="dxa"/>
            <w:vAlign w:val="center"/>
          </w:tcPr>
          <w:p w:rsidR="00C11031" w:rsidRPr="00320C30" w:rsidRDefault="00C11031" w:rsidP="006178BE">
            <w:pPr>
              <w:pStyle w:val="TableText1"/>
              <w:jc w:val="center"/>
              <w:rPr>
                <w:b/>
                <w:bCs/>
              </w:rPr>
            </w:pPr>
            <w:r>
              <w:rPr>
                <w:b/>
                <w:bCs/>
              </w:rPr>
              <w:t>Retrospective reviews (N=30; 52%)</w:t>
            </w:r>
          </w:p>
        </w:tc>
        <w:tc>
          <w:tcPr>
            <w:tcW w:w="1849" w:type="dxa"/>
            <w:vAlign w:val="center"/>
          </w:tcPr>
          <w:p w:rsidR="00C11031" w:rsidRPr="00320C30" w:rsidRDefault="00C11031" w:rsidP="006178BE">
            <w:pPr>
              <w:pStyle w:val="TableText1"/>
              <w:jc w:val="center"/>
              <w:rPr>
                <w:b/>
                <w:bCs/>
              </w:rPr>
            </w:pPr>
            <w:r>
              <w:rPr>
                <w:b/>
                <w:bCs/>
              </w:rPr>
              <w:t xml:space="preserve">Non-randomised trial (N=10; 17%) </w:t>
            </w:r>
          </w:p>
        </w:tc>
        <w:tc>
          <w:tcPr>
            <w:tcW w:w="1849" w:type="dxa"/>
            <w:vAlign w:val="center"/>
          </w:tcPr>
          <w:p w:rsidR="00C11031" w:rsidRPr="00320C30" w:rsidRDefault="00C11031" w:rsidP="006178BE">
            <w:pPr>
              <w:pStyle w:val="TableText1"/>
              <w:jc w:val="center"/>
              <w:rPr>
                <w:b/>
                <w:bCs/>
              </w:rPr>
            </w:pPr>
            <w:r>
              <w:rPr>
                <w:b/>
                <w:bCs/>
              </w:rPr>
              <w:t xml:space="preserve">Randomised trial (N=7; </w:t>
            </w:r>
            <w:r w:rsidR="00A410CA">
              <w:rPr>
                <w:b/>
                <w:bCs/>
              </w:rPr>
              <w:t>12</w:t>
            </w:r>
            <w:r>
              <w:rPr>
                <w:b/>
                <w:bCs/>
              </w:rPr>
              <w:t>%)</w:t>
            </w:r>
          </w:p>
        </w:tc>
      </w:tr>
      <w:tr w:rsidR="00C11031" w:rsidTr="00323AF3">
        <w:tc>
          <w:tcPr>
            <w:tcW w:w="1242" w:type="dxa"/>
            <w:vAlign w:val="center"/>
          </w:tcPr>
          <w:p w:rsidR="00C11031" w:rsidRDefault="00C11031" w:rsidP="00323AF3">
            <w:pPr>
              <w:pStyle w:val="TableText1"/>
            </w:pPr>
            <w:r>
              <w:t>Age range</w:t>
            </w:r>
          </w:p>
        </w:tc>
        <w:tc>
          <w:tcPr>
            <w:tcW w:w="2268" w:type="dxa"/>
            <w:vAlign w:val="center"/>
          </w:tcPr>
          <w:p w:rsidR="00C11031" w:rsidRDefault="00C11031" w:rsidP="00323AF3">
            <w:pPr>
              <w:pStyle w:val="TableText1"/>
            </w:pPr>
            <w:r>
              <w:t xml:space="preserve">58 to &gt;70 </w:t>
            </w:r>
            <w:proofErr w:type="spellStart"/>
            <w:r>
              <w:t>yrs</w:t>
            </w:r>
            <w:proofErr w:type="spellEnd"/>
            <w:r>
              <w:t>; age not reported in 5/11 (45%) of studies.</w:t>
            </w:r>
          </w:p>
        </w:tc>
        <w:tc>
          <w:tcPr>
            <w:tcW w:w="1849" w:type="dxa"/>
            <w:vAlign w:val="center"/>
          </w:tcPr>
          <w:p w:rsidR="00C11031" w:rsidRDefault="00C11031" w:rsidP="00323AF3">
            <w:pPr>
              <w:pStyle w:val="TableText1"/>
            </w:pPr>
            <w:r>
              <w:t>57 to 83.2 years; age not reported in 4/30 (13%) of studies.</w:t>
            </w:r>
          </w:p>
        </w:tc>
        <w:tc>
          <w:tcPr>
            <w:tcW w:w="1849" w:type="dxa"/>
            <w:vAlign w:val="center"/>
          </w:tcPr>
          <w:p w:rsidR="00C11031" w:rsidRDefault="00C11031" w:rsidP="00323AF3">
            <w:pPr>
              <w:pStyle w:val="TableText1"/>
            </w:pPr>
            <w:r>
              <w:t>55 to 71 years; age reported for all trials.</w:t>
            </w:r>
          </w:p>
        </w:tc>
        <w:tc>
          <w:tcPr>
            <w:tcW w:w="1849" w:type="dxa"/>
            <w:vAlign w:val="center"/>
          </w:tcPr>
          <w:p w:rsidR="00C11031" w:rsidRDefault="00C11031" w:rsidP="00323AF3">
            <w:pPr>
              <w:pStyle w:val="TableText1"/>
            </w:pPr>
            <w:r>
              <w:t>56 to 70 years; age reported for all trials.</w:t>
            </w:r>
          </w:p>
        </w:tc>
      </w:tr>
      <w:tr w:rsidR="00C11031" w:rsidTr="00323AF3">
        <w:tc>
          <w:tcPr>
            <w:tcW w:w="1242" w:type="dxa"/>
            <w:vAlign w:val="center"/>
          </w:tcPr>
          <w:p w:rsidR="00C11031" w:rsidRDefault="00C11031" w:rsidP="00323AF3">
            <w:pPr>
              <w:pStyle w:val="TableText1"/>
            </w:pPr>
            <w:r>
              <w:t>Proportion treated</w:t>
            </w:r>
          </w:p>
        </w:tc>
        <w:tc>
          <w:tcPr>
            <w:tcW w:w="2268" w:type="dxa"/>
            <w:vAlign w:val="center"/>
          </w:tcPr>
          <w:p w:rsidR="00C11031" w:rsidRDefault="00C11031" w:rsidP="00323AF3">
            <w:pPr>
              <w:pStyle w:val="TableText1"/>
            </w:pPr>
            <w:r>
              <w:t>Patients not treated in 6/11 studies (55%).</w:t>
            </w:r>
          </w:p>
          <w:p w:rsidR="00C11031" w:rsidRDefault="00C11031" w:rsidP="00323AF3">
            <w:pPr>
              <w:pStyle w:val="TableText1"/>
            </w:pPr>
            <w:r>
              <w:t xml:space="preserve">In one study 41% had disease progression; in another 55% were on second-line treatment.  </w:t>
            </w:r>
          </w:p>
        </w:tc>
        <w:tc>
          <w:tcPr>
            <w:tcW w:w="1849" w:type="dxa"/>
            <w:vAlign w:val="center"/>
          </w:tcPr>
          <w:p w:rsidR="00C11031" w:rsidRDefault="00C11031" w:rsidP="00323AF3">
            <w:pPr>
              <w:pStyle w:val="TableText1"/>
            </w:pPr>
            <w:r>
              <w:t>Patients treated in 20/30 studies (67%).  Resubmission provided no information on treatment duration.</w:t>
            </w:r>
          </w:p>
        </w:tc>
        <w:tc>
          <w:tcPr>
            <w:tcW w:w="1849" w:type="dxa"/>
            <w:vAlign w:val="center"/>
          </w:tcPr>
          <w:p w:rsidR="00C11031" w:rsidRDefault="00C11031" w:rsidP="00323AF3">
            <w:pPr>
              <w:pStyle w:val="TableText1"/>
            </w:pPr>
            <w:r>
              <w:t>Patients treated in 8/10 studies (80%).  Resubmission provided no information on treatment duration.</w:t>
            </w:r>
          </w:p>
        </w:tc>
        <w:tc>
          <w:tcPr>
            <w:tcW w:w="1849" w:type="dxa"/>
            <w:vAlign w:val="center"/>
          </w:tcPr>
          <w:p w:rsidR="00C11031" w:rsidRDefault="00C11031" w:rsidP="00323AF3">
            <w:pPr>
              <w:pStyle w:val="TableText1"/>
            </w:pPr>
            <w:r>
              <w:t>Patients treated in 5/7 studies (71%).  Resubmission provided no information on treatment duration.</w:t>
            </w:r>
          </w:p>
        </w:tc>
      </w:tr>
      <w:tr w:rsidR="00C11031" w:rsidTr="00323AF3">
        <w:tc>
          <w:tcPr>
            <w:tcW w:w="1242" w:type="dxa"/>
            <w:vAlign w:val="center"/>
          </w:tcPr>
          <w:p w:rsidR="00C11031" w:rsidRDefault="00C11031" w:rsidP="00323AF3">
            <w:pPr>
              <w:pStyle w:val="TableText1"/>
            </w:pPr>
            <w:r>
              <w:t>N assessed for del17p</w:t>
            </w:r>
          </w:p>
        </w:tc>
        <w:tc>
          <w:tcPr>
            <w:tcW w:w="2268" w:type="dxa"/>
            <w:vAlign w:val="center"/>
          </w:tcPr>
          <w:p w:rsidR="00C11031" w:rsidRDefault="00C11031" w:rsidP="00323AF3">
            <w:pPr>
              <w:pStyle w:val="TableText1"/>
            </w:pPr>
            <w:r>
              <w:t>N assessed ranged from 23 to 317.</w:t>
            </w:r>
          </w:p>
        </w:tc>
        <w:tc>
          <w:tcPr>
            <w:tcW w:w="1849" w:type="dxa"/>
            <w:vAlign w:val="center"/>
          </w:tcPr>
          <w:p w:rsidR="00C11031" w:rsidRDefault="00C11031" w:rsidP="00323AF3">
            <w:pPr>
              <w:pStyle w:val="TableText1"/>
            </w:pPr>
            <w:r>
              <w:t>N assessed ranged from 27 to 1,557.</w:t>
            </w:r>
          </w:p>
        </w:tc>
        <w:tc>
          <w:tcPr>
            <w:tcW w:w="1849" w:type="dxa"/>
            <w:vAlign w:val="center"/>
          </w:tcPr>
          <w:p w:rsidR="00C11031" w:rsidRDefault="00C11031" w:rsidP="00323AF3">
            <w:pPr>
              <w:pStyle w:val="TableText1"/>
            </w:pPr>
            <w:r>
              <w:t>N assessed ranged from 31 to 626.</w:t>
            </w:r>
          </w:p>
        </w:tc>
        <w:tc>
          <w:tcPr>
            <w:tcW w:w="1849" w:type="dxa"/>
            <w:vAlign w:val="center"/>
          </w:tcPr>
          <w:p w:rsidR="00C11031" w:rsidRDefault="00C11031" w:rsidP="00323AF3">
            <w:pPr>
              <w:pStyle w:val="TableText1"/>
            </w:pPr>
            <w:r>
              <w:t>N assessed ranged from 64 to 930.</w:t>
            </w:r>
          </w:p>
        </w:tc>
      </w:tr>
      <w:tr w:rsidR="00C11031" w:rsidTr="00323AF3">
        <w:tc>
          <w:tcPr>
            <w:tcW w:w="1242" w:type="dxa"/>
            <w:vAlign w:val="center"/>
          </w:tcPr>
          <w:p w:rsidR="00C11031" w:rsidRDefault="00C11031" w:rsidP="00323AF3">
            <w:pPr>
              <w:pStyle w:val="TableText1"/>
            </w:pPr>
            <w:r>
              <w:t>Proportion with del17p</w:t>
            </w:r>
          </w:p>
        </w:tc>
        <w:tc>
          <w:tcPr>
            <w:tcW w:w="2268" w:type="dxa"/>
            <w:vAlign w:val="center"/>
          </w:tcPr>
          <w:p w:rsidR="00C11031" w:rsidRDefault="00234AE6" w:rsidP="00323AF3">
            <w:pPr>
              <w:pStyle w:val="TableText1"/>
            </w:pPr>
            <w:r>
              <w:t>1.47</w:t>
            </w:r>
            <w:r w:rsidR="00C11031">
              <w:t>% to 17.39%</w:t>
            </w:r>
          </w:p>
        </w:tc>
        <w:tc>
          <w:tcPr>
            <w:tcW w:w="1849" w:type="dxa"/>
            <w:vAlign w:val="center"/>
          </w:tcPr>
          <w:p w:rsidR="00C11031" w:rsidRDefault="00C11031" w:rsidP="00323AF3">
            <w:pPr>
              <w:pStyle w:val="TableText1"/>
            </w:pPr>
            <w:r>
              <w:t>3.06% to 29.92%</w:t>
            </w:r>
          </w:p>
        </w:tc>
        <w:tc>
          <w:tcPr>
            <w:tcW w:w="1849" w:type="dxa"/>
            <w:vAlign w:val="center"/>
          </w:tcPr>
          <w:p w:rsidR="00C11031" w:rsidRDefault="00C11031" w:rsidP="00323AF3">
            <w:pPr>
              <w:pStyle w:val="TableText1"/>
            </w:pPr>
            <w:r>
              <w:t>3.0% to 12.12%</w:t>
            </w:r>
          </w:p>
        </w:tc>
        <w:tc>
          <w:tcPr>
            <w:tcW w:w="1849" w:type="dxa"/>
            <w:vAlign w:val="center"/>
          </w:tcPr>
          <w:p w:rsidR="00C11031" w:rsidRDefault="00C11031" w:rsidP="00323AF3">
            <w:pPr>
              <w:pStyle w:val="TableText1"/>
            </w:pPr>
            <w:r>
              <w:t>3.8% to 13.11%</w:t>
            </w:r>
          </w:p>
        </w:tc>
      </w:tr>
    </w:tbl>
    <w:p w:rsidR="008C037B" w:rsidRPr="00EB5599" w:rsidRDefault="008C037B" w:rsidP="008C037B">
      <w:pPr>
        <w:pStyle w:val="TableFooter"/>
        <w:tabs>
          <w:tab w:val="left" w:pos="142"/>
        </w:tabs>
        <w:ind w:left="142" w:hanging="142"/>
      </w:pPr>
      <w:proofErr w:type="gramStart"/>
      <w:r w:rsidRPr="008C037B">
        <w:rPr>
          <w:vertAlign w:val="superscript"/>
        </w:rPr>
        <w:t>a</w:t>
      </w:r>
      <w:proofErr w:type="gramEnd"/>
      <w:r>
        <w:tab/>
      </w:r>
      <w:r w:rsidRPr="00EB5599">
        <w:rPr>
          <w:iCs/>
        </w:rPr>
        <w:t>Study types were re-categorised during the evaluation as inconsistencies between study type and the descriptions provided in Table 1.3 of the document ‘Literature search – proportion of patients with del 17p’ in Appendix 4 of the resubmission were noted.</w:t>
      </w:r>
    </w:p>
    <w:p w:rsidR="004C05DB" w:rsidRDefault="00C11031" w:rsidP="00C11031">
      <w:pPr>
        <w:pStyle w:val="TableFooter"/>
      </w:pPr>
      <w:r w:rsidRPr="00EB5599">
        <w:t>Source: Table 1.3 of the document ‘Literature search – proportion of patients with del 17p’ in Appendix 4 of the resubmission</w:t>
      </w:r>
      <w:r>
        <w:t>.</w:t>
      </w:r>
    </w:p>
    <w:p w:rsidR="004C05DB" w:rsidRPr="004C05DB" w:rsidRDefault="004C05DB" w:rsidP="004C05DB"/>
    <w:p w:rsidR="004C05DB" w:rsidRDefault="00C11031" w:rsidP="00B2597F">
      <w:pPr>
        <w:pStyle w:val="ListParagraph"/>
        <w:numPr>
          <w:ilvl w:val="1"/>
          <w:numId w:val="1"/>
        </w:numPr>
      </w:pPr>
      <w:r>
        <w:t xml:space="preserve">The resubmission </w:t>
      </w:r>
      <w:proofErr w:type="gramStart"/>
      <w:r>
        <w:t>stated  that</w:t>
      </w:r>
      <w:proofErr w:type="gramEnd"/>
      <w:r>
        <w:t xml:space="preserve"> to determine the mean proportion of patients with del17p an inverse variance weighted meta-analysis was conducted.  As the test of heterogeneity was significant (p&lt;0.0001) the resubmission used results from the </w:t>
      </w:r>
      <w:r>
        <w:lastRenderedPageBreak/>
        <w:t>random effects model.</w:t>
      </w:r>
      <w:r w:rsidR="00F810FF">
        <w:t xml:space="preserve">  </w:t>
      </w:r>
      <w:r>
        <w:t xml:space="preserve">The mean proportion returned by the meta-analysis was </w:t>
      </w:r>
      <w:r w:rsidR="007E3667">
        <w:rPr>
          <w:noProof/>
          <w:color w:val="000000"/>
          <w:highlight w:val="black"/>
        </w:rPr>
        <w:t>''</w:t>
      </w:r>
      <w:r>
        <w:t xml:space="preserve">% (95% CI: </w:t>
      </w:r>
      <w:r w:rsidR="007E3667">
        <w:rPr>
          <w:noProof/>
          <w:color w:val="000000"/>
          <w:highlight w:val="black"/>
        </w:rPr>
        <w:t>'''</w:t>
      </w:r>
      <w:r>
        <w:t xml:space="preserve">%, </w:t>
      </w:r>
      <w:r w:rsidR="007E3667">
        <w:rPr>
          <w:noProof/>
          <w:color w:val="000000"/>
          <w:highlight w:val="black"/>
        </w:rPr>
        <w:t>'''</w:t>
      </w:r>
      <w:r>
        <w:t xml:space="preserve">%).  The resubmission indicated that given the variability in the published estimates, the 95% CI upper limit, </w:t>
      </w:r>
      <w:r w:rsidR="007E3667">
        <w:rPr>
          <w:noProof/>
          <w:color w:val="000000"/>
          <w:highlight w:val="black"/>
        </w:rPr>
        <w:t>'''</w:t>
      </w:r>
      <w:r>
        <w:t>%, was used in the financial estimates.  This proportion was applied to both prevalent and incident patient populations.</w:t>
      </w:r>
      <w:r w:rsidR="00C82B68">
        <w:t xml:space="preserve"> </w:t>
      </w:r>
      <w:r w:rsidR="00F17838">
        <w:t>The PBAC considered that the mean proportion returned by the meta-analysis (</w:t>
      </w:r>
      <w:r w:rsidR="007E3667">
        <w:rPr>
          <w:noProof/>
          <w:color w:val="000000"/>
          <w:highlight w:val="black"/>
        </w:rPr>
        <w:t>'''</w:t>
      </w:r>
      <w:r w:rsidR="00F17838">
        <w:t>%), rather than the 95% CI upper limit (</w:t>
      </w:r>
      <w:r w:rsidR="007E3667">
        <w:rPr>
          <w:noProof/>
          <w:color w:val="000000"/>
          <w:highlight w:val="black"/>
        </w:rPr>
        <w:t>'''</w:t>
      </w:r>
      <w:r w:rsidR="00F17838">
        <w:t xml:space="preserve">%), should be used in the financial estimates.  </w:t>
      </w:r>
    </w:p>
    <w:p w:rsidR="00CF52A4" w:rsidRDefault="00DE7253" w:rsidP="00CF52A4">
      <w:pPr>
        <w:pStyle w:val="ListParagraph"/>
        <w:numPr>
          <w:ilvl w:val="1"/>
          <w:numId w:val="1"/>
        </w:numPr>
      </w:pPr>
      <w:r w:rsidRPr="00E773B1">
        <w:t xml:space="preserve">The </w:t>
      </w:r>
      <w:r w:rsidR="00CF52A4" w:rsidRPr="00E773B1">
        <w:t xml:space="preserve">ESC considered that estimates based on a proportion of </w:t>
      </w:r>
      <w:r w:rsidR="007E3667">
        <w:rPr>
          <w:noProof/>
          <w:color w:val="000000"/>
          <w:highlight w:val="black"/>
        </w:rPr>
        <w:t>''</w:t>
      </w:r>
      <w:r w:rsidR="00CF52A4" w:rsidRPr="00E773B1">
        <w:t xml:space="preserve">% and including a </w:t>
      </w:r>
      <w:r w:rsidR="00CF52A4" w:rsidRPr="00E773B1">
        <w:rPr>
          <w:iCs/>
        </w:rPr>
        <w:t>small number of prevalent patients in the first year of listing ibrutinib for this indication</w:t>
      </w:r>
      <w:r w:rsidR="00CF52A4" w:rsidRPr="00E773B1">
        <w:t xml:space="preserve"> may be appropriate if patients with </w:t>
      </w:r>
      <w:r w:rsidR="00CF52A4" w:rsidRPr="00E773B1">
        <w:rPr>
          <w:iCs/>
        </w:rPr>
        <w:t xml:space="preserve">TP53 </w:t>
      </w:r>
      <w:r w:rsidR="00CF52A4">
        <w:rPr>
          <w:iCs/>
        </w:rPr>
        <w:t>mutations</w:t>
      </w:r>
      <w:r w:rsidR="00CF52A4" w:rsidRPr="00E773B1">
        <w:rPr>
          <w:iCs/>
        </w:rPr>
        <w:t xml:space="preserve"> were included in the proposed PBS population. </w:t>
      </w:r>
      <w:r w:rsidR="00CF52A4" w:rsidRPr="0042600B">
        <w:rPr>
          <w:iCs/>
        </w:rPr>
        <w:t>T</w:t>
      </w:r>
      <w:r w:rsidR="00CF52A4">
        <w:rPr>
          <w:iCs/>
        </w:rPr>
        <w:t>he pre-PBAC response stated</w:t>
      </w:r>
      <w:r w:rsidR="00CF52A4" w:rsidRPr="0042600B">
        <w:rPr>
          <w:iCs/>
        </w:rPr>
        <w:t xml:space="preserve"> the prevalence of TP53 aberrations (i.e. del17p and TP53 mutations) in treatment naïve CLL/SLL patients is </w:t>
      </w:r>
      <w:r w:rsidR="007E3667">
        <w:rPr>
          <w:iCs/>
          <w:noProof/>
          <w:color w:val="000000"/>
          <w:highlight w:val="black"/>
        </w:rPr>
        <w:t>'''</w:t>
      </w:r>
      <w:r w:rsidR="00CF52A4" w:rsidRPr="0042600B">
        <w:rPr>
          <w:iCs/>
        </w:rPr>
        <w:t>-</w:t>
      </w:r>
      <w:r w:rsidR="007E3667">
        <w:rPr>
          <w:iCs/>
          <w:noProof/>
          <w:color w:val="000000"/>
          <w:highlight w:val="black"/>
        </w:rPr>
        <w:t>'''''</w:t>
      </w:r>
      <w:r w:rsidR="00CF52A4" w:rsidRPr="0042600B">
        <w:rPr>
          <w:iCs/>
        </w:rPr>
        <w:t>%.</w:t>
      </w:r>
      <w:r w:rsidR="00CF52A4">
        <w:rPr>
          <w:rStyle w:val="FootnoteReference"/>
          <w:iCs/>
        </w:rPr>
        <w:footnoteReference w:id="6"/>
      </w:r>
      <w:r w:rsidR="00CF52A4" w:rsidRPr="0042600B">
        <w:rPr>
          <w:iCs/>
        </w:rPr>
        <w:t xml:space="preserve"> In addition, the pre-PBAC response </w:t>
      </w:r>
      <w:r w:rsidR="00CF52A4">
        <w:rPr>
          <w:iCs/>
        </w:rPr>
        <w:t xml:space="preserve">noted </w:t>
      </w:r>
      <w:r w:rsidR="00CF52A4" w:rsidRPr="0042600B">
        <w:rPr>
          <w:iCs/>
        </w:rPr>
        <w:t>TP53</w:t>
      </w:r>
      <w:r w:rsidR="00CF52A4">
        <w:rPr>
          <w:iCs/>
        </w:rPr>
        <w:t xml:space="preserve"> mutations </w:t>
      </w:r>
      <w:r w:rsidR="00CF52A4" w:rsidRPr="0042600B">
        <w:rPr>
          <w:iCs/>
        </w:rPr>
        <w:t>occur in the absence of del17p in about 5% of untre</w:t>
      </w:r>
      <w:r w:rsidR="00CF52A4">
        <w:rPr>
          <w:iCs/>
        </w:rPr>
        <w:t>ated patients</w:t>
      </w:r>
      <w:r w:rsidR="00CF52A4" w:rsidRPr="0042600B">
        <w:rPr>
          <w:iCs/>
        </w:rPr>
        <w:t>.</w:t>
      </w:r>
      <w:r w:rsidR="00CF52A4">
        <w:rPr>
          <w:rStyle w:val="FootnoteReference"/>
          <w:iCs/>
        </w:rPr>
        <w:footnoteReference w:id="7"/>
      </w:r>
      <w:r w:rsidR="00CF52A4" w:rsidRPr="0042600B">
        <w:rPr>
          <w:iCs/>
        </w:rPr>
        <w:t xml:space="preserve"> The pre-PBAC </w:t>
      </w:r>
      <w:proofErr w:type="gramStart"/>
      <w:r w:rsidR="00CF52A4" w:rsidRPr="0042600B">
        <w:rPr>
          <w:iCs/>
        </w:rPr>
        <w:t>response</w:t>
      </w:r>
      <w:r w:rsidR="00CF52A4">
        <w:rPr>
          <w:iCs/>
        </w:rPr>
        <w:t xml:space="preserve">  argued</w:t>
      </w:r>
      <w:proofErr w:type="gramEnd"/>
      <w:r w:rsidR="00CF52A4" w:rsidRPr="0042600B">
        <w:rPr>
          <w:iCs/>
        </w:rPr>
        <w:t xml:space="preserve"> that, assuming del17p prevalence is between </w:t>
      </w:r>
      <w:r w:rsidR="007E3667">
        <w:rPr>
          <w:iCs/>
          <w:noProof/>
          <w:color w:val="000000"/>
          <w:highlight w:val="black"/>
        </w:rPr>
        <w:t>'''</w:t>
      </w:r>
      <w:r w:rsidR="00CF52A4" w:rsidRPr="0042600B">
        <w:rPr>
          <w:iCs/>
        </w:rPr>
        <w:t xml:space="preserve">% and </w:t>
      </w:r>
      <w:r w:rsidR="007E3667">
        <w:rPr>
          <w:iCs/>
          <w:noProof/>
          <w:color w:val="000000"/>
          <w:highlight w:val="black"/>
        </w:rPr>
        <w:t>'''</w:t>
      </w:r>
      <w:r w:rsidR="00CF52A4" w:rsidRPr="0042600B">
        <w:rPr>
          <w:iCs/>
        </w:rPr>
        <w:t xml:space="preserve">%, an additional </w:t>
      </w:r>
      <w:r w:rsidR="007E3667">
        <w:rPr>
          <w:iCs/>
          <w:noProof/>
          <w:color w:val="000000"/>
          <w:highlight w:val="black"/>
        </w:rPr>
        <w:t>'''</w:t>
      </w:r>
      <w:r w:rsidR="00CF52A4" w:rsidRPr="0042600B">
        <w:rPr>
          <w:iCs/>
        </w:rPr>
        <w:t xml:space="preserve">% for TP53 mutations results in an overall prevalence of TP53 mutations and del17p of </w:t>
      </w:r>
      <w:r w:rsidR="007E3667">
        <w:rPr>
          <w:iCs/>
          <w:noProof/>
          <w:color w:val="000000"/>
          <w:highlight w:val="black"/>
        </w:rPr>
        <w:t>''''''</w:t>
      </w:r>
      <w:r w:rsidR="00CF52A4" w:rsidRPr="0042600B">
        <w:rPr>
          <w:iCs/>
        </w:rPr>
        <w:t>-</w:t>
      </w:r>
      <w:r w:rsidR="007E3667">
        <w:rPr>
          <w:iCs/>
          <w:noProof/>
          <w:color w:val="000000"/>
          <w:highlight w:val="black"/>
        </w:rPr>
        <w:t>'''''</w:t>
      </w:r>
      <w:r w:rsidR="00CF52A4" w:rsidRPr="0042600B">
        <w:rPr>
          <w:iCs/>
        </w:rPr>
        <w:t>%. The</w:t>
      </w:r>
      <w:r w:rsidR="00CF52A4">
        <w:rPr>
          <w:iCs/>
        </w:rPr>
        <w:t xml:space="preserve"> pre-PBAC response proposed</w:t>
      </w:r>
      <w:r w:rsidR="00CF52A4" w:rsidRPr="0042600B">
        <w:rPr>
          <w:iCs/>
        </w:rPr>
        <w:t xml:space="preserve"> that should the PBAC recommend ibrutinib for PBS listing for both TP53 mutations and del17p, the prevalence be adjusted to </w:t>
      </w:r>
      <w:r w:rsidR="007E3667">
        <w:rPr>
          <w:iCs/>
          <w:noProof/>
          <w:color w:val="000000"/>
          <w:highlight w:val="black"/>
        </w:rPr>
        <w:t>'''''</w:t>
      </w:r>
      <w:r w:rsidR="00CF52A4" w:rsidRPr="0042600B">
        <w:rPr>
          <w:iCs/>
        </w:rPr>
        <w:t>%.</w:t>
      </w:r>
    </w:p>
    <w:p w:rsidR="00CF01B5" w:rsidRPr="00CF01B5" w:rsidRDefault="00422C74" w:rsidP="00B2597F">
      <w:pPr>
        <w:pStyle w:val="ListParagraph"/>
        <w:numPr>
          <w:ilvl w:val="1"/>
          <w:numId w:val="1"/>
        </w:numPr>
      </w:pPr>
      <w:r>
        <w:t>T</w:t>
      </w:r>
      <w:r w:rsidR="002B089B">
        <w:t>he resubmission included both incident and prevalent patients in its estimates</w:t>
      </w:r>
      <w:r>
        <w:t xml:space="preserve">, with </w:t>
      </w:r>
      <w:r w:rsidR="002B089B">
        <w:t xml:space="preserve">  </w:t>
      </w:r>
      <w:r w:rsidR="002B089B" w:rsidRPr="00EB5599">
        <w:rPr>
          <w:iCs/>
        </w:rPr>
        <w:t xml:space="preserve">prevalent patients </w:t>
      </w:r>
      <w:r w:rsidR="00AF7078">
        <w:rPr>
          <w:iCs/>
        </w:rPr>
        <w:t xml:space="preserve">accounting for approximately </w:t>
      </w:r>
      <w:r w:rsidR="002B089B" w:rsidRPr="00EB5599">
        <w:rPr>
          <w:iCs/>
        </w:rPr>
        <w:t xml:space="preserve">15% of the treated population.  While the PBAC has previously considered that a prevalent population was necessary (paragraph 7.11, November 2017 PSD), this was in the context of a much broader population of untreated CLL/SLL patients.  </w:t>
      </w:r>
      <w:r w:rsidR="002B089B" w:rsidRPr="00EB5599">
        <w:t xml:space="preserve">The PBS population </w:t>
      </w:r>
      <w:r w:rsidR="00AF7078">
        <w:t xml:space="preserve">proposed </w:t>
      </w:r>
      <w:r w:rsidR="002B089B" w:rsidRPr="00EB5599">
        <w:t>in the current resubmission comprise</w:t>
      </w:r>
      <w:r w:rsidR="006527C5" w:rsidRPr="00EB5599">
        <w:t>d</w:t>
      </w:r>
      <w:r w:rsidR="002B089B" w:rsidRPr="00EB5599">
        <w:t xml:space="preserve"> CLL/SLL </w:t>
      </w:r>
      <w:r w:rsidR="002850C9" w:rsidRPr="00EB5599">
        <w:t xml:space="preserve">patients </w:t>
      </w:r>
      <w:r w:rsidR="00516FC6" w:rsidRPr="00EB5599">
        <w:t>with del17p</w:t>
      </w:r>
      <w:r w:rsidR="00AF7078">
        <w:t xml:space="preserve"> only. Patients with del17p</w:t>
      </w:r>
      <w:r w:rsidR="00307038" w:rsidRPr="00EB5599">
        <w:t xml:space="preserve"> are </w:t>
      </w:r>
      <w:r w:rsidR="002B089B" w:rsidRPr="00EB5599">
        <w:t>known for having a poor prognosis and rapid disease progression.</w:t>
      </w:r>
      <w:r w:rsidR="002B089B" w:rsidRPr="00EB5599">
        <w:rPr>
          <w:iCs/>
        </w:rPr>
        <w:t xml:space="preserve">  It would be anticipated that such patients would have already received first-line treatment and most likely moved on to second-line treatment.</w:t>
      </w:r>
      <w:r w:rsidR="002850C9" w:rsidRPr="00EB5599">
        <w:rPr>
          <w:iCs/>
        </w:rPr>
        <w:t xml:space="preserve">  Consequently, inclusion of prevalent patients may essentially double-count patients.</w:t>
      </w:r>
      <w:r w:rsidR="00AF7078">
        <w:rPr>
          <w:iCs/>
        </w:rPr>
        <w:t xml:space="preserve"> </w:t>
      </w:r>
      <w:r w:rsidR="00AF7078" w:rsidRPr="00E773B1">
        <w:rPr>
          <w:iCs/>
        </w:rPr>
        <w:t xml:space="preserve">The ESC agreed with the evaluation that </w:t>
      </w:r>
      <w:r w:rsidR="00C82B68" w:rsidRPr="00E773B1">
        <w:rPr>
          <w:iCs/>
        </w:rPr>
        <w:t xml:space="preserve">as patients with del17p have rapid disease progression </w:t>
      </w:r>
      <w:r w:rsidR="00AF7078" w:rsidRPr="00E773B1">
        <w:rPr>
          <w:iCs/>
        </w:rPr>
        <w:t>it was likely that the majority of prevalent patients would have already received first-line treatment. However, the ESC considered that it would be appropriate for</w:t>
      </w:r>
      <w:r w:rsidR="00C82B68" w:rsidRPr="00E773B1">
        <w:rPr>
          <w:iCs/>
        </w:rPr>
        <w:t xml:space="preserve"> inclusion of</w:t>
      </w:r>
      <w:r w:rsidR="00AF7078" w:rsidRPr="00E773B1">
        <w:rPr>
          <w:iCs/>
        </w:rPr>
        <w:t xml:space="preserve"> a small number of prevalent patients</w:t>
      </w:r>
      <w:r w:rsidR="00C82B68" w:rsidRPr="00E773B1">
        <w:rPr>
          <w:iCs/>
        </w:rPr>
        <w:t xml:space="preserve"> in the first year of listing ibrutinib for this indication.</w:t>
      </w:r>
      <w:r w:rsidR="00C82B68">
        <w:rPr>
          <w:i/>
          <w:iCs/>
        </w:rPr>
        <w:t xml:space="preserve"> </w:t>
      </w:r>
      <w:r w:rsidR="00CE1546">
        <w:rPr>
          <w:iCs/>
        </w:rPr>
        <w:t xml:space="preserve">The pre-PBAC </w:t>
      </w:r>
      <w:proofErr w:type="gramStart"/>
      <w:r w:rsidR="00CE1546">
        <w:rPr>
          <w:iCs/>
        </w:rPr>
        <w:t>response  argued</w:t>
      </w:r>
      <w:proofErr w:type="gramEnd"/>
      <w:r w:rsidR="00CE1546">
        <w:rPr>
          <w:iCs/>
        </w:rPr>
        <w:t xml:space="preserve"> that a prevalent pool of patients should remain in the estimates of eligible patients for each of the first six years of listing as a high proportion of CLL/SLL (including del17p) patients are asymptomatic at diagnosis.</w:t>
      </w:r>
      <w:r w:rsidR="00CF01B5">
        <w:rPr>
          <w:iCs/>
        </w:rPr>
        <w:t xml:space="preserve"> The PBAC advised</w:t>
      </w:r>
      <w:r w:rsidR="00CE1546">
        <w:rPr>
          <w:iCs/>
        </w:rPr>
        <w:t xml:space="preserve"> that</w:t>
      </w:r>
      <w:r w:rsidR="00112CF6">
        <w:rPr>
          <w:iCs/>
        </w:rPr>
        <w:t xml:space="preserve"> prevalent </w:t>
      </w:r>
      <w:r w:rsidR="00CF01B5">
        <w:rPr>
          <w:iCs/>
        </w:rPr>
        <w:t xml:space="preserve">del17p CLL/SLL </w:t>
      </w:r>
      <w:r w:rsidR="00112CF6">
        <w:rPr>
          <w:iCs/>
        </w:rPr>
        <w:t xml:space="preserve">patients should be excluded from the </w:t>
      </w:r>
      <w:r w:rsidR="00F17838">
        <w:rPr>
          <w:iCs/>
        </w:rPr>
        <w:lastRenderedPageBreak/>
        <w:t xml:space="preserve">financial </w:t>
      </w:r>
      <w:r w:rsidR="00112CF6">
        <w:rPr>
          <w:iCs/>
        </w:rPr>
        <w:t xml:space="preserve">estimates as </w:t>
      </w:r>
      <w:r w:rsidR="00CF01B5">
        <w:rPr>
          <w:iCs/>
        </w:rPr>
        <w:t xml:space="preserve">the Committee considered that </w:t>
      </w:r>
      <w:r w:rsidR="00112CF6">
        <w:rPr>
          <w:iCs/>
        </w:rPr>
        <w:t xml:space="preserve">rapid disease progression </w:t>
      </w:r>
      <w:r w:rsidR="00CF01B5">
        <w:rPr>
          <w:iCs/>
        </w:rPr>
        <w:t>in this population means</w:t>
      </w:r>
      <w:r w:rsidR="00660B09">
        <w:rPr>
          <w:iCs/>
        </w:rPr>
        <w:t xml:space="preserve"> patients would already have commenced first-line therapy.</w:t>
      </w:r>
    </w:p>
    <w:p w:rsidR="00C11031" w:rsidRDefault="00B00628" w:rsidP="00B2597F">
      <w:pPr>
        <w:pStyle w:val="ListParagraph"/>
        <w:numPr>
          <w:ilvl w:val="1"/>
          <w:numId w:val="1"/>
        </w:numPr>
      </w:pPr>
      <w:r>
        <w:t>Table 19</w:t>
      </w:r>
      <w:r w:rsidR="00794065">
        <w:t xml:space="preserve"> provides</w:t>
      </w:r>
      <w:r w:rsidR="004D43AD">
        <w:t xml:space="preserve"> a summary of the estimated usage and financial implications of the proposed PBS listing of ibrutinib for first-line treatment.</w:t>
      </w:r>
      <w:r w:rsidR="00794065">
        <w:t xml:space="preserve"> </w:t>
      </w:r>
    </w:p>
    <w:p w:rsidR="00C25D9C" w:rsidRDefault="00661DFA" w:rsidP="00F863C2">
      <w:pPr>
        <w:keepNext/>
        <w:keepLines/>
        <w:rPr>
          <w:rStyle w:val="CommentReference"/>
        </w:rPr>
      </w:pPr>
      <w:r w:rsidRPr="00401364">
        <w:rPr>
          <w:rFonts w:ascii="Arial Narrow" w:hAnsi="Arial Narrow"/>
          <w:b/>
          <w:sz w:val="20"/>
          <w:szCs w:val="20"/>
        </w:rPr>
        <w:t xml:space="preserve">Table </w:t>
      </w:r>
      <w:r w:rsidR="00B9191D">
        <w:rPr>
          <w:rFonts w:ascii="Arial Narrow" w:hAnsi="Arial Narrow"/>
          <w:b/>
          <w:sz w:val="20"/>
          <w:szCs w:val="20"/>
        </w:rPr>
        <w:t>19</w:t>
      </w:r>
      <w:r w:rsidR="002A2F50" w:rsidRPr="001222FC">
        <w:rPr>
          <w:rStyle w:val="CommentReference"/>
        </w:rPr>
        <w:t xml:space="preserve">: Estimated use and financial </w:t>
      </w:r>
      <w:r w:rsidR="00764B6C" w:rsidRPr="001222FC">
        <w:rPr>
          <w:rStyle w:val="CommentReference"/>
        </w:rPr>
        <w:t>implications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4"/>
        <w:gridCol w:w="1054"/>
        <w:gridCol w:w="1028"/>
        <w:gridCol w:w="1159"/>
        <w:gridCol w:w="1124"/>
        <w:gridCol w:w="1119"/>
        <w:gridCol w:w="1179"/>
      </w:tblGrid>
      <w:tr w:rsidR="005E3D71" w:rsidRPr="00D1078F" w:rsidTr="00214A72">
        <w:trPr>
          <w:tblHeader/>
        </w:trPr>
        <w:tc>
          <w:tcPr>
            <w:tcW w:w="1326" w:type="pct"/>
            <w:shd w:val="clear" w:color="auto" w:fill="auto"/>
          </w:tcPr>
          <w:p w:rsidR="005E3D71" w:rsidRPr="003639A6" w:rsidRDefault="005E3D71" w:rsidP="00F863C2">
            <w:pPr>
              <w:pStyle w:val="Tabletext"/>
              <w:keepNext/>
              <w:keepLines/>
              <w:tabs>
                <w:tab w:val="left" w:pos="244"/>
              </w:tabs>
            </w:pPr>
          </w:p>
        </w:tc>
        <w:tc>
          <w:tcPr>
            <w:tcW w:w="581" w:type="pct"/>
            <w:shd w:val="clear" w:color="auto" w:fill="auto"/>
          </w:tcPr>
          <w:p w:rsidR="005E3D71" w:rsidRPr="00D1078F" w:rsidRDefault="005E3D71" w:rsidP="00F863C2">
            <w:pPr>
              <w:pStyle w:val="Tabletext"/>
              <w:keepNext/>
              <w:keepLines/>
              <w:jc w:val="center"/>
              <w:rPr>
                <w:b/>
              </w:rPr>
            </w:pPr>
            <w:r w:rsidRPr="00D1078F">
              <w:rPr>
                <w:b/>
              </w:rPr>
              <w:t>Year 1</w:t>
            </w:r>
          </w:p>
        </w:tc>
        <w:tc>
          <w:tcPr>
            <w:tcW w:w="567" w:type="pct"/>
            <w:shd w:val="clear" w:color="auto" w:fill="auto"/>
          </w:tcPr>
          <w:p w:rsidR="005E3D71" w:rsidRPr="00D1078F" w:rsidRDefault="005E3D71" w:rsidP="00F863C2">
            <w:pPr>
              <w:pStyle w:val="Tabletext"/>
              <w:keepNext/>
              <w:keepLines/>
              <w:jc w:val="center"/>
              <w:rPr>
                <w:b/>
              </w:rPr>
            </w:pPr>
            <w:r w:rsidRPr="00D1078F">
              <w:rPr>
                <w:b/>
              </w:rPr>
              <w:t>Year 2</w:t>
            </w:r>
          </w:p>
        </w:tc>
        <w:tc>
          <w:tcPr>
            <w:tcW w:w="639" w:type="pct"/>
            <w:shd w:val="clear" w:color="auto" w:fill="auto"/>
          </w:tcPr>
          <w:p w:rsidR="005E3D71" w:rsidRPr="00D1078F" w:rsidRDefault="005E3D71" w:rsidP="00F863C2">
            <w:pPr>
              <w:pStyle w:val="Tabletext"/>
              <w:keepNext/>
              <w:keepLines/>
              <w:jc w:val="center"/>
              <w:rPr>
                <w:b/>
              </w:rPr>
            </w:pPr>
            <w:r w:rsidRPr="00D1078F">
              <w:rPr>
                <w:b/>
              </w:rPr>
              <w:t>Year 3</w:t>
            </w:r>
          </w:p>
        </w:tc>
        <w:tc>
          <w:tcPr>
            <w:tcW w:w="620" w:type="pct"/>
            <w:shd w:val="clear" w:color="auto" w:fill="auto"/>
          </w:tcPr>
          <w:p w:rsidR="005E3D71" w:rsidRPr="00D1078F" w:rsidRDefault="005E3D71" w:rsidP="00F863C2">
            <w:pPr>
              <w:pStyle w:val="Tabletext"/>
              <w:keepNext/>
              <w:keepLines/>
              <w:jc w:val="center"/>
              <w:rPr>
                <w:b/>
              </w:rPr>
            </w:pPr>
            <w:r w:rsidRPr="00D1078F">
              <w:rPr>
                <w:b/>
              </w:rPr>
              <w:t>Year 4</w:t>
            </w:r>
          </w:p>
        </w:tc>
        <w:tc>
          <w:tcPr>
            <w:tcW w:w="617" w:type="pct"/>
            <w:shd w:val="clear" w:color="auto" w:fill="auto"/>
          </w:tcPr>
          <w:p w:rsidR="005E3D71" w:rsidRPr="00D1078F" w:rsidRDefault="005E3D71" w:rsidP="00F863C2">
            <w:pPr>
              <w:pStyle w:val="Tabletext"/>
              <w:keepNext/>
              <w:keepLines/>
              <w:jc w:val="center"/>
              <w:rPr>
                <w:b/>
              </w:rPr>
            </w:pPr>
            <w:r w:rsidRPr="00D1078F">
              <w:rPr>
                <w:b/>
              </w:rPr>
              <w:t>Year 5</w:t>
            </w:r>
          </w:p>
        </w:tc>
        <w:tc>
          <w:tcPr>
            <w:tcW w:w="650" w:type="pct"/>
          </w:tcPr>
          <w:p w:rsidR="005E3D71" w:rsidRPr="00D1078F" w:rsidRDefault="005E3D71" w:rsidP="00F863C2">
            <w:pPr>
              <w:pStyle w:val="Tabletext"/>
              <w:keepNext/>
              <w:keepLines/>
              <w:jc w:val="center"/>
              <w:rPr>
                <w:b/>
              </w:rPr>
            </w:pPr>
            <w:r w:rsidRPr="00D1078F">
              <w:rPr>
                <w:b/>
              </w:rPr>
              <w:t>Year 6</w:t>
            </w:r>
          </w:p>
        </w:tc>
      </w:tr>
      <w:tr w:rsidR="005E3D71" w:rsidRPr="00952CE3" w:rsidTr="00214A72">
        <w:tc>
          <w:tcPr>
            <w:tcW w:w="5000" w:type="pct"/>
            <w:gridSpan w:val="7"/>
            <w:shd w:val="clear" w:color="auto" w:fill="auto"/>
          </w:tcPr>
          <w:p w:rsidR="005E3D71" w:rsidRPr="00952CE3" w:rsidRDefault="005E3D71" w:rsidP="00F863C2">
            <w:pPr>
              <w:pStyle w:val="Tabletext"/>
              <w:keepNext/>
              <w:keepLines/>
              <w:rPr>
                <w:rFonts w:cs="Arial"/>
                <w:bCs/>
                <w:color w:val="000000"/>
              </w:rPr>
            </w:pPr>
            <w:r w:rsidRPr="00D1078F">
              <w:rPr>
                <w:b/>
                <w:bCs/>
                <w:color w:val="000000"/>
              </w:rPr>
              <w:t>Estimated extent of use</w:t>
            </w:r>
          </w:p>
        </w:tc>
      </w:tr>
      <w:tr w:rsidR="00351CB2" w:rsidRPr="001E1943" w:rsidTr="00214A72">
        <w:tc>
          <w:tcPr>
            <w:tcW w:w="1326" w:type="pct"/>
            <w:shd w:val="clear" w:color="auto" w:fill="auto"/>
            <w:vAlign w:val="center"/>
          </w:tcPr>
          <w:p w:rsidR="00351CB2" w:rsidRDefault="00351CB2" w:rsidP="00F863C2">
            <w:pPr>
              <w:pStyle w:val="Tabletext"/>
              <w:keepNext/>
              <w:keepLines/>
              <w:tabs>
                <w:tab w:val="left" w:pos="244"/>
              </w:tabs>
            </w:pPr>
            <w:r>
              <w:t>Number of incident patients</w:t>
            </w:r>
          </w:p>
        </w:tc>
        <w:tc>
          <w:tcPr>
            <w:tcW w:w="581"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 xml:space="preserve">''''''''''''' </w:t>
            </w:r>
          </w:p>
        </w:tc>
        <w:tc>
          <w:tcPr>
            <w:tcW w:w="567"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 xml:space="preserve">''''''''''''' </w:t>
            </w:r>
          </w:p>
        </w:tc>
        <w:tc>
          <w:tcPr>
            <w:tcW w:w="639"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 xml:space="preserve">''''''''''''''' </w:t>
            </w:r>
          </w:p>
        </w:tc>
        <w:tc>
          <w:tcPr>
            <w:tcW w:w="620"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 xml:space="preserve">''''''''''''' </w:t>
            </w:r>
          </w:p>
        </w:tc>
        <w:tc>
          <w:tcPr>
            <w:tcW w:w="617"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 xml:space="preserve">''''''''''''' </w:t>
            </w:r>
          </w:p>
        </w:tc>
        <w:tc>
          <w:tcPr>
            <w:tcW w:w="650" w:type="pct"/>
            <w:vAlign w:val="center"/>
          </w:tcPr>
          <w:p w:rsidR="00351CB2" w:rsidRPr="007E3667" w:rsidRDefault="007E3667" w:rsidP="00F863C2">
            <w:pPr>
              <w:pStyle w:val="Tabletext"/>
              <w:keepNext/>
              <w:keepLines/>
              <w:jc w:val="center"/>
              <w:rPr>
                <w:highlight w:val="black"/>
              </w:rPr>
            </w:pPr>
            <w:r>
              <w:rPr>
                <w:noProof/>
                <w:color w:val="000000"/>
                <w:highlight w:val="black"/>
              </w:rPr>
              <w:t xml:space="preserve">'''''''''''' </w:t>
            </w:r>
          </w:p>
        </w:tc>
      </w:tr>
      <w:tr w:rsidR="00351CB2" w:rsidRPr="001E1943" w:rsidTr="00214A72">
        <w:tc>
          <w:tcPr>
            <w:tcW w:w="1326" w:type="pct"/>
            <w:shd w:val="clear" w:color="auto" w:fill="auto"/>
            <w:vAlign w:val="center"/>
          </w:tcPr>
          <w:p w:rsidR="00351CB2" w:rsidRDefault="00351CB2" w:rsidP="00F863C2">
            <w:pPr>
              <w:pStyle w:val="Tabletext"/>
              <w:keepNext/>
              <w:keepLines/>
              <w:tabs>
                <w:tab w:val="left" w:pos="244"/>
              </w:tabs>
            </w:pPr>
            <w:r>
              <w:t xml:space="preserve">Proportion requiring treatment </w:t>
            </w:r>
          </w:p>
        </w:tc>
        <w:tc>
          <w:tcPr>
            <w:tcW w:w="581"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50" w:type="pct"/>
            <w:vAlign w:val="center"/>
          </w:tcPr>
          <w:p w:rsidR="00351CB2" w:rsidRPr="007E3667" w:rsidRDefault="007E3667" w:rsidP="00F863C2">
            <w:pPr>
              <w:pStyle w:val="Tabletext"/>
              <w:keepNext/>
              <w:keepLines/>
              <w:jc w:val="center"/>
              <w:rPr>
                <w:highlight w:val="black"/>
              </w:rPr>
            </w:pPr>
            <w:r>
              <w:rPr>
                <w:noProof/>
                <w:color w:val="000000"/>
                <w:highlight w:val="black"/>
              </w:rPr>
              <w:t>''''''''''</w:t>
            </w:r>
          </w:p>
        </w:tc>
      </w:tr>
      <w:tr w:rsidR="00351CB2" w:rsidRPr="001E1943" w:rsidTr="00214A72">
        <w:tc>
          <w:tcPr>
            <w:tcW w:w="1326" w:type="pct"/>
            <w:shd w:val="clear" w:color="auto" w:fill="auto"/>
            <w:vAlign w:val="center"/>
          </w:tcPr>
          <w:p w:rsidR="00351CB2" w:rsidRDefault="00351CB2" w:rsidP="00F863C2">
            <w:pPr>
              <w:pStyle w:val="Tabletext"/>
              <w:keepNext/>
              <w:keepLines/>
              <w:tabs>
                <w:tab w:val="left" w:pos="244"/>
              </w:tabs>
            </w:pPr>
            <w:r>
              <w:t>Proportion with del17p</w:t>
            </w:r>
          </w:p>
        </w:tc>
        <w:tc>
          <w:tcPr>
            <w:tcW w:w="581"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50" w:type="pct"/>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r>
      <w:tr w:rsidR="00351CB2" w:rsidRPr="001E1943" w:rsidTr="00214A72">
        <w:tc>
          <w:tcPr>
            <w:tcW w:w="1326" w:type="pct"/>
            <w:shd w:val="clear" w:color="auto" w:fill="auto"/>
            <w:vAlign w:val="center"/>
          </w:tcPr>
          <w:p w:rsidR="00351CB2" w:rsidRDefault="00351CB2" w:rsidP="00F863C2">
            <w:pPr>
              <w:pStyle w:val="Tabletext"/>
              <w:keepNext/>
              <w:keepLines/>
              <w:tabs>
                <w:tab w:val="left" w:pos="244"/>
              </w:tabs>
            </w:pPr>
            <w:r>
              <w:t>Uptake</w:t>
            </w:r>
          </w:p>
        </w:tc>
        <w:tc>
          <w:tcPr>
            <w:tcW w:w="581"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50" w:type="pct"/>
            <w:vAlign w:val="center"/>
          </w:tcPr>
          <w:p w:rsidR="00351CB2" w:rsidRPr="007E3667" w:rsidRDefault="007E3667" w:rsidP="00F863C2">
            <w:pPr>
              <w:pStyle w:val="Tabletext"/>
              <w:keepNext/>
              <w:keepLines/>
              <w:jc w:val="center"/>
              <w:rPr>
                <w:highlight w:val="black"/>
              </w:rPr>
            </w:pPr>
            <w:r>
              <w:rPr>
                <w:noProof/>
                <w:color w:val="000000"/>
                <w:highlight w:val="black"/>
              </w:rPr>
              <w:t>''''''''''</w:t>
            </w:r>
          </w:p>
        </w:tc>
      </w:tr>
      <w:tr w:rsidR="00351CB2" w:rsidRPr="001E1943" w:rsidTr="00214A72">
        <w:tc>
          <w:tcPr>
            <w:tcW w:w="1326" w:type="pct"/>
            <w:shd w:val="clear" w:color="auto" w:fill="auto"/>
          </w:tcPr>
          <w:p w:rsidR="00351CB2" w:rsidRPr="003639A6" w:rsidRDefault="00351CB2" w:rsidP="00F863C2">
            <w:pPr>
              <w:pStyle w:val="Tabletext"/>
              <w:keepNext/>
              <w:keepLines/>
              <w:tabs>
                <w:tab w:val="left" w:pos="244"/>
              </w:tabs>
            </w:pPr>
            <w:r>
              <w:t>Number of incident patients commencing treatment</w:t>
            </w:r>
          </w:p>
        </w:tc>
        <w:tc>
          <w:tcPr>
            <w:tcW w:w="581" w:type="pct"/>
            <w:shd w:val="clear" w:color="auto" w:fill="auto"/>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c>
          <w:tcPr>
            <w:tcW w:w="650" w:type="pct"/>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r>
      <w:tr w:rsidR="00351CB2" w:rsidRPr="001E1943" w:rsidTr="00214A72">
        <w:tc>
          <w:tcPr>
            <w:tcW w:w="1326" w:type="pct"/>
            <w:shd w:val="clear" w:color="auto" w:fill="auto"/>
            <w:vAlign w:val="center"/>
          </w:tcPr>
          <w:p w:rsidR="00351CB2" w:rsidRDefault="00351CB2" w:rsidP="00F863C2">
            <w:pPr>
              <w:pStyle w:val="Tabletext"/>
              <w:keepNext/>
              <w:keepLines/>
              <w:tabs>
                <w:tab w:val="left" w:pos="244"/>
              </w:tabs>
            </w:pPr>
            <w:r>
              <w:t>Number of prevalent patients</w:t>
            </w:r>
          </w:p>
        </w:tc>
        <w:tc>
          <w:tcPr>
            <w:tcW w:w="581"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50" w:type="pct"/>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r>
      <w:tr w:rsidR="00351CB2" w:rsidRPr="001E1943" w:rsidTr="00214A72">
        <w:tc>
          <w:tcPr>
            <w:tcW w:w="1326" w:type="pct"/>
            <w:shd w:val="clear" w:color="auto" w:fill="auto"/>
            <w:vAlign w:val="center"/>
          </w:tcPr>
          <w:p w:rsidR="00351CB2" w:rsidRDefault="00351CB2" w:rsidP="00F863C2">
            <w:pPr>
              <w:pStyle w:val="Tabletext"/>
              <w:keepNext/>
              <w:keepLines/>
              <w:tabs>
                <w:tab w:val="left" w:pos="244"/>
              </w:tabs>
            </w:pPr>
            <w:r>
              <w:t xml:space="preserve">Proportion eligible for treatment </w:t>
            </w:r>
          </w:p>
        </w:tc>
        <w:tc>
          <w:tcPr>
            <w:tcW w:w="581"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50" w:type="pct"/>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r>
      <w:tr w:rsidR="00351CB2" w:rsidRPr="001E1943" w:rsidTr="00214A72">
        <w:tc>
          <w:tcPr>
            <w:tcW w:w="1326" w:type="pct"/>
            <w:shd w:val="clear" w:color="auto" w:fill="auto"/>
            <w:vAlign w:val="center"/>
          </w:tcPr>
          <w:p w:rsidR="00351CB2" w:rsidRDefault="00351CB2" w:rsidP="00F863C2">
            <w:pPr>
              <w:pStyle w:val="Tabletext"/>
              <w:keepNext/>
              <w:keepLines/>
              <w:tabs>
                <w:tab w:val="left" w:pos="244"/>
              </w:tabs>
            </w:pPr>
            <w:r>
              <w:t>Proportion require treatment</w:t>
            </w:r>
          </w:p>
        </w:tc>
        <w:tc>
          <w:tcPr>
            <w:tcW w:w="581"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50" w:type="pct"/>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r>
      <w:tr w:rsidR="00351CB2" w:rsidRPr="001E1943" w:rsidTr="00214A72">
        <w:tc>
          <w:tcPr>
            <w:tcW w:w="1326" w:type="pct"/>
            <w:shd w:val="clear" w:color="auto" w:fill="auto"/>
            <w:vAlign w:val="center"/>
          </w:tcPr>
          <w:p w:rsidR="00351CB2" w:rsidRDefault="00351CB2" w:rsidP="00F863C2">
            <w:pPr>
              <w:pStyle w:val="Tabletext"/>
              <w:keepNext/>
              <w:keepLines/>
              <w:tabs>
                <w:tab w:val="left" w:pos="244"/>
              </w:tabs>
            </w:pPr>
            <w:r>
              <w:t>Proportion with del17p</w:t>
            </w:r>
          </w:p>
        </w:tc>
        <w:tc>
          <w:tcPr>
            <w:tcW w:w="581"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c>
          <w:tcPr>
            <w:tcW w:w="650" w:type="pct"/>
            <w:vAlign w:val="center"/>
          </w:tcPr>
          <w:p w:rsidR="00351CB2" w:rsidRPr="007E3667" w:rsidRDefault="007E3667" w:rsidP="00F863C2">
            <w:pPr>
              <w:pStyle w:val="Tabletext"/>
              <w:keepNext/>
              <w:keepLines/>
              <w:jc w:val="center"/>
              <w:rPr>
                <w:highlight w:val="black"/>
              </w:rPr>
            </w:pPr>
            <w:r>
              <w:rPr>
                <w:rFonts w:cs="Arial"/>
                <w:noProof/>
                <w:color w:val="000000"/>
                <w:highlight w:val="black"/>
              </w:rPr>
              <w:t>''''''''</w:t>
            </w:r>
          </w:p>
        </w:tc>
      </w:tr>
      <w:tr w:rsidR="00351CB2" w:rsidRPr="001E1943" w:rsidTr="00214A72">
        <w:tc>
          <w:tcPr>
            <w:tcW w:w="1326" w:type="pct"/>
            <w:shd w:val="clear" w:color="auto" w:fill="auto"/>
            <w:vAlign w:val="center"/>
          </w:tcPr>
          <w:p w:rsidR="00351CB2" w:rsidRDefault="00351CB2" w:rsidP="00F863C2">
            <w:pPr>
              <w:pStyle w:val="Tabletext"/>
              <w:keepNext/>
              <w:keepLines/>
              <w:tabs>
                <w:tab w:val="left" w:pos="244"/>
              </w:tabs>
            </w:pPr>
            <w:r>
              <w:t>Uptake</w:t>
            </w:r>
          </w:p>
        </w:tc>
        <w:tc>
          <w:tcPr>
            <w:tcW w:w="581"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highlight w:val="black"/>
              </w:rPr>
            </w:pPr>
            <w:r>
              <w:rPr>
                <w:noProof/>
                <w:color w:val="000000"/>
                <w:highlight w:val="black"/>
              </w:rPr>
              <w:t>'''''''''''</w:t>
            </w:r>
          </w:p>
        </w:tc>
        <w:tc>
          <w:tcPr>
            <w:tcW w:w="650" w:type="pct"/>
            <w:vAlign w:val="center"/>
          </w:tcPr>
          <w:p w:rsidR="00351CB2" w:rsidRPr="007E3667" w:rsidRDefault="007E3667" w:rsidP="00F863C2">
            <w:pPr>
              <w:pStyle w:val="Tabletext"/>
              <w:keepNext/>
              <w:keepLines/>
              <w:jc w:val="center"/>
              <w:rPr>
                <w:highlight w:val="black"/>
              </w:rPr>
            </w:pPr>
            <w:r>
              <w:rPr>
                <w:noProof/>
                <w:color w:val="000000"/>
                <w:highlight w:val="black"/>
              </w:rPr>
              <w:t>'''''''''''</w:t>
            </w:r>
          </w:p>
        </w:tc>
      </w:tr>
      <w:tr w:rsidR="00351CB2" w:rsidRPr="001E1943" w:rsidTr="00214A72">
        <w:tc>
          <w:tcPr>
            <w:tcW w:w="1326" w:type="pct"/>
            <w:shd w:val="clear" w:color="auto" w:fill="auto"/>
            <w:vAlign w:val="center"/>
          </w:tcPr>
          <w:p w:rsidR="00351CB2" w:rsidRPr="003639A6" w:rsidRDefault="00351CB2" w:rsidP="00F863C2">
            <w:pPr>
              <w:pStyle w:val="Tabletext"/>
              <w:keepNext/>
              <w:keepLines/>
              <w:tabs>
                <w:tab w:val="left" w:pos="244"/>
              </w:tabs>
            </w:pPr>
            <w:r>
              <w:t>Number of prevalent patients commencing treatment</w:t>
            </w:r>
          </w:p>
        </w:tc>
        <w:tc>
          <w:tcPr>
            <w:tcW w:w="581" w:type="pct"/>
            <w:shd w:val="clear" w:color="auto" w:fill="auto"/>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c>
          <w:tcPr>
            <w:tcW w:w="650" w:type="pct"/>
            <w:vAlign w:val="center"/>
          </w:tcPr>
          <w:p w:rsidR="00351CB2" w:rsidRPr="007E3667" w:rsidRDefault="007E3667" w:rsidP="00F863C2">
            <w:pPr>
              <w:pStyle w:val="Tabletext"/>
              <w:keepNext/>
              <w:keepLines/>
              <w:jc w:val="center"/>
              <w:rPr>
                <w:rFonts w:cs="Arial"/>
                <w:bCs/>
                <w:color w:val="000000"/>
                <w:highlight w:val="black"/>
              </w:rPr>
            </w:pPr>
            <w:r>
              <w:rPr>
                <w:noProof/>
                <w:color w:val="000000"/>
                <w:highlight w:val="black"/>
              </w:rPr>
              <w:t>'''</w:t>
            </w:r>
          </w:p>
        </w:tc>
      </w:tr>
      <w:tr w:rsidR="00351CB2" w:rsidRPr="001E1943" w:rsidTr="00214A72">
        <w:tc>
          <w:tcPr>
            <w:tcW w:w="1326" w:type="pct"/>
            <w:shd w:val="clear" w:color="auto" w:fill="auto"/>
          </w:tcPr>
          <w:p w:rsidR="00351CB2" w:rsidRPr="00351CB2" w:rsidRDefault="00351CB2" w:rsidP="00F863C2">
            <w:pPr>
              <w:pStyle w:val="Tabletext"/>
              <w:keepNext/>
              <w:keepLines/>
              <w:tabs>
                <w:tab w:val="left" w:pos="244"/>
              </w:tabs>
              <w:rPr>
                <w:b/>
                <w:bCs/>
              </w:rPr>
            </w:pPr>
            <w:r w:rsidRPr="00351CB2">
              <w:rPr>
                <w:b/>
                <w:bCs/>
              </w:rPr>
              <w:t xml:space="preserve">Total number commencing treatment </w:t>
            </w:r>
          </w:p>
        </w:tc>
        <w:tc>
          <w:tcPr>
            <w:tcW w:w="581" w:type="pct"/>
            <w:shd w:val="clear" w:color="auto" w:fill="auto"/>
            <w:vAlign w:val="center"/>
          </w:tcPr>
          <w:p w:rsidR="00351CB2" w:rsidRPr="007E3667" w:rsidRDefault="007E3667" w:rsidP="00F863C2">
            <w:pPr>
              <w:pStyle w:val="Tabletext"/>
              <w:keepNext/>
              <w:keepLines/>
              <w:jc w:val="center"/>
              <w:rPr>
                <w:rFonts w:cs="Arial"/>
                <w:b/>
                <w:bCs/>
                <w:color w:val="000000"/>
                <w:highlight w:val="black"/>
              </w:rPr>
            </w:pPr>
            <w:r>
              <w:rPr>
                <w:rFonts w:cs="Arial"/>
                <w:b/>
                <w:bCs/>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rFonts w:cs="Arial"/>
                <w:b/>
                <w:bCs/>
                <w:color w:val="000000"/>
                <w:highlight w:val="black"/>
              </w:rPr>
            </w:pPr>
            <w:r>
              <w:rPr>
                <w:rFonts w:cs="Arial"/>
                <w:b/>
                <w:bCs/>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rFonts w:cs="Arial"/>
                <w:b/>
                <w:bCs/>
                <w:color w:val="000000"/>
                <w:highlight w:val="black"/>
              </w:rPr>
            </w:pPr>
            <w:r>
              <w:rPr>
                <w:rFonts w:cs="Arial"/>
                <w:b/>
                <w:bCs/>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rFonts w:cs="Arial"/>
                <w:b/>
                <w:bCs/>
                <w:color w:val="000000"/>
                <w:highlight w:val="black"/>
              </w:rPr>
            </w:pPr>
            <w:r>
              <w:rPr>
                <w:rFonts w:cs="Arial"/>
                <w:b/>
                <w:bCs/>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rFonts w:cs="Arial"/>
                <w:b/>
                <w:bCs/>
                <w:color w:val="000000"/>
                <w:highlight w:val="black"/>
              </w:rPr>
            </w:pPr>
            <w:r>
              <w:rPr>
                <w:rFonts w:cs="Arial"/>
                <w:b/>
                <w:bCs/>
                <w:noProof/>
                <w:color w:val="000000"/>
                <w:highlight w:val="black"/>
              </w:rPr>
              <w:t>'''''''</w:t>
            </w:r>
          </w:p>
        </w:tc>
        <w:tc>
          <w:tcPr>
            <w:tcW w:w="650" w:type="pct"/>
            <w:vAlign w:val="center"/>
          </w:tcPr>
          <w:p w:rsidR="00351CB2" w:rsidRPr="007E3667" w:rsidRDefault="007E3667" w:rsidP="00F863C2">
            <w:pPr>
              <w:pStyle w:val="Tabletext"/>
              <w:keepNext/>
              <w:keepLines/>
              <w:jc w:val="center"/>
              <w:rPr>
                <w:rFonts w:cs="Arial"/>
                <w:b/>
                <w:bCs/>
                <w:color w:val="000000"/>
                <w:highlight w:val="black"/>
              </w:rPr>
            </w:pPr>
            <w:r>
              <w:rPr>
                <w:rFonts w:cs="Arial"/>
                <w:b/>
                <w:bCs/>
                <w:noProof/>
                <w:color w:val="000000"/>
                <w:highlight w:val="black"/>
              </w:rPr>
              <w:t>''''''''</w:t>
            </w:r>
          </w:p>
        </w:tc>
      </w:tr>
      <w:tr w:rsidR="00351CB2" w:rsidRPr="001E1943" w:rsidTr="00214A72">
        <w:tc>
          <w:tcPr>
            <w:tcW w:w="1326" w:type="pct"/>
            <w:shd w:val="clear" w:color="auto" w:fill="auto"/>
          </w:tcPr>
          <w:p w:rsidR="00351CB2" w:rsidRPr="003639A6" w:rsidRDefault="00351CB2" w:rsidP="00F863C2">
            <w:pPr>
              <w:pStyle w:val="Tabletext"/>
              <w:keepNext/>
              <w:keepLines/>
              <w:tabs>
                <w:tab w:val="left" w:pos="244"/>
              </w:tabs>
              <w:rPr>
                <w:rFonts w:ascii="Times" w:hAnsi="Times"/>
              </w:rPr>
            </w:pPr>
            <w:r w:rsidRPr="003639A6">
              <w:t xml:space="preserve">Number of </w:t>
            </w:r>
            <w:r>
              <w:t>scripts</w:t>
            </w:r>
            <w:r w:rsidRPr="003639A6">
              <w:t xml:space="preserve"> </w:t>
            </w:r>
            <w:r w:rsidRPr="00442913">
              <w:t>dispensed</w:t>
            </w:r>
            <w:r w:rsidR="00E1285D">
              <w:rPr>
                <w:vertAlign w:val="superscript"/>
              </w:rPr>
              <w:t>a</w:t>
            </w:r>
          </w:p>
        </w:tc>
        <w:tc>
          <w:tcPr>
            <w:tcW w:w="581" w:type="pct"/>
            <w:shd w:val="clear" w:color="auto" w:fill="auto"/>
            <w:vAlign w:val="bottom"/>
          </w:tcPr>
          <w:p w:rsidR="00351CB2" w:rsidRPr="007E3667" w:rsidRDefault="007E3667" w:rsidP="00F863C2">
            <w:pPr>
              <w:pStyle w:val="Tabletext"/>
              <w:keepNext/>
              <w:keepLines/>
              <w:jc w:val="center"/>
              <w:rPr>
                <w:bCs/>
                <w:color w:val="000000"/>
                <w:highlight w:val="black"/>
              </w:rPr>
            </w:pPr>
            <w:r>
              <w:rPr>
                <w:rFonts w:cs="Arial"/>
                <w:noProof/>
                <w:color w:val="000000"/>
                <w:szCs w:val="20"/>
                <w:highlight w:val="black"/>
              </w:rPr>
              <w:t xml:space="preserve">'''''''''''' </w:t>
            </w:r>
          </w:p>
        </w:tc>
        <w:tc>
          <w:tcPr>
            <w:tcW w:w="567" w:type="pct"/>
            <w:shd w:val="clear" w:color="auto" w:fill="auto"/>
            <w:vAlign w:val="bottom"/>
          </w:tcPr>
          <w:p w:rsidR="00351CB2" w:rsidRPr="007E3667" w:rsidRDefault="007E3667" w:rsidP="00F863C2">
            <w:pPr>
              <w:pStyle w:val="Tabletext"/>
              <w:keepNext/>
              <w:keepLines/>
              <w:jc w:val="center"/>
              <w:rPr>
                <w:bCs/>
                <w:color w:val="000000"/>
                <w:highlight w:val="black"/>
              </w:rPr>
            </w:pPr>
            <w:r>
              <w:rPr>
                <w:rFonts w:cs="Arial"/>
                <w:noProof/>
                <w:color w:val="000000"/>
                <w:szCs w:val="20"/>
                <w:highlight w:val="black"/>
              </w:rPr>
              <w:t xml:space="preserve">''''''''''''' </w:t>
            </w:r>
          </w:p>
        </w:tc>
        <w:tc>
          <w:tcPr>
            <w:tcW w:w="639" w:type="pct"/>
            <w:shd w:val="clear" w:color="auto" w:fill="auto"/>
            <w:vAlign w:val="bottom"/>
          </w:tcPr>
          <w:p w:rsidR="00351CB2" w:rsidRPr="007E3667" w:rsidRDefault="007E3667" w:rsidP="00F863C2">
            <w:pPr>
              <w:pStyle w:val="Tabletext"/>
              <w:keepNext/>
              <w:keepLines/>
              <w:jc w:val="center"/>
              <w:rPr>
                <w:bCs/>
                <w:color w:val="000000"/>
                <w:highlight w:val="black"/>
              </w:rPr>
            </w:pPr>
            <w:r>
              <w:rPr>
                <w:rFonts w:cs="Arial"/>
                <w:noProof/>
                <w:color w:val="000000"/>
                <w:szCs w:val="20"/>
                <w:highlight w:val="black"/>
              </w:rPr>
              <w:t xml:space="preserve">'''''''''''''' </w:t>
            </w:r>
          </w:p>
        </w:tc>
        <w:tc>
          <w:tcPr>
            <w:tcW w:w="620" w:type="pct"/>
            <w:shd w:val="clear" w:color="auto" w:fill="auto"/>
            <w:vAlign w:val="bottom"/>
          </w:tcPr>
          <w:p w:rsidR="00351CB2" w:rsidRPr="007E3667" w:rsidRDefault="007E3667" w:rsidP="00F863C2">
            <w:pPr>
              <w:pStyle w:val="Tabletext"/>
              <w:keepNext/>
              <w:keepLines/>
              <w:jc w:val="center"/>
              <w:rPr>
                <w:bCs/>
                <w:color w:val="000000"/>
                <w:highlight w:val="black"/>
              </w:rPr>
            </w:pPr>
            <w:r>
              <w:rPr>
                <w:rFonts w:cs="Arial"/>
                <w:noProof/>
                <w:color w:val="000000"/>
                <w:szCs w:val="20"/>
                <w:highlight w:val="black"/>
              </w:rPr>
              <w:t xml:space="preserve">'''''''''''''' </w:t>
            </w:r>
          </w:p>
        </w:tc>
        <w:tc>
          <w:tcPr>
            <w:tcW w:w="617" w:type="pct"/>
            <w:shd w:val="clear" w:color="auto" w:fill="auto"/>
            <w:vAlign w:val="bottom"/>
          </w:tcPr>
          <w:p w:rsidR="00351CB2" w:rsidRPr="007E3667" w:rsidRDefault="007E3667" w:rsidP="00F863C2">
            <w:pPr>
              <w:pStyle w:val="Tabletext"/>
              <w:keepNext/>
              <w:keepLines/>
              <w:jc w:val="center"/>
              <w:rPr>
                <w:bCs/>
                <w:color w:val="000000"/>
                <w:highlight w:val="black"/>
              </w:rPr>
            </w:pPr>
            <w:r>
              <w:rPr>
                <w:rFonts w:cs="Arial"/>
                <w:noProof/>
                <w:color w:val="000000"/>
                <w:szCs w:val="20"/>
                <w:highlight w:val="black"/>
              </w:rPr>
              <w:t xml:space="preserve">''''''''''''' </w:t>
            </w:r>
          </w:p>
        </w:tc>
        <w:tc>
          <w:tcPr>
            <w:tcW w:w="650" w:type="pct"/>
            <w:vAlign w:val="bottom"/>
          </w:tcPr>
          <w:p w:rsidR="00351CB2" w:rsidRPr="007E3667" w:rsidRDefault="007E3667" w:rsidP="00F863C2">
            <w:pPr>
              <w:pStyle w:val="Tabletext"/>
              <w:keepNext/>
              <w:keepLines/>
              <w:jc w:val="center"/>
              <w:rPr>
                <w:bCs/>
                <w:color w:val="000000"/>
                <w:highlight w:val="black"/>
              </w:rPr>
            </w:pPr>
            <w:r>
              <w:rPr>
                <w:rFonts w:cs="Arial"/>
                <w:noProof/>
                <w:color w:val="000000"/>
                <w:szCs w:val="20"/>
                <w:highlight w:val="black"/>
              </w:rPr>
              <w:t xml:space="preserve">'''''''''''''' </w:t>
            </w:r>
          </w:p>
        </w:tc>
      </w:tr>
      <w:tr w:rsidR="00351CB2" w:rsidTr="00214A72">
        <w:tc>
          <w:tcPr>
            <w:tcW w:w="5000" w:type="pct"/>
            <w:gridSpan w:val="7"/>
            <w:shd w:val="clear" w:color="auto" w:fill="auto"/>
          </w:tcPr>
          <w:p w:rsidR="00351CB2" w:rsidRDefault="00351CB2" w:rsidP="00F863C2">
            <w:pPr>
              <w:pStyle w:val="Tabletext"/>
              <w:keepNext/>
              <w:keepLines/>
              <w:rPr>
                <w:rFonts w:cs="Arial"/>
                <w:color w:val="000000"/>
                <w:szCs w:val="20"/>
              </w:rPr>
            </w:pPr>
            <w:r w:rsidRPr="00D1078F">
              <w:rPr>
                <w:b/>
                <w:bCs/>
                <w:color w:val="000000"/>
              </w:rPr>
              <w:t xml:space="preserve">Estimated </w:t>
            </w:r>
            <w:r>
              <w:rPr>
                <w:b/>
                <w:bCs/>
                <w:color w:val="000000"/>
              </w:rPr>
              <w:t>financial implications of ibrutinib</w:t>
            </w:r>
          </w:p>
        </w:tc>
      </w:tr>
      <w:tr w:rsidR="00351CB2" w:rsidRPr="00D12C94" w:rsidTr="00214A72">
        <w:tc>
          <w:tcPr>
            <w:tcW w:w="1326" w:type="pct"/>
            <w:shd w:val="clear" w:color="auto" w:fill="auto"/>
          </w:tcPr>
          <w:p w:rsidR="00351CB2" w:rsidRPr="0084249A" w:rsidRDefault="00351CB2" w:rsidP="00F863C2">
            <w:pPr>
              <w:pStyle w:val="Tabletext"/>
              <w:keepNext/>
              <w:keepLines/>
              <w:tabs>
                <w:tab w:val="left" w:pos="244"/>
              </w:tabs>
              <w:rPr>
                <w:szCs w:val="20"/>
              </w:rPr>
            </w:pPr>
            <w:r w:rsidRPr="0084249A">
              <w:rPr>
                <w:szCs w:val="20"/>
              </w:rPr>
              <w:t>Cost to PBS/RPBS less co</w:t>
            </w:r>
            <w:r>
              <w:rPr>
                <w:szCs w:val="20"/>
              </w:rPr>
              <w:t>-</w:t>
            </w:r>
            <w:r w:rsidRPr="0084249A">
              <w:rPr>
                <w:szCs w:val="20"/>
              </w:rPr>
              <w:t>payments</w:t>
            </w:r>
          </w:p>
        </w:tc>
        <w:tc>
          <w:tcPr>
            <w:tcW w:w="581" w:type="pct"/>
            <w:shd w:val="clear" w:color="auto" w:fill="auto"/>
            <w:vAlign w:val="center"/>
          </w:tcPr>
          <w:p w:rsidR="00351CB2" w:rsidRPr="007E3667" w:rsidRDefault="007E3667" w:rsidP="00F863C2">
            <w:pPr>
              <w:pStyle w:val="Tabletext"/>
              <w:keepNext/>
              <w:keepLines/>
              <w:jc w:val="center"/>
              <w:rPr>
                <w:bCs/>
                <w:color w:val="000000"/>
                <w:highlight w:val="black"/>
              </w:rPr>
            </w:pPr>
            <w:r>
              <w:rPr>
                <w:bCs/>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bCs/>
                <w:color w:val="000000"/>
                <w:highlight w:val="black"/>
              </w:rPr>
            </w:pPr>
            <w:r>
              <w:rPr>
                <w:bCs/>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bCs/>
                <w:color w:val="000000"/>
                <w:highlight w:val="black"/>
              </w:rPr>
            </w:pPr>
            <w:r>
              <w:rPr>
                <w:bCs/>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bCs/>
                <w:color w:val="000000"/>
                <w:highlight w:val="black"/>
              </w:rPr>
            </w:pPr>
            <w:r>
              <w:rPr>
                <w:bCs/>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bCs/>
                <w:color w:val="000000"/>
                <w:highlight w:val="black"/>
              </w:rPr>
            </w:pPr>
            <w:r>
              <w:rPr>
                <w:bCs/>
                <w:noProof/>
                <w:color w:val="000000"/>
                <w:highlight w:val="black"/>
              </w:rPr>
              <w:t>''''''''''''''''''''''''''''</w:t>
            </w:r>
          </w:p>
        </w:tc>
        <w:tc>
          <w:tcPr>
            <w:tcW w:w="650" w:type="pct"/>
            <w:vAlign w:val="center"/>
          </w:tcPr>
          <w:p w:rsidR="00351CB2" w:rsidRPr="007E3667" w:rsidRDefault="007E3667" w:rsidP="00F863C2">
            <w:pPr>
              <w:pStyle w:val="Tabletext"/>
              <w:keepNext/>
              <w:keepLines/>
              <w:jc w:val="center"/>
              <w:rPr>
                <w:bCs/>
                <w:color w:val="000000"/>
                <w:highlight w:val="black"/>
              </w:rPr>
            </w:pPr>
            <w:r>
              <w:rPr>
                <w:bCs/>
                <w:noProof/>
                <w:color w:val="000000"/>
                <w:highlight w:val="black"/>
              </w:rPr>
              <w:t>'''''''''''''''''''''''''''</w:t>
            </w:r>
          </w:p>
        </w:tc>
      </w:tr>
      <w:tr w:rsidR="00351CB2" w:rsidRPr="00D12C94" w:rsidTr="00214A72">
        <w:tc>
          <w:tcPr>
            <w:tcW w:w="1326" w:type="pct"/>
            <w:shd w:val="clear" w:color="auto" w:fill="auto"/>
          </w:tcPr>
          <w:p w:rsidR="00351CB2" w:rsidRDefault="00351CB2" w:rsidP="00F863C2">
            <w:pPr>
              <w:pStyle w:val="Tabletext"/>
              <w:keepNext/>
              <w:keepLines/>
              <w:tabs>
                <w:tab w:val="left" w:pos="244"/>
              </w:tabs>
              <w:rPr>
                <w:sz w:val="19"/>
                <w:szCs w:val="19"/>
              </w:rPr>
            </w:pPr>
            <w:r>
              <w:rPr>
                <w:szCs w:val="20"/>
              </w:rPr>
              <w:t>Cost offsets for change in use of other medicines</w:t>
            </w:r>
          </w:p>
        </w:tc>
        <w:tc>
          <w:tcPr>
            <w:tcW w:w="581" w:type="pct"/>
            <w:shd w:val="clear" w:color="auto" w:fill="auto"/>
            <w:vAlign w:val="center"/>
          </w:tcPr>
          <w:p w:rsidR="00351CB2" w:rsidRPr="007E3667" w:rsidRDefault="007E3667" w:rsidP="00F863C2">
            <w:pPr>
              <w:pStyle w:val="Tabletext"/>
              <w:keepNext/>
              <w:keepLines/>
              <w:jc w:val="center"/>
              <w:rPr>
                <w:bCs/>
                <w:color w:val="000000"/>
                <w:highlight w:val="black"/>
              </w:rPr>
            </w:pPr>
            <w:r>
              <w:rPr>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bCs/>
                <w:color w:val="000000"/>
                <w:highlight w:val="black"/>
              </w:rPr>
            </w:pPr>
            <w:r>
              <w:rPr>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bCs/>
                <w:color w:val="000000"/>
                <w:highlight w:val="black"/>
              </w:rPr>
            </w:pPr>
            <w:r>
              <w:rPr>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bCs/>
                <w:color w:val="000000"/>
                <w:highlight w:val="black"/>
              </w:rPr>
            </w:pPr>
            <w:r>
              <w:rPr>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bCs/>
                <w:color w:val="000000"/>
                <w:highlight w:val="black"/>
              </w:rPr>
            </w:pPr>
            <w:r>
              <w:rPr>
                <w:noProof/>
                <w:color w:val="000000"/>
                <w:highlight w:val="black"/>
              </w:rPr>
              <w:t>'''''''''''''''''''''''''''''</w:t>
            </w:r>
          </w:p>
        </w:tc>
        <w:tc>
          <w:tcPr>
            <w:tcW w:w="650" w:type="pct"/>
            <w:vAlign w:val="center"/>
          </w:tcPr>
          <w:p w:rsidR="00351CB2" w:rsidRPr="007E3667" w:rsidRDefault="007E3667" w:rsidP="00F863C2">
            <w:pPr>
              <w:pStyle w:val="Tabletext"/>
              <w:keepNext/>
              <w:keepLines/>
              <w:jc w:val="center"/>
              <w:rPr>
                <w:bCs/>
                <w:color w:val="000000"/>
                <w:highlight w:val="black"/>
              </w:rPr>
            </w:pPr>
            <w:r>
              <w:rPr>
                <w:noProof/>
                <w:color w:val="000000"/>
                <w:highlight w:val="black"/>
              </w:rPr>
              <w:t>'''''''''''''''''''''''''''''''</w:t>
            </w:r>
          </w:p>
        </w:tc>
      </w:tr>
      <w:tr w:rsidR="00351CB2" w:rsidRPr="00551B25" w:rsidTr="00214A72">
        <w:tc>
          <w:tcPr>
            <w:tcW w:w="5000" w:type="pct"/>
            <w:gridSpan w:val="7"/>
            <w:shd w:val="clear" w:color="auto" w:fill="auto"/>
          </w:tcPr>
          <w:p w:rsidR="00351CB2" w:rsidRPr="00551B25" w:rsidRDefault="00351CB2" w:rsidP="00F863C2">
            <w:pPr>
              <w:pStyle w:val="Tabletext"/>
              <w:keepNext/>
              <w:keepLines/>
              <w:rPr>
                <w:rFonts w:cs="Arial"/>
                <w:b/>
                <w:color w:val="000000"/>
                <w:szCs w:val="20"/>
              </w:rPr>
            </w:pPr>
            <w:r w:rsidRPr="00FC22AB">
              <w:rPr>
                <w:b/>
                <w:bCs/>
                <w:color w:val="000000"/>
              </w:rPr>
              <w:t>Net financial implications</w:t>
            </w:r>
          </w:p>
        </w:tc>
      </w:tr>
      <w:tr w:rsidR="00351CB2" w:rsidRPr="00097B53" w:rsidTr="00214A72">
        <w:tc>
          <w:tcPr>
            <w:tcW w:w="1326" w:type="pct"/>
            <w:shd w:val="clear" w:color="auto" w:fill="auto"/>
          </w:tcPr>
          <w:p w:rsidR="00351CB2" w:rsidRPr="0084249A" w:rsidRDefault="00351CB2" w:rsidP="00F863C2">
            <w:pPr>
              <w:pStyle w:val="Tabletext"/>
              <w:keepNext/>
              <w:keepLines/>
              <w:tabs>
                <w:tab w:val="left" w:pos="244"/>
              </w:tabs>
              <w:rPr>
                <w:szCs w:val="20"/>
              </w:rPr>
            </w:pPr>
            <w:r w:rsidRPr="0084249A">
              <w:rPr>
                <w:szCs w:val="20"/>
              </w:rPr>
              <w:t>Net cost to PBS/RPBS</w:t>
            </w:r>
          </w:p>
        </w:tc>
        <w:tc>
          <w:tcPr>
            <w:tcW w:w="581"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c>
          <w:tcPr>
            <w:tcW w:w="650" w:type="pct"/>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r>
      <w:tr w:rsidR="00351CB2" w:rsidRPr="003639A6" w:rsidTr="00214A72">
        <w:tc>
          <w:tcPr>
            <w:tcW w:w="1326" w:type="pct"/>
            <w:shd w:val="clear" w:color="auto" w:fill="auto"/>
          </w:tcPr>
          <w:p w:rsidR="00351CB2" w:rsidRPr="0084249A" w:rsidRDefault="00351CB2" w:rsidP="00F863C2">
            <w:pPr>
              <w:pStyle w:val="Tabletext"/>
              <w:keepNext/>
              <w:keepLines/>
              <w:tabs>
                <w:tab w:val="left" w:pos="244"/>
              </w:tabs>
              <w:rPr>
                <w:rFonts w:ascii="Times" w:hAnsi="Times"/>
                <w:szCs w:val="20"/>
              </w:rPr>
            </w:pPr>
            <w:r w:rsidRPr="0084249A">
              <w:rPr>
                <w:szCs w:val="20"/>
              </w:rPr>
              <w:t>Net cost to MBS</w:t>
            </w:r>
          </w:p>
        </w:tc>
        <w:tc>
          <w:tcPr>
            <w:tcW w:w="581"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c>
          <w:tcPr>
            <w:tcW w:w="650" w:type="pct"/>
            <w:vAlign w:val="center"/>
          </w:tcPr>
          <w:p w:rsidR="00351CB2" w:rsidRPr="007E3667" w:rsidRDefault="007E3667" w:rsidP="00F863C2">
            <w:pPr>
              <w:pStyle w:val="Tabletext"/>
              <w:keepNext/>
              <w:keepLines/>
              <w:jc w:val="center"/>
              <w:rPr>
                <w:bCs/>
                <w:color w:val="000000"/>
                <w:highlight w:val="black"/>
              </w:rPr>
            </w:pPr>
            <w:r>
              <w:rPr>
                <w:rFonts w:cstheme="majorHAnsi"/>
                <w:noProof/>
                <w:color w:val="000000"/>
                <w:highlight w:val="black"/>
              </w:rPr>
              <w:t>''''''''''''''''''''</w:t>
            </w:r>
          </w:p>
        </w:tc>
      </w:tr>
      <w:tr w:rsidR="00351CB2" w:rsidRPr="003639A6" w:rsidTr="00214A72">
        <w:tc>
          <w:tcPr>
            <w:tcW w:w="1326" w:type="pct"/>
            <w:shd w:val="clear" w:color="auto" w:fill="auto"/>
            <w:vAlign w:val="center"/>
          </w:tcPr>
          <w:p w:rsidR="00351CB2" w:rsidRPr="00E24FD2" w:rsidRDefault="00351CB2" w:rsidP="00F863C2">
            <w:pPr>
              <w:pStyle w:val="Tabletext"/>
              <w:keepNext/>
              <w:keepLines/>
              <w:tabs>
                <w:tab w:val="left" w:pos="244"/>
              </w:tabs>
              <w:rPr>
                <w:b/>
                <w:bCs/>
                <w:szCs w:val="20"/>
              </w:rPr>
            </w:pPr>
            <w:r w:rsidRPr="00514A63">
              <w:rPr>
                <w:b/>
                <w:szCs w:val="20"/>
              </w:rPr>
              <w:t>Overall net cost to Government</w:t>
            </w:r>
          </w:p>
        </w:tc>
        <w:tc>
          <w:tcPr>
            <w:tcW w:w="581"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b/>
                <w:bCs/>
                <w:noProof/>
                <w:color w:val="000000"/>
                <w:highlight w:val="black"/>
              </w:rPr>
              <w:t>'''''''''''''''''''''''</w:t>
            </w:r>
          </w:p>
        </w:tc>
        <w:tc>
          <w:tcPr>
            <w:tcW w:w="567"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b/>
                <w:bCs/>
                <w:noProof/>
                <w:color w:val="000000"/>
                <w:highlight w:val="black"/>
              </w:rPr>
              <w:t>'''''''''''''''''''</w:t>
            </w:r>
          </w:p>
        </w:tc>
        <w:tc>
          <w:tcPr>
            <w:tcW w:w="639"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b/>
                <w:bCs/>
                <w:noProof/>
                <w:color w:val="000000"/>
                <w:highlight w:val="black"/>
              </w:rPr>
              <w:t>''''''''''''''''''''''</w:t>
            </w:r>
          </w:p>
        </w:tc>
        <w:tc>
          <w:tcPr>
            <w:tcW w:w="620"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b/>
                <w:bCs/>
                <w:noProof/>
                <w:color w:val="000000"/>
                <w:highlight w:val="black"/>
              </w:rPr>
              <w:t>'''''''''''''''''''''</w:t>
            </w:r>
          </w:p>
        </w:tc>
        <w:tc>
          <w:tcPr>
            <w:tcW w:w="617" w:type="pct"/>
            <w:shd w:val="clear" w:color="auto" w:fill="auto"/>
            <w:vAlign w:val="center"/>
          </w:tcPr>
          <w:p w:rsidR="00351CB2" w:rsidRPr="007E3667" w:rsidRDefault="007E3667" w:rsidP="00F863C2">
            <w:pPr>
              <w:pStyle w:val="Tabletext"/>
              <w:keepNext/>
              <w:keepLines/>
              <w:jc w:val="center"/>
              <w:rPr>
                <w:bCs/>
                <w:color w:val="000000"/>
                <w:highlight w:val="black"/>
              </w:rPr>
            </w:pPr>
            <w:r>
              <w:rPr>
                <w:rFonts w:cstheme="majorHAnsi"/>
                <w:b/>
                <w:bCs/>
                <w:noProof/>
                <w:color w:val="000000"/>
                <w:highlight w:val="black"/>
              </w:rPr>
              <w:t>''''''''''''''''''''</w:t>
            </w:r>
          </w:p>
        </w:tc>
        <w:tc>
          <w:tcPr>
            <w:tcW w:w="650" w:type="pct"/>
            <w:vAlign w:val="center"/>
          </w:tcPr>
          <w:p w:rsidR="00351CB2" w:rsidRPr="007E3667" w:rsidRDefault="007E3667" w:rsidP="00F863C2">
            <w:pPr>
              <w:pStyle w:val="Tabletext"/>
              <w:keepNext/>
              <w:keepLines/>
              <w:jc w:val="center"/>
              <w:rPr>
                <w:bCs/>
                <w:color w:val="000000"/>
                <w:highlight w:val="black"/>
              </w:rPr>
            </w:pPr>
            <w:r>
              <w:rPr>
                <w:rFonts w:cstheme="majorHAnsi"/>
                <w:b/>
                <w:bCs/>
                <w:noProof/>
                <w:color w:val="000000"/>
                <w:highlight w:val="black"/>
              </w:rPr>
              <w:t>'''''''''''''''''''''</w:t>
            </w:r>
          </w:p>
        </w:tc>
      </w:tr>
    </w:tbl>
    <w:p w:rsidR="00E466F3" w:rsidRDefault="00516FA1" w:rsidP="00F863C2">
      <w:pPr>
        <w:pStyle w:val="TableFooter"/>
        <w:keepNext/>
        <w:keepLines/>
        <w:tabs>
          <w:tab w:val="left" w:pos="142"/>
        </w:tabs>
      </w:pPr>
      <w:proofErr w:type="gramStart"/>
      <w:r w:rsidRPr="003639A6">
        <w:rPr>
          <w:vertAlign w:val="superscript"/>
        </w:rPr>
        <w:t>a</w:t>
      </w:r>
      <w:proofErr w:type="gramEnd"/>
      <w:r>
        <w:tab/>
      </w:r>
      <w:r w:rsidR="00462C98">
        <w:t xml:space="preserve">Based on the following mean script numbers: Year 1: </w:t>
      </w:r>
      <w:r w:rsidR="007E3667">
        <w:rPr>
          <w:noProof/>
          <w:color w:val="000000"/>
          <w:highlight w:val="black"/>
        </w:rPr>
        <w:t>''''''''''''</w:t>
      </w:r>
      <w:r w:rsidR="00462C98">
        <w:t xml:space="preserve">; Year 2: </w:t>
      </w:r>
      <w:r w:rsidR="007E3667">
        <w:rPr>
          <w:noProof/>
          <w:color w:val="000000"/>
          <w:highlight w:val="black"/>
        </w:rPr>
        <w:t>'''''''''''</w:t>
      </w:r>
      <w:r w:rsidR="00462C98">
        <w:t xml:space="preserve">; Year 3: </w:t>
      </w:r>
      <w:r w:rsidR="007E3667">
        <w:rPr>
          <w:noProof/>
          <w:color w:val="000000"/>
          <w:highlight w:val="black"/>
        </w:rPr>
        <w:t>''''''''''''</w:t>
      </w:r>
      <w:r w:rsidR="00462C98">
        <w:t xml:space="preserve">; Year 4: </w:t>
      </w:r>
      <w:r w:rsidR="007E3667">
        <w:rPr>
          <w:noProof/>
          <w:color w:val="000000"/>
          <w:highlight w:val="black"/>
        </w:rPr>
        <w:t>'''''''''''</w:t>
      </w:r>
      <w:r w:rsidR="00462C98">
        <w:t xml:space="preserve">; Year 5; </w:t>
      </w:r>
      <w:r w:rsidR="007E3667">
        <w:rPr>
          <w:noProof/>
          <w:color w:val="000000"/>
          <w:highlight w:val="black"/>
        </w:rPr>
        <w:t>'''''''''''</w:t>
      </w:r>
      <w:r w:rsidR="00462C98">
        <w:t xml:space="preserve">; Year 6: </w:t>
      </w:r>
      <w:r w:rsidR="007E3667">
        <w:rPr>
          <w:noProof/>
          <w:color w:val="000000"/>
          <w:highlight w:val="black"/>
        </w:rPr>
        <w:t>''''''''''</w:t>
      </w:r>
      <w:r w:rsidR="00E466F3" w:rsidRPr="003639A6">
        <w:t>.</w:t>
      </w:r>
    </w:p>
    <w:p w:rsidR="00385A9D" w:rsidRDefault="00385A9D" w:rsidP="00F863C2">
      <w:pPr>
        <w:pStyle w:val="TableFooter"/>
        <w:keepNext/>
        <w:keepLines/>
        <w:rPr>
          <w:rStyle w:val="CommentReference"/>
        </w:rPr>
      </w:pPr>
      <w:r>
        <w:t xml:space="preserve">Source: </w:t>
      </w:r>
      <w:r w:rsidR="00DE6541">
        <w:t>Table 4.2, p117 of Section 4.2.1.1; Table 4.3, p118 of Section 4.2.1.2; Table 4.4, p119 of Section 4.2.1.3; Table 4.6, p120-121 of Section 4.2.1.4; Table 4.9, p123 of Section 4.2.4; Table 4.12, p127; Table 4.13, p128 of Section 4.3.3; Table 4.14, p130 of Section 4.4.2; Table 4.17, p132 of Section 4.5.2; Table 4.18, p133 of Section 4.5.3 of the resubmission; Excel workbook ‘Section 4_del17p financial estimates’, worksheet ‘4b. Displaced – PUB’</w:t>
      </w:r>
      <w:r w:rsidR="006201BF">
        <w:t>; 6.05.COM.20, Table 13; 7.10-MINOR OVR-22, Table 10</w:t>
      </w:r>
      <w:r w:rsidR="00DE6541">
        <w:t>.</w:t>
      </w:r>
    </w:p>
    <w:p w:rsidR="00C25D9C" w:rsidRPr="00C25D9C" w:rsidRDefault="00C25D9C" w:rsidP="00C25D9C"/>
    <w:p w:rsidR="00CC580D" w:rsidRDefault="00CC580D" w:rsidP="00B2597F">
      <w:pPr>
        <w:pStyle w:val="ListParagraph"/>
        <w:numPr>
          <w:ilvl w:val="1"/>
          <w:numId w:val="1"/>
        </w:numPr>
      </w:pPr>
      <w:r w:rsidRPr="00CC580D">
        <w:t xml:space="preserve">In Year 6 the estimated net cost </w:t>
      </w:r>
      <w:r>
        <w:t xml:space="preserve">to the PBS would be </w:t>
      </w:r>
      <w:r w:rsidR="00196F32">
        <w:t>less than $10 million</w:t>
      </w:r>
      <w:r>
        <w:t xml:space="preserve"> </w:t>
      </w:r>
      <w:r w:rsidRPr="00CC580D">
        <w:t>The PBAC noted these costs were based on the published price</w:t>
      </w:r>
      <w:r>
        <w:t>s</w:t>
      </w:r>
      <w:r w:rsidRPr="00CC580D">
        <w:t xml:space="preserve"> of </w:t>
      </w:r>
      <w:proofErr w:type="spellStart"/>
      <w:r>
        <w:t>obinutuzumab</w:t>
      </w:r>
      <w:proofErr w:type="spellEnd"/>
      <w:r>
        <w:t xml:space="preserve">, </w:t>
      </w:r>
      <w:proofErr w:type="spellStart"/>
      <w:r>
        <w:t>venetoclax</w:t>
      </w:r>
      <w:proofErr w:type="spellEnd"/>
      <w:r>
        <w:t xml:space="preserve"> and </w:t>
      </w:r>
      <w:proofErr w:type="spellStart"/>
      <w:r>
        <w:t>ide</w:t>
      </w:r>
      <w:r w:rsidR="006271E5">
        <w:t>l</w:t>
      </w:r>
      <w:r>
        <w:t>alisib</w:t>
      </w:r>
      <w:proofErr w:type="spellEnd"/>
      <w:r>
        <w:t>.</w:t>
      </w:r>
      <w:r w:rsidR="002F48C7">
        <w:t xml:space="preserve"> </w:t>
      </w:r>
    </w:p>
    <w:p w:rsidR="001114B4" w:rsidRPr="00E773B1" w:rsidRDefault="001114B4" w:rsidP="00B2597F">
      <w:pPr>
        <w:pStyle w:val="ListParagraph"/>
        <w:numPr>
          <w:ilvl w:val="1"/>
          <w:numId w:val="1"/>
        </w:numPr>
      </w:pPr>
      <w:r>
        <w:t xml:space="preserve">The resubmission calculated that script numbers for second-line ibrutinib would decrease </w:t>
      </w:r>
      <w:proofErr w:type="gramStart"/>
      <w:r>
        <w:t xml:space="preserve">by  </w:t>
      </w:r>
      <w:r w:rsidR="002059F6">
        <w:t>less</w:t>
      </w:r>
      <w:proofErr w:type="gramEnd"/>
      <w:r w:rsidR="002059F6">
        <w:t xml:space="preserve"> than 10,000 </w:t>
      </w:r>
      <w:r>
        <w:t xml:space="preserve">scripts in Year 1 </w:t>
      </w:r>
      <w:r w:rsidR="00516FC6">
        <w:t>and by</w:t>
      </w:r>
      <w:r w:rsidR="002059F6">
        <w:t xml:space="preserve"> less than 10,000</w:t>
      </w:r>
      <w:r>
        <w:t xml:space="preserve">  scripts in Year 6.  </w:t>
      </w:r>
      <w:r w:rsidR="00BB043D">
        <w:t xml:space="preserve">Script numbers for second-line venetoclax were expected to decrease by </w:t>
      </w:r>
      <w:r w:rsidR="002059F6">
        <w:t xml:space="preserve">less than 10,000 </w:t>
      </w:r>
      <w:r w:rsidR="00BB043D" w:rsidRPr="002059F6">
        <w:t xml:space="preserve"> </w:t>
      </w:r>
      <w:r w:rsidR="00BB043D">
        <w:t>scripts (</w:t>
      </w:r>
      <w:r w:rsidR="002059F6">
        <w:t xml:space="preserve"> less than 10,000 </w:t>
      </w:r>
      <w:r w:rsidR="00BB043D">
        <w:t xml:space="preserve"> ini</w:t>
      </w:r>
      <w:r w:rsidR="00BE0101">
        <w:t xml:space="preserve">tial and  </w:t>
      </w:r>
      <w:r w:rsidR="002059F6">
        <w:t xml:space="preserve">less than 10,000 </w:t>
      </w:r>
      <w:r w:rsidR="00BE0101">
        <w:t>continuing</w:t>
      </w:r>
      <w:r w:rsidR="00BB043D">
        <w:t xml:space="preserve">) in Year 1 </w:t>
      </w:r>
      <w:r w:rsidR="00FF31B4">
        <w:t xml:space="preserve">and to increase by </w:t>
      </w:r>
      <w:r w:rsidR="002059F6">
        <w:t xml:space="preserve"> less than 10,000 </w:t>
      </w:r>
      <w:r w:rsidR="00FF31B4">
        <w:t>scripts (</w:t>
      </w:r>
      <w:r w:rsidR="002059F6" w:rsidRPr="002059F6">
        <w:t xml:space="preserve"> </w:t>
      </w:r>
      <w:r w:rsidR="002059F6">
        <w:t xml:space="preserve">less than 10,000 </w:t>
      </w:r>
      <w:r w:rsidR="00FF31B4">
        <w:t xml:space="preserve"> initial and </w:t>
      </w:r>
      <w:r w:rsidR="002059F6" w:rsidRPr="002059F6">
        <w:t xml:space="preserve"> </w:t>
      </w:r>
      <w:r w:rsidR="002059F6">
        <w:t xml:space="preserve">less than 10,000 </w:t>
      </w:r>
      <w:r w:rsidR="00FF31B4">
        <w:t xml:space="preserve"> </w:t>
      </w:r>
      <w:r w:rsidR="00FF31B4">
        <w:lastRenderedPageBreak/>
        <w:t xml:space="preserve">continuing) in Year 6, with an overall decrease of </w:t>
      </w:r>
      <w:r w:rsidR="002059F6" w:rsidRPr="002059F6">
        <w:t xml:space="preserve"> </w:t>
      </w:r>
      <w:r w:rsidR="002059F6">
        <w:t>less than 10,000</w:t>
      </w:r>
      <w:r w:rsidR="00FF31B4">
        <w:t xml:space="preserve"> scripts (</w:t>
      </w:r>
      <w:r w:rsidR="002059F6" w:rsidRPr="002059F6">
        <w:t xml:space="preserve"> </w:t>
      </w:r>
      <w:r w:rsidR="002059F6">
        <w:t xml:space="preserve">less than 10,000 </w:t>
      </w:r>
      <w:r w:rsidR="00FF31B4">
        <w:t xml:space="preserve"> in</w:t>
      </w:r>
      <w:r w:rsidR="00CB4528">
        <w:t xml:space="preserve">itial and </w:t>
      </w:r>
      <w:r w:rsidR="002059F6" w:rsidRPr="002059F6">
        <w:t xml:space="preserve"> </w:t>
      </w:r>
      <w:r w:rsidR="002059F6">
        <w:t xml:space="preserve">less than 10,000 </w:t>
      </w:r>
      <w:r w:rsidR="00CB4528">
        <w:t xml:space="preserve"> continuing) over Y</w:t>
      </w:r>
      <w:r w:rsidR="00FF31B4">
        <w:t xml:space="preserve">ears 1-6. </w:t>
      </w:r>
      <w:r w:rsidR="00D740AC" w:rsidRPr="00EB5599">
        <w:rPr>
          <w:iCs/>
        </w:rPr>
        <w:t xml:space="preserve">While the treatment sequences applied in the </w:t>
      </w:r>
      <w:r w:rsidR="008F08CC" w:rsidRPr="00EB5599">
        <w:rPr>
          <w:iCs/>
        </w:rPr>
        <w:t xml:space="preserve">resubmissions </w:t>
      </w:r>
      <w:r w:rsidR="00D740AC" w:rsidRPr="00EB5599">
        <w:rPr>
          <w:iCs/>
        </w:rPr>
        <w:t xml:space="preserve">economic model </w:t>
      </w:r>
      <w:r w:rsidR="002B6E37" w:rsidRPr="00EB5599">
        <w:rPr>
          <w:iCs/>
        </w:rPr>
        <w:t>were likely to reflect clinical practice, the calculated treatment durations were not likely to reflect usage and cost in practice.</w:t>
      </w:r>
      <w:r w:rsidR="000951A0" w:rsidRPr="00EB5599">
        <w:rPr>
          <w:iCs/>
        </w:rPr>
        <w:t xml:space="preserve">  </w:t>
      </w:r>
      <w:r w:rsidR="00800683" w:rsidRPr="00E773B1">
        <w:rPr>
          <w:iCs/>
        </w:rPr>
        <w:t xml:space="preserve">The ESC considered that in current clinical practice del17p CLL/SLL patients were </w:t>
      </w:r>
      <w:r w:rsidR="00AA3E26" w:rsidRPr="00E773B1">
        <w:rPr>
          <w:iCs/>
        </w:rPr>
        <w:t xml:space="preserve">progressing quickly </w:t>
      </w:r>
      <w:r w:rsidR="00564DC8" w:rsidRPr="00E773B1">
        <w:rPr>
          <w:iCs/>
        </w:rPr>
        <w:t>through</w:t>
      </w:r>
      <w:r w:rsidR="00AA3E26" w:rsidRPr="00E773B1">
        <w:rPr>
          <w:iCs/>
        </w:rPr>
        <w:t xml:space="preserve"> a limited number of first-line treatment cycles on</w:t>
      </w:r>
      <w:r w:rsidR="00800683" w:rsidRPr="00E773B1">
        <w:rPr>
          <w:iCs/>
        </w:rPr>
        <w:t xml:space="preserve">to second-line ibrutinib </w:t>
      </w:r>
      <w:r w:rsidR="00000299" w:rsidRPr="00E773B1">
        <w:rPr>
          <w:iCs/>
        </w:rPr>
        <w:t xml:space="preserve">or venetoclax </w:t>
      </w:r>
      <w:r w:rsidR="00800683" w:rsidRPr="00E773B1">
        <w:rPr>
          <w:iCs/>
        </w:rPr>
        <w:t>therapy</w:t>
      </w:r>
      <w:r w:rsidR="00AA3E26" w:rsidRPr="00E773B1">
        <w:rPr>
          <w:iCs/>
        </w:rPr>
        <w:t xml:space="preserve">. </w:t>
      </w:r>
      <w:r w:rsidR="006B63D7" w:rsidRPr="00E773B1">
        <w:rPr>
          <w:iCs/>
        </w:rPr>
        <w:t>Thus</w:t>
      </w:r>
      <w:r w:rsidR="00000299" w:rsidRPr="00E773B1">
        <w:rPr>
          <w:iCs/>
        </w:rPr>
        <w:t xml:space="preserve"> the</w:t>
      </w:r>
      <w:r w:rsidR="006B63D7" w:rsidRPr="00E773B1">
        <w:rPr>
          <w:iCs/>
        </w:rPr>
        <w:t xml:space="preserve"> ESC expected the </w:t>
      </w:r>
      <w:r w:rsidR="00000299" w:rsidRPr="00E773B1">
        <w:rPr>
          <w:iCs/>
        </w:rPr>
        <w:t>increase in the overall number of ibrutinib prescriptions with a first-line listing for del17p patients to be relatively small.</w:t>
      </w:r>
    </w:p>
    <w:p w:rsidR="00DF20E4" w:rsidRPr="00DF20E4" w:rsidRDefault="00DF20E4" w:rsidP="00B2597F">
      <w:pPr>
        <w:pStyle w:val="ListParagraph"/>
        <w:numPr>
          <w:ilvl w:val="1"/>
          <w:numId w:val="1"/>
        </w:numPr>
      </w:pPr>
      <w:r>
        <w:t>Given the uncertainty noted above with the resubmission’s estimate of the proportion of del17p patients (</w:t>
      </w:r>
      <w:r w:rsidR="007E3667">
        <w:rPr>
          <w:noProof/>
          <w:color w:val="000000"/>
          <w:highlight w:val="black"/>
        </w:rPr>
        <w:t>'''</w:t>
      </w:r>
      <w:r w:rsidR="008D6AA6" w:rsidRPr="00EC4D7A">
        <w:rPr>
          <w:highlight w:val="cyan"/>
        </w:rPr>
        <w:t>% of the tested CLL/SLL population</w:t>
      </w:r>
      <w:r>
        <w:t xml:space="preserve">), </w:t>
      </w:r>
      <w:r w:rsidR="004545BA">
        <w:t xml:space="preserve">along with the likelihood that inclusion of prevalent patients may result in double-counting, sensitivity analyses varying these two parameters were conducted.  The results are provided in </w:t>
      </w:r>
      <w:r w:rsidR="00F77F34" w:rsidRPr="00DC64DB">
        <w:t>T</w:t>
      </w:r>
      <w:r w:rsidR="004545BA" w:rsidRPr="00DC64DB">
        <w:t xml:space="preserve">able </w:t>
      </w:r>
      <w:r w:rsidR="00B9191D">
        <w:t>20</w:t>
      </w:r>
      <w:r w:rsidR="004545BA">
        <w:t>.</w:t>
      </w:r>
    </w:p>
    <w:p w:rsidR="00ED7CCA" w:rsidRDefault="008D6AA6" w:rsidP="00F863C2">
      <w:pPr>
        <w:keepNext/>
        <w:keepLines/>
      </w:pPr>
      <w:r w:rsidRPr="00401364">
        <w:rPr>
          <w:rFonts w:ascii="Arial Narrow" w:hAnsi="Arial Narrow"/>
          <w:b/>
          <w:sz w:val="20"/>
          <w:szCs w:val="20"/>
        </w:rPr>
        <w:t>Table</w:t>
      </w:r>
      <w:r>
        <w:rPr>
          <w:rFonts w:ascii="Arial Narrow" w:hAnsi="Arial Narrow"/>
          <w:b/>
          <w:sz w:val="20"/>
          <w:szCs w:val="20"/>
        </w:rPr>
        <w:t xml:space="preserve"> 20</w:t>
      </w:r>
      <w:r w:rsidRPr="001222FC">
        <w:rPr>
          <w:rStyle w:val="CommentReference"/>
        </w:rPr>
        <w:t xml:space="preserve">: </w:t>
      </w:r>
      <w:r>
        <w:rPr>
          <w:rFonts w:ascii="Arial Narrow" w:hAnsi="Arial Narrow"/>
          <w:b/>
          <w:sz w:val="20"/>
          <w:szCs w:val="20"/>
        </w:rPr>
        <w:t>Impact of proportion of del17patients on patient numbers and estimated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993"/>
        <w:gridCol w:w="992"/>
        <w:gridCol w:w="992"/>
        <w:gridCol w:w="992"/>
        <w:gridCol w:w="993"/>
        <w:gridCol w:w="992"/>
        <w:gridCol w:w="850"/>
      </w:tblGrid>
      <w:tr w:rsidR="00E84197" w:rsidRPr="00D424C7" w:rsidTr="00E84197">
        <w:trPr>
          <w:tblHeader/>
        </w:trPr>
        <w:tc>
          <w:tcPr>
            <w:tcW w:w="2263" w:type="dxa"/>
            <w:shd w:val="clear" w:color="auto" w:fill="auto"/>
          </w:tcPr>
          <w:p w:rsidR="00E84197" w:rsidRPr="00EE6E68" w:rsidRDefault="00E84197" w:rsidP="00F863C2">
            <w:pPr>
              <w:pStyle w:val="Tabletext"/>
              <w:keepNext/>
              <w:keepLines/>
              <w:tabs>
                <w:tab w:val="left" w:pos="142"/>
              </w:tabs>
              <w:rPr>
                <w:b/>
              </w:rPr>
            </w:pPr>
          </w:p>
        </w:tc>
        <w:tc>
          <w:tcPr>
            <w:tcW w:w="993" w:type="dxa"/>
            <w:shd w:val="clear" w:color="auto" w:fill="auto"/>
          </w:tcPr>
          <w:p w:rsidR="00E84197" w:rsidRPr="00EE6E68" w:rsidRDefault="00E84197" w:rsidP="00F863C2">
            <w:pPr>
              <w:pStyle w:val="Tabletext"/>
              <w:keepNext/>
              <w:keepLines/>
              <w:jc w:val="center"/>
              <w:rPr>
                <w:b/>
              </w:rPr>
            </w:pPr>
            <w:r w:rsidRPr="00EE6E68">
              <w:rPr>
                <w:b/>
              </w:rPr>
              <w:t>Year 1</w:t>
            </w:r>
          </w:p>
        </w:tc>
        <w:tc>
          <w:tcPr>
            <w:tcW w:w="992" w:type="dxa"/>
            <w:shd w:val="clear" w:color="auto" w:fill="auto"/>
          </w:tcPr>
          <w:p w:rsidR="00E84197" w:rsidRPr="00EE6E68" w:rsidRDefault="00E84197" w:rsidP="00F863C2">
            <w:pPr>
              <w:pStyle w:val="Tabletext"/>
              <w:keepNext/>
              <w:keepLines/>
              <w:jc w:val="center"/>
              <w:rPr>
                <w:b/>
              </w:rPr>
            </w:pPr>
            <w:r w:rsidRPr="00EE6E68">
              <w:rPr>
                <w:b/>
              </w:rPr>
              <w:t>Year 2</w:t>
            </w:r>
          </w:p>
        </w:tc>
        <w:tc>
          <w:tcPr>
            <w:tcW w:w="992" w:type="dxa"/>
            <w:shd w:val="clear" w:color="auto" w:fill="auto"/>
          </w:tcPr>
          <w:p w:rsidR="00E84197" w:rsidRPr="00EE6E68" w:rsidRDefault="00E84197" w:rsidP="00F863C2">
            <w:pPr>
              <w:pStyle w:val="Tabletext"/>
              <w:keepNext/>
              <w:keepLines/>
              <w:jc w:val="center"/>
              <w:rPr>
                <w:b/>
              </w:rPr>
            </w:pPr>
            <w:r w:rsidRPr="00EE6E68">
              <w:rPr>
                <w:b/>
              </w:rPr>
              <w:t>Year 3</w:t>
            </w:r>
          </w:p>
        </w:tc>
        <w:tc>
          <w:tcPr>
            <w:tcW w:w="992" w:type="dxa"/>
            <w:shd w:val="clear" w:color="auto" w:fill="auto"/>
          </w:tcPr>
          <w:p w:rsidR="00E84197" w:rsidRPr="00EE6E68" w:rsidRDefault="00E84197" w:rsidP="00F863C2">
            <w:pPr>
              <w:pStyle w:val="Tabletext"/>
              <w:keepNext/>
              <w:keepLines/>
              <w:jc w:val="center"/>
              <w:rPr>
                <w:b/>
              </w:rPr>
            </w:pPr>
            <w:r w:rsidRPr="00EE6E68">
              <w:rPr>
                <w:b/>
              </w:rPr>
              <w:t>Year 4</w:t>
            </w:r>
          </w:p>
        </w:tc>
        <w:tc>
          <w:tcPr>
            <w:tcW w:w="993" w:type="dxa"/>
            <w:shd w:val="clear" w:color="auto" w:fill="auto"/>
          </w:tcPr>
          <w:p w:rsidR="00E84197" w:rsidRPr="00EE6E68" w:rsidRDefault="00E84197" w:rsidP="00F863C2">
            <w:pPr>
              <w:pStyle w:val="Tabletext"/>
              <w:keepNext/>
              <w:keepLines/>
              <w:jc w:val="center"/>
              <w:rPr>
                <w:b/>
              </w:rPr>
            </w:pPr>
            <w:r w:rsidRPr="00EE6E68">
              <w:rPr>
                <w:b/>
              </w:rPr>
              <w:t>Year 5</w:t>
            </w:r>
          </w:p>
        </w:tc>
        <w:tc>
          <w:tcPr>
            <w:tcW w:w="992" w:type="dxa"/>
            <w:shd w:val="clear" w:color="auto" w:fill="auto"/>
          </w:tcPr>
          <w:p w:rsidR="00E84197" w:rsidRPr="00EE6E68" w:rsidRDefault="00E84197" w:rsidP="00F863C2">
            <w:pPr>
              <w:pStyle w:val="Tabletext"/>
              <w:keepNext/>
              <w:keepLines/>
              <w:jc w:val="center"/>
              <w:rPr>
                <w:b/>
              </w:rPr>
            </w:pPr>
            <w:r w:rsidRPr="00EE6E68">
              <w:rPr>
                <w:b/>
              </w:rPr>
              <w:t>Year 6</w:t>
            </w:r>
          </w:p>
        </w:tc>
        <w:tc>
          <w:tcPr>
            <w:tcW w:w="850" w:type="dxa"/>
          </w:tcPr>
          <w:p w:rsidR="00E84197" w:rsidRPr="00EE6E68" w:rsidRDefault="00E84197" w:rsidP="00F863C2">
            <w:pPr>
              <w:pStyle w:val="Tabletext"/>
              <w:keepNext/>
              <w:keepLines/>
              <w:jc w:val="center"/>
              <w:rPr>
                <w:b/>
              </w:rPr>
            </w:pPr>
            <w:r w:rsidRPr="00EE6E68">
              <w:rPr>
                <w:b/>
              </w:rPr>
              <w:t>% change</w:t>
            </w:r>
          </w:p>
        </w:tc>
      </w:tr>
      <w:tr w:rsidR="00E84197" w:rsidRPr="00CE4B09" w:rsidTr="00E84197">
        <w:tc>
          <w:tcPr>
            <w:tcW w:w="9067" w:type="dxa"/>
            <w:gridSpan w:val="8"/>
            <w:shd w:val="clear" w:color="auto" w:fill="auto"/>
            <w:vAlign w:val="center"/>
          </w:tcPr>
          <w:p w:rsidR="00E84197" w:rsidRPr="00EE6E68" w:rsidRDefault="00E84197" w:rsidP="00F863C2">
            <w:pPr>
              <w:pStyle w:val="Tabletext"/>
              <w:keepNext/>
              <w:keepLines/>
              <w:rPr>
                <w:rFonts w:cs="Arial"/>
                <w:color w:val="000000"/>
              </w:rPr>
            </w:pPr>
            <w:r w:rsidRPr="00EE6E68">
              <w:rPr>
                <w:b/>
              </w:rPr>
              <w:t xml:space="preserve">Base case </w:t>
            </w:r>
            <w:r w:rsidR="007E3667">
              <w:rPr>
                <w:b/>
                <w:bCs/>
                <w:noProof/>
                <w:color w:val="000000"/>
                <w:highlight w:val="black"/>
              </w:rPr>
              <w:t>'''</w:t>
            </w:r>
            <w:r w:rsidRPr="00EE6E68">
              <w:rPr>
                <w:b/>
                <w:bCs/>
              </w:rPr>
              <w:t>% del17p and prevalent patients included</w:t>
            </w:r>
          </w:p>
        </w:tc>
      </w:tr>
      <w:tr w:rsidR="00E84197" w:rsidRPr="000F445F" w:rsidTr="00E84197">
        <w:tc>
          <w:tcPr>
            <w:tcW w:w="2263" w:type="dxa"/>
            <w:shd w:val="clear" w:color="auto" w:fill="auto"/>
          </w:tcPr>
          <w:p w:rsidR="00E84197" w:rsidRPr="00EE6E68" w:rsidRDefault="00E84197" w:rsidP="00F863C2">
            <w:pPr>
              <w:pStyle w:val="Tabletext"/>
              <w:keepNext/>
              <w:keepLines/>
              <w:tabs>
                <w:tab w:val="left" w:pos="142"/>
              </w:tabs>
              <w:rPr>
                <w:b/>
                <w:bCs/>
                <w:iCs/>
              </w:rPr>
            </w:pPr>
            <w:r w:rsidRPr="00EE6E68">
              <w:rPr>
                <w:b/>
                <w:bCs/>
              </w:rPr>
              <w:tab/>
              <w:t xml:space="preserve">N commencing treatment </w:t>
            </w:r>
          </w:p>
        </w:tc>
        <w:tc>
          <w:tcPr>
            <w:tcW w:w="993" w:type="dxa"/>
            <w:shd w:val="clear" w:color="auto" w:fill="auto"/>
          </w:tcPr>
          <w:p w:rsidR="00E84197" w:rsidRPr="007E3667" w:rsidRDefault="007E3667" w:rsidP="00F863C2">
            <w:pPr>
              <w:pStyle w:val="Tabletext"/>
              <w:keepNext/>
              <w:keepLines/>
              <w:jc w:val="center"/>
              <w:rPr>
                <w:rFonts w:cs="Arial"/>
                <w:b/>
                <w:bCs/>
                <w:iCs/>
                <w:szCs w:val="20"/>
                <w:highlight w:val="black"/>
              </w:rPr>
            </w:pPr>
            <w:r>
              <w:rPr>
                <w:rFonts w:cs="Arial"/>
                <w:b/>
                <w:bCs/>
                <w:noProof/>
                <w:color w:val="000000"/>
                <w:highlight w:val="black"/>
              </w:rPr>
              <w:t>'''''''</w:t>
            </w:r>
          </w:p>
        </w:tc>
        <w:tc>
          <w:tcPr>
            <w:tcW w:w="992" w:type="dxa"/>
            <w:shd w:val="clear" w:color="auto" w:fill="auto"/>
          </w:tcPr>
          <w:p w:rsidR="00E84197" w:rsidRPr="007E3667" w:rsidRDefault="007E3667" w:rsidP="00F863C2">
            <w:pPr>
              <w:pStyle w:val="Tabletext"/>
              <w:keepNext/>
              <w:keepLines/>
              <w:jc w:val="center"/>
              <w:rPr>
                <w:rFonts w:cs="Arial"/>
                <w:b/>
                <w:bCs/>
                <w:iCs/>
                <w:szCs w:val="20"/>
                <w:highlight w:val="black"/>
              </w:rPr>
            </w:pPr>
            <w:r>
              <w:rPr>
                <w:rFonts w:cs="Arial"/>
                <w:b/>
                <w:bCs/>
                <w:noProof/>
                <w:color w:val="000000"/>
                <w:highlight w:val="black"/>
              </w:rPr>
              <w:t>''''''''</w:t>
            </w:r>
          </w:p>
        </w:tc>
        <w:tc>
          <w:tcPr>
            <w:tcW w:w="992" w:type="dxa"/>
            <w:shd w:val="clear" w:color="auto" w:fill="auto"/>
          </w:tcPr>
          <w:p w:rsidR="00E84197" w:rsidRPr="007E3667" w:rsidRDefault="007E3667" w:rsidP="00F863C2">
            <w:pPr>
              <w:pStyle w:val="Tabletext"/>
              <w:keepNext/>
              <w:keepLines/>
              <w:jc w:val="center"/>
              <w:rPr>
                <w:rFonts w:cs="Arial"/>
                <w:b/>
                <w:bCs/>
                <w:iCs/>
                <w:szCs w:val="20"/>
                <w:highlight w:val="black"/>
              </w:rPr>
            </w:pPr>
            <w:r>
              <w:rPr>
                <w:rFonts w:cs="Arial"/>
                <w:b/>
                <w:bCs/>
                <w:noProof/>
                <w:color w:val="000000"/>
                <w:highlight w:val="black"/>
              </w:rPr>
              <w:t>'''''''</w:t>
            </w:r>
          </w:p>
        </w:tc>
        <w:tc>
          <w:tcPr>
            <w:tcW w:w="992" w:type="dxa"/>
            <w:shd w:val="clear" w:color="auto" w:fill="auto"/>
          </w:tcPr>
          <w:p w:rsidR="00E84197" w:rsidRPr="007E3667" w:rsidRDefault="007E3667" w:rsidP="00F863C2">
            <w:pPr>
              <w:pStyle w:val="Tabletext"/>
              <w:keepNext/>
              <w:keepLines/>
              <w:jc w:val="center"/>
              <w:rPr>
                <w:rFonts w:cs="Arial"/>
                <w:b/>
                <w:bCs/>
                <w:iCs/>
                <w:szCs w:val="20"/>
                <w:highlight w:val="black"/>
              </w:rPr>
            </w:pPr>
            <w:r>
              <w:rPr>
                <w:rFonts w:cs="Arial"/>
                <w:b/>
                <w:bCs/>
                <w:noProof/>
                <w:color w:val="000000"/>
                <w:highlight w:val="black"/>
              </w:rPr>
              <w:t>''''''''</w:t>
            </w:r>
          </w:p>
        </w:tc>
        <w:tc>
          <w:tcPr>
            <w:tcW w:w="993" w:type="dxa"/>
            <w:shd w:val="clear" w:color="auto" w:fill="auto"/>
          </w:tcPr>
          <w:p w:rsidR="00E84197" w:rsidRPr="007E3667" w:rsidRDefault="007E3667" w:rsidP="00F863C2">
            <w:pPr>
              <w:pStyle w:val="Tabletext"/>
              <w:keepNext/>
              <w:keepLines/>
              <w:jc w:val="center"/>
              <w:rPr>
                <w:rFonts w:cs="Arial"/>
                <w:b/>
                <w:bCs/>
                <w:iCs/>
                <w:szCs w:val="20"/>
                <w:highlight w:val="black"/>
              </w:rPr>
            </w:pPr>
            <w:r>
              <w:rPr>
                <w:rFonts w:cs="Arial"/>
                <w:b/>
                <w:bCs/>
                <w:noProof/>
                <w:color w:val="000000"/>
                <w:highlight w:val="black"/>
              </w:rPr>
              <w:t>''''''''</w:t>
            </w:r>
          </w:p>
        </w:tc>
        <w:tc>
          <w:tcPr>
            <w:tcW w:w="992" w:type="dxa"/>
            <w:shd w:val="clear" w:color="auto" w:fill="auto"/>
          </w:tcPr>
          <w:p w:rsidR="00E84197" w:rsidRPr="007E3667" w:rsidRDefault="007E3667" w:rsidP="00F863C2">
            <w:pPr>
              <w:pStyle w:val="Tabletext"/>
              <w:keepNext/>
              <w:keepLines/>
              <w:jc w:val="center"/>
              <w:rPr>
                <w:rFonts w:cs="Arial"/>
                <w:b/>
                <w:bCs/>
                <w:iCs/>
                <w:szCs w:val="20"/>
                <w:highlight w:val="black"/>
              </w:rPr>
            </w:pPr>
            <w:r>
              <w:rPr>
                <w:rFonts w:cs="Arial"/>
                <w:b/>
                <w:bCs/>
                <w:noProof/>
                <w:color w:val="000000"/>
                <w:highlight w:val="black"/>
              </w:rPr>
              <w:t>''''''''</w:t>
            </w:r>
          </w:p>
        </w:tc>
        <w:tc>
          <w:tcPr>
            <w:tcW w:w="850" w:type="dxa"/>
            <w:vMerge w:val="restart"/>
          </w:tcPr>
          <w:p w:rsidR="00E84197" w:rsidRPr="007E3667" w:rsidRDefault="00E84197" w:rsidP="00F863C2">
            <w:pPr>
              <w:pStyle w:val="Tabletext"/>
              <w:keepNext/>
              <w:keepLines/>
              <w:jc w:val="center"/>
              <w:rPr>
                <w:rFonts w:cs="Arial"/>
                <w:b/>
                <w:bCs/>
                <w:color w:val="000000"/>
              </w:rPr>
            </w:pPr>
          </w:p>
        </w:tc>
      </w:tr>
      <w:tr w:rsidR="00E84197" w:rsidRPr="00806D4B" w:rsidTr="00E84197">
        <w:tc>
          <w:tcPr>
            <w:tcW w:w="2263" w:type="dxa"/>
            <w:shd w:val="clear" w:color="auto" w:fill="auto"/>
          </w:tcPr>
          <w:p w:rsidR="00E84197" w:rsidRPr="00EE6E68" w:rsidRDefault="00E84197" w:rsidP="00F863C2">
            <w:pPr>
              <w:pStyle w:val="Tabletext"/>
              <w:keepNext/>
              <w:keepLines/>
              <w:tabs>
                <w:tab w:val="left" w:pos="142"/>
              </w:tabs>
              <w:rPr>
                <w:b/>
                <w:bCs/>
              </w:rPr>
            </w:pPr>
            <w:r w:rsidRPr="00EE6E68">
              <w:rPr>
                <w:b/>
                <w:bCs/>
                <w:iCs/>
              </w:rPr>
              <w:tab/>
            </w:r>
            <w:r w:rsidRPr="00EE6E68">
              <w:rPr>
                <w:b/>
                <w:szCs w:val="20"/>
              </w:rPr>
              <w:t xml:space="preserve">Overall net cost to </w:t>
            </w:r>
            <w:proofErr w:type="spellStart"/>
            <w:r w:rsidRPr="00EE6E68">
              <w:rPr>
                <w:b/>
                <w:szCs w:val="20"/>
              </w:rPr>
              <w:t>Govt</w:t>
            </w:r>
            <w:proofErr w:type="spellEnd"/>
          </w:p>
        </w:tc>
        <w:tc>
          <w:tcPr>
            <w:tcW w:w="993" w:type="dxa"/>
            <w:shd w:val="clear" w:color="auto" w:fill="auto"/>
          </w:tcPr>
          <w:p w:rsidR="00E84197" w:rsidRPr="007E3667" w:rsidRDefault="007E3667" w:rsidP="00F863C2">
            <w:pPr>
              <w:pStyle w:val="Tabletext"/>
              <w:keepNext/>
              <w:keepLines/>
              <w:jc w:val="center"/>
              <w:rPr>
                <w:rFonts w:cs="Arial"/>
                <w:iCs/>
                <w:szCs w:val="20"/>
                <w:highlight w:val="black"/>
              </w:rPr>
            </w:pPr>
            <w:r>
              <w:rPr>
                <w:rFonts w:cstheme="majorHAnsi"/>
                <w:b/>
                <w:bCs/>
                <w:noProof/>
                <w:color w:val="000000"/>
                <w:highlight w:val="black"/>
              </w:rPr>
              <w:t>'''''''''''''''''''''</w:t>
            </w:r>
          </w:p>
        </w:tc>
        <w:tc>
          <w:tcPr>
            <w:tcW w:w="992" w:type="dxa"/>
            <w:shd w:val="clear" w:color="auto" w:fill="auto"/>
          </w:tcPr>
          <w:p w:rsidR="00E84197" w:rsidRPr="007E3667" w:rsidRDefault="007E3667" w:rsidP="00F863C2">
            <w:pPr>
              <w:pStyle w:val="Tabletext"/>
              <w:keepNext/>
              <w:keepLines/>
              <w:jc w:val="center"/>
              <w:rPr>
                <w:rFonts w:cs="Arial"/>
                <w:iCs/>
                <w:szCs w:val="20"/>
                <w:highlight w:val="black"/>
              </w:rPr>
            </w:pPr>
            <w:r>
              <w:rPr>
                <w:rFonts w:cstheme="majorHAnsi"/>
                <w:b/>
                <w:bCs/>
                <w:noProof/>
                <w:color w:val="000000"/>
                <w:highlight w:val="black"/>
              </w:rPr>
              <w:t>'''''''''''''''''''''</w:t>
            </w:r>
          </w:p>
        </w:tc>
        <w:tc>
          <w:tcPr>
            <w:tcW w:w="992" w:type="dxa"/>
            <w:shd w:val="clear" w:color="auto" w:fill="auto"/>
          </w:tcPr>
          <w:p w:rsidR="00E84197" w:rsidRPr="007E3667" w:rsidRDefault="007E3667" w:rsidP="00F863C2">
            <w:pPr>
              <w:pStyle w:val="Tabletext"/>
              <w:keepNext/>
              <w:keepLines/>
              <w:jc w:val="center"/>
              <w:rPr>
                <w:rFonts w:cs="Arial"/>
                <w:iCs/>
                <w:szCs w:val="20"/>
                <w:highlight w:val="black"/>
              </w:rPr>
            </w:pPr>
            <w:r>
              <w:rPr>
                <w:rFonts w:cstheme="majorHAnsi"/>
                <w:b/>
                <w:bCs/>
                <w:noProof/>
                <w:color w:val="000000"/>
                <w:highlight w:val="black"/>
              </w:rPr>
              <w:t>'''''''''''''''''''</w:t>
            </w:r>
          </w:p>
        </w:tc>
        <w:tc>
          <w:tcPr>
            <w:tcW w:w="992" w:type="dxa"/>
            <w:shd w:val="clear" w:color="auto" w:fill="auto"/>
          </w:tcPr>
          <w:p w:rsidR="00E84197" w:rsidRPr="007E3667" w:rsidRDefault="007E3667" w:rsidP="00F863C2">
            <w:pPr>
              <w:pStyle w:val="Tabletext"/>
              <w:keepNext/>
              <w:keepLines/>
              <w:jc w:val="center"/>
              <w:rPr>
                <w:rFonts w:cs="Arial"/>
                <w:iCs/>
                <w:szCs w:val="20"/>
                <w:highlight w:val="black"/>
              </w:rPr>
            </w:pPr>
            <w:r>
              <w:rPr>
                <w:rFonts w:cstheme="majorHAnsi"/>
                <w:b/>
                <w:bCs/>
                <w:noProof/>
                <w:color w:val="000000"/>
                <w:highlight w:val="black"/>
              </w:rPr>
              <w:t>'''''''''''''''''''''''</w:t>
            </w:r>
          </w:p>
        </w:tc>
        <w:tc>
          <w:tcPr>
            <w:tcW w:w="993" w:type="dxa"/>
            <w:shd w:val="clear" w:color="auto" w:fill="auto"/>
          </w:tcPr>
          <w:p w:rsidR="00E84197" w:rsidRPr="007E3667" w:rsidRDefault="007E3667" w:rsidP="00F863C2">
            <w:pPr>
              <w:pStyle w:val="Tabletext"/>
              <w:keepNext/>
              <w:keepLines/>
              <w:jc w:val="center"/>
              <w:rPr>
                <w:rFonts w:cs="Arial"/>
                <w:iCs/>
                <w:szCs w:val="20"/>
                <w:highlight w:val="black"/>
              </w:rPr>
            </w:pPr>
            <w:r>
              <w:rPr>
                <w:rFonts w:cstheme="majorHAnsi"/>
                <w:b/>
                <w:bCs/>
                <w:noProof/>
                <w:color w:val="000000"/>
                <w:highlight w:val="black"/>
              </w:rPr>
              <w:t>'''''''''''''''''''''</w:t>
            </w:r>
          </w:p>
        </w:tc>
        <w:tc>
          <w:tcPr>
            <w:tcW w:w="992" w:type="dxa"/>
            <w:shd w:val="clear" w:color="auto" w:fill="auto"/>
          </w:tcPr>
          <w:p w:rsidR="00E84197" w:rsidRPr="007E3667" w:rsidRDefault="007E3667" w:rsidP="00F863C2">
            <w:pPr>
              <w:pStyle w:val="Tabletext"/>
              <w:keepNext/>
              <w:keepLines/>
              <w:jc w:val="center"/>
              <w:rPr>
                <w:rFonts w:cs="Arial"/>
                <w:iCs/>
                <w:szCs w:val="20"/>
                <w:highlight w:val="black"/>
              </w:rPr>
            </w:pPr>
            <w:r>
              <w:rPr>
                <w:rFonts w:cstheme="majorHAnsi"/>
                <w:b/>
                <w:bCs/>
                <w:noProof/>
                <w:color w:val="000000"/>
                <w:highlight w:val="black"/>
              </w:rPr>
              <w:t>'''''''''''''''''''''</w:t>
            </w:r>
          </w:p>
        </w:tc>
        <w:tc>
          <w:tcPr>
            <w:tcW w:w="850" w:type="dxa"/>
            <w:vMerge/>
          </w:tcPr>
          <w:p w:rsidR="00E84197" w:rsidRPr="007E3667" w:rsidRDefault="00E84197" w:rsidP="00F863C2">
            <w:pPr>
              <w:pStyle w:val="Tabletext"/>
              <w:keepNext/>
              <w:keepLines/>
              <w:jc w:val="center"/>
              <w:rPr>
                <w:rFonts w:cstheme="majorHAnsi"/>
                <w:b/>
                <w:bCs/>
              </w:rPr>
            </w:pPr>
          </w:p>
        </w:tc>
      </w:tr>
      <w:tr w:rsidR="00E84197" w:rsidRPr="000F445F" w:rsidTr="00E84197">
        <w:tc>
          <w:tcPr>
            <w:tcW w:w="9067" w:type="dxa"/>
            <w:gridSpan w:val="8"/>
            <w:shd w:val="clear" w:color="auto" w:fill="auto"/>
          </w:tcPr>
          <w:p w:rsidR="00E84197" w:rsidRPr="00EE6E68" w:rsidRDefault="00E84197" w:rsidP="00F863C2">
            <w:pPr>
              <w:pStyle w:val="Tabletext"/>
              <w:keepNext/>
              <w:keepLines/>
              <w:rPr>
                <w:rFonts w:cs="Arial"/>
                <w:iCs/>
                <w:szCs w:val="20"/>
              </w:rPr>
            </w:pPr>
            <w:r w:rsidRPr="00EE6E68">
              <w:rPr>
                <w:rFonts w:cs="Arial"/>
                <w:iCs/>
                <w:szCs w:val="20"/>
              </w:rPr>
              <w:t>Prevalent patients removed</w:t>
            </w:r>
          </w:p>
        </w:tc>
      </w:tr>
      <w:tr w:rsidR="00E84197" w:rsidRPr="000F445F" w:rsidTr="00E84197">
        <w:tc>
          <w:tcPr>
            <w:tcW w:w="2263" w:type="dxa"/>
            <w:shd w:val="clear" w:color="auto" w:fill="auto"/>
          </w:tcPr>
          <w:p w:rsidR="00E84197" w:rsidRPr="00EE6E68" w:rsidRDefault="00E84197" w:rsidP="00F863C2">
            <w:pPr>
              <w:pStyle w:val="Tabletext"/>
              <w:keepNext/>
              <w:keepLines/>
              <w:tabs>
                <w:tab w:val="left" w:pos="142"/>
              </w:tabs>
              <w:rPr>
                <w:iCs/>
              </w:rPr>
            </w:pPr>
            <w:r w:rsidRPr="00EE6E68">
              <w:rPr>
                <w:iCs/>
              </w:rPr>
              <w:tab/>
              <w:t xml:space="preserve">N  commencing treatment </w:t>
            </w:r>
          </w:p>
        </w:tc>
        <w:tc>
          <w:tcPr>
            <w:tcW w:w="993"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993"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850" w:type="dxa"/>
          </w:tcPr>
          <w:p w:rsidR="00E84197" w:rsidRPr="00EE6E68" w:rsidRDefault="00E84197" w:rsidP="00F863C2">
            <w:pPr>
              <w:pStyle w:val="Tabletext"/>
              <w:keepNext/>
              <w:keepLines/>
              <w:jc w:val="center"/>
              <w:rPr>
                <w:rFonts w:cs="Arial"/>
                <w:iCs/>
                <w:szCs w:val="20"/>
              </w:rPr>
            </w:pPr>
          </w:p>
        </w:tc>
      </w:tr>
      <w:tr w:rsidR="00E84197" w:rsidRPr="006E31BE" w:rsidTr="00E84197">
        <w:tc>
          <w:tcPr>
            <w:tcW w:w="2263" w:type="dxa"/>
            <w:shd w:val="clear" w:color="auto" w:fill="auto"/>
          </w:tcPr>
          <w:p w:rsidR="00E84197" w:rsidRPr="00EE6E68" w:rsidRDefault="00E84197" w:rsidP="00F863C2">
            <w:pPr>
              <w:pStyle w:val="Tabletext"/>
              <w:keepNext/>
              <w:keepLines/>
              <w:tabs>
                <w:tab w:val="left" w:pos="142"/>
              </w:tabs>
              <w:rPr>
                <w:iCs/>
              </w:rPr>
            </w:pPr>
            <w:r w:rsidRPr="00EE6E68">
              <w:rPr>
                <w:iCs/>
              </w:rPr>
              <w:tab/>
              <w:t>Estimated net cost</w:t>
            </w:r>
          </w:p>
        </w:tc>
        <w:tc>
          <w:tcPr>
            <w:tcW w:w="993"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993"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850" w:type="dxa"/>
          </w:tcPr>
          <w:p w:rsidR="00E84197" w:rsidRPr="00EE6E68" w:rsidRDefault="00E84197" w:rsidP="00F863C2">
            <w:pPr>
              <w:pStyle w:val="Tabletext"/>
              <w:keepNext/>
              <w:keepLines/>
              <w:jc w:val="center"/>
              <w:rPr>
                <w:rFonts w:cs="Calibri"/>
                <w:iCs/>
                <w:szCs w:val="20"/>
              </w:rPr>
            </w:pPr>
            <w:r w:rsidRPr="00EE6E68">
              <w:rPr>
                <w:rFonts w:cs="Calibri"/>
                <w:iCs/>
                <w:szCs w:val="20"/>
              </w:rPr>
              <w:t>-22%</w:t>
            </w:r>
          </w:p>
        </w:tc>
      </w:tr>
      <w:tr w:rsidR="00E84197" w:rsidRPr="00C87FD4" w:rsidTr="00E84197">
        <w:tc>
          <w:tcPr>
            <w:tcW w:w="9067" w:type="dxa"/>
            <w:gridSpan w:val="8"/>
            <w:shd w:val="clear" w:color="auto" w:fill="auto"/>
          </w:tcPr>
          <w:p w:rsidR="00E84197" w:rsidRPr="00EE6E68" w:rsidRDefault="007E3667" w:rsidP="00F863C2">
            <w:pPr>
              <w:pStyle w:val="Tabletext"/>
              <w:keepNext/>
              <w:keepLines/>
              <w:rPr>
                <w:rFonts w:cs="Arial"/>
                <w:iCs/>
                <w:szCs w:val="20"/>
              </w:rPr>
            </w:pPr>
            <w:r>
              <w:rPr>
                <w:rFonts w:cs="Arial"/>
                <w:iCs/>
                <w:noProof/>
                <w:color w:val="000000"/>
                <w:szCs w:val="20"/>
                <w:highlight w:val="black"/>
              </w:rPr>
              <w:t>''''</w:t>
            </w:r>
            <w:r w:rsidR="00E84197" w:rsidRPr="00EE6E68">
              <w:rPr>
                <w:rFonts w:cs="Arial"/>
                <w:iCs/>
                <w:szCs w:val="20"/>
              </w:rPr>
              <w:t>% del17p</w:t>
            </w:r>
          </w:p>
        </w:tc>
      </w:tr>
      <w:tr w:rsidR="00E84197" w:rsidRPr="00C87FD4" w:rsidTr="00E84197">
        <w:tc>
          <w:tcPr>
            <w:tcW w:w="2263" w:type="dxa"/>
            <w:shd w:val="clear" w:color="auto" w:fill="auto"/>
          </w:tcPr>
          <w:p w:rsidR="00E84197" w:rsidRPr="00EE6E68" w:rsidRDefault="00E84197" w:rsidP="00F863C2">
            <w:pPr>
              <w:pStyle w:val="Tabletext"/>
              <w:keepNext/>
              <w:keepLines/>
              <w:tabs>
                <w:tab w:val="left" w:pos="142"/>
              </w:tabs>
              <w:rPr>
                <w:iCs/>
              </w:rPr>
            </w:pPr>
            <w:r w:rsidRPr="00EE6E68">
              <w:rPr>
                <w:iCs/>
              </w:rPr>
              <w:tab/>
              <w:t xml:space="preserve">N  commencing treatment </w:t>
            </w:r>
          </w:p>
        </w:tc>
        <w:tc>
          <w:tcPr>
            <w:tcW w:w="993"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3"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850" w:type="dxa"/>
          </w:tcPr>
          <w:p w:rsidR="00E84197" w:rsidRPr="00EE6E68" w:rsidRDefault="00E84197" w:rsidP="00F863C2">
            <w:pPr>
              <w:pStyle w:val="Tabletext"/>
              <w:keepNext/>
              <w:keepLines/>
              <w:jc w:val="center"/>
              <w:rPr>
                <w:rFonts w:cs="Arial"/>
                <w:iCs/>
                <w:szCs w:val="20"/>
              </w:rPr>
            </w:pPr>
          </w:p>
        </w:tc>
      </w:tr>
      <w:tr w:rsidR="00E84197" w:rsidRPr="00CE4B09" w:rsidTr="00E84197">
        <w:tc>
          <w:tcPr>
            <w:tcW w:w="2263" w:type="dxa"/>
            <w:shd w:val="clear" w:color="auto" w:fill="auto"/>
          </w:tcPr>
          <w:p w:rsidR="00E84197" w:rsidRPr="00EE6E68" w:rsidRDefault="00E84197" w:rsidP="00F863C2">
            <w:pPr>
              <w:pStyle w:val="Tabletext"/>
              <w:keepNext/>
              <w:keepLines/>
              <w:tabs>
                <w:tab w:val="left" w:pos="142"/>
              </w:tabs>
              <w:rPr>
                <w:iCs/>
              </w:rPr>
            </w:pPr>
            <w:r w:rsidRPr="00EE6E68">
              <w:rPr>
                <w:iCs/>
              </w:rPr>
              <w:tab/>
              <w:t>Estimated net cost</w:t>
            </w:r>
          </w:p>
        </w:tc>
        <w:tc>
          <w:tcPr>
            <w:tcW w:w="993"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3"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850" w:type="dxa"/>
          </w:tcPr>
          <w:p w:rsidR="00E84197" w:rsidRPr="00EE6E68" w:rsidRDefault="00E84197" w:rsidP="00F863C2">
            <w:pPr>
              <w:pStyle w:val="Tabletext"/>
              <w:keepNext/>
              <w:keepLines/>
              <w:jc w:val="center"/>
              <w:rPr>
                <w:rFonts w:cs="Calibri"/>
                <w:iCs/>
                <w:szCs w:val="20"/>
              </w:rPr>
            </w:pPr>
            <w:r w:rsidRPr="00EE6E68">
              <w:rPr>
                <w:rFonts w:cs="Calibri"/>
                <w:iCs/>
                <w:szCs w:val="20"/>
              </w:rPr>
              <w:t>-25%</w:t>
            </w:r>
          </w:p>
        </w:tc>
      </w:tr>
      <w:tr w:rsidR="00E84197" w:rsidRPr="00CE4B09" w:rsidTr="00E84197">
        <w:tc>
          <w:tcPr>
            <w:tcW w:w="9067" w:type="dxa"/>
            <w:gridSpan w:val="8"/>
            <w:shd w:val="clear" w:color="auto" w:fill="auto"/>
          </w:tcPr>
          <w:p w:rsidR="00E84197" w:rsidRPr="00EE6E68" w:rsidRDefault="007E3667" w:rsidP="00F863C2">
            <w:pPr>
              <w:pStyle w:val="Tabletext"/>
              <w:keepNext/>
              <w:keepLines/>
              <w:rPr>
                <w:rFonts w:cs="Arial"/>
                <w:iCs/>
                <w:szCs w:val="20"/>
              </w:rPr>
            </w:pPr>
            <w:r>
              <w:rPr>
                <w:rFonts w:cs="Arial"/>
                <w:iCs/>
                <w:noProof/>
                <w:color w:val="000000"/>
                <w:szCs w:val="20"/>
                <w:highlight w:val="black"/>
              </w:rPr>
              <w:t>''''</w:t>
            </w:r>
            <w:r w:rsidR="00E84197" w:rsidRPr="00EE6E68">
              <w:rPr>
                <w:rFonts w:cs="Arial"/>
                <w:iCs/>
                <w:szCs w:val="20"/>
              </w:rPr>
              <w:t>% del17p</w:t>
            </w:r>
          </w:p>
        </w:tc>
      </w:tr>
      <w:tr w:rsidR="003F02B7" w:rsidRPr="00CE4B09" w:rsidTr="005F5A5B">
        <w:tc>
          <w:tcPr>
            <w:tcW w:w="2263" w:type="dxa"/>
            <w:shd w:val="clear" w:color="auto" w:fill="auto"/>
          </w:tcPr>
          <w:p w:rsidR="003F02B7" w:rsidRPr="00EE6E68" w:rsidRDefault="003F02B7" w:rsidP="00F863C2">
            <w:pPr>
              <w:pStyle w:val="Tabletext"/>
              <w:keepNext/>
              <w:keepLines/>
              <w:tabs>
                <w:tab w:val="left" w:pos="142"/>
              </w:tabs>
              <w:rPr>
                <w:iCs/>
              </w:rPr>
            </w:pPr>
            <w:r w:rsidRPr="00EE6E68">
              <w:rPr>
                <w:iCs/>
              </w:rPr>
              <w:tab/>
              <w:t xml:space="preserve">N  commencing treatment </w:t>
            </w:r>
          </w:p>
        </w:tc>
        <w:tc>
          <w:tcPr>
            <w:tcW w:w="993" w:type="dxa"/>
            <w:shd w:val="clear" w:color="auto" w:fill="auto"/>
            <w:vAlign w:val="bottom"/>
          </w:tcPr>
          <w:p w:rsidR="003F02B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3F02B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3F02B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3F02B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993" w:type="dxa"/>
            <w:shd w:val="clear" w:color="auto" w:fill="auto"/>
            <w:vAlign w:val="bottom"/>
          </w:tcPr>
          <w:p w:rsidR="003F02B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3F02B7" w:rsidRPr="007E3667" w:rsidRDefault="007E3667" w:rsidP="00F863C2">
            <w:pPr>
              <w:pStyle w:val="Tabletext"/>
              <w:keepNext/>
              <w:keepLines/>
              <w:jc w:val="center"/>
              <w:rPr>
                <w:rFonts w:cs="Arial"/>
                <w:iCs/>
                <w:szCs w:val="20"/>
                <w:highlight w:val="black"/>
              </w:rPr>
            </w:pPr>
            <w:r>
              <w:rPr>
                <w:rFonts w:cs="Arial"/>
                <w:iCs/>
                <w:noProof/>
                <w:color w:val="000000"/>
                <w:szCs w:val="20"/>
                <w:highlight w:val="black"/>
              </w:rPr>
              <w:t xml:space="preserve">''''''' </w:t>
            </w:r>
          </w:p>
        </w:tc>
        <w:tc>
          <w:tcPr>
            <w:tcW w:w="850" w:type="dxa"/>
          </w:tcPr>
          <w:p w:rsidR="003F02B7" w:rsidRPr="00EE6E68" w:rsidRDefault="003F02B7" w:rsidP="00F863C2">
            <w:pPr>
              <w:pStyle w:val="Tabletext"/>
              <w:keepNext/>
              <w:keepLines/>
              <w:jc w:val="center"/>
              <w:rPr>
                <w:rFonts w:cs="Arial"/>
                <w:iCs/>
                <w:szCs w:val="20"/>
              </w:rPr>
            </w:pPr>
          </w:p>
        </w:tc>
      </w:tr>
      <w:tr w:rsidR="00E84197" w:rsidRPr="00CE4B09" w:rsidTr="00E84197">
        <w:tc>
          <w:tcPr>
            <w:tcW w:w="2263" w:type="dxa"/>
            <w:shd w:val="clear" w:color="auto" w:fill="auto"/>
          </w:tcPr>
          <w:p w:rsidR="00E84197" w:rsidRPr="00EE6E68" w:rsidRDefault="00E84197" w:rsidP="00F863C2">
            <w:pPr>
              <w:pStyle w:val="Tabletext"/>
              <w:keepNext/>
              <w:keepLines/>
              <w:tabs>
                <w:tab w:val="left" w:pos="142"/>
              </w:tabs>
              <w:rPr>
                <w:iCs/>
              </w:rPr>
            </w:pPr>
            <w:r w:rsidRPr="00EE6E68">
              <w:rPr>
                <w:iCs/>
              </w:rPr>
              <w:tab/>
              <w:t>Estimated net cost</w:t>
            </w:r>
          </w:p>
        </w:tc>
        <w:tc>
          <w:tcPr>
            <w:tcW w:w="993"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993"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992" w:type="dxa"/>
            <w:shd w:val="clear" w:color="auto" w:fill="auto"/>
            <w:vAlign w:val="bottom"/>
          </w:tcPr>
          <w:p w:rsidR="00E84197" w:rsidRPr="007E3667" w:rsidRDefault="007E3667" w:rsidP="00F863C2">
            <w:pPr>
              <w:pStyle w:val="Tabletext"/>
              <w:keepNext/>
              <w:keepLines/>
              <w:jc w:val="center"/>
              <w:rPr>
                <w:rFonts w:cs="Arial"/>
                <w:iCs/>
                <w:szCs w:val="20"/>
                <w:highlight w:val="black"/>
              </w:rPr>
            </w:pPr>
            <w:r>
              <w:rPr>
                <w:rFonts w:cs="Calibri"/>
                <w:iCs/>
                <w:noProof/>
                <w:color w:val="000000"/>
                <w:szCs w:val="20"/>
                <w:highlight w:val="black"/>
              </w:rPr>
              <w:t>''''''''''''''''''''''''''</w:t>
            </w:r>
          </w:p>
        </w:tc>
        <w:tc>
          <w:tcPr>
            <w:tcW w:w="850" w:type="dxa"/>
          </w:tcPr>
          <w:p w:rsidR="00E84197" w:rsidRPr="00EE6E68" w:rsidRDefault="00E84197" w:rsidP="00F863C2">
            <w:pPr>
              <w:pStyle w:val="Tabletext"/>
              <w:keepNext/>
              <w:keepLines/>
              <w:jc w:val="center"/>
              <w:rPr>
                <w:rFonts w:cs="Calibri"/>
                <w:iCs/>
                <w:szCs w:val="20"/>
              </w:rPr>
            </w:pPr>
            <w:r w:rsidRPr="00EE6E68">
              <w:rPr>
                <w:rFonts w:cs="Calibri"/>
                <w:iCs/>
                <w:szCs w:val="20"/>
              </w:rPr>
              <w:t>-43%</w:t>
            </w:r>
          </w:p>
        </w:tc>
      </w:tr>
      <w:tr w:rsidR="00E84197" w:rsidRPr="00CE4B09" w:rsidTr="00E84197">
        <w:tc>
          <w:tcPr>
            <w:tcW w:w="9067" w:type="dxa"/>
            <w:gridSpan w:val="8"/>
            <w:shd w:val="clear" w:color="auto" w:fill="auto"/>
          </w:tcPr>
          <w:p w:rsidR="00E84197" w:rsidRPr="00EE6E68" w:rsidRDefault="00E84197" w:rsidP="00F863C2">
            <w:pPr>
              <w:pStyle w:val="Tabletext"/>
              <w:keepNext/>
              <w:keepLines/>
              <w:rPr>
                <w:rFonts w:cs="Calibri"/>
                <w:iCs/>
                <w:szCs w:val="20"/>
              </w:rPr>
            </w:pPr>
            <w:r w:rsidRPr="00EE6E68">
              <w:rPr>
                <w:rFonts w:cs="Arial"/>
                <w:iCs/>
                <w:szCs w:val="20"/>
              </w:rPr>
              <w:t xml:space="preserve">Prevalent patients removed and </w:t>
            </w:r>
            <w:r w:rsidR="007E3667">
              <w:rPr>
                <w:rFonts w:cs="Arial"/>
                <w:iCs/>
                <w:noProof/>
                <w:color w:val="000000"/>
                <w:szCs w:val="20"/>
                <w:highlight w:val="black"/>
              </w:rPr>
              <w:t>'''</w:t>
            </w:r>
            <w:r w:rsidRPr="00EE6E68">
              <w:rPr>
                <w:rFonts w:cs="Arial"/>
                <w:iCs/>
                <w:szCs w:val="20"/>
              </w:rPr>
              <w:t>% del17p</w:t>
            </w:r>
          </w:p>
        </w:tc>
      </w:tr>
      <w:tr w:rsidR="00E84197" w:rsidRPr="00CE4B09" w:rsidTr="00E84197">
        <w:tc>
          <w:tcPr>
            <w:tcW w:w="2263" w:type="dxa"/>
            <w:shd w:val="clear" w:color="auto" w:fill="auto"/>
          </w:tcPr>
          <w:p w:rsidR="00E84197" w:rsidRPr="00EE6E68" w:rsidRDefault="00E84197" w:rsidP="00F863C2">
            <w:pPr>
              <w:pStyle w:val="Tabletext"/>
              <w:keepNext/>
              <w:keepLines/>
              <w:tabs>
                <w:tab w:val="left" w:pos="142"/>
              </w:tabs>
              <w:rPr>
                <w:iCs/>
              </w:rPr>
            </w:pPr>
            <w:r w:rsidRPr="00EE6E68">
              <w:rPr>
                <w:iCs/>
              </w:rPr>
              <w:tab/>
              <w:t xml:space="preserve">N  commencing treatment </w:t>
            </w:r>
          </w:p>
        </w:tc>
        <w:tc>
          <w:tcPr>
            <w:tcW w:w="993"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3"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850" w:type="dxa"/>
          </w:tcPr>
          <w:p w:rsidR="00E84197" w:rsidRPr="00EE6E68" w:rsidRDefault="00E84197" w:rsidP="00F863C2">
            <w:pPr>
              <w:pStyle w:val="Tabletext"/>
              <w:keepNext/>
              <w:keepLines/>
              <w:jc w:val="center"/>
              <w:rPr>
                <w:rFonts w:cs="Calibri"/>
                <w:iCs/>
                <w:szCs w:val="20"/>
              </w:rPr>
            </w:pPr>
          </w:p>
        </w:tc>
      </w:tr>
      <w:tr w:rsidR="00E84197" w:rsidRPr="00CE4B09" w:rsidTr="00E84197">
        <w:tc>
          <w:tcPr>
            <w:tcW w:w="2263" w:type="dxa"/>
            <w:shd w:val="clear" w:color="auto" w:fill="auto"/>
          </w:tcPr>
          <w:p w:rsidR="00E84197" w:rsidRPr="00EE6E68" w:rsidRDefault="00E84197" w:rsidP="00F863C2">
            <w:pPr>
              <w:pStyle w:val="Tabletext"/>
              <w:keepNext/>
              <w:keepLines/>
              <w:tabs>
                <w:tab w:val="left" w:pos="142"/>
              </w:tabs>
              <w:rPr>
                <w:iCs/>
              </w:rPr>
            </w:pPr>
            <w:r w:rsidRPr="00EE6E68">
              <w:rPr>
                <w:iCs/>
              </w:rPr>
              <w:tab/>
              <w:t>Estimated net cost</w:t>
            </w:r>
          </w:p>
        </w:tc>
        <w:tc>
          <w:tcPr>
            <w:tcW w:w="993"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3"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850" w:type="dxa"/>
          </w:tcPr>
          <w:p w:rsidR="00E84197" w:rsidRPr="00EE6E68" w:rsidRDefault="00E84197" w:rsidP="00F863C2">
            <w:pPr>
              <w:pStyle w:val="Tabletext"/>
              <w:keepNext/>
              <w:keepLines/>
              <w:jc w:val="center"/>
              <w:rPr>
                <w:rFonts w:cs="Calibri"/>
                <w:iCs/>
                <w:szCs w:val="20"/>
              </w:rPr>
            </w:pPr>
            <w:r w:rsidRPr="00EE6E68">
              <w:rPr>
                <w:rFonts w:cs="Calibri"/>
                <w:iCs/>
                <w:szCs w:val="20"/>
              </w:rPr>
              <w:t>-53%</w:t>
            </w:r>
          </w:p>
        </w:tc>
      </w:tr>
      <w:tr w:rsidR="00E84197" w:rsidRPr="00CE4B09" w:rsidTr="00E84197">
        <w:tc>
          <w:tcPr>
            <w:tcW w:w="9067" w:type="dxa"/>
            <w:gridSpan w:val="8"/>
            <w:shd w:val="clear" w:color="auto" w:fill="auto"/>
          </w:tcPr>
          <w:p w:rsidR="00E84197" w:rsidRPr="00EE6E68" w:rsidRDefault="00E84197" w:rsidP="00F863C2">
            <w:pPr>
              <w:pStyle w:val="Tabletext"/>
              <w:keepNext/>
              <w:keepLines/>
              <w:rPr>
                <w:rFonts w:cs="Calibri"/>
                <w:iCs/>
                <w:szCs w:val="20"/>
              </w:rPr>
            </w:pPr>
            <w:r w:rsidRPr="00EE6E68">
              <w:rPr>
                <w:rFonts w:cs="Arial"/>
                <w:iCs/>
                <w:szCs w:val="20"/>
              </w:rPr>
              <w:t xml:space="preserve">Prevalent patients removed and </w:t>
            </w:r>
            <w:r w:rsidR="007E3667">
              <w:rPr>
                <w:rFonts w:cs="Arial"/>
                <w:iCs/>
                <w:noProof/>
                <w:color w:val="000000"/>
                <w:szCs w:val="20"/>
                <w:highlight w:val="black"/>
              </w:rPr>
              <w:t>''''</w:t>
            </w:r>
            <w:r w:rsidRPr="00EE6E68">
              <w:rPr>
                <w:rFonts w:cs="Arial"/>
                <w:iCs/>
                <w:szCs w:val="20"/>
              </w:rPr>
              <w:t>% del17p</w:t>
            </w:r>
          </w:p>
        </w:tc>
      </w:tr>
      <w:tr w:rsidR="00E84197" w:rsidRPr="00CE4B09" w:rsidTr="00E84197">
        <w:tc>
          <w:tcPr>
            <w:tcW w:w="2263" w:type="dxa"/>
            <w:shd w:val="clear" w:color="auto" w:fill="auto"/>
          </w:tcPr>
          <w:p w:rsidR="00E84197" w:rsidRPr="00EE6E68" w:rsidRDefault="00E84197" w:rsidP="00F863C2">
            <w:pPr>
              <w:pStyle w:val="Tabletext"/>
              <w:keepNext/>
              <w:keepLines/>
              <w:tabs>
                <w:tab w:val="left" w:pos="142"/>
              </w:tabs>
              <w:rPr>
                <w:iCs/>
              </w:rPr>
            </w:pPr>
            <w:r w:rsidRPr="00EE6E68">
              <w:rPr>
                <w:iCs/>
              </w:rPr>
              <w:tab/>
              <w:t xml:space="preserve">N  commencing treatment </w:t>
            </w:r>
          </w:p>
        </w:tc>
        <w:tc>
          <w:tcPr>
            <w:tcW w:w="993"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3"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992" w:type="dxa"/>
            <w:shd w:val="clear" w:color="auto" w:fill="auto"/>
            <w:vAlign w:val="bottom"/>
          </w:tcPr>
          <w:p w:rsidR="00E84197" w:rsidRPr="007E3667" w:rsidRDefault="007E3667" w:rsidP="00F863C2">
            <w:pPr>
              <w:pStyle w:val="Tabletext"/>
              <w:keepNext/>
              <w:keepLines/>
              <w:jc w:val="center"/>
              <w:rPr>
                <w:rFonts w:cs="Calibri"/>
                <w:iCs/>
                <w:szCs w:val="20"/>
                <w:highlight w:val="black"/>
              </w:rPr>
            </w:pPr>
            <w:r>
              <w:rPr>
                <w:rFonts w:cs="Arial"/>
                <w:iCs/>
                <w:noProof/>
                <w:color w:val="000000"/>
                <w:szCs w:val="20"/>
                <w:highlight w:val="black"/>
              </w:rPr>
              <w:t xml:space="preserve">''''''' </w:t>
            </w:r>
          </w:p>
        </w:tc>
        <w:tc>
          <w:tcPr>
            <w:tcW w:w="850" w:type="dxa"/>
          </w:tcPr>
          <w:p w:rsidR="00E84197" w:rsidRPr="00EE6E68" w:rsidRDefault="00E84197" w:rsidP="00F863C2">
            <w:pPr>
              <w:pStyle w:val="Tabletext"/>
              <w:keepNext/>
              <w:keepLines/>
              <w:jc w:val="center"/>
              <w:rPr>
                <w:rFonts w:cs="Calibri"/>
                <w:iCs/>
                <w:szCs w:val="20"/>
              </w:rPr>
            </w:pPr>
          </w:p>
        </w:tc>
      </w:tr>
      <w:tr w:rsidR="00E84197" w:rsidRPr="00CE4B09" w:rsidTr="00E84197">
        <w:tc>
          <w:tcPr>
            <w:tcW w:w="2263" w:type="dxa"/>
            <w:shd w:val="clear" w:color="auto" w:fill="auto"/>
          </w:tcPr>
          <w:p w:rsidR="00E84197" w:rsidRPr="00EE6E68" w:rsidRDefault="00E84197" w:rsidP="00F863C2">
            <w:pPr>
              <w:pStyle w:val="Tabletext"/>
              <w:keepNext/>
              <w:keepLines/>
              <w:tabs>
                <w:tab w:val="left" w:pos="142"/>
              </w:tabs>
              <w:rPr>
                <w:iCs/>
              </w:rPr>
            </w:pPr>
            <w:r w:rsidRPr="00EE6E68">
              <w:rPr>
                <w:iCs/>
              </w:rPr>
              <w:tab/>
              <w:t>Estimated net cost</w:t>
            </w:r>
          </w:p>
        </w:tc>
        <w:tc>
          <w:tcPr>
            <w:tcW w:w="993"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3"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992" w:type="dxa"/>
            <w:shd w:val="clear" w:color="auto" w:fill="auto"/>
            <w:vAlign w:val="center"/>
          </w:tcPr>
          <w:p w:rsidR="00E84197" w:rsidRPr="007E3667" w:rsidRDefault="007E3667" w:rsidP="00F863C2">
            <w:pPr>
              <w:pStyle w:val="Tabletext"/>
              <w:keepNext/>
              <w:keepLines/>
              <w:jc w:val="center"/>
              <w:rPr>
                <w:rFonts w:cs="Calibri"/>
                <w:iCs/>
                <w:szCs w:val="20"/>
                <w:highlight w:val="black"/>
              </w:rPr>
            </w:pPr>
            <w:r>
              <w:rPr>
                <w:rFonts w:cs="Calibri"/>
                <w:iCs/>
                <w:noProof/>
                <w:color w:val="000000"/>
                <w:szCs w:val="20"/>
                <w:highlight w:val="black"/>
              </w:rPr>
              <w:t>'''''''''''''''''''''''</w:t>
            </w:r>
          </w:p>
        </w:tc>
        <w:tc>
          <w:tcPr>
            <w:tcW w:w="850" w:type="dxa"/>
          </w:tcPr>
          <w:p w:rsidR="00E84197" w:rsidRPr="00EE6E68" w:rsidRDefault="00E84197" w:rsidP="00F863C2">
            <w:pPr>
              <w:pStyle w:val="Tabletext"/>
              <w:keepNext/>
              <w:keepLines/>
              <w:jc w:val="center"/>
              <w:rPr>
                <w:rFonts w:cs="Calibri"/>
                <w:iCs/>
                <w:szCs w:val="20"/>
              </w:rPr>
            </w:pPr>
            <w:r w:rsidRPr="00EE6E68">
              <w:rPr>
                <w:rFonts w:cs="Calibri"/>
                <w:iCs/>
                <w:szCs w:val="20"/>
              </w:rPr>
              <w:t>-75%</w:t>
            </w:r>
          </w:p>
        </w:tc>
      </w:tr>
    </w:tbl>
    <w:p w:rsidR="002B6E37" w:rsidRDefault="002B6E37" w:rsidP="00F863C2">
      <w:pPr>
        <w:pStyle w:val="TableFooter"/>
        <w:keepNext/>
        <w:keepLines/>
      </w:pPr>
      <w:proofErr w:type="spellStart"/>
      <w:r>
        <w:t>Govt</w:t>
      </w:r>
      <w:proofErr w:type="spellEnd"/>
      <w:r>
        <w:t>=Government</w:t>
      </w:r>
    </w:p>
    <w:p w:rsidR="00ED7CCA" w:rsidRDefault="00ED7CCA" w:rsidP="00F863C2">
      <w:pPr>
        <w:pStyle w:val="TableFooter"/>
        <w:keepNext/>
        <w:keepLines/>
      </w:pPr>
      <w:r>
        <w:t xml:space="preserve">Source: </w:t>
      </w:r>
      <w:r w:rsidR="00EE6E68">
        <w:t xml:space="preserve">Compiled during the evaluation using </w:t>
      </w:r>
      <w:r>
        <w:t>Excel workbook ‘Section 4_del17p financial estimates’, worksheet ‘2a. Patients – epi’.</w:t>
      </w:r>
    </w:p>
    <w:p w:rsidR="00ED7CCA" w:rsidRDefault="00ED7CCA" w:rsidP="00ED7CCA"/>
    <w:p w:rsidR="00FF6C2A" w:rsidRPr="00EB5599" w:rsidRDefault="004802CE" w:rsidP="00B2597F">
      <w:pPr>
        <w:pStyle w:val="ListParagraph"/>
        <w:numPr>
          <w:ilvl w:val="1"/>
          <w:numId w:val="1"/>
        </w:numPr>
      </w:pPr>
      <w:r w:rsidRPr="00EB5599">
        <w:rPr>
          <w:iCs/>
        </w:rPr>
        <w:t>The analyses show that</w:t>
      </w:r>
      <w:r w:rsidR="00FF6C2A" w:rsidRPr="00EB5599">
        <w:rPr>
          <w:iCs/>
        </w:rPr>
        <w:t xml:space="preserve"> overestimation of the proportion of del17p patients will result in considerably greater cost to Government.</w:t>
      </w:r>
      <w:r w:rsidR="00E84197" w:rsidRPr="00EB5599">
        <w:rPr>
          <w:iCs/>
        </w:rPr>
        <w:t xml:space="preserve">  Applying the point estimate (</w:t>
      </w:r>
      <w:r w:rsidR="007E3667">
        <w:rPr>
          <w:iCs/>
          <w:noProof/>
          <w:color w:val="000000"/>
          <w:highlight w:val="black"/>
        </w:rPr>
        <w:t>'''</w:t>
      </w:r>
      <w:r w:rsidR="00E84197" w:rsidRPr="00EB5599">
        <w:rPr>
          <w:iCs/>
        </w:rPr>
        <w:t xml:space="preserve">%) from the resubmission’s meta-analysis to determine the proportion of del17p patients </w:t>
      </w:r>
      <w:r w:rsidR="00093A9C">
        <w:rPr>
          <w:iCs/>
        </w:rPr>
        <w:t xml:space="preserve">dropped patient numbers by just over 30 per year and </w:t>
      </w:r>
      <w:r w:rsidR="00E84197" w:rsidRPr="00EB5599">
        <w:rPr>
          <w:iCs/>
        </w:rPr>
        <w:t xml:space="preserve">decreased </w:t>
      </w:r>
      <w:r w:rsidR="00093A9C">
        <w:rPr>
          <w:iCs/>
        </w:rPr>
        <w:t xml:space="preserve">the </w:t>
      </w:r>
      <w:r w:rsidR="00E84197" w:rsidRPr="00EB5599">
        <w:rPr>
          <w:iCs/>
        </w:rPr>
        <w:t xml:space="preserve">estimated net cost to Government by 25%, to </w:t>
      </w:r>
      <w:r w:rsidR="002059F6">
        <w:rPr>
          <w:iCs/>
        </w:rPr>
        <w:t xml:space="preserve"> $10 – $20M</w:t>
      </w:r>
      <w:r w:rsidR="00E84197" w:rsidRPr="00EB5599">
        <w:rPr>
          <w:iCs/>
        </w:rPr>
        <w:t xml:space="preserve"> over the first 6 years of listing.  </w:t>
      </w:r>
    </w:p>
    <w:p w:rsidR="00E84197" w:rsidRPr="00EB5599" w:rsidRDefault="00E84197" w:rsidP="00B2597F">
      <w:pPr>
        <w:pStyle w:val="ListParagraph"/>
        <w:numPr>
          <w:ilvl w:val="1"/>
          <w:numId w:val="1"/>
        </w:numPr>
      </w:pPr>
      <w:r w:rsidRPr="00EB5599">
        <w:t xml:space="preserve">Removal of prevalent patients from the estimates decreased estimated net cost to </w:t>
      </w:r>
      <w:r w:rsidR="002059F6">
        <w:rPr>
          <w:iCs/>
        </w:rPr>
        <w:t>$10 – $</w:t>
      </w:r>
      <w:proofErr w:type="gramStart"/>
      <w:r w:rsidR="002059F6">
        <w:rPr>
          <w:iCs/>
        </w:rPr>
        <w:t>20M</w:t>
      </w:r>
      <w:r w:rsidR="002059F6" w:rsidRPr="00EB5599">
        <w:rPr>
          <w:iCs/>
        </w:rPr>
        <w:t xml:space="preserve"> </w:t>
      </w:r>
      <w:r w:rsidR="00BF57C2">
        <w:t xml:space="preserve"> over</w:t>
      </w:r>
      <w:proofErr w:type="gramEnd"/>
      <w:r w:rsidR="00BF57C2">
        <w:t xml:space="preserve"> 6 years</w:t>
      </w:r>
      <w:r w:rsidRPr="00EB5599">
        <w:t xml:space="preserve">, a </w:t>
      </w:r>
      <w:r w:rsidR="00062536" w:rsidRPr="00EB5599">
        <w:t xml:space="preserve">22% decrease.  </w:t>
      </w:r>
      <w:r w:rsidR="003F02B7" w:rsidRPr="00EB5599">
        <w:rPr>
          <w:iCs/>
        </w:rPr>
        <w:t xml:space="preserve">Removal of prevalent patients and decreasing the proportion of del17p patients to </w:t>
      </w:r>
      <w:r w:rsidR="007E3667">
        <w:rPr>
          <w:iCs/>
          <w:noProof/>
          <w:color w:val="000000"/>
          <w:highlight w:val="black"/>
        </w:rPr>
        <w:t>'''</w:t>
      </w:r>
      <w:r w:rsidR="003F02B7" w:rsidRPr="00EB5599">
        <w:rPr>
          <w:iCs/>
        </w:rPr>
        <w:t xml:space="preserve">% decreased estimated net cost to </w:t>
      </w:r>
      <w:r w:rsidR="003F02B7" w:rsidRPr="00EB5599">
        <w:rPr>
          <w:iCs/>
        </w:rPr>
        <w:lastRenderedPageBreak/>
        <w:t>Government to $</w:t>
      </w:r>
      <w:r w:rsidR="00BF57C2">
        <w:rPr>
          <w:iCs/>
        </w:rPr>
        <w:t xml:space="preserve"> </w:t>
      </w:r>
      <w:r w:rsidR="002059F6">
        <w:rPr>
          <w:iCs/>
        </w:rPr>
        <w:t>$10 – $20M</w:t>
      </w:r>
      <w:r w:rsidR="002059F6" w:rsidRPr="00EB5599">
        <w:rPr>
          <w:iCs/>
        </w:rPr>
        <w:t xml:space="preserve"> </w:t>
      </w:r>
      <w:r w:rsidR="00BF57C2">
        <w:rPr>
          <w:iCs/>
        </w:rPr>
        <w:t>over 6 years</w:t>
      </w:r>
      <w:r w:rsidR="003F02B7" w:rsidRPr="00EB5599">
        <w:rPr>
          <w:iCs/>
        </w:rPr>
        <w:t xml:space="preserve">, a decrease of 53% compared to the resubmission’s base case estimate of </w:t>
      </w:r>
      <w:r w:rsidR="002059F6">
        <w:rPr>
          <w:iCs/>
        </w:rPr>
        <w:t>$20 - $30M</w:t>
      </w:r>
      <w:r w:rsidR="003F02B7" w:rsidRPr="00EB5599">
        <w:rPr>
          <w:iCs/>
        </w:rPr>
        <w:t xml:space="preserve">. </w:t>
      </w:r>
      <w:r w:rsidR="00093A9C">
        <w:rPr>
          <w:i/>
          <w:iCs/>
        </w:rPr>
        <w:t xml:space="preserve"> </w:t>
      </w:r>
    </w:p>
    <w:p w:rsidR="0042600B" w:rsidRPr="0042600B" w:rsidRDefault="00065EA9" w:rsidP="00B2597F">
      <w:pPr>
        <w:pStyle w:val="ListParagraph"/>
        <w:numPr>
          <w:ilvl w:val="1"/>
          <w:numId w:val="1"/>
        </w:numPr>
      </w:pPr>
      <w:r>
        <w:t xml:space="preserve">The PBAC advised that </w:t>
      </w:r>
      <w:r w:rsidRPr="00093A9C">
        <w:rPr>
          <w:iCs/>
        </w:rPr>
        <w:t xml:space="preserve">estimates based on the </w:t>
      </w:r>
      <w:r w:rsidR="007E3667">
        <w:rPr>
          <w:iCs/>
          <w:noProof/>
          <w:color w:val="000000"/>
          <w:highlight w:val="black"/>
        </w:rPr>
        <w:t>'''</w:t>
      </w:r>
      <w:r w:rsidRPr="00093A9C">
        <w:rPr>
          <w:iCs/>
        </w:rPr>
        <w:t>% proportion of del17p patients, with prevalent patients excluded</w:t>
      </w:r>
      <w:r>
        <w:rPr>
          <w:iCs/>
        </w:rPr>
        <w:t xml:space="preserve">, were appropriate for </w:t>
      </w:r>
      <w:r>
        <w:t xml:space="preserve">the proposed PBS population of del17p CLL/SLL patients. </w:t>
      </w:r>
    </w:p>
    <w:p w:rsidR="00B65551" w:rsidRPr="00B65551" w:rsidRDefault="00B65551" w:rsidP="00F1795E"/>
    <w:p w:rsidR="00576972" w:rsidRPr="00C9624D" w:rsidRDefault="00576972" w:rsidP="00C9624D">
      <w:pPr>
        <w:pStyle w:val="Heading2"/>
      </w:pPr>
      <w:bookmarkStart w:id="17" w:name="_Toc19716436"/>
      <w:r w:rsidRPr="00C9624D">
        <w:t>Quality Use of Medicines</w:t>
      </w:r>
      <w:bookmarkEnd w:id="17"/>
    </w:p>
    <w:p w:rsidR="00576972" w:rsidRPr="00576972" w:rsidRDefault="00576972" w:rsidP="00576972"/>
    <w:p w:rsidR="00576972" w:rsidRDefault="0060685D" w:rsidP="00B2597F">
      <w:pPr>
        <w:pStyle w:val="ListParagraph"/>
        <w:numPr>
          <w:ilvl w:val="1"/>
          <w:numId w:val="1"/>
        </w:numPr>
      </w:pPr>
      <w:r>
        <w:t xml:space="preserve">The resubmission provided a summary of quality use of medicines activities relative to the use of ibrutinib.  The outlined strategies were similar to those presented in the November 2017 submission (methods the sponsor believes will ensure the quality use of ibrutinib; identification of groups who play a role in the appropriate use of ibrutinib in practice; and </w:t>
      </w:r>
      <w:r w:rsidR="00782754">
        <w:t>provision</w:t>
      </w:r>
      <w:r>
        <w:t xml:space="preserve"> of appropriate education, resources and support from the sponsor), along with updated detail on the patient support program for ibrutinib and further detail on available educational materials.</w:t>
      </w:r>
    </w:p>
    <w:p w:rsidR="00576972" w:rsidRPr="00C9624D" w:rsidRDefault="00576972" w:rsidP="00C9624D">
      <w:pPr>
        <w:pStyle w:val="Heading2"/>
      </w:pPr>
      <w:bookmarkStart w:id="18" w:name="_Toc19716437"/>
      <w:r w:rsidRPr="00C9624D">
        <w:t>Financial Management – Risk Sharing Arrangements</w:t>
      </w:r>
      <w:bookmarkEnd w:id="18"/>
    </w:p>
    <w:p w:rsidR="00C25D9C" w:rsidRPr="00576972" w:rsidRDefault="00C25D9C" w:rsidP="00576972"/>
    <w:p w:rsidR="0079463D" w:rsidRPr="00E773B1" w:rsidRDefault="0079463D" w:rsidP="00B2597F">
      <w:pPr>
        <w:pStyle w:val="ListParagraph"/>
        <w:numPr>
          <w:ilvl w:val="1"/>
          <w:numId w:val="1"/>
        </w:numPr>
        <w:rPr>
          <w:iCs/>
        </w:rPr>
      </w:pPr>
      <w:r>
        <w:t xml:space="preserve">The resubmission indicated that a RSA was not </w:t>
      </w:r>
      <w:r w:rsidR="00F06DE6">
        <w:t>proposed</w:t>
      </w:r>
      <w:r>
        <w:t xml:space="preserve"> as </w:t>
      </w:r>
      <w:r w:rsidR="00F06DE6">
        <w:t xml:space="preserve">the </w:t>
      </w:r>
      <w:r w:rsidR="00734887">
        <w:t>patient</w:t>
      </w:r>
      <w:r w:rsidR="00F06DE6">
        <w:t xml:space="preserve"> population</w:t>
      </w:r>
      <w:r w:rsidR="00734887">
        <w:t xml:space="preserve"> </w:t>
      </w:r>
      <w:r w:rsidR="00F06DE6">
        <w:t>is</w:t>
      </w:r>
      <w:r w:rsidR="00734887" w:rsidRPr="00E773B1">
        <w:t xml:space="preserve"> clearly defined by the </w:t>
      </w:r>
      <w:r w:rsidRPr="00E773B1">
        <w:t>FISH test</w:t>
      </w:r>
      <w:r w:rsidR="00734887" w:rsidRPr="00E773B1">
        <w:t xml:space="preserve"> for del17p</w:t>
      </w:r>
      <w:r w:rsidRPr="00E773B1">
        <w:t>.</w:t>
      </w:r>
      <w:r w:rsidR="0023472F" w:rsidRPr="00E773B1">
        <w:t xml:space="preserve">  </w:t>
      </w:r>
      <w:r w:rsidR="00E0577D" w:rsidRPr="00E773B1">
        <w:rPr>
          <w:iCs/>
        </w:rPr>
        <w:t xml:space="preserve"> The </w:t>
      </w:r>
      <w:proofErr w:type="gramStart"/>
      <w:r w:rsidR="00E0577D" w:rsidRPr="00E773B1">
        <w:rPr>
          <w:iCs/>
        </w:rPr>
        <w:t>PSCR  argued</w:t>
      </w:r>
      <w:proofErr w:type="gramEnd"/>
      <w:r w:rsidR="00E0577D" w:rsidRPr="00E773B1">
        <w:rPr>
          <w:iCs/>
        </w:rPr>
        <w:t xml:space="preserve"> that the proposed Authority Required (</w:t>
      </w:r>
      <w:r w:rsidR="00B13E77">
        <w:rPr>
          <w:iCs/>
        </w:rPr>
        <w:t>W</w:t>
      </w:r>
      <w:r w:rsidR="00B13E77" w:rsidRPr="00E773B1">
        <w:rPr>
          <w:iCs/>
        </w:rPr>
        <w:t>ritten</w:t>
      </w:r>
      <w:r w:rsidR="00E0577D" w:rsidRPr="00E773B1">
        <w:rPr>
          <w:iCs/>
        </w:rPr>
        <w:t xml:space="preserve">) restriction for initial treatment provides an additional mechanism to ensure that the use of ibrutinib will be limited to the PBS-eligible population. </w:t>
      </w:r>
    </w:p>
    <w:p w:rsidR="003E6316" w:rsidRPr="00E773B1" w:rsidRDefault="00D35B27" w:rsidP="00B2597F">
      <w:pPr>
        <w:pStyle w:val="ListParagraph"/>
        <w:numPr>
          <w:ilvl w:val="1"/>
          <w:numId w:val="1"/>
        </w:numPr>
        <w:rPr>
          <w:iCs/>
        </w:rPr>
      </w:pPr>
      <w:r w:rsidRPr="00E773B1">
        <w:rPr>
          <w:iCs/>
        </w:rPr>
        <w:t xml:space="preserve">The </w:t>
      </w:r>
      <w:proofErr w:type="gramStart"/>
      <w:r w:rsidRPr="00E773B1">
        <w:rPr>
          <w:iCs/>
        </w:rPr>
        <w:t>PSCR  argued</w:t>
      </w:r>
      <w:proofErr w:type="gramEnd"/>
      <w:r w:rsidRPr="00E773B1">
        <w:rPr>
          <w:iCs/>
        </w:rPr>
        <w:t xml:space="preserve"> that the impact on second-line use of </w:t>
      </w:r>
      <w:r w:rsidR="005105E6" w:rsidRPr="00E773B1">
        <w:rPr>
          <w:iCs/>
        </w:rPr>
        <w:t>ibrutinib</w:t>
      </w:r>
      <w:r w:rsidRPr="00E773B1">
        <w:rPr>
          <w:iCs/>
        </w:rPr>
        <w:t xml:space="preserve"> in CLL/SLL (</w:t>
      </w:r>
      <w:r w:rsidR="005105E6" w:rsidRPr="00E773B1">
        <w:rPr>
          <w:iCs/>
        </w:rPr>
        <w:t>i.e.</w:t>
      </w:r>
      <w:r w:rsidRPr="00E773B1">
        <w:rPr>
          <w:iCs/>
        </w:rPr>
        <w:t xml:space="preserve"> a decrease in patients moving to second-line use of </w:t>
      </w:r>
      <w:r w:rsidR="005105E6" w:rsidRPr="00E773B1">
        <w:rPr>
          <w:iCs/>
        </w:rPr>
        <w:t>ibrutinib</w:t>
      </w:r>
      <w:r w:rsidRPr="00E773B1">
        <w:rPr>
          <w:iCs/>
        </w:rPr>
        <w:t xml:space="preserve">), is already estimated in the submission’s financial implications and accounted for. Therefore, no change is required to the existing RSA for second-line CLL patients. </w:t>
      </w:r>
      <w:r w:rsidR="003F254F" w:rsidRPr="00E773B1">
        <w:rPr>
          <w:iCs/>
        </w:rPr>
        <w:t>The ESC noted that the cost-effectiveness of ibrutinib in the first-line treatment of del17p patients relied on cost-offs</w:t>
      </w:r>
      <w:r w:rsidR="000A2769" w:rsidRPr="00E773B1">
        <w:rPr>
          <w:iCs/>
        </w:rPr>
        <w:t>ets</w:t>
      </w:r>
      <w:r w:rsidR="003F254F" w:rsidRPr="00E773B1">
        <w:rPr>
          <w:iCs/>
        </w:rPr>
        <w:t xml:space="preserve"> for ibrutinib and venetoclax as second and third line tr</w:t>
      </w:r>
      <w:r w:rsidR="00E1285D" w:rsidRPr="00E773B1">
        <w:rPr>
          <w:iCs/>
        </w:rPr>
        <w:t>e</w:t>
      </w:r>
      <w:r w:rsidR="003F254F" w:rsidRPr="00E773B1">
        <w:rPr>
          <w:iCs/>
        </w:rPr>
        <w:t>atments</w:t>
      </w:r>
      <w:r w:rsidR="003E6316" w:rsidRPr="00E773B1">
        <w:rPr>
          <w:iCs/>
        </w:rPr>
        <w:t>,</w:t>
      </w:r>
      <w:r w:rsidR="003F254F" w:rsidRPr="00E773B1">
        <w:rPr>
          <w:iCs/>
        </w:rPr>
        <w:t xml:space="preserve"> and for these cost-offsets to be realised the caps for the current RSA for ibrutinib and venetoclax for the treatment of R/R CLL</w:t>
      </w:r>
      <w:r w:rsidR="00E1285D" w:rsidRPr="00E773B1">
        <w:rPr>
          <w:iCs/>
        </w:rPr>
        <w:t>/SLL</w:t>
      </w:r>
      <w:r w:rsidR="003F254F" w:rsidRPr="00E773B1">
        <w:rPr>
          <w:iCs/>
        </w:rPr>
        <w:t xml:space="preserve"> would need to be reduced</w:t>
      </w:r>
      <w:r w:rsidR="00E1285D" w:rsidRPr="00E773B1">
        <w:rPr>
          <w:iCs/>
        </w:rPr>
        <w:t xml:space="preserve">. The </w:t>
      </w:r>
      <w:r w:rsidR="00CC580D">
        <w:rPr>
          <w:iCs/>
        </w:rPr>
        <w:t xml:space="preserve">PBAC agreed with the </w:t>
      </w:r>
      <w:r w:rsidR="00E1285D" w:rsidRPr="00E773B1">
        <w:rPr>
          <w:iCs/>
        </w:rPr>
        <w:t xml:space="preserve">ESC </w:t>
      </w:r>
      <w:r w:rsidR="003F254F" w:rsidRPr="00E773B1">
        <w:rPr>
          <w:iCs/>
        </w:rPr>
        <w:t xml:space="preserve">that a combined RSA across the first-line and R/R settings may be appropriate. </w:t>
      </w:r>
    </w:p>
    <w:p w:rsidR="00DC576B" w:rsidRPr="00E773B1" w:rsidRDefault="00300317" w:rsidP="00B2597F">
      <w:pPr>
        <w:pStyle w:val="ListParagraph"/>
        <w:numPr>
          <w:ilvl w:val="1"/>
          <w:numId w:val="1"/>
        </w:numPr>
        <w:rPr>
          <w:iCs/>
        </w:rPr>
      </w:pPr>
      <w:r w:rsidRPr="00E773B1">
        <w:t xml:space="preserve">The </w:t>
      </w:r>
      <w:r w:rsidR="009B32B0" w:rsidRPr="00E773B1">
        <w:t>re</w:t>
      </w:r>
      <w:r w:rsidRPr="00E773B1">
        <w:t>submission stated the cost-effective price of ibrutinib for use in R/R CLL is managed through a</w:t>
      </w:r>
      <w:r w:rsidR="00B13E77">
        <w:t>n</w:t>
      </w:r>
      <w:r w:rsidRPr="00E773B1">
        <w:t xml:space="preserve"> RSA. </w:t>
      </w:r>
      <w:r w:rsidRPr="005E419A">
        <w:t>It was noted that the cost-effective price below the</w:t>
      </w:r>
      <w:r w:rsidRPr="00CB1F1E">
        <w:t xml:space="preserve"> first cap </w:t>
      </w:r>
      <w:r w:rsidRPr="005E419A">
        <w:t>was $</w:t>
      </w:r>
      <w:r w:rsidR="007E3667">
        <w:rPr>
          <w:noProof/>
          <w:color w:val="000000"/>
          <w:highlight w:val="black"/>
        </w:rPr>
        <w:t xml:space="preserve">'''''''''''''' </w:t>
      </w:r>
      <w:r w:rsidRPr="005E419A">
        <w:t>ex-factory per month and was based on</w:t>
      </w:r>
      <w:r w:rsidR="007E3667">
        <w:rPr>
          <w:noProof/>
          <w:color w:val="000000"/>
          <w:highlight w:val="black"/>
        </w:rPr>
        <w:t xml:space="preserve"> ''''''' ''''''''''''''''' ''''''''''''''''''''''' </w:t>
      </w:r>
      <w:r w:rsidRPr="005E419A">
        <w:t>which included</w:t>
      </w:r>
      <w:r w:rsidR="007E3667">
        <w:rPr>
          <w:noProof/>
          <w:color w:val="000000"/>
          <w:highlight w:val="black"/>
        </w:rPr>
        <w:t xml:space="preserve"> '''''''''''''''' ''''''' '''''''''''''''' '''''' ''''''''' ''''' ''''''''' '''''''''''''''''' '''''''' ''''''''''''''' '''''''''' </w:t>
      </w:r>
      <w:r w:rsidRPr="005E419A">
        <w:t xml:space="preserve">Therefore, the submission considered this price relevant to use as the </w:t>
      </w:r>
      <w:r w:rsidR="007E3667">
        <w:rPr>
          <w:noProof/>
          <w:color w:val="000000"/>
          <w:highlight w:val="black"/>
        </w:rPr>
        <w:t xml:space="preserve">''''''''''''''' '''''''' ''''''''' </w:t>
      </w:r>
      <w:r w:rsidRPr="00E34896">
        <w:t xml:space="preserve">of ibrutinib in the </w:t>
      </w:r>
      <w:r w:rsidR="007E3667">
        <w:rPr>
          <w:noProof/>
          <w:color w:val="000000"/>
          <w:highlight w:val="black"/>
        </w:rPr>
        <w:t xml:space="preserve">'''''''''''''''''''' '''''''' </w:t>
      </w:r>
      <w:r w:rsidRPr="00E34896">
        <w:t xml:space="preserve">of the model. </w:t>
      </w:r>
      <w:r w:rsidR="003E6316" w:rsidRPr="00E34896">
        <w:rPr>
          <w:iCs/>
        </w:rPr>
        <w:t xml:space="preserve">The ESC noted advice from the Department that the RSA for ibrutinib </w:t>
      </w:r>
      <w:r w:rsidRPr="00E34896">
        <w:rPr>
          <w:iCs/>
        </w:rPr>
        <w:t>(</w:t>
      </w:r>
      <w:r w:rsidR="003E6316" w:rsidRPr="00E34896">
        <w:rPr>
          <w:iCs/>
        </w:rPr>
        <w:t xml:space="preserve">and </w:t>
      </w:r>
      <w:r w:rsidRPr="00E34896">
        <w:rPr>
          <w:iCs/>
        </w:rPr>
        <w:t xml:space="preserve">now </w:t>
      </w:r>
      <w:r w:rsidR="003E6316" w:rsidRPr="00E34896">
        <w:rPr>
          <w:iCs/>
        </w:rPr>
        <w:t>venetoclax</w:t>
      </w:r>
      <w:r w:rsidRPr="00E34896">
        <w:rPr>
          <w:iCs/>
        </w:rPr>
        <w:t>)</w:t>
      </w:r>
      <w:r w:rsidR="003E6316" w:rsidRPr="00E34896">
        <w:rPr>
          <w:iCs/>
        </w:rPr>
        <w:t xml:space="preserve"> for R/R CLL includes financials caps which were based on</w:t>
      </w:r>
      <w:r w:rsidR="007E3667">
        <w:rPr>
          <w:iCs/>
          <w:noProof/>
          <w:color w:val="000000"/>
          <w:highlight w:val="black"/>
        </w:rPr>
        <w:t xml:space="preserve"> ''''''''''' ''''''''' '''''''''''''''' '''''''''''' </w:t>
      </w:r>
      <w:r w:rsidR="003E6316" w:rsidRPr="00E34896">
        <w:rPr>
          <w:iCs/>
        </w:rPr>
        <w:t xml:space="preserve">with the aim being </w:t>
      </w:r>
      <w:r w:rsidR="003E6316" w:rsidRPr="00E34896">
        <w:rPr>
          <w:iCs/>
        </w:rPr>
        <w:lastRenderedPageBreak/>
        <w:t>t</w:t>
      </w:r>
      <w:r w:rsidR="009B32B0" w:rsidRPr="00E34896">
        <w:rPr>
          <w:iCs/>
        </w:rPr>
        <w:t>o</w:t>
      </w:r>
      <w:r w:rsidR="007E3667">
        <w:rPr>
          <w:iCs/>
          <w:noProof/>
          <w:color w:val="000000"/>
          <w:highlight w:val="black"/>
        </w:rPr>
        <w:t xml:space="preserve"> '''''''''''''' '''''' ''''''''''''''' ''''''''' '''' ''' '''''''''' ''''''''''''''''''''''' ''''''''''''''''''''''''''' ''''' ''''''' ''''''''''' </w:t>
      </w:r>
      <w:r w:rsidR="003E6316" w:rsidRPr="003B490E">
        <w:rPr>
          <w:iCs/>
        </w:rPr>
        <w:t xml:space="preserve">Specifically, the estimates were </w:t>
      </w:r>
      <w:r w:rsidR="007E3667">
        <w:rPr>
          <w:iCs/>
          <w:noProof/>
          <w:color w:val="000000"/>
          <w:highlight w:val="black"/>
        </w:rPr>
        <w:t xml:space="preserve">'''''''''''''''' ''''' ''''''''''''' ''''''''' '''''''''''''' ''''''''''''' '''' ''''''''''''''''' '''''''' ''''''' '''''''''''''''' </w:t>
      </w:r>
      <w:r w:rsidRPr="003B490E">
        <w:rPr>
          <w:iCs/>
        </w:rPr>
        <w:t>should be considered when determining the average price for ibrutinib and venetoclax for the treatment of R/R CLL</w:t>
      </w:r>
      <w:r w:rsidRPr="00E773B1">
        <w:rPr>
          <w:iCs/>
        </w:rPr>
        <w:t xml:space="preserve">. The average price for ibrutinib is calculated in </w:t>
      </w:r>
      <w:r w:rsidR="00BE0101" w:rsidRPr="00E773B1">
        <w:rPr>
          <w:iCs/>
        </w:rPr>
        <w:t>Table 21</w:t>
      </w:r>
      <w:r w:rsidRPr="00E773B1">
        <w:rPr>
          <w:iCs/>
        </w:rPr>
        <w:t>.</w:t>
      </w:r>
      <w:r w:rsidR="00D35B27" w:rsidRPr="00E773B1">
        <w:rPr>
          <w:iCs/>
        </w:rPr>
        <w:t xml:space="preserve"> </w:t>
      </w:r>
      <w:r w:rsidR="00A91357" w:rsidRPr="00E773B1">
        <w:rPr>
          <w:iCs/>
        </w:rPr>
        <w:t xml:space="preserve"> </w:t>
      </w:r>
    </w:p>
    <w:p w:rsidR="00CB5A03" w:rsidRDefault="00E06E8A" w:rsidP="00AD50B2">
      <w:pPr>
        <w:keepNext/>
        <w:rPr>
          <w:rFonts w:ascii="Arial Narrow" w:hAnsi="Arial Narrow"/>
          <w:b/>
          <w:sz w:val="20"/>
          <w:szCs w:val="20"/>
        </w:rPr>
      </w:pPr>
      <w:r w:rsidRPr="00401364">
        <w:rPr>
          <w:rFonts w:ascii="Arial Narrow" w:hAnsi="Arial Narrow"/>
          <w:b/>
          <w:sz w:val="20"/>
          <w:szCs w:val="20"/>
        </w:rPr>
        <w:t xml:space="preserve">Table </w:t>
      </w:r>
      <w:r w:rsidR="00DC32F2">
        <w:rPr>
          <w:rFonts w:ascii="Arial Narrow" w:hAnsi="Arial Narrow"/>
          <w:b/>
          <w:sz w:val="20"/>
          <w:szCs w:val="20"/>
        </w:rPr>
        <w:t>2</w:t>
      </w:r>
      <w:r w:rsidR="00B9191D">
        <w:rPr>
          <w:rFonts w:ascii="Arial Narrow" w:hAnsi="Arial Narrow"/>
          <w:b/>
          <w:sz w:val="20"/>
          <w:szCs w:val="20"/>
        </w:rPr>
        <w:t>1</w:t>
      </w:r>
      <w:r w:rsidRPr="001222FC">
        <w:rPr>
          <w:rStyle w:val="CommentReference"/>
        </w:rPr>
        <w:t xml:space="preserve">: </w:t>
      </w:r>
      <w:r w:rsidR="004326AC">
        <w:rPr>
          <w:rFonts w:ascii="Arial Narrow" w:hAnsi="Arial Narrow"/>
          <w:b/>
          <w:sz w:val="20"/>
          <w:szCs w:val="20"/>
        </w:rPr>
        <w:t>E</w:t>
      </w:r>
      <w:r w:rsidR="007E4854">
        <w:rPr>
          <w:rFonts w:ascii="Arial Narrow" w:hAnsi="Arial Narrow"/>
          <w:b/>
          <w:sz w:val="20"/>
          <w:szCs w:val="20"/>
        </w:rPr>
        <w:t>ffective</w:t>
      </w:r>
      <w:r w:rsidR="004326AC">
        <w:rPr>
          <w:rFonts w:ascii="Arial Narrow" w:hAnsi="Arial Narrow"/>
          <w:b/>
          <w:sz w:val="20"/>
          <w:szCs w:val="20"/>
        </w:rPr>
        <w:t xml:space="preserve"> and average</w:t>
      </w:r>
      <w:r w:rsidR="007E4854">
        <w:rPr>
          <w:rFonts w:ascii="Arial Narrow" w:hAnsi="Arial Narrow"/>
          <w:b/>
          <w:sz w:val="20"/>
          <w:szCs w:val="20"/>
        </w:rPr>
        <w:t xml:space="preserve"> AEMPs for ibrutinib use in R/R CLL/SLL</w:t>
      </w:r>
    </w:p>
    <w:tbl>
      <w:tblPr>
        <w:tblStyle w:val="TableGrid"/>
        <w:tblW w:w="5000" w:type="pct"/>
        <w:tblCellMar>
          <w:left w:w="28" w:type="dxa"/>
          <w:right w:w="28" w:type="dxa"/>
        </w:tblCellMar>
        <w:tblLook w:val="04A0" w:firstRow="1" w:lastRow="0" w:firstColumn="1" w:lastColumn="0" w:noHBand="0" w:noVBand="1"/>
        <w:tblCaption w:val="Table 21: Effective and average AEMPs for ibrutinib use in R/R CLL/SLL"/>
      </w:tblPr>
      <w:tblGrid>
        <w:gridCol w:w="5388"/>
        <w:gridCol w:w="1874"/>
        <w:gridCol w:w="1755"/>
      </w:tblGrid>
      <w:tr w:rsidR="00196D5F" w:rsidRPr="00861A59" w:rsidTr="000D333E">
        <w:trPr>
          <w:tblHeader/>
        </w:trPr>
        <w:tc>
          <w:tcPr>
            <w:tcW w:w="2988" w:type="pct"/>
            <w:vAlign w:val="center"/>
          </w:tcPr>
          <w:p w:rsidR="00196D5F" w:rsidRPr="00861A59" w:rsidRDefault="00196D5F" w:rsidP="00AD50B2">
            <w:pPr>
              <w:keepNext/>
              <w:jc w:val="left"/>
              <w:rPr>
                <w:rFonts w:ascii="Arial Narrow" w:hAnsi="Arial Narrow"/>
                <w:b/>
                <w:bCs/>
                <w:sz w:val="20"/>
                <w:szCs w:val="20"/>
              </w:rPr>
            </w:pPr>
          </w:p>
        </w:tc>
        <w:tc>
          <w:tcPr>
            <w:tcW w:w="1039" w:type="pct"/>
          </w:tcPr>
          <w:p w:rsidR="00196D5F" w:rsidRDefault="00196D5F" w:rsidP="00AD50B2">
            <w:pPr>
              <w:keepNext/>
              <w:jc w:val="center"/>
              <w:rPr>
                <w:rFonts w:ascii="Arial Narrow" w:hAnsi="Arial Narrow" w:cs="Calibri"/>
                <w:b/>
                <w:bCs/>
                <w:sz w:val="20"/>
                <w:szCs w:val="20"/>
              </w:rPr>
            </w:pPr>
            <w:r>
              <w:rPr>
                <w:rFonts w:ascii="Arial Narrow" w:hAnsi="Arial Narrow" w:cs="Calibri"/>
                <w:b/>
                <w:bCs/>
                <w:sz w:val="20"/>
                <w:szCs w:val="20"/>
              </w:rPr>
              <w:t>Proportion of cap</w:t>
            </w:r>
          </w:p>
        </w:tc>
        <w:tc>
          <w:tcPr>
            <w:tcW w:w="973" w:type="pct"/>
            <w:vAlign w:val="center"/>
          </w:tcPr>
          <w:p w:rsidR="00196D5F" w:rsidRPr="00861A59" w:rsidRDefault="00196D5F" w:rsidP="00AD50B2">
            <w:pPr>
              <w:keepNext/>
              <w:jc w:val="center"/>
              <w:rPr>
                <w:rFonts w:ascii="Arial Narrow" w:hAnsi="Arial Narrow"/>
                <w:b/>
                <w:bCs/>
                <w:sz w:val="20"/>
                <w:szCs w:val="20"/>
              </w:rPr>
            </w:pPr>
            <w:r>
              <w:rPr>
                <w:rFonts w:ascii="Arial Narrow" w:hAnsi="Arial Narrow" w:cs="Calibri"/>
                <w:b/>
                <w:bCs/>
                <w:sz w:val="20"/>
                <w:szCs w:val="20"/>
              </w:rPr>
              <w:t>Effective AEMP</w:t>
            </w:r>
          </w:p>
        </w:tc>
      </w:tr>
      <w:tr w:rsidR="00196D5F" w:rsidRPr="00861A59" w:rsidTr="000D333E">
        <w:tc>
          <w:tcPr>
            <w:tcW w:w="2988" w:type="pct"/>
            <w:vAlign w:val="center"/>
          </w:tcPr>
          <w:p w:rsidR="00196D5F" w:rsidRPr="00861A59" w:rsidRDefault="00196D5F" w:rsidP="00AD50B2">
            <w:pPr>
              <w:keepNext/>
              <w:jc w:val="left"/>
              <w:rPr>
                <w:rFonts w:ascii="Arial Narrow" w:hAnsi="Arial Narrow"/>
                <w:sz w:val="20"/>
                <w:szCs w:val="20"/>
              </w:rPr>
            </w:pPr>
            <w:r>
              <w:rPr>
                <w:rFonts w:ascii="Arial Narrow" w:hAnsi="Arial Narrow" w:cs="Calibri"/>
                <w:sz w:val="20"/>
                <w:szCs w:val="20"/>
              </w:rPr>
              <w:t>SC1: Subsidisation cap 1 (high need group)</w:t>
            </w:r>
          </w:p>
        </w:tc>
        <w:tc>
          <w:tcPr>
            <w:tcW w:w="1039" w:type="pct"/>
            <w:vAlign w:val="center"/>
          </w:tcPr>
          <w:p w:rsidR="00196D5F" w:rsidRDefault="007E3667" w:rsidP="00196D5F">
            <w:pPr>
              <w:keepNext/>
              <w:jc w:val="center"/>
              <w:rPr>
                <w:rFonts w:ascii="Arial Narrow" w:hAnsi="Arial Narrow" w:cs="Calibri"/>
                <w:sz w:val="20"/>
                <w:szCs w:val="20"/>
              </w:rPr>
            </w:pPr>
            <w:r>
              <w:rPr>
                <w:rFonts w:ascii="Arial Narrow" w:hAnsi="Arial Narrow" w:cs="Calibri"/>
                <w:noProof/>
                <w:color w:val="000000"/>
                <w:sz w:val="20"/>
                <w:szCs w:val="20"/>
                <w:highlight w:val="black"/>
              </w:rPr>
              <w:t>''''''</w:t>
            </w:r>
            <w:r w:rsidR="00196D5F">
              <w:rPr>
                <w:rFonts w:ascii="Arial Narrow" w:hAnsi="Arial Narrow" w:cs="Calibri"/>
                <w:sz w:val="20"/>
                <w:szCs w:val="20"/>
              </w:rPr>
              <w:t>%</w:t>
            </w:r>
          </w:p>
        </w:tc>
        <w:tc>
          <w:tcPr>
            <w:tcW w:w="973" w:type="pct"/>
            <w:vAlign w:val="center"/>
          </w:tcPr>
          <w:p w:rsidR="00196D5F" w:rsidRPr="007E3667" w:rsidRDefault="007E3667" w:rsidP="00196D5F">
            <w:pPr>
              <w:keepNext/>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r>
      <w:tr w:rsidR="00196D5F" w:rsidRPr="00861A59" w:rsidTr="000D333E">
        <w:tc>
          <w:tcPr>
            <w:tcW w:w="2988" w:type="pct"/>
            <w:tcBorders>
              <w:bottom w:val="single" w:sz="4" w:space="0" w:color="auto"/>
            </w:tcBorders>
            <w:vAlign w:val="center"/>
          </w:tcPr>
          <w:p w:rsidR="00196D5F" w:rsidRPr="00861A59" w:rsidRDefault="00196D5F" w:rsidP="00AD50B2">
            <w:pPr>
              <w:keepNext/>
              <w:jc w:val="left"/>
              <w:rPr>
                <w:rFonts w:ascii="Arial Narrow" w:hAnsi="Arial Narrow"/>
                <w:sz w:val="20"/>
                <w:szCs w:val="20"/>
              </w:rPr>
            </w:pPr>
            <w:r w:rsidRPr="00222CDF">
              <w:rPr>
                <w:rFonts w:ascii="Arial Narrow" w:hAnsi="Arial Narrow" w:cs="Calibri"/>
                <w:sz w:val="20"/>
                <w:szCs w:val="20"/>
              </w:rPr>
              <w:t>SC2: Subsidisation cap 2</w:t>
            </w:r>
          </w:p>
        </w:tc>
        <w:tc>
          <w:tcPr>
            <w:tcW w:w="1039" w:type="pct"/>
            <w:tcBorders>
              <w:bottom w:val="single" w:sz="4" w:space="0" w:color="auto"/>
            </w:tcBorders>
            <w:vAlign w:val="center"/>
          </w:tcPr>
          <w:p w:rsidR="00196D5F" w:rsidRDefault="007E3667" w:rsidP="00196D5F">
            <w:pPr>
              <w:keepNext/>
              <w:jc w:val="center"/>
              <w:rPr>
                <w:rFonts w:ascii="Arial Narrow" w:hAnsi="Arial Narrow" w:cs="Calibri"/>
                <w:sz w:val="20"/>
                <w:szCs w:val="20"/>
              </w:rPr>
            </w:pPr>
            <w:r>
              <w:rPr>
                <w:rFonts w:ascii="Arial Narrow" w:hAnsi="Arial Narrow" w:cs="Calibri"/>
                <w:noProof/>
                <w:color w:val="000000"/>
                <w:sz w:val="20"/>
                <w:szCs w:val="20"/>
                <w:highlight w:val="black"/>
              </w:rPr>
              <w:t>''''''</w:t>
            </w:r>
            <w:r w:rsidR="00196D5F">
              <w:rPr>
                <w:rFonts w:ascii="Arial Narrow" w:hAnsi="Arial Narrow" w:cs="Calibri"/>
                <w:sz w:val="20"/>
                <w:szCs w:val="20"/>
              </w:rPr>
              <w:t>%</w:t>
            </w:r>
          </w:p>
        </w:tc>
        <w:tc>
          <w:tcPr>
            <w:tcW w:w="973" w:type="pct"/>
            <w:tcBorders>
              <w:bottom w:val="single" w:sz="4" w:space="0" w:color="auto"/>
            </w:tcBorders>
            <w:vAlign w:val="center"/>
          </w:tcPr>
          <w:p w:rsidR="00196D5F" w:rsidRPr="007E3667" w:rsidRDefault="007E3667" w:rsidP="00196D5F">
            <w:pPr>
              <w:keepNext/>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r>
      <w:tr w:rsidR="00196D5F" w:rsidRPr="00861A59" w:rsidTr="000D333E">
        <w:tc>
          <w:tcPr>
            <w:tcW w:w="2988" w:type="pct"/>
            <w:tcBorders>
              <w:bottom w:val="single" w:sz="4" w:space="0" w:color="auto"/>
            </w:tcBorders>
            <w:vAlign w:val="center"/>
          </w:tcPr>
          <w:p w:rsidR="00196D5F" w:rsidRDefault="00196D5F" w:rsidP="00AD50B2">
            <w:pPr>
              <w:keepNext/>
              <w:jc w:val="left"/>
              <w:rPr>
                <w:rFonts w:ascii="Arial Narrow" w:hAnsi="Arial Narrow" w:cs="Calibri"/>
                <w:sz w:val="20"/>
                <w:szCs w:val="20"/>
              </w:rPr>
            </w:pPr>
            <w:r>
              <w:rPr>
                <w:rFonts w:ascii="Arial Narrow" w:hAnsi="Arial Narrow" w:cs="Calibri"/>
                <w:sz w:val="20"/>
                <w:szCs w:val="20"/>
              </w:rPr>
              <w:t>Average price</w:t>
            </w:r>
          </w:p>
        </w:tc>
        <w:tc>
          <w:tcPr>
            <w:tcW w:w="1039" w:type="pct"/>
            <w:tcBorders>
              <w:bottom w:val="single" w:sz="4" w:space="0" w:color="auto"/>
            </w:tcBorders>
          </w:tcPr>
          <w:p w:rsidR="00196D5F" w:rsidRDefault="00196D5F" w:rsidP="00AD50B2">
            <w:pPr>
              <w:keepNext/>
              <w:jc w:val="center"/>
              <w:rPr>
                <w:rFonts w:ascii="Arial Narrow" w:hAnsi="Arial Narrow" w:cs="Calibri"/>
                <w:sz w:val="20"/>
                <w:szCs w:val="20"/>
              </w:rPr>
            </w:pPr>
          </w:p>
        </w:tc>
        <w:tc>
          <w:tcPr>
            <w:tcW w:w="973" w:type="pct"/>
            <w:tcBorders>
              <w:bottom w:val="single" w:sz="4" w:space="0" w:color="auto"/>
            </w:tcBorders>
            <w:vAlign w:val="center"/>
          </w:tcPr>
          <w:p w:rsidR="00196D5F" w:rsidRPr="007E3667" w:rsidRDefault="007E3667" w:rsidP="00AD50B2">
            <w:pPr>
              <w:keepNext/>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r>
      <w:tr w:rsidR="00196D5F" w:rsidRPr="00861A59" w:rsidTr="000D333E">
        <w:tc>
          <w:tcPr>
            <w:tcW w:w="2988" w:type="pct"/>
            <w:tcBorders>
              <w:bottom w:val="single" w:sz="4" w:space="0" w:color="auto"/>
            </w:tcBorders>
            <w:vAlign w:val="center"/>
          </w:tcPr>
          <w:p w:rsidR="00196D5F" w:rsidRDefault="00196D5F" w:rsidP="00196D5F">
            <w:pPr>
              <w:keepNext/>
              <w:jc w:val="left"/>
              <w:rPr>
                <w:rFonts w:ascii="Arial Narrow" w:hAnsi="Arial Narrow" w:cs="Calibri"/>
                <w:sz w:val="20"/>
                <w:szCs w:val="20"/>
              </w:rPr>
            </w:pPr>
            <w:r>
              <w:rPr>
                <w:rFonts w:ascii="Arial Narrow" w:hAnsi="Arial Narrow" w:cs="Calibri"/>
                <w:sz w:val="20"/>
                <w:szCs w:val="20"/>
              </w:rPr>
              <w:t xml:space="preserve">Average price including </w:t>
            </w:r>
            <w:r w:rsidR="007E3667">
              <w:rPr>
                <w:rFonts w:ascii="Arial Narrow" w:hAnsi="Arial Narrow" w:cs="Calibri"/>
                <w:noProof/>
                <w:color w:val="000000"/>
                <w:sz w:val="20"/>
                <w:szCs w:val="20"/>
                <w:highlight w:val="black"/>
              </w:rPr>
              <w:t>''''''''''</w:t>
            </w:r>
            <w:r>
              <w:rPr>
                <w:rFonts w:ascii="Arial Narrow" w:hAnsi="Arial Narrow" w:cs="Calibri"/>
                <w:sz w:val="20"/>
                <w:szCs w:val="20"/>
              </w:rPr>
              <w:t>% reduction in financial caps</w:t>
            </w:r>
          </w:p>
        </w:tc>
        <w:tc>
          <w:tcPr>
            <w:tcW w:w="1039" w:type="pct"/>
            <w:tcBorders>
              <w:bottom w:val="single" w:sz="4" w:space="0" w:color="auto"/>
            </w:tcBorders>
          </w:tcPr>
          <w:p w:rsidR="00196D5F" w:rsidRDefault="00196D5F" w:rsidP="00AD50B2">
            <w:pPr>
              <w:keepNext/>
              <w:jc w:val="center"/>
              <w:rPr>
                <w:rFonts w:ascii="Arial Narrow" w:hAnsi="Arial Narrow" w:cs="Calibri"/>
                <w:sz w:val="20"/>
                <w:szCs w:val="20"/>
              </w:rPr>
            </w:pPr>
          </w:p>
        </w:tc>
        <w:tc>
          <w:tcPr>
            <w:tcW w:w="973" w:type="pct"/>
            <w:tcBorders>
              <w:bottom w:val="single" w:sz="4" w:space="0" w:color="auto"/>
            </w:tcBorders>
            <w:vAlign w:val="center"/>
          </w:tcPr>
          <w:p w:rsidR="00196D5F" w:rsidRPr="007E3667" w:rsidRDefault="007E3667" w:rsidP="00AD50B2">
            <w:pPr>
              <w:keepNext/>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r>
    </w:tbl>
    <w:p w:rsidR="00E06E8A" w:rsidRDefault="00E06E8A" w:rsidP="00E06E8A">
      <w:pPr>
        <w:pStyle w:val="TableFooter"/>
      </w:pPr>
      <w:r>
        <w:t>AEMP=approved ex-manufacturer price</w:t>
      </w:r>
    </w:p>
    <w:p w:rsidR="00E06E8A" w:rsidRDefault="00E06E8A" w:rsidP="00E06E8A">
      <w:pPr>
        <w:pStyle w:val="TableFooter"/>
      </w:pPr>
      <w:r>
        <w:t>Source:  Cap proposal for ibrutinib from sponsor in January 2017</w:t>
      </w:r>
    </w:p>
    <w:p w:rsidR="006B47F9" w:rsidRDefault="006B47F9" w:rsidP="008A3C3E">
      <w:pPr>
        <w:jc w:val="center"/>
        <w:rPr>
          <w:b/>
          <w:u w:val="single"/>
        </w:rPr>
      </w:pPr>
    </w:p>
    <w:p w:rsidR="00DE20FA" w:rsidRPr="002F48C7" w:rsidRDefault="00DE20FA" w:rsidP="00B2597F">
      <w:pPr>
        <w:pStyle w:val="ListParagraph"/>
        <w:numPr>
          <w:ilvl w:val="1"/>
          <w:numId w:val="1"/>
        </w:numPr>
        <w:rPr>
          <w:iCs/>
        </w:rPr>
      </w:pPr>
      <w:r w:rsidRPr="009F515C">
        <w:rPr>
          <w:iCs/>
        </w:rPr>
        <w:t xml:space="preserve">The </w:t>
      </w:r>
      <w:r>
        <w:rPr>
          <w:iCs/>
        </w:rPr>
        <w:t xml:space="preserve">PBAC </w:t>
      </w:r>
      <w:r w:rsidRPr="009F515C">
        <w:rPr>
          <w:iCs/>
        </w:rPr>
        <w:t xml:space="preserve">noted </w:t>
      </w:r>
      <w:r>
        <w:rPr>
          <w:iCs/>
        </w:rPr>
        <w:t xml:space="preserve">the ibrutinib average price including </w:t>
      </w:r>
      <w:r w:rsidR="007E3667">
        <w:rPr>
          <w:iCs/>
          <w:noProof/>
          <w:color w:val="000000"/>
          <w:highlight w:val="black"/>
        </w:rPr>
        <w:t>''''''''</w:t>
      </w:r>
      <w:r>
        <w:rPr>
          <w:iCs/>
        </w:rPr>
        <w:t xml:space="preserve">% reduction in financial caps specified in Table 21 is derived </w:t>
      </w:r>
      <w:r w:rsidR="007E3667">
        <w:rPr>
          <w:iCs/>
          <w:noProof/>
          <w:color w:val="000000"/>
          <w:highlight w:val="black"/>
        </w:rPr>
        <w:t>''''''''' ''''''''' '''''' ''''''''' ''''''''' ''''''''''''''''''''''''' '''''' '''' ''''''' ''''''''''''''''''' ''''''' ''''''''''''''''''''''''' ''''''''''' '''''''''''''''''''''' ''' '''''' ''''''' ''''''''''''''</w:t>
      </w:r>
      <w:r w:rsidR="004004D4">
        <w:rPr>
          <w:iCs/>
        </w:rPr>
        <w:t>. As per paragraph 6.46</w:t>
      </w:r>
      <w:r>
        <w:rPr>
          <w:iCs/>
        </w:rPr>
        <w:t xml:space="preserve">, the PBAC considered that </w:t>
      </w:r>
      <w:r w:rsidR="0019316E">
        <w:rPr>
          <w:iCs/>
        </w:rPr>
        <w:t xml:space="preserve">the average price for </w:t>
      </w:r>
      <w:r>
        <w:rPr>
          <w:iCs/>
        </w:rPr>
        <w:t xml:space="preserve">ibrutinib and venetoclax for R/R CLL/SLL </w:t>
      </w:r>
      <w:r w:rsidR="0019316E">
        <w:rPr>
          <w:iCs/>
        </w:rPr>
        <w:t xml:space="preserve">should be based on a </w:t>
      </w:r>
      <w:r w:rsidR="007E3667">
        <w:rPr>
          <w:iCs/>
          <w:noProof/>
          <w:color w:val="000000"/>
          <w:highlight w:val="black"/>
        </w:rPr>
        <w:t>'''''''''</w:t>
      </w:r>
      <w:r w:rsidR="0019316E">
        <w:rPr>
          <w:iCs/>
        </w:rPr>
        <w:t xml:space="preserve">% reduction applied to the </w:t>
      </w:r>
      <w:r w:rsidR="007E3667">
        <w:rPr>
          <w:iCs/>
          <w:noProof/>
          <w:color w:val="000000"/>
          <w:highlight w:val="black"/>
        </w:rPr>
        <w:t>''''''''' ''''''''' '''''''''''''''''''''''''''' '''''''''' ''''''''''''''''''''' ''''''''</w:t>
      </w:r>
      <w:r w:rsidR="006A4431">
        <w:rPr>
          <w:iCs/>
        </w:rPr>
        <w:t>,</w:t>
      </w:r>
      <w:r w:rsidR="0019316E">
        <w:rPr>
          <w:iCs/>
        </w:rPr>
        <w:t xml:space="preserve"> leading to an AEMP $</w:t>
      </w:r>
      <w:r w:rsidR="007E3667">
        <w:rPr>
          <w:iCs/>
          <w:noProof/>
          <w:color w:val="000000"/>
          <w:highlight w:val="black"/>
        </w:rPr>
        <w:t>''''''''''</w:t>
      </w:r>
      <w:r w:rsidR="0019316E">
        <w:rPr>
          <w:iCs/>
        </w:rPr>
        <w:t xml:space="preserve"> and DPMQ $</w:t>
      </w:r>
      <w:r w:rsidR="007E3667">
        <w:rPr>
          <w:iCs/>
          <w:noProof/>
          <w:color w:val="000000"/>
          <w:highlight w:val="black"/>
        </w:rPr>
        <w:t>''''''''''</w:t>
      </w:r>
      <w:r>
        <w:rPr>
          <w:iCs/>
        </w:rPr>
        <w:t>.</w:t>
      </w:r>
    </w:p>
    <w:p w:rsidR="00D64154" w:rsidRDefault="00300317" w:rsidP="00B2597F">
      <w:pPr>
        <w:pStyle w:val="ListParagraph"/>
        <w:numPr>
          <w:ilvl w:val="1"/>
          <w:numId w:val="1"/>
        </w:numPr>
        <w:rPr>
          <w:iCs/>
        </w:rPr>
      </w:pPr>
      <w:r w:rsidRPr="00E773B1">
        <w:rPr>
          <w:iCs/>
        </w:rPr>
        <w:t xml:space="preserve">The ESC noted </w:t>
      </w:r>
      <w:r w:rsidR="00DA18EF" w:rsidRPr="00E773B1">
        <w:rPr>
          <w:iCs/>
        </w:rPr>
        <w:t xml:space="preserve">the average price </w:t>
      </w:r>
      <w:r w:rsidR="001169A2" w:rsidRPr="00E773B1">
        <w:rPr>
          <w:iCs/>
        </w:rPr>
        <w:t xml:space="preserve">for ibrutinib and venetoclax for R/R CLL </w:t>
      </w:r>
      <w:r w:rsidR="00DA18EF" w:rsidRPr="00E773B1">
        <w:rPr>
          <w:iCs/>
        </w:rPr>
        <w:t xml:space="preserve">will only be achieved if </w:t>
      </w:r>
      <w:r w:rsidR="007E3667">
        <w:rPr>
          <w:iCs/>
          <w:noProof/>
          <w:color w:val="000000"/>
          <w:highlight w:val="black"/>
        </w:rPr>
        <w:t>''''''' ''''''''''''''''''' '''''''' '''''' ''''''''''''''''' ''''' ''''''' ''''''''''''' ''''''''''''''''' '''''''''' '''''' '''''''' '''''''' '''''''''''''''''''</w:t>
      </w:r>
      <w:r w:rsidR="00DA18EF" w:rsidRPr="00E773B1">
        <w:rPr>
          <w:iCs/>
        </w:rPr>
        <w:t xml:space="preserve">, and requested that the Department provide the PBAC with a comparison of the ibrutinib and venetoclax expenditure with the agreed and expected financial caps. As the expected </w:t>
      </w:r>
      <w:r w:rsidR="00A37F2E">
        <w:rPr>
          <w:iCs/>
        </w:rPr>
        <w:t xml:space="preserve">expenditure above the </w:t>
      </w:r>
      <w:r w:rsidR="00DA18EF" w:rsidRPr="00E773B1">
        <w:rPr>
          <w:iCs/>
        </w:rPr>
        <w:t xml:space="preserve">financial caps </w:t>
      </w:r>
      <w:r w:rsidR="007E3667">
        <w:rPr>
          <w:iCs/>
          <w:noProof/>
          <w:color w:val="000000"/>
          <w:highlight w:val="black"/>
        </w:rPr>
        <w:t>''' '''''' ''''''''''' ''''''''''''''''' ''''''' '''''''''''''' '''''''''' '''''' ''''''''''''''' ''''''' '''''''''''''''''''''' ''''' ''''''' ''''''' ''' ''''''''''''' '''''''''' ''''''''''''''''''''' '''''''''''''''''''''''' ''''' ''''''' ''''''''''''</w:t>
      </w:r>
      <w:r w:rsidR="00626EE7">
        <w:rPr>
          <w:iCs/>
        </w:rPr>
        <w:t xml:space="preserve"> </w:t>
      </w:r>
    </w:p>
    <w:p w:rsidR="00366F18" w:rsidRPr="00CC580D" w:rsidRDefault="00626EE7" w:rsidP="00B2597F">
      <w:pPr>
        <w:pStyle w:val="ListParagraph"/>
        <w:numPr>
          <w:ilvl w:val="1"/>
          <w:numId w:val="1"/>
        </w:numPr>
        <w:rPr>
          <w:iCs/>
        </w:rPr>
      </w:pPr>
      <w:r>
        <w:rPr>
          <w:iCs/>
        </w:rPr>
        <w:t xml:space="preserve">The pre-PBAC </w:t>
      </w:r>
      <w:proofErr w:type="gramStart"/>
      <w:r>
        <w:rPr>
          <w:iCs/>
        </w:rPr>
        <w:t xml:space="preserve">response  </w:t>
      </w:r>
      <w:r>
        <w:rPr>
          <w:lang w:eastAsia="zh-CN"/>
        </w:rPr>
        <w:t>acknowledged</w:t>
      </w:r>
      <w:proofErr w:type="gramEnd"/>
      <w:r>
        <w:rPr>
          <w:lang w:eastAsia="zh-CN"/>
        </w:rPr>
        <w:t xml:space="preserve"> that Subsidisation cap 2 of the current RSA </w:t>
      </w:r>
      <w:r w:rsidR="00D64154">
        <w:rPr>
          <w:lang w:eastAsia="zh-CN"/>
        </w:rPr>
        <w:t xml:space="preserve">was </w:t>
      </w:r>
      <w:r w:rsidR="007E3667">
        <w:rPr>
          <w:noProof/>
          <w:color w:val="000000"/>
          <w:highlight w:val="black"/>
          <w:lang w:eastAsia="zh-CN"/>
        </w:rPr>
        <w:t>'''''''' ''''''''''''''''' '''' ''''''''' ''' ''''''' '''''''' '''''''''''''' ''''' ''''' '''''''''''''''' '''' '''''''' '''</w:t>
      </w:r>
      <w:r w:rsidRPr="007034C8">
        <w:rPr>
          <w:lang w:eastAsia="zh-CN"/>
        </w:rPr>
        <w:t xml:space="preserve">. </w:t>
      </w:r>
      <w:r w:rsidR="00A02476">
        <w:rPr>
          <w:lang w:eastAsia="zh-CN"/>
        </w:rPr>
        <w:t xml:space="preserve">However, the pre-PBAC </w:t>
      </w:r>
      <w:proofErr w:type="gramStart"/>
      <w:r w:rsidR="00A02476">
        <w:rPr>
          <w:lang w:eastAsia="zh-CN"/>
        </w:rPr>
        <w:t>response  suggested</w:t>
      </w:r>
      <w:proofErr w:type="gramEnd"/>
      <w:r w:rsidR="00A02476">
        <w:rPr>
          <w:lang w:eastAsia="zh-CN"/>
        </w:rPr>
        <w:t xml:space="preserve"> that the cost-effectiveness of ibrutinib and venetoclax in </w:t>
      </w:r>
      <w:r w:rsidR="007E3667">
        <w:rPr>
          <w:noProof/>
          <w:color w:val="000000"/>
          <w:highlight w:val="black"/>
          <w:lang w:eastAsia="zh-CN"/>
        </w:rPr>
        <w:t>'''''''''' ''' '''' '''</w:t>
      </w:r>
      <w:r w:rsidR="00A02476">
        <w:rPr>
          <w:lang w:eastAsia="zh-CN"/>
        </w:rPr>
        <w:t xml:space="preserve"> will be significantly more favourable than that which the RSA was based on. The pre-PBAC response  suggested that this will occur as: subsidisation caps </w:t>
      </w:r>
      <w:r w:rsidR="007E3667">
        <w:rPr>
          <w:noProof/>
          <w:color w:val="000000"/>
          <w:highlight w:val="black"/>
          <w:lang w:eastAsia="zh-CN"/>
        </w:rPr>
        <w:t>'''''''''''''''''''''' '''''''''' '''' ''''''''' ''' ''''''' '''''''''''''' '''''''''' '''''''' ''' ''''' '''''''' '''</w:t>
      </w:r>
      <w:r w:rsidR="00A02476">
        <w:rPr>
          <w:lang w:eastAsia="zh-CN"/>
        </w:rPr>
        <w:t xml:space="preserve">; </w:t>
      </w:r>
      <w:r w:rsidR="00A02476">
        <w:t>mature data the from RESONATE trial (</w:t>
      </w:r>
      <w:proofErr w:type="spellStart"/>
      <w:r w:rsidR="00A02476">
        <w:t>Munir</w:t>
      </w:r>
      <w:proofErr w:type="spellEnd"/>
      <w:r w:rsidR="00A02476">
        <w:t xml:space="preserve"> 2019</w:t>
      </w:r>
      <w:r w:rsidR="00A02476">
        <w:rPr>
          <w:rStyle w:val="FootnoteReference"/>
        </w:rPr>
        <w:footnoteReference w:id="8"/>
      </w:r>
      <w:r w:rsidR="00A02476">
        <w:t xml:space="preserve">) indicates the </w:t>
      </w:r>
      <w:r w:rsidR="00A02476">
        <w:rPr>
          <w:lang w:eastAsia="zh-CN"/>
        </w:rPr>
        <w:t xml:space="preserve">treatment duration for patients receiving ibrutinib is significantly longer than what was assumed at the time of the RSA negotiations; and </w:t>
      </w:r>
      <w:r w:rsidR="00366F18">
        <w:rPr>
          <w:lang w:eastAsia="zh-CN"/>
        </w:rPr>
        <w:t xml:space="preserve">the addition of venetoclax to </w:t>
      </w:r>
      <w:r w:rsidR="00A02476">
        <w:rPr>
          <w:lang w:eastAsia="zh-CN"/>
        </w:rPr>
        <w:t xml:space="preserve">the RSA </w:t>
      </w:r>
      <w:r w:rsidR="00A02476">
        <w:rPr>
          <w:szCs w:val="22"/>
        </w:rPr>
        <w:t>on</w:t>
      </w:r>
      <w:r w:rsidR="00A02476" w:rsidRPr="007034C8">
        <w:rPr>
          <w:szCs w:val="22"/>
        </w:rPr>
        <w:t xml:space="preserve"> </w:t>
      </w:r>
      <w:r w:rsidR="00A02476">
        <w:rPr>
          <w:szCs w:val="22"/>
        </w:rPr>
        <w:t>1 March 2019</w:t>
      </w:r>
      <w:r w:rsidR="00366F18">
        <w:rPr>
          <w:szCs w:val="22"/>
        </w:rPr>
        <w:t xml:space="preserve"> allowed </w:t>
      </w:r>
      <w:r w:rsidR="00366F18" w:rsidRPr="00366F18">
        <w:rPr>
          <w:szCs w:val="22"/>
        </w:rPr>
        <w:lastRenderedPageBreak/>
        <w:t>patients to be treated with two novel agents in R</w:t>
      </w:r>
      <w:r w:rsidR="00366F18">
        <w:rPr>
          <w:szCs w:val="22"/>
        </w:rPr>
        <w:t>/</w:t>
      </w:r>
      <w:r w:rsidR="00366F18" w:rsidRPr="00366F18">
        <w:rPr>
          <w:szCs w:val="22"/>
        </w:rPr>
        <w:t xml:space="preserve">R disease with </w:t>
      </w:r>
      <w:r w:rsidR="007E3667">
        <w:rPr>
          <w:noProof/>
          <w:color w:val="000000"/>
          <w:szCs w:val="22"/>
          <w:highlight w:val="black"/>
        </w:rPr>
        <w:t>''''' '''''''''''''''''''''' '''' ''''''' '''''''' '''''''''''''''''</w:t>
      </w:r>
      <w:r w:rsidR="00366F18">
        <w:rPr>
          <w:szCs w:val="22"/>
        </w:rPr>
        <w:t xml:space="preserve">. </w:t>
      </w:r>
    </w:p>
    <w:p w:rsidR="00B04308" w:rsidRDefault="00B04308" w:rsidP="00B04308">
      <w:pPr>
        <w:jc w:val="left"/>
        <w:rPr>
          <w:b/>
          <w:u w:val="single"/>
        </w:rPr>
      </w:pPr>
    </w:p>
    <w:p w:rsidR="00B04308" w:rsidRDefault="007B253D" w:rsidP="00CC580D">
      <w:pPr>
        <w:pStyle w:val="ListParagraph"/>
      </w:pPr>
      <w:r w:rsidRPr="007B253D">
        <w:rPr>
          <w:rFonts w:cs="Calibri"/>
          <w:i/>
        </w:rPr>
        <w:t>For more detail on PBAC’s view, see section 7 PBAC outcome.</w:t>
      </w:r>
    </w:p>
    <w:p w:rsidR="007B253D" w:rsidRPr="001E39A7" w:rsidRDefault="007B253D" w:rsidP="001E39A7">
      <w:pPr>
        <w:pStyle w:val="PBACHeading1"/>
        <w:spacing w:before="240" w:after="120"/>
      </w:pPr>
      <w:r w:rsidRPr="001E39A7">
        <w:t>PBAC Outcome</w:t>
      </w:r>
    </w:p>
    <w:p w:rsidR="00277DFF" w:rsidRDefault="009427D6" w:rsidP="00032FEF">
      <w:pPr>
        <w:widowControl w:val="0"/>
        <w:numPr>
          <w:ilvl w:val="1"/>
          <w:numId w:val="1"/>
        </w:numPr>
        <w:spacing w:after="240"/>
        <w:rPr>
          <w:rFonts w:asciiTheme="minorHAnsi" w:hAnsiTheme="minorHAnsi" w:cs="Arial"/>
          <w:bCs/>
          <w:snapToGrid w:val="0"/>
          <w:lang w:val="en-GB"/>
        </w:rPr>
      </w:pPr>
      <w:r w:rsidRPr="009427D6">
        <w:rPr>
          <w:rFonts w:asciiTheme="minorHAnsi" w:hAnsiTheme="minorHAnsi" w:cs="Arial"/>
          <w:bCs/>
          <w:snapToGrid w:val="0"/>
          <w:lang w:val="en-GB"/>
        </w:rPr>
        <w:t xml:space="preserve">The PBAC recommended the </w:t>
      </w:r>
      <w:r>
        <w:rPr>
          <w:rFonts w:asciiTheme="minorHAnsi" w:hAnsiTheme="minorHAnsi" w:cs="Arial"/>
          <w:bCs/>
          <w:snapToGrid w:val="0"/>
          <w:lang w:val="en-GB"/>
        </w:rPr>
        <w:t xml:space="preserve">Authority </w:t>
      </w:r>
      <w:proofErr w:type="gramStart"/>
      <w:r>
        <w:rPr>
          <w:rFonts w:asciiTheme="minorHAnsi" w:hAnsiTheme="minorHAnsi" w:cs="Arial"/>
          <w:bCs/>
          <w:snapToGrid w:val="0"/>
          <w:lang w:val="en-GB"/>
        </w:rPr>
        <w:t>Required</w:t>
      </w:r>
      <w:proofErr w:type="gramEnd"/>
      <w:r>
        <w:rPr>
          <w:rFonts w:asciiTheme="minorHAnsi" w:hAnsiTheme="minorHAnsi" w:cs="Arial"/>
          <w:bCs/>
          <w:snapToGrid w:val="0"/>
          <w:lang w:val="en-GB"/>
        </w:rPr>
        <w:t xml:space="preserve"> listing of ibrutinib </w:t>
      </w:r>
      <w:r w:rsidRPr="002A4AA1">
        <w:rPr>
          <w:rFonts w:asciiTheme="minorHAnsi" w:hAnsiTheme="minorHAnsi" w:cs="Arial"/>
          <w:bCs/>
          <w:snapToGrid w:val="0"/>
          <w:lang w:val="en-GB"/>
        </w:rPr>
        <w:t>for first-line treatment of chronic lymphocytic leukaemia/small lymphocytic lymphoma (CLL/SLL) patients with deletion 17p (del17p)</w:t>
      </w:r>
      <w:r w:rsidR="004C4888">
        <w:rPr>
          <w:rFonts w:asciiTheme="minorHAnsi" w:hAnsiTheme="minorHAnsi" w:cs="Arial"/>
          <w:bCs/>
          <w:snapToGrid w:val="0"/>
          <w:lang w:val="en-GB"/>
        </w:rPr>
        <w:t xml:space="preserve">. </w:t>
      </w:r>
      <w:r w:rsidRPr="002A4AA1">
        <w:rPr>
          <w:rFonts w:asciiTheme="minorHAnsi" w:hAnsiTheme="minorHAnsi" w:cs="Arial"/>
          <w:bCs/>
          <w:snapToGrid w:val="0"/>
          <w:lang w:val="en-GB"/>
        </w:rPr>
        <w:t xml:space="preserve">The PBAC recognised the high clinical need for effective treatments in this population </w:t>
      </w:r>
      <w:r w:rsidR="008C1E55">
        <w:rPr>
          <w:rFonts w:asciiTheme="minorHAnsi" w:hAnsiTheme="minorHAnsi" w:cs="Arial"/>
          <w:bCs/>
          <w:snapToGrid w:val="0"/>
          <w:lang w:val="en-GB"/>
        </w:rPr>
        <w:t>and is satisfied that ibrutinib</w:t>
      </w:r>
      <w:r w:rsidR="008C1E55" w:rsidRPr="009427D6">
        <w:rPr>
          <w:rFonts w:asciiTheme="minorHAnsi" w:hAnsiTheme="minorHAnsi" w:cs="Arial"/>
          <w:bCs/>
          <w:snapToGrid w:val="0"/>
          <w:lang w:val="en-GB"/>
        </w:rPr>
        <w:t xml:space="preserve"> provides, for some patients, a significant improvement i</w:t>
      </w:r>
      <w:r w:rsidR="008C1E55">
        <w:rPr>
          <w:rFonts w:asciiTheme="minorHAnsi" w:hAnsiTheme="minorHAnsi" w:cs="Arial"/>
          <w:bCs/>
          <w:snapToGrid w:val="0"/>
          <w:lang w:val="en-GB"/>
        </w:rPr>
        <w:t xml:space="preserve">n </w:t>
      </w:r>
      <w:r w:rsidR="008C1E55">
        <w:t>progression-free survival (PFS)</w:t>
      </w:r>
      <w:r w:rsidR="008C1E55">
        <w:rPr>
          <w:rFonts w:asciiTheme="minorHAnsi" w:hAnsiTheme="minorHAnsi" w:cs="Arial"/>
          <w:bCs/>
          <w:snapToGrid w:val="0"/>
          <w:lang w:val="en-GB"/>
        </w:rPr>
        <w:t xml:space="preserve"> over </w:t>
      </w:r>
      <w:r w:rsidR="008C1E55">
        <w:t>obinutuzumab</w:t>
      </w:r>
      <w:r w:rsidR="006271E5">
        <w:t xml:space="preserve"> </w:t>
      </w:r>
      <w:r w:rsidR="008C1E55">
        <w:t>+</w:t>
      </w:r>
      <w:r w:rsidR="006271E5">
        <w:t xml:space="preserve"> </w:t>
      </w:r>
      <w:proofErr w:type="spellStart"/>
      <w:r w:rsidR="008C1E55">
        <w:t>chlorambucil</w:t>
      </w:r>
      <w:proofErr w:type="spellEnd"/>
      <w:r w:rsidR="008C1E55">
        <w:t xml:space="preserve"> (</w:t>
      </w:r>
      <w:proofErr w:type="spellStart"/>
      <w:r w:rsidR="008C1E55">
        <w:t>obi+chl</w:t>
      </w:r>
      <w:proofErr w:type="spellEnd"/>
      <w:r w:rsidR="008C1E55">
        <w:t>)</w:t>
      </w:r>
      <w:r w:rsidR="008C1E55" w:rsidRPr="009427D6">
        <w:rPr>
          <w:rFonts w:asciiTheme="minorHAnsi" w:hAnsiTheme="minorHAnsi" w:cs="Arial"/>
          <w:bCs/>
          <w:snapToGrid w:val="0"/>
          <w:lang w:val="en-GB"/>
        </w:rPr>
        <w:t>.</w:t>
      </w:r>
      <w:r w:rsidRPr="002A4AA1">
        <w:rPr>
          <w:rFonts w:asciiTheme="minorHAnsi" w:hAnsiTheme="minorHAnsi" w:cs="Arial"/>
          <w:bCs/>
          <w:snapToGrid w:val="0"/>
          <w:lang w:val="en-GB"/>
        </w:rPr>
        <w:t xml:space="preserve"> </w:t>
      </w:r>
    </w:p>
    <w:p w:rsidR="009427D6" w:rsidRPr="009427D6" w:rsidRDefault="00277DFF" w:rsidP="00B2597F">
      <w:pPr>
        <w:widowControl w:val="0"/>
        <w:numPr>
          <w:ilvl w:val="1"/>
          <w:numId w:val="1"/>
        </w:numPr>
        <w:spacing w:after="120"/>
        <w:rPr>
          <w:rFonts w:asciiTheme="minorHAnsi" w:hAnsiTheme="minorHAnsi" w:cs="Arial"/>
          <w:bCs/>
          <w:snapToGrid w:val="0"/>
          <w:lang w:val="en-GB"/>
        </w:rPr>
      </w:pPr>
      <w:r w:rsidRPr="009427D6">
        <w:rPr>
          <w:rFonts w:asciiTheme="minorHAnsi" w:hAnsiTheme="minorHAnsi" w:cs="Arial"/>
          <w:bCs/>
          <w:snapToGrid w:val="0"/>
          <w:lang w:val="en-GB"/>
        </w:rPr>
        <w:t>The PBAC’s recommendation for listing was based on, among other matters, its assessment,</w:t>
      </w:r>
      <w:r>
        <w:rPr>
          <w:rFonts w:asciiTheme="minorHAnsi" w:hAnsiTheme="minorHAnsi" w:cs="Arial"/>
          <w:bCs/>
          <w:snapToGrid w:val="0"/>
          <w:lang w:val="en-GB"/>
        </w:rPr>
        <w:t xml:space="preserve"> that </w:t>
      </w:r>
      <w:r w:rsidR="009427D6">
        <w:rPr>
          <w:rFonts w:asciiTheme="minorHAnsi" w:hAnsiTheme="minorHAnsi" w:cs="Arial"/>
          <w:bCs/>
          <w:snapToGrid w:val="0"/>
          <w:lang w:val="en-GB"/>
        </w:rPr>
        <w:t>ibrutinib</w:t>
      </w:r>
      <w:r w:rsidR="009427D6" w:rsidRPr="002A4AA1">
        <w:rPr>
          <w:rFonts w:asciiTheme="minorHAnsi" w:hAnsiTheme="minorHAnsi" w:cs="Arial"/>
          <w:bCs/>
          <w:snapToGrid w:val="0"/>
          <w:lang w:val="en-GB"/>
        </w:rPr>
        <w:t xml:space="preserve"> was cost-effective</w:t>
      </w:r>
      <w:r w:rsidR="00ED19D3">
        <w:rPr>
          <w:rFonts w:asciiTheme="minorHAnsi" w:hAnsiTheme="minorHAnsi" w:cs="Arial"/>
          <w:bCs/>
          <w:snapToGrid w:val="0"/>
          <w:lang w:val="en-GB"/>
        </w:rPr>
        <w:t xml:space="preserve"> in the proposed population</w:t>
      </w:r>
      <w:r w:rsidR="009427D6" w:rsidRPr="002A4AA1">
        <w:rPr>
          <w:rFonts w:asciiTheme="minorHAnsi" w:hAnsiTheme="minorHAnsi" w:cs="Arial"/>
          <w:bCs/>
          <w:snapToGrid w:val="0"/>
          <w:lang w:val="en-GB"/>
        </w:rPr>
        <w:t xml:space="preserve"> if</w:t>
      </w:r>
      <w:r w:rsidR="00ED19D3">
        <w:rPr>
          <w:rFonts w:asciiTheme="minorHAnsi" w:hAnsiTheme="minorHAnsi" w:cs="Arial"/>
          <w:bCs/>
          <w:snapToGrid w:val="0"/>
          <w:lang w:val="en-GB"/>
        </w:rPr>
        <w:t xml:space="preserve"> the price of ibrutinib was the same as for the </w:t>
      </w:r>
      <w:r w:rsidR="00ED19D3" w:rsidRPr="002A4AA1">
        <w:rPr>
          <w:rFonts w:asciiTheme="minorHAnsi" w:hAnsiTheme="minorHAnsi" w:cs="Arial"/>
          <w:bCs/>
          <w:snapToGrid w:val="0"/>
          <w:lang w:val="en-GB"/>
        </w:rPr>
        <w:t>relapsed/refractory (R/R) CLL/SLL</w:t>
      </w:r>
      <w:r w:rsidR="00ED19D3">
        <w:rPr>
          <w:rFonts w:asciiTheme="minorHAnsi" w:hAnsiTheme="minorHAnsi" w:cs="Arial"/>
          <w:bCs/>
          <w:snapToGrid w:val="0"/>
          <w:lang w:val="en-GB"/>
        </w:rPr>
        <w:t xml:space="preserve"> PBS listing, and </w:t>
      </w:r>
      <w:r w:rsidR="00CD4F62">
        <w:rPr>
          <w:rFonts w:asciiTheme="minorHAnsi" w:hAnsiTheme="minorHAnsi" w:cs="Arial"/>
          <w:bCs/>
          <w:snapToGrid w:val="0"/>
          <w:lang w:val="en-GB"/>
        </w:rPr>
        <w:t>a</w:t>
      </w:r>
      <w:r w:rsidR="00CD4F62" w:rsidRPr="002A4AA1">
        <w:rPr>
          <w:rFonts w:asciiTheme="minorHAnsi" w:hAnsiTheme="minorHAnsi" w:cs="Arial"/>
          <w:bCs/>
          <w:snapToGrid w:val="0"/>
          <w:lang w:val="en-GB"/>
        </w:rPr>
        <w:t xml:space="preserve"> risk sharing arrangement (RSA)</w:t>
      </w:r>
      <w:r w:rsidR="00CD4F62">
        <w:rPr>
          <w:rFonts w:asciiTheme="minorHAnsi" w:hAnsiTheme="minorHAnsi" w:cs="Arial"/>
          <w:bCs/>
          <w:snapToGrid w:val="0"/>
          <w:lang w:val="en-GB"/>
        </w:rPr>
        <w:t xml:space="preserve"> is implemented</w:t>
      </w:r>
      <w:r w:rsidR="00CD4F62" w:rsidRPr="002A4AA1">
        <w:rPr>
          <w:rFonts w:asciiTheme="minorHAnsi" w:hAnsiTheme="minorHAnsi" w:cs="Arial"/>
          <w:bCs/>
          <w:snapToGrid w:val="0"/>
          <w:lang w:val="en-GB"/>
        </w:rPr>
        <w:t xml:space="preserve"> </w:t>
      </w:r>
      <w:r w:rsidR="00CD4F62">
        <w:rPr>
          <w:rFonts w:asciiTheme="minorHAnsi" w:hAnsiTheme="minorHAnsi" w:cs="Arial"/>
          <w:bCs/>
          <w:snapToGrid w:val="0"/>
          <w:lang w:val="en-GB"/>
        </w:rPr>
        <w:t xml:space="preserve">which included both first-line and R/R use, while accounting for </w:t>
      </w:r>
      <w:r w:rsidR="00ED19D3">
        <w:rPr>
          <w:rFonts w:asciiTheme="minorHAnsi" w:hAnsiTheme="minorHAnsi" w:cs="Arial"/>
          <w:bCs/>
          <w:snapToGrid w:val="0"/>
          <w:lang w:val="en-GB"/>
        </w:rPr>
        <w:t xml:space="preserve">the cost-offsets for reduced use of ibrutinib and/or venetoclax in the R/R </w:t>
      </w:r>
      <w:r w:rsidR="00017A8F">
        <w:rPr>
          <w:rFonts w:asciiTheme="minorHAnsi" w:hAnsiTheme="minorHAnsi" w:cs="Arial"/>
          <w:bCs/>
          <w:snapToGrid w:val="0"/>
          <w:lang w:val="en-GB"/>
        </w:rPr>
        <w:t xml:space="preserve">setting </w:t>
      </w:r>
      <w:r w:rsidR="00CD4F62">
        <w:rPr>
          <w:rFonts w:asciiTheme="minorHAnsi" w:hAnsiTheme="minorHAnsi" w:cs="Arial"/>
          <w:bCs/>
          <w:snapToGrid w:val="0"/>
          <w:lang w:val="en-GB"/>
        </w:rPr>
        <w:t>as per the updated financial estimates.</w:t>
      </w:r>
      <w:r w:rsidR="00ED19D3">
        <w:rPr>
          <w:rFonts w:asciiTheme="minorHAnsi" w:hAnsiTheme="minorHAnsi" w:cs="Arial"/>
          <w:bCs/>
          <w:snapToGrid w:val="0"/>
          <w:lang w:val="en-GB"/>
        </w:rPr>
        <w:t xml:space="preserve"> </w:t>
      </w:r>
    </w:p>
    <w:p w:rsidR="002A4AA1" w:rsidRDefault="00CA28F1" w:rsidP="00B2597F">
      <w:pPr>
        <w:widowControl w:val="0"/>
        <w:numPr>
          <w:ilvl w:val="1"/>
          <w:numId w:val="1"/>
        </w:numPr>
        <w:spacing w:after="120"/>
        <w:rPr>
          <w:rFonts w:asciiTheme="minorHAnsi" w:hAnsiTheme="minorHAnsi" w:cs="Arial"/>
          <w:bCs/>
          <w:snapToGrid w:val="0"/>
          <w:lang w:val="en-GB"/>
        </w:rPr>
      </w:pPr>
      <w:r w:rsidRPr="00CA28F1">
        <w:rPr>
          <w:rFonts w:asciiTheme="minorHAnsi" w:hAnsiTheme="minorHAnsi" w:cs="Arial"/>
          <w:bCs/>
          <w:snapToGrid w:val="0"/>
          <w:lang w:val="en-GB"/>
        </w:rPr>
        <w:t>The PBAC welcomed the input from individuals, health care professionals and</w:t>
      </w:r>
      <w:r w:rsidR="00842F54">
        <w:rPr>
          <w:rFonts w:asciiTheme="minorHAnsi" w:hAnsiTheme="minorHAnsi" w:cs="Arial"/>
          <w:bCs/>
          <w:snapToGrid w:val="0"/>
          <w:lang w:val="en-GB"/>
        </w:rPr>
        <w:t xml:space="preserve"> </w:t>
      </w:r>
      <w:r w:rsidRPr="00CA28F1">
        <w:rPr>
          <w:rFonts w:asciiTheme="minorHAnsi" w:hAnsiTheme="minorHAnsi" w:cs="Arial"/>
          <w:bCs/>
          <w:snapToGrid w:val="0"/>
          <w:lang w:val="en-GB"/>
        </w:rPr>
        <w:t xml:space="preserve">organisations which highlighted the limited </w:t>
      </w:r>
      <w:r>
        <w:rPr>
          <w:rFonts w:asciiTheme="minorHAnsi" w:hAnsiTheme="minorHAnsi" w:cs="Arial"/>
          <w:bCs/>
          <w:snapToGrid w:val="0"/>
          <w:lang w:val="en-GB"/>
        </w:rPr>
        <w:t xml:space="preserve">effectiveness and significant toxicity associated with currently available first-line treatments. </w:t>
      </w:r>
    </w:p>
    <w:p w:rsidR="00AB6164" w:rsidRDefault="006F3EE2" w:rsidP="00B2597F">
      <w:pPr>
        <w:widowControl w:val="0"/>
        <w:numPr>
          <w:ilvl w:val="1"/>
          <w:numId w:val="1"/>
        </w:numPr>
        <w:spacing w:after="120"/>
        <w:rPr>
          <w:rFonts w:asciiTheme="minorHAnsi" w:hAnsiTheme="minorHAnsi" w:cs="Arial"/>
          <w:bCs/>
          <w:snapToGrid w:val="0"/>
          <w:lang w:val="en-GB"/>
        </w:rPr>
      </w:pPr>
      <w:r w:rsidRPr="00B01D3E">
        <w:rPr>
          <w:rFonts w:asciiTheme="minorHAnsi" w:hAnsiTheme="minorHAnsi" w:cs="Arial"/>
          <w:bCs/>
          <w:snapToGrid w:val="0"/>
          <w:lang w:val="en-GB"/>
        </w:rPr>
        <w:t xml:space="preserve">The PBAC acknowledged that there is a </w:t>
      </w:r>
      <w:r w:rsidR="00B01D3E">
        <w:rPr>
          <w:rFonts w:asciiTheme="minorHAnsi" w:hAnsiTheme="minorHAnsi" w:cs="Arial"/>
          <w:bCs/>
          <w:snapToGrid w:val="0"/>
          <w:lang w:val="en-GB"/>
        </w:rPr>
        <w:t xml:space="preserve">high clinical </w:t>
      </w:r>
      <w:r w:rsidRPr="00B01D3E">
        <w:rPr>
          <w:rFonts w:asciiTheme="minorHAnsi" w:hAnsiTheme="minorHAnsi" w:cs="Arial"/>
          <w:bCs/>
          <w:snapToGrid w:val="0"/>
          <w:lang w:val="en-GB"/>
        </w:rPr>
        <w:t xml:space="preserve">need for additional therapies for </w:t>
      </w:r>
      <w:r w:rsidR="00B01D3E" w:rsidRPr="00B01D3E">
        <w:rPr>
          <w:rFonts w:asciiTheme="minorHAnsi" w:hAnsiTheme="minorHAnsi" w:cs="Arial"/>
          <w:bCs/>
          <w:snapToGrid w:val="0"/>
          <w:lang w:val="en-GB"/>
        </w:rPr>
        <w:t xml:space="preserve">del17p CLL/SLL </w:t>
      </w:r>
      <w:r w:rsidRPr="00B01D3E">
        <w:rPr>
          <w:rFonts w:asciiTheme="minorHAnsi" w:hAnsiTheme="minorHAnsi" w:cs="Arial"/>
          <w:bCs/>
          <w:snapToGrid w:val="0"/>
          <w:lang w:val="en-GB"/>
        </w:rPr>
        <w:t xml:space="preserve">patients </w:t>
      </w:r>
      <w:r w:rsidR="00B01D3E">
        <w:rPr>
          <w:rFonts w:asciiTheme="minorHAnsi" w:hAnsiTheme="minorHAnsi" w:cs="Arial"/>
          <w:bCs/>
          <w:snapToGrid w:val="0"/>
          <w:lang w:val="en-GB"/>
        </w:rPr>
        <w:t xml:space="preserve">given they have a poor prognosis and </w:t>
      </w:r>
      <w:r w:rsidRPr="00B01D3E">
        <w:rPr>
          <w:rFonts w:asciiTheme="minorHAnsi" w:hAnsiTheme="minorHAnsi" w:cs="Arial"/>
          <w:bCs/>
          <w:snapToGrid w:val="0"/>
          <w:lang w:val="en-GB"/>
        </w:rPr>
        <w:t>as current tre</w:t>
      </w:r>
      <w:r w:rsidR="00B01D3E" w:rsidRPr="00B01D3E">
        <w:rPr>
          <w:rFonts w:asciiTheme="minorHAnsi" w:hAnsiTheme="minorHAnsi" w:cs="Arial"/>
          <w:bCs/>
          <w:snapToGrid w:val="0"/>
          <w:lang w:val="en-GB"/>
        </w:rPr>
        <w:t>atments are characterised by poor</w:t>
      </w:r>
      <w:r w:rsidR="00317491">
        <w:rPr>
          <w:rFonts w:asciiTheme="minorHAnsi" w:hAnsiTheme="minorHAnsi" w:cs="Arial"/>
          <w:bCs/>
          <w:snapToGrid w:val="0"/>
          <w:lang w:val="en-GB"/>
        </w:rPr>
        <w:t xml:space="preserve"> response rates and short durations of response. </w:t>
      </w:r>
    </w:p>
    <w:p w:rsidR="008516D4" w:rsidRPr="004243D9" w:rsidRDefault="00AB6164" w:rsidP="00B2597F">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also acknowledged that </w:t>
      </w:r>
      <w:r w:rsidRPr="00AB6164">
        <w:rPr>
          <w:iCs/>
        </w:rPr>
        <w:t>patients with mutations of the TP53 gene have the same poor prognosis</w:t>
      </w:r>
      <w:r w:rsidR="00E06338">
        <w:rPr>
          <w:iCs/>
        </w:rPr>
        <w:t xml:space="preserve"> and poor response to current alternative treatments</w:t>
      </w:r>
      <w:r w:rsidRPr="00AB6164">
        <w:rPr>
          <w:iCs/>
        </w:rPr>
        <w:t xml:space="preserve"> as del17p positive patients</w:t>
      </w:r>
      <w:r>
        <w:rPr>
          <w:iCs/>
        </w:rPr>
        <w:t xml:space="preserve">. The PBAC agreed with the ESC </w:t>
      </w:r>
      <w:r w:rsidR="00317491" w:rsidRPr="00AB6164">
        <w:rPr>
          <w:iCs/>
        </w:rPr>
        <w:t>that there was a clinical need for effective treatments in patients with aberrations in TP53 who are del17p negative.</w:t>
      </w:r>
      <w:r>
        <w:rPr>
          <w:iCs/>
        </w:rPr>
        <w:t xml:space="preserve"> </w:t>
      </w:r>
      <w:r w:rsidR="00317491" w:rsidRPr="00AB6164">
        <w:rPr>
          <w:iCs/>
        </w:rPr>
        <w:t xml:space="preserve"> </w:t>
      </w:r>
      <w:r w:rsidR="0080014B">
        <w:rPr>
          <w:iCs/>
        </w:rPr>
        <w:t xml:space="preserve">However, the PBAC noted that </w:t>
      </w:r>
      <w:r w:rsidR="00842F54">
        <w:rPr>
          <w:iCs/>
        </w:rPr>
        <w:t>aberrations</w:t>
      </w:r>
      <w:r w:rsidR="0080014B">
        <w:rPr>
          <w:iCs/>
        </w:rPr>
        <w:t xml:space="preserve"> in TP53 are </w:t>
      </w:r>
      <w:r w:rsidR="0080014B" w:rsidRPr="00E773B1">
        <w:rPr>
          <w:iCs/>
        </w:rPr>
        <w:t xml:space="preserve">detected by gene sequencing </w:t>
      </w:r>
      <w:r w:rsidR="0080014B">
        <w:rPr>
          <w:iCs/>
        </w:rPr>
        <w:t>and</w:t>
      </w:r>
      <w:r w:rsidR="0080014B" w:rsidRPr="00E773B1">
        <w:rPr>
          <w:iCs/>
        </w:rPr>
        <w:t xml:space="preserve"> that </w:t>
      </w:r>
      <w:r w:rsidR="0080014B" w:rsidRPr="0080014B">
        <w:rPr>
          <w:iCs/>
        </w:rPr>
        <w:t xml:space="preserve">fluorescence in situ hybridisation </w:t>
      </w:r>
      <w:r w:rsidR="0080014B">
        <w:rPr>
          <w:iCs/>
        </w:rPr>
        <w:t>(</w:t>
      </w:r>
      <w:r w:rsidR="0080014B" w:rsidRPr="00E773B1">
        <w:rPr>
          <w:iCs/>
        </w:rPr>
        <w:t>FISH</w:t>
      </w:r>
      <w:r w:rsidR="0080014B">
        <w:rPr>
          <w:iCs/>
        </w:rPr>
        <w:t>)</w:t>
      </w:r>
      <w:r w:rsidR="0080014B" w:rsidRPr="00E773B1">
        <w:rPr>
          <w:iCs/>
        </w:rPr>
        <w:t xml:space="preserve"> may miss more than 30% of all TP53 variants</w:t>
      </w:r>
      <w:r w:rsidR="0080014B">
        <w:rPr>
          <w:iCs/>
        </w:rPr>
        <w:t xml:space="preserve">. </w:t>
      </w:r>
      <w:r w:rsidR="008516D4">
        <w:rPr>
          <w:iCs/>
        </w:rPr>
        <w:t xml:space="preserve">The PBAC advised </w:t>
      </w:r>
      <w:r w:rsidR="0080014B">
        <w:rPr>
          <w:iCs/>
        </w:rPr>
        <w:t xml:space="preserve">that, while it was of a mind to recommend </w:t>
      </w:r>
      <w:r w:rsidR="008516D4">
        <w:rPr>
          <w:iCs/>
        </w:rPr>
        <w:t xml:space="preserve">extending the proposed PBS restriction to include </w:t>
      </w:r>
      <w:r w:rsidR="0080014B">
        <w:rPr>
          <w:iCs/>
        </w:rPr>
        <w:t>TP53 mutation</w:t>
      </w:r>
      <w:r w:rsidR="008516D4">
        <w:rPr>
          <w:iCs/>
        </w:rPr>
        <w:t>s as an alternative to del17p</w:t>
      </w:r>
      <w:r w:rsidR="0080014B">
        <w:rPr>
          <w:iCs/>
        </w:rPr>
        <w:t xml:space="preserve">, </w:t>
      </w:r>
      <w:r w:rsidR="00CB37B6">
        <w:rPr>
          <w:iCs/>
        </w:rPr>
        <w:t xml:space="preserve">advice from the MSAC </w:t>
      </w:r>
      <w:r w:rsidR="008516D4">
        <w:rPr>
          <w:iCs/>
        </w:rPr>
        <w:t>was required to inform this decision.</w:t>
      </w:r>
    </w:p>
    <w:p w:rsidR="004243D9" w:rsidRPr="008516D4" w:rsidRDefault="004243D9" w:rsidP="00B2597F">
      <w:pPr>
        <w:widowControl w:val="0"/>
        <w:numPr>
          <w:ilvl w:val="1"/>
          <w:numId w:val="1"/>
        </w:numPr>
        <w:spacing w:after="120"/>
        <w:rPr>
          <w:rFonts w:asciiTheme="minorHAnsi" w:hAnsiTheme="minorHAnsi" w:cs="Arial"/>
          <w:bCs/>
          <w:snapToGrid w:val="0"/>
          <w:lang w:val="en-GB"/>
        </w:rPr>
      </w:pPr>
      <w:r>
        <w:rPr>
          <w:iCs/>
        </w:rPr>
        <w:t xml:space="preserve">The PBAC noted that listing of ibrutinib for first-line treatment of del17p CLL/SLL </w:t>
      </w:r>
      <w:r w:rsidR="00842F54">
        <w:rPr>
          <w:iCs/>
        </w:rPr>
        <w:t>patients</w:t>
      </w:r>
      <w:r>
        <w:rPr>
          <w:iCs/>
        </w:rPr>
        <w:t xml:space="preserve"> would be consistent with </w:t>
      </w:r>
      <w:r w:rsidRPr="00EB5599">
        <w:rPr>
          <w:rFonts w:cs="Calibri"/>
        </w:rPr>
        <w:t xml:space="preserve">International Workshop on Chronic Lymphocytic Leukaemia </w:t>
      </w:r>
      <w:r>
        <w:rPr>
          <w:rFonts w:cs="Calibri"/>
        </w:rPr>
        <w:t>(</w:t>
      </w:r>
      <w:proofErr w:type="spellStart"/>
      <w:r>
        <w:rPr>
          <w:iCs/>
        </w:rPr>
        <w:t>iwCLL</w:t>
      </w:r>
      <w:proofErr w:type="spellEnd"/>
      <w:r>
        <w:rPr>
          <w:iCs/>
        </w:rPr>
        <w:t xml:space="preserve"> 2018), </w:t>
      </w:r>
      <w:r w:rsidRPr="00E773B1">
        <w:rPr>
          <w:rFonts w:cs="Calibri"/>
        </w:rPr>
        <w:t>National Comprehensive Cancer Network (NCCN 2018), and the European Society for Medical Oncology (ESMO 2015)</w:t>
      </w:r>
      <w:r>
        <w:rPr>
          <w:rFonts w:cs="Calibri"/>
        </w:rPr>
        <w:t xml:space="preserve"> guideline recommendations. </w:t>
      </w:r>
      <w:r w:rsidR="00472B68" w:rsidRPr="00E773B1">
        <w:t>The</w:t>
      </w:r>
      <w:r w:rsidR="00472B68">
        <w:t xml:space="preserve"> PBAC considered that restriction of</w:t>
      </w:r>
      <w:r w:rsidR="00472B68" w:rsidRPr="00E773B1">
        <w:t xml:space="preserve"> ibrutinib for treatment of CLL/SLL </w:t>
      </w:r>
      <w:r w:rsidR="00472B68">
        <w:t xml:space="preserve">to once in a patient’s lifetime appropriately </w:t>
      </w:r>
      <w:r w:rsidR="00472B68" w:rsidRPr="00E773B1">
        <w:rPr>
          <w:iCs/>
        </w:rPr>
        <w:t xml:space="preserve">moves ibrutinib treatment for CLL/SLL patients with </w:t>
      </w:r>
      <w:r w:rsidR="00472B68" w:rsidRPr="00E773B1">
        <w:rPr>
          <w:iCs/>
        </w:rPr>
        <w:lastRenderedPageBreak/>
        <w:t>del17p to earlier in the treatment algorithm.</w:t>
      </w:r>
    </w:p>
    <w:p w:rsidR="006F3EE2" w:rsidRPr="00CD6535" w:rsidRDefault="005550B5" w:rsidP="00B2597F">
      <w:pPr>
        <w:widowControl w:val="0"/>
        <w:numPr>
          <w:ilvl w:val="1"/>
          <w:numId w:val="1"/>
        </w:numPr>
        <w:spacing w:after="120"/>
        <w:rPr>
          <w:rFonts w:asciiTheme="minorHAnsi" w:hAnsiTheme="minorHAnsi" w:cs="Arial"/>
          <w:bCs/>
          <w:snapToGrid w:val="0"/>
          <w:lang w:val="en-GB"/>
        </w:rPr>
      </w:pPr>
      <w:r w:rsidRPr="008C1E55">
        <w:rPr>
          <w:rFonts w:asciiTheme="minorHAnsi" w:hAnsiTheme="minorHAnsi" w:cs="Arial"/>
          <w:bCs/>
          <w:snapToGrid w:val="0"/>
          <w:lang w:val="en-GB"/>
        </w:rPr>
        <w:t xml:space="preserve">The PBAC considered that </w:t>
      </w:r>
      <w:proofErr w:type="spellStart"/>
      <w:r w:rsidR="008C1E55" w:rsidRPr="008C1E55">
        <w:rPr>
          <w:rFonts w:asciiTheme="minorHAnsi" w:hAnsiTheme="minorHAnsi" w:cs="Arial"/>
          <w:bCs/>
          <w:snapToGrid w:val="0"/>
          <w:lang w:val="en-GB"/>
        </w:rPr>
        <w:t>obi+chl</w:t>
      </w:r>
      <w:proofErr w:type="spellEnd"/>
      <w:r w:rsidRPr="008C1E55">
        <w:rPr>
          <w:rFonts w:asciiTheme="minorHAnsi" w:hAnsiTheme="minorHAnsi" w:cs="Arial"/>
          <w:bCs/>
          <w:snapToGrid w:val="0"/>
          <w:lang w:val="en-GB"/>
        </w:rPr>
        <w:t xml:space="preserve"> as the nominated comparator was appropriate.  </w:t>
      </w:r>
    </w:p>
    <w:p w:rsidR="005B3F45" w:rsidRDefault="00767CAC" w:rsidP="00B2597F">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agreed with the ESC that while the number of patients with del17p </w:t>
      </w:r>
      <w:r w:rsidR="00A3739C">
        <w:rPr>
          <w:rFonts w:asciiTheme="minorHAnsi" w:hAnsiTheme="minorHAnsi" w:cs="Arial"/>
          <w:bCs/>
          <w:snapToGrid w:val="0"/>
          <w:lang w:val="en-GB"/>
        </w:rPr>
        <w:t xml:space="preserve">in the ILLUMINATE trial </w:t>
      </w:r>
      <w:r>
        <w:rPr>
          <w:rFonts w:asciiTheme="minorHAnsi" w:hAnsiTheme="minorHAnsi" w:cs="Arial"/>
          <w:bCs/>
          <w:snapToGrid w:val="0"/>
          <w:lang w:val="en-GB"/>
        </w:rPr>
        <w:t>was small, the results support</w:t>
      </w:r>
      <w:r w:rsidR="00A3739C">
        <w:rPr>
          <w:rFonts w:asciiTheme="minorHAnsi" w:hAnsiTheme="minorHAnsi" w:cs="Arial"/>
          <w:bCs/>
          <w:snapToGrid w:val="0"/>
          <w:lang w:val="en-GB"/>
        </w:rPr>
        <w:t>ed</w:t>
      </w:r>
      <w:r>
        <w:rPr>
          <w:rFonts w:asciiTheme="minorHAnsi" w:hAnsiTheme="minorHAnsi" w:cs="Arial"/>
          <w:bCs/>
          <w:snapToGrid w:val="0"/>
          <w:lang w:val="en-GB"/>
        </w:rPr>
        <w:t xml:space="preserve"> the claim that </w:t>
      </w:r>
      <w:r w:rsidR="00DC67A5">
        <w:rPr>
          <w:rFonts w:asciiTheme="minorHAnsi" w:hAnsiTheme="minorHAnsi" w:cs="Arial"/>
          <w:bCs/>
          <w:snapToGrid w:val="0"/>
          <w:lang w:val="en-GB"/>
        </w:rPr>
        <w:t xml:space="preserve">an </w:t>
      </w:r>
      <w:proofErr w:type="spellStart"/>
      <w:r w:rsidR="00DC67A5">
        <w:rPr>
          <w:rFonts w:asciiTheme="minorHAnsi" w:hAnsiTheme="minorHAnsi" w:cs="Arial"/>
          <w:bCs/>
          <w:snapToGrid w:val="0"/>
          <w:lang w:val="en-GB"/>
        </w:rPr>
        <w:t>ibrutinib</w:t>
      </w:r>
      <w:proofErr w:type="spellEnd"/>
      <w:r w:rsidR="00DC67A5">
        <w:rPr>
          <w:rFonts w:asciiTheme="minorHAnsi" w:hAnsiTheme="minorHAnsi" w:cs="Arial"/>
          <w:bCs/>
          <w:snapToGrid w:val="0"/>
          <w:lang w:val="en-GB"/>
        </w:rPr>
        <w:t>-containing regimen (</w:t>
      </w:r>
      <w:proofErr w:type="spellStart"/>
      <w:r>
        <w:rPr>
          <w:rFonts w:asciiTheme="minorHAnsi" w:hAnsiTheme="minorHAnsi" w:cs="Arial"/>
          <w:bCs/>
          <w:snapToGrid w:val="0"/>
          <w:lang w:val="en-GB"/>
        </w:rPr>
        <w:t>ibr+obi</w:t>
      </w:r>
      <w:proofErr w:type="spellEnd"/>
      <w:r w:rsidR="00DC67A5">
        <w:rPr>
          <w:rFonts w:asciiTheme="minorHAnsi" w:hAnsiTheme="minorHAnsi" w:cs="Arial"/>
          <w:bCs/>
          <w:snapToGrid w:val="0"/>
          <w:lang w:val="en-GB"/>
        </w:rPr>
        <w:t>)</w:t>
      </w:r>
      <w:r>
        <w:rPr>
          <w:rFonts w:asciiTheme="minorHAnsi" w:hAnsiTheme="minorHAnsi" w:cs="Arial"/>
          <w:bCs/>
          <w:snapToGrid w:val="0"/>
          <w:lang w:val="en-GB"/>
        </w:rPr>
        <w:t xml:space="preserve"> is associated with a statistically significant improvement in PFS for patients with del17p compared to </w:t>
      </w:r>
      <w:proofErr w:type="spellStart"/>
      <w:r>
        <w:rPr>
          <w:rFonts w:asciiTheme="minorHAnsi" w:hAnsiTheme="minorHAnsi" w:cs="Arial"/>
          <w:bCs/>
          <w:snapToGrid w:val="0"/>
          <w:lang w:val="en-GB"/>
        </w:rPr>
        <w:t>obi+chl</w:t>
      </w:r>
      <w:proofErr w:type="spellEnd"/>
      <w:r>
        <w:rPr>
          <w:rFonts w:asciiTheme="minorHAnsi" w:hAnsiTheme="minorHAnsi" w:cs="Arial"/>
          <w:bCs/>
          <w:snapToGrid w:val="0"/>
          <w:lang w:val="en-GB"/>
        </w:rPr>
        <w:t xml:space="preserve">. </w:t>
      </w:r>
      <w:r w:rsidR="005B3F45">
        <w:rPr>
          <w:rFonts w:asciiTheme="minorHAnsi" w:hAnsiTheme="minorHAnsi" w:cs="Arial"/>
          <w:bCs/>
          <w:snapToGrid w:val="0"/>
          <w:lang w:val="en-GB"/>
        </w:rPr>
        <w:t xml:space="preserve">The PBAC noted that no statistically significant differences in </w:t>
      </w:r>
      <w:r w:rsidR="00E41CF1">
        <w:rPr>
          <w:rFonts w:asciiTheme="minorHAnsi" w:hAnsiTheme="minorHAnsi" w:cs="Arial"/>
          <w:bCs/>
          <w:snapToGrid w:val="0"/>
          <w:lang w:val="en-GB"/>
        </w:rPr>
        <w:t>OS</w:t>
      </w:r>
      <w:r w:rsidR="005B3F45">
        <w:rPr>
          <w:rFonts w:asciiTheme="minorHAnsi" w:hAnsiTheme="minorHAnsi" w:cs="Arial"/>
          <w:bCs/>
          <w:snapToGrid w:val="0"/>
          <w:lang w:val="en-GB"/>
        </w:rPr>
        <w:t xml:space="preserve"> were reported in the ILLUMINATE trial. </w:t>
      </w:r>
    </w:p>
    <w:p w:rsidR="00DC67A5" w:rsidRPr="00767CAC" w:rsidRDefault="00DC67A5" w:rsidP="00B2597F">
      <w:pPr>
        <w:widowControl w:val="0"/>
        <w:numPr>
          <w:ilvl w:val="1"/>
          <w:numId w:val="1"/>
        </w:numPr>
        <w:spacing w:after="120"/>
        <w:rPr>
          <w:rFonts w:cs="Calibri"/>
        </w:rPr>
      </w:pPr>
      <w:r>
        <w:rPr>
          <w:rFonts w:asciiTheme="minorHAnsi" w:hAnsiTheme="minorHAnsi" w:cs="Arial"/>
          <w:bCs/>
          <w:snapToGrid w:val="0"/>
          <w:lang w:val="en-GB"/>
        </w:rPr>
        <w:t>The PBAC</w:t>
      </w:r>
      <w:r w:rsidRPr="00CD6535">
        <w:rPr>
          <w:rFonts w:asciiTheme="minorHAnsi" w:hAnsiTheme="minorHAnsi" w:cs="Arial"/>
          <w:bCs/>
          <w:snapToGrid w:val="0"/>
          <w:lang w:val="en-GB"/>
        </w:rPr>
        <w:t xml:space="preserve"> noted that the </w:t>
      </w:r>
      <w:r w:rsidR="00D6081E">
        <w:rPr>
          <w:rFonts w:asciiTheme="minorHAnsi" w:hAnsiTheme="minorHAnsi" w:cs="Arial"/>
          <w:bCs/>
          <w:snapToGrid w:val="0"/>
          <w:lang w:val="en-GB"/>
        </w:rPr>
        <w:t>resubmission</w:t>
      </w:r>
      <w:r w:rsidR="00A3739C">
        <w:rPr>
          <w:rFonts w:asciiTheme="minorHAnsi" w:hAnsiTheme="minorHAnsi" w:cs="Arial"/>
          <w:bCs/>
          <w:snapToGrid w:val="0"/>
          <w:lang w:val="en-GB"/>
        </w:rPr>
        <w:t>’</w:t>
      </w:r>
      <w:r w:rsidR="00D6081E">
        <w:rPr>
          <w:rFonts w:asciiTheme="minorHAnsi" w:hAnsiTheme="minorHAnsi" w:cs="Arial"/>
          <w:bCs/>
          <w:snapToGrid w:val="0"/>
          <w:lang w:val="en-GB"/>
        </w:rPr>
        <w:t xml:space="preserve">s </w:t>
      </w:r>
      <w:r w:rsidRPr="00CD6535">
        <w:rPr>
          <w:rFonts w:asciiTheme="minorHAnsi" w:hAnsiTheme="minorHAnsi" w:cs="Arial"/>
          <w:bCs/>
          <w:snapToGrid w:val="0"/>
          <w:lang w:val="en-GB"/>
        </w:rPr>
        <w:t xml:space="preserve">claim of superior PFS for ibrutinib monotherapy compared </w:t>
      </w:r>
      <w:r>
        <w:rPr>
          <w:rFonts w:asciiTheme="minorHAnsi" w:hAnsiTheme="minorHAnsi" w:cs="Arial"/>
          <w:bCs/>
          <w:snapToGrid w:val="0"/>
          <w:lang w:val="en-GB"/>
        </w:rPr>
        <w:t xml:space="preserve">with </w:t>
      </w:r>
      <w:proofErr w:type="spellStart"/>
      <w:r>
        <w:rPr>
          <w:rFonts w:asciiTheme="minorHAnsi" w:hAnsiTheme="minorHAnsi" w:cs="Arial"/>
          <w:bCs/>
          <w:snapToGrid w:val="0"/>
          <w:lang w:val="en-GB"/>
        </w:rPr>
        <w:t>obi+chl</w:t>
      </w:r>
      <w:proofErr w:type="spellEnd"/>
      <w:r w:rsidRPr="00CD6535">
        <w:rPr>
          <w:rFonts w:asciiTheme="minorHAnsi" w:hAnsiTheme="minorHAnsi" w:cs="Arial"/>
          <w:bCs/>
          <w:snapToGrid w:val="0"/>
          <w:lang w:val="en-GB"/>
        </w:rPr>
        <w:t xml:space="preserve"> relied on acceptance of ibrutinib monotherapy hav</w:t>
      </w:r>
      <w:r>
        <w:rPr>
          <w:rFonts w:asciiTheme="minorHAnsi" w:hAnsiTheme="minorHAnsi" w:cs="Arial"/>
          <w:bCs/>
          <w:snapToGrid w:val="0"/>
          <w:lang w:val="en-GB"/>
        </w:rPr>
        <w:t xml:space="preserve">ing similar efficacy to </w:t>
      </w:r>
      <w:proofErr w:type="spellStart"/>
      <w:r>
        <w:rPr>
          <w:rFonts w:asciiTheme="minorHAnsi" w:hAnsiTheme="minorHAnsi" w:cs="Arial"/>
          <w:bCs/>
          <w:snapToGrid w:val="0"/>
          <w:lang w:val="en-GB"/>
        </w:rPr>
        <w:t>ibr+obi</w:t>
      </w:r>
      <w:proofErr w:type="spellEnd"/>
      <w:r w:rsidRPr="00CD6535">
        <w:rPr>
          <w:rFonts w:asciiTheme="minorHAnsi" w:hAnsiTheme="minorHAnsi" w:cs="Arial"/>
          <w:bCs/>
          <w:snapToGrid w:val="0"/>
          <w:lang w:val="en-GB"/>
        </w:rPr>
        <w:t>, and that this was based on naïve indirect comparisons.</w:t>
      </w:r>
      <w:r>
        <w:rPr>
          <w:rFonts w:asciiTheme="minorHAnsi" w:hAnsiTheme="minorHAnsi" w:cs="Arial"/>
          <w:bCs/>
          <w:snapToGrid w:val="0"/>
          <w:lang w:val="en-GB"/>
        </w:rPr>
        <w:t xml:space="preserve"> The PBAC </w:t>
      </w:r>
      <w:r w:rsidRPr="00CD6535">
        <w:rPr>
          <w:rFonts w:asciiTheme="minorHAnsi" w:hAnsiTheme="minorHAnsi" w:cs="Arial"/>
          <w:bCs/>
          <w:snapToGrid w:val="0"/>
          <w:lang w:val="en-GB"/>
        </w:rPr>
        <w:t xml:space="preserve">noted the high unmet clinical need for CLL/SLL patients with del17p and </w:t>
      </w:r>
      <w:r w:rsidR="00F8143C">
        <w:rPr>
          <w:rFonts w:asciiTheme="minorHAnsi" w:hAnsiTheme="minorHAnsi" w:cs="Arial"/>
          <w:bCs/>
          <w:snapToGrid w:val="0"/>
          <w:lang w:val="en-GB"/>
        </w:rPr>
        <w:t xml:space="preserve">agreed with the ESC </w:t>
      </w:r>
      <w:r w:rsidR="00CD6535" w:rsidRPr="00DC67A5">
        <w:rPr>
          <w:rFonts w:asciiTheme="minorHAnsi" w:hAnsiTheme="minorHAnsi" w:cs="Arial"/>
          <w:bCs/>
          <w:snapToGrid w:val="0"/>
          <w:lang w:val="en-GB"/>
        </w:rPr>
        <w:t>that</w:t>
      </w:r>
      <w:r w:rsidR="00F8143C">
        <w:rPr>
          <w:rFonts w:asciiTheme="minorHAnsi" w:hAnsiTheme="minorHAnsi" w:cs="Arial"/>
          <w:bCs/>
          <w:snapToGrid w:val="0"/>
          <w:lang w:val="en-GB"/>
        </w:rPr>
        <w:t>,</w:t>
      </w:r>
      <w:r w:rsidR="00CD6535" w:rsidRPr="00DC67A5">
        <w:rPr>
          <w:rFonts w:asciiTheme="minorHAnsi" w:hAnsiTheme="minorHAnsi" w:cs="Arial"/>
          <w:bCs/>
          <w:snapToGrid w:val="0"/>
          <w:lang w:val="en-GB"/>
        </w:rPr>
        <w:t xml:space="preserve"> while </w:t>
      </w:r>
      <w:r w:rsidR="00F8143C">
        <w:rPr>
          <w:rFonts w:asciiTheme="minorHAnsi" w:hAnsiTheme="minorHAnsi" w:cs="Arial"/>
          <w:bCs/>
          <w:snapToGrid w:val="0"/>
          <w:lang w:val="en-GB"/>
        </w:rPr>
        <w:t>the strength of the supporting evidence is limited</w:t>
      </w:r>
      <w:r w:rsidR="005B3F45">
        <w:rPr>
          <w:rFonts w:asciiTheme="minorHAnsi" w:hAnsiTheme="minorHAnsi" w:cs="Arial"/>
          <w:bCs/>
          <w:snapToGrid w:val="0"/>
          <w:lang w:val="en-GB"/>
        </w:rPr>
        <w:t xml:space="preserve"> by the use of naïve indirect comparisons</w:t>
      </w:r>
      <w:r w:rsidR="00F8143C">
        <w:rPr>
          <w:rFonts w:asciiTheme="minorHAnsi" w:hAnsiTheme="minorHAnsi" w:cs="Arial"/>
          <w:bCs/>
          <w:snapToGrid w:val="0"/>
          <w:lang w:val="en-GB"/>
        </w:rPr>
        <w:t xml:space="preserve">, </w:t>
      </w:r>
      <w:r w:rsidR="00CD6535" w:rsidRPr="00DC67A5">
        <w:rPr>
          <w:rFonts w:asciiTheme="minorHAnsi" w:hAnsiTheme="minorHAnsi" w:cs="Arial"/>
          <w:bCs/>
          <w:snapToGrid w:val="0"/>
          <w:lang w:val="en-GB"/>
        </w:rPr>
        <w:t xml:space="preserve">the assumption of similar effectiveness between </w:t>
      </w:r>
      <w:proofErr w:type="spellStart"/>
      <w:r w:rsidR="00CD6535" w:rsidRPr="00DC67A5">
        <w:rPr>
          <w:rFonts w:asciiTheme="minorHAnsi" w:hAnsiTheme="minorHAnsi" w:cs="Arial"/>
          <w:bCs/>
          <w:snapToGrid w:val="0"/>
          <w:lang w:val="en-GB"/>
        </w:rPr>
        <w:t>ibrutinib</w:t>
      </w:r>
      <w:proofErr w:type="spellEnd"/>
      <w:r w:rsidR="00CD6535" w:rsidRPr="00DC67A5">
        <w:rPr>
          <w:rFonts w:asciiTheme="minorHAnsi" w:hAnsiTheme="minorHAnsi" w:cs="Arial"/>
          <w:bCs/>
          <w:snapToGrid w:val="0"/>
          <w:lang w:val="en-GB"/>
        </w:rPr>
        <w:t xml:space="preserve"> monotherapy and </w:t>
      </w:r>
      <w:proofErr w:type="spellStart"/>
      <w:r w:rsidR="00CD6535" w:rsidRPr="00DC67A5">
        <w:rPr>
          <w:rFonts w:asciiTheme="minorHAnsi" w:hAnsiTheme="minorHAnsi" w:cs="Arial"/>
          <w:bCs/>
          <w:snapToGrid w:val="0"/>
          <w:lang w:val="en-GB"/>
        </w:rPr>
        <w:t>ibr+obi</w:t>
      </w:r>
      <w:proofErr w:type="spellEnd"/>
      <w:r w:rsidR="00CD6535" w:rsidRPr="00DC67A5">
        <w:rPr>
          <w:rFonts w:asciiTheme="minorHAnsi" w:hAnsiTheme="minorHAnsi" w:cs="Arial"/>
          <w:bCs/>
          <w:snapToGrid w:val="0"/>
          <w:lang w:val="en-GB"/>
        </w:rPr>
        <w:t xml:space="preserve"> in this population was plausible. </w:t>
      </w:r>
      <w:r w:rsidR="005B3F45">
        <w:rPr>
          <w:rFonts w:asciiTheme="minorHAnsi" w:hAnsiTheme="minorHAnsi" w:cs="Arial"/>
          <w:bCs/>
          <w:snapToGrid w:val="0"/>
          <w:lang w:val="en-GB"/>
        </w:rPr>
        <w:t>As such, the PBAC considered the</w:t>
      </w:r>
      <w:r w:rsidR="005B3F45">
        <w:t xml:space="preserve"> claim of superior PFS for</w:t>
      </w:r>
      <w:r w:rsidRPr="00E773B1">
        <w:t xml:space="preserve"> i</w:t>
      </w:r>
      <w:r w:rsidR="005B3F45">
        <w:t>brutinib monotherapy compared</w:t>
      </w:r>
      <w:r w:rsidRPr="00E773B1">
        <w:t xml:space="preserve"> to </w:t>
      </w:r>
      <w:proofErr w:type="spellStart"/>
      <w:r w:rsidRPr="00E773B1">
        <w:t>obi+chl</w:t>
      </w:r>
      <w:proofErr w:type="spellEnd"/>
      <w:r w:rsidRPr="00E773B1">
        <w:t xml:space="preserve"> was uncertain but not unreasonable. </w:t>
      </w:r>
    </w:p>
    <w:p w:rsidR="00D6081E" w:rsidRPr="00D6081E" w:rsidRDefault="00D6081E" w:rsidP="00B2597F">
      <w:pPr>
        <w:widowControl w:val="0"/>
        <w:numPr>
          <w:ilvl w:val="1"/>
          <w:numId w:val="1"/>
        </w:numPr>
        <w:spacing w:after="120"/>
        <w:rPr>
          <w:rFonts w:asciiTheme="minorHAnsi" w:hAnsiTheme="minorHAnsi" w:cs="Arial"/>
          <w:bCs/>
          <w:snapToGrid w:val="0"/>
          <w:lang w:val="en-GB"/>
        </w:rPr>
      </w:pPr>
      <w:r>
        <w:rPr>
          <w:iCs/>
        </w:rPr>
        <w:t xml:space="preserve">The PBAC accepted the </w:t>
      </w:r>
      <w:r w:rsidRPr="00E773B1">
        <w:rPr>
          <w:iCs/>
        </w:rPr>
        <w:t xml:space="preserve">resubmissions claim that the </w:t>
      </w:r>
      <w:r w:rsidRPr="00E773B1">
        <w:t xml:space="preserve">safety of </w:t>
      </w:r>
      <w:proofErr w:type="spellStart"/>
      <w:r w:rsidRPr="00E773B1">
        <w:t>ibr+obi</w:t>
      </w:r>
      <w:proofErr w:type="spellEnd"/>
      <w:r w:rsidRPr="00E773B1">
        <w:t xml:space="preserve"> was non-inferior to </w:t>
      </w:r>
      <w:proofErr w:type="spellStart"/>
      <w:r w:rsidRPr="00E773B1">
        <w:t>obi+chl</w:t>
      </w:r>
      <w:proofErr w:type="spellEnd"/>
      <w:r w:rsidRPr="00E773B1">
        <w:t xml:space="preserve"> during the first 9 months of treatment and inferior beyond 9 months </w:t>
      </w:r>
      <w:r>
        <w:t xml:space="preserve">based on data from the ILLUMINATE trial. In addition, the PBAC considered that despite the use of naïve indirect comparisons it was reasonable to assume non-inferior safety of ibrutinib monotherapy compared to </w:t>
      </w:r>
      <w:proofErr w:type="spellStart"/>
      <w:r>
        <w:t>obi+chl</w:t>
      </w:r>
      <w:proofErr w:type="spellEnd"/>
      <w:r>
        <w:t xml:space="preserve"> during the first 9 months of treatment and inferior safety thereafter. </w:t>
      </w:r>
    </w:p>
    <w:p w:rsidR="00A26294" w:rsidRDefault="00780BCF" w:rsidP="00B2597F">
      <w:pPr>
        <w:widowControl w:val="0"/>
        <w:numPr>
          <w:ilvl w:val="1"/>
          <w:numId w:val="1"/>
        </w:numPr>
        <w:spacing w:after="120"/>
        <w:rPr>
          <w:rFonts w:asciiTheme="minorHAnsi" w:hAnsiTheme="minorHAnsi" w:cs="Arial"/>
          <w:bCs/>
          <w:snapToGrid w:val="0"/>
          <w:lang w:val="en-GB"/>
        </w:rPr>
      </w:pPr>
      <w:r w:rsidRPr="00780BCF">
        <w:rPr>
          <w:rFonts w:asciiTheme="minorHAnsi" w:hAnsiTheme="minorHAnsi" w:cs="Arial"/>
          <w:bCs/>
          <w:snapToGrid w:val="0"/>
          <w:lang w:val="en-GB"/>
        </w:rPr>
        <w:t xml:space="preserve">The </w:t>
      </w:r>
      <w:r w:rsidR="00BA757E">
        <w:rPr>
          <w:rFonts w:asciiTheme="minorHAnsi" w:hAnsiTheme="minorHAnsi" w:cs="Arial"/>
          <w:bCs/>
          <w:snapToGrid w:val="0"/>
          <w:lang w:val="en-GB"/>
        </w:rPr>
        <w:t xml:space="preserve">PBAC noted the </w:t>
      </w:r>
      <w:r w:rsidR="00830264">
        <w:rPr>
          <w:rFonts w:asciiTheme="minorHAnsi" w:hAnsiTheme="minorHAnsi" w:cs="Arial"/>
          <w:bCs/>
          <w:snapToGrid w:val="0"/>
          <w:lang w:val="en-GB"/>
        </w:rPr>
        <w:t>economic model used</w:t>
      </w:r>
      <w:r w:rsidRPr="00780BCF">
        <w:rPr>
          <w:rFonts w:asciiTheme="minorHAnsi" w:hAnsiTheme="minorHAnsi" w:cs="Arial"/>
          <w:bCs/>
          <w:snapToGrid w:val="0"/>
          <w:lang w:val="en-GB"/>
        </w:rPr>
        <w:t xml:space="preserve"> clinical data for </w:t>
      </w:r>
      <w:proofErr w:type="spellStart"/>
      <w:r w:rsidRPr="00780BCF">
        <w:rPr>
          <w:rFonts w:asciiTheme="minorHAnsi" w:hAnsiTheme="minorHAnsi" w:cs="Arial"/>
          <w:bCs/>
          <w:snapToGrid w:val="0"/>
          <w:lang w:val="en-GB"/>
        </w:rPr>
        <w:t>ibr+obi</w:t>
      </w:r>
      <w:proofErr w:type="spellEnd"/>
      <w:r w:rsidRPr="00780BCF">
        <w:rPr>
          <w:rFonts w:asciiTheme="minorHAnsi" w:hAnsiTheme="minorHAnsi" w:cs="Arial"/>
          <w:bCs/>
          <w:snapToGrid w:val="0"/>
          <w:lang w:val="en-GB"/>
        </w:rPr>
        <w:t xml:space="preserve"> as being representative of ibrutinib monotherapy</w:t>
      </w:r>
      <w:r w:rsidR="00BA757E">
        <w:rPr>
          <w:rFonts w:asciiTheme="minorHAnsi" w:hAnsiTheme="minorHAnsi" w:cs="Arial"/>
          <w:bCs/>
          <w:snapToGrid w:val="0"/>
          <w:lang w:val="en-GB"/>
        </w:rPr>
        <w:t xml:space="preserve"> with the impact of this unable to be tested in a sensitivity analysis</w:t>
      </w:r>
      <w:r w:rsidRPr="00780BCF">
        <w:rPr>
          <w:rFonts w:asciiTheme="minorHAnsi" w:hAnsiTheme="minorHAnsi" w:cs="Arial"/>
          <w:bCs/>
          <w:snapToGrid w:val="0"/>
          <w:lang w:val="en-GB"/>
        </w:rPr>
        <w:t xml:space="preserve">. </w:t>
      </w:r>
      <w:r w:rsidR="00BA757E">
        <w:rPr>
          <w:rFonts w:asciiTheme="minorHAnsi" w:hAnsiTheme="minorHAnsi" w:cs="Arial"/>
          <w:bCs/>
          <w:snapToGrid w:val="0"/>
          <w:lang w:val="en-GB"/>
        </w:rPr>
        <w:t>T</w:t>
      </w:r>
      <w:r w:rsidRPr="00780BCF">
        <w:rPr>
          <w:rFonts w:asciiTheme="minorHAnsi" w:hAnsiTheme="minorHAnsi" w:cs="Arial"/>
          <w:bCs/>
          <w:snapToGrid w:val="0"/>
          <w:lang w:val="en-GB"/>
        </w:rPr>
        <w:t xml:space="preserve">he </w:t>
      </w:r>
      <w:r w:rsidR="00BA757E">
        <w:rPr>
          <w:rFonts w:asciiTheme="minorHAnsi" w:hAnsiTheme="minorHAnsi" w:cs="Arial"/>
          <w:bCs/>
          <w:snapToGrid w:val="0"/>
          <w:lang w:val="en-GB"/>
        </w:rPr>
        <w:t>PBAC agreed with the ESC that</w:t>
      </w:r>
      <w:r w:rsidRPr="00780BCF">
        <w:rPr>
          <w:rFonts w:asciiTheme="minorHAnsi" w:hAnsiTheme="minorHAnsi" w:cs="Arial"/>
          <w:bCs/>
          <w:snapToGrid w:val="0"/>
          <w:lang w:val="en-GB"/>
        </w:rPr>
        <w:t xml:space="preserve"> the PFS benefit attributed to ibrutinib is a key driver of the economic model and, given the </w:t>
      </w:r>
      <w:r w:rsidR="00BA757E">
        <w:rPr>
          <w:rFonts w:asciiTheme="minorHAnsi" w:hAnsiTheme="minorHAnsi" w:cs="Arial"/>
          <w:bCs/>
          <w:snapToGrid w:val="0"/>
          <w:lang w:val="en-GB"/>
        </w:rPr>
        <w:t xml:space="preserve">accepted but </w:t>
      </w:r>
      <w:r w:rsidRPr="00780BCF">
        <w:rPr>
          <w:rFonts w:asciiTheme="minorHAnsi" w:hAnsiTheme="minorHAnsi" w:cs="Arial"/>
          <w:bCs/>
          <w:snapToGrid w:val="0"/>
          <w:lang w:val="en-GB"/>
        </w:rPr>
        <w:t xml:space="preserve">limited evidence base, a primary source of uncertainty.  </w:t>
      </w:r>
    </w:p>
    <w:p w:rsidR="00A3739C" w:rsidRPr="00A3739C" w:rsidRDefault="00A26294" w:rsidP="00B2597F">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considered the ICER to be highly dependent on the </w:t>
      </w:r>
      <w:r w:rsidR="00F93BB0" w:rsidRPr="00E773B1">
        <w:t xml:space="preserve">expected average price of ibrutinib and venetoclax </w:t>
      </w:r>
      <w:r w:rsidR="00F93BB0">
        <w:t>for R/R CLL/SLL</w:t>
      </w:r>
      <w:r w:rsidR="003B4EE5">
        <w:t xml:space="preserve"> and </w:t>
      </w:r>
      <w:r w:rsidR="003456A6">
        <w:t xml:space="preserve">the second </w:t>
      </w:r>
      <w:r w:rsidR="00F93BB0">
        <w:t>line PFS extrapolation function</w:t>
      </w:r>
      <w:r w:rsidR="003B4EE5">
        <w:t xml:space="preserve"> used in the model</w:t>
      </w:r>
      <w:r w:rsidR="00F93BB0">
        <w:t xml:space="preserve">. </w:t>
      </w:r>
    </w:p>
    <w:p w:rsidR="00081677" w:rsidRPr="00081677" w:rsidRDefault="00045E49" w:rsidP="00B2597F">
      <w:pPr>
        <w:widowControl w:val="0"/>
        <w:numPr>
          <w:ilvl w:val="1"/>
          <w:numId w:val="1"/>
        </w:numPr>
        <w:spacing w:after="120"/>
        <w:rPr>
          <w:rFonts w:asciiTheme="minorHAnsi" w:hAnsiTheme="minorHAnsi" w:cs="Arial"/>
          <w:bCs/>
          <w:snapToGrid w:val="0"/>
          <w:lang w:val="en-GB"/>
        </w:rPr>
      </w:pPr>
      <w:r>
        <w:t>The PBAC noted the</w:t>
      </w:r>
      <w:r w:rsidR="0008314E">
        <w:t xml:space="preserve"> RSA in place in the R/R CLL/SLL setting determines </w:t>
      </w:r>
      <w:r w:rsidR="007E3667">
        <w:rPr>
          <w:iCs/>
          <w:noProof/>
          <w:color w:val="000000"/>
          <w:highlight w:val="black"/>
        </w:rPr>
        <w:t>''''''''''''''''''''''' ''''''''''' '''''' '''''''''''''''' ''''''' '''''''''''''''''' '''' ''''''''' '''''' ''''''''' ''''''' '''''''' '''''''''''''''' ''''''' ''''''''''''''''''''</w:t>
      </w:r>
      <w:r w:rsidR="0008314E">
        <w:rPr>
          <w:iCs/>
        </w:rPr>
        <w:t xml:space="preserve">. </w:t>
      </w:r>
      <w:r w:rsidR="00D209AA">
        <w:rPr>
          <w:iCs/>
        </w:rPr>
        <w:t xml:space="preserve">As the economic model </w:t>
      </w:r>
      <w:r w:rsidR="00D209AA" w:rsidRPr="009F515C">
        <w:rPr>
          <w:iCs/>
        </w:rPr>
        <w:t>assesse</w:t>
      </w:r>
      <w:r w:rsidR="00F45504">
        <w:rPr>
          <w:iCs/>
        </w:rPr>
        <w:t>d</w:t>
      </w:r>
      <w:r w:rsidR="00D209AA" w:rsidRPr="009F515C">
        <w:rPr>
          <w:iCs/>
        </w:rPr>
        <w:t xml:space="preserve"> ibrutinib in first-line CLL/SLL in high risk patients </w:t>
      </w:r>
      <w:r w:rsidR="00D209AA">
        <w:rPr>
          <w:iCs/>
        </w:rPr>
        <w:t xml:space="preserve">the PBAC considered the use of the </w:t>
      </w:r>
      <w:r w:rsidR="0008314E" w:rsidRPr="0008314E">
        <w:rPr>
          <w:iCs/>
        </w:rPr>
        <w:t xml:space="preserve">cost-effective price of ibrutinib and venetoclax for R/R CLL/SLL </w:t>
      </w:r>
      <w:r w:rsidR="005C028B" w:rsidRPr="005C028B">
        <w:rPr>
          <w:iCs/>
        </w:rPr>
        <w:t xml:space="preserve">for the </w:t>
      </w:r>
      <w:r w:rsidR="007E3667">
        <w:rPr>
          <w:iCs/>
          <w:noProof/>
          <w:color w:val="000000"/>
          <w:highlight w:val="black"/>
        </w:rPr>
        <w:t>'''''''' ''''''' '''''''''''''''''''</w:t>
      </w:r>
      <w:r w:rsidR="005C028B">
        <w:rPr>
          <w:iCs/>
        </w:rPr>
        <w:t xml:space="preserve"> </w:t>
      </w:r>
      <w:r w:rsidR="00421C8E">
        <w:rPr>
          <w:iCs/>
        </w:rPr>
        <w:t>($</w:t>
      </w:r>
      <w:r w:rsidR="007E3667">
        <w:rPr>
          <w:iCs/>
          <w:noProof/>
          <w:color w:val="000000"/>
          <w:highlight w:val="black"/>
        </w:rPr>
        <w:t>''''''''''''</w:t>
      </w:r>
      <w:r w:rsidR="00421C8E">
        <w:rPr>
          <w:iCs/>
        </w:rPr>
        <w:t>)</w:t>
      </w:r>
      <w:r w:rsidR="0008314E" w:rsidRPr="0008314E">
        <w:rPr>
          <w:iCs/>
        </w:rPr>
        <w:t xml:space="preserve"> appropriate</w:t>
      </w:r>
      <w:r w:rsidR="00D209AA">
        <w:rPr>
          <w:iCs/>
        </w:rPr>
        <w:t>.</w:t>
      </w:r>
      <w:r w:rsidR="00A3739C">
        <w:rPr>
          <w:iCs/>
        </w:rPr>
        <w:t xml:space="preserve"> The PBAC noted reducing the price of ibrutinib and venetoclax when used in the R/R setting from $</w:t>
      </w:r>
      <w:r w:rsidR="007E3667">
        <w:rPr>
          <w:iCs/>
          <w:noProof/>
          <w:color w:val="000000"/>
          <w:highlight w:val="black"/>
        </w:rPr>
        <w:t>''''''''''</w:t>
      </w:r>
      <w:r w:rsidR="00A3739C">
        <w:rPr>
          <w:iCs/>
        </w:rPr>
        <w:t xml:space="preserve"> to $</w:t>
      </w:r>
      <w:r w:rsidR="007E3667">
        <w:rPr>
          <w:iCs/>
          <w:noProof/>
          <w:color w:val="000000"/>
          <w:highlight w:val="black"/>
        </w:rPr>
        <w:t>''''''''''''</w:t>
      </w:r>
      <w:r w:rsidR="00A3739C">
        <w:rPr>
          <w:iCs/>
        </w:rPr>
        <w:t xml:space="preserve"> increased the ICER to </w:t>
      </w:r>
      <w:proofErr w:type="gramStart"/>
      <w:r w:rsidR="00F43E36">
        <w:rPr>
          <w:iCs/>
        </w:rPr>
        <w:t xml:space="preserve">approximately </w:t>
      </w:r>
      <w:r w:rsidR="00A3739C">
        <w:rPr>
          <w:iCs/>
        </w:rPr>
        <w:t xml:space="preserve"> </w:t>
      </w:r>
      <w:r w:rsidR="002059F6">
        <w:rPr>
          <w:iCs/>
        </w:rPr>
        <w:t>$</w:t>
      </w:r>
      <w:proofErr w:type="gramEnd"/>
      <w:r w:rsidR="002059F6">
        <w:rPr>
          <w:iCs/>
        </w:rPr>
        <w:t xml:space="preserve">75,000 - $105,000 </w:t>
      </w:r>
      <w:r w:rsidR="00A3739C">
        <w:rPr>
          <w:iCs/>
        </w:rPr>
        <w:t>per QALY gained.</w:t>
      </w:r>
      <w:r w:rsidR="00D209AA">
        <w:rPr>
          <w:iCs/>
        </w:rPr>
        <w:t xml:space="preserve"> </w:t>
      </w:r>
    </w:p>
    <w:p w:rsidR="00780BCF" w:rsidRPr="002E53FB" w:rsidRDefault="00D209AA" w:rsidP="00B2597F">
      <w:pPr>
        <w:widowControl w:val="0"/>
        <w:numPr>
          <w:ilvl w:val="1"/>
          <w:numId w:val="1"/>
        </w:numPr>
        <w:spacing w:after="120"/>
        <w:rPr>
          <w:rFonts w:asciiTheme="minorHAnsi" w:hAnsiTheme="minorHAnsi" w:cs="Arial"/>
          <w:bCs/>
          <w:snapToGrid w:val="0"/>
          <w:lang w:val="en-GB"/>
        </w:rPr>
      </w:pPr>
      <w:r w:rsidRPr="00045E49">
        <w:rPr>
          <w:iCs/>
        </w:rPr>
        <w:t xml:space="preserve">The PBAC </w:t>
      </w:r>
      <w:r w:rsidR="00081677" w:rsidRPr="00045E49">
        <w:rPr>
          <w:iCs/>
        </w:rPr>
        <w:t>considered that</w:t>
      </w:r>
      <w:r w:rsidR="00045E49">
        <w:rPr>
          <w:iCs/>
        </w:rPr>
        <w:t>,</w:t>
      </w:r>
      <w:r w:rsidR="00081677" w:rsidRPr="00045E49">
        <w:rPr>
          <w:iCs/>
        </w:rPr>
        <w:t xml:space="preserve"> given the uncertainty associated with the </w:t>
      </w:r>
      <w:r w:rsidR="007C4AFD" w:rsidRPr="00045E49">
        <w:rPr>
          <w:iCs/>
        </w:rPr>
        <w:t xml:space="preserve">modelled </w:t>
      </w:r>
      <w:r w:rsidR="00081677" w:rsidRPr="00045E49">
        <w:rPr>
          <w:iCs/>
        </w:rPr>
        <w:t>PFS</w:t>
      </w:r>
      <w:r w:rsidR="00045E49">
        <w:rPr>
          <w:iCs/>
        </w:rPr>
        <w:t xml:space="preserve">, </w:t>
      </w:r>
      <w:r w:rsidR="00081677" w:rsidRPr="00045E49">
        <w:rPr>
          <w:iCs/>
        </w:rPr>
        <w:t>the use of conservative PFS extrapolation function</w:t>
      </w:r>
      <w:r w:rsidR="007C4AFD" w:rsidRPr="00045E49">
        <w:rPr>
          <w:iCs/>
        </w:rPr>
        <w:t xml:space="preserve">s in the first-line and second line </w:t>
      </w:r>
      <w:r w:rsidR="007C4AFD" w:rsidRPr="00045E49">
        <w:rPr>
          <w:iCs/>
        </w:rPr>
        <w:lastRenderedPageBreak/>
        <w:t xml:space="preserve">settings was appropriate. As such, the PBAC considered that </w:t>
      </w:r>
      <w:r w:rsidR="003456A6" w:rsidRPr="00045E49">
        <w:rPr>
          <w:iCs/>
        </w:rPr>
        <w:t>the</w:t>
      </w:r>
      <w:r w:rsidRPr="00045E49">
        <w:rPr>
          <w:iCs/>
        </w:rPr>
        <w:t xml:space="preserve"> </w:t>
      </w:r>
      <w:r w:rsidR="003456A6" w:rsidRPr="00045E49">
        <w:rPr>
          <w:iCs/>
        </w:rPr>
        <w:t xml:space="preserve">Weibull function was more appropriate for the extrapolation of second line PFS than the selected exponential function. Using </w:t>
      </w:r>
      <w:r w:rsidR="00045E49" w:rsidRPr="00045E49">
        <w:rPr>
          <w:iCs/>
        </w:rPr>
        <w:t xml:space="preserve">a </w:t>
      </w:r>
      <w:r w:rsidR="00045E49">
        <w:t>DPMQ of $</w:t>
      </w:r>
      <w:r w:rsidR="007E3667">
        <w:rPr>
          <w:noProof/>
          <w:color w:val="000000"/>
          <w:highlight w:val="black"/>
        </w:rPr>
        <w:t>''''''''''</w:t>
      </w:r>
      <w:r w:rsidR="00045E49">
        <w:t xml:space="preserve"> for ibrutinib and venetoclax in the R/R setting, and Weibull functions for </w:t>
      </w:r>
      <w:r w:rsidR="00045E49" w:rsidRPr="00045E49">
        <w:rPr>
          <w:iCs/>
        </w:rPr>
        <w:t>both first and second-line PFS extrapolation</w:t>
      </w:r>
      <w:r w:rsidR="00045E49">
        <w:rPr>
          <w:iCs/>
        </w:rPr>
        <w:t>,</w:t>
      </w:r>
      <w:r w:rsidR="00045E49" w:rsidRPr="00045E49">
        <w:rPr>
          <w:iCs/>
        </w:rPr>
        <w:t xml:space="preserve"> </w:t>
      </w:r>
      <w:r w:rsidR="00A3739C">
        <w:rPr>
          <w:iCs/>
        </w:rPr>
        <w:t>the ICER was</w:t>
      </w:r>
      <w:r w:rsidR="001F4E49">
        <w:rPr>
          <w:iCs/>
        </w:rPr>
        <w:t xml:space="preserve"> between $105,000 and $200,000</w:t>
      </w:r>
      <w:r w:rsidR="00A3739C">
        <w:rPr>
          <w:iCs/>
        </w:rPr>
        <w:t xml:space="preserve"> per QALY gained</w:t>
      </w:r>
      <w:r w:rsidR="003456A6">
        <w:t xml:space="preserve">. </w:t>
      </w:r>
    </w:p>
    <w:p w:rsidR="002E53FB" w:rsidRPr="00045E49" w:rsidRDefault="002E53FB" w:rsidP="00B2597F">
      <w:pPr>
        <w:widowControl w:val="0"/>
        <w:numPr>
          <w:ilvl w:val="1"/>
          <w:numId w:val="1"/>
        </w:numPr>
        <w:spacing w:after="120"/>
        <w:rPr>
          <w:rFonts w:asciiTheme="minorHAnsi" w:hAnsiTheme="minorHAnsi" w:cs="Arial"/>
          <w:bCs/>
          <w:snapToGrid w:val="0"/>
          <w:lang w:val="en-GB"/>
        </w:rPr>
      </w:pPr>
      <w:r>
        <w:t>The PBAC considered that ibrutinib was not cost-effective at the price pr</w:t>
      </w:r>
      <w:r w:rsidR="00C64323">
        <w:t>oposed in the submission (DPMQ $</w:t>
      </w:r>
      <w:r w:rsidR="007E3667">
        <w:rPr>
          <w:noProof/>
          <w:color w:val="000000"/>
          <w:highlight w:val="black"/>
        </w:rPr>
        <w:t>'''''''''''''''</w:t>
      </w:r>
      <w:r w:rsidR="00EE5B93">
        <w:t>).</w:t>
      </w:r>
      <w:r>
        <w:t xml:space="preserve"> </w:t>
      </w:r>
      <w:r w:rsidR="00EE5B93">
        <w:t>H</w:t>
      </w:r>
      <w:r>
        <w:t>owever</w:t>
      </w:r>
      <w:r w:rsidR="00EE5B93">
        <w:t>, the PBAC</w:t>
      </w:r>
      <w:r>
        <w:t xml:space="preserve"> noted</w:t>
      </w:r>
      <w:r w:rsidR="00EE5B93">
        <w:t xml:space="preserve"> that</w:t>
      </w:r>
      <w:r>
        <w:t xml:space="preserve"> if the </w:t>
      </w:r>
      <w:r w:rsidR="00EE5B93">
        <w:t>first-line</w:t>
      </w:r>
      <w:r w:rsidR="00CD4F62">
        <w:t xml:space="preserve"> average</w:t>
      </w:r>
      <w:r w:rsidR="00EE5B93">
        <w:t xml:space="preserve"> </w:t>
      </w:r>
      <w:r>
        <w:t>price was the same as for use in the R/R setting</w:t>
      </w:r>
      <w:r w:rsidR="00EE5B93">
        <w:t xml:space="preserve"> ($</w:t>
      </w:r>
      <w:r w:rsidR="007E3667">
        <w:rPr>
          <w:noProof/>
          <w:color w:val="000000"/>
          <w:highlight w:val="black"/>
        </w:rPr>
        <w:t>'''''''''''</w:t>
      </w:r>
      <w:r w:rsidR="00EE5B93">
        <w:t>),</w:t>
      </w:r>
      <w:r>
        <w:t xml:space="preserve"> the ICERs decreased to </w:t>
      </w:r>
      <w:r w:rsidR="00F43E36">
        <w:t>approximately</w:t>
      </w:r>
      <w:r w:rsidR="00197214">
        <w:t xml:space="preserve"> $15,000-$45,000</w:t>
      </w:r>
      <w:r w:rsidR="00BB61F2">
        <w:rPr>
          <w:rStyle w:val="FootnoteReference"/>
        </w:rPr>
        <w:footnoteReference w:id="9"/>
      </w:r>
      <w:r w:rsidR="00EE5B93">
        <w:t xml:space="preserve"> (with expon</w:t>
      </w:r>
      <w:r w:rsidR="00C9579E">
        <w:t>ent</w:t>
      </w:r>
      <w:r w:rsidR="00EE5B93">
        <w:t>ial extrapolation of second-line PFS)</w:t>
      </w:r>
      <w:r>
        <w:t xml:space="preserve"> </w:t>
      </w:r>
      <w:r w:rsidR="001F6D7E">
        <w:t xml:space="preserve">or </w:t>
      </w:r>
      <w:r>
        <w:t xml:space="preserve">to </w:t>
      </w:r>
      <w:r w:rsidR="00F43E36">
        <w:t xml:space="preserve">approximately </w:t>
      </w:r>
      <w:r w:rsidR="00197214">
        <w:t>$75,000-$105,000</w:t>
      </w:r>
      <w:r>
        <w:t xml:space="preserve">(with Weibull </w:t>
      </w:r>
      <w:r w:rsidR="00EE5B93">
        <w:t>extrapolation of PFS</w:t>
      </w:r>
      <w:r>
        <w:t>)</w:t>
      </w:r>
      <w:r w:rsidR="00EE5B93">
        <w:t xml:space="preserve"> and accepted that under this scenario ibrutinib for the first-line treatment of CLL/SLL patients with del17p was cost-effective</w:t>
      </w:r>
      <w:r>
        <w:t xml:space="preserve">. </w:t>
      </w:r>
    </w:p>
    <w:p w:rsidR="00804C97" w:rsidRPr="00804C97" w:rsidRDefault="00D72E52" w:rsidP="00B2597F">
      <w:pPr>
        <w:widowControl w:val="0"/>
        <w:numPr>
          <w:ilvl w:val="1"/>
          <w:numId w:val="1"/>
        </w:numPr>
        <w:spacing w:after="120"/>
        <w:rPr>
          <w:rFonts w:asciiTheme="minorHAnsi" w:hAnsiTheme="minorHAnsi" w:cs="Arial"/>
          <w:bCs/>
          <w:snapToGrid w:val="0"/>
          <w:lang w:val="en-GB"/>
        </w:rPr>
      </w:pPr>
      <w:r>
        <w:t xml:space="preserve">The </w:t>
      </w:r>
      <w:r w:rsidR="00F17838">
        <w:t>PBAC considered that the mean proportion returned by the meta-analysis (</w:t>
      </w:r>
      <w:proofErr w:type="gramStart"/>
      <w:r w:rsidR="007E3667">
        <w:rPr>
          <w:noProof/>
          <w:color w:val="000000"/>
          <w:highlight w:val="black"/>
        </w:rPr>
        <w:t>''</w:t>
      </w:r>
      <w:r w:rsidR="00F17838">
        <w:t>%</w:t>
      </w:r>
      <w:proofErr w:type="gramEnd"/>
      <w:r w:rsidR="00F17838">
        <w:t>), rather than the 95% CI upper limit (</w:t>
      </w:r>
      <w:r w:rsidR="007E3667">
        <w:rPr>
          <w:noProof/>
          <w:color w:val="000000"/>
          <w:highlight w:val="black"/>
        </w:rPr>
        <w:t>''</w:t>
      </w:r>
      <w:r w:rsidR="00F17838">
        <w:t>%), should be used in the financial estimates</w:t>
      </w:r>
      <w:r w:rsidR="00830264">
        <w:t xml:space="preserve"> to determine the proportion of CLL/SLL patients with del17p</w:t>
      </w:r>
      <w:r w:rsidR="00F17838">
        <w:t>.  In addition,</w:t>
      </w:r>
      <w:r w:rsidR="00021FB0">
        <w:t xml:space="preserve"> the PBAC advised that prevalent patients should be excluded from the financial estimates </w:t>
      </w:r>
      <w:r w:rsidR="00830264">
        <w:t xml:space="preserve">as </w:t>
      </w:r>
      <w:r w:rsidR="00F17838">
        <w:rPr>
          <w:iCs/>
        </w:rPr>
        <w:t xml:space="preserve">rapid disease progression </w:t>
      </w:r>
      <w:r w:rsidR="00830264">
        <w:rPr>
          <w:iCs/>
        </w:rPr>
        <w:t>in this population means</w:t>
      </w:r>
      <w:r w:rsidR="00021FB0">
        <w:rPr>
          <w:iCs/>
        </w:rPr>
        <w:t xml:space="preserve"> that prevalen</w:t>
      </w:r>
      <w:r w:rsidR="00830264">
        <w:rPr>
          <w:iCs/>
        </w:rPr>
        <w:t xml:space="preserve">t del17p patients would </w:t>
      </w:r>
      <w:r w:rsidR="00021FB0">
        <w:rPr>
          <w:iCs/>
        </w:rPr>
        <w:t>have</w:t>
      </w:r>
      <w:r w:rsidR="00F45504">
        <w:rPr>
          <w:iCs/>
        </w:rPr>
        <w:t xml:space="preserve"> already</w:t>
      </w:r>
      <w:r w:rsidR="00021FB0">
        <w:rPr>
          <w:iCs/>
        </w:rPr>
        <w:t xml:space="preserve"> commenced </w:t>
      </w:r>
      <w:r w:rsidR="00F17838">
        <w:rPr>
          <w:iCs/>
        </w:rPr>
        <w:t>first-line therapy.</w:t>
      </w:r>
      <w:r w:rsidR="00021FB0">
        <w:rPr>
          <w:iCs/>
        </w:rPr>
        <w:t xml:space="preserve"> </w:t>
      </w:r>
      <w:r w:rsidR="00021FB0">
        <w:t>Hence, t</w:t>
      </w:r>
      <w:r w:rsidR="00F17838">
        <w:t xml:space="preserve">he PBAC advised that </w:t>
      </w:r>
      <w:r w:rsidR="00830264">
        <w:rPr>
          <w:iCs/>
        </w:rPr>
        <w:t xml:space="preserve">estimates based on </w:t>
      </w:r>
      <w:r w:rsidR="007E3667">
        <w:rPr>
          <w:iCs/>
          <w:noProof/>
          <w:color w:val="000000"/>
          <w:highlight w:val="black"/>
        </w:rPr>
        <w:t>''</w:t>
      </w:r>
      <w:r w:rsidR="005E3A99">
        <w:rPr>
          <w:iCs/>
        </w:rPr>
        <w:t xml:space="preserve">% of </w:t>
      </w:r>
      <w:r w:rsidR="00830264">
        <w:rPr>
          <w:iCs/>
        </w:rPr>
        <w:t xml:space="preserve">CLL/SLL </w:t>
      </w:r>
      <w:r w:rsidR="005E3A99">
        <w:rPr>
          <w:iCs/>
        </w:rPr>
        <w:t>with</w:t>
      </w:r>
      <w:r w:rsidR="00830264">
        <w:rPr>
          <w:iCs/>
        </w:rPr>
        <w:t xml:space="preserve"> del17p </w:t>
      </w:r>
      <w:r w:rsidR="005E3A99">
        <w:rPr>
          <w:iCs/>
        </w:rPr>
        <w:t xml:space="preserve">and </w:t>
      </w:r>
      <w:r w:rsidR="00F17838" w:rsidRPr="00093A9C">
        <w:rPr>
          <w:iCs/>
        </w:rPr>
        <w:t>with prevalent patients excluded</w:t>
      </w:r>
      <w:r w:rsidR="00F17838">
        <w:rPr>
          <w:iCs/>
        </w:rPr>
        <w:t xml:space="preserve"> were appropriate </w:t>
      </w:r>
      <w:r w:rsidR="00830264">
        <w:rPr>
          <w:iCs/>
        </w:rPr>
        <w:t xml:space="preserve">to determine </w:t>
      </w:r>
      <w:r w:rsidR="00F17838">
        <w:t xml:space="preserve">the proposed PBS population of del17p CLL/SLL patients. </w:t>
      </w:r>
    </w:p>
    <w:p w:rsidR="005E54A9" w:rsidRDefault="00C20BD0" w:rsidP="005E54A9">
      <w:pPr>
        <w:widowControl w:val="0"/>
        <w:numPr>
          <w:ilvl w:val="1"/>
          <w:numId w:val="1"/>
        </w:numPr>
        <w:spacing w:after="120"/>
        <w:rPr>
          <w:rFonts w:asciiTheme="minorHAnsi" w:hAnsiTheme="minorHAnsi" w:cs="Arial"/>
          <w:bCs/>
          <w:snapToGrid w:val="0"/>
          <w:lang w:val="en-GB"/>
        </w:rPr>
      </w:pPr>
      <w:r w:rsidRPr="002F48C7">
        <w:rPr>
          <w:rFonts w:asciiTheme="minorHAnsi" w:hAnsiTheme="minorHAnsi" w:cs="Arial"/>
          <w:bCs/>
          <w:snapToGrid w:val="0"/>
          <w:lang w:val="en-GB"/>
        </w:rPr>
        <w:t xml:space="preserve">The </w:t>
      </w:r>
      <w:r w:rsidR="002F48C7">
        <w:rPr>
          <w:rFonts w:asciiTheme="minorHAnsi" w:hAnsiTheme="minorHAnsi" w:cs="Arial"/>
          <w:bCs/>
          <w:snapToGrid w:val="0"/>
          <w:lang w:val="en-GB"/>
        </w:rPr>
        <w:t>PBAC</w:t>
      </w:r>
      <w:r w:rsidRPr="002F48C7">
        <w:rPr>
          <w:rFonts w:asciiTheme="minorHAnsi" w:hAnsiTheme="minorHAnsi" w:cs="Arial"/>
          <w:bCs/>
          <w:snapToGrid w:val="0"/>
          <w:lang w:val="en-GB"/>
        </w:rPr>
        <w:t xml:space="preserve"> noted that the cost-effectiveness of ibrutinib in the first-line treatment of del17p patients relied on cost-offsets for ibrutinib and venetoclax as second and third line treatments</w:t>
      </w:r>
      <w:r w:rsidR="002F48C7">
        <w:rPr>
          <w:rFonts w:asciiTheme="minorHAnsi" w:hAnsiTheme="minorHAnsi" w:cs="Arial"/>
          <w:bCs/>
          <w:snapToGrid w:val="0"/>
          <w:lang w:val="en-GB"/>
        </w:rPr>
        <w:t xml:space="preserve">. The PBAC advised that for these </w:t>
      </w:r>
      <w:r w:rsidRPr="002F48C7">
        <w:rPr>
          <w:rFonts w:asciiTheme="minorHAnsi" w:hAnsiTheme="minorHAnsi" w:cs="Arial"/>
          <w:bCs/>
          <w:snapToGrid w:val="0"/>
          <w:lang w:val="en-GB"/>
        </w:rPr>
        <w:t xml:space="preserve">cost-offsets to be realised a combined RSA across the first-line and R/R settings </w:t>
      </w:r>
      <w:r w:rsidR="002F48C7">
        <w:rPr>
          <w:rFonts w:asciiTheme="minorHAnsi" w:hAnsiTheme="minorHAnsi" w:cs="Arial"/>
          <w:bCs/>
          <w:snapToGrid w:val="0"/>
          <w:lang w:val="en-GB"/>
        </w:rPr>
        <w:t>was required</w:t>
      </w:r>
      <w:r w:rsidRPr="002F48C7">
        <w:rPr>
          <w:rFonts w:asciiTheme="minorHAnsi" w:hAnsiTheme="minorHAnsi" w:cs="Arial"/>
          <w:bCs/>
          <w:snapToGrid w:val="0"/>
          <w:lang w:val="en-GB"/>
        </w:rPr>
        <w:t xml:space="preserve">. </w:t>
      </w:r>
      <w:r w:rsidR="007F2441" w:rsidRPr="00BD0CC8">
        <w:rPr>
          <w:rFonts w:asciiTheme="minorHAnsi" w:hAnsiTheme="minorHAnsi" w:cs="Arial"/>
          <w:bCs/>
          <w:snapToGrid w:val="0"/>
          <w:lang w:val="en-GB"/>
        </w:rPr>
        <w:t xml:space="preserve">The PBAC noted that the expected financial caps for ibrutinib and venetoclax for R/R CLL/SLL </w:t>
      </w:r>
      <w:r w:rsidR="00B2597F" w:rsidRPr="00BD0CC8">
        <w:rPr>
          <w:rFonts w:asciiTheme="minorHAnsi" w:hAnsiTheme="minorHAnsi" w:cs="Arial"/>
          <w:bCs/>
          <w:snapToGrid w:val="0"/>
          <w:lang w:val="en-GB"/>
        </w:rPr>
        <w:t xml:space="preserve">were </w:t>
      </w:r>
      <w:r w:rsidR="007E3667">
        <w:rPr>
          <w:rFonts w:asciiTheme="minorHAnsi" w:hAnsiTheme="minorHAnsi" w:cs="Arial"/>
          <w:bCs/>
          <w:noProof/>
          <w:snapToGrid w:val="0"/>
          <w:color w:val="000000"/>
          <w:highlight w:val="black"/>
          <w:lang w:val="en-GB"/>
        </w:rPr>
        <w:t xml:space="preserve">''''''' ''''''''''''''' '''' '''''''' ''' '''''''' '''''''''''''''' '''' ''''' '''''''''''''''' '''' ''''''''' ''' </w:t>
      </w:r>
      <w:r w:rsidR="00B2597F" w:rsidRPr="00BD0CC8">
        <w:rPr>
          <w:rFonts w:asciiTheme="minorHAnsi" w:hAnsiTheme="minorHAnsi" w:cs="Arial"/>
          <w:bCs/>
          <w:snapToGrid w:val="0"/>
          <w:lang w:val="en-GB"/>
        </w:rPr>
        <w:t>and hence t</w:t>
      </w:r>
      <w:r w:rsidRPr="00BD0CC8">
        <w:rPr>
          <w:rFonts w:asciiTheme="minorHAnsi" w:hAnsiTheme="minorHAnsi" w:cs="Arial"/>
          <w:bCs/>
          <w:snapToGrid w:val="0"/>
          <w:lang w:val="en-GB"/>
        </w:rPr>
        <w:t xml:space="preserve">he average price for ibrutinib and venetoclax for R/R CLL is </w:t>
      </w:r>
      <w:r w:rsidR="007E3667">
        <w:rPr>
          <w:rFonts w:asciiTheme="minorHAnsi" w:hAnsiTheme="minorHAnsi" w:cs="Arial"/>
          <w:bCs/>
          <w:noProof/>
          <w:snapToGrid w:val="0"/>
          <w:color w:val="000000"/>
          <w:highlight w:val="black"/>
          <w:lang w:val="en-GB"/>
        </w:rPr>
        <w:t xml:space="preserve">''''''''''''' ''''''''' '''''''''''''''' ''''''''' '''''' ''''''' '''''''' '''''''''''''''''''''' </w:t>
      </w:r>
      <w:r w:rsidR="00B2597F" w:rsidRPr="00BD0CC8">
        <w:rPr>
          <w:rFonts w:asciiTheme="minorHAnsi" w:hAnsiTheme="minorHAnsi" w:cs="Arial"/>
          <w:bCs/>
          <w:snapToGrid w:val="0"/>
          <w:lang w:val="en-GB"/>
        </w:rPr>
        <w:t>The PBAC noted that th</w:t>
      </w:r>
      <w:r w:rsidR="00F45504" w:rsidRPr="00BD0CC8">
        <w:rPr>
          <w:rFonts w:asciiTheme="minorHAnsi" w:hAnsiTheme="minorHAnsi" w:cs="Arial"/>
          <w:bCs/>
          <w:snapToGrid w:val="0"/>
          <w:lang w:val="en-GB"/>
        </w:rPr>
        <w:t>e resubmission is for</w:t>
      </w:r>
      <w:r w:rsidR="00B2597F" w:rsidRPr="00BD0CC8">
        <w:rPr>
          <w:rFonts w:asciiTheme="minorHAnsi" w:hAnsiTheme="minorHAnsi" w:cs="Arial"/>
          <w:bCs/>
          <w:snapToGrid w:val="0"/>
          <w:lang w:val="en-GB"/>
        </w:rPr>
        <w:t xml:space="preserve"> del17p </w:t>
      </w:r>
      <w:r w:rsidR="00F45504" w:rsidRPr="00BD0CC8">
        <w:rPr>
          <w:rFonts w:asciiTheme="minorHAnsi" w:hAnsiTheme="minorHAnsi" w:cs="Arial"/>
          <w:bCs/>
          <w:snapToGrid w:val="0"/>
          <w:lang w:val="en-GB"/>
        </w:rPr>
        <w:t xml:space="preserve">CLL/SLL </w:t>
      </w:r>
      <w:r w:rsidR="00B2597F" w:rsidRPr="00BD0CC8">
        <w:rPr>
          <w:rFonts w:asciiTheme="minorHAnsi" w:hAnsiTheme="minorHAnsi" w:cs="Arial"/>
          <w:bCs/>
          <w:snapToGrid w:val="0"/>
          <w:lang w:val="en-GB"/>
        </w:rPr>
        <w:t xml:space="preserve">patients and </w:t>
      </w:r>
      <w:r w:rsidR="00F45504" w:rsidRPr="00BD0CC8">
        <w:rPr>
          <w:rFonts w:asciiTheme="minorHAnsi" w:hAnsiTheme="minorHAnsi" w:cs="Arial"/>
          <w:bCs/>
          <w:snapToGrid w:val="0"/>
          <w:lang w:val="en-GB"/>
        </w:rPr>
        <w:t xml:space="preserve">that </w:t>
      </w:r>
      <w:r w:rsidR="00B2597F" w:rsidRPr="00BD0CC8">
        <w:rPr>
          <w:rFonts w:asciiTheme="minorHAnsi" w:hAnsiTheme="minorHAnsi" w:cs="Arial"/>
          <w:bCs/>
          <w:snapToGrid w:val="0"/>
          <w:lang w:val="en-GB"/>
        </w:rPr>
        <w:t xml:space="preserve">this patient subgroup was </w:t>
      </w:r>
      <w:r w:rsidR="007E3667">
        <w:rPr>
          <w:rFonts w:asciiTheme="minorHAnsi" w:hAnsiTheme="minorHAnsi" w:cs="Arial"/>
          <w:bCs/>
          <w:noProof/>
          <w:snapToGrid w:val="0"/>
          <w:color w:val="000000"/>
          <w:highlight w:val="black"/>
          <w:lang w:val="en-GB"/>
        </w:rPr>
        <w:t>'''''''''''''''' ''' '''''''''''''''''''''' '''''' '''</w:t>
      </w:r>
      <w:r w:rsidR="00CF7125" w:rsidRPr="00222CDF">
        <w:rPr>
          <w:rFonts w:asciiTheme="minorHAnsi" w:hAnsiTheme="minorHAnsi" w:cs="Arial"/>
          <w:bCs/>
          <w:snapToGrid w:val="0"/>
          <w:lang w:val="en-GB"/>
        </w:rPr>
        <w:t xml:space="preserve"> </w:t>
      </w:r>
      <w:r w:rsidR="00B2597F" w:rsidRPr="00222CDF">
        <w:rPr>
          <w:rFonts w:asciiTheme="minorHAnsi" w:hAnsiTheme="minorHAnsi" w:cs="Arial"/>
          <w:bCs/>
          <w:snapToGrid w:val="0"/>
          <w:lang w:val="en-GB"/>
        </w:rPr>
        <w:t xml:space="preserve"> for R/R CLL/SLL. </w:t>
      </w:r>
      <w:r w:rsidR="00B2597F" w:rsidRPr="00BD0CC8">
        <w:rPr>
          <w:rFonts w:asciiTheme="minorHAnsi" w:hAnsiTheme="minorHAnsi" w:cs="Arial"/>
          <w:bCs/>
          <w:snapToGrid w:val="0"/>
          <w:lang w:val="en-GB"/>
        </w:rPr>
        <w:t xml:space="preserve">Hence, the PBAC advised that </w:t>
      </w:r>
      <w:r w:rsidR="00B2597F" w:rsidRPr="00222CDF">
        <w:rPr>
          <w:rFonts w:asciiTheme="minorHAnsi" w:hAnsiTheme="minorHAnsi" w:cs="Arial"/>
          <w:bCs/>
          <w:snapToGrid w:val="0"/>
          <w:lang w:val="en-GB"/>
        </w:rPr>
        <w:t>Subsidisation cap 1</w:t>
      </w:r>
      <w:r w:rsidR="00451FC5" w:rsidRPr="00222CDF">
        <w:rPr>
          <w:rFonts w:asciiTheme="minorHAnsi" w:hAnsiTheme="minorHAnsi" w:cs="Arial"/>
          <w:bCs/>
          <w:snapToGrid w:val="0"/>
          <w:lang w:val="en-GB"/>
        </w:rPr>
        <w:t xml:space="preserve"> should</w:t>
      </w:r>
      <w:r w:rsidR="00B2597F" w:rsidRPr="00222CDF">
        <w:rPr>
          <w:rFonts w:asciiTheme="minorHAnsi" w:hAnsiTheme="minorHAnsi" w:cs="Arial"/>
          <w:bCs/>
          <w:snapToGrid w:val="0"/>
          <w:lang w:val="en-GB"/>
        </w:rPr>
        <w:t xml:space="preserve"> be </w:t>
      </w:r>
      <w:r w:rsidR="00FB4813" w:rsidRPr="00222CDF">
        <w:rPr>
          <w:rFonts w:asciiTheme="minorHAnsi" w:hAnsiTheme="minorHAnsi" w:cs="Arial"/>
          <w:bCs/>
          <w:snapToGrid w:val="0"/>
          <w:lang w:val="en-GB"/>
        </w:rPr>
        <w:t xml:space="preserve">recalculated </w:t>
      </w:r>
      <w:r w:rsidR="00AF2EFE" w:rsidRPr="00222CDF">
        <w:rPr>
          <w:rFonts w:asciiTheme="minorHAnsi" w:hAnsiTheme="minorHAnsi" w:cs="Arial"/>
          <w:bCs/>
          <w:snapToGrid w:val="0"/>
          <w:lang w:val="en-GB"/>
        </w:rPr>
        <w:t>to</w:t>
      </w:r>
      <w:r w:rsidR="00451FC5" w:rsidRPr="00222CDF">
        <w:rPr>
          <w:rFonts w:asciiTheme="minorHAnsi" w:hAnsiTheme="minorHAnsi" w:cs="Arial"/>
          <w:bCs/>
          <w:snapToGrid w:val="0"/>
          <w:lang w:val="en-GB"/>
        </w:rPr>
        <w:t xml:space="preserve"> </w:t>
      </w:r>
      <w:r w:rsidR="00AF2EFE" w:rsidRPr="00222CDF">
        <w:rPr>
          <w:rFonts w:asciiTheme="minorHAnsi" w:hAnsiTheme="minorHAnsi" w:cs="Arial"/>
          <w:bCs/>
          <w:snapToGrid w:val="0"/>
          <w:lang w:val="en-GB"/>
        </w:rPr>
        <w:t>include first-line del17p CLL/SLL patients treated with ibrutinib as per the revised estimates in para</w:t>
      </w:r>
      <w:r w:rsidR="00387456" w:rsidRPr="00222CDF">
        <w:rPr>
          <w:rFonts w:asciiTheme="minorHAnsi" w:hAnsiTheme="minorHAnsi" w:cs="Arial"/>
          <w:bCs/>
          <w:snapToGrid w:val="0"/>
          <w:lang w:val="en-GB"/>
        </w:rPr>
        <w:t>graph</w:t>
      </w:r>
      <w:r w:rsidR="00AF2EFE" w:rsidRPr="00222CDF">
        <w:rPr>
          <w:rFonts w:asciiTheme="minorHAnsi" w:hAnsiTheme="minorHAnsi" w:cs="Arial"/>
          <w:bCs/>
          <w:snapToGrid w:val="0"/>
          <w:lang w:val="en-GB"/>
        </w:rPr>
        <w:t xml:space="preserve"> 7.1</w:t>
      </w:r>
      <w:r w:rsidR="00017A8F" w:rsidRPr="00222CDF">
        <w:rPr>
          <w:rFonts w:asciiTheme="minorHAnsi" w:hAnsiTheme="minorHAnsi" w:cs="Arial"/>
          <w:bCs/>
          <w:snapToGrid w:val="0"/>
          <w:lang w:val="en-GB"/>
        </w:rPr>
        <w:t>6</w:t>
      </w:r>
      <w:r w:rsidR="00AF2EFE" w:rsidRPr="00222CDF">
        <w:rPr>
          <w:rFonts w:asciiTheme="minorHAnsi" w:hAnsiTheme="minorHAnsi" w:cs="Arial"/>
          <w:bCs/>
          <w:snapToGrid w:val="0"/>
          <w:lang w:val="en-GB"/>
        </w:rPr>
        <w:t>, after accounting for the reduction of</w:t>
      </w:r>
      <w:r w:rsidR="00B2597F" w:rsidRPr="00222CDF">
        <w:rPr>
          <w:rFonts w:asciiTheme="minorHAnsi" w:hAnsiTheme="minorHAnsi" w:cs="Arial"/>
          <w:bCs/>
          <w:snapToGrid w:val="0"/>
          <w:lang w:val="en-GB"/>
        </w:rPr>
        <w:t xml:space="preserve"> del17p R/R CLL/SLL patients treated with ibrutinib or venetoclax </w:t>
      </w:r>
      <w:r w:rsidR="00AF2EFE" w:rsidRPr="00222CDF">
        <w:rPr>
          <w:rFonts w:asciiTheme="minorHAnsi" w:hAnsiTheme="minorHAnsi" w:cs="Arial"/>
          <w:bCs/>
          <w:snapToGrid w:val="0"/>
          <w:lang w:val="en-GB"/>
        </w:rPr>
        <w:t>consistent with the cost-offsets for these patients</w:t>
      </w:r>
      <w:r w:rsidR="00B2597F" w:rsidRPr="00222CDF">
        <w:rPr>
          <w:rFonts w:asciiTheme="minorHAnsi" w:hAnsiTheme="minorHAnsi" w:cs="Arial"/>
          <w:bCs/>
          <w:snapToGrid w:val="0"/>
          <w:lang w:val="en-GB"/>
        </w:rPr>
        <w:t>.</w:t>
      </w:r>
      <w:r w:rsidR="00B2597F">
        <w:rPr>
          <w:rFonts w:asciiTheme="minorHAnsi" w:hAnsiTheme="minorHAnsi" w:cs="Arial"/>
          <w:bCs/>
          <w:snapToGrid w:val="0"/>
          <w:lang w:val="en-GB"/>
        </w:rPr>
        <w:t xml:space="preserve"> </w:t>
      </w:r>
      <w:r w:rsidR="00451FC5" w:rsidRPr="00222CDF">
        <w:rPr>
          <w:rFonts w:asciiTheme="minorHAnsi" w:hAnsiTheme="minorHAnsi" w:cs="Arial"/>
          <w:bCs/>
          <w:snapToGrid w:val="0"/>
          <w:lang w:val="en-GB"/>
        </w:rPr>
        <w:t xml:space="preserve">The PBAC noted that current expenditure is </w:t>
      </w:r>
      <w:r w:rsidR="007E3667">
        <w:rPr>
          <w:rFonts w:asciiTheme="minorHAnsi" w:hAnsiTheme="minorHAnsi" w:cs="Arial"/>
          <w:bCs/>
          <w:noProof/>
          <w:snapToGrid w:val="0"/>
          <w:color w:val="000000"/>
          <w:highlight w:val="black"/>
          <w:lang w:val="en-GB"/>
        </w:rPr>
        <w:t xml:space="preserve">''''''''''''''''''''''' ''''''''''' '''''' '''''''''''''''' ''''''''''''''''''' ''''''''''''''''' '''''' '''''' ''''''' ''''''''''''''''''' '''''''' ''''''''''''''''' '''''''''''''' ''''' '''''''''''''' </w:t>
      </w:r>
      <w:r w:rsidR="007E3667">
        <w:rPr>
          <w:rFonts w:asciiTheme="minorHAnsi" w:hAnsiTheme="minorHAnsi" w:cs="Arial"/>
          <w:bCs/>
          <w:noProof/>
          <w:snapToGrid w:val="0"/>
          <w:color w:val="000000"/>
          <w:highlight w:val="black"/>
          <w:lang w:val="en-GB"/>
        </w:rPr>
        <w:lastRenderedPageBreak/>
        <w:t xml:space="preserve">'''''''''''''''''''''' ''''''' ''' '''' '''''''''' ''' ''''' ''' ''''''' ''''''''' ''''''''''''  </w:t>
      </w:r>
      <w:r w:rsidR="00451FC5" w:rsidRPr="00222CDF">
        <w:rPr>
          <w:rFonts w:asciiTheme="minorHAnsi" w:hAnsiTheme="minorHAnsi" w:cs="Arial"/>
          <w:bCs/>
          <w:snapToGrid w:val="0"/>
          <w:lang w:val="en-GB"/>
        </w:rPr>
        <w:t xml:space="preserve">The PBAC was therefore of the view that it would not be appropriate to amend </w:t>
      </w:r>
      <w:r w:rsidR="007E3667">
        <w:rPr>
          <w:rFonts w:asciiTheme="minorHAnsi" w:hAnsiTheme="minorHAnsi" w:cs="Arial"/>
          <w:bCs/>
          <w:noProof/>
          <w:snapToGrid w:val="0"/>
          <w:color w:val="000000"/>
          <w:highlight w:val="black"/>
          <w:lang w:val="en-GB"/>
        </w:rPr>
        <w:t>'''''''''''''''''''''''''' ''''''' ''' '''' '''''''' ''''''''''' ''''''''' ''''''''''' ''''''' '''''''''''''' '''''''''''''' '''''''''''''' '''''' '''''''''''''''' '''' ''''''' '''''''''''</w:t>
      </w:r>
      <w:r w:rsidR="00451FC5" w:rsidRPr="00222CDF">
        <w:rPr>
          <w:rFonts w:asciiTheme="minorHAnsi" w:hAnsiTheme="minorHAnsi" w:cs="Arial"/>
          <w:bCs/>
          <w:snapToGrid w:val="0"/>
          <w:lang w:val="en-GB"/>
        </w:rPr>
        <w:t>.</w:t>
      </w:r>
      <w:r w:rsidR="00451FC5">
        <w:rPr>
          <w:rFonts w:asciiTheme="minorHAnsi" w:hAnsiTheme="minorHAnsi" w:cs="Arial"/>
          <w:bCs/>
          <w:snapToGrid w:val="0"/>
          <w:lang w:val="en-GB"/>
        </w:rPr>
        <w:t xml:space="preserve">  </w:t>
      </w:r>
    </w:p>
    <w:p w:rsidR="001138DD" w:rsidRPr="001A5C93" w:rsidRDefault="001138DD" w:rsidP="001138DD">
      <w:pPr>
        <w:numPr>
          <w:ilvl w:val="1"/>
          <w:numId w:val="1"/>
        </w:numPr>
        <w:spacing w:after="120"/>
        <w:rPr>
          <w:rFonts w:asciiTheme="minorHAnsi" w:hAnsiTheme="minorHAnsi"/>
          <w:bCs/>
          <w:lang w:val="en-GB"/>
        </w:rPr>
      </w:pPr>
      <w:r w:rsidRPr="001A5C93">
        <w:rPr>
          <w:rFonts w:asciiTheme="minorHAnsi" w:hAnsiTheme="minorHAnsi"/>
          <w:bCs/>
          <w:lang w:val="en-GB"/>
        </w:rPr>
        <w:t>The PBAC found that</w:t>
      </w:r>
      <w:r>
        <w:rPr>
          <w:rFonts w:asciiTheme="minorHAnsi" w:hAnsiTheme="minorHAnsi"/>
          <w:bCs/>
          <w:lang w:val="en-GB"/>
        </w:rPr>
        <w:t xml:space="preserve"> the</w:t>
      </w:r>
      <w:r w:rsidRPr="001A5C93">
        <w:rPr>
          <w:rFonts w:asciiTheme="minorHAnsi" w:hAnsiTheme="minorHAnsi"/>
          <w:bCs/>
          <w:lang w:val="en-GB"/>
        </w:rPr>
        <w:t xml:space="preserve"> criteria prescribed by the </w:t>
      </w:r>
      <w:r w:rsidRPr="001A5C93">
        <w:rPr>
          <w:rFonts w:asciiTheme="minorHAnsi" w:hAnsiTheme="minorHAnsi"/>
          <w:bCs/>
          <w:i/>
          <w:lang w:val="en-GB"/>
        </w:rPr>
        <w:t>National Health (Pharmaceuticals and Vaccines – Cost Recovery) Regulations 2009</w:t>
      </w:r>
      <w:r w:rsidRPr="001A5C93">
        <w:rPr>
          <w:rFonts w:asciiTheme="minorHAnsi" w:hAnsiTheme="minorHAnsi"/>
          <w:bCs/>
          <w:lang w:val="en-GB"/>
        </w:rPr>
        <w:t xml:space="preserve"> for Pricing Pathway A were not met. Specifically the PBAC found that in the circumstances of its recommendation for </w:t>
      </w:r>
      <w:r>
        <w:rPr>
          <w:rFonts w:asciiTheme="minorHAnsi" w:hAnsiTheme="minorHAnsi"/>
          <w:bCs/>
          <w:lang w:val="en-GB"/>
        </w:rPr>
        <w:t>ibrutinib</w:t>
      </w:r>
      <w:r w:rsidRPr="001A5C93">
        <w:rPr>
          <w:rFonts w:asciiTheme="minorHAnsi" w:hAnsiTheme="minorHAnsi"/>
          <w:bCs/>
          <w:lang w:val="en-GB"/>
        </w:rPr>
        <w:t>:</w:t>
      </w:r>
    </w:p>
    <w:p w:rsidR="001138DD" w:rsidRPr="001A5C93" w:rsidRDefault="001138DD" w:rsidP="001138DD">
      <w:pPr>
        <w:numPr>
          <w:ilvl w:val="2"/>
          <w:numId w:val="17"/>
        </w:numPr>
        <w:spacing w:after="120"/>
        <w:ind w:left="993" w:hanging="284"/>
        <w:rPr>
          <w:rFonts w:asciiTheme="minorHAnsi" w:hAnsiTheme="minorHAnsi"/>
          <w:bCs/>
          <w:lang w:val="en-GB"/>
        </w:rPr>
      </w:pPr>
      <w:r w:rsidRPr="001138DD">
        <w:rPr>
          <w:rFonts w:asciiTheme="minorHAnsi" w:hAnsiTheme="minorHAnsi" w:cs="Arial"/>
          <w:bCs/>
          <w:snapToGrid w:val="0"/>
          <w:szCs w:val="22"/>
          <w:lang w:val="en-GB" w:eastAsia="en-US"/>
        </w:rPr>
        <w:t xml:space="preserve">The treatment </w:t>
      </w:r>
      <w:r w:rsidR="00BB61F2">
        <w:rPr>
          <w:rFonts w:asciiTheme="minorHAnsi" w:hAnsiTheme="minorHAnsi" w:cs="Arial"/>
          <w:bCs/>
          <w:snapToGrid w:val="0"/>
          <w:szCs w:val="22"/>
          <w:lang w:val="en-GB" w:eastAsia="en-US"/>
        </w:rPr>
        <w:t>is</w:t>
      </w:r>
      <w:r w:rsidRPr="001138DD">
        <w:rPr>
          <w:rFonts w:asciiTheme="minorHAnsi" w:hAnsiTheme="minorHAnsi" w:cs="Arial"/>
          <w:bCs/>
          <w:snapToGrid w:val="0"/>
          <w:szCs w:val="22"/>
          <w:lang w:val="en-GB" w:eastAsia="en-US"/>
        </w:rPr>
        <w:t xml:space="preserve"> expected to provide a substantial and clinically relevant improvement in ef</w:t>
      </w:r>
      <w:r>
        <w:rPr>
          <w:rFonts w:asciiTheme="minorHAnsi" w:hAnsiTheme="minorHAnsi" w:cs="Arial"/>
          <w:bCs/>
          <w:snapToGrid w:val="0"/>
          <w:szCs w:val="22"/>
          <w:lang w:val="en-GB" w:eastAsia="en-US"/>
        </w:rPr>
        <w:t>ficacy</w:t>
      </w:r>
      <w:r w:rsidRPr="001138DD">
        <w:rPr>
          <w:rFonts w:asciiTheme="minorHAnsi" w:hAnsiTheme="minorHAnsi" w:cs="Arial"/>
          <w:bCs/>
          <w:snapToGrid w:val="0"/>
          <w:szCs w:val="22"/>
          <w:lang w:val="en-GB" w:eastAsia="en-US"/>
        </w:rPr>
        <w:t xml:space="preserve">, over alternative therapies, </w:t>
      </w:r>
      <w:r>
        <w:rPr>
          <w:rFonts w:asciiTheme="minorHAnsi" w:hAnsiTheme="minorHAnsi" w:cs="Arial"/>
          <w:bCs/>
          <w:snapToGrid w:val="0"/>
          <w:szCs w:val="22"/>
          <w:lang w:val="en-GB" w:eastAsia="en-US"/>
        </w:rPr>
        <w:t xml:space="preserve">as </w:t>
      </w:r>
      <w:r>
        <w:rPr>
          <w:rFonts w:asciiTheme="minorHAnsi" w:hAnsiTheme="minorHAnsi" w:cs="Arial"/>
          <w:bCs/>
          <w:snapToGrid w:val="0"/>
          <w:lang w:val="en-GB"/>
        </w:rPr>
        <w:t>the PBAC considered</w:t>
      </w:r>
      <w:r w:rsidR="00277DFF">
        <w:rPr>
          <w:rFonts w:asciiTheme="minorHAnsi" w:hAnsiTheme="minorHAnsi" w:cs="Arial"/>
          <w:bCs/>
          <w:snapToGrid w:val="0"/>
          <w:lang w:val="en-GB"/>
        </w:rPr>
        <w:t xml:space="preserve"> current </w:t>
      </w:r>
      <w:r w:rsidR="00277DFF" w:rsidRPr="00B01D3E">
        <w:rPr>
          <w:rFonts w:asciiTheme="minorHAnsi" w:hAnsiTheme="minorHAnsi" w:cs="Arial"/>
          <w:bCs/>
          <w:snapToGrid w:val="0"/>
          <w:lang w:val="en-GB"/>
        </w:rPr>
        <w:t>treatments are characterised by poor</w:t>
      </w:r>
      <w:r w:rsidR="00277DFF">
        <w:rPr>
          <w:rFonts w:asciiTheme="minorHAnsi" w:hAnsiTheme="minorHAnsi" w:cs="Arial"/>
          <w:bCs/>
          <w:snapToGrid w:val="0"/>
          <w:lang w:val="en-GB"/>
        </w:rPr>
        <w:t xml:space="preserve"> response rates and short durations of response </w:t>
      </w:r>
      <w:r w:rsidR="00277DFF">
        <w:rPr>
          <w:rFonts w:asciiTheme="minorHAnsi" w:hAnsiTheme="minorHAnsi"/>
          <w:bCs/>
          <w:lang w:val="en-GB"/>
        </w:rPr>
        <w:t>(see paragraph 7.4</w:t>
      </w:r>
      <w:r>
        <w:rPr>
          <w:rFonts w:asciiTheme="minorHAnsi" w:hAnsiTheme="minorHAnsi"/>
          <w:bCs/>
          <w:lang w:val="en-GB"/>
        </w:rPr>
        <w:t>).</w:t>
      </w:r>
      <w:r w:rsidRPr="001A5C93">
        <w:rPr>
          <w:rFonts w:asciiTheme="minorHAnsi" w:hAnsiTheme="minorHAnsi"/>
          <w:bCs/>
          <w:lang w:val="en-GB"/>
        </w:rPr>
        <w:t xml:space="preserve"> </w:t>
      </w:r>
    </w:p>
    <w:p w:rsidR="001138DD" w:rsidRPr="001A5C93" w:rsidRDefault="00543C59" w:rsidP="001138DD">
      <w:pPr>
        <w:numPr>
          <w:ilvl w:val="2"/>
          <w:numId w:val="17"/>
        </w:numPr>
        <w:spacing w:after="120"/>
        <w:ind w:left="993" w:hanging="284"/>
        <w:rPr>
          <w:rFonts w:asciiTheme="minorHAnsi" w:hAnsiTheme="minorHAnsi"/>
          <w:bCs/>
          <w:lang w:val="en-GB"/>
        </w:rPr>
      </w:pPr>
      <w:r>
        <w:rPr>
          <w:rFonts w:asciiTheme="minorHAnsi" w:hAnsiTheme="minorHAnsi"/>
          <w:bCs/>
          <w:lang w:val="en-GB"/>
        </w:rPr>
        <w:t>The treatment is</w:t>
      </w:r>
      <w:r w:rsidR="001138DD" w:rsidRPr="001A5C93">
        <w:rPr>
          <w:rFonts w:asciiTheme="minorHAnsi" w:hAnsiTheme="minorHAnsi"/>
          <w:bCs/>
          <w:lang w:val="en-GB"/>
        </w:rPr>
        <w:t xml:space="preserve"> </w:t>
      </w:r>
      <w:r w:rsidR="00BB61F2">
        <w:rPr>
          <w:rFonts w:asciiTheme="minorHAnsi" w:hAnsiTheme="minorHAnsi"/>
          <w:bCs/>
          <w:lang w:val="en-GB"/>
        </w:rPr>
        <w:t xml:space="preserve">not </w:t>
      </w:r>
      <w:r w:rsidR="001138DD" w:rsidRPr="001A5C93">
        <w:rPr>
          <w:rFonts w:asciiTheme="minorHAnsi" w:hAnsiTheme="minorHAnsi"/>
          <w:bCs/>
          <w:lang w:val="en-GB"/>
        </w:rPr>
        <w:t>expected to address a hig</w:t>
      </w:r>
      <w:r>
        <w:rPr>
          <w:rFonts w:asciiTheme="minorHAnsi" w:hAnsiTheme="minorHAnsi"/>
          <w:bCs/>
          <w:lang w:val="en-GB"/>
        </w:rPr>
        <w:t xml:space="preserve">h and urgent unmet clinical need as </w:t>
      </w:r>
      <w:r w:rsidR="00BB61F2">
        <w:rPr>
          <w:rFonts w:asciiTheme="minorHAnsi" w:hAnsiTheme="minorHAnsi" w:cs="Arial"/>
          <w:bCs/>
          <w:snapToGrid w:val="0"/>
          <w:lang w:val="en-GB"/>
        </w:rPr>
        <w:t>patients currently progress quickly to accessing ibrutinib or venetoclax in the R/R setting</w:t>
      </w:r>
      <w:r w:rsidR="00BB61F2">
        <w:rPr>
          <w:rStyle w:val="CommentReference"/>
        </w:rPr>
        <w:t>.</w:t>
      </w:r>
    </w:p>
    <w:p w:rsidR="009C51B6" w:rsidRPr="00543C59" w:rsidRDefault="001138DD" w:rsidP="00543C59">
      <w:pPr>
        <w:numPr>
          <w:ilvl w:val="2"/>
          <w:numId w:val="17"/>
        </w:numPr>
        <w:spacing w:after="120"/>
        <w:ind w:left="993" w:hanging="284"/>
        <w:rPr>
          <w:rFonts w:asciiTheme="minorHAnsi" w:hAnsiTheme="minorHAnsi"/>
          <w:bCs/>
          <w:lang w:val="en-GB"/>
        </w:rPr>
      </w:pPr>
      <w:r>
        <w:rPr>
          <w:rFonts w:asciiTheme="minorHAnsi" w:hAnsiTheme="minorHAnsi"/>
          <w:bCs/>
          <w:lang w:val="en-GB"/>
        </w:rPr>
        <w:t>I</w:t>
      </w:r>
      <w:r w:rsidRPr="001A5C93">
        <w:rPr>
          <w:rFonts w:asciiTheme="minorHAnsi" w:hAnsiTheme="minorHAnsi"/>
          <w:bCs/>
          <w:lang w:val="en-GB"/>
        </w:rPr>
        <w:t>t was not necessary to make a finding in relation to whether it would be in the public interest for the subsequent pricing application to be progressed under Pricing Pathway A because one or more of the preceding tests had failed</w:t>
      </w:r>
      <w:r>
        <w:rPr>
          <w:rFonts w:asciiTheme="minorHAnsi" w:hAnsiTheme="minorHAnsi"/>
          <w:bCs/>
          <w:lang w:val="en-GB"/>
        </w:rPr>
        <w:t>.</w:t>
      </w:r>
    </w:p>
    <w:p w:rsidR="007B253D" w:rsidRPr="00525B39" w:rsidRDefault="007B253D" w:rsidP="00B2597F">
      <w:pPr>
        <w:widowControl w:val="0"/>
        <w:numPr>
          <w:ilvl w:val="1"/>
          <w:numId w:val="1"/>
        </w:numPr>
        <w:spacing w:after="120"/>
        <w:rPr>
          <w:rFonts w:asciiTheme="minorHAnsi" w:hAnsiTheme="minorHAnsi" w:cs="Arial"/>
          <w:bCs/>
          <w:snapToGrid w:val="0"/>
          <w:lang w:val="en-GB"/>
        </w:rPr>
      </w:pPr>
      <w:r w:rsidRPr="00525B39">
        <w:rPr>
          <w:rFonts w:asciiTheme="minorHAnsi" w:hAnsiTheme="minorHAnsi" w:cs="Arial"/>
          <w:bCs/>
          <w:snapToGrid w:val="0"/>
          <w:lang w:val="en-GB"/>
        </w:rPr>
        <w:t xml:space="preserve">The PBAC advised that </w:t>
      </w:r>
      <w:r w:rsidR="00936242">
        <w:rPr>
          <w:rFonts w:asciiTheme="minorHAnsi" w:hAnsiTheme="minorHAnsi" w:cs="Arial"/>
          <w:bCs/>
          <w:snapToGrid w:val="0"/>
          <w:lang w:val="en-GB"/>
        </w:rPr>
        <w:t>ibrutinib</w:t>
      </w:r>
      <w:r w:rsidRPr="00525B39">
        <w:rPr>
          <w:rFonts w:asciiTheme="minorHAnsi" w:hAnsiTheme="minorHAnsi" w:cs="Arial"/>
          <w:bCs/>
          <w:snapToGrid w:val="0"/>
          <w:lang w:val="en-GB"/>
        </w:rPr>
        <w:t xml:space="preserve"> is not suitable for prescribing by nurse practitioners.  </w:t>
      </w:r>
    </w:p>
    <w:p w:rsidR="007B253D" w:rsidRPr="00525B39" w:rsidRDefault="007B253D" w:rsidP="00B2597F">
      <w:pPr>
        <w:widowControl w:val="0"/>
        <w:numPr>
          <w:ilvl w:val="1"/>
          <w:numId w:val="1"/>
        </w:numPr>
        <w:spacing w:after="120"/>
        <w:rPr>
          <w:rFonts w:asciiTheme="minorHAnsi" w:hAnsiTheme="minorHAnsi" w:cs="Arial"/>
          <w:bCs/>
          <w:snapToGrid w:val="0"/>
          <w:lang w:val="en-GB"/>
        </w:rPr>
      </w:pPr>
      <w:r w:rsidRPr="00525B39">
        <w:rPr>
          <w:rFonts w:asciiTheme="minorHAnsi" w:hAnsiTheme="minorHAnsi" w:cs="Arial"/>
          <w:bCs/>
          <w:snapToGrid w:val="0"/>
          <w:lang w:val="en-GB"/>
        </w:rPr>
        <w:t xml:space="preserve">The PBAC recommended that the Early Supply Rule should apply. </w:t>
      </w:r>
    </w:p>
    <w:p w:rsidR="007B253D" w:rsidRPr="008F1D22" w:rsidRDefault="007B253D" w:rsidP="00936242">
      <w:pPr>
        <w:widowControl w:val="0"/>
        <w:numPr>
          <w:ilvl w:val="1"/>
          <w:numId w:val="1"/>
        </w:numPr>
        <w:spacing w:after="120"/>
        <w:rPr>
          <w:rFonts w:asciiTheme="minorHAnsi" w:hAnsiTheme="minorHAnsi" w:cs="Arial"/>
          <w:bCs/>
          <w:snapToGrid w:val="0"/>
          <w:lang w:val="en-GB"/>
        </w:rPr>
      </w:pPr>
      <w:r w:rsidRPr="00525B39">
        <w:rPr>
          <w:rFonts w:asciiTheme="minorHAnsi" w:hAnsiTheme="minorHAnsi" w:cs="Arial"/>
          <w:bCs/>
          <w:snapToGrid w:val="0"/>
          <w:lang w:val="en-GB"/>
        </w:rPr>
        <w:t xml:space="preserve">The PBAC noted the flow-on restriction changes </w:t>
      </w:r>
      <w:r w:rsidR="00936242" w:rsidRPr="00936242">
        <w:rPr>
          <w:rFonts w:asciiTheme="minorHAnsi" w:hAnsiTheme="minorHAnsi" w:cs="Arial"/>
          <w:bCs/>
          <w:snapToGrid w:val="0"/>
          <w:lang w:val="en-GB"/>
        </w:rPr>
        <w:t>would be required to the initial treatment restri</w:t>
      </w:r>
      <w:r w:rsidR="00936242">
        <w:rPr>
          <w:rFonts w:asciiTheme="minorHAnsi" w:hAnsiTheme="minorHAnsi" w:cs="Arial"/>
          <w:bCs/>
          <w:snapToGrid w:val="0"/>
          <w:lang w:val="en-GB"/>
        </w:rPr>
        <w:t>ction for R/R</w:t>
      </w:r>
      <w:r w:rsidR="00936242" w:rsidRPr="00936242">
        <w:rPr>
          <w:rFonts w:asciiTheme="minorHAnsi" w:hAnsiTheme="minorHAnsi" w:cs="Arial"/>
          <w:bCs/>
          <w:snapToGrid w:val="0"/>
          <w:lang w:val="en-GB"/>
        </w:rPr>
        <w:t xml:space="preserve"> CLL/SLL</w:t>
      </w:r>
      <w:r w:rsidR="00936242">
        <w:rPr>
          <w:rFonts w:asciiTheme="minorHAnsi" w:hAnsiTheme="minorHAnsi" w:cs="Arial"/>
          <w:bCs/>
          <w:snapToGrid w:val="0"/>
          <w:lang w:val="en-GB"/>
        </w:rPr>
        <w:t xml:space="preserve"> (item number: 11213E)</w:t>
      </w:r>
      <w:r w:rsidR="00936242" w:rsidRPr="00936242">
        <w:rPr>
          <w:rFonts w:asciiTheme="minorHAnsi" w:hAnsiTheme="minorHAnsi" w:cs="Arial"/>
          <w:bCs/>
          <w:snapToGrid w:val="0"/>
          <w:lang w:val="en-GB"/>
        </w:rPr>
        <w:t xml:space="preserve"> to specify that patients who have received ibrutinib as first-line therapy are not eligible for PBS-subsidised ibru</w:t>
      </w:r>
      <w:r w:rsidR="00936242">
        <w:rPr>
          <w:rFonts w:asciiTheme="minorHAnsi" w:hAnsiTheme="minorHAnsi" w:cs="Arial"/>
          <w:bCs/>
          <w:snapToGrid w:val="0"/>
          <w:lang w:val="en-GB"/>
        </w:rPr>
        <w:t>tinib in the R/R</w:t>
      </w:r>
      <w:r w:rsidR="00936242" w:rsidRPr="00936242">
        <w:rPr>
          <w:rFonts w:asciiTheme="minorHAnsi" w:hAnsiTheme="minorHAnsi" w:cs="Arial"/>
          <w:bCs/>
          <w:snapToGrid w:val="0"/>
          <w:lang w:val="en-GB"/>
        </w:rPr>
        <w:t xml:space="preserve"> setting, thereby restricting ibrutinib use to once in a patient’s lifetime.</w:t>
      </w:r>
    </w:p>
    <w:p w:rsidR="003356DB" w:rsidRPr="003356DB" w:rsidRDefault="003356DB" w:rsidP="003356DB">
      <w:pPr>
        <w:widowControl w:val="0"/>
        <w:numPr>
          <w:ilvl w:val="1"/>
          <w:numId w:val="1"/>
        </w:numPr>
        <w:spacing w:after="120"/>
        <w:rPr>
          <w:rFonts w:asciiTheme="minorHAnsi" w:hAnsiTheme="minorHAnsi" w:cs="Arial"/>
          <w:bCs/>
          <w:snapToGrid w:val="0"/>
          <w:lang w:val="en-GB"/>
        </w:rPr>
      </w:pPr>
      <w:r w:rsidRPr="003356DB">
        <w:rPr>
          <w:rFonts w:asciiTheme="minorHAnsi" w:hAnsiTheme="minorHAnsi" w:cs="Arial"/>
          <w:bCs/>
          <w:snapToGrid w:val="0"/>
          <w:lang w:val="en-GB"/>
        </w:rPr>
        <w:t xml:space="preserve">The PBAC noted that this </w:t>
      </w:r>
      <w:r>
        <w:rPr>
          <w:rFonts w:asciiTheme="minorHAnsi" w:hAnsiTheme="minorHAnsi" w:cs="Arial"/>
          <w:bCs/>
          <w:snapToGrid w:val="0"/>
          <w:lang w:val="en-GB"/>
        </w:rPr>
        <w:t>re</w:t>
      </w:r>
      <w:r w:rsidRPr="003356DB">
        <w:rPr>
          <w:rFonts w:asciiTheme="minorHAnsi" w:hAnsiTheme="minorHAnsi" w:cs="Arial"/>
          <w:bCs/>
          <w:snapToGrid w:val="0"/>
          <w:lang w:val="en-GB"/>
        </w:rPr>
        <w:t>submission was not eligible</w:t>
      </w:r>
      <w:r>
        <w:rPr>
          <w:rFonts w:asciiTheme="minorHAnsi" w:hAnsiTheme="minorHAnsi" w:cs="Arial"/>
          <w:bCs/>
          <w:snapToGrid w:val="0"/>
          <w:lang w:val="en-GB"/>
        </w:rPr>
        <w:t xml:space="preserve"> for an Independent Review as it </w:t>
      </w:r>
      <w:r w:rsidRPr="003356DB">
        <w:rPr>
          <w:rFonts w:asciiTheme="minorHAnsi" w:hAnsiTheme="minorHAnsi" w:cs="Arial"/>
          <w:bCs/>
          <w:snapToGrid w:val="0"/>
          <w:lang w:val="en-GB"/>
        </w:rPr>
        <w:t>was a positive recommendation.</w:t>
      </w:r>
    </w:p>
    <w:p w:rsidR="00224070" w:rsidRDefault="00224070" w:rsidP="007B253D">
      <w:pPr>
        <w:spacing w:before="240"/>
        <w:rPr>
          <w:rFonts w:asciiTheme="minorHAnsi" w:hAnsiTheme="minorHAnsi" w:cs="Arial"/>
          <w:b/>
          <w:bCs/>
          <w:snapToGrid w:val="0"/>
          <w:lang w:val="en-GB"/>
        </w:rPr>
      </w:pPr>
    </w:p>
    <w:p w:rsidR="007B253D" w:rsidRPr="00525B39" w:rsidRDefault="007B253D" w:rsidP="007B253D">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rsidR="007B253D" w:rsidRPr="001E39A7" w:rsidRDefault="00B75397" w:rsidP="001E39A7">
      <w:pPr>
        <w:rPr>
          <w:rFonts w:asciiTheme="minorHAnsi" w:hAnsiTheme="minorHAnsi" w:cs="Arial"/>
          <w:bCs/>
          <w:snapToGrid w:val="0"/>
          <w:lang w:val="en-GB"/>
        </w:rPr>
      </w:pPr>
      <w:r>
        <w:rPr>
          <w:rFonts w:asciiTheme="minorHAnsi" w:hAnsiTheme="minorHAnsi" w:cs="Arial"/>
          <w:bCs/>
          <w:snapToGrid w:val="0"/>
          <w:lang w:val="en-GB"/>
        </w:rPr>
        <w:t>Recommended</w:t>
      </w:r>
    </w:p>
    <w:p w:rsidR="007B253D" w:rsidRPr="001E39A7" w:rsidRDefault="007B253D" w:rsidP="001E39A7">
      <w:pPr>
        <w:pStyle w:val="PBACHeading1"/>
        <w:spacing w:before="240" w:after="120"/>
      </w:pPr>
      <w:r w:rsidRPr="001E39A7">
        <w:t>Recommended listing</w:t>
      </w:r>
    </w:p>
    <w:p w:rsidR="00DE6132" w:rsidRPr="00DE6132" w:rsidRDefault="00DE6132" w:rsidP="00032FEF">
      <w:pPr>
        <w:spacing w:after="240"/>
        <w:rPr>
          <w:rFonts w:asciiTheme="minorHAnsi" w:hAnsiTheme="minorHAnsi" w:cstheme="minorHAnsi"/>
          <w:i/>
        </w:rPr>
      </w:pPr>
      <w:r w:rsidRPr="00DE6132">
        <w:rPr>
          <w:rFonts w:asciiTheme="minorHAnsi" w:hAnsiTheme="minorHAnsi" w:cstheme="minorHAnsi"/>
          <w:i/>
        </w:rPr>
        <w:t xml:space="preserve">Add new indication: </w:t>
      </w:r>
    </w:p>
    <w:p w:rsidR="00DE6132" w:rsidRPr="00897975" w:rsidRDefault="00DE6132" w:rsidP="00DE6132">
      <w:pPr>
        <w:rPr>
          <w:rFonts w:asciiTheme="minorHAnsi" w:hAnsiTheme="minorHAnsi" w:cstheme="minorHAnsi"/>
          <w:i/>
          <w:sz w:val="22"/>
          <w:szCs w:val="22"/>
        </w:rPr>
      </w:pPr>
    </w:p>
    <w:p w:rsidR="00DE6132" w:rsidRPr="002F3AD1" w:rsidRDefault="00DE6132" w:rsidP="00DE6132">
      <w:pPr>
        <w:rPr>
          <w:rFonts w:ascii="Arial Narrow" w:hAnsi="Arial Narrow" w:cstheme="minorHAnsi"/>
          <w:b/>
          <w:sz w:val="18"/>
          <w:szCs w:val="18"/>
        </w:rPr>
      </w:pPr>
      <w:r>
        <w:rPr>
          <w:rFonts w:ascii="Arial Narrow" w:hAnsi="Arial Narrow" w:cstheme="minorHAnsi"/>
          <w:b/>
          <w:sz w:val="18"/>
          <w:szCs w:val="18"/>
        </w:rPr>
        <w:t>Ibrutinib:</w:t>
      </w:r>
      <w:r>
        <w:rPr>
          <w:rFonts w:ascii="Arial Narrow" w:hAnsi="Arial Narrow" w:cstheme="minorHAnsi"/>
          <w:b/>
          <w:sz w:val="18"/>
          <w:szCs w:val="18"/>
        </w:rPr>
        <w:tab/>
      </w:r>
      <w:r w:rsidRPr="002F3AD1">
        <w:rPr>
          <w:rFonts w:ascii="Arial Narrow" w:hAnsi="Arial Narrow" w:cstheme="minorHAnsi"/>
          <w:b/>
          <w:sz w:val="18"/>
          <w:szCs w:val="18"/>
        </w:rPr>
        <w:t>Restriction Summary [new] / Treatment of Concept: [new]</w:t>
      </w:r>
    </w:p>
    <w:tbl>
      <w:tblPr>
        <w:tblW w:w="8647" w:type="dxa"/>
        <w:tblLayout w:type="fixed"/>
        <w:tblLook w:val="0000" w:firstRow="0" w:lastRow="0" w:firstColumn="0" w:lastColumn="0" w:noHBand="0" w:noVBand="0"/>
      </w:tblPr>
      <w:tblGrid>
        <w:gridCol w:w="2552"/>
        <w:gridCol w:w="709"/>
        <w:gridCol w:w="708"/>
        <w:gridCol w:w="709"/>
        <w:gridCol w:w="1276"/>
        <w:gridCol w:w="993"/>
        <w:gridCol w:w="1700"/>
      </w:tblGrid>
      <w:tr w:rsidR="00DE6132" w:rsidRPr="00C254D9" w:rsidTr="00854681">
        <w:trPr>
          <w:cantSplit/>
          <w:trHeight w:val="471"/>
        </w:trPr>
        <w:tc>
          <w:tcPr>
            <w:tcW w:w="2552" w:type="dxa"/>
            <w:tcBorders>
              <w:bottom w:val="single" w:sz="4" w:space="0" w:color="auto"/>
            </w:tcBorders>
          </w:tcPr>
          <w:p w:rsidR="00DE6132" w:rsidRPr="002F3AD1" w:rsidRDefault="00DE6132" w:rsidP="00854681">
            <w:pPr>
              <w:keepNext/>
              <w:ind w:left="-108"/>
              <w:rPr>
                <w:rFonts w:ascii="Arial Narrow" w:hAnsi="Arial Narrow" w:cs="Arial"/>
                <w:sz w:val="18"/>
                <w:szCs w:val="18"/>
              </w:rPr>
            </w:pPr>
            <w:r w:rsidRPr="002F3AD1">
              <w:rPr>
                <w:rFonts w:ascii="Arial Narrow" w:hAnsi="Arial Narrow" w:cs="Arial"/>
                <w:sz w:val="18"/>
                <w:szCs w:val="18"/>
              </w:rPr>
              <w:lastRenderedPageBreak/>
              <w:t>Name, Restriction,</w:t>
            </w:r>
          </w:p>
          <w:p w:rsidR="00DE6132" w:rsidRPr="002F3AD1" w:rsidRDefault="00DE6132" w:rsidP="00854681">
            <w:pPr>
              <w:keepNext/>
              <w:ind w:left="-108"/>
              <w:rPr>
                <w:rFonts w:ascii="Arial Narrow" w:hAnsi="Arial Narrow" w:cs="Arial"/>
                <w:sz w:val="18"/>
                <w:szCs w:val="18"/>
              </w:rPr>
            </w:pPr>
            <w:r w:rsidRPr="002F3AD1">
              <w:rPr>
                <w:rFonts w:ascii="Arial Narrow" w:hAnsi="Arial Narrow" w:cs="Arial"/>
                <w:sz w:val="18"/>
                <w:szCs w:val="18"/>
              </w:rPr>
              <w:t>Manner of administration and form</w:t>
            </w:r>
          </w:p>
        </w:tc>
        <w:tc>
          <w:tcPr>
            <w:tcW w:w="709" w:type="dxa"/>
            <w:tcBorders>
              <w:bottom w:val="single" w:sz="4" w:space="0" w:color="auto"/>
            </w:tcBorders>
          </w:tcPr>
          <w:p w:rsidR="00DE6132" w:rsidRPr="002F3AD1" w:rsidRDefault="00DE6132" w:rsidP="00854681">
            <w:pPr>
              <w:keepNext/>
              <w:ind w:left="-108"/>
              <w:jc w:val="center"/>
              <w:rPr>
                <w:rFonts w:ascii="Arial Narrow" w:hAnsi="Arial Narrow" w:cs="Arial"/>
                <w:sz w:val="18"/>
                <w:szCs w:val="18"/>
              </w:rPr>
            </w:pPr>
            <w:r w:rsidRPr="002F3AD1">
              <w:rPr>
                <w:rFonts w:ascii="Arial Narrow" w:hAnsi="Arial Narrow" w:cs="Arial"/>
                <w:sz w:val="18"/>
                <w:szCs w:val="18"/>
              </w:rPr>
              <w:t>Max.</w:t>
            </w:r>
            <w:r>
              <w:rPr>
                <w:rFonts w:ascii="Arial Narrow" w:hAnsi="Arial Narrow" w:cs="Arial"/>
                <w:sz w:val="18"/>
                <w:szCs w:val="18"/>
              </w:rPr>
              <w:t xml:space="preserve"> </w:t>
            </w:r>
            <w:r w:rsidRPr="002F3AD1">
              <w:rPr>
                <w:rFonts w:ascii="Arial Narrow" w:hAnsi="Arial Narrow" w:cs="Arial"/>
                <w:sz w:val="18"/>
                <w:szCs w:val="18"/>
              </w:rPr>
              <w:t>Qty (Packs)</w:t>
            </w:r>
          </w:p>
        </w:tc>
        <w:tc>
          <w:tcPr>
            <w:tcW w:w="708" w:type="dxa"/>
            <w:tcBorders>
              <w:bottom w:val="single" w:sz="4" w:space="0" w:color="auto"/>
            </w:tcBorders>
          </w:tcPr>
          <w:p w:rsidR="00DE6132" w:rsidRPr="002F3AD1" w:rsidRDefault="00DE6132" w:rsidP="00854681">
            <w:pPr>
              <w:keepNext/>
              <w:ind w:left="-108"/>
              <w:jc w:val="center"/>
              <w:rPr>
                <w:rFonts w:ascii="Arial Narrow" w:hAnsi="Arial Narrow" w:cs="Arial"/>
                <w:sz w:val="18"/>
                <w:szCs w:val="18"/>
              </w:rPr>
            </w:pPr>
            <w:r>
              <w:rPr>
                <w:rFonts w:ascii="Arial Narrow" w:hAnsi="Arial Narrow" w:cs="Arial"/>
                <w:sz w:val="18"/>
                <w:szCs w:val="18"/>
              </w:rPr>
              <w:t>Max. Qty (units)</w:t>
            </w:r>
          </w:p>
        </w:tc>
        <w:tc>
          <w:tcPr>
            <w:tcW w:w="709" w:type="dxa"/>
            <w:tcBorders>
              <w:bottom w:val="single" w:sz="4" w:space="0" w:color="auto"/>
            </w:tcBorders>
          </w:tcPr>
          <w:p w:rsidR="00DE6132" w:rsidRPr="002F3AD1" w:rsidRDefault="00DE6132" w:rsidP="00854681">
            <w:pPr>
              <w:keepNext/>
              <w:ind w:left="-111"/>
              <w:jc w:val="center"/>
              <w:rPr>
                <w:rFonts w:ascii="Arial Narrow" w:hAnsi="Arial Narrow" w:cs="Arial"/>
                <w:sz w:val="18"/>
                <w:szCs w:val="18"/>
              </w:rPr>
            </w:pPr>
            <w:r w:rsidRPr="002F3AD1">
              <w:rPr>
                <w:rFonts w:ascii="Arial Narrow" w:hAnsi="Arial Narrow" w:cs="Arial"/>
                <w:sz w:val="18"/>
                <w:szCs w:val="18"/>
              </w:rPr>
              <w:t>№.of</w:t>
            </w:r>
          </w:p>
          <w:p w:rsidR="00DE6132" w:rsidRPr="002F3AD1" w:rsidRDefault="00DE6132" w:rsidP="00854681">
            <w:pPr>
              <w:keepNext/>
              <w:ind w:left="-111"/>
              <w:jc w:val="center"/>
              <w:rPr>
                <w:rFonts w:ascii="Arial Narrow" w:hAnsi="Arial Narrow" w:cs="Arial"/>
                <w:sz w:val="18"/>
                <w:szCs w:val="18"/>
              </w:rPr>
            </w:pPr>
            <w:r w:rsidRPr="002F3AD1">
              <w:rPr>
                <w:rFonts w:ascii="Arial Narrow" w:hAnsi="Arial Narrow" w:cs="Arial"/>
                <w:sz w:val="18"/>
                <w:szCs w:val="18"/>
              </w:rPr>
              <w:t>Rpts</w:t>
            </w:r>
          </w:p>
        </w:tc>
        <w:tc>
          <w:tcPr>
            <w:tcW w:w="1276" w:type="dxa"/>
            <w:tcBorders>
              <w:bottom w:val="single" w:sz="4" w:space="0" w:color="auto"/>
            </w:tcBorders>
          </w:tcPr>
          <w:p w:rsidR="00DE6132" w:rsidRPr="002F3AD1" w:rsidRDefault="00DE6132" w:rsidP="00854681">
            <w:pPr>
              <w:keepNext/>
              <w:ind w:left="-108"/>
              <w:jc w:val="center"/>
              <w:rPr>
                <w:rFonts w:ascii="Arial Narrow" w:hAnsi="Arial Narrow" w:cs="Arial"/>
                <w:sz w:val="18"/>
                <w:szCs w:val="18"/>
              </w:rPr>
            </w:pPr>
            <w:r w:rsidRPr="002F3AD1">
              <w:rPr>
                <w:rFonts w:ascii="Arial Narrow" w:hAnsi="Arial Narrow" w:cs="Arial"/>
                <w:sz w:val="18"/>
                <w:szCs w:val="18"/>
              </w:rPr>
              <w:t>PBS item</w:t>
            </w:r>
          </w:p>
          <w:p w:rsidR="00DE6132" w:rsidRPr="002F3AD1" w:rsidRDefault="00DE6132" w:rsidP="00854681">
            <w:pPr>
              <w:keepNext/>
              <w:ind w:left="-108"/>
              <w:jc w:val="center"/>
              <w:rPr>
                <w:rFonts w:ascii="Arial Narrow" w:hAnsi="Arial Narrow" w:cs="Arial"/>
                <w:sz w:val="18"/>
                <w:szCs w:val="18"/>
              </w:rPr>
            </w:pPr>
            <w:r w:rsidRPr="002F3AD1">
              <w:rPr>
                <w:rFonts w:ascii="Arial Narrow" w:hAnsi="Arial Narrow" w:cs="Arial"/>
                <w:sz w:val="18"/>
                <w:szCs w:val="18"/>
              </w:rPr>
              <w:t>code</w:t>
            </w:r>
          </w:p>
        </w:tc>
        <w:tc>
          <w:tcPr>
            <w:tcW w:w="2693" w:type="dxa"/>
            <w:gridSpan w:val="2"/>
            <w:tcBorders>
              <w:bottom w:val="single" w:sz="4" w:space="0" w:color="auto"/>
            </w:tcBorders>
          </w:tcPr>
          <w:p w:rsidR="00DE6132" w:rsidRPr="002F3AD1" w:rsidRDefault="00DE6132" w:rsidP="00854681">
            <w:pPr>
              <w:keepNext/>
              <w:rPr>
                <w:rFonts w:ascii="Arial Narrow" w:hAnsi="Arial Narrow" w:cs="Arial"/>
                <w:sz w:val="18"/>
                <w:szCs w:val="18"/>
                <w:lang w:val="fr-FR"/>
              </w:rPr>
            </w:pPr>
            <w:r w:rsidRPr="002F3AD1">
              <w:rPr>
                <w:rFonts w:ascii="Arial Narrow" w:hAnsi="Arial Narrow" w:cs="Arial"/>
                <w:sz w:val="18"/>
                <w:szCs w:val="18"/>
              </w:rPr>
              <w:t>Proprietary Name and Manufacturer</w:t>
            </w:r>
          </w:p>
        </w:tc>
      </w:tr>
      <w:tr w:rsidR="00DE6132" w:rsidRPr="00C254D9" w:rsidTr="00854681">
        <w:trPr>
          <w:cantSplit/>
          <w:trHeight w:val="577"/>
        </w:trPr>
        <w:tc>
          <w:tcPr>
            <w:tcW w:w="2552" w:type="dxa"/>
          </w:tcPr>
          <w:p w:rsidR="00DE6132" w:rsidRPr="002F3AD1" w:rsidRDefault="00DE6132" w:rsidP="00854681">
            <w:pPr>
              <w:keepNext/>
              <w:ind w:left="-108"/>
              <w:rPr>
                <w:rFonts w:ascii="Arial Narrow" w:hAnsi="Arial Narrow" w:cs="Arial"/>
                <w:sz w:val="18"/>
                <w:szCs w:val="18"/>
              </w:rPr>
            </w:pPr>
            <w:r w:rsidRPr="002F3AD1">
              <w:rPr>
                <w:rFonts w:ascii="Arial Narrow" w:hAnsi="Arial Narrow" w:cs="Arial"/>
                <w:smallCaps/>
                <w:sz w:val="18"/>
                <w:szCs w:val="18"/>
              </w:rPr>
              <w:t>Ibrutinib</w:t>
            </w:r>
          </w:p>
          <w:p w:rsidR="00DE6132" w:rsidRPr="002F3AD1" w:rsidRDefault="00DE6132" w:rsidP="00854681">
            <w:pPr>
              <w:keepNext/>
              <w:ind w:left="-108"/>
              <w:rPr>
                <w:rFonts w:ascii="Arial Narrow" w:hAnsi="Arial Narrow" w:cs="Arial"/>
                <w:color w:val="FF0000"/>
                <w:sz w:val="18"/>
                <w:szCs w:val="18"/>
              </w:rPr>
            </w:pPr>
            <w:r w:rsidRPr="002F3AD1">
              <w:rPr>
                <w:rFonts w:ascii="Arial Narrow" w:hAnsi="Arial Narrow" w:cs="Arial"/>
                <w:sz w:val="18"/>
                <w:szCs w:val="18"/>
              </w:rPr>
              <w:t>Capsule 140 mg, 90</w:t>
            </w:r>
          </w:p>
        </w:tc>
        <w:tc>
          <w:tcPr>
            <w:tcW w:w="709" w:type="dxa"/>
          </w:tcPr>
          <w:p w:rsidR="00DE6132" w:rsidRPr="002F3AD1" w:rsidRDefault="00DE6132" w:rsidP="00854681">
            <w:pPr>
              <w:keepNext/>
              <w:ind w:left="-108"/>
              <w:rPr>
                <w:rFonts w:ascii="Arial Narrow" w:hAnsi="Arial Narrow" w:cs="Arial"/>
                <w:sz w:val="18"/>
                <w:szCs w:val="18"/>
              </w:rPr>
            </w:pPr>
          </w:p>
          <w:p w:rsidR="00DE6132" w:rsidRPr="002F3AD1" w:rsidRDefault="00DE6132" w:rsidP="00854681">
            <w:pPr>
              <w:keepNext/>
              <w:ind w:left="-108"/>
              <w:jc w:val="center"/>
              <w:rPr>
                <w:rFonts w:ascii="Arial Narrow" w:hAnsi="Arial Narrow" w:cs="Arial"/>
                <w:sz w:val="18"/>
                <w:szCs w:val="18"/>
              </w:rPr>
            </w:pPr>
            <w:r w:rsidRPr="002F3AD1">
              <w:rPr>
                <w:rFonts w:ascii="Arial Narrow" w:hAnsi="Arial Narrow" w:cs="Arial"/>
                <w:sz w:val="18"/>
                <w:szCs w:val="18"/>
              </w:rPr>
              <w:t>1</w:t>
            </w:r>
          </w:p>
        </w:tc>
        <w:tc>
          <w:tcPr>
            <w:tcW w:w="708" w:type="dxa"/>
          </w:tcPr>
          <w:p w:rsidR="00DE6132" w:rsidRDefault="00DE6132" w:rsidP="00854681">
            <w:pPr>
              <w:keepNext/>
              <w:ind w:left="-108"/>
              <w:rPr>
                <w:rFonts w:ascii="Arial Narrow" w:hAnsi="Arial Narrow" w:cs="Arial"/>
                <w:sz w:val="18"/>
                <w:szCs w:val="18"/>
              </w:rPr>
            </w:pPr>
          </w:p>
          <w:p w:rsidR="00DE6132" w:rsidRPr="002F3AD1" w:rsidRDefault="00DE6132" w:rsidP="00854681">
            <w:pPr>
              <w:keepNext/>
              <w:ind w:left="-108"/>
              <w:jc w:val="center"/>
              <w:rPr>
                <w:rFonts w:ascii="Arial Narrow" w:hAnsi="Arial Narrow" w:cs="Arial"/>
                <w:sz w:val="18"/>
                <w:szCs w:val="18"/>
              </w:rPr>
            </w:pPr>
            <w:r>
              <w:rPr>
                <w:rFonts w:ascii="Arial Narrow" w:hAnsi="Arial Narrow" w:cs="Arial"/>
                <w:sz w:val="18"/>
                <w:szCs w:val="18"/>
              </w:rPr>
              <w:t>90</w:t>
            </w:r>
          </w:p>
        </w:tc>
        <w:tc>
          <w:tcPr>
            <w:tcW w:w="709" w:type="dxa"/>
          </w:tcPr>
          <w:p w:rsidR="00DE6132" w:rsidRPr="002F3AD1" w:rsidRDefault="00DE6132" w:rsidP="00854681">
            <w:pPr>
              <w:keepNext/>
              <w:ind w:left="-108"/>
              <w:rPr>
                <w:rFonts w:ascii="Arial Narrow" w:hAnsi="Arial Narrow" w:cs="Arial"/>
                <w:sz w:val="18"/>
                <w:szCs w:val="18"/>
              </w:rPr>
            </w:pPr>
          </w:p>
          <w:p w:rsidR="00DE6132" w:rsidRPr="002F3AD1" w:rsidRDefault="00DE6132" w:rsidP="00854681">
            <w:pPr>
              <w:keepNext/>
              <w:ind w:left="-108"/>
              <w:jc w:val="center"/>
              <w:rPr>
                <w:rFonts w:ascii="Arial Narrow" w:hAnsi="Arial Narrow" w:cs="Arial"/>
                <w:sz w:val="18"/>
                <w:szCs w:val="18"/>
              </w:rPr>
            </w:pPr>
            <w:r w:rsidRPr="002F3AD1">
              <w:rPr>
                <w:rFonts w:ascii="Arial Narrow" w:hAnsi="Arial Narrow" w:cs="Arial"/>
                <w:sz w:val="18"/>
                <w:szCs w:val="18"/>
              </w:rPr>
              <w:t>5</w:t>
            </w:r>
          </w:p>
        </w:tc>
        <w:tc>
          <w:tcPr>
            <w:tcW w:w="1276" w:type="dxa"/>
          </w:tcPr>
          <w:p w:rsidR="00DE6132" w:rsidRDefault="00DE6132" w:rsidP="00854681">
            <w:pPr>
              <w:keepNext/>
              <w:ind w:left="-108"/>
              <w:rPr>
                <w:rFonts w:ascii="Arial Narrow" w:hAnsi="Arial Narrow" w:cs="Arial"/>
                <w:sz w:val="18"/>
                <w:szCs w:val="18"/>
              </w:rPr>
            </w:pPr>
          </w:p>
          <w:p w:rsidR="00DE6132" w:rsidRPr="002F3AD1" w:rsidRDefault="00DE6132" w:rsidP="00854681">
            <w:pPr>
              <w:keepNext/>
              <w:ind w:left="-108"/>
              <w:jc w:val="center"/>
              <w:rPr>
                <w:rFonts w:ascii="Arial Narrow" w:hAnsi="Arial Narrow" w:cs="Arial"/>
                <w:sz w:val="18"/>
                <w:szCs w:val="18"/>
              </w:rPr>
            </w:pPr>
            <w:r>
              <w:rPr>
                <w:rFonts w:ascii="Arial Narrow" w:hAnsi="Arial Narrow" w:cs="Arial"/>
                <w:sz w:val="18"/>
                <w:szCs w:val="18"/>
              </w:rPr>
              <w:t>11213E</w:t>
            </w:r>
          </w:p>
        </w:tc>
        <w:tc>
          <w:tcPr>
            <w:tcW w:w="993" w:type="dxa"/>
          </w:tcPr>
          <w:p w:rsidR="00DE6132" w:rsidRDefault="00DE6132" w:rsidP="00854681">
            <w:pPr>
              <w:keepNext/>
              <w:rPr>
                <w:rFonts w:ascii="Arial Narrow" w:hAnsi="Arial Narrow" w:cs="Arial"/>
                <w:sz w:val="18"/>
                <w:szCs w:val="18"/>
              </w:rPr>
            </w:pPr>
            <w:r w:rsidRPr="002F3AD1">
              <w:rPr>
                <w:rFonts w:ascii="Arial Narrow" w:hAnsi="Arial Narrow" w:cs="Arial"/>
                <w:sz w:val="18"/>
                <w:szCs w:val="18"/>
              </w:rPr>
              <w:t xml:space="preserve"> </w:t>
            </w:r>
          </w:p>
          <w:p w:rsidR="00DE6132" w:rsidRPr="002F3AD1" w:rsidRDefault="00DE6132" w:rsidP="00854681">
            <w:pPr>
              <w:keepNext/>
              <w:rPr>
                <w:rFonts w:ascii="Arial Narrow" w:hAnsi="Arial Narrow" w:cs="Arial"/>
                <w:sz w:val="18"/>
                <w:szCs w:val="18"/>
              </w:rPr>
            </w:pPr>
            <w:r w:rsidRPr="002F3AD1">
              <w:rPr>
                <w:rFonts w:ascii="Arial Narrow" w:hAnsi="Arial Narrow" w:cs="Arial"/>
                <w:sz w:val="18"/>
                <w:szCs w:val="18"/>
              </w:rPr>
              <w:t>Imbruvica</w:t>
            </w:r>
            <w:r w:rsidRPr="002F3AD1">
              <w:rPr>
                <w:rFonts w:ascii="Arial Narrow" w:hAnsi="Arial Narrow" w:cs="Arial"/>
                <w:sz w:val="18"/>
                <w:szCs w:val="18"/>
                <w:vertAlign w:val="superscript"/>
              </w:rPr>
              <w:t>®</w:t>
            </w:r>
            <w:r w:rsidRPr="002F3AD1">
              <w:rPr>
                <w:rFonts w:ascii="Arial Narrow" w:hAnsi="Arial Narrow" w:cs="Arial"/>
                <w:sz w:val="18"/>
                <w:szCs w:val="18"/>
              </w:rPr>
              <w:t xml:space="preserve"> </w:t>
            </w:r>
          </w:p>
        </w:tc>
        <w:tc>
          <w:tcPr>
            <w:tcW w:w="1700" w:type="dxa"/>
          </w:tcPr>
          <w:p w:rsidR="00DE6132" w:rsidRDefault="00DE6132" w:rsidP="00854681">
            <w:pPr>
              <w:keepNext/>
              <w:rPr>
                <w:rFonts w:ascii="Arial Narrow" w:hAnsi="Arial Narrow" w:cs="Arial"/>
                <w:sz w:val="18"/>
                <w:szCs w:val="18"/>
              </w:rPr>
            </w:pPr>
          </w:p>
          <w:p w:rsidR="00DE6132" w:rsidRPr="002F3AD1" w:rsidRDefault="00DE6132" w:rsidP="00854681">
            <w:pPr>
              <w:keepNext/>
              <w:rPr>
                <w:rFonts w:ascii="Arial Narrow" w:hAnsi="Arial Narrow" w:cs="Arial"/>
                <w:sz w:val="18"/>
                <w:szCs w:val="18"/>
              </w:rPr>
            </w:pPr>
            <w:r w:rsidRPr="002F3AD1">
              <w:rPr>
                <w:rFonts w:ascii="Arial Narrow" w:hAnsi="Arial Narrow" w:cs="Arial"/>
                <w:sz w:val="18"/>
                <w:szCs w:val="18"/>
              </w:rPr>
              <w:t>Janssen-</w:t>
            </w:r>
            <w:proofErr w:type="spellStart"/>
            <w:r w:rsidRPr="002F3AD1">
              <w:rPr>
                <w:rFonts w:ascii="Arial Narrow" w:hAnsi="Arial Narrow" w:cs="Arial"/>
                <w:sz w:val="18"/>
                <w:szCs w:val="18"/>
              </w:rPr>
              <w:t>Cilag</w:t>
            </w:r>
            <w:proofErr w:type="spellEnd"/>
            <w:r w:rsidRPr="002F3AD1">
              <w:rPr>
                <w:rFonts w:ascii="Arial Narrow" w:hAnsi="Arial Narrow" w:cs="Arial"/>
                <w:sz w:val="18"/>
                <w:szCs w:val="18"/>
              </w:rPr>
              <w:t xml:space="preserve"> Pty Ltd</w:t>
            </w:r>
          </w:p>
        </w:tc>
      </w:tr>
    </w:tbl>
    <w:p w:rsidR="00DE6132" w:rsidRDefault="00DE6132" w:rsidP="00DE6132">
      <w:pPr>
        <w:rPr>
          <w:rFonts w:asciiTheme="minorHAnsi" w:hAnsiTheme="minorHAnsi" w:cstheme="minorHAnsi"/>
          <w:color w:val="0070C0"/>
          <w:u w:val="single"/>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7937"/>
      </w:tblGrid>
      <w:tr w:rsidR="00DE6132" w:rsidRPr="00DC2DCA" w:rsidTr="00854681">
        <w:tc>
          <w:tcPr>
            <w:tcW w:w="482" w:type="pct"/>
            <w:vAlign w:val="center"/>
          </w:tcPr>
          <w:p w:rsidR="00DE6132" w:rsidRPr="00DC2DCA" w:rsidRDefault="00DE6132" w:rsidP="00854681">
            <w:pPr>
              <w:jc w:val="center"/>
              <w:rPr>
                <w:rFonts w:ascii="Arial Narrow" w:hAnsi="Arial Narrow"/>
                <w:b/>
                <w:color w:val="333333"/>
                <w:sz w:val="18"/>
                <w:szCs w:val="18"/>
                <w:lang w:eastAsia="en-AU"/>
              </w:rPr>
            </w:pPr>
            <w:r w:rsidRPr="00DC2DCA">
              <w:rPr>
                <w:rFonts w:ascii="Arial Narrow" w:hAnsi="Arial Narrow"/>
                <w:b/>
                <w:color w:val="333333"/>
                <w:sz w:val="18"/>
                <w:szCs w:val="18"/>
                <w:lang w:eastAsia="en-AU"/>
              </w:rPr>
              <w:t>Concept ID</w:t>
            </w:r>
          </w:p>
        </w:tc>
        <w:tc>
          <w:tcPr>
            <w:tcW w:w="4518" w:type="pct"/>
            <w:tcBorders>
              <w:top w:val="single" w:sz="4" w:space="0" w:color="auto"/>
              <w:left w:val="single" w:sz="4" w:space="0" w:color="auto"/>
              <w:bottom w:val="single" w:sz="4" w:space="0" w:color="auto"/>
              <w:right w:val="single" w:sz="4" w:space="0" w:color="auto"/>
            </w:tcBorders>
          </w:tcPr>
          <w:p w:rsidR="00DE6132" w:rsidRPr="00DC2DCA" w:rsidRDefault="00DE6132" w:rsidP="00854681">
            <w:pPr>
              <w:rPr>
                <w:rFonts w:ascii="Arial Narrow" w:hAnsi="Arial Narrow" w:cs="Arial"/>
                <w:sz w:val="18"/>
                <w:szCs w:val="18"/>
              </w:rPr>
            </w:pPr>
            <w:r w:rsidRPr="00DC2DCA">
              <w:rPr>
                <w:rFonts w:ascii="Arial Narrow" w:hAnsi="Arial Narrow" w:cs="Arial"/>
                <w:b/>
                <w:sz w:val="18"/>
                <w:szCs w:val="18"/>
              </w:rPr>
              <w:t xml:space="preserve">Category / Program: </w:t>
            </w:r>
            <w:r w:rsidRPr="00DC2DCA">
              <w:rPr>
                <w:rFonts w:ascii="Arial Narrow" w:hAnsi="Arial Narrow" w:cs="Arial"/>
                <w:sz w:val="18"/>
                <w:szCs w:val="18"/>
              </w:rPr>
              <w:t>GENERAL – General Schedule (Code GE)</w:t>
            </w:r>
          </w:p>
        </w:tc>
      </w:tr>
      <w:tr w:rsidR="00DE6132" w:rsidRPr="00DC2DCA" w:rsidTr="00854681">
        <w:tc>
          <w:tcPr>
            <w:tcW w:w="482" w:type="pct"/>
            <w:vAlign w:val="center"/>
          </w:tcPr>
          <w:p w:rsidR="00DE6132" w:rsidRPr="00DC2DCA" w:rsidRDefault="00DE6132" w:rsidP="00854681">
            <w:pPr>
              <w:jc w:val="center"/>
              <w:rPr>
                <w:rFonts w:ascii="Arial Narrow" w:hAnsi="Arial Narrow"/>
                <w:color w:val="333333"/>
                <w:sz w:val="18"/>
                <w:szCs w:val="18"/>
                <w:lang w:eastAsia="en-AU"/>
              </w:rPr>
            </w:pPr>
          </w:p>
        </w:tc>
        <w:tc>
          <w:tcPr>
            <w:tcW w:w="4518" w:type="pct"/>
            <w:tcBorders>
              <w:top w:val="single" w:sz="4" w:space="0" w:color="auto"/>
              <w:left w:val="single" w:sz="4" w:space="0" w:color="auto"/>
              <w:bottom w:val="single" w:sz="4" w:space="0" w:color="auto"/>
              <w:right w:val="single" w:sz="4" w:space="0" w:color="auto"/>
            </w:tcBorders>
          </w:tcPr>
          <w:p w:rsidR="00DE6132" w:rsidRPr="00DC2DCA" w:rsidRDefault="00DE6132" w:rsidP="00854681">
            <w:pPr>
              <w:rPr>
                <w:rFonts w:ascii="Arial Narrow" w:hAnsi="Arial Narrow" w:cs="Arial"/>
                <w:b/>
                <w:sz w:val="18"/>
                <w:szCs w:val="18"/>
              </w:rPr>
            </w:pPr>
            <w:r w:rsidRPr="00DC2DCA">
              <w:rPr>
                <w:rFonts w:ascii="Arial Narrow" w:hAnsi="Arial Narrow" w:cs="Arial"/>
                <w:b/>
                <w:sz w:val="18"/>
                <w:szCs w:val="18"/>
              </w:rPr>
              <w:t xml:space="preserve">Prescriber type:  </w:t>
            </w:r>
            <w:r w:rsidRPr="00DC2DCA">
              <w:rPr>
                <w:rFonts w:ascii="Arial Narrow" w:hAnsi="Arial Narrow" w:cs="Arial"/>
                <w:sz w:val="18"/>
                <w:szCs w:val="18"/>
              </w:rPr>
              <w:fldChar w:fldCharType="begin">
                <w:ffData>
                  <w:name w:val="Check1"/>
                  <w:enabled/>
                  <w:calcOnExit w:val="0"/>
                  <w:checkBox>
                    <w:sizeAuto/>
                    <w:default w:val="0"/>
                  </w:checkBox>
                </w:ffData>
              </w:fldChar>
            </w:r>
            <w:r w:rsidRPr="00DC2DCA">
              <w:rPr>
                <w:rFonts w:ascii="Arial Narrow" w:hAnsi="Arial Narrow" w:cs="Arial"/>
                <w:sz w:val="18"/>
                <w:szCs w:val="18"/>
              </w:rPr>
              <w:instrText xml:space="preserve"> FORMCHECKBOX </w:instrText>
            </w:r>
            <w:r w:rsidR="003E6798">
              <w:rPr>
                <w:rFonts w:ascii="Arial Narrow" w:hAnsi="Arial Narrow" w:cs="Arial"/>
                <w:sz w:val="18"/>
                <w:szCs w:val="18"/>
              </w:rPr>
            </w:r>
            <w:r w:rsidR="003E6798">
              <w:rPr>
                <w:rFonts w:ascii="Arial Narrow" w:hAnsi="Arial Narrow" w:cs="Arial"/>
                <w:sz w:val="18"/>
                <w:szCs w:val="18"/>
              </w:rPr>
              <w:fldChar w:fldCharType="separate"/>
            </w:r>
            <w:r w:rsidRPr="00DC2DCA">
              <w:rPr>
                <w:rFonts w:ascii="Arial Narrow" w:hAnsi="Arial Narrow" w:cs="Arial"/>
                <w:sz w:val="18"/>
                <w:szCs w:val="18"/>
              </w:rPr>
              <w:fldChar w:fldCharType="end"/>
            </w:r>
            <w:r w:rsidRPr="00DC2DCA">
              <w:rPr>
                <w:rFonts w:ascii="Arial Narrow" w:hAnsi="Arial Narrow" w:cs="Arial"/>
                <w:sz w:val="18"/>
                <w:szCs w:val="18"/>
              </w:rPr>
              <w:t xml:space="preserve">Dental  </w:t>
            </w:r>
            <w:r w:rsidRPr="00DC2DCA">
              <w:rPr>
                <w:rFonts w:ascii="Arial Narrow" w:hAnsi="Arial Narrow" w:cs="Arial"/>
                <w:sz w:val="18"/>
                <w:szCs w:val="18"/>
              </w:rPr>
              <w:fldChar w:fldCharType="begin">
                <w:ffData>
                  <w:name w:val=""/>
                  <w:enabled/>
                  <w:calcOnExit w:val="0"/>
                  <w:checkBox>
                    <w:sizeAuto/>
                    <w:default w:val="1"/>
                  </w:checkBox>
                </w:ffData>
              </w:fldChar>
            </w:r>
            <w:r w:rsidRPr="00DC2DCA">
              <w:rPr>
                <w:rFonts w:ascii="Arial Narrow" w:hAnsi="Arial Narrow" w:cs="Arial"/>
                <w:sz w:val="18"/>
                <w:szCs w:val="18"/>
              </w:rPr>
              <w:instrText xml:space="preserve"> FORMCHECKBOX </w:instrText>
            </w:r>
            <w:r w:rsidR="003E6798">
              <w:rPr>
                <w:rFonts w:ascii="Arial Narrow" w:hAnsi="Arial Narrow" w:cs="Arial"/>
                <w:sz w:val="18"/>
                <w:szCs w:val="18"/>
              </w:rPr>
            </w:r>
            <w:r w:rsidR="003E6798">
              <w:rPr>
                <w:rFonts w:ascii="Arial Narrow" w:hAnsi="Arial Narrow" w:cs="Arial"/>
                <w:sz w:val="18"/>
                <w:szCs w:val="18"/>
              </w:rPr>
              <w:fldChar w:fldCharType="separate"/>
            </w:r>
            <w:r w:rsidRPr="00DC2DCA">
              <w:rPr>
                <w:rFonts w:ascii="Arial Narrow" w:hAnsi="Arial Narrow" w:cs="Arial"/>
                <w:sz w:val="18"/>
                <w:szCs w:val="18"/>
              </w:rPr>
              <w:fldChar w:fldCharType="end"/>
            </w:r>
            <w:r w:rsidRPr="00DC2DCA">
              <w:rPr>
                <w:rFonts w:ascii="Arial Narrow" w:hAnsi="Arial Narrow" w:cs="Arial"/>
                <w:sz w:val="18"/>
                <w:szCs w:val="18"/>
              </w:rPr>
              <w:t xml:space="preserve">Medical Practitioners  </w:t>
            </w:r>
            <w:r w:rsidRPr="00DC2DCA">
              <w:rPr>
                <w:rFonts w:ascii="Arial Narrow" w:hAnsi="Arial Narrow" w:cs="Arial"/>
                <w:sz w:val="18"/>
                <w:szCs w:val="18"/>
              </w:rPr>
              <w:fldChar w:fldCharType="begin">
                <w:ffData>
                  <w:name w:val="Check3"/>
                  <w:enabled/>
                  <w:calcOnExit w:val="0"/>
                  <w:checkBox>
                    <w:sizeAuto/>
                    <w:default w:val="0"/>
                  </w:checkBox>
                </w:ffData>
              </w:fldChar>
            </w:r>
            <w:r w:rsidRPr="00DC2DCA">
              <w:rPr>
                <w:rFonts w:ascii="Arial Narrow" w:hAnsi="Arial Narrow" w:cs="Arial"/>
                <w:sz w:val="18"/>
                <w:szCs w:val="18"/>
              </w:rPr>
              <w:instrText xml:space="preserve"> FORMCHECKBOX </w:instrText>
            </w:r>
            <w:r w:rsidR="003E6798">
              <w:rPr>
                <w:rFonts w:ascii="Arial Narrow" w:hAnsi="Arial Narrow" w:cs="Arial"/>
                <w:sz w:val="18"/>
                <w:szCs w:val="18"/>
              </w:rPr>
            </w:r>
            <w:r w:rsidR="003E6798">
              <w:rPr>
                <w:rFonts w:ascii="Arial Narrow" w:hAnsi="Arial Narrow" w:cs="Arial"/>
                <w:sz w:val="18"/>
                <w:szCs w:val="18"/>
              </w:rPr>
              <w:fldChar w:fldCharType="separate"/>
            </w:r>
            <w:r w:rsidRPr="00DC2DCA">
              <w:rPr>
                <w:rFonts w:ascii="Arial Narrow" w:hAnsi="Arial Narrow" w:cs="Arial"/>
                <w:sz w:val="18"/>
                <w:szCs w:val="18"/>
              </w:rPr>
              <w:fldChar w:fldCharType="end"/>
            </w:r>
            <w:r w:rsidRPr="00DC2DCA">
              <w:rPr>
                <w:rFonts w:ascii="Arial Narrow" w:hAnsi="Arial Narrow" w:cs="Arial"/>
                <w:sz w:val="18"/>
                <w:szCs w:val="18"/>
              </w:rPr>
              <w:t xml:space="preserve">Nurse practitioners  </w:t>
            </w:r>
            <w:r w:rsidRPr="00DC2DCA">
              <w:rPr>
                <w:rFonts w:ascii="Arial Narrow" w:hAnsi="Arial Narrow" w:cs="Arial"/>
                <w:sz w:val="18"/>
                <w:szCs w:val="18"/>
              </w:rPr>
              <w:fldChar w:fldCharType="begin">
                <w:ffData>
                  <w:name w:val=""/>
                  <w:enabled/>
                  <w:calcOnExit w:val="0"/>
                  <w:checkBox>
                    <w:sizeAuto/>
                    <w:default w:val="0"/>
                  </w:checkBox>
                </w:ffData>
              </w:fldChar>
            </w:r>
            <w:r w:rsidRPr="00DC2DCA">
              <w:rPr>
                <w:rFonts w:ascii="Arial Narrow" w:hAnsi="Arial Narrow" w:cs="Arial"/>
                <w:sz w:val="18"/>
                <w:szCs w:val="18"/>
              </w:rPr>
              <w:instrText xml:space="preserve"> FORMCHECKBOX </w:instrText>
            </w:r>
            <w:r w:rsidR="003E6798">
              <w:rPr>
                <w:rFonts w:ascii="Arial Narrow" w:hAnsi="Arial Narrow" w:cs="Arial"/>
                <w:sz w:val="18"/>
                <w:szCs w:val="18"/>
              </w:rPr>
            </w:r>
            <w:r w:rsidR="003E6798">
              <w:rPr>
                <w:rFonts w:ascii="Arial Narrow" w:hAnsi="Arial Narrow" w:cs="Arial"/>
                <w:sz w:val="18"/>
                <w:szCs w:val="18"/>
              </w:rPr>
              <w:fldChar w:fldCharType="separate"/>
            </w:r>
            <w:r w:rsidRPr="00DC2DCA">
              <w:rPr>
                <w:rFonts w:ascii="Arial Narrow" w:hAnsi="Arial Narrow" w:cs="Arial"/>
                <w:sz w:val="18"/>
                <w:szCs w:val="18"/>
              </w:rPr>
              <w:fldChar w:fldCharType="end"/>
            </w:r>
            <w:r w:rsidRPr="00DC2DCA">
              <w:rPr>
                <w:rFonts w:ascii="Arial Narrow" w:hAnsi="Arial Narrow" w:cs="Arial"/>
                <w:sz w:val="18"/>
                <w:szCs w:val="18"/>
              </w:rPr>
              <w:t>Optometrists</w:t>
            </w:r>
            <w:r w:rsidRPr="00DC2DCA">
              <w:rPr>
                <w:rFonts w:ascii="Arial Narrow" w:hAnsi="Arial Narrow" w:cs="Arial"/>
                <w:b/>
                <w:sz w:val="18"/>
                <w:szCs w:val="18"/>
              </w:rPr>
              <w:t xml:space="preserve">   </w:t>
            </w:r>
            <w:r w:rsidRPr="00DC2DCA">
              <w:rPr>
                <w:rFonts w:ascii="Arial Narrow" w:hAnsi="Arial Narrow" w:cs="Arial"/>
                <w:sz w:val="18"/>
                <w:szCs w:val="18"/>
              </w:rPr>
              <w:fldChar w:fldCharType="begin">
                <w:ffData>
                  <w:name w:val="Check5"/>
                  <w:enabled/>
                  <w:calcOnExit w:val="0"/>
                  <w:checkBox>
                    <w:sizeAuto/>
                    <w:default w:val="0"/>
                  </w:checkBox>
                </w:ffData>
              </w:fldChar>
            </w:r>
            <w:r w:rsidRPr="00DC2DCA">
              <w:rPr>
                <w:rFonts w:ascii="Arial Narrow" w:hAnsi="Arial Narrow" w:cs="Arial"/>
                <w:sz w:val="18"/>
                <w:szCs w:val="18"/>
              </w:rPr>
              <w:instrText xml:space="preserve"> FORMCHECKBOX </w:instrText>
            </w:r>
            <w:r w:rsidR="003E6798">
              <w:rPr>
                <w:rFonts w:ascii="Arial Narrow" w:hAnsi="Arial Narrow" w:cs="Arial"/>
                <w:sz w:val="18"/>
                <w:szCs w:val="18"/>
              </w:rPr>
            </w:r>
            <w:r w:rsidR="003E6798">
              <w:rPr>
                <w:rFonts w:ascii="Arial Narrow" w:hAnsi="Arial Narrow" w:cs="Arial"/>
                <w:sz w:val="18"/>
                <w:szCs w:val="18"/>
              </w:rPr>
              <w:fldChar w:fldCharType="separate"/>
            </w:r>
            <w:r w:rsidRPr="00DC2DCA">
              <w:rPr>
                <w:rFonts w:ascii="Arial Narrow" w:hAnsi="Arial Narrow" w:cs="Arial"/>
                <w:sz w:val="18"/>
                <w:szCs w:val="18"/>
              </w:rPr>
              <w:fldChar w:fldCharType="end"/>
            </w:r>
            <w:r w:rsidRPr="00DC2DCA">
              <w:rPr>
                <w:rFonts w:ascii="Arial Narrow" w:hAnsi="Arial Narrow" w:cs="Arial"/>
                <w:sz w:val="18"/>
                <w:szCs w:val="18"/>
              </w:rPr>
              <w:t>Midwives</w:t>
            </w:r>
          </w:p>
        </w:tc>
      </w:tr>
      <w:tr w:rsidR="00DE6132" w:rsidRPr="00DC2DCA" w:rsidTr="00854681">
        <w:tc>
          <w:tcPr>
            <w:tcW w:w="482" w:type="pct"/>
            <w:vAlign w:val="center"/>
          </w:tcPr>
          <w:p w:rsidR="00DE6132" w:rsidRPr="00DC2DCA" w:rsidRDefault="00DE6132" w:rsidP="00854681">
            <w:pPr>
              <w:jc w:val="center"/>
              <w:rPr>
                <w:rFonts w:ascii="Arial Narrow" w:hAnsi="Arial Narrow"/>
                <w:color w:val="333333"/>
                <w:sz w:val="18"/>
                <w:szCs w:val="18"/>
                <w:lang w:eastAsia="en-AU"/>
              </w:rPr>
            </w:pPr>
          </w:p>
        </w:tc>
        <w:tc>
          <w:tcPr>
            <w:tcW w:w="4518" w:type="pct"/>
            <w:vAlign w:val="center"/>
          </w:tcPr>
          <w:p w:rsidR="00DE6132" w:rsidRPr="00DC2DCA" w:rsidRDefault="00DE6132" w:rsidP="00854681">
            <w:pPr>
              <w:rPr>
                <w:rFonts w:ascii="Arial Narrow" w:hAnsi="Arial Narrow" w:cs="Arial"/>
                <w:b/>
                <w:sz w:val="18"/>
                <w:szCs w:val="18"/>
              </w:rPr>
            </w:pPr>
            <w:r w:rsidRPr="00DC2DCA">
              <w:rPr>
                <w:rFonts w:ascii="Arial Narrow" w:hAnsi="Arial Narrow" w:cs="Arial"/>
                <w:b/>
                <w:sz w:val="18"/>
                <w:szCs w:val="18"/>
              </w:rPr>
              <w:t>Restriction Level:</w:t>
            </w:r>
          </w:p>
          <w:p w:rsidR="00DE6132" w:rsidRPr="00DC2DCA" w:rsidRDefault="00DE6132" w:rsidP="00854681">
            <w:pPr>
              <w:rPr>
                <w:rFonts w:ascii="Arial Narrow" w:hAnsi="Arial Narrow" w:cs="Arial"/>
                <w:sz w:val="18"/>
                <w:szCs w:val="18"/>
              </w:rPr>
            </w:pPr>
            <w:r w:rsidRPr="00DC2DCA">
              <w:rPr>
                <w:rFonts w:ascii="Arial Narrow" w:hAnsi="Arial Narrow" w:cs="Arial"/>
                <w:sz w:val="18"/>
                <w:szCs w:val="18"/>
              </w:rPr>
              <w:fldChar w:fldCharType="begin">
                <w:ffData>
                  <w:name w:val="Check1"/>
                  <w:enabled/>
                  <w:calcOnExit w:val="0"/>
                  <w:checkBox>
                    <w:sizeAuto/>
                    <w:default w:val="0"/>
                  </w:checkBox>
                </w:ffData>
              </w:fldChar>
            </w:r>
            <w:r w:rsidRPr="00DC2DCA">
              <w:rPr>
                <w:rFonts w:ascii="Arial Narrow" w:hAnsi="Arial Narrow" w:cs="Arial"/>
                <w:sz w:val="18"/>
                <w:szCs w:val="18"/>
              </w:rPr>
              <w:instrText xml:space="preserve"> FORMCHECKBOX </w:instrText>
            </w:r>
            <w:r w:rsidR="003E6798">
              <w:rPr>
                <w:rFonts w:ascii="Arial Narrow" w:hAnsi="Arial Narrow" w:cs="Arial"/>
                <w:sz w:val="18"/>
                <w:szCs w:val="18"/>
              </w:rPr>
            </w:r>
            <w:r w:rsidR="003E6798">
              <w:rPr>
                <w:rFonts w:ascii="Arial Narrow" w:hAnsi="Arial Narrow" w:cs="Arial"/>
                <w:sz w:val="18"/>
                <w:szCs w:val="18"/>
              </w:rPr>
              <w:fldChar w:fldCharType="separate"/>
            </w:r>
            <w:r w:rsidRPr="00DC2DCA">
              <w:rPr>
                <w:rFonts w:ascii="Arial Narrow" w:hAnsi="Arial Narrow" w:cs="Arial"/>
                <w:sz w:val="18"/>
                <w:szCs w:val="18"/>
              </w:rPr>
              <w:fldChar w:fldCharType="end"/>
            </w:r>
            <w:r w:rsidRPr="00DC2DCA">
              <w:rPr>
                <w:rFonts w:ascii="Arial Narrow" w:hAnsi="Arial Narrow" w:cs="Arial"/>
                <w:sz w:val="18"/>
                <w:szCs w:val="18"/>
              </w:rPr>
              <w:t>Restricted benefit</w:t>
            </w:r>
          </w:p>
          <w:p w:rsidR="00DE6132" w:rsidRPr="00DC2DCA" w:rsidRDefault="00DE6132" w:rsidP="00854681">
            <w:pPr>
              <w:rPr>
                <w:rFonts w:ascii="Arial Narrow" w:hAnsi="Arial Narrow" w:cs="Arial"/>
                <w:sz w:val="18"/>
                <w:szCs w:val="18"/>
              </w:rPr>
            </w:pPr>
            <w:r>
              <w:rPr>
                <w:rFonts w:ascii="Arial Narrow" w:hAnsi="Arial Narrow" w:cs="Arial"/>
                <w:sz w:val="18"/>
                <w:szCs w:val="18"/>
              </w:rPr>
              <w:fldChar w:fldCharType="begin">
                <w:ffData>
                  <w:name w:val=""/>
                  <w:enabled/>
                  <w:calcOnExit w:val="0"/>
                  <w:checkBox>
                    <w:sizeAuto/>
                    <w:default w:val="0"/>
                  </w:checkBox>
                </w:ffData>
              </w:fldChar>
            </w:r>
            <w:r>
              <w:rPr>
                <w:rFonts w:ascii="Arial Narrow" w:hAnsi="Arial Narrow" w:cs="Arial"/>
                <w:sz w:val="18"/>
                <w:szCs w:val="18"/>
              </w:rPr>
              <w:instrText xml:space="preserve"> FORMCHECKBOX </w:instrText>
            </w:r>
            <w:r w:rsidR="003E6798">
              <w:rPr>
                <w:rFonts w:ascii="Arial Narrow" w:hAnsi="Arial Narrow" w:cs="Arial"/>
                <w:sz w:val="18"/>
                <w:szCs w:val="18"/>
              </w:rPr>
            </w:r>
            <w:r w:rsidR="003E6798">
              <w:rPr>
                <w:rFonts w:ascii="Arial Narrow" w:hAnsi="Arial Narrow" w:cs="Arial"/>
                <w:sz w:val="18"/>
                <w:szCs w:val="18"/>
              </w:rPr>
              <w:fldChar w:fldCharType="separate"/>
            </w:r>
            <w:r>
              <w:rPr>
                <w:rFonts w:ascii="Arial Narrow" w:hAnsi="Arial Narrow" w:cs="Arial"/>
                <w:sz w:val="18"/>
                <w:szCs w:val="18"/>
              </w:rPr>
              <w:fldChar w:fldCharType="end"/>
            </w:r>
            <w:r w:rsidRPr="00DC2DCA">
              <w:rPr>
                <w:rFonts w:ascii="Arial Narrow" w:hAnsi="Arial Narrow" w:cs="Arial"/>
                <w:sz w:val="18"/>
                <w:szCs w:val="18"/>
              </w:rPr>
              <w:t>Authority Required – In Writing</w:t>
            </w:r>
          </w:p>
          <w:p w:rsidR="00DE6132" w:rsidRPr="00DC2DCA" w:rsidRDefault="00DE6132" w:rsidP="00854681">
            <w:pPr>
              <w:rPr>
                <w:rFonts w:ascii="Arial Narrow" w:hAnsi="Arial Narrow" w:cs="Arial"/>
                <w:sz w:val="18"/>
                <w:szCs w:val="18"/>
              </w:rPr>
            </w:pP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3E6798">
              <w:rPr>
                <w:rFonts w:ascii="Arial Narrow" w:hAnsi="Arial Narrow" w:cs="Arial"/>
                <w:sz w:val="18"/>
                <w:szCs w:val="18"/>
              </w:rPr>
            </w:r>
            <w:r w:rsidR="003E6798">
              <w:rPr>
                <w:rFonts w:ascii="Arial Narrow" w:hAnsi="Arial Narrow" w:cs="Arial"/>
                <w:sz w:val="18"/>
                <w:szCs w:val="18"/>
              </w:rPr>
              <w:fldChar w:fldCharType="separate"/>
            </w:r>
            <w:r>
              <w:rPr>
                <w:rFonts w:ascii="Arial Narrow" w:hAnsi="Arial Narrow" w:cs="Arial"/>
                <w:sz w:val="18"/>
                <w:szCs w:val="18"/>
              </w:rPr>
              <w:fldChar w:fldCharType="end"/>
            </w:r>
            <w:r w:rsidRPr="00DC2DCA">
              <w:rPr>
                <w:rFonts w:ascii="Arial Narrow" w:hAnsi="Arial Narrow" w:cs="Arial"/>
                <w:sz w:val="18"/>
                <w:szCs w:val="18"/>
              </w:rPr>
              <w:t>Authority Required – Telephone/Electronic/Emergency</w:t>
            </w:r>
          </w:p>
          <w:p w:rsidR="00DE6132" w:rsidRPr="00DC2DCA" w:rsidRDefault="00DE6132" w:rsidP="00854681">
            <w:pPr>
              <w:rPr>
                <w:rFonts w:ascii="Arial Narrow" w:hAnsi="Arial Narrow"/>
                <w:b/>
                <w:bCs/>
                <w:color w:val="333333"/>
                <w:sz w:val="18"/>
                <w:szCs w:val="18"/>
                <w:lang w:eastAsia="en-AU"/>
              </w:rPr>
            </w:pPr>
            <w:r w:rsidRPr="00DC2DCA">
              <w:rPr>
                <w:rFonts w:ascii="Arial Narrow" w:hAnsi="Arial Narrow" w:cs="Arial"/>
                <w:sz w:val="18"/>
                <w:szCs w:val="18"/>
              </w:rPr>
              <w:fldChar w:fldCharType="begin">
                <w:ffData>
                  <w:name w:val="Check5"/>
                  <w:enabled/>
                  <w:calcOnExit w:val="0"/>
                  <w:checkBox>
                    <w:sizeAuto/>
                    <w:default w:val="0"/>
                  </w:checkBox>
                </w:ffData>
              </w:fldChar>
            </w:r>
            <w:r w:rsidRPr="00DC2DCA">
              <w:rPr>
                <w:rFonts w:ascii="Arial Narrow" w:hAnsi="Arial Narrow" w:cs="Arial"/>
                <w:sz w:val="18"/>
                <w:szCs w:val="18"/>
              </w:rPr>
              <w:instrText xml:space="preserve"> FORMCHECKBOX </w:instrText>
            </w:r>
            <w:r w:rsidR="003E6798">
              <w:rPr>
                <w:rFonts w:ascii="Arial Narrow" w:hAnsi="Arial Narrow" w:cs="Arial"/>
                <w:sz w:val="18"/>
                <w:szCs w:val="18"/>
              </w:rPr>
            </w:r>
            <w:r w:rsidR="003E6798">
              <w:rPr>
                <w:rFonts w:ascii="Arial Narrow" w:hAnsi="Arial Narrow" w:cs="Arial"/>
                <w:sz w:val="18"/>
                <w:szCs w:val="18"/>
              </w:rPr>
              <w:fldChar w:fldCharType="separate"/>
            </w:r>
            <w:r w:rsidRPr="00DC2DCA">
              <w:rPr>
                <w:rFonts w:ascii="Arial Narrow" w:hAnsi="Arial Narrow" w:cs="Arial"/>
                <w:sz w:val="18"/>
                <w:szCs w:val="18"/>
              </w:rPr>
              <w:fldChar w:fldCharType="end"/>
            </w:r>
            <w:r w:rsidRPr="00DC2DCA">
              <w:rPr>
                <w:rFonts w:ascii="Arial Narrow" w:hAnsi="Arial Narrow" w:cs="Arial"/>
                <w:sz w:val="18"/>
                <w:szCs w:val="18"/>
              </w:rPr>
              <w:t>Streamlined</w:t>
            </w:r>
          </w:p>
        </w:tc>
      </w:tr>
      <w:tr w:rsidR="00DE6132" w:rsidRPr="002F3AD1" w:rsidTr="00854681">
        <w:tc>
          <w:tcPr>
            <w:tcW w:w="482" w:type="pct"/>
            <w:vAlign w:val="center"/>
          </w:tcPr>
          <w:p w:rsidR="00DE6132" w:rsidRDefault="00DE6132" w:rsidP="00854681">
            <w:pPr>
              <w:jc w:val="center"/>
              <w:rPr>
                <w:rFonts w:ascii="Arial Narrow" w:hAnsi="Arial Narrow"/>
                <w:color w:val="333333"/>
                <w:sz w:val="18"/>
                <w:szCs w:val="18"/>
                <w:lang w:eastAsia="en-AU"/>
              </w:rPr>
            </w:pPr>
          </w:p>
        </w:tc>
        <w:tc>
          <w:tcPr>
            <w:tcW w:w="4518" w:type="pct"/>
            <w:vAlign w:val="center"/>
          </w:tcPr>
          <w:p w:rsidR="00DE6132" w:rsidRPr="00DC2DCA" w:rsidRDefault="00DE6132" w:rsidP="00854681">
            <w:pPr>
              <w:rPr>
                <w:rFonts w:ascii="Arial Narrow" w:hAnsi="Arial Narrow"/>
                <w:bCs/>
                <w:color w:val="333333"/>
                <w:sz w:val="18"/>
                <w:szCs w:val="18"/>
                <w:lang w:eastAsia="en-AU"/>
              </w:rPr>
            </w:pPr>
            <w:r>
              <w:rPr>
                <w:rFonts w:ascii="Arial Narrow" w:hAnsi="Arial Narrow"/>
                <w:b/>
                <w:bCs/>
                <w:color w:val="333333"/>
                <w:sz w:val="18"/>
                <w:szCs w:val="18"/>
                <w:lang w:eastAsia="en-AU"/>
              </w:rPr>
              <w:t xml:space="preserve">Episodicity: </w:t>
            </w:r>
            <w:r>
              <w:rPr>
                <w:rFonts w:ascii="Arial Narrow" w:hAnsi="Arial Narrow"/>
                <w:bCs/>
                <w:color w:val="333333"/>
                <w:sz w:val="18"/>
                <w:szCs w:val="18"/>
                <w:lang w:eastAsia="en-AU"/>
              </w:rPr>
              <w:t>Untreated</w:t>
            </w:r>
          </w:p>
        </w:tc>
      </w:tr>
      <w:tr w:rsidR="00DE6132" w:rsidRPr="002F3AD1" w:rsidTr="00854681">
        <w:tc>
          <w:tcPr>
            <w:tcW w:w="482" w:type="pct"/>
            <w:vAlign w:val="center"/>
          </w:tcPr>
          <w:p w:rsidR="00DE6132" w:rsidRDefault="00DE6132" w:rsidP="00854681">
            <w:pPr>
              <w:jc w:val="center"/>
              <w:rPr>
                <w:rFonts w:ascii="Arial Narrow" w:hAnsi="Arial Narrow"/>
                <w:color w:val="333333"/>
                <w:sz w:val="18"/>
                <w:szCs w:val="18"/>
                <w:lang w:eastAsia="en-AU"/>
              </w:rPr>
            </w:pPr>
          </w:p>
        </w:tc>
        <w:tc>
          <w:tcPr>
            <w:tcW w:w="4518" w:type="pct"/>
            <w:vAlign w:val="center"/>
          </w:tcPr>
          <w:p w:rsidR="00DE6132" w:rsidRPr="002F3AD1" w:rsidRDefault="00DE6132" w:rsidP="00854681">
            <w:pPr>
              <w:rPr>
                <w:rFonts w:ascii="Arial Narrow" w:hAnsi="Arial Narrow"/>
                <w:b/>
                <w:bCs/>
                <w:color w:val="333333"/>
                <w:sz w:val="18"/>
                <w:szCs w:val="18"/>
                <w:lang w:eastAsia="en-AU"/>
              </w:rPr>
            </w:pPr>
            <w:r>
              <w:rPr>
                <w:rFonts w:ascii="Arial Narrow" w:hAnsi="Arial Narrow"/>
                <w:b/>
                <w:bCs/>
                <w:color w:val="333333"/>
                <w:sz w:val="18"/>
                <w:szCs w:val="18"/>
                <w:lang w:eastAsia="en-AU"/>
              </w:rPr>
              <w:t>Severity:</w:t>
            </w:r>
          </w:p>
        </w:tc>
      </w:tr>
      <w:tr w:rsidR="00DE6132" w:rsidRPr="002F3AD1" w:rsidTr="00854681">
        <w:tc>
          <w:tcPr>
            <w:tcW w:w="482" w:type="pct"/>
            <w:vAlign w:val="center"/>
          </w:tcPr>
          <w:p w:rsidR="00DE6132" w:rsidRDefault="00DE6132" w:rsidP="00854681">
            <w:pPr>
              <w:jc w:val="center"/>
              <w:rPr>
                <w:rFonts w:ascii="Arial Narrow" w:hAnsi="Arial Narrow"/>
                <w:color w:val="333333"/>
                <w:sz w:val="18"/>
                <w:szCs w:val="18"/>
                <w:lang w:eastAsia="en-AU"/>
              </w:rPr>
            </w:pPr>
          </w:p>
        </w:tc>
        <w:tc>
          <w:tcPr>
            <w:tcW w:w="4518" w:type="pct"/>
            <w:vAlign w:val="center"/>
          </w:tcPr>
          <w:p w:rsidR="00DE6132" w:rsidRPr="002F3AD1" w:rsidRDefault="00DE6132" w:rsidP="00854681">
            <w:pPr>
              <w:rPr>
                <w:rFonts w:ascii="Arial Narrow" w:hAnsi="Arial Narrow"/>
                <w:b/>
                <w:bCs/>
                <w:color w:val="333333"/>
                <w:sz w:val="18"/>
                <w:szCs w:val="18"/>
                <w:lang w:eastAsia="en-AU"/>
              </w:rPr>
            </w:pPr>
            <w:r>
              <w:rPr>
                <w:rFonts w:ascii="Arial Narrow" w:hAnsi="Arial Narrow"/>
                <w:b/>
                <w:bCs/>
                <w:color w:val="333333"/>
                <w:sz w:val="18"/>
                <w:szCs w:val="18"/>
                <w:lang w:eastAsia="en-AU"/>
              </w:rPr>
              <w:t xml:space="preserve">Condition: </w:t>
            </w:r>
            <w:r>
              <w:rPr>
                <w:rFonts w:ascii="Arial Narrow" w:hAnsi="Arial Narrow"/>
                <w:color w:val="333333"/>
                <w:sz w:val="18"/>
                <w:szCs w:val="18"/>
                <w:lang w:eastAsia="en-AU"/>
              </w:rPr>
              <w:t>c</w:t>
            </w:r>
            <w:r w:rsidRPr="002F3AD1">
              <w:rPr>
                <w:rFonts w:ascii="Arial Narrow" w:hAnsi="Arial Narrow"/>
                <w:color w:val="333333"/>
                <w:sz w:val="18"/>
                <w:szCs w:val="18"/>
                <w:lang w:eastAsia="en-AU"/>
              </w:rPr>
              <w:t>hronic lymphocytic leukaemia (CLL) or small lymphocytic lymphoma (SLL)</w:t>
            </w:r>
          </w:p>
        </w:tc>
      </w:tr>
      <w:tr w:rsidR="00DE6132" w:rsidRPr="002F3AD1" w:rsidTr="00854681">
        <w:tc>
          <w:tcPr>
            <w:tcW w:w="482" w:type="pct"/>
            <w:vAlign w:val="center"/>
            <w:hideMark/>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new</w:t>
            </w: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b/>
                <w:bCs/>
                <w:color w:val="333333"/>
                <w:sz w:val="18"/>
                <w:szCs w:val="18"/>
                <w:lang w:eastAsia="en-AU"/>
              </w:rPr>
              <w:t>Indication:</w:t>
            </w:r>
            <w:r w:rsidRPr="00DC2DCA">
              <w:rPr>
                <w:rFonts w:ascii="Arial Narrow" w:hAnsi="Arial Narrow"/>
                <w:color w:val="333333"/>
                <w:sz w:val="18"/>
                <w:szCs w:val="18"/>
                <w:lang w:eastAsia="en-AU"/>
              </w:rPr>
              <w:t xml:space="preserve"> </w:t>
            </w:r>
            <w:r>
              <w:rPr>
                <w:rFonts w:ascii="Arial Narrow" w:hAnsi="Arial Narrow"/>
                <w:color w:val="333333"/>
                <w:sz w:val="18"/>
                <w:szCs w:val="18"/>
                <w:lang w:eastAsia="en-AU"/>
              </w:rPr>
              <w:t>Untreated c</w:t>
            </w:r>
            <w:r w:rsidRPr="002F3AD1">
              <w:rPr>
                <w:rFonts w:ascii="Arial Narrow" w:hAnsi="Arial Narrow"/>
                <w:color w:val="333333"/>
                <w:sz w:val="18"/>
                <w:szCs w:val="18"/>
                <w:lang w:eastAsia="en-AU"/>
              </w:rPr>
              <w:t>hronic lymphocytic leukaemia (CLL) or small lymphocytic lymphoma (SLL)</w:t>
            </w:r>
          </w:p>
        </w:tc>
      </w:tr>
      <w:tr w:rsidR="00DE6132" w:rsidRPr="002F3AD1" w:rsidTr="00854681">
        <w:tc>
          <w:tcPr>
            <w:tcW w:w="482" w:type="pct"/>
            <w:vAlign w:val="center"/>
            <w:hideMark/>
          </w:tcPr>
          <w:p w:rsidR="00DE6132" w:rsidRPr="002F3AD1" w:rsidRDefault="00DE6132" w:rsidP="00854681">
            <w:pPr>
              <w:jc w:val="center"/>
              <w:rPr>
                <w:rFonts w:ascii="Arial Narrow" w:hAnsi="Arial Narrow"/>
                <w:color w:val="333333"/>
                <w:sz w:val="18"/>
                <w:szCs w:val="18"/>
                <w:lang w:eastAsia="en-AU"/>
              </w:rPr>
            </w:pP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b/>
                <w:bCs/>
                <w:color w:val="333333"/>
                <w:sz w:val="18"/>
                <w:szCs w:val="18"/>
                <w:lang w:eastAsia="en-AU"/>
              </w:rPr>
              <w:t>Treatment Phase:</w:t>
            </w:r>
            <w:r w:rsidRPr="00DC2DCA">
              <w:rPr>
                <w:rFonts w:ascii="Arial Narrow" w:hAnsi="Arial Narrow"/>
                <w:color w:val="333333"/>
                <w:sz w:val="18"/>
                <w:szCs w:val="18"/>
                <w:lang w:eastAsia="en-AU"/>
              </w:rPr>
              <w:t xml:space="preserve"> </w:t>
            </w:r>
            <w:r w:rsidRPr="002F3AD1">
              <w:rPr>
                <w:rFonts w:ascii="Arial Narrow" w:hAnsi="Arial Narrow"/>
                <w:color w:val="333333"/>
                <w:sz w:val="18"/>
                <w:szCs w:val="18"/>
                <w:lang w:eastAsia="en-AU"/>
              </w:rPr>
              <w:t>Initial treatment</w:t>
            </w:r>
          </w:p>
        </w:tc>
      </w:tr>
      <w:tr w:rsidR="00DE6132" w:rsidRPr="002F3AD1" w:rsidTr="00854681">
        <w:tc>
          <w:tcPr>
            <w:tcW w:w="482" w:type="pct"/>
            <w:vAlign w:val="center"/>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8594</w:t>
            </w:r>
          </w:p>
        </w:tc>
        <w:tc>
          <w:tcPr>
            <w:tcW w:w="4518" w:type="pct"/>
            <w:vAlign w:val="center"/>
          </w:tcPr>
          <w:p w:rsidR="00DE6132" w:rsidRPr="002F3AD1" w:rsidRDefault="00DE6132" w:rsidP="00854681">
            <w:pPr>
              <w:rPr>
                <w:rFonts w:ascii="Arial Narrow" w:hAnsi="Arial Narrow"/>
                <w:b/>
                <w:bCs/>
                <w:color w:val="333333"/>
                <w:sz w:val="18"/>
                <w:szCs w:val="18"/>
                <w:lang w:eastAsia="en-AU"/>
              </w:rPr>
            </w:pPr>
            <w:r w:rsidRPr="002F3AD1">
              <w:rPr>
                <w:rFonts w:ascii="Arial Narrow" w:hAnsi="Arial Narrow"/>
                <w:b/>
                <w:bCs/>
                <w:color w:val="333333"/>
                <w:sz w:val="18"/>
                <w:szCs w:val="18"/>
                <w:lang w:eastAsia="en-AU"/>
              </w:rPr>
              <w:t>Clinical criteria:</w:t>
            </w:r>
          </w:p>
        </w:tc>
      </w:tr>
      <w:tr w:rsidR="00DE6132" w:rsidRPr="002F3AD1" w:rsidTr="00854681">
        <w:tc>
          <w:tcPr>
            <w:tcW w:w="482" w:type="pct"/>
            <w:vAlign w:val="center"/>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8593</w:t>
            </w:r>
          </w:p>
        </w:tc>
        <w:tc>
          <w:tcPr>
            <w:tcW w:w="4518" w:type="pct"/>
            <w:vAlign w:val="center"/>
          </w:tcPr>
          <w:p w:rsidR="00DE6132" w:rsidRPr="00DC2DCA" w:rsidRDefault="00DE6132" w:rsidP="00854681">
            <w:pPr>
              <w:rPr>
                <w:rFonts w:ascii="Arial Narrow" w:hAnsi="Arial Narrow"/>
                <w:bCs/>
                <w:color w:val="333333"/>
                <w:sz w:val="18"/>
                <w:szCs w:val="18"/>
                <w:lang w:eastAsia="en-AU"/>
              </w:rPr>
            </w:pPr>
            <w:r w:rsidRPr="00DC2DCA">
              <w:rPr>
                <w:rFonts w:ascii="Arial Narrow" w:hAnsi="Arial Narrow"/>
                <w:bCs/>
                <w:color w:val="333333"/>
                <w:sz w:val="18"/>
                <w:szCs w:val="18"/>
                <w:lang w:eastAsia="en-AU"/>
              </w:rPr>
              <w:t>The condition must be previously untreated</w:t>
            </w:r>
          </w:p>
        </w:tc>
      </w:tr>
      <w:tr w:rsidR="00DE6132" w:rsidRPr="002F3AD1" w:rsidTr="00854681">
        <w:tc>
          <w:tcPr>
            <w:tcW w:w="482" w:type="pct"/>
            <w:vAlign w:val="center"/>
          </w:tcPr>
          <w:p w:rsidR="00DE6132" w:rsidRPr="002F3AD1" w:rsidRDefault="00DE6132" w:rsidP="00854681">
            <w:pPr>
              <w:jc w:val="center"/>
              <w:rPr>
                <w:rFonts w:ascii="Arial Narrow" w:hAnsi="Arial Narrow"/>
                <w:color w:val="333333"/>
                <w:sz w:val="18"/>
                <w:szCs w:val="18"/>
                <w:lang w:eastAsia="en-AU"/>
              </w:rPr>
            </w:pPr>
          </w:p>
        </w:tc>
        <w:tc>
          <w:tcPr>
            <w:tcW w:w="4518" w:type="pct"/>
            <w:vAlign w:val="center"/>
          </w:tcPr>
          <w:p w:rsidR="00DE6132" w:rsidRPr="002F3AD1" w:rsidRDefault="00DE6132" w:rsidP="00854681">
            <w:pPr>
              <w:rPr>
                <w:rFonts w:ascii="Arial Narrow" w:hAnsi="Arial Narrow"/>
                <w:color w:val="333333"/>
                <w:sz w:val="18"/>
                <w:szCs w:val="18"/>
                <w:lang w:eastAsia="en-AU"/>
              </w:rPr>
            </w:pPr>
            <w:r w:rsidRPr="00DC2DCA">
              <w:rPr>
                <w:rFonts w:ascii="Arial Narrow" w:hAnsi="Arial Narrow"/>
                <w:b/>
                <w:bCs/>
                <w:color w:val="333333"/>
                <w:sz w:val="18"/>
                <w:szCs w:val="18"/>
                <w:lang w:eastAsia="en-AU"/>
              </w:rPr>
              <w:t>AND</w:t>
            </w:r>
          </w:p>
        </w:tc>
      </w:tr>
      <w:tr w:rsidR="00DE6132" w:rsidRPr="002F3AD1" w:rsidTr="00854681">
        <w:tc>
          <w:tcPr>
            <w:tcW w:w="482" w:type="pct"/>
            <w:vAlign w:val="center"/>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9628</w:t>
            </w:r>
          </w:p>
        </w:tc>
        <w:tc>
          <w:tcPr>
            <w:tcW w:w="4518" w:type="pct"/>
            <w:vAlign w:val="center"/>
          </w:tcPr>
          <w:p w:rsidR="00DE6132" w:rsidRPr="002F3AD1" w:rsidRDefault="00DE6132" w:rsidP="00854681">
            <w:pPr>
              <w:rPr>
                <w:rFonts w:ascii="Arial Narrow" w:hAnsi="Arial Narrow"/>
                <w:b/>
                <w:bCs/>
                <w:color w:val="333333"/>
                <w:sz w:val="18"/>
                <w:szCs w:val="18"/>
                <w:lang w:eastAsia="en-AU"/>
              </w:rPr>
            </w:pPr>
            <w:r w:rsidRPr="002F3AD1">
              <w:rPr>
                <w:rFonts w:ascii="Arial Narrow" w:hAnsi="Arial Narrow"/>
                <w:b/>
                <w:bCs/>
                <w:color w:val="333333"/>
                <w:sz w:val="18"/>
                <w:szCs w:val="18"/>
                <w:lang w:eastAsia="en-AU"/>
              </w:rPr>
              <w:t>Clinical criteria:</w:t>
            </w:r>
          </w:p>
        </w:tc>
      </w:tr>
      <w:tr w:rsidR="00DE6132" w:rsidRPr="002F3AD1" w:rsidTr="00854681">
        <w:tc>
          <w:tcPr>
            <w:tcW w:w="482" w:type="pct"/>
            <w:vAlign w:val="center"/>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9627</w:t>
            </w:r>
          </w:p>
        </w:tc>
        <w:tc>
          <w:tcPr>
            <w:tcW w:w="4518" w:type="pct"/>
            <w:vAlign w:val="center"/>
          </w:tcPr>
          <w:p w:rsidR="00DE6132" w:rsidRPr="00D41156" w:rsidRDefault="00DE6132" w:rsidP="00854681">
            <w:pPr>
              <w:rPr>
                <w:rFonts w:ascii="Arial Narrow" w:hAnsi="Arial Narrow"/>
                <w:bCs/>
                <w:color w:val="333333"/>
                <w:sz w:val="18"/>
                <w:szCs w:val="18"/>
                <w:lang w:eastAsia="en-AU"/>
              </w:rPr>
            </w:pPr>
            <w:r w:rsidRPr="00D41156">
              <w:rPr>
                <w:rFonts w:ascii="Arial Narrow" w:hAnsi="Arial Narrow"/>
                <w:bCs/>
                <w:color w:val="333333"/>
                <w:sz w:val="18"/>
                <w:szCs w:val="18"/>
                <w:lang w:eastAsia="en-AU"/>
              </w:rPr>
              <w:t>Patient must have a WHO performance status of 2 or less</w:t>
            </w:r>
          </w:p>
        </w:tc>
      </w:tr>
      <w:tr w:rsidR="00DE6132" w:rsidRPr="002F3AD1" w:rsidTr="00854681">
        <w:tc>
          <w:tcPr>
            <w:tcW w:w="482" w:type="pct"/>
            <w:vAlign w:val="center"/>
          </w:tcPr>
          <w:p w:rsidR="00DE6132" w:rsidRDefault="00DE6132" w:rsidP="00854681">
            <w:pPr>
              <w:jc w:val="center"/>
              <w:rPr>
                <w:rFonts w:ascii="Arial Narrow" w:hAnsi="Arial Narrow"/>
                <w:color w:val="333333"/>
                <w:sz w:val="18"/>
                <w:szCs w:val="18"/>
                <w:lang w:eastAsia="en-AU"/>
              </w:rPr>
            </w:pPr>
          </w:p>
        </w:tc>
        <w:tc>
          <w:tcPr>
            <w:tcW w:w="4518" w:type="pct"/>
            <w:vAlign w:val="center"/>
          </w:tcPr>
          <w:p w:rsidR="00DE6132" w:rsidRPr="002F3AD1" w:rsidRDefault="00DE6132" w:rsidP="00854681">
            <w:pPr>
              <w:rPr>
                <w:rFonts w:ascii="Arial Narrow" w:hAnsi="Arial Narrow"/>
                <w:color w:val="333333"/>
                <w:sz w:val="18"/>
                <w:szCs w:val="18"/>
                <w:lang w:eastAsia="en-AU"/>
              </w:rPr>
            </w:pPr>
            <w:r w:rsidRPr="00C678E6">
              <w:rPr>
                <w:rFonts w:ascii="Arial Narrow" w:hAnsi="Arial Narrow"/>
                <w:b/>
                <w:bCs/>
                <w:color w:val="333333"/>
                <w:sz w:val="18"/>
                <w:szCs w:val="18"/>
                <w:lang w:eastAsia="en-AU"/>
              </w:rPr>
              <w:t>AND</w:t>
            </w:r>
          </w:p>
        </w:tc>
      </w:tr>
      <w:tr w:rsidR="00DE6132" w:rsidRPr="002F3AD1" w:rsidTr="00854681">
        <w:tc>
          <w:tcPr>
            <w:tcW w:w="482" w:type="pct"/>
            <w:vAlign w:val="center"/>
            <w:hideMark/>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7890</w:t>
            </w: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b/>
                <w:bCs/>
                <w:color w:val="333333"/>
                <w:sz w:val="18"/>
                <w:szCs w:val="18"/>
                <w:lang w:eastAsia="en-AU"/>
              </w:rPr>
              <w:t>Clinical criteria:</w:t>
            </w:r>
          </w:p>
        </w:tc>
      </w:tr>
      <w:tr w:rsidR="00DE6132" w:rsidRPr="002F3AD1" w:rsidTr="00854681">
        <w:tc>
          <w:tcPr>
            <w:tcW w:w="482" w:type="pct"/>
            <w:vAlign w:val="center"/>
            <w:hideMark/>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7889</w:t>
            </w: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color w:val="333333"/>
                <w:sz w:val="18"/>
                <w:szCs w:val="18"/>
                <w:lang w:eastAsia="en-AU"/>
              </w:rPr>
              <w:t>The treatment must be the sole PBS-subsidised therapy for this condition</w:t>
            </w:r>
          </w:p>
        </w:tc>
      </w:tr>
      <w:tr w:rsidR="00DE6132" w:rsidRPr="002F3AD1" w:rsidTr="00854681">
        <w:tc>
          <w:tcPr>
            <w:tcW w:w="482" w:type="pct"/>
            <w:vAlign w:val="center"/>
            <w:hideMark/>
          </w:tcPr>
          <w:p w:rsidR="00DE6132" w:rsidRPr="002F3AD1" w:rsidRDefault="00DE6132" w:rsidP="00854681">
            <w:pPr>
              <w:jc w:val="center"/>
              <w:rPr>
                <w:rFonts w:ascii="Arial Narrow" w:hAnsi="Arial Narrow"/>
                <w:color w:val="333333"/>
                <w:sz w:val="18"/>
                <w:szCs w:val="18"/>
                <w:lang w:eastAsia="en-AU"/>
              </w:rPr>
            </w:pP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b/>
                <w:bCs/>
                <w:color w:val="333333"/>
                <w:sz w:val="18"/>
                <w:szCs w:val="18"/>
                <w:lang w:eastAsia="en-AU"/>
              </w:rPr>
              <w:t>AND</w:t>
            </w:r>
          </w:p>
        </w:tc>
      </w:tr>
      <w:tr w:rsidR="00DE6132" w:rsidRPr="002F3AD1" w:rsidTr="00854681">
        <w:tc>
          <w:tcPr>
            <w:tcW w:w="482" w:type="pct"/>
            <w:vAlign w:val="center"/>
            <w:hideMark/>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21097</w:t>
            </w: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b/>
                <w:bCs/>
                <w:color w:val="333333"/>
                <w:sz w:val="18"/>
                <w:szCs w:val="18"/>
                <w:lang w:eastAsia="en-AU"/>
              </w:rPr>
              <w:t>Clinical criteria:</w:t>
            </w:r>
          </w:p>
        </w:tc>
      </w:tr>
      <w:tr w:rsidR="00DE6132" w:rsidRPr="002F3AD1" w:rsidTr="00854681">
        <w:tc>
          <w:tcPr>
            <w:tcW w:w="482" w:type="pct"/>
            <w:vAlign w:val="center"/>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21096</w:t>
            </w:r>
          </w:p>
        </w:tc>
        <w:tc>
          <w:tcPr>
            <w:tcW w:w="4518" w:type="pct"/>
            <w:vAlign w:val="center"/>
          </w:tcPr>
          <w:p w:rsidR="00DE6132" w:rsidRPr="002F3AD1" w:rsidRDefault="00DE6132" w:rsidP="00854681">
            <w:pPr>
              <w:rPr>
                <w:rFonts w:ascii="Arial Narrow" w:hAnsi="Arial Narrow"/>
                <w:color w:val="333333"/>
                <w:sz w:val="18"/>
                <w:szCs w:val="18"/>
                <w:lang w:eastAsia="en-AU"/>
              </w:rPr>
            </w:pPr>
            <w:r w:rsidRPr="00C678E6">
              <w:rPr>
                <w:rFonts w:ascii="Arial Narrow" w:hAnsi="Arial Narrow"/>
                <w:color w:val="333333"/>
                <w:sz w:val="18"/>
                <w:szCs w:val="18"/>
                <w:lang w:eastAsia="en-AU"/>
              </w:rPr>
              <w:t xml:space="preserve">Patient must have evidence of one or more 17p chromosomal deletions as demonstrated by fluorescence </w:t>
            </w:r>
            <w:r w:rsidRPr="00D41156">
              <w:rPr>
                <w:rFonts w:ascii="Arial Narrow" w:hAnsi="Arial Narrow"/>
                <w:i/>
                <w:color w:val="333333"/>
                <w:sz w:val="18"/>
                <w:szCs w:val="18"/>
                <w:lang w:eastAsia="en-AU"/>
              </w:rPr>
              <w:t>in situ</w:t>
            </w:r>
            <w:r w:rsidRPr="00C678E6">
              <w:rPr>
                <w:rFonts w:ascii="Arial Narrow" w:hAnsi="Arial Narrow"/>
                <w:color w:val="333333"/>
                <w:sz w:val="18"/>
                <w:szCs w:val="18"/>
                <w:lang w:eastAsia="en-AU"/>
              </w:rPr>
              <w:t xml:space="preserve"> hybridisation.</w:t>
            </w:r>
          </w:p>
        </w:tc>
      </w:tr>
      <w:tr w:rsidR="00DE6132" w:rsidRPr="002F3AD1" w:rsidTr="00854681">
        <w:tc>
          <w:tcPr>
            <w:tcW w:w="482" w:type="pct"/>
            <w:vAlign w:val="center"/>
            <w:hideMark/>
          </w:tcPr>
          <w:p w:rsidR="00DE6132" w:rsidRPr="002F3AD1" w:rsidRDefault="00DE6132" w:rsidP="00854681">
            <w:pPr>
              <w:jc w:val="center"/>
              <w:rPr>
                <w:rFonts w:ascii="Arial Narrow" w:hAnsi="Arial Narrow"/>
                <w:color w:val="333333"/>
                <w:sz w:val="18"/>
                <w:szCs w:val="18"/>
                <w:lang w:eastAsia="en-AU"/>
              </w:rPr>
            </w:pP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b/>
                <w:bCs/>
                <w:color w:val="333333"/>
                <w:sz w:val="18"/>
                <w:szCs w:val="18"/>
                <w:lang w:eastAsia="en-AU"/>
              </w:rPr>
              <w:t>AND</w:t>
            </w:r>
          </w:p>
        </w:tc>
      </w:tr>
      <w:tr w:rsidR="00DE6132" w:rsidRPr="002F3AD1" w:rsidTr="00854681">
        <w:tc>
          <w:tcPr>
            <w:tcW w:w="482" w:type="pct"/>
            <w:vAlign w:val="center"/>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21045</w:t>
            </w:r>
          </w:p>
        </w:tc>
        <w:tc>
          <w:tcPr>
            <w:tcW w:w="4518" w:type="pct"/>
            <w:vAlign w:val="center"/>
          </w:tcPr>
          <w:p w:rsidR="00DE6132" w:rsidRPr="002F3AD1" w:rsidRDefault="00DE6132" w:rsidP="00854681">
            <w:pPr>
              <w:rPr>
                <w:rFonts w:ascii="Arial Narrow" w:hAnsi="Arial Narrow"/>
                <w:color w:val="333333"/>
                <w:sz w:val="18"/>
                <w:szCs w:val="18"/>
                <w:lang w:eastAsia="en-AU"/>
              </w:rPr>
            </w:pPr>
            <w:r w:rsidRPr="00863D5B">
              <w:rPr>
                <w:rFonts w:ascii="Arial Narrow" w:hAnsi="Arial Narrow"/>
                <w:b/>
                <w:bCs/>
                <w:color w:val="333333"/>
                <w:sz w:val="18"/>
                <w:szCs w:val="18"/>
                <w:lang w:eastAsia="en-AU"/>
              </w:rPr>
              <w:t>Clinical criteria:</w:t>
            </w:r>
          </w:p>
        </w:tc>
      </w:tr>
      <w:tr w:rsidR="00DE6132" w:rsidRPr="002F3AD1" w:rsidTr="00854681">
        <w:tc>
          <w:tcPr>
            <w:tcW w:w="482" w:type="pct"/>
            <w:vAlign w:val="center"/>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21044</w:t>
            </w:r>
          </w:p>
        </w:tc>
        <w:tc>
          <w:tcPr>
            <w:tcW w:w="4518" w:type="pct"/>
            <w:vAlign w:val="center"/>
          </w:tcPr>
          <w:p w:rsidR="00DE6132" w:rsidRPr="002F3AD1" w:rsidRDefault="00DE6132" w:rsidP="00854681">
            <w:pPr>
              <w:rPr>
                <w:rFonts w:ascii="Arial Narrow" w:hAnsi="Arial Narrow"/>
                <w:color w:val="333333"/>
                <w:sz w:val="18"/>
                <w:szCs w:val="18"/>
                <w:lang w:eastAsia="en-AU"/>
              </w:rPr>
            </w:pPr>
            <w:r w:rsidRPr="00863D5B">
              <w:rPr>
                <w:rFonts w:ascii="Arial Narrow" w:hAnsi="Arial Narrow"/>
                <w:color w:val="333333"/>
                <w:sz w:val="18"/>
                <w:szCs w:val="18"/>
                <w:lang w:eastAsia="en-AU"/>
              </w:rPr>
              <w:t>The treatment must be once in a lifetime with this drug for this condition.</w:t>
            </w:r>
          </w:p>
        </w:tc>
      </w:tr>
      <w:tr w:rsidR="00DE6132" w:rsidRPr="002F3AD1" w:rsidTr="00854681">
        <w:tc>
          <w:tcPr>
            <w:tcW w:w="482" w:type="pct"/>
            <w:vAlign w:val="center"/>
            <w:hideMark/>
          </w:tcPr>
          <w:p w:rsidR="00DE6132" w:rsidRPr="00D41156" w:rsidRDefault="00DE6132" w:rsidP="00854681">
            <w:pPr>
              <w:jc w:val="center"/>
              <w:rPr>
                <w:rFonts w:ascii="Arial Narrow" w:hAnsi="Arial Narrow"/>
                <w:color w:val="FF00FF"/>
                <w:sz w:val="18"/>
                <w:szCs w:val="18"/>
                <w:lang w:eastAsia="en-AU"/>
              </w:rPr>
            </w:pPr>
            <w:r w:rsidRPr="00D41156">
              <w:rPr>
                <w:rFonts w:ascii="Arial Narrow" w:hAnsi="Arial Narrow"/>
                <w:color w:val="FF00FF"/>
                <w:sz w:val="18"/>
                <w:szCs w:val="18"/>
                <w:lang w:eastAsia="en-AU"/>
              </w:rPr>
              <w:t>edit</w:t>
            </w:r>
          </w:p>
          <w:p w:rsidR="00DE6132"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 xml:space="preserve">25135 </w:t>
            </w:r>
          </w:p>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draft</w:t>
            </w: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b/>
                <w:bCs/>
                <w:color w:val="333333"/>
                <w:sz w:val="18"/>
                <w:szCs w:val="18"/>
                <w:lang w:eastAsia="en-AU"/>
              </w:rPr>
              <w:t>Prescribing Instructions:</w:t>
            </w:r>
          </w:p>
          <w:p w:rsidR="00DE6132" w:rsidRPr="00D41156" w:rsidRDefault="00DE6132" w:rsidP="00854681">
            <w:pPr>
              <w:rPr>
                <w:rFonts w:ascii="Arial Narrow" w:hAnsi="Arial Narrow"/>
                <w:color w:val="333333"/>
                <w:sz w:val="18"/>
                <w:szCs w:val="18"/>
                <w:lang w:eastAsia="en-AU"/>
              </w:rPr>
            </w:pPr>
            <w:r w:rsidRPr="00D41156">
              <w:rPr>
                <w:rFonts w:ascii="Arial Narrow" w:hAnsi="Arial Narrow"/>
                <w:color w:val="333333"/>
                <w:sz w:val="18"/>
                <w:szCs w:val="18"/>
                <w:lang w:eastAsia="en-AU"/>
              </w:rPr>
              <w:t xml:space="preserve">A patient may only </w:t>
            </w:r>
            <w:proofErr w:type="spellStart"/>
            <w:r w:rsidRPr="00D41156">
              <w:rPr>
                <w:rFonts w:ascii="Arial Narrow" w:hAnsi="Arial Narrow"/>
                <w:i/>
                <w:color w:val="333333"/>
                <w:sz w:val="18"/>
                <w:szCs w:val="18"/>
                <w:lang w:eastAsia="en-AU"/>
              </w:rPr>
              <w:t>quali</w:t>
            </w:r>
            <w:r w:rsidRPr="00D41156">
              <w:rPr>
                <w:rFonts w:ascii="Arial Narrow" w:hAnsi="Arial Narrow"/>
                <w:i/>
                <w:strike/>
                <w:color w:val="333333"/>
                <w:sz w:val="18"/>
                <w:szCs w:val="18"/>
                <w:lang w:eastAsia="en-AU"/>
              </w:rPr>
              <w:t>t</w:t>
            </w:r>
            <w:r>
              <w:rPr>
                <w:rFonts w:ascii="Arial Narrow" w:hAnsi="Arial Narrow"/>
                <w:i/>
                <w:color w:val="333333"/>
                <w:sz w:val="18"/>
                <w:szCs w:val="18"/>
                <w:lang w:eastAsia="en-AU"/>
              </w:rPr>
              <w:t>f</w:t>
            </w:r>
            <w:r w:rsidRPr="00D41156">
              <w:rPr>
                <w:rFonts w:ascii="Arial Narrow" w:hAnsi="Arial Narrow"/>
                <w:i/>
                <w:color w:val="333333"/>
                <w:sz w:val="18"/>
                <w:szCs w:val="18"/>
                <w:lang w:eastAsia="en-AU"/>
              </w:rPr>
              <w:t>y</w:t>
            </w:r>
            <w:proofErr w:type="spellEnd"/>
            <w:r>
              <w:rPr>
                <w:rFonts w:ascii="Arial Narrow" w:hAnsi="Arial Narrow"/>
                <w:color w:val="333333"/>
                <w:sz w:val="18"/>
                <w:szCs w:val="18"/>
                <w:lang w:eastAsia="en-AU"/>
              </w:rPr>
              <w:t xml:space="preserve"> for </w:t>
            </w:r>
            <w:r w:rsidRPr="00414987">
              <w:rPr>
                <w:rFonts w:ascii="Arial Narrow" w:hAnsi="Arial Narrow"/>
                <w:i/>
                <w:color w:val="333333"/>
                <w:sz w:val="18"/>
                <w:szCs w:val="18"/>
                <w:lang w:eastAsia="en-AU"/>
              </w:rPr>
              <w:t>PBS</w:t>
            </w:r>
            <w:r>
              <w:rPr>
                <w:rFonts w:ascii="Arial Narrow" w:hAnsi="Arial Narrow"/>
                <w:i/>
                <w:color w:val="333333"/>
                <w:sz w:val="18"/>
                <w:szCs w:val="18"/>
                <w:lang w:eastAsia="en-AU"/>
              </w:rPr>
              <w:t>-</w:t>
            </w:r>
            <w:r w:rsidRPr="00414987">
              <w:rPr>
                <w:rFonts w:ascii="Arial Narrow" w:hAnsi="Arial Narrow"/>
                <w:i/>
                <w:color w:val="333333"/>
                <w:sz w:val="18"/>
                <w:szCs w:val="18"/>
                <w:lang w:eastAsia="en-AU"/>
              </w:rPr>
              <w:t>subsidised</w:t>
            </w:r>
            <w:r w:rsidRPr="00D41156">
              <w:rPr>
                <w:rFonts w:ascii="Arial Narrow" w:hAnsi="Arial Narrow"/>
                <w:color w:val="333333"/>
                <w:sz w:val="18"/>
                <w:szCs w:val="18"/>
                <w:lang w:eastAsia="en-AU"/>
              </w:rPr>
              <w:t xml:space="preserve"> </w:t>
            </w:r>
            <w:proofErr w:type="spellStart"/>
            <w:r w:rsidRPr="00D41156">
              <w:rPr>
                <w:rFonts w:ascii="Arial Narrow" w:hAnsi="Arial Narrow"/>
                <w:color w:val="333333"/>
                <w:sz w:val="18"/>
                <w:szCs w:val="18"/>
                <w:lang w:eastAsia="en-AU"/>
              </w:rPr>
              <w:t>initia</w:t>
            </w:r>
            <w:r w:rsidRPr="00D41156">
              <w:rPr>
                <w:rFonts w:ascii="Arial Narrow" w:hAnsi="Arial Narrow"/>
                <w:strike/>
                <w:color w:val="333333"/>
                <w:sz w:val="18"/>
                <w:szCs w:val="18"/>
                <w:lang w:eastAsia="en-AU"/>
              </w:rPr>
              <w:t>tion</w:t>
            </w:r>
            <w:r>
              <w:rPr>
                <w:rFonts w:ascii="Arial Narrow" w:hAnsi="Arial Narrow"/>
                <w:i/>
                <w:color w:val="333333"/>
                <w:sz w:val="18"/>
                <w:szCs w:val="18"/>
                <w:lang w:eastAsia="en-AU"/>
              </w:rPr>
              <w:t>l</w:t>
            </w:r>
            <w:proofErr w:type="spellEnd"/>
            <w:r w:rsidRPr="00D41156">
              <w:rPr>
                <w:rFonts w:ascii="Arial Narrow" w:hAnsi="Arial Narrow"/>
                <w:color w:val="333333"/>
                <w:sz w:val="18"/>
                <w:szCs w:val="18"/>
                <w:lang w:eastAsia="en-AU"/>
              </w:rPr>
              <w:t xml:space="preserve"> treatment once in a lifetime under:</w:t>
            </w:r>
          </w:p>
          <w:p w:rsidR="00DE6132" w:rsidRPr="00D41156" w:rsidRDefault="00DE6132" w:rsidP="00DE6132">
            <w:pPr>
              <w:numPr>
                <w:ilvl w:val="0"/>
                <w:numId w:val="20"/>
              </w:numPr>
              <w:tabs>
                <w:tab w:val="clear" w:pos="720"/>
                <w:tab w:val="num" w:pos="130"/>
              </w:tabs>
              <w:ind w:hanging="732"/>
              <w:jc w:val="left"/>
              <w:rPr>
                <w:rFonts w:ascii="Arial Narrow" w:hAnsi="Arial Narrow"/>
                <w:color w:val="333333"/>
                <w:sz w:val="18"/>
                <w:szCs w:val="18"/>
                <w:lang w:eastAsia="en-AU"/>
              </w:rPr>
            </w:pPr>
            <w:r w:rsidRPr="00D41156">
              <w:rPr>
                <w:rFonts w:ascii="Arial Narrow" w:hAnsi="Arial Narrow"/>
                <w:i/>
                <w:color w:val="333333"/>
                <w:sz w:val="18"/>
                <w:szCs w:val="18"/>
                <w:lang w:eastAsia="en-AU"/>
              </w:rPr>
              <w:t>(i)</w:t>
            </w:r>
            <w:r>
              <w:rPr>
                <w:rFonts w:ascii="Arial Narrow" w:hAnsi="Arial Narrow"/>
                <w:color w:val="333333"/>
                <w:sz w:val="18"/>
                <w:szCs w:val="18"/>
                <w:lang w:eastAsia="en-AU"/>
              </w:rPr>
              <w:t xml:space="preserve"> </w:t>
            </w:r>
            <w:r w:rsidRPr="00D41156">
              <w:rPr>
                <w:rFonts w:ascii="Arial Narrow" w:hAnsi="Arial Narrow"/>
                <w:color w:val="333333"/>
                <w:sz w:val="18"/>
                <w:szCs w:val="18"/>
                <w:lang w:eastAsia="en-AU"/>
              </w:rPr>
              <w:t xml:space="preserve">the </w:t>
            </w:r>
            <w:r w:rsidRPr="00D41156">
              <w:rPr>
                <w:rFonts w:ascii="Arial Narrow" w:hAnsi="Arial Narrow"/>
                <w:strike/>
                <w:color w:val="333333"/>
                <w:sz w:val="18"/>
                <w:szCs w:val="18"/>
                <w:lang w:eastAsia="en-AU"/>
              </w:rPr>
              <w:t>previously</w:t>
            </w:r>
            <w:r w:rsidRPr="00D41156">
              <w:rPr>
                <w:rFonts w:ascii="Arial Narrow" w:hAnsi="Arial Narrow"/>
                <w:color w:val="333333"/>
                <w:sz w:val="18"/>
                <w:szCs w:val="18"/>
                <w:lang w:eastAsia="en-AU"/>
              </w:rPr>
              <w:t xml:space="preserve"> untreated CLL/SLL initial treatment restriction; or</w:t>
            </w:r>
          </w:p>
          <w:p w:rsidR="00DE6132" w:rsidRPr="002F3AD1" w:rsidRDefault="00DE6132" w:rsidP="00854681">
            <w:pPr>
              <w:ind w:left="-12"/>
              <w:rPr>
                <w:rFonts w:ascii="Arial Narrow" w:hAnsi="Arial Narrow"/>
                <w:color w:val="333333"/>
                <w:sz w:val="18"/>
                <w:szCs w:val="18"/>
                <w:lang w:eastAsia="en-AU"/>
              </w:rPr>
            </w:pPr>
            <w:proofErr w:type="gramStart"/>
            <w:r w:rsidRPr="00D41156">
              <w:rPr>
                <w:rFonts w:ascii="Arial Narrow" w:hAnsi="Arial Narrow"/>
                <w:strike/>
                <w:color w:val="333333"/>
                <w:sz w:val="18"/>
                <w:szCs w:val="18"/>
                <w:lang w:eastAsia="en-AU"/>
              </w:rPr>
              <w:t>2.</w:t>
            </w:r>
            <w:r w:rsidRPr="00D41156">
              <w:rPr>
                <w:rFonts w:ascii="Arial Narrow" w:hAnsi="Arial Narrow"/>
                <w:i/>
                <w:strike/>
                <w:color w:val="333333"/>
                <w:sz w:val="18"/>
                <w:szCs w:val="18"/>
                <w:lang w:eastAsia="en-AU"/>
              </w:rPr>
              <w:t>(</w:t>
            </w:r>
            <w:proofErr w:type="gramEnd"/>
            <w:r>
              <w:rPr>
                <w:rFonts w:ascii="Arial Narrow" w:hAnsi="Arial Narrow"/>
                <w:i/>
                <w:color w:val="333333"/>
                <w:sz w:val="18"/>
                <w:szCs w:val="18"/>
                <w:lang w:eastAsia="en-AU"/>
              </w:rPr>
              <w:t xml:space="preserve">ii) </w:t>
            </w:r>
            <w:r w:rsidRPr="00D41156">
              <w:rPr>
                <w:rFonts w:ascii="Arial Narrow" w:hAnsi="Arial Narrow"/>
                <w:color w:val="333333"/>
                <w:sz w:val="18"/>
                <w:szCs w:val="18"/>
                <w:lang w:eastAsia="en-AU"/>
              </w:rPr>
              <w:t>the relapsed or refractory CLL/SLL initial treatment restriction.</w:t>
            </w:r>
          </w:p>
        </w:tc>
      </w:tr>
      <w:tr w:rsidR="00DE6132" w:rsidRPr="002F3AD1" w:rsidTr="00854681">
        <w:tc>
          <w:tcPr>
            <w:tcW w:w="482" w:type="pct"/>
            <w:vAlign w:val="center"/>
            <w:hideMark/>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7606</w:t>
            </w: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2F3AD1">
              <w:rPr>
                <w:rFonts w:ascii="Arial Narrow" w:hAnsi="Arial Narrow"/>
                <w:color w:val="333333"/>
                <w:sz w:val="18"/>
                <w:szCs w:val="18"/>
                <w:lang w:eastAsia="en-AU"/>
              </w:rPr>
              <w:t>No increase in the maximum quantity or number of units may be authorised.</w:t>
            </w:r>
          </w:p>
        </w:tc>
      </w:tr>
      <w:tr w:rsidR="00DE6132" w:rsidRPr="002F3AD1" w:rsidTr="00854681">
        <w:tc>
          <w:tcPr>
            <w:tcW w:w="482" w:type="pct"/>
            <w:vAlign w:val="center"/>
            <w:hideMark/>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7607</w:t>
            </w: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2F3AD1">
              <w:rPr>
                <w:rFonts w:ascii="Arial Narrow" w:hAnsi="Arial Narrow"/>
                <w:color w:val="333333"/>
                <w:sz w:val="18"/>
                <w:szCs w:val="18"/>
                <w:lang w:eastAsia="en-AU"/>
              </w:rPr>
              <w:t>No increase in the maximum number of repeats may be authorised.</w:t>
            </w:r>
          </w:p>
        </w:tc>
      </w:tr>
      <w:tr w:rsidR="00DE6132" w:rsidRPr="002F3AD1" w:rsidTr="00854681">
        <w:tc>
          <w:tcPr>
            <w:tcW w:w="482" w:type="pct"/>
            <w:vAlign w:val="center"/>
            <w:hideMark/>
          </w:tcPr>
          <w:p w:rsidR="00DE6132" w:rsidRPr="002F3AD1"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7608</w:t>
            </w:r>
          </w:p>
        </w:tc>
        <w:tc>
          <w:tcPr>
            <w:tcW w:w="4518" w:type="pct"/>
            <w:vAlign w:val="center"/>
            <w:hideMark/>
          </w:tcPr>
          <w:p w:rsidR="00DE6132" w:rsidRPr="002F3AD1" w:rsidRDefault="00DE6132" w:rsidP="00854681">
            <w:pPr>
              <w:rPr>
                <w:rFonts w:ascii="Arial Narrow" w:hAnsi="Arial Narrow"/>
                <w:color w:val="333333"/>
                <w:sz w:val="18"/>
                <w:szCs w:val="18"/>
                <w:lang w:eastAsia="en-AU"/>
              </w:rPr>
            </w:pPr>
            <w:r w:rsidRPr="002F3AD1">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2F3AD1">
              <w:rPr>
                <w:rFonts w:ascii="Arial Narrow" w:hAnsi="Arial Narrow"/>
                <w:color w:val="333333"/>
                <w:sz w:val="18"/>
                <w:szCs w:val="18"/>
                <w:lang w:eastAsia="en-AU"/>
              </w:rPr>
              <w:t>Special Pricing Arrangements apply.</w:t>
            </w:r>
          </w:p>
        </w:tc>
      </w:tr>
    </w:tbl>
    <w:p w:rsidR="00DE6132" w:rsidRDefault="00DE6132" w:rsidP="00DE6132">
      <w:pPr>
        <w:rPr>
          <w:rFonts w:asciiTheme="minorHAnsi" w:hAnsiTheme="minorHAnsi" w:cstheme="minorHAnsi"/>
          <w:i/>
          <w:sz w:val="22"/>
          <w:szCs w:val="22"/>
        </w:rPr>
      </w:pPr>
    </w:p>
    <w:p w:rsidR="00DE6132" w:rsidRPr="00DE6132" w:rsidRDefault="00DE6132" w:rsidP="00DE6132">
      <w:pPr>
        <w:rPr>
          <w:rFonts w:asciiTheme="minorHAnsi" w:hAnsiTheme="minorHAnsi" w:cstheme="minorHAnsi"/>
          <w:i/>
        </w:rPr>
      </w:pPr>
      <w:r w:rsidRPr="00DE6132">
        <w:rPr>
          <w:rFonts w:asciiTheme="minorHAnsi" w:hAnsiTheme="minorHAnsi" w:cstheme="minorHAnsi"/>
          <w:i/>
        </w:rPr>
        <w:t>Amend existing restrictions as follows:</w:t>
      </w:r>
    </w:p>
    <w:p w:rsidR="00DE6132" w:rsidRDefault="00DE6132" w:rsidP="00DE6132">
      <w:pPr>
        <w:rPr>
          <w:rFonts w:asciiTheme="minorHAnsi" w:hAnsiTheme="minorHAnsi" w:cstheme="minorHAnsi"/>
          <w:i/>
          <w:sz w:val="22"/>
          <w:szCs w:val="22"/>
        </w:rPr>
      </w:pPr>
    </w:p>
    <w:p w:rsidR="00DE6132" w:rsidRPr="004C66AA" w:rsidRDefault="00DE6132" w:rsidP="00DE6132">
      <w:pPr>
        <w:rPr>
          <w:rFonts w:ascii="Arial Narrow" w:hAnsi="Arial Narrow" w:cstheme="minorHAnsi"/>
          <w:b/>
          <w:sz w:val="18"/>
          <w:szCs w:val="18"/>
        </w:rPr>
      </w:pPr>
      <w:r w:rsidRPr="004C66AA">
        <w:rPr>
          <w:rFonts w:ascii="Arial Narrow" w:hAnsi="Arial Narrow" w:cstheme="minorHAnsi"/>
          <w:b/>
          <w:sz w:val="18"/>
          <w:szCs w:val="18"/>
        </w:rPr>
        <w:t>Ibrutinib:</w:t>
      </w:r>
      <w:r w:rsidRPr="004C66AA">
        <w:rPr>
          <w:rFonts w:ascii="Arial Narrow" w:hAnsi="Arial Narrow" w:cstheme="minorHAnsi"/>
          <w:b/>
          <w:sz w:val="18"/>
          <w:szCs w:val="18"/>
        </w:rPr>
        <w:tab/>
        <w:t xml:space="preserve">Restriction Summary 7866 / </w:t>
      </w:r>
      <w:proofErr w:type="spellStart"/>
      <w:r w:rsidRPr="004C66AA">
        <w:rPr>
          <w:rFonts w:ascii="Arial Narrow" w:hAnsi="Arial Narrow" w:cstheme="minorHAnsi"/>
          <w:b/>
          <w:sz w:val="18"/>
          <w:szCs w:val="18"/>
        </w:rPr>
        <w:t>ToC</w:t>
      </w:r>
      <w:proofErr w:type="spellEnd"/>
      <w:r w:rsidRPr="004C66AA">
        <w:rPr>
          <w:rFonts w:ascii="Arial Narrow" w:hAnsi="Arial Narrow" w:cstheme="minorHAnsi"/>
          <w:b/>
          <w:sz w:val="18"/>
          <w:szCs w:val="18"/>
        </w:rPr>
        <w:t>: 7871: Authority Required</w:t>
      </w:r>
    </w:p>
    <w:p w:rsidR="00DE6132" w:rsidRDefault="00DE6132" w:rsidP="00DE6132">
      <w:pPr>
        <w:rPr>
          <w:rFonts w:ascii="Arial Narrow" w:hAnsi="Arial Narrow" w:cstheme="minorHAnsi"/>
          <w:sz w:val="18"/>
          <w:szCs w:val="18"/>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0"/>
        <w:gridCol w:w="8460"/>
      </w:tblGrid>
      <w:tr w:rsidR="00DE6132" w:rsidRPr="00897975" w:rsidTr="00854681">
        <w:tc>
          <w:tcPr>
            <w:tcW w:w="407" w:type="pct"/>
            <w:vAlign w:val="center"/>
          </w:tcPr>
          <w:p w:rsidR="00DE6132" w:rsidRDefault="00DE6132" w:rsidP="00854681">
            <w:pPr>
              <w:jc w:val="center"/>
              <w:rPr>
                <w:rFonts w:ascii="Arial Narrow" w:hAnsi="Arial Narrow"/>
                <w:color w:val="333333"/>
                <w:sz w:val="18"/>
                <w:szCs w:val="18"/>
                <w:lang w:eastAsia="en-AU"/>
              </w:rPr>
            </w:pPr>
            <w:r w:rsidRPr="00897975">
              <w:rPr>
                <w:rFonts w:ascii="Arial Narrow" w:hAnsi="Arial Narrow"/>
                <w:color w:val="FF00FF"/>
                <w:sz w:val="18"/>
                <w:szCs w:val="18"/>
                <w:lang w:eastAsia="en-AU"/>
              </w:rPr>
              <w:t>insert</w:t>
            </w:r>
          </w:p>
        </w:tc>
        <w:tc>
          <w:tcPr>
            <w:tcW w:w="4593" w:type="pct"/>
            <w:vAlign w:val="center"/>
          </w:tcPr>
          <w:p w:rsidR="00DE6132" w:rsidRPr="00897975" w:rsidRDefault="00DE6132" w:rsidP="00854681">
            <w:pPr>
              <w:rPr>
                <w:rFonts w:ascii="Arial Narrow" w:hAnsi="Arial Narrow"/>
                <w:bCs/>
                <w:color w:val="333333"/>
                <w:sz w:val="18"/>
                <w:szCs w:val="18"/>
                <w:lang w:eastAsia="en-AU"/>
              </w:rPr>
            </w:pPr>
            <w:r>
              <w:rPr>
                <w:rFonts w:ascii="Arial Narrow" w:hAnsi="Arial Narrow"/>
                <w:b/>
                <w:bCs/>
                <w:color w:val="333333"/>
                <w:sz w:val="18"/>
                <w:szCs w:val="18"/>
                <w:lang w:eastAsia="en-AU"/>
              </w:rPr>
              <w:t xml:space="preserve">Episodicity: </w:t>
            </w:r>
            <w:r w:rsidRPr="00897975">
              <w:rPr>
                <w:rFonts w:ascii="Arial Narrow" w:hAnsi="Arial Narrow"/>
                <w:bCs/>
                <w:i/>
                <w:color w:val="333333"/>
                <w:sz w:val="18"/>
                <w:szCs w:val="18"/>
                <w:lang w:eastAsia="en-AU"/>
              </w:rPr>
              <w:t>Relapsed or refractory</w:t>
            </w:r>
          </w:p>
        </w:tc>
      </w:tr>
      <w:tr w:rsidR="00DE6132" w:rsidRPr="00897975" w:rsidTr="00854681">
        <w:tc>
          <w:tcPr>
            <w:tcW w:w="407" w:type="pct"/>
            <w:vAlign w:val="center"/>
          </w:tcPr>
          <w:p w:rsidR="00DE6132" w:rsidRDefault="00DE6132" w:rsidP="00854681">
            <w:pPr>
              <w:jc w:val="center"/>
              <w:rPr>
                <w:rFonts w:ascii="Arial Narrow" w:hAnsi="Arial Narrow"/>
                <w:color w:val="333333"/>
                <w:sz w:val="18"/>
                <w:szCs w:val="18"/>
                <w:lang w:eastAsia="en-AU"/>
              </w:rPr>
            </w:pPr>
          </w:p>
        </w:tc>
        <w:tc>
          <w:tcPr>
            <w:tcW w:w="4593" w:type="pct"/>
            <w:vAlign w:val="center"/>
          </w:tcPr>
          <w:p w:rsidR="00DE6132" w:rsidRPr="00897975" w:rsidRDefault="00DE6132" w:rsidP="00854681">
            <w:pPr>
              <w:rPr>
                <w:rFonts w:ascii="Arial Narrow" w:hAnsi="Arial Narrow"/>
                <w:b/>
                <w:bCs/>
                <w:color w:val="333333"/>
                <w:sz w:val="18"/>
                <w:szCs w:val="18"/>
                <w:lang w:eastAsia="en-AU"/>
              </w:rPr>
            </w:pPr>
            <w:r>
              <w:rPr>
                <w:rFonts w:ascii="Arial Narrow" w:hAnsi="Arial Narrow"/>
                <w:b/>
                <w:bCs/>
                <w:color w:val="333333"/>
                <w:sz w:val="18"/>
                <w:szCs w:val="18"/>
                <w:lang w:eastAsia="en-AU"/>
              </w:rPr>
              <w:t xml:space="preserve">Severity: </w:t>
            </w:r>
            <w:r w:rsidRPr="004C66AA">
              <w:rPr>
                <w:rFonts w:ascii="Arial Narrow" w:hAnsi="Arial Narrow"/>
                <w:bCs/>
                <w:color w:val="333333"/>
                <w:sz w:val="18"/>
                <w:szCs w:val="18"/>
                <w:lang w:eastAsia="en-AU"/>
              </w:rPr>
              <w:t>[nil]</w:t>
            </w:r>
          </w:p>
        </w:tc>
      </w:tr>
      <w:tr w:rsidR="00DE6132" w:rsidRPr="00897975" w:rsidTr="00854681">
        <w:tc>
          <w:tcPr>
            <w:tcW w:w="407" w:type="pct"/>
            <w:vAlign w:val="center"/>
          </w:tcPr>
          <w:p w:rsidR="00DE6132" w:rsidRDefault="00DE6132" w:rsidP="00854681">
            <w:pPr>
              <w:jc w:val="center"/>
              <w:rPr>
                <w:rFonts w:ascii="Arial Narrow" w:hAnsi="Arial Narrow"/>
                <w:color w:val="333333"/>
                <w:sz w:val="18"/>
                <w:szCs w:val="18"/>
                <w:lang w:eastAsia="en-AU"/>
              </w:rPr>
            </w:pPr>
          </w:p>
        </w:tc>
        <w:tc>
          <w:tcPr>
            <w:tcW w:w="4593" w:type="pct"/>
            <w:vAlign w:val="center"/>
          </w:tcPr>
          <w:p w:rsidR="00DE6132" w:rsidRPr="00897975" w:rsidRDefault="00DE6132" w:rsidP="00854681">
            <w:pPr>
              <w:rPr>
                <w:rFonts w:ascii="Arial Narrow" w:hAnsi="Arial Narrow"/>
                <w:b/>
                <w:bCs/>
                <w:color w:val="333333"/>
                <w:sz w:val="18"/>
                <w:szCs w:val="18"/>
                <w:lang w:eastAsia="en-AU"/>
              </w:rPr>
            </w:pPr>
            <w:r>
              <w:rPr>
                <w:rFonts w:ascii="Arial Narrow" w:hAnsi="Arial Narrow"/>
                <w:b/>
                <w:bCs/>
                <w:color w:val="333333"/>
                <w:sz w:val="18"/>
                <w:szCs w:val="18"/>
                <w:lang w:eastAsia="en-AU"/>
              </w:rPr>
              <w:t xml:space="preserve">Condition: </w:t>
            </w:r>
            <w:r>
              <w:rPr>
                <w:rFonts w:ascii="Arial Narrow" w:hAnsi="Arial Narrow"/>
                <w:color w:val="333333"/>
                <w:sz w:val="18"/>
                <w:szCs w:val="18"/>
                <w:lang w:eastAsia="en-AU"/>
              </w:rPr>
              <w:t>c</w:t>
            </w:r>
            <w:r w:rsidRPr="002F3AD1">
              <w:rPr>
                <w:rFonts w:ascii="Arial Narrow" w:hAnsi="Arial Narrow"/>
                <w:color w:val="333333"/>
                <w:sz w:val="18"/>
                <w:szCs w:val="18"/>
                <w:lang w:eastAsia="en-AU"/>
              </w:rPr>
              <w:t>hronic lymphocytic leukaemia (CLL) or small lymphocytic lymphoma (SLL)</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FF00FF"/>
                <w:sz w:val="18"/>
                <w:szCs w:val="18"/>
                <w:lang w:eastAsia="en-AU"/>
              </w:rPr>
            </w:pPr>
            <w:r w:rsidRPr="00897975">
              <w:rPr>
                <w:rFonts w:ascii="Arial Narrow" w:hAnsi="Arial Narrow"/>
                <w:color w:val="FF00FF"/>
                <w:sz w:val="18"/>
                <w:szCs w:val="18"/>
                <w:lang w:eastAsia="en-AU"/>
              </w:rPr>
              <w:t>edit</w:t>
            </w:r>
          </w:p>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18476</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Indication:</w:t>
            </w:r>
            <w:r>
              <w:rPr>
                <w:rFonts w:ascii="Arial Narrow" w:hAnsi="Arial Narrow"/>
                <w:b/>
                <w:bCs/>
                <w:color w:val="333333"/>
                <w:sz w:val="18"/>
                <w:szCs w:val="18"/>
                <w:lang w:eastAsia="en-AU"/>
              </w:rPr>
              <w:t xml:space="preserve"> </w:t>
            </w:r>
            <w:r w:rsidRPr="00897975">
              <w:rPr>
                <w:rFonts w:ascii="Arial Narrow" w:hAnsi="Arial Narrow"/>
                <w:bCs/>
                <w:i/>
                <w:color w:val="333333"/>
                <w:sz w:val="18"/>
                <w:szCs w:val="18"/>
                <w:lang w:eastAsia="en-AU"/>
              </w:rPr>
              <w:t>Relapsed or refractory</w:t>
            </w:r>
            <w:r w:rsidRPr="00897975">
              <w:rPr>
                <w:rFonts w:ascii="Arial Narrow" w:hAnsi="Arial Narrow"/>
                <w:color w:val="333333"/>
                <w:sz w:val="18"/>
                <w:szCs w:val="18"/>
                <w:lang w:eastAsia="en-AU"/>
              </w:rPr>
              <w:t xml:space="preserve"> </w:t>
            </w:r>
            <w:r>
              <w:rPr>
                <w:rFonts w:ascii="Arial Narrow" w:hAnsi="Arial Narrow"/>
                <w:color w:val="333333"/>
                <w:sz w:val="18"/>
                <w:szCs w:val="18"/>
                <w:lang w:eastAsia="en-AU"/>
              </w:rPr>
              <w:t>c</w:t>
            </w:r>
            <w:r w:rsidRPr="00897975">
              <w:rPr>
                <w:rFonts w:ascii="Arial Narrow" w:hAnsi="Arial Narrow"/>
                <w:color w:val="333333"/>
                <w:sz w:val="18"/>
                <w:szCs w:val="18"/>
                <w:lang w:eastAsia="en-AU"/>
              </w:rPr>
              <w:t>hronic lymphocytic leukaemia (CLL) or small lymphocytic lymphoma (SLL)</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Treatment Phase:</w:t>
            </w:r>
            <w:r>
              <w:rPr>
                <w:rFonts w:ascii="Arial Narrow" w:hAnsi="Arial Narrow"/>
                <w:color w:val="333333"/>
                <w:sz w:val="18"/>
                <w:szCs w:val="18"/>
                <w:lang w:eastAsia="en-AU"/>
              </w:rPr>
              <w:t xml:space="preserve"> </w:t>
            </w:r>
            <w:r w:rsidRPr="00897975">
              <w:rPr>
                <w:rFonts w:ascii="Arial Narrow" w:hAnsi="Arial Narrow"/>
                <w:color w:val="333333"/>
                <w:sz w:val="18"/>
                <w:szCs w:val="18"/>
                <w:lang w:eastAsia="en-AU"/>
              </w:rPr>
              <w:t>Initial treatment</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7890</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Clinical criteria:</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lastRenderedPageBreak/>
              <w:t>7889</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The treatment must be the sole PBS-subsidised therapy for this condition</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AND</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17702</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Clinical criteria:</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21191</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The condition must have relapsed or be refractory to at least one prior therapy</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AND</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10859</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Clinical criteria:</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10858</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Patient must have a WHO performance status of 0 or 1</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AND</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14393</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Clinical criteria:</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14392</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Patient must not have previously received PBS-subsidised treatment with this drug for this condition</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AND</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20320</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Clinical criteria:</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20319</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Patient must be considered unsuitable for treatment or retreatment with a purine analogue</w:t>
            </w:r>
          </w:p>
        </w:tc>
      </w:tr>
      <w:tr w:rsidR="00DE6132" w:rsidRPr="00897975" w:rsidTr="00854681">
        <w:tc>
          <w:tcPr>
            <w:tcW w:w="407" w:type="pct"/>
            <w:vAlign w:val="center"/>
          </w:tcPr>
          <w:p w:rsidR="00DE6132" w:rsidRDefault="00DE6132" w:rsidP="00854681">
            <w:pPr>
              <w:jc w:val="center"/>
              <w:rPr>
                <w:rFonts w:ascii="Arial Narrow" w:hAnsi="Arial Narrow"/>
                <w:color w:val="333333"/>
                <w:sz w:val="18"/>
                <w:szCs w:val="18"/>
                <w:lang w:eastAsia="en-AU"/>
              </w:rPr>
            </w:pPr>
          </w:p>
        </w:tc>
        <w:tc>
          <w:tcPr>
            <w:tcW w:w="4593" w:type="pct"/>
            <w:vAlign w:val="center"/>
          </w:tcPr>
          <w:p w:rsidR="00DE6132" w:rsidRPr="004C66AA" w:rsidRDefault="00DE6132" w:rsidP="00854681">
            <w:pPr>
              <w:rPr>
                <w:rFonts w:ascii="Arial Narrow" w:hAnsi="Arial Narrow"/>
                <w:i/>
                <w:color w:val="333333"/>
                <w:sz w:val="18"/>
                <w:szCs w:val="18"/>
                <w:lang w:eastAsia="en-AU"/>
              </w:rPr>
            </w:pPr>
            <w:r w:rsidRPr="002F3AD1">
              <w:rPr>
                <w:rFonts w:ascii="Arial Narrow" w:hAnsi="Arial Narrow"/>
                <w:b/>
                <w:bCs/>
                <w:i/>
                <w:color w:val="333333"/>
                <w:sz w:val="18"/>
                <w:szCs w:val="18"/>
                <w:lang w:eastAsia="en-AU"/>
              </w:rPr>
              <w:t>AND</w:t>
            </w:r>
          </w:p>
        </w:tc>
      </w:tr>
      <w:tr w:rsidR="00DE6132" w:rsidRPr="00897975" w:rsidTr="00854681">
        <w:tc>
          <w:tcPr>
            <w:tcW w:w="407" w:type="pct"/>
            <w:vAlign w:val="center"/>
          </w:tcPr>
          <w:p w:rsidR="00DE6132" w:rsidRPr="004C66AA" w:rsidRDefault="00DE6132" w:rsidP="00854681">
            <w:pPr>
              <w:jc w:val="center"/>
              <w:rPr>
                <w:rFonts w:ascii="Arial Narrow" w:hAnsi="Arial Narrow"/>
                <w:color w:val="FF00FF"/>
                <w:sz w:val="18"/>
                <w:szCs w:val="18"/>
                <w:lang w:eastAsia="en-AU"/>
              </w:rPr>
            </w:pPr>
            <w:r w:rsidRPr="004C66AA">
              <w:rPr>
                <w:rFonts w:ascii="Arial Narrow" w:hAnsi="Arial Narrow"/>
                <w:color w:val="FF00FF"/>
                <w:sz w:val="18"/>
                <w:szCs w:val="18"/>
                <w:lang w:eastAsia="en-AU"/>
              </w:rPr>
              <w:t>insert</w:t>
            </w:r>
          </w:p>
          <w:p w:rsidR="00DE6132"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21045</w:t>
            </w:r>
          </w:p>
        </w:tc>
        <w:tc>
          <w:tcPr>
            <w:tcW w:w="4593" w:type="pct"/>
            <w:vAlign w:val="center"/>
          </w:tcPr>
          <w:p w:rsidR="00DE6132" w:rsidRPr="004C66AA" w:rsidRDefault="00DE6132" w:rsidP="00854681">
            <w:pPr>
              <w:rPr>
                <w:rFonts w:ascii="Arial Narrow" w:hAnsi="Arial Narrow"/>
                <w:i/>
                <w:color w:val="333333"/>
                <w:sz w:val="18"/>
                <w:szCs w:val="18"/>
                <w:lang w:eastAsia="en-AU"/>
              </w:rPr>
            </w:pPr>
            <w:r w:rsidRPr="004C66AA">
              <w:rPr>
                <w:rFonts w:ascii="Arial Narrow" w:hAnsi="Arial Narrow"/>
                <w:b/>
                <w:bCs/>
                <w:i/>
                <w:color w:val="333333"/>
                <w:sz w:val="18"/>
                <w:szCs w:val="18"/>
                <w:lang w:eastAsia="en-AU"/>
              </w:rPr>
              <w:t>Clinical criteria:</w:t>
            </w:r>
          </w:p>
        </w:tc>
      </w:tr>
      <w:tr w:rsidR="00DE6132" w:rsidRPr="00897975" w:rsidTr="00854681">
        <w:tc>
          <w:tcPr>
            <w:tcW w:w="407" w:type="pct"/>
            <w:vAlign w:val="center"/>
          </w:tcPr>
          <w:p w:rsidR="00DE6132"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21044</w:t>
            </w:r>
          </w:p>
        </w:tc>
        <w:tc>
          <w:tcPr>
            <w:tcW w:w="4593" w:type="pct"/>
            <w:vAlign w:val="center"/>
          </w:tcPr>
          <w:p w:rsidR="00DE6132" w:rsidRPr="004C66AA" w:rsidRDefault="00DE6132" w:rsidP="00854681">
            <w:pPr>
              <w:rPr>
                <w:rFonts w:ascii="Arial Narrow" w:hAnsi="Arial Narrow"/>
                <w:i/>
                <w:color w:val="333333"/>
                <w:sz w:val="18"/>
                <w:szCs w:val="18"/>
                <w:lang w:eastAsia="en-AU"/>
              </w:rPr>
            </w:pPr>
            <w:r w:rsidRPr="004C66AA">
              <w:rPr>
                <w:rFonts w:ascii="Arial Narrow" w:hAnsi="Arial Narrow"/>
                <w:i/>
                <w:color w:val="333333"/>
                <w:sz w:val="18"/>
                <w:szCs w:val="18"/>
                <w:lang w:eastAsia="en-AU"/>
              </w:rPr>
              <w:t>The treatment must be once in a lifetime with this drug for this condition.</w:t>
            </w:r>
          </w:p>
        </w:tc>
      </w:tr>
      <w:tr w:rsidR="00DE6132" w:rsidRPr="00897975" w:rsidTr="00854681">
        <w:tc>
          <w:tcPr>
            <w:tcW w:w="407" w:type="pct"/>
            <w:vAlign w:val="center"/>
          </w:tcPr>
          <w:p w:rsidR="00DE6132" w:rsidRPr="00D41156" w:rsidRDefault="00DE6132" w:rsidP="00854681">
            <w:pPr>
              <w:jc w:val="center"/>
              <w:rPr>
                <w:rFonts w:ascii="Arial Narrow" w:hAnsi="Arial Narrow"/>
                <w:color w:val="FF00FF"/>
                <w:sz w:val="18"/>
                <w:szCs w:val="18"/>
                <w:lang w:eastAsia="en-AU"/>
              </w:rPr>
            </w:pPr>
            <w:r>
              <w:rPr>
                <w:rFonts w:ascii="Arial Narrow" w:hAnsi="Arial Narrow"/>
                <w:color w:val="FF00FF"/>
                <w:sz w:val="18"/>
                <w:szCs w:val="18"/>
                <w:lang w:eastAsia="en-AU"/>
              </w:rPr>
              <w:t>insert</w:t>
            </w:r>
          </w:p>
          <w:p w:rsidR="00DE6132"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 xml:space="preserve">25135 </w:t>
            </w:r>
          </w:p>
          <w:p w:rsidR="00DE6132"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draft</w:t>
            </w:r>
          </w:p>
        </w:tc>
        <w:tc>
          <w:tcPr>
            <w:tcW w:w="4593" w:type="pct"/>
            <w:vAlign w:val="center"/>
          </w:tcPr>
          <w:p w:rsidR="00DE6132" w:rsidRPr="002F3AD1" w:rsidRDefault="00DE6132" w:rsidP="00854681">
            <w:pPr>
              <w:rPr>
                <w:rFonts w:ascii="Arial Narrow" w:hAnsi="Arial Narrow"/>
                <w:i/>
                <w:color w:val="333333"/>
                <w:sz w:val="18"/>
                <w:szCs w:val="18"/>
                <w:lang w:eastAsia="en-AU"/>
              </w:rPr>
            </w:pPr>
            <w:r w:rsidRPr="002F3AD1">
              <w:rPr>
                <w:rFonts w:ascii="Arial Narrow" w:hAnsi="Arial Narrow"/>
                <w:b/>
                <w:bCs/>
                <w:i/>
                <w:color w:val="333333"/>
                <w:sz w:val="18"/>
                <w:szCs w:val="18"/>
                <w:lang w:eastAsia="en-AU"/>
              </w:rPr>
              <w:t>Prescribing Instructions:</w:t>
            </w:r>
          </w:p>
          <w:p w:rsidR="00DE6132" w:rsidRDefault="00DE6132" w:rsidP="00854681">
            <w:pPr>
              <w:rPr>
                <w:rFonts w:ascii="Arial Narrow" w:hAnsi="Arial Narrow"/>
                <w:i/>
                <w:color w:val="333333"/>
                <w:sz w:val="18"/>
                <w:szCs w:val="18"/>
                <w:lang w:eastAsia="en-AU"/>
              </w:rPr>
            </w:pPr>
            <w:r w:rsidRPr="004C66AA">
              <w:rPr>
                <w:rFonts w:ascii="Arial Narrow" w:hAnsi="Arial Narrow"/>
                <w:i/>
                <w:color w:val="333333"/>
                <w:sz w:val="18"/>
                <w:szCs w:val="18"/>
                <w:lang w:eastAsia="en-AU"/>
              </w:rPr>
              <w:t>A patient may only qualify for PBS-subsidised initial treatment once in a lifetime under:</w:t>
            </w:r>
          </w:p>
          <w:p w:rsidR="00DE6132" w:rsidRPr="004C66AA" w:rsidRDefault="00DE6132" w:rsidP="00854681">
            <w:pPr>
              <w:rPr>
                <w:rFonts w:ascii="Arial Narrow" w:hAnsi="Arial Narrow"/>
                <w:i/>
                <w:color w:val="333333"/>
                <w:sz w:val="18"/>
                <w:szCs w:val="18"/>
                <w:lang w:eastAsia="en-AU"/>
              </w:rPr>
            </w:pPr>
            <w:r w:rsidRPr="004C66AA">
              <w:rPr>
                <w:rFonts w:ascii="Arial Narrow" w:hAnsi="Arial Narrow"/>
                <w:i/>
                <w:color w:val="333333"/>
                <w:sz w:val="18"/>
                <w:szCs w:val="18"/>
                <w:lang w:eastAsia="en-AU"/>
              </w:rPr>
              <w:t>(i) the untreated CLL/SLL initial treatment restriction; or</w:t>
            </w:r>
          </w:p>
          <w:p w:rsidR="00DE6132" w:rsidRPr="004C66AA" w:rsidRDefault="00DE6132" w:rsidP="00854681">
            <w:pPr>
              <w:rPr>
                <w:rFonts w:ascii="Arial Narrow" w:hAnsi="Arial Narrow"/>
                <w:i/>
                <w:color w:val="333333"/>
                <w:sz w:val="18"/>
                <w:szCs w:val="18"/>
                <w:lang w:eastAsia="en-AU"/>
              </w:rPr>
            </w:pPr>
            <w:r w:rsidRPr="004C66AA">
              <w:rPr>
                <w:rFonts w:ascii="Arial Narrow" w:hAnsi="Arial Narrow"/>
                <w:i/>
                <w:color w:val="333333"/>
                <w:sz w:val="18"/>
                <w:szCs w:val="18"/>
                <w:lang w:eastAsia="en-AU"/>
              </w:rPr>
              <w:t>(ii) the relapsed or refractory CLL/SL</w:t>
            </w:r>
            <w:r>
              <w:rPr>
                <w:rFonts w:ascii="Arial Narrow" w:hAnsi="Arial Narrow"/>
                <w:i/>
                <w:color w:val="333333"/>
                <w:sz w:val="18"/>
                <w:szCs w:val="18"/>
                <w:lang w:eastAsia="en-AU"/>
              </w:rPr>
              <w:t>L initial treatment restriction</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19736</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Prescribing Instructions:</w:t>
            </w:r>
          </w:p>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A patient is considered unsuitable for treatment or retreatment with a purine analogue as demonstrated by at least one of the following:</w:t>
            </w:r>
          </w:p>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a) Failure to respond (stable disease or disease progression on treatment), or a progression-free interval of less than 3 years from treatment with a purine analogue-based therapy and anti-CD20-containing chemoimmunotherapy regimen after at least two cycles;</w:t>
            </w:r>
          </w:p>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b) Age is 70 years or older;</w:t>
            </w:r>
          </w:p>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p>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d) History of purine analogue-associated autoimmune anaemia or autoimmune thrombocytopenia;</w:t>
            </w:r>
          </w:p>
          <w:p w:rsidR="00DE6132" w:rsidRPr="00897975" w:rsidRDefault="00DE6132" w:rsidP="00854681">
            <w:pPr>
              <w:rPr>
                <w:rFonts w:ascii="Arial Narrow" w:hAnsi="Arial Narrow"/>
                <w:color w:val="333333"/>
                <w:sz w:val="18"/>
                <w:szCs w:val="18"/>
                <w:lang w:eastAsia="en-AU"/>
              </w:rPr>
            </w:pPr>
            <w:r w:rsidRPr="00897975">
              <w:rPr>
                <w:rFonts w:ascii="Arial Narrow" w:hAnsi="Arial Narrow"/>
                <w:color w:val="333333"/>
                <w:sz w:val="18"/>
                <w:szCs w:val="18"/>
                <w:lang w:eastAsia="en-AU"/>
              </w:rPr>
              <w:t>e) Evidence of one or more 17p chromosomal deletions demonstrated by fluorescence in situ hybridisation (FISH).</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7606</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897975">
              <w:rPr>
                <w:rFonts w:ascii="Arial Narrow" w:hAnsi="Arial Narrow"/>
                <w:color w:val="333333"/>
                <w:sz w:val="18"/>
                <w:szCs w:val="18"/>
                <w:lang w:eastAsia="en-AU"/>
              </w:rPr>
              <w:t>No increase in the maximum quantity or number of units may be authorised.</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7607</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897975">
              <w:rPr>
                <w:rFonts w:ascii="Arial Narrow" w:hAnsi="Arial Narrow"/>
                <w:color w:val="333333"/>
                <w:sz w:val="18"/>
                <w:szCs w:val="18"/>
                <w:lang w:eastAsia="en-AU"/>
              </w:rPr>
              <w:t>No increase in the maximum number of repeats may be authorised.</w:t>
            </w:r>
          </w:p>
        </w:tc>
      </w:tr>
      <w:tr w:rsidR="00DE6132" w:rsidRPr="00897975" w:rsidTr="00854681">
        <w:tc>
          <w:tcPr>
            <w:tcW w:w="407" w:type="pct"/>
            <w:vAlign w:val="center"/>
            <w:hideMark/>
          </w:tcPr>
          <w:p w:rsidR="00DE6132" w:rsidRPr="00897975" w:rsidRDefault="00DE6132" w:rsidP="00854681">
            <w:pPr>
              <w:jc w:val="center"/>
              <w:rPr>
                <w:rFonts w:ascii="Arial Narrow" w:hAnsi="Arial Narrow"/>
                <w:color w:val="333333"/>
                <w:sz w:val="18"/>
                <w:szCs w:val="18"/>
                <w:lang w:eastAsia="en-AU"/>
              </w:rPr>
            </w:pPr>
            <w:r>
              <w:rPr>
                <w:rFonts w:ascii="Arial Narrow" w:hAnsi="Arial Narrow"/>
                <w:color w:val="333333"/>
                <w:sz w:val="18"/>
                <w:szCs w:val="18"/>
                <w:lang w:eastAsia="en-AU"/>
              </w:rPr>
              <w:t>7608</w:t>
            </w:r>
          </w:p>
        </w:tc>
        <w:tc>
          <w:tcPr>
            <w:tcW w:w="4593" w:type="pct"/>
            <w:vAlign w:val="center"/>
            <w:hideMark/>
          </w:tcPr>
          <w:p w:rsidR="00DE6132" w:rsidRPr="00897975" w:rsidRDefault="00DE6132" w:rsidP="00854681">
            <w:pPr>
              <w:rPr>
                <w:rFonts w:ascii="Arial Narrow" w:hAnsi="Arial Narrow"/>
                <w:color w:val="333333"/>
                <w:sz w:val="18"/>
                <w:szCs w:val="18"/>
                <w:lang w:eastAsia="en-AU"/>
              </w:rPr>
            </w:pPr>
            <w:r w:rsidRPr="00897975">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897975">
              <w:rPr>
                <w:rFonts w:ascii="Arial Narrow" w:hAnsi="Arial Narrow"/>
                <w:color w:val="333333"/>
                <w:sz w:val="18"/>
                <w:szCs w:val="18"/>
                <w:lang w:eastAsia="en-AU"/>
              </w:rPr>
              <w:t>Special Pricing Arrangements apply.</w:t>
            </w:r>
          </w:p>
        </w:tc>
      </w:tr>
    </w:tbl>
    <w:p w:rsidR="00DE6132" w:rsidRDefault="00DE6132" w:rsidP="00DE6132">
      <w:pPr>
        <w:rPr>
          <w:rFonts w:ascii="Arial Narrow" w:hAnsi="Arial Narrow" w:cstheme="minorHAnsi"/>
          <w:sz w:val="18"/>
          <w:szCs w:val="18"/>
        </w:rPr>
      </w:pPr>
    </w:p>
    <w:p w:rsidR="00DE6132" w:rsidRDefault="00DE6132" w:rsidP="00DE6132">
      <w:pPr>
        <w:rPr>
          <w:rFonts w:ascii="Arial Narrow" w:hAnsi="Arial Narrow" w:cstheme="minorHAnsi"/>
          <w:sz w:val="18"/>
          <w:szCs w:val="18"/>
        </w:rPr>
      </w:pPr>
    </w:p>
    <w:p w:rsidR="00DE6132" w:rsidRPr="004C66AA" w:rsidRDefault="00DE6132" w:rsidP="00DE6132">
      <w:pPr>
        <w:rPr>
          <w:rFonts w:ascii="Arial Narrow" w:hAnsi="Arial Narrow" w:cstheme="minorHAnsi"/>
          <w:b/>
          <w:sz w:val="18"/>
          <w:szCs w:val="18"/>
          <w:lang w:val="en-GB"/>
        </w:rPr>
      </w:pPr>
      <w:r>
        <w:rPr>
          <w:rFonts w:ascii="Arial Narrow" w:hAnsi="Arial Narrow" w:cstheme="minorHAnsi"/>
          <w:b/>
          <w:sz w:val="18"/>
          <w:szCs w:val="18"/>
          <w:lang w:val="en-GB"/>
        </w:rPr>
        <w:t>Ibrutinib:</w:t>
      </w:r>
      <w:r>
        <w:rPr>
          <w:rFonts w:ascii="Arial Narrow" w:hAnsi="Arial Narrow" w:cstheme="minorHAnsi"/>
          <w:b/>
          <w:sz w:val="18"/>
          <w:szCs w:val="18"/>
          <w:lang w:val="en-GB"/>
        </w:rPr>
        <w:tab/>
      </w:r>
      <w:r w:rsidRPr="004C66AA">
        <w:rPr>
          <w:rFonts w:ascii="Arial Narrow" w:hAnsi="Arial Narrow" w:cstheme="minorHAnsi"/>
          <w:b/>
          <w:sz w:val="18"/>
          <w:szCs w:val="18"/>
          <w:lang w:val="en-GB"/>
        </w:rPr>
        <w:t xml:space="preserve">Restriction Summary 7841 / </w:t>
      </w:r>
      <w:proofErr w:type="spellStart"/>
      <w:r w:rsidRPr="004C66AA">
        <w:rPr>
          <w:rFonts w:ascii="Arial Narrow" w:hAnsi="Arial Narrow" w:cstheme="minorHAnsi"/>
          <w:b/>
          <w:sz w:val="18"/>
          <w:szCs w:val="18"/>
          <w:lang w:val="en-GB"/>
        </w:rPr>
        <w:t>ToC</w:t>
      </w:r>
      <w:proofErr w:type="spellEnd"/>
      <w:r w:rsidRPr="004C66AA">
        <w:rPr>
          <w:rFonts w:ascii="Arial Narrow" w:hAnsi="Arial Narrow" w:cstheme="minorHAnsi"/>
          <w:b/>
          <w:sz w:val="18"/>
          <w:szCs w:val="18"/>
          <w:lang w:val="en-GB"/>
        </w:rPr>
        <w:t>: 7858: Authority Required</w:t>
      </w:r>
    </w:p>
    <w:p w:rsidR="00DE6132" w:rsidRDefault="00DE6132" w:rsidP="00DE6132">
      <w:pPr>
        <w:rPr>
          <w:rFonts w:ascii="Arial Narrow" w:hAnsi="Arial Narrow" w:cstheme="minorHAnsi"/>
          <w:sz w:val="18"/>
          <w:szCs w:val="18"/>
          <w:lang w:val="en-GB"/>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8503"/>
      </w:tblGrid>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Pr>
                <w:rFonts w:ascii="Arial Narrow" w:hAnsi="Arial Narrow" w:cstheme="minorHAnsi"/>
                <w:sz w:val="18"/>
                <w:szCs w:val="18"/>
              </w:rPr>
              <w:t>17770</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b/>
                <w:bCs/>
                <w:sz w:val="18"/>
                <w:szCs w:val="18"/>
              </w:rPr>
              <w:t>Indication:</w:t>
            </w:r>
            <w:r>
              <w:rPr>
                <w:rFonts w:ascii="Arial Narrow" w:hAnsi="Arial Narrow" w:cstheme="minorHAnsi"/>
                <w:sz w:val="18"/>
                <w:szCs w:val="18"/>
              </w:rPr>
              <w:t xml:space="preserve"> </w:t>
            </w:r>
            <w:r w:rsidRPr="004C66AA">
              <w:rPr>
                <w:rFonts w:ascii="Arial Narrow" w:hAnsi="Arial Narrow" w:cstheme="minorHAnsi"/>
                <w:sz w:val="18"/>
                <w:szCs w:val="18"/>
              </w:rPr>
              <w:t>Chronic lymphocytic leukaemia (CLL) or small lymphocytic lymphoma (SLL)</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sidRPr="004C66AA">
              <w:rPr>
                <w:rFonts w:ascii="Arial Narrow" w:hAnsi="Arial Narrow" w:cstheme="minorHAnsi"/>
                <w:color w:val="FF00FF"/>
                <w:sz w:val="18"/>
                <w:szCs w:val="18"/>
              </w:rPr>
              <w:t>edit</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b/>
                <w:bCs/>
                <w:sz w:val="18"/>
                <w:szCs w:val="18"/>
              </w:rPr>
              <w:t>Treatment Phase:</w:t>
            </w:r>
            <w:r>
              <w:rPr>
                <w:rFonts w:ascii="Arial Narrow" w:hAnsi="Arial Narrow" w:cstheme="minorHAnsi"/>
                <w:sz w:val="18"/>
                <w:szCs w:val="18"/>
              </w:rPr>
              <w:t xml:space="preserve"> </w:t>
            </w:r>
            <w:r w:rsidRPr="004C66AA">
              <w:rPr>
                <w:rFonts w:ascii="Arial Narrow" w:hAnsi="Arial Narrow" w:cstheme="minorHAnsi"/>
                <w:sz w:val="18"/>
                <w:szCs w:val="18"/>
              </w:rPr>
              <w:t>Continuing treatment</w:t>
            </w:r>
            <w:r>
              <w:rPr>
                <w:rFonts w:ascii="Arial Narrow" w:hAnsi="Arial Narrow" w:cstheme="minorHAnsi"/>
                <w:sz w:val="18"/>
                <w:szCs w:val="18"/>
              </w:rPr>
              <w:t xml:space="preserve"> </w:t>
            </w:r>
            <w:r>
              <w:rPr>
                <w:rFonts w:ascii="Arial Narrow" w:hAnsi="Arial Narrow" w:cstheme="minorHAnsi"/>
                <w:i/>
                <w:iCs/>
                <w:sz w:val="18"/>
                <w:szCs w:val="18"/>
              </w:rPr>
              <w:t>of previously untreated </w:t>
            </w:r>
            <w:r w:rsidRPr="004C66AA">
              <w:rPr>
                <w:rFonts w:ascii="Arial Narrow" w:hAnsi="Arial Narrow" w:cstheme="minorHAnsi"/>
                <w:i/>
                <w:iCs/>
                <w:sz w:val="18"/>
                <w:szCs w:val="18"/>
              </w:rPr>
              <w:t>CLL/SLL, or, relapsed or refractory CLL/SLL</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Pr>
                <w:rFonts w:ascii="Arial Narrow" w:hAnsi="Arial Narrow" w:cstheme="minorHAnsi"/>
                <w:sz w:val="18"/>
                <w:szCs w:val="18"/>
              </w:rPr>
              <w:t>7890</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b/>
                <w:bCs/>
                <w:sz w:val="18"/>
                <w:szCs w:val="18"/>
              </w:rPr>
              <w:t>Clinical criteria:</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Pr>
                <w:rFonts w:ascii="Arial Narrow" w:hAnsi="Arial Narrow" w:cstheme="minorHAnsi"/>
                <w:sz w:val="18"/>
                <w:szCs w:val="18"/>
              </w:rPr>
              <w:t>7889</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sz w:val="18"/>
                <w:szCs w:val="18"/>
              </w:rPr>
              <w:t>The treatment must be the sole PBS-subsidised therapy for this condition</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b/>
                <w:bCs/>
                <w:sz w:val="18"/>
                <w:szCs w:val="18"/>
              </w:rPr>
              <w:t>AND</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Pr>
                <w:rFonts w:ascii="Arial Narrow" w:hAnsi="Arial Narrow" w:cstheme="minorHAnsi"/>
                <w:sz w:val="18"/>
                <w:szCs w:val="18"/>
              </w:rPr>
              <w:t>11365</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b/>
                <w:bCs/>
                <w:sz w:val="18"/>
                <w:szCs w:val="18"/>
              </w:rPr>
              <w:t>Clinical criteria:</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Pr>
                <w:rFonts w:ascii="Arial Narrow" w:hAnsi="Arial Narrow" w:cstheme="minorHAnsi"/>
                <w:sz w:val="18"/>
                <w:szCs w:val="18"/>
              </w:rPr>
              <w:t>11364</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sz w:val="18"/>
                <w:szCs w:val="18"/>
              </w:rPr>
              <w:t>Patient must have previously received PBS-subsidised treatment with this drug for this condition</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b/>
                <w:bCs/>
                <w:sz w:val="18"/>
                <w:szCs w:val="18"/>
              </w:rPr>
              <w:t>AND</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Pr>
                <w:rFonts w:ascii="Arial Narrow" w:hAnsi="Arial Narrow" w:cstheme="minorHAnsi"/>
                <w:sz w:val="18"/>
                <w:szCs w:val="18"/>
              </w:rPr>
              <w:t>21104</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b/>
                <w:bCs/>
                <w:sz w:val="18"/>
                <w:szCs w:val="18"/>
              </w:rPr>
              <w:t>Clinical criteria:</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Pr>
                <w:rFonts w:ascii="Arial Narrow" w:hAnsi="Arial Narrow" w:cstheme="minorHAnsi"/>
                <w:sz w:val="18"/>
                <w:szCs w:val="18"/>
              </w:rPr>
              <w:t>21103</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sz w:val="18"/>
                <w:szCs w:val="18"/>
              </w:rPr>
              <w:t>Patient must not develop disease progression while receiving PBS-subsidised treatment with this drug for this condition</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Pr>
                <w:rFonts w:ascii="Arial Narrow" w:hAnsi="Arial Narrow" w:cstheme="minorHAnsi"/>
                <w:sz w:val="18"/>
                <w:szCs w:val="18"/>
              </w:rPr>
              <w:t>7606</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b/>
                <w:bCs/>
                <w:sz w:val="18"/>
                <w:szCs w:val="18"/>
              </w:rPr>
              <w:t>Administrative Advice:</w:t>
            </w:r>
            <w:r>
              <w:rPr>
                <w:rFonts w:ascii="Arial Narrow" w:hAnsi="Arial Narrow" w:cstheme="minorHAnsi"/>
                <w:sz w:val="18"/>
                <w:szCs w:val="18"/>
              </w:rPr>
              <w:t xml:space="preserve"> </w:t>
            </w:r>
            <w:r w:rsidRPr="004C66AA">
              <w:rPr>
                <w:rFonts w:ascii="Arial Narrow" w:hAnsi="Arial Narrow" w:cstheme="minorHAnsi"/>
                <w:sz w:val="18"/>
                <w:szCs w:val="18"/>
              </w:rPr>
              <w:t>No increase in the maximum quantity or number of units may be authorised.</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Pr>
                <w:rFonts w:ascii="Arial Narrow" w:hAnsi="Arial Narrow" w:cstheme="minorHAnsi"/>
                <w:sz w:val="18"/>
                <w:szCs w:val="18"/>
              </w:rPr>
              <w:t>7607</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b/>
                <w:bCs/>
                <w:sz w:val="18"/>
                <w:szCs w:val="18"/>
              </w:rPr>
              <w:t>Administrative Advice:</w:t>
            </w:r>
            <w:r>
              <w:rPr>
                <w:rFonts w:ascii="Arial Narrow" w:hAnsi="Arial Narrow" w:cstheme="minorHAnsi"/>
                <w:sz w:val="18"/>
                <w:szCs w:val="18"/>
              </w:rPr>
              <w:t xml:space="preserve"> </w:t>
            </w:r>
            <w:r w:rsidRPr="004C66AA">
              <w:rPr>
                <w:rFonts w:ascii="Arial Narrow" w:hAnsi="Arial Narrow" w:cstheme="minorHAnsi"/>
                <w:sz w:val="18"/>
                <w:szCs w:val="18"/>
              </w:rPr>
              <w:t>No increase in the maximum number of repeats may be authorised.</w:t>
            </w:r>
          </w:p>
        </w:tc>
      </w:tr>
      <w:tr w:rsidR="00DE6132" w:rsidRPr="004C66AA" w:rsidTr="00854681">
        <w:tc>
          <w:tcPr>
            <w:tcW w:w="384" w:type="pct"/>
            <w:vAlign w:val="center"/>
            <w:hideMark/>
          </w:tcPr>
          <w:p w:rsidR="00DE6132" w:rsidRPr="004C66AA" w:rsidRDefault="00DE6132" w:rsidP="00854681">
            <w:pPr>
              <w:jc w:val="center"/>
              <w:rPr>
                <w:rFonts w:ascii="Arial Narrow" w:hAnsi="Arial Narrow" w:cstheme="minorHAnsi"/>
                <w:sz w:val="18"/>
                <w:szCs w:val="18"/>
              </w:rPr>
            </w:pPr>
            <w:r>
              <w:rPr>
                <w:rFonts w:ascii="Arial Narrow" w:hAnsi="Arial Narrow" w:cstheme="minorHAnsi"/>
                <w:sz w:val="18"/>
                <w:szCs w:val="18"/>
              </w:rPr>
              <w:t>7608</w:t>
            </w:r>
          </w:p>
        </w:tc>
        <w:tc>
          <w:tcPr>
            <w:tcW w:w="4616" w:type="pct"/>
            <w:vAlign w:val="center"/>
            <w:hideMark/>
          </w:tcPr>
          <w:p w:rsidR="00DE6132" w:rsidRPr="004C66AA" w:rsidRDefault="00DE6132" w:rsidP="00854681">
            <w:pPr>
              <w:rPr>
                <w:rFonts w:ascii="Arial Narrow" w:hAnsi="Arial Narrow" w:cstheme="minorHAnsi"/>
                <w:sz w:val="18"/>
                <w:szCs w:val="18"/>
              </w:rPr>
            </w:pPr>
            <w:r w:rsidRPr="004C66AA">
              <w:rPr>
                <w:rFonts w:ascii="Arial Narrow" w:hAnsi="Arial Narrow" w:cstheme="minorHAnsi"/>
                <w:b/>
                <w:bCs/>
                <w:sz w:val="18"/>
                <w:szCs w:val="18"/>
              </w:rPr>
              <w:t>Administrative Advice:</w:t>
            </w:r>
            <w:r>
              <w:rPr>
                <w:rFonts w:ascii="Arial Narrow" w:hAnsi="Arial Narrow" w:cstheme="minorHAnsi"/>
                <w:sz w:val="18"/>
                <w:szCs w:val="18"/>
              </w:rPr>
              <w:t xml:space="preserve"> </w:t>
            </w:r>
            <w:r w:rsidRPr="004C66AA">
              <w:rPr>
                <w:rFonts w:ascii="Arial Narrow" w:hAnsi="Arial Narrow" w:cstheme="minorHAnsi"/>
                <w:sz w:val="18"/>
                <w:szCs w:val="18"/>
              </w:rPr>
              <w:t>Special Pricing Arrangements apply.</w:t>
            </w:r>
          </w:p>
        </w:tc>
      </w:tr>
    </w:tbl>
    <w:p w:rsidR="007B253D" w:rsidRDefault="007B253D" w:rsidP="007B253D">
      <w:pPr>
        <w:widowControl w:val="0"/>
        <w:rPr>
          <w:rFonts w:asciiTheme="minorHAnsi" w:hAnsiTheme="minorHAnsi" w:cs="Arial"/>
          <w:bCs/>
          <w:snapToGrid w:val="0"/>
        </w:rPr>
      </w:pPr>
    </w:p>
    <w:p w:rsidR="00DE6132" w:rsidRDefault="00DE6132" w:rsidP="00DE6132">
      <w:pPr>
        <w:rPr>
          <w:b/>
          <w:bCs/>
          <w:i/>
          <w:iCs/>
        </w:rPr>
      </w:pPr>
      <w:r>
        <w:rPr>
          <w:b/>
          <w:bCs/>
          <w:i/>
          <w:iCs/>
        </w:rPr>
        <w:t>This restriction may be subject to further review. Should there be any changes made to the restriction the Sponsor will be informed.</w:t>
      </w:r>
    </w:p>
    <w:p w:rsidR="00634216" w:rsidRDefault="00634216">
      <w:pPr>
        <w:jc w:val="left"/>
        <w:rPr>
          <w:color w:val="1F497D"/>
          <w:sz w:val="22"/>
          <w:szCs w:val="22"/>
          <w:lang w:eastAsia="en-US"/>
        </w:rPr>
      </w:pPr>
      <w:r>
        <w:rPr>
          <w:color w:val="1F497D"/>
          <w:sz w:val="22"/>
          <w:szCs w:val="22"/>
          <w:lang w:eastAsia="en-US"/>
        </w:rPr>
        <w:br w:type="page"/>
      </w:r>
    </w:p>
    <w:p w:rsidR="00634216" w:rsidRPr="001E39A7" w:rsidRDefault="00634216" w:rsidP="001E39A7">
      <w:pPr>
        <w:pStyle w:val="PBACHeading1"/>
        <w:spacing w:before="240" w:after="120"/>
      </w:pPr>
      <w:r>
        <w:lastRenderedPageBreak/>
        <w:t xml:space="preserve">Context for Decision </w:t>
      </w:r>
    </w:p>
    <w:p w:rsidR="00634216" w:rsidRPr="001E39A7" w:rsidRDefault="00021DD5" w:rsidP="00634216">
      <w:pPr>
        <w:rPr>
          <w:rFonts w:asciiTheme="minorHAnsi" w:hAnsiTheme="minorHAnsi" w:cs="Arial"/>
        </w:rPr>
      </w:pPr>
      <w:r w:rsidRPr="00021DD5">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34216" w:rsidRPr="00D53BD3" w:rsidRDefault="00634216" w:rsidP="001E39A7">
      <w:pPr>
        <w:pStyle w:val="PBACHeading1"/>
        <w:spacing w:before="240" w:after="120"/>
      </w:pPr>
      <w:r w:rsidRPr="00D53BD3">
        <w:t>Sponsor’s Comment</w:t>
      </w:r>
    </w:p>
    <w:p w:rsidR="00B04308" w:rsidRDefault="00634216" w:rsidP="00906E74">
      <w:pPr>
        <w:spacing w:after="120" w:line="276" w:lineRule="auto"/>
      </w:pPr>
      <w:r w:rsidRPr="00D53BD3">
        <w:rPr>
          <w:rFonts w:asciiTheme="minorHAnsi" w:eastAsiaTheme="minorHAnsi" w:hAnsiTheme="minorHAnsi" w:cs="Arial"/>
          <w:bCs/>
          <w:szCs w:val="22"/>
          <w:lang w:eastAsia="en-US"/>
        </w:rPr>
        <w:t>The sponsor had no comment.</w:t>
      </w:r>
      <w:r w:rsidR="00906E74">
        <w:t xml:space="preserve"> </w:t>
      </w:r>
    </w:p>
    <w:p w:rsidR="002B09A4" w:rsidRPr="00B04308" w:rsidRDefault="002B09A4" w:rsidP="00B04308">
      <w:pPr>
        <w:jc w:val="left"/>
        <w:rPr>
          <w:b/>
          <w:i/>
        </w:rPr>
      </w:pPr>
    </w:p>
    <w:sectPr w:rsidR="002B09A4" w:rsidRPr="00B04308" w:rsidSect="00B04308">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98" w:rsidRDefault="003E6798" w:rsidP="00124A51">
      <w:r>
        <w:separator/>
      </w:r>
    </w:p>
    <w:p w:rsidR="003E6798" w:rsidRDefault="003E6798"/>
  </w:endnote>
  <w:endnote w:type="continuationSeparator" w:id="0">
    <w:p w:rsidR="003E6798" w:rsidRDefault="003E6798" w:rsidP="00124A51">
      <w:r>
        <w:continuationSeparator/>
      </w:r>
    </w:p>
    <w:p w:rsidR="003E6798" w:rsidRDefault="003E6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98" w:rsidRDefault="003E6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784113"/>
      <w:docPartObj>
        <w:docPartGallery w:val="Page Numbers (Bottom of Page)"/>
        <w:docPartUnique/>
      </w:docPartObj>
    </w:sdtPr>
    <w:sdtEndPr>
      <w:rPr>
        <w:b/>
        <w:noProof/>
      </w:rPr>
    </w:sdtEndPr>
    <w:sdtContent>
      <w:p w:rsidR="003E6798" w:rsidRDefault="003E6798">
        <w:pPr>
          <w:pStyle w:val="Footer"/>
          <w:jc w:val="center"/>
        </w:pPr>
      </w:p>
      <w:p w:rsidR="003E6798" w:rsidRPr="007B253D" w:rsidRDefault="003E6798">
        <w:pPr>
          <w:pStyle w:val="Footer"/>
          <w:jc w:val="center"/>
          <w:rPr>
            <w:b/>
          </w:rPr>
        </w:pPr>
        <w:r w:rsidRPr="007B253D">
          <w:rPr>
            <w:b/>
          </w:rPr>
          <w:fldChar w:fldCharType="begin"/>
        </w:r>
        <w:r w:rsidRPr="007B253D">
          <w:rPr>
            <w:b/>
          </w:rPr>
          <w:instrText xml:space="preserve"> PAGE   \* MERGEFORMAT </w:instrText>
        </w:r>
        <w:r w:rsidRPr="007B253D">
          <w:rPr>
            <w:b/>
          </w:rPr>
          <w:fldChar w:fldCharType="separate"/>
        </w:r>
        <w:r w:rsidR="00870465">
          <w:rPr>
            <w:b/>
            <w:noProof/>
          </w:rPr>
          <w:t>11</w:t>
        </w:r>
        <w:r w:rsidRPr="007B253D">
          <w:rPr>
            <w:b/>
            <w:noProof/>
          </w:rPr>
          <w:fldChar w:fldCharType="end"/>
        </w:r>
      </w:p>
    </w:sdtContent>
  </w:sdt>
  <w:p w:rsidR="003E6798" w:rsidRDefault="003E6798" w:rsidP="0051281B">
    <w:pP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98" w:rsidRDefault="003E6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98" w:rsidRDefault="003E6798" w:rsidP="00124A51">
      <w:r>
        <w:separator/>
      </w:r>
    </w:p>
    <w:p w:rsidR="003E6798" w:rsidRDefault="003E6798"/>
  </w:footnote>
  <w:footnote w:type="continuationSeparator" w:id="0">
    <w:p w:rsidR="003E6798" w:rsidRDefault="003E6798" w:rsidP="00124A51">
      <w:r>
        <w:continuationSeparator/>
      </w:r>
    </w:p>
    <w:p w:rsidR="003E6798" w:rsidRDefault="003E6798"/>
  </w:footnote>
  <w:footnote w:id="1">
    <w:p w:rsidR="003E6798" w:rsidRDefault="003E6798">
      <w:pPr>
        <w:pStyle w:val="FootnoteText"/>
      </w:pPr>
      <w:r>
        <w:rPr>
          <w:rStyle w:val="FootnoteReference"/>
        </w:rPr>
        <w:footnoteRef/>
      </w:r>
      <w:r>
        <w:t xml:space="preserve"> </w:t>
      </w:r>
      <w:proofErr w:type="spellStart"/>
      <w:r>
        <w:t>Kuss</w:t>
      </w:r>
      <w:proofErr w:type="spellEnd"/>
      <w:r>
        <w:t xml:space="preserve"> BJ &amp; Tam CS. Management of high risk chronic lymphocytic leukaemia (CLL) patients in Australia. Internal Medicine Journal, 2017; 47:5-10</w:t>
      </w:r>
    </w:p>
  </w:footnote>
  <w:footnote w:id="2">
    <w:p w:rsidR="003E6798" w:rsidRDefault="003E6798" w:rsidP="00B11EC8">
      <w:pPr>
        <w:pStyle w:val="FootnoteText"/>
      </w:pPr>
      <w:r>
        <w:rPr>
          <w:rStyle w:val="FootnoteReference"/>
        </w:rPr>
        <w:footnoteRef/>
      </w:r>
      <w:r>
        <w:t xml:space="preserve"> Available at: </w:t>
      </w:r>
      <w:hyperlink r:id="rId1" w:history="1">
        <w:r w:rsidRPr="001902E0">
          <w:rPr>
            <w:rStyle w:val="Hyperlink"/>
          </w:rPr>
          <w:t>https://handbook-5-1.cochrane.org/chapter_16/16_6_2_indirect_comparisons.htm</w:t>
        </w:r>
      </w:hyperlink>
      <w:r>
        <w:t xml:space="preserve"> </w:t>
      </w:r>
    </w:p>
  </w:footnote>
  <w:footnote w:id="3">
    <w:p w:rsidR="003E6798" w:rsidRDefault="003E6798" w:rsidP="00D45C53">
      <w:pPr>
        <w:rPr>
          <w:rStyle w:val="Hyperlink"/>
          <w:szCs w:val="22"/>
        </w:rPr>
      </w:pPr>
      <w:r w:rsidRPr="00D45C53">
        <w:rPr>
          <w:rStyle w:val="FootnoteReference"/>
          <w:sz w:val="20"/>
          <w:szCs w:val="20"/>
        </w:rPr>
        <w:footnoteRef/>
      </w:r>
      <w:r w:rsidRPr="00D45C53">
        <w:rPr>
          <w:sz w:val="20"/>
          <w:szCs w:val="20"/>
        </w:rPr>
        <w:t xml:space="preserve"> </w:t>
      </w:r>
      <w:proofErr w:type="spellStart"/>
      <w:r>
        <w:rPr>
          <w:sz w:val="20"/>
          <w:szCs w:val="20"/>
        </w:rPr>
        <w:t>Munir.T</w:t>
      </w:r>
      <w:proofErr w:type="spellEnd"/>
      <w:r>
        <w:rPr>
          <w:sz w:val="20"/>
          <w:szCs w:val="20"/>
        </w:rPr>
        <w:t>,</w:t>
      </w:r>
      <w:r w:rsidRPr="00D45C53">
        <w:rPr>
          <w:sz w:val="20"/>
          <w:szCs w:val="20"/>
        </w:rPr>
        <w:t xml:space="preserve"> et al. Final analysis from RESONATE: Up to six years of follow‐up on ibrutinib in patients with previously treated chronic lymphocytic </w:t>
      </w:r>
      <w:proofErr w:type="spellStart"/>
      <w:r w:rsidRPr="00D45C53">
        <w:rPr>
          <w:sz w:val="20"/>
          <w:szCs w:val="20"/>
        </w:rPr>
        <w:t>leukemia</w:t>
      </w:r>
      <w:proofErr w:type="spellEnd"/>
      <w:r w:rsidRPr="00D45C53">
        <w:rPr>
          <w:sz w:val="20"/>
          <w:szCs w:val="20"/>
        </w:rPr>
        <w:t xml:space="preserve"> or small lymphocytic lymphoma. Am J </w:t>
      </w:r>
      <w:proofErr w:type="spellStart"/>
      <w:r w:rsidRPr="00D45C53">
        <w:rPr>
          <w:sz w:val="20"/>
          <w:szCs w:val="20"/>
        </w:rPr>
        <w:t>Hematol</w:t>
      </w:r>
      <w:proofErr w:type="spellEnd"/>
      <w:r w:rsidRPr="00D45C53">
        <w:rPr>
          <w:sz w:val="20"/>
          <w:szCs w:val="20"/>
        </w:rPr>
        <w:t>. 2019; 1– 11. </w:t>
      </w:r>
      <w:hyperlink r:id="rId2" w:history="1">
        <w:r w:rsidRPr="00D45C53">
          <w:rPr>
            <w:sz w:val="20"/>
            <w:szCs w:val="20"/>
          </w:rPr>
          <w:t>https://doi.org/10.1002/ajh.25638</w:t>
        </w:r>
      </w:hyperlink>
    </w:p>
    <w:p w:rsidR="003E6798" w:rsidRDefault="003E6798">
      <w:pPr>
        <w:pStyle w:val="FootnoteText"/>
      </w:pPr>
    </w:p>
  </w:footnote>
  <w:footnote w:id="4">
    <w:p w:rsidR="003E6798" w:rsidRPr="008A24A0" w:rsidRDefault="003E6798" w:rsidP="008A24A0">
      <w:pPr>
        <w:pStyle w:val="TableFooter"/>
        <w:keepNext/>
        <w:rPr>
          <w:sz w:val="20"/>
          <w:szCs w:val="20"/>
        </w:rPr>
      </w:pPr>
      <w:r>
        <w:rPr>
          <w:rStyle w:val="FootnoteReference"/>
        </w:rPr>
        <w:footnoteRef/>
      </w:r>
      <w:r>
        <w:t xml:space="preserve"> Section 3_del17p cost utility model.xlsm, Key Inputs &amp; Results worksheet cells D11 and D15 changed to $</w:t>
      </w:r>
      <w:r>
        <w:rPr>
          <w:noProof/>
          <w:color w:val="000000"/>
          <w:highlight w:val="black"/>
        </w:rPr>
        <w:t>''''''''''''''''''</w:t>
      </w:r>
      <w:r>
        <w:t xml:space="preserve">. Note: cell D14 – venetoclax DPMQ (11630D) – first cycle (combo) price not changed. IBR engine_del17p worksheet cells BM2, BM3, BN2 and BN3 changed to $0, OBI_CLB engine_del17p worksheet cells BX2, BX3, BY2, </w:t>
      </w:r>
      <w:proofErr w:type="gramStart"/>
      <w:r>
        <w:t>BY3</w:t>
      </w:r>
      <w:proofErr w:type="gramEnd"/>
      <w:r>
        <w:t xml:space="preserve"> changed to $0.</w:t>
      </w:r>
    </w:p>
  </w:footnote>
  <w:footnote w:id="5">
    <w:p w:rsidR="003E6798" w:rsidRDefault="003E6798" w:rsidP="008A24A0">
      <w:pPr>
        <w:pStyle w:val="TableFooter"/>
        <w:keepNext/>
        <w:rPr>
          <w:sz w:val="20"/>
          <w:szCs w:val="20"/>
        </w:rPr>
      </w:pPr>
      <w:r>
        <w:rPr>
          <w:rStyle w:val="FootnoteReference"/>
        </w:rPr>
        <w:footnoteRef/>
      </w:r>
      <w:r>
        <w:t xml:space="preserve"> Section 3_del17p cost utility model.xlsm, Key Inputs &amp; Results worksheet cells D11 and D15 changed to $</w:t>
      </w:r>
      <w:r>
        <w:rPr>
          <w:noProof/>
          <w:color w:val="000000"/>
          <w:highlight w:val="black"/>
        </w:rPr>
        <w:t>''''''''''''''''''</w:t>
      </w:r>
      <w:r>
        <w:t xml:space="preserve"> and cell D37 changed to Weibull. Note: cell D14 – venetoclax DPMQ (11630D) – first cycle (combo) price not changed. IBR engine_del17p worksheet cells BM2, BM3, BN2 and BN3 changed to $0, OBI_CLB engine_del17p worksheet cells BX2, BX3, BY2, </w:t>
      </w:r>
      <w:proofErr w:type="gramStart"/>
      <w:r>
        <w:t>BY3</w:t>
      </w:r>
      <w:proofErr w:type="gramEnd"/>
      <w:r>
        <w:t xml:space="preserve"> changed to $0.</w:t>
      </w:r>
    </w:p>
    <w:p w:rsidR="003E6798" w:rsidRDefault="003E6798">
      <w:pPr>
        <w:pStyle w:val="FootnoteText"/>
      </w:pPr>
    </w:p>
  </w:footnote>
  <w:footnote w:id="6">
    <w:p w:rsidR="003E6798" w:rsidRDefault="003E6798" w:rsidP="00CF52A4">
      <w:pPr>
        <w:pStyle w:val="FootnoteText"/>
      </w:pPr>
      <w:r>
        <w:rPr>
          <w:rStyle w:val="FootnoteReference"/>
        </w:rPr>
        <w:footnoteRef/>
      </w:r>
      <w:r>
        <w:t xml:space="preserve"> </w:t>
      </w:r>
      <w:proofErr w:type="spellStart"/>
      <w:r>
        <w:t>Kuss</w:t>
      </w:r>
      <w:proofErr w:type="spellEnd"/>
      <w:r>
        <w:t xml:space="preserve"> BJ &amp; Tam CS. Management of high risk chronic lymphocytic leukaemia (CLL) patients in Australia. Internal Medicine Journal, 2017; 47:5-10</w:t>
      </w:r>
    </w:p>
  </w:footnote>
  <w:footnote w:id="7">
    <w:p w:rsidR="003E6798" w:rsidRPr="00065EA9" w:rsidRDefault="003E6798" w:rsidP="00CF52A4">
      <w:pPr>
        <w:jc w:val="left"/>
        <w:rPr>
          <w:sz w:val="20"/>
          <w:szCs w:val="20"/>
        </w:rPr>
      </w:pPr>
      <w:r w:rsidRPr="00065EA9">
        <w:rPr>
          <w:sz w:val="20"/>
          <w:szCs w:val="20"/>
          <w:vertAlign w:val="superscript"/>
        </w:rPr>
        <w:footnoteRef/>
      </w:r>
      <w:r w:rsidRPr="00065EA9">
        <w:rPr>
          <w:sz w:val="20"/>
          <w:szCs w:val="20"/>
        </w:rPr>
        <w:t xml:space="preserve"> </w:t>
      </w:r>
      <w:proofErr w:type="spellStart"/>
      <w:r w:rsidRPr="00065EA9">
        <w:rPr>
          <w:sz w:val="20"/>
          <w:szCs w:val="20"/>
        </w:rPr>
        <w:t>Malcikova</w:t>
      </w:r>
      <w:proofErr w:type="spellEnd"/>
      <w:r w:rsidRPr="00065EA9">
        <w:rPr>
          <w:sz w:val="20"/>
          <w:szCs w:val="20"/>
        </w:rPr>
        <w:t xml:space="preserve"> J, et al. ERIC recommendations for TP53 mutation analysis in chronic lymphocytic leukaemia—update on methodological approaches and results interpretation Leukaemia 2018; 32: 1070-1080.</w:t>
      </w:r>
    </w:p>
    <w:p w:rsidR="003E6798" w:rsidRDefault="003E6798" w:rsidP="00CF52A4">
      <w:pPr>
        <w:pStyle w:val="FootnoteText"/>
      </w:pPr>
    </w:p>
  </w:footnote>
  <w:footnote w:id="8">
    <w:p w:rsidR="003E6798" w:rsidRDefault="003E6798" w:rsidP="00A02476">
      <w:pPr>
        <w:rPr>
          <w:rStyle w:val="Hyperlink"/>
          <w:szCs w:val="22"/>
        </w:rPr>
      </w:pPr>
      <w:r w:rsidRPr="00D45C53">
        <w:rPr>
          <w:rStyle w:val="FootnoteReference"/>
          <w:sz w:val="20"/>
          <w:szCs w:val="20"/>
        </w:rPr>
        <w:footnoteRef/>
      </w:r>
      <w:r w:rsidRPr="00D45C53">
        <w:rPr>
          <w:sz w:val="20"/>
          <w:szCs w:val="20"/>
        </w:rPr>
        <w:t xml:space="preserve"> </w:t>
      </w:r>
      <w:proofErr w:type="spellStart"/>
      <w:r>
        <w:rPr>
          <w:sz w:val="20"/>
          <w:szCs w:val="20"/>
        </w:rPr>
        <w:t>Munir.T</w:t>
      </w:r>
      <w:proofErr w:type="spellEnd"/>
      <w:r>
        <w:rPr>
          <w:sz w:val="20"/>
          <w:szCs w:val="20"/>
        </w:rPr>
        <w:t>,</w:t>
      </w:r>
      <w:r w:rsidRPr="00D45C53">
        <w:rPr>
          <w:sz w:val="20"/>
          <w:szCs w:val="20"/>
        </w:rPr>
        <w:t xml:space="preserve"> et al. Final analysis from RESONATE: Up to six years of follow‐up on ibrutinib in patients with previously treated chronic lymphocytic leukaemia or small lymphocytic lymphoma. Am J </w:t>
      </w:r>
      <w:proofErr w:type="spellStart"/>
      <w:r w:rsidRPr="00D45C53">
        <w:rPr>
          <w:sz w:val="20"/>
          <w:szCs w:val="20"/>
        </w:rPr>
        <w:t>Hematol</w:t>
      </w:r>
      <w:proofErr w:type="spellEnd"/>
      <w:r w:rsidRPr="00D45C53">
        <w:rPr>
          <w:sz w:val="20"/>
          <w:szCs w:val="20"/>
        </w:rPr>
        <w:t>. 2019; 1– 11. </w:t>
      </w:r>
      <w:hyperlink r:id="rId3" w:history="1">
        <w:r w:rsidRPr="00D45C53">
          <w:rPr>
            <w:sz w:val="20"/>
            <w:szCs w:val="20"/>
          </w:rPr>
          <w:t>https://doi.org/10.1002/ajh.25638</w:t>
        </w:r>
      </w:hyperlink>
    </w:p>
    <w:p w:rsidR="003E6798" w:rsidRDefault="003E6798" w:rsidP="00A02476">
      <w:pPr>
        <w:pStyle w:val="FootnoteText"/>
      </w:pPr>
    </w:p>
  </w:footnote>
  <w:footnote w:id="9">
    <w:p w:rsidR="003E6798" w:rsidRDefault="003E6798">
      <w:pPr>
        <w:pStyle w:val="FootnoteText"/>
      </w:pPr>
      <w:r>
        <w:rPr>
          <w:rStyle w:val="FootnoteReference"/>
        </w:rPr>
        <w:footnoteRef/>
      </w:r>
      <w:r>
        <w:t xml:space="preserve"> </w:t>
      </w:r>
      <w:r w:rsidRPr="00BB61F2">
        <w:t xml:space="preserve">Section 3_del17p cost utility model.xlsm, Key Inputs &amp; Results worksheet cells D10, D11 and D15 changed to $3293.23. </w:t>
      </w:r>
      <w:r>
        <w:t xml:space="preserve">Note: cell D14 – venetoclax DPMQ (11630D) – first cycle (combo) price not changed. </w:t>
      </w:r>
      <w:r w:rsidRPr="00BB61F2">
        <w:t xml:space="preserve">IBR engine_del17p worksheet cells BM2, BM3, BN2 and BN3 changed to $0, OBI_CLB engine_del17p worksheet cells BX2, BX3, BY2, </w:t>
      </w:r>
      <w:proofErr w:type="gramStart"/>
      <w:r w:rsidRPr="00BB61F2">
        <w:t>BY3</w:t>
      </w:r>
      <w:proofErr w:type="gramEnd"/>
      <w:r w:rsidRPr="00BB61F2">
        <w:t xml:space="preserve"> changed to $0.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98" w:rsidRDefault="003E6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98" w:rsidRPr="00E773B1" w:rsidRDefault="003E6798" w:rsidP="00E773B1">
    <w:pPr>
      <w:pStyle w:val="Header"/>
      <w:keepNext/>
      <w:ind w:left="360"/>
      <w:jc w:val="center"/>
      <w:rPr>
        <w:rFonts w:asciiTheme="minorHAnsi" w:hAnsiTheme="minorHAnsi" w:cs="Arial"/>
        <w:i/>
      </w:rPr>
    </w:pPr>
    <w:r>
      <w:rPr>
        <w:rFonts w:asciiTheme="minorHAnsi" w:hAnsiTheme="minorHAnsi" w:cs="Arial"/>
        <w:i/>
      </w:rPr>
      <w:t>Public Summary Document</w:t>
    </w:r>
    <w:r w:rsidRPr="00E773B1">
      <w:rPr>
        <w:rFonts w:asciiTheme="minorHAnsi" w:hAnsiTheme="minorHAnsi" w:cs="Arial"/>
        <w:i/>
      </w:rPr>
      <w:t xml:space="preserve"> – </w:t>
    </w:r>
    <w:r>
      <w:rPr>
        <w:rFonts w:asciiTheme="minorHAnsi" w:hAnsiTheme="minorHAnsi" w:cs="Arial"/>
        <w:i/>
      </w:rPr>
      <w:t>November</w:t>
    </w:r>
    <w:r w:rsidRPr="00E773B1">
      <w:rPr>
        <w:rFonts w:asciiTheme="minorHAnsi" w:hAnsiTheme="minorHAnsi" w:cs="Arial"/>
        <w:i/>
      </w:rPr>
      <w:t xml:space="preserve"> 2019 PBAC Meeting</w:t>
    </w:r>
  </w:p>
  <w:p w:rsidR="003E6798" w:rsidRDefault="003E6798" w:rsidP="0051281B">
    <w:pPr>
      <w:tabs>
        <w:tab w:val="left" w:pos="142"/>
        <w:tab w:val="right" w:pos="9027"/>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21182"/>
      <w:docPartObj>
        <w:docPartGallery w:val="Page Numbers (Top of Page)"/>
        <w:docPartUnique/>
      </w:docPartObj>
    </w:sdtPr>
    <w:sdtEndPr>
      <w:rPr>
        <w:noProof/>
      </w:rPr>
    </w:sdtEndPr>
    <w:sdtContent>
      <w:p w:rsidR="003E6798" w:rsidRDefault="003E6798">
        <w:pPr>
          <w:pStyle w:val="Header"/>
          <w:jc w:val="right"/>
        </w:pPr>
        <w:r>
          <w:t>7.04</w:t>
        </w:r>
        <w:proofErr w:type="gramStart"/>
        <w:r w:rsidRPr="007C1CD9">
          <w:t>.COM</w:t>
        </w:r>
        <w:proofErr w:type="gramEnd"/>
        <w:r w:rsidRPr="007C1CD9">
          <w:t>.</w:t>
        </w:r>
        <w:r>
          <w:fldChar w:fldCharType="begin"/>
        </w:r>
        <w:r>
          <w:instrText xml:space="preserve"> PAGE   \* MERGEFORMAT </w:instrText>
        </w:r>
        <w:r>
          <w:fldChar w:fldCharType="separate"/>
        </w:r>
        <w:r>
          <w:rPr>
            <w:noProof/>
          </w:rPr>
          <w:t>i</w:t>
        </w:r>
        <w:r>
          <w:rPr>
            <w:noProof/>
          </w:rPr>
          <w:fldChar w:fldCharType="end"/>
        </w:r>
      </w:p>
    </w:sdtContent>
  </w:sdt>
  <w:p w:rsidR="003E6798" w:rsidRDefault="003E6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F3154"/>
    <w:multiLevelType w:val="multilevel"/>
    <w:tmpl w:val="AE160BA6"/>
    <w:lvl w:ilvl="0">
      <w:start w:val="1"/>
      <w:numFmt w:val="decimal"/>
      <w:lvlText w:val="%1."/>
      <w:lvlJc w:val="left"/>
      <w:pPr>
        <w:tabs>
          <w:tab w:val="num" w:pos="720"/>
        </w:tabs>
        <w:ind w:left="720" w:hanging="360"/>
      </w:pPr>
      <w:rPr>
        <w:strik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7A51F5"/>
    <w:multiLevelType w:val="hybridMultilevel"/>
    <w:tmpl w:val="D9565BDE"/>
    <w:lvl w:ilvl="0" w:tplc="921E3354">
      <w:numFmt w:val="bullet"/>
      <w:lvlText w:val="-"/>
      <w:lvlJc w:val="left"/>
      <w:pPr>
        <w:ind w:left="720" w:hanging="360"/>
      </w:pPr>
      <w:rPr>
        <w:rFonts w:ascii="Arial" w:eastAsia="MS Mincho"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B6274A"/>
    <w:multiLevelType w:val="hybridMultilevel"/>
    <w:tmpl w:val="EAA41C58"/>
    <w:lvl w:ilvl="0" w:tplc="E3641BB2">
      <w:start w:val="1"/>
      <w:numFmt w:val="decimal"/>
      <w:lvlText w:val="%1."/>
      <w:lvlJc w:val="left"/>
      <w:pPr>
        <w:ind w:left="720" w:hanging="360"/>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236926"/>
    <w:multiLevelType w:val="hybridMultilevel"/>
    <w:tmpl w:val="24E6D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7A6C97"/>
    <w:multiLevelType w:val="hybridMultilevel"/>
    <w:tmpl w:val="1E48257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517877"/>
    <w:multiLevelType w:val="hybridMultilevel"/>
    <w:tmpl w:val="04AA6452"/>
    <w:lvl w:ilvl="0" w:tplc="94BC831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0314D2"/>
    <w:multiLevelType w:val="hybridMultilevel"/>
    <w:tmpl w:val="F19E003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857009"/>
    <w:multiLevelType w:val="hybridMultilevel"/>
    <w:tmpl w:val="1E48257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EF09B0"/>
    <w:multiLevelType w:val="hybridMultilevel"/>
    <w:tmpl w:val="AA6A51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5F2F1B"/>
    <w:multiLevelType w:val="hybridMultilevel"/>
    <w:tmpl w:val="CADCE54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377287"/>
    <w:multiLevelType w:val="hybridMultilevel"/>
    <w:tmpl w:val="04AA6452"/>
    <w:lvl w:ilvl="0" w:tplc="94BC831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A31D59"/>
    <w:multiLevelType w:val="hybridMultilevel"/>
    <w:tmpl w:val="7A3A83FC"/>
    <w:lvl w:ilvl="0" w:tplc="C882B496">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87AC6"/>
    <w:multiLevelType w:val="multilevel"/>
    <w:tmpl w:val="866A2F5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lowerLetter"/>
      <w:lvlText w:val="%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4D033C"/>
    <w:multiLevelType w:val="multilevel"/>
    <w:tmpl w:val="4C46A85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
  </w:num>
  <w:num w:numId="3">
    <w:abstractNumId w:val="16"/>
  </w:num>
  <w:num w:numId="4">
    <w:abstractNumId w:val="18"/>
    <w:lvlOverride w:ilvl="0">
      <w:startOverride w:val="6"/>
    </w:lvlOverride>
    <w:lvlOverride w:ilvl="1">
      <w:startOverride w:val="7"/>
    </w:lvlOverride>
  </w:num>
  <w:num w:numId="5">
    <w:abstractNumId w:val="5"/>
  </w:num>
  <w:num w:numId="6">
    <w:abstractNumId w:val="14"/>
  </w:num>
  <w:num w:numId="7">
    <w:abstractNumId w:val="11"/>
  </w:num>
  <w:num w:numId="8">
    <w:abstractNumId w:val="7"/>
  </w:num>
  <w:num w:numId="9">
    <w:abstractNumId w:val="13"/>
  </w:num>
  <w:num w:numId="10">
    <w:abstractNumId w:val="2"/>
  </w:num>
  <w:num w:numId="11">
    <w:abstractNumId w:val="0"/>
  </w:num>
  <w:num w:numId="12">
    <w:abstractNumId w:val="6"/>
  </w:num>
  <w:num w:numId="13">
    <w:abstractNumId w:val="4"/>
  </w:num>
  <w:num w:numId="14">
    <w:abstractNumId w:val="10"/>
  </w:num>
  <w:num w:numId="15">
    <w:abstractNumId w:val="15"/>
  </w:num>
  <w:num w:numId="16">
    <w:abstractNumId w:val="9"/>
  </w:num>
  <w:num w:numId="17">
    <w:abstractNumId w:val="17"/>
  </w:num>
  <w:num w:numId="18">
    <w:abstractNumId w:val="8"/>
  </w:num>
  <w:num w:numId="19">
    <w:abstractNumId w:val="12"/>
  </w:num>
  <w:num w:numId="20">
    <w:abstractNumId w:val="1"/>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activeWritingStyle w:appName="MSWord" w:lang="fr-FR" w:vendorID="64" w:dllVersion="6" w:nlCheck="1" w:checkStyle="0"/>
  <w:activeWritingStyle w:appName="MSWord" w:lang="en-AU"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85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137"/>
    <w:rsid w:val="00000299"/>
    <w:rsid w:val="00000790"/>
    <w:rsid w:val="000007B7"/>
    <w:rsid w:val="0000110B"/>
    <w:rsid w:val="00001FE0"/>
    <w:rsid w:val="00002237"/>
    <w:rsid w:val="00002607"/>
    <w:rsid w:val="00003499"/>
    <w:rsid w:val="000039B7"/>
    <w:rsid w:val="00004736"/>
    <w:rsid w:val="0000645C"/>
    <w:rsid w:val="00006610"/>
    <w:rsid w:val="0000729C"/>
    <w:rsid w:val="00007954"/>
    <w:rsid w:val="00010026"/>
    <w:rsid w:val="000115CC"/>
    <w:rsid w:val="0001268E"/>
    <w:rsid w:val="00012E54"/>
    <w:rsid w:val="00013066"/>
    <w:rsid w:val="00013247"/>
    <w:rsid w:val="00015202"/>
    <w:rsid w:val="00015886"/>
    <w:rsid w:val="000162EF"/>
    <w:rsid w:val="0001698A"/>
    <w:rsid w:val="00017399"/>
    <w:rsid w:val="0001772F"/>
    <w:rsid w:val="000179BC"/>
    <w:rsid w:val="00017A8F"/>
    <w:rsid w:val="0002038E"/>
    <w:rsid w:val="00021D76"/>
    <w:rsid w:val="00021DD5"/>
    <w:rsid w:val="00021FB0"/>
    <w:rsid w:val="0002225F"/>
    <w:rsid w:val="000226CA"/>
    <w:rsid w:val="00022872"/>
    <w:rsid w:val="000234D1"/>
    <w:rsid w:val="00023763"/>
    <w:rsid w:val="00023AC9"/>
    <w:rsid w:val="0002457F"/>
    <w:rsid w:val="00024FD3"/>
    <w:rsid w:val="0002526C"/>
    <w:rsid w:val="00025917"/>
    <w:rsid w:val="000267BA"/>
    <w:rsid w:val="00031B36"/>
    <w:rsid w:val="00032FEF"/>
    <w:rsid w:val="0003341C"/>
    <w:rsid w:val="00033496"/>
    <w:rsid w:val="000334F1"/>
    <w:rsid w:val="00033863"/>
    <w:rsid w:val="00035DC0"/>
    <w:rsid w:val="00036829"/>
    <w:rsid w:val="00036CD2"/>
    <w:rsid w:val="00037718"/>
    <w:rsid w:val="00037CC7"/>
    <w:rsid w:val="00040895"/>
    <w:rsid w:val="000409F6"/>
    <w:rsid w:val="000409FA"/>
    <w:rsid w:val="00041912"/>
    <w:rsid w:val="00043C37"/>
    <w:rsid w:val="00043DAF"/>
    <w:rsid w:val="00044716"/>
    <w:rsid w:val="000449EE"/>
    <w:rsid w:val="00045017"/>
    <w:rsid w:val="00045979"/>
    <w:rsid w:val="00045A2B"/>
    <w:rsid w:val="00045CBC"/>
    <w:rsid w:val="00045CCB"/>
    <w:rsid w:val="00045E49"/>
    <w:rsid w:val="0004698F"/>
    <w:rsid w:val="00046B15"/>
    <w:rsid w:val="00047132"/>
    <w:rsid w:val="00051FAF"/>
    <w:rsid w:val="0005222C"/>
    <w:rsid w:val="00052D67"/>
    <w:rsid w:val="000539D0"/>
    <w:rsid w:val="00054621"/>
    <w:rsid w:val="000546D7"/>
    <w:rsid w:val="000549DC"/>
    <w:rsid w:val="00055163"/>
    <w:rsid w:val="000566C8"/>
    <w:rsid w:val="00056915"/>
    <w:rsid w:val="000575E1"/>
    <w:rsid w:val="000579BD"/>
    <w:rsid w:val="00057ACA"/>
    <w:rsid w:val="000608F4"/>
    <w:rsid w:val="000618CC"/>
    <w:rsid w:val="00061DDD"/>
    <w:rsid w:val="00062536"/>
    <w:rsid w:val="00063384"/>
    <w:rsid w:val="00064965"/>
    <w:rsid w:val="00065027"/>
    <w:rsid w:val="00065602"/>
    <w:rsid w:val="00065EA9"/>
    <w:rsid w:val="00066360"/>
    <w:rsid w:val="00067CD9"/>
    <w:rsid w:val="00070B39"/>
    <w:rsid w:val="00071248"/>
    <w:rsid w:val="000720B9"/>
    <w:rsid w:val="000737F7"/>
    <w:rsid w:val="00073F88"/>
    <w:rsid w:val="000747C4"/>
    <w:rsid w:val="0007507F"/>
    <w:rsid w:val="000757AB"/>
    <w:rsid w:val="00075CB6"/>
    <w:rsid w:val="00075E6C"/>
    <w:rsid w:val="0007672F"/>
    <w:rsid w:val="00076A4E"/>
    <w:rsid w:val="000774F0"/>
    <w:rsid w:val="00077685"/>
    <w:rsid w:val="00077BD2"/>
    <w:rsid w:val="0008011A"/>
    <w:rsid w:val="00080144"/>
    <w:rsid w:val="00080704"/>
    <w:rsid w:val="00080909"/>
    <w:rsid w:val="0008103B"/>
    <w:rsid w:val="000812CA"/>
    <w:rsid w:val="00081677"/>
    <w:rsid w:val="000816B1"/>
    <w:rsid w:val="0008258D"/>
    <w:rsid w:val="00083047"/>
    <w:rsid w:val="000830D0"/>
    <w:rsid w:val="0008314E"/>
    <w:rsid w:val="00083A42"/>
    <w:rsid w:val="00083E99"/>
    <w:rsid w:val="00083F5A"/>
    <w:rsid w:val="0008459E"/>
    <w:rsid w:val="000846F2"/>
    <w:rsid w:val="000854CF"/>
    <w:rsid w:val="000856C5"/>
    <w:rsid w:val="00085C1E"/>
    <w:rsid w:val="00087E07"/>
    <w:rsid w:val="00090C7E"/>
    <w:rsid w:val="00092490"/>
    <w:rsid w:val="00092600"/>
    <w:rsid w:val="0009262B"/>
    <w:rsid w:val="00092A4B"/>
    <w:rsid w:val="0009320A"/>
    <w:rsid w:val="00093310"/>
    <w:rsid w:val="0009331F"/>
    <w:rsid w:val="00093587"/>
    <w:rsid w:val="000937AF"/>
    <w:rsid w:val="00093A9C"/>
    <w:rsid w:val="0009445C"/>
    <w:rsid w:val="000951A0"/>
    <w:rsid w:val="00095306"/>
    <w:rsid w:val="000955B9"/>
    <w:rsid w:val="00095E02"/>
    <w:rsid w:val="00095FE5"/>
    <w:rsid w:val="00096284"/>
    <w:rsid w:val="0009695A"/>
    <w:rsid w:val="000A04A3"/>
    <w:rsid w:val="000A0827"/>
    <w:rsid w:val="000A0FE2"/>
    <w:rsid w:val="000A17FE"/>
    <w:rsid w:val="000A19BD"/>
    <w:rsid w:val="000A1C94"/>
    <w:rsid w:val="000A1FBE"/>
    <w:rsid w:val="000A1FE6"/>
    <w:rsid w:val="000A2769"/>
    <w:rsid w:val="000A3331"/>
    <w:rsid w:val="000A3B33"/>
    <w:rsid w:val="000A4BBE"/>
    <w:rsid w:val="000A5F00"/>
    <w:rsid w:val="000A5FAF"/>
    <w:rsid w:val="000A6032"/>
    <w:rsid w:val="000A6904"/>
    <w:rsid w:val="000A797C"/>
    <w:rsid w:val="000A7A76"/>
    <w:rsid w:val="000A7A85"/>
    <w:rsid w:val="000A7D08"/>
    <w:rsid w:val="000A7E90"/>
    <w:rsid w:val="000B0670"/>
    <w:rsid w:val="000B0E75"/>
    <w:rsid w:val="000B1689"/>
    <w:rsid w:val="000B4772"/>
    <w:rsid w:val="000B4C96"/>
    <w:rsid w:val="000B5024"/>
    <w:rsid w:val="000B5093"/>
    <w:rsid w:val="000B5E5C"/>
    <w:rsid w:val="000B6177"/>
    <w:rsid w:val="000B6CAC"/>
    <w:rsid w:val="000B7612"/>
    <w:rsid w:val="000C27BE"/>
    <w:rsid w:val="000C3DF1"/>
    <w:rsid w:val="000C3DF9"/>
    <w:rsid w:val="000C6310"/>
    <w:rsid w:val="000C6379"/>
    <w:rsid w:val="000C6713"/>
    <w:rsid w:val="000C6BB9"/>
    <w:rsid w:val="000D009B"/>
    <w:rsid w:val="000D0FF0"/>
    <w:rsid w:val="000D1BFC"/>
    <w:rsid w:val="000D2040"/>
    <w:rsid w:val="000D281A"/>
    <w:rsid w:val="000D326A"/>
    <w:rsid w:val="000D333E"/>
    <w:rsid w:val="000D41F4"/>
    <w:rsid w:val="000D42A7"/>
    <w:rsid w:val="000D51FB"/>
    <w:rsid w:val="000D5235"/>
    <w:rsid w:val="000D5573"/>
    <w:rsid w:val="000D593B"/>
    <w:rsid w:val="000D5AE1"/>
    <w:rsid w:val="000D777A"/>
    <w:rsid w:val="000D7AC2"/>
    <w:rsid w:val="000D7D81"/>
    <w:rsid w:val="000D7D9A"/>
    <w:rsid w:val="000E05B3"/>
    <w:rsid w:val="000E135D"/>
    <w:rsid w:val="000E2D98"/>
    <w:rsid w:val="000E5B9B"/>
    <w:rsid w:val="000E6B12"/>
    <w:rsid w:val="000F00BA"/>
    <w:rsid w:val="000F086C"/>
    <w:rsid w:val="000F1562"/>
    <w:rsid w:val="000F2872"/>
    <w:rsid w:val="000F316A"/>
    <w:rsid w:val="000F3603"/>
    <w:rsid w:val="000F3C74"/>
    <w:rsid w:val="000F43D3"/>
    <w:rsid w:val="000F445F"/>
    <w:rsid w:val="000F4BB8"/>
    <w:rsid w:val="000F552A"/>
    <w:rsid w:val="000F586B"/>
    <w:rsid w:val="000F642E"/>
    <w:rsid w:val="000F7127"/>
    <w:rsid w:val="00100F8A"/>
    <w:rsid w:val="0010192A"/>
    <w:rsid w:val="00101D46"/>
    <w:rsid w:val="00101E5F"/>
    <w:rsid w:val="001020E5"/>
    <w:rsid w:val="00103759"/>
    <w:rsid w:val="00103B0E"/>
    <w:rsid w:val="00105AE2"/>
    <w:rsid w:val="00105E74"/>
    <w:rsid w:val="0010641A"/>
    <w:rsid w:val="001066AA"/>
    <w:rsid w:val="00106A27"/>
    <w:rsid w:val="00106B80"/>
    <w:rsid w:val="0011010E"/>
    <w:rsid w:val="0011032E"/>
    <w:rsid w:val="001106F2"/>
    <w:rsid w:val="00110CE0"/>
    <w:rsid w:val="001110C9"/>
    <w:rsid w:val="001114B4"/>
    <w:rsid w:val="001114D8"/>
    <w:rsid w:val="00111626"/>
    <w:rsid w:val="00111E9B"/>
    <w:rsid w:val="00112CF6"/>
    <w:rsid w:val="00113131"/>
    <w:rsid w:val="0011348B"/>
    <w:rsid w:val="001138DD"/>
    <w:rsid w:val="0011497D"/>
    <w:rsid w:val="00115982"/>
    <w:rsid w:val="001169A2"/>
    <w:rsid w:val="00116C53"/>
    <w:rsid w:val="00117143"/>
    <w:rsid w:val="001205E8"/>
    <w:rsid w:val="0012137B"/>
    <w:rsid w:val="00121799"/>
    <w:rsid w:val="001222FC"/>
    <w:rsid w:val="00122504"/>
    <w:rsid w:val="0012326E"/>
    <w:rsid w:val="00124A51"/>
    <w:rsid w:val="00125230"/>
    <w:rsid w:val="00126621"/>
    <w:rsid w:val="00126E26"/>
    <w:rsid w:val="0012757D"/>
    <w:rsid w:val="001301E9"/>
    <w:rsid w:val="0013097D"/>
    <w:rsid w:val="0013113E"/>
    <w:rsid w:val="00131A80"/>
    <w:rsid w:val="00131D82"/>
    <w:rsid w:val="00133D36"/>
    <w:rsid w:val="00134BD7"/>
    <w:rsid w:val="00135B01"/>
    <w:rsid w:val="00135F36"/>
    <w:rsid w:val="0013735C"/>
    <w:rsid w:val="00137645"/>
    <w:rsid w:val="00137FCE"/>
    <w:rsid w:val="0014015A"/>
    <w:rsid w:val="00140E99"/>
    <w:rsid w:val="00141457"/>
    <w:rsid w:val="00141834"/>
    <w:rsid w:val="00141FCC"/>
    <w:rsid w:val="00142869"/>
    <w:rsid w:val="00142EEE"/>
    <w:rsid w:val="00144B58"/>
    <w:rsid w:val="00144F6B"/>
    <w:rsid w:val="00145540"/>
    <w:rsid w:val="001456B0"/>
    <w:rsid w:val="001508BF"/>
    <w:rsid w:val="001515F9"/>
    <w:rsid w:val="0015210F"/>
    <w:rsid w:val="0015366D"/>
    <w:rsid w:val="0015601B"/>
    <w:rsid w:val="00157130"/>
    <w:rsid w:val="001576B1"/>
    <w:rsid w:val="00157818"/>
    <w:rsid w:val="00157A43"/>
    <w:rsid w:val="00160A4C"/>
    <w:rsid w:val="00160ECA"/>
    <w:rsid w:val="001614FE"/>
    <w:rsid w:val="00161F44"/>
    <w:rsid w:val="00162913"/>
    <w:rsid w:val="00163477"/>
    <w:rsid w:val="00163EB0"/>
    <w:rsid w:val="00163EFF"/>
    <w:rsid w:val="00163F62"/>
    <w:rsid w:val="00164854"/>
    <w:rsid w:val="0016544C"/>
    <w:rsid w:val="001655B7"/>
    <w:rsid w:val="001661FB"/>
    <w:rsid w:val="001662F0"/>
    <w:rsid w:val="0016675C"/>
    <w:rsid w:val="001668E8"/>
    <w:rsid w:val="001701E5"/>
    <w:rsid w:val="0017031C"/>
    <w:rsid w:val="00170351"/>
    <w:rsid w:val="0017128F"/>
    <w:rsid w:val="001715CB"/>
    <w:rsid w:val="00171F19"/>
    <w:rsid w:val="00172D5B"/>
    <w:rsid w:val="00173565"/>
    <w:rsid w:val="00173B07"/>
    <w:rsid w:val="00174259"/>
    <w:rsid w:val="00174867"/>
    <w:rsid w:val="00174B58"/>
    <w:rsid w:val="00174E2F"/>
    <w:rsid w:val="00175137"/>
    <w:rsid w:val="00175A05"/>
    <w:rsid w:val="0017730C"/>
    <w:rsid w:val="00177D15"/>
    <w:rsid w:val="00177D94"/>
    <w:rsid w:val="001804A9"/>
    <w:rsid w:val="00181D9C"/>
    <w:rsid w:val="00182F0B"/>
    <w:rsid w:val="00183E99"/>
    <w:rsid w:val="001844A5"/>
    <w:rsid w:val="001848EE"/>
    <w:rsid w:val="00184A7C"/>
    <w:rsid w:val="001868F3"/>
    <w:rsid w:val="00186A8F"/>
    <w:rsid w:val="00187497"/>
    <w:rsid w:val="0018752F"/>
    <w:rsid w:val="00190F2D"/>
    <w:rsid w:val="00192976"/>
    <w:rsid w:val="0019316E"/>
    <w:rsid w:val="001931C5"/>
    <w:rsid w:val="001931CF"/>
    <w:rsid w:val="00194F40"/>
    <w:rsid w:val="00195222"/>
    <w:rsid w:val="0019625F"/>
    <w:rsid w:val="00196D5F"/>
    <w:rsid w:val="00196F32"/>
    <w:rsid w:val="00197214"/>
    <w:rsid w:val="001972C1"/>
    <w:rsid w:val="001975D8"/>
    <w:rsid w:val="001976A7"/>
    <w:rsid w:val="00197860"/>
    <w:rsid w:val="00197C5F"/>
    <w:rsid w:val="001A069A"/>
    <w:rsid w:val="001A09E4"/>
    <w:rsid w:val="001A2451"/>
    <w:rsid w:val="001A2B81"/>
    <w:rsid w:val="001A2D61"/>
    <w:rsid w:val="001A3775"/>
    <w:rsid w:val="001A43FA"/>
    <w:rsid w:val="001A50C5"/>
    <w:rsid w:val="001A51D7"/>
    <w:rsid w:val="001A59FB"/>
    <w:rsid w:val="001A6354"/>
    <w:rsid w:val="001A6518"/>
    <w:rsid w:val="001A7AE8"/>
    <w:rsid w:val="001B0432"/>
    <w:rsid w:val="001B05A8"/>
    <w:rsid w:val="001B1669"/>
    <w:rsid w:val="001B16B8"/>
    <w:rsid w:val="001B1B75"/>
    <w:rsid w:val="001B204E"/>
    <w:rsid w:val="001B2201"/>
    <w:rsid w:val="001B33F8"/>
    <w:rsid w:val="001B3443"/>
    <w:rsid w:val="001B37CF"/>
    <w:rsid w:val="001B3FF3"/>
    <w:rsid w:val="001B40F3"/>
    <w:rsid w:val="001B4D20"/>
    <w:rsid w:val="001B6DA9"/>
    <w:rsid w:val="001B79A9"/>
    <w:rsid w:val="001C0209"/>
    <w:rsid w:val="001C2A9B"/>
    <w:rsid w:val="001C41E7"/>
    <w:rsid w:val="001C4299"/>
    <w:rsid w:val="001C57B4"/>
    <w:rsid w:val="001C59DA"/>
    <w:rsid w:val="001C5F94"/>
    <w:rsid w:val="001C6D8D"/>
    <w:rsid w:val="001C6E66"/>
    <w:rsid w:val="001D113B"/>
    <w:rsid w:val="001D3CE3"/>
    <w:rsid w:val="001D4532"/>
    <w:rsid w:val="001D4C67"/>
    <w:rsid w:val="001D53E6"/>
    <w:rsid w:val="001D5EA9"/>
    <w:rsid w:val="001D6414"/>
    <w:rsid w:val="001D69AC"/>
    <w:rsid w:val="001D6CAE"/>
    <w:rsid w:val="001D76F9"/>
    <w:rsid w:val="001E0D34"/>
    <w:rsid w:val="001E238E"/>
    <w:rsid w:val="001E2483"/>
    <w:rsid w:val="001E2B1E"/>
    <w:rsid w:val="001E30D4"/>
    <w:rsid w:val="001E39A7"/>
    <w:rsid w:val="001E42C4"/>
    <w:rsid w:val="001E47E3"/>
    <w:rsid w:val="001E4C65"/>
    <w:rsid w:val="001E52EB"/>
    <w:rsid w:val="001E58A9"/>
    <w:rsid w:val="001E61D2"/>
    <w:rsid w:val="001E6A9A"/>
    <w:rsid w:val="001E7278"/>
    <w:rsid w:val="001E740C"/>
    <w:rsid w:val="001E7708"/>
    <w:rsid w:val="001E7F16"/>
    <w:rsid w:val="001F0C70"/>
    <w:rsid w:val="001F1235"/>
    <w:rsid w:val="001F1CB3"/>
    <w:rsid w:val="001F2A47"/>
    <w:rsid w:val="001F30D7"/>
    <w:rsid w:val="001F38B5"/>
    <w:rsid w:val="001F4A09"/>
    <w:rsid w:val="001F4E49"/>
    <w:rsid w:val="001F6D7E"/>
    <w:rsid w:val="001F6E79"/>
    <w:rsid w:val="001F7361"/>
    <w:rsid w:val="001F73AB"/>
    <w:rsid w:val="001F7AC0"/>
    <w:rsid w:val="001F7F4B"/>
    <w:rsid w:val="00200005"/>
    <w:rsid w:val="002007B5"/>
    <w:rsid w:val="002011B0"/>
    <w:rsid w:val="0020241D"/>
    <w:rsid w:val="002027C4"/>
    <w:rsid w:val="0020295F"/>
    <w:rsid w:val="00203181"/>
    <w:rsid w:val="00203783"/>
    <w:rsid w:val="0020385F"/>
    <w:rsid w:val="00203A9B"/>
    <w:rsid w:val="00203BAE"/>
    <w:rsid w:val="00203F72"/>
    <w:rsid w:val="002041CF"/>
    <w:rsid w:val="002058A3"/>
    <w:rsid w:val="002059F6"/>
    <w:rsid w:val="0020611D"/>
    <w:rsid w:val="0020675A"/>
    <w:rsid w:val="00207021"/>
    <w:rsid w:val="0020732F"/>
    <w:rsid w:val="0020761E"/>
    <w:rsid w:val="0020765A"/>
    <w:rsid w:val="00207D00"/>
    <w:rsid w:val="00207EC6"/>
    <w:rsid w:val="00207F8D"/>
    <w:rsid w:val="002105C1"/>
    <w:rsid w:val="00210A7D"/>
    <w:rsid w:val="00211DA0"/>
    <w:rsid w:val="00212711"/>
    <w:rsid w:val="00212DE9"/>
    <w:rsid w:val="00213A38"/>
    <w:rsid w:val="00214A72"/>
    <w:rsid w:val="002152BD"/>
    <w:rsid w:val="00215738"/>
    <w:rsid w:val="002159F1"/>
    <w:rsid w:val="0021680D"/>
    <w:rsid w:val="002204A0"/>
    <w:rsid w:val="00221126"/>
    <w:rsid w:val="00221DCE"/>
    <w:rsid w:val="00222CDF"/>
    <w:rsid w:val="00222F2E"/>
    <w:rsid w:val="00223A61"/>
    <w:rsid w:val="00223B49"/>
    <w:rsid w:val="00224070"/>
    <w:rsid w:val="00224750"/>
    <w:rsid w:val="00224DD4"/>
    <w:rsid w:val="002270C3"/>
    <w:rsid w:val="00227848"/>
    <w:rsid w:val="00227B45"/>
    <w:rsid w:val="00227B80"/>
    <w:rsid w:val="002309B4"/>
    <w:rsid w:val="002309CC"/>
    <w:rsid w:val="00230C22"/>
    <w:rsid w:val="002310AE"/>
    <w:rsid w:val="0023209F"/>
    <w:rsid w:val="002334A7"/>
    <w:rsid w:val="00233D37"/>
    <w:rsid w:val="002340F8"/>
    <w:rsid w:val="0023472F"/>
    <w:rsid w:val="00234AE6"/>
    <w:rsid w:val="0023543F"/>
    <w:rsid w:val="00235637"/>
    <w:rsid w:val="0023629D"/>
    <w:rsid w:val="00237255"/>
    <w:rsid w:val="002424AF"/>
    <w:rsid w:val="0024287D"/>
    <w:rsid w:val="002436B9"/>
    <w:rsid w:val="00243999"/>
    <w:rsid w:val="002439DC"/>
    <w:rsid w:val="00244DC8"/>
    <w:rsid w:val="00244FF8"/>
    <w:rsid w:val="002458A8"/>
    <w:rsid w:val="002458BA"/>
    <w:rsid w:val="0024594C"/>
    <w:rsid w:val="0024636C"/>
    <w:rsid w:val="00246537"/>
    <w:rsid w:val="00246714"/>
    <w:rsid w:val="00247925"/>
    <w:rsid w:val="002519C4"/>
    <w:rsid w:val="00254DCF"/>
    <w:rsid w:val="0025534B"/>
    <w:rsid w:val="00255753"/>
    <w:rsid w:val="00255B2C"/>
    <w:rsid w:val="00255BB7"/>
    <w:rsid w:val="00255D89"/>
    <w:rsid w:val="00255F49"/>
    <w:rsid w:val="00257541"/>
    <w:rsid w:val="00257A6E"/>
    <w:rsid w:val="00260301"/>
    <w:rsid w:val="0026030C"/>
    <w:rsid w:val="002611AB"/>
    <w:rsid w:val="00261C64"/>
    <w:rsid w:val="00262A1A"/>
    <w:rsid w:val="00262A87"/>
    <w:rsid w:val="00263501"/>
    <w:rsid w:val="00263890"/>
    <w:rsid w:val="00264AC1"/>
    <w:rsid w:val="00264B86"/>
    <w:rsid w:val="00264D09"/>
    <w:rsid w:val="00264D26"/>
    <w:rsid w:val="00265EA5"/>
    <w:rsid w:val="00267642"/>
    <w:rsid w:val="002676F3"/>
    <w:rsid w:val="00267AEA"/>
    <w:rsid w:val="00267B9B"/>
    <w:rsid w:val="0027000C"/>
    <w:rsid w:val="002700E6"/>
    <w:rsid w:val="00270D55"/>
    <w:rsid w:val="002711F1"/>
    <w:rsid w:val="0027183A"/>
    <w:rsid w:val="00271A8F"/>
    <w:rsid w:val="0027294B"/>
    <w:rsid w:val="00272DED"/>
    <w:rsid w:val="00275159"/>
    <w:rsid w:val="002756BD"/>
    <w:rsid w:val="00275C5A"/>
    <w:rsid w:val="00277DFF"/>
    <w:rsid w:val="002809A1"/>
    <w:rsid w:val="00280DD5"/>
    <w:rsid w:val="00281014"/>
    <w:rsid w:val="002813B9"/>
    <w:rsid w:val="00281E90"/>
    <w:rsid w:val="00282268"/>
    <w:rsid w:val="00282EBA"/>
    <w:rsid w:val="0028312D"/>
    <w:rsid w:val="002844FF"/>
    <w:rsid w:val="002846D5"/>
    <w:rsid w:val="002850C9"/>
    <w:rsid w:val="0028588A"/>
    <w:rsid w:val="00286108"/>
    <w:rsid w:val="00286AC6"/>
    <w:rsid w:val="00287577"/>
    <w:rsid w:val="0028772D"/>
    <w:rsid w:val="00290BF7"/>
    <w:rsid w:val="00291971"/>
    <w:rsid w:val="00291F99"/>
    <w:rsid w:val="0029317D"/>
    <w:rsid w:val="00293829"/>
    <w:rsid w:val="00294367"/>
    <w:rsid w:val="00294AD2"/>
    <w:rsid w:val="00295492"/>
    <w:rsid w:val="00296723"/>
    <w:rsid w:val="002970B6"/>
    <w:rsid w:val="00297511"/>
    <w:rsid w:val="0029787E"/>
    <w:rsid w:val="00297A0E"/>
    <w:rsid w:val="002A04F7"/>
    <w:rsid w:val="002A0FA6"/>
    <w:rsid w:val="002A14AB"/>
    <w:rsid w:val="002A1A6C"/>
    <w:rsid w:val="002A1EC8"/>
    <w:rsid w:val="002A2F50"/>
    <w:rsid w:val="002A3121"/>
    <w:rsid w:val="002A3997"/>
    <w:rsid w:val="002A39BD"/>
    <w:rsid w:val="002A39DE"/>
    <w:rsid w:val="002A4486"/>
    <w:rsid w:val="002A4AA1"/>
    <w:rsid w:val="002A6E99"/>
    <w:rsid w:val="002A7035"/>
    <w:rsid w:val="002A76A4"/>
    <w:rsid w:val="002B089B"/>
    <w:rsid w:val="002B09A4"/>
    <w:rsid w:val="002B0FF5"/>
    <w:rsid w:val="002B1C1F"/>
    <w:rsid w:val="002B1E60"/>
    <w:rsid w:val="002B2D27"/>
    <w:rsid w:val="002B37FA"/>
    <w:rsid w:val="002B3DBE"/>
    <w:rsid w:val="002B432F"/>
    <w:rsid w:val="002B4E9F"/>
    <w:rsid w:val="002B5175"/>
    <w:rsid w:val="002B611F"/>
    <w:rsid w:val="002B62B3"/>
    <w:rsid w:val="002B6754"/>
    <w:rsid w:val="002B6CCE"/>
    <w:rsid w:val="002B6CD8"/>
    <w:rsid w:val="002B6E37"/>
    <w:rsid w:val="002B7289"/>
    <w:rsid w:val="002B74E2"/>
    <w:rsid w:val="002C048F"/>
    <w:rsid w:val="002C2510"/>
    <w:rsid w:val="002C2775"/>
    <w:rsid w:val="002C27C1"/>
    <w:rsid w:val="002C369A"/>
    <w:rsid w:val="002C37D0"/>
    <w:rsid w:val="002C38A3"/>
    <w:rsid w:val="002C422F"/>
    <w:rsid w:val="002C5099"/>
    <w:rsid w:val="002C5629"/>
    <w:rsid w:val="002C5889"/>
    <w:rsid w:val="002C71CE"/>
    <w:rsid w:val="002D3154"/>
    <w:rsid w:val="002D3C3B"/>
    <w:rsid w:val="002D4503"/>
    <w:rsid w:val="002D577C"/>
    <w:rsid w:val="002D67F8"/>
    <w:rsid w:val="002D6DD5"/>
    <w:rsid w:val="002D7C64"/>
    <w:rsid w:val="002E06A7"/>
    <w:rsid w:val="002E15B9"/>
    <w:rsid w:val="002E1917"/>
    <w:rsid w:val="002E2158"/>
    <w:rsid w:val="002E2332"/>
    <w:rsid w:val="002E29CA"/>
    <w:rsid w:val="002E49FD"/>
    <w:rsid w:val="002E4D70"/>
    <w:rsid w:val="002E53FB"/>
    <w:rsid w:val="002E6790"/>
    <w:rsid w:val="002E6DC9"/>
    <w:rsid w:val="002E7720"/>
    <w:rsid w:val="002E7722"/>
    <w:rsid w:val="002F0213"/>
    <w:rsid w:val="002F06A6"/>
    <w:rsid w:val="002F0720"/>
    <w:rsid w:val="002F07BA"/>
    <w:rsid w:val="002F0CAA"/>
    <w:rsid w:val="002F0DA9"/>
    <w:rsid w:val="002F1454"/>
    <w:rsid w:val="002F18AF"/>
    <w:rsid w:val="002F2471"/>
    <w:rsid w:val="002F2CDF"/>
    <w:rsid w:val="002F3690"/>
    <w:rsid w:val="002F3A1E"/>
    <w:rsid w:val="002F3C3B"/>
    <w:rsid w:val="002F3F36"/>
    <w:rsid w:val="002F438B"/>
    <w:rsid w:val="002F48C7"/>
    <w:rsid w:val="002F5CDE"/>
    <w:rsid w:val="002F643C"/>
    <w:rsid w:val="002F64FA"/>
    <w:rsid w:val="002F6C47"/>
    <w:rsid w:val="002F71C0"/>
    <w:rsid w:val="002F75C1"/>
    <w:rsid w:val="00300317"/>
    <w:rsid w:val="00301017"/>
    <w:rsid w:val="0030155F"/>
    <w:rsid w:val="00302598"/>
    <w:rsid w:val="003026D6"/>
    <w:rsid w:val="00302790"/>
    <w:rsid w:val="003033FD"/>
    <w:rsid w:val="003043FB"/>
    <w:rsid w:val="003044A4"/>
    <w:rsid w:val="00304CDE"/>
    <w:rsid w:val="003050D0"/>
    <w:rsid w:val="0030587B"/>
    <w:rsid w:val="00305FF7"/>
    <w:rsid w:val="00306D98"/>
    <w:rsid w:val="00307038"/>
    <w:rsid w:val="0030786C"/>
    <w:rsid w:val="00307B9F"/>
    <w:rsid w:val="0031031A"/>
    <w:rsid w:val="00310981"/>
    <w:rsid w:val="00311C2C"/>
    <w:rsid w:val="003123A4"/>
    <w:rsid w:val="0031299C"/>
    <w:rsid w:val="00315498"/>
    <w:rsid w:val="00315675"/>
    <w:rsid w:val="00315D0B"/>
    <w:rsid w:val="00316338"/>
    <w:rsid w:val="00317491"/>
    <w:rsid w:val="00317C85"/>
    <w:rsid w:val="00320285"/>
    <w:rsid w:val="00320C30"/>
    <w:rsid w:val="00320FC6"/>
    <w:rsid w:val="00322107"/>
    <w:rsid w:val="00322846"/>
    <w:rsid w:val="0032306E"/>
    <w:rsid w:val="003236B1"/>
    <w:rsid w:val="00323AF3"/>
    <w:rsid w:val="00323D1C"/>
    <w:rsid w:val="00324058"/>
    <w:rsid w:val="00324147"/>
    <w:rsid w:val="00325B82"/>
    <w:rsid w:val="003262BC"/>
    <w:rsid w:val="00326DA7"/>
    <w:rsid w:val="003270E4"/>
    <w:rsid w:val="0032788F"/>
    <w:rsid w:val="00327F2F"/>
    <w:rsid w:val="003304CA"/>
    <w:rsid w:val="003309FA"/>
    <w:rsid w:val="00330E8A"/>
    <w:rsid w:val="00330F5C"/>
    <w:rsid w:val="003328DE"/>
    <w:rsid w:val="00332926"/>
    <w:rsid w:val="00333373"/>
    <w:rsid w:val="003356DB"/>
    <w:rsid w:val="003358E3"/>
    <w:rsid w:val="0033661B"/>
    <w:rsid w:val="003366C9"/>
    <w:rsid w:val="003371B0"/>
    <w:rsid w:val="00337CDE"/>
    <w:rsid w:val="00337EFE"/>
    <w:rsid w:val="00340156"/>
    <w:rsid w:val="003406F7"/>
    <w:rsid w:val="0034098A"/>
    <w:rsid w:val="00340DF1"/>
    <w:rsid w:val="00342107"/>
    <w:rsid w:val="003430DB"/>
    <w:rsid w:val="00343719"/>
    <w:rsid w:val="00344757"/>
    <w:rsid w:val="003456A6"/>
    <w:rsid w:val="0034666A"/>
    <w:rsid w:val="003466DC"/>
    <w:rsid w:val="003475F4"/>
    <w:rsid w:val="003478B0"/>
    <w:rsid w:val="00350E65"/>
    <w:rsid w:val="0035169E"/>
    <w:rsid w:val="003517F9"/>
    <w:rsid w:val="00351CB2"/>
    <w:rsid w:val="0035311F"/>
    <w:rsid w:val="0035313E"/>
    <w:rsid w:val="0035620E"/>
    <w:rsid w:val="00356BE0"/>
    <w:rsid w:val="0035715A"/>
    <w:rsid w:val="0035725A"/>
    <w:rsid w:val="00360198"/>
    <w:rsid w:val="0036050A"/>
    <w:rsid w:val="00361A33"/>
    <w:rsid w:val="003624C4"/>
    <w:rsid w:val="00363800"/>
    <w:rsid w:val="003654AC"/>
    <w:rsid w:val="00365929"/>
    <w:rsid w:val="00366EC6"/>
    <w:rsid w:val="00366F18"/>
    <w:rsid w:val="00367A7E"/>
    <w:rsid w:val="003710CF"/>
    <w:rsid w:val="003716B6"/>
    <w:rsid w:val="003721E8"/>
    <w:rsid w:val="00372661"/>
    <w:rsid w:val="0037358A"/>
    <w:rsid w:val="00373BD9"/>
    <w:rsid w:val="003740A4"/>
    <w:rsid w:val="003750F6"/>
    <w:rsid w:val="003758DE"/>
    <w:rsid w:val="00375B2D"/>
    <w:rsid w:val="00375FA3"/>
    <w:rsid w:val="003760FC"/>
    <w:rsid w:val="00380C9D"/>
    <w:rsid w:val="003812E0"/>
    <w:rsid w:val="0038147D"/>
    <w:rsid w:val="00381730"/>
    <w:rsid w:val="00383149"/>
    <w:rsid w:val="003833D4"/>
    <w:rsid w:val="0038365C"/>
    <w:rsid w:val="0038369B"/>
    <w:rsid w:val="003836C8"/>
    <w:rsid w:val="00383B78"/>
    <w:rsid w:val="003841DF"/>
    <w:rsid w:val="003848C1"/>
    <w:rsid w:val="00384A52"/>
    <w:rsid w:val="00385A9D"/>
    <w:rsid w:val="00387456"/>
    <w:rsid w:val="003902B1"/>
    <w:rsid w:val="00391685"/>
    <w:rsid w:val="00392569"/>
    <w:rsid w:val="00393C31"/>
    <w:rsid w:val="003944A5"/>
    <w:rsid w:val="00394B95"/>
    <w:rsid w:val="00394C6A"/>
    <w:rsid w:val="00395BFD"/>
    <w:rsid w:val="00395DC3"/>
    <w:rsid w:val="00396857"/>
    <w:rsid w:val="00396896"/>
    <w:rsid w:val="00396FD0"/>
    <w:rsid w:val="003A0F8D"/>
    <w:rsid w:val="003A1A7A"/>
    <w:rsid w:val="003A1B39"/>
    <w:rsid w:val="003A2392"/>
    <w:rsid w:val="003A2831"/>
    <w:rsid w:val="003A2EBB"/>
    <w:rsid w:val="003A3E50"/>
    <w:rsid w:val="003A3ED1"/>
    <w:rsid w:val="003A43AA"/>
    <w:rsid w:val="003A4755"/>
    <w:rsid w:val="003A5E85"/>
    <w:rsid w:val="003A6947"/>
    <w:rsid w:val="003A6BFD"/>
    <w:rsid w:val="003A717B"/>
    <w:rsid w:val="003A7A29"/>
    <w:rsid w:val="003B01A5"/>
    <w:rsid w:val="003B03E8"/>
    <w:rsid w:val="003B113B"/>
    <w:rsid w:val="003B1623"/>
    <w:rsid w:val="003B2092"/>
    <w:rsid w:val="003B3475"/>
    <w:rsid w:val="003B3927"/>
    <w:rsid w:val="003B3CC6"/>
    <w:rsid w:val="003B4562"/>
    <w:rsid w:val="003B490E"/>
    <w:rsid w:val="003B4EE5"/>
    <w:rsid w:val="003B58C0"/>
    <w:rsid w:val="003B5B61"/>
    <w:rsid w:val="003B6F1B"/>
    <w:rsid w:val="003C033D"/>
    <w:rsid w:val="003C07D4"/>
    <w:rsid w:val="003C1654"/>
    <w:rsid w:val="003C2461"/>
    <w:rsid w:val="003C2794"/>
    <w:rsid w:val="003C599C"/>
    <w:rsid w:val="003C6D81"/>
    <w:rsid w:val="003C6FD9"/>
    <w:rsid w:val="003C7D19"/>
    <w:rsid w:val="003D0AB5"/>
    <w:rsid w:val="003D1385"/>
    <w:rsid w:val="003D1828"/>
    <w:rsid w:val="003D1DE4"/>
    <w:rsid w:val="003D2422"/>
    <w:rsid w:val="003D303D"/>
    <w:rsid w:val="003D39A1"/>
    <w:rsid w:val="003D3FBF"/>
    <w:rsid w:val="003D41AC"/>
    <w:rsid w:val="003D468F"/>
    <w:rsid w:val="003D4A30"/>
    <w:rsid w:val="003D4EE7"/>
    <w:rsid w:val="003D57C6"/>
    <w:rsid w:val="003D5821"/>
    <w:rsid w:val="003D584E"/>
    <w:rsid w:val="003D5F91"/>
    <w:rsid w:val="003D629D"/>
    <w:rsid w:val="003D6C6E"/>
    <w:rsid w:val="003D7859"/>
    <w:rsid w:val="003D79BB"/>
    <w:rsid w:val="003D7BC9"/>
    <w:rsid w:val="003D7C98"/>
    <w:rsid w:val="003E0543"/>
    <w:rsid w:val="003E1401"/>
    <w:rsid w:val="003E1DF2"/>
    <w:rsid w:val="003E1E5F"/>
    <w:rsid w:val="003E2E29"/>
    <w:rsid w:val="003E3537"/>
    <w:rsid w:val="003E3755"/>
    <w:rsid w:val="003E4EF7"/>
    <w:rsid w:val="003E6316"/>
    <w:rsid w:val="003E6798"/>
    <w:rsid w:val="003E6CD1"/>
    <w:rsid w:val="003E7865"/>
    <w:rsid w:val="003F02B7"/>
    <w:rsid w:val="003F254F"/>
    <w:rsid w:val="003F28A0"/>
    <w:rsid w:val="003F4156"/>
    <w:rsid w:val="003F53E8"/>
    <w:rsid w:val="003F5B2C"/>
    <w:rsid w:val="003F5BCA"/>
    <w:rsid w:val="003F7BD0"/>
    <w:rsid w:val="004004D4"/>
    <w:rsid w:val="00400B29"/>
    <w:rsid w:val="004011FD"/>
    <w:rsid w:val="00401517"/>
    <w:rsid w:val="004017F3"/>
    <w:rsid w:val="004037F4"/>
    <w:rsid w:val="004039C7"/>
    <w:rsid w:val="0040472C"/>
    <w:rsid w:val="00404EE1"/>
    <w:rsid w:val="0040504B"/>
    <w:rsid w:val="004051B7"/>
    <w:rsid w:val="00406599"/>
    <w:rsid w:val="00406A6B"/>
    <w:rsid w:val="00407C7C"/>
    <w:rsid w:val="00407CAA"/>
    <w:rsid w:val="00410708"/>
    <w:rsid w:val="00410EC7"/>
    <w:rsid w:val="00411667"/>
    <w:rsid w:val="00411891"/>
    <w:rsid w:val="00411B39"/>
    <w:rsid w:val="00412CA5"/>
    <w:rsid w:val="00413293"/>
    <w:rsid w:val="004137E2"/>
    <w:rsid w:val="00413A1E"/>
    <w:rsid w:val="00413C51"/>
    <w:rsid w:val="00414476"/>
    <w:rsid w:val="00414C2E"/>
    <w:rsid w:val="004151CF"/>
    <w:rsid w:val="004153AF"/>
    <w:rsid w:val="00415BA6"/>
    <w:rsid w:val="00415D65"/>
    <w:rsid w:val="00416364"/>
    <w:rsid w:val="0041763D"/>
    <w:rsid w:val="004178E7"/>
    <w:rsid w:val="00417FF4"/>
    <w:rsid w:val="00420371"/>
    <w:rsid w:val="00420AA6"/>
    <w:rsid w:val="00420B9F"/>
    <w:rsid w:val="00421B16"/>
    <w:rsid w:val="00421C8E"/>
    <w:rsid w:val="00422260"/>
    <w:rsid w:val="00422C74"/>
    <w:rsid w:val="00422F7F"/>
    <w:rsid w:val="0042413F"/>
    <w:rsid w:val="004243D9"/>
    <w:rsid w:val="00425A9A"/>
    <w:rsid w:val="0042600B"/>
    <w:rsid w:val="004319F8"/>
    <w:rsid w:val="00431B7F"/>
    <w:rsid w:val="00431DA3"/>
    <w:rsid w:val="00431E55"/>
    <w:rsid w:val="004321F6"/>
    <w:rsid w:val="004326AC"/>
    <w:rsid w:val="00433044"/>
    <w:rsid w:val="00433257"/>
    <w:rsid w:val="00433484"/>
    <w:rsid w:val="00433918"/>
    <w:rsid w:val="00433DAB"/>
    <w:rsid w:val="004353A2"/>
    <w:rsid w:val="00435C90"/>
    <w:rsid w:val="004366D2"/>
    <w:rsid w:val="004375B9"/>
    <w:rsid w:val="00437B77"/>
    <w:rsid w:val="00440006"/>
    <w:rsid w:val="00441581"/>
    <w:rsid w:val="00441974"/>
    <w:rsid w:val="004419B4"/>
    <w:rsid w:val="004420C3"/>
    <w:rsid w:val="00442215"/>
    <w:rsid w:val="004428D0"/>
    <w:rsid w:val="00442E5D"/>
    <w:rsid w:val="00442F98"/>
    <w:rsid w:val="00443321"/>
    <w:rsid w:val="0044378B"/>
    <w:rsid w:val="00443A9F"/>
    <w:rsid w:val="00443F2D"/>
    <w:rsid w:val="0044421B"/>
    <w:rsid w:val="004443A7"/>
    <w:rsid w:val="0044442C"/>
    <w:rsid w:val="004452A6"/>
    <w:rsid w:val="00445717"/>
    <w:rsid w:val="00445785"/>
    <w:rsid w:val="0044582C"/>
    <w:rsid w:val="00445941"/>
    <w:rsid w:val="00446359"/>
    <w:rsid w:val="004464EB"/>
    <w:rsid w:val="004472F8"/>
    <w:rsid w:val="00447D26"/>
    <w:rsid w:val="004500DB"/>
    <w:rsid w:val="00451FC5"/>
    <w:rsid w:val="004534E3"/>
    <w:rsid w:val="004539CB"/>
    <w:rsid w:val="0045449F"/>
    <w:rsid w:val="004545BA"/>
    <w:rsid w:val="00454792"/>
    <w:rsid w:val="00454D8B"/>
    <w:rsid w:val="00455D45"/>
    <w:rsid w:val="00456152"/>
    <w:rsid w:val="0045743F"/>
    <w:rsid w:val="00460084"/>
    <w:rsid w:val="00460183"/>
    <w:rsid w:val="004610BB"/>
    <w:rsid w:val="0046181D"/>
    <w:rsid w:val="00462C98"/>
    <w:rsid w:val="0046301A"/>
    <w:rsid w:val="0046315E"/>
    <w:rsid w:val="00463DFB"/>
    <w:rsid w:val="00463E48"/>
    <w:rsid w:val="0046445A"/>
    <w:rsid w:val="00464595"/>
    <w:rsid w:val="00465132"/>
    <w:rsid w:val="00465CA6"/>
    <w:rsid w:val="004660E5"/>
    <w:rsid w:val="004662BF"/>
    <w:rsid w:val="00467DBD"/>
    <w:rsid w:val="00472A79"/>
    <w:rsid w:val="00472B68"/>
    <w:rsid w:val="00473F19"/>
    <w:rsid w:val="0047427D"/>
    <w:rsid w:val="0047496F"/>
    <w:rsid w:val="004750D8"/>
    <w:rsid w:val="00475495"/>
    <w:rsid w:val="00475809"/>
    <w:rsid w:val="00475E22"/>
    <w:rsid w:val="00477060"/>
    <w:rsid w:val="004800C1"/>
    <w:rsid w:val="004802BD"/>
    <w:rsid w:val="004802CE"/>
    <w:rsid w:val="0048088E"/>
    <w:rsid w:val="004808BE"/>
    <w:rsid w:val="00480D9D"/>
    <w:rsid w:val="004815EF"/>
    <w:rsid w:val="00482720"/>
    <w:rsid w:val="00482D0C"/>
    <w:rsid w:val="004835E7"/>
    <w:rsid w:val="00484F0B"/>
    <w:rsid w:val="0048588D"/>
    <w:rsid w:val="004867E2"/>
    <w:rsid w:val="0048700D"/>
    <w:rsid w:val="00487266"/>
    <w:rsid w:val="00487A07"/>
    <w:rsid w:val="00490ED9"/>
    <w:rsid w:val="00491358"/>
    <w:rsid w:val="00491B3A"/>
    <w:rsid w:val="00492CFD"/>
    <w:rsid w:val="00492ED7"/>
    <w:rsid w:val="00493230"/>
    <w:rsid w:val="00494199"/>
    <w:rsid w:val="00494DD5"/>
    <w:rsid w:val="0049569A"/>
    <w:rsid w:val="004960D9"/>
    <w:rsid w:val="004962D2"/>
    <w:rsid w:val="00496747"/>
    <w:rsid w:val="004969E5"/>
    <w:rsid w:val="00496A7B"/>
    <w:rsid w:val="00497336"/>
    <w:rsid w:val="00497556"/>
    <w:rsid w:val="00497A85"/>
    <w:rsid w:val="004A012C"/>
    <w:rsid w:val="004A0DA1"/>
    <w:rsid w:val="004A1489"/>
    <w:rsid w:val="004A1EC4"/>
    <w:rsid w:val="004A20FE"/>
    <w:rsid w:val="004A238F"/>
    <w:rsid w:val="004A24C6"/>
    <w:rsid w:val="004A2F34"/>
    <w:rsid w:val="004A36FF"/>
    <w:rsid w:val="004A39E7"/>
    <w:rsid w:val="004A52E9"/>
    <w:rsid w:val="004A5DCE"/>
    <w:rsid w:val="004A6597"/>
    <w:rsid w:val="004A6690"/>
    <w:rsid w:val="004A669A"/>
    <w:rsid w:val="004A7848"/>
    <w:rsid w:val="004B1049"/>
    <w:rsid w:val="004B1CB4"/>
    <w:rsid w:val="004B29F0"/>
    <w:rsid w:val="004B2B18"/>
    <w:rsid w:val="004B2F18"/>
    <w:rsid w:val="004B3516"/>
    <w:rsid w:val="004B3A24"/>
    <w:rsid w:val="004B3DDB"/>
    <w:rsid w:val="004B3F2D"/>
    <w:rsid w:val="004B44FD"/>
    <w:rsid w:val="004B568E"/>
    <w:rsid w:val="004B5CFC"/>
    <w:rsid w:val="004B5F9E"/>
    <w:rsid w:val="004B747A"/>
    <w:rsid w:val="004B774D"/>
    <w:rsid w:val="004B79DE"/>
    <w:rsid w:val="004B7BFF"/>
    <w:rsid w:val="004C05DB"/>
    <w:rsid w:val="004C0809"/>
    <w:rsid w:val="004C1913"/>
    <w:rsid w:val="004C2A1A"/>
    <w:rsid w:val="004C3235"/>
    <w:rsid w:val="004C3300"/>
    <w:rsid w:val="004C3C84"/>
    <w:rsid w:val="004C4256"/>
    <w:rsid w:val="004C4888"/>
    <w:rsid w:val="004C4AED"/>
    <w:rsid w:val="004C69AB"/>
    <w:rsid w:val="004C7569"/>
    <w:rsid w:val="004C7EC8"/>
    <w:rsid w:val="004D05DC"/>
    <w:rsid w:val="004D0C8C"/>
    <w:rsid w:val="004D1AF8"/>
    <w:rsid w:val="004D2530"/>
    <w:rsid w:val="004D28C0"/>
    <w:rsid w:val="004D2A8E"/>
    <w:rsid w:val="004D2C2D"/>
    <w:rsid w:val="004D380D"/>
    <w:rsid w:val="004D3AC9"/>
    <w:rsid w:val="004D43AD"/>
    <w:rsid w:val="004D4F45"/>
    <w:rsid w:val="004D55C4"/>
    <w:rsid w:val="004D5955"/>
    <w:rsid w:val="004D5BA1"/>
    <w:rsid w:val="004D7227"/>
    <w:rsid w:val="004D75A8"/>
    <w:rsid w:val="004D7877"/>
    <w:rsid w:val="004E0098"/>
    <w:rsid w:val="004E0E7F"/>
    <w:rsid w:val="004E0EB8"/>
    <w:rsid w:val="004E14BD"/>
    <w:rsid w:val="004E1ECB"/>
    <w:rsid w:val="004E25CA"/>
    <w:rsid w:val="004E2ADC"/>
    <w:rsid w:val="004E2F6C"/>
    <w:rsid w:val="004E3014"/>
    <w:rsid w:val="004E35DC"/>
    <w:rsid w:val="004E43B2"/>
    <w:rsid w:val="004E4D50"/>
    <w:rsid w:val="004E5D16"/>
    <w:rsid w:val="004E60FD"/>
    <w:rsid w:val="004E6673"/>
    <w:rsid w:val="004E791F"/>
    <w:rsid w:val="004F05ED"/>
    <w:rsid w:val="004F15A0"/>
    <w:rsid w:val="004F1D02"/>
    <w:rsid w:val="004F1D5D"/>
    <w:rsid w:val="004F2679"/>
    <w:rsid w:val="004F2F21"/>
    <w:rsid w:val="004F34FB"/>
    <w:rsid w:val="004F59FE"/>
    <w:rsid w:val="004F642A"/>
    <w:rsid w:val="004F6913"/>
    <w:rsid w:val="004F74C1"/>
    <w:rsid w:val="004F7865"/>
    <w:rsid w:val="005015BC"/>
    <w:rsid w:val="0050219B"/>
    <w:rsid w:val="005032A3"/>
    <w:rsid w:val="00503B6F"/>
    <w:rsid w:val="00503F17"/>
    <w:rsid w:val="00506928"/>
    <w:rsid w:val="00506E1B"/>
    <w:rsid w:val="00507209"/>
    <w:rsid w:val="005076A6"/>
    <w:rsid w:val="005105E6"/>
    <w:rsid w:val="00510777"/>
    <w:rsid w:val="005110FF"/>
    <w:rsid w:val="00512090"/>
    <w:rsid w:val="0051281B"/>
    <w:rsid w:val="0051304F"/>
    <w:rsid w:val="005138BD"/>
    <w:rsid w:val="00514745"/>
    <w:rsid w:val="005152B5"/>
    <w:rsid w:val="00515359"/>
    <w:rsid w:val="00515665"/>
    <w:rsid w:val="005162D5"/>
    <w:rsid w:val="00516D5E"/>
    <w:rsid w:val="00516FA1"/>
    <w:rsid w:val="00516FC6"/>
    <w:rsid w:val="005179DF"/>
    <w:rsid w:val="0052014D"/>
    <w:rsid w:val="00520F25"/>
    <w:rsid w:val="00521257"/>
    <w:rsid w:val="00521319"/>
    <w:rsid w:val="005214C3"/>
    <w:rsid w:val="005227CD"/>
    <w:rsid w:val="00522BC8"/>
    <w:rsid w:val="00523C28"/>
    <w:rsid w:val="00523EA2"/>
    <w:rsid w:val="00525FD1"/>
    <w:rsid w:val="0052630B"/>
    <w:rsid w:val="0053003C"/>
    <w:rsid w:val="00530E20"/>
    <w:rsid w:val="00531CBA"/>
    <w:rsid w:val="00531FA4"/>
    <w:rsid w:val="005345EF"/>
    <w:rsid w:val="0053545C"/>
    <w:rsid w:val="00536F42"/>
    <w:rsid w:val="00537182"/>
    <w:rsid w:val="005415BD"/>
    <w:rsid w:val="00541722"/>
    <w:rsid w:val="00541E22"/>
    <w:rsid w:val="00542743"/>
    <w:rsid w:val="00542C2D"/>
    <w:rsid w:val="00543C59"/>
    <w:rsid w:val="0054544B"/>
    <w:rsid w:val="00545A8B"/>
    <w:rsid w:val="00547EEA"/>
    <w:rsid w:val="005500A0"/>
    <w:rsid w:val="00550265"/>
    <w:rsid w:val="005505DD"/>
    <w:rsid w:val="005508FC"/>
    <w:rsid w:val="00550CED"/>
    <w:rsid w:val="00551899"/>
    <w:rsid w:val="00551985"/>
    <w:rsid w:val="00551CD0"/>
    <w:rsid w:val="00551DA6"/>
    <w:rsid w:val="0055241B"/>
    <w:rsid w:val="0055297B"/>
    <w:rsid w:val="00552BD3"/>
    <w:rsid w:val="00552C57"/>
    <w:rsid w:val="00552C9F"/>
    <w:rsid w:val="00553173"/>
    <w:rsid w:val="005550B5"/>
    <w:rsid w:val="00555109"/>
    <w:rsid w:val="00555A98"/>
    <w:rsid w:val="00556524"/>
    <w:rsid w:val="005575C6"/>
    <w:rsid w:val="00561A52"/>
    <w:rsid w:val="00561E63"/>
    <w:rsid w:val="00562081"/>
    <w:rsid w:val="0056333A"/>
    <w:rsid w:val="00564BAF"/>
    <w:rsid w:val="00564DC8"/>
    <w:rsid w:val="005650A8"/>
    <w:rsid w:val="005659C3"/>
    <w:rsid w:val="00565D08"/>
    <w:rsid w:val="00566136"/>
    <w:rsid w:val="0056696F"/>
    <w:rsid w:val="005700CD"/>
    <w:rsid w:val="00572269"/>
    <w:rsid w:val="0057244A"/>
    <w:rsid w:val="00572A33"/>
    <w:rsid w:val="00573FF0"/>
    <w:rsid w:val="00574286"/>
    <w:rsid w:val="00575D8D"/>
    <w:rsid w:val="0057628E"/>
    <w:rsid w:val="005764FD"/>
    <w:rsid w:val="00576972"/>
    <w:rsid w:val="00577896"/>
    <w:rsid w:val="00580C17"/>
    <w:rsid w:val="00580DC2"/>
    <w:rsid w:val="00581324"/>
    <w:rsid w:val="005819D8"/>
    <w:rsid w:val="00582C84"/>
    <w:rsid w:val="00582D8D"/>
    <w:rsid w:val="00582F8A"/>
    <w:rsid w:val="00583699"/>
    <w:rsid w:val="005844F6"/>
    <w:rsid w:val="005853FF"/>
    <w:rsid w:val="00585CDD"/>
    <w:rsid w:val="00587058"/>
    <w:rsid w:val="00587F72"/>
    <w:rsid w:val="005906FC"/>
    <w:rsid w:val="00591957"/>
    <w:rsid w:val="005923A7"/>
    <w:rsid w:val="00593B20"/>
    <w:rsid w:val="00593C49"/>
    <w:rsid w:val="005945C7"/>
    <w:rsid w:val="005956FB"/>
    <w:rsid w:val="0059740D"/>
    <w:rsid w:val="00597BF9"/>
    <w:rsid w:val="005A0F67"/>
    <w:rsid w:val="005A1335"/>
    <w:rsid w:val="005A17E2"/>
    <w:rsid w:val="005A2AD8"/>
    <w:rsid w:val="005A335B"/>
    <w:rsid w:val="005A373D"/>
    <w:rsid w:val="005A3D7A"/>
    <w:rsid w:val="005A495B"/>
    <w:rsid w:val="005A499C"/>
    <w:rsid w:val="005A6BDC"/>
    <w:rsid w:val="005A729A"/>
    <w:rsid w:val="005B020D"/>
    <w:rsid w:val="005B04D4"/>
    <w:rsid w:val="005B09A7"/>
    <w:rsid w:val="005B0E82"/>
    <w:rsid w:val="005B146D"/>
    <w:rsid w:val="005B19C1"/>
    <w:rsid w:val="005B2422"/>
    <w:rsid w:val="005B250F"/>
    <w:rsid w:val="005B38A5"/>
    <w:rsid w:val="005B3F45"/>
    <w:rsid w:val="005B42D9"/>
    <w:rsid w:val="005B4E7C"/>
    <w:rsid w:val="005B5857"/>
    <w:rsid w:val="005B6377"/>
    <w:rsid w:val="005B6484"/>
    <w:rsid w:val="005B6950"/>
    <w:rsid w:val="005B7248"/>
    <w:rsid w:val="005B7A33"/>
    <w:rsid w:val="005C028B"/>
    <w:rsid w:val="005C1B83"/>
    <w:rsid w:val="005C1D35"/>
    <w:rsid w:val="005C2008"/>
    <w:rsid w:val="005C2D55"/>
    <w:rsid w:val="005C346B"/>
    <w:rsid w:val="005C4682"/>
    <w:rsid w:val="005C530B"/>
    <w:rsid w:val="005C5F2F"/>
    <w:rsid w:val="005C619D"/>
    <w:rsid w:val="005C68E4"/>
    <w:rsid w:val="005C6A4C"/>
    <w:rsid w:val="005C7349"/>
    <w:rsid w:val="005D044D"/>
    <w:rsid w:val="005D0ABD"/>
    <w:rsid w:val="005D0F8A"/>
    <w:rsid w:val="005D18AD"/>
    <w:rsid w:val="005D196C"/>
    <w:rsid w:val="005D1E7D"/>
    <w:rsid w:val="005D233A"/>
    <w:rsid w:val="005D2583"/>
    <w:rsid w:val="005D26B4"/>
    <w:rsid w:val="005D26F1"/>
    <w:rsid w:val="005D2DBA"/>
    <w:rsid w:val="005D3D59"/>
    <w:rsid w:val="005D3F9E"/>
    <w:rsid w:val="005D4FFE"/>
    <w:rsid w:val="005D5C5B"/>
    <w:rsid w:val="005D61D4"/>
    <w:rsid w:val="005D682F"/>
    <w:rsid w:val="005D6C81"/>
    <w:rsid w:val="005D798D"/>
    <w:rsid w:val="005E1B80"/>
    <w:rsid w:val="005E20B4"/>
    <w:rsid w:val="005E2A60"/>
    <w:rsid w:val="005E3711"/>
    <w:rsid w:val="005E3A99"/>
    <w:rsid w:val="005E3D71"/>
    <w:rsid w:val="005E3FE3"/>
    <w:rsid w:val="005E419A"/>
    <w:rsid w:val="005E54A9"/>
    <w:rsid w:val="005E6053"/>
    <w:rsid w:val="005E6CBC"/>
    <w:rsid w:val="005E736B"/>
    <w:rsid w:val="005E73C0"/>
    <w:rsid w:val="005F0012"/>
    <w:rsid w:val="005F051F"/>
    <w:rsid w:val="005F0655"/>
    <w:rsid w:val="005F2706"/>
    <w:rsid w:val="005F28F1"/>
    <w:rsid w:val="005F3539"/>
    <w:rsid w:val="005F50BF"/>
    <w:rsid w:val="005F5A5B"/>
    <w:rsid w:val="005F6099"/>
    <w:rsid w:val="005F6A8F"/>
    <w:rsid w:val="005F6E3A"/>
    <w:rsid w:val="005F7394"/>
    <w:rsid w:val="005F78DD"/>
    <w:rsid w:val="00601C66"/>
    <w:rsid w:val="00601CCA"/>
    <w:rsid w:val="0060249C"/>
    <w:rsid w:val="00602874"/>
    <w:rsid w:val="0060353E"/>
    <w:rsid w:val="00603DB9"/>
    <w:rsid w:val="00604110"/>
    <w:rsid w:val="00604DB7"/>
    <w:rsid w:val="0060685D"/>
    <w:rsid w:val="0060694E"/>
    <w:rsid w:val="00607669"/>
    <w:rsid w:val="00607AFD"/>
    <w:rsid w:val="00607DA0"/>
    <w:rsid w:val="00607DCA"/>
    <w:rsid w:val="00611896"/>
    <w:rsid w:val="00612F97"/>
    <w:rsid w:val="0061345D"/>
    <w:rsid w:val="006144B3"/>
    <w:rsid w:val="00614799"/>
    <w:rsid w:val="0061641E"/>
    <w:rsid w:val="00616802"/>
    <w:rsid w:val="00616EB9"/>
    <w:rsid w:val="006174AF"/>
    <w:rsid w:val="006178BE"/>
    <w:rsid w:val="00617A86"/>
    <w:rsid w:val="00617E12"/>
    <w:rsid w:val="006201BF"/>
    <w:rsid w:val="006211E8"/>
    <w:rsid w:val="00621477"/>
    <w:rsid w:val="006224BD"/>
    <w:rsid w:val="00623DD7"/>
    <w:rsid w:val="006247D2"/>
    <w:rsid w:val="0062574D"/>
    <w:rsid w:val="00626EE7"/>
    <w:rsid w:val="006271E5"/>
    <w:rsid w:val="006278F3"/>
    <w:rsid w:val="00630257"/>
    <w:rsid w:val="0063041F"/>
    <w:rsid w:val="00630AFA"/>
    <w:rsid w:val="0063158F"/>
    <w:rsid w:val="00631D6B"/>
    <w:rsid w:val="006330A1"/>
    <w:rsid w:val="00633CC7"/>
    <w:rsid w:val="00634216"/>
    <w:rsid w:val="006343BC"/>
    <w:rsid w:val="006344DA"/>
    <w:rsid w:val="0063479F"/>
    <w:rsid w:val="006353F0"/>
    <w:rsid w:val="006364A1"/>
    <w:rsid w:val="00637BFD"/>
    <w:rsid w:val="00637FC0"/>
    <w:rsid w:val="006403CD"/>
    <w:rsid w:val="0064116D"/>
    <w:rsid w:val="0064154D"/>
    <w:rsid w:val="00641A46"/>
    <w:rsid w:val="00641C4E"/>
    <w:rsid w:val="0064225D"/>
    <w:rsid w:val="00642F34"/>
    <w:rsid w:val="00644568"/>
    <w:rsid w:val="00645803"/>
    <w:rsid w:val="0064581D"/>
    <w:rsid w:val="00646352"/>
    <w:rsid w:val="006468D8"/>
    <w:rsid w:val="006471CC"/>
    <w:rsid w:val="006506C0"/>
    <w:rsid w:val="0065079F"/>
    <w:rsid w:val="006509FF"/>
    <w:rsid w:val="006527C5"/>
    <w:rsid w:val="00652D6C"/>
    <w:rsid w:val="006531D5"/>
    <w:rsid w:val="0065379F"/>
    <w:rsid w:val="00653844"/>
    <w:rsid w:val="00656BB0"/>
    <w:rsid w:val="00657106"/>
    <w:rsid w:val="00660834"/>
    <w:rsid w:val="00660B09"/>
    <w:rsid w:val="00661C6B"/>
    <w:rsid w:val="00661DFA"/>
    <w:rsid w:val="0066283B"/>
    <w:rsid w:val="00665CA2"/>
    <w:rsid w:val="00665F0A"/>
    <w:rsid w:val="00666562"/>
    <w:rsid w:val="0067026D"/>
    <w:rsid w:val="006716A3"/>
    <w:rsid w:val="006733DC"/>
    <w:rsid w:val="00674040"/>
    <w:rsid w:val="00674E42"/>
    <w:rsid w:val="00675334"/>
    <w:rsid w:val="00675C25"/>
    <w:rsid w:val="00675D6C"/>
    <w:rsid w:val="006766D0"/>
    <w:rsid w:val="006766D5"/>
    <w:rsid w:val="00676D88"/>
    <w:rsid w:val="00677772"/>
    <w:rsid w:val="00677933"/>
    <w:rsid w:val="0068086A"/>
    <w:rsid w:val="00681A85"/>
    <w:rsid w:val="00681CCE"/>
    <w:rsid w:val="00682112"/>
    <w:rsid w:val="00682E8E"/>
    <w:rsid w:val="00683396"/>
    <w:rsid w:val="00685002"/>
    <w:rsid w:val="0068518C"/>
    <w:rsid w:val="00686957"/>
    <w:rsid w:val="006871B3"/>
    <w:rsid w:val="006872BA"/>
    <w:rsid w:val="00690458"/>
    <w:rsid w:val="00690C3A"/>
    <w:rsid w:val="00690F87"/>
    <w:rsid w:val="00691194"/>
    <w:rsid w:val="00691648"/>
    <w:rsid w:val="006917D7"/>
    <w:rsid w:val="006917EF"/>
    <w:rsid w:val="006924CD"/>
    <w:rsid w:val="00692A39"/>
    <w:rsid w:val="00692E85"/>
    <w:rsid w:val="00692FF4"/>
    <w:rsid w:val="006937EB"/>
    <w:rsid w:val="00693AB3"/>
    <w:rsid w:val="00693DC8"/>
    <w:rsid w:val="006947A9"/>
    <w:rsid w:val="00694F44"/>
    <w:rsid w:val="00694FD7"/>
    <w:rsid w:val="00695B22"/>
    <w:rsid w:val="00696A71"/>
    <w:rsid w:val="00697292"/>
    <w:rsid w:val="006A06FA"/>
    <w:rsid w:val="006A36A6"/>
    <w:rsid w:val="006A372C"/>
    <w:rsid w:val="006A3834"/>
    <w:rsid w:val="006A4431"/>
    <w:rsid w:val="006A4B5E"/>
    <w:rsid w:val="006A63CE"/>
    <w:rsid w:val="006A6957"/>
    <w:rsid w:val="006A7E5F"/>
    <w:rsid w:val="006A7F37"/>
    <w:rsid w:val="006B00F0"/>
    <w:rsid w:val="006B04B6"/>
    <w:rsid w:val="006B0B2C"/>
    <w:rsid w:val="006B11E2"/>
    <w:rsid w:val="006B139C"/>
    <w:rsid w:val="006B1DF2"/>
    <w:rsid w:val="006B261B"/>
    <w:rsid w:val="006B2C90"/>
    <w:rsid w:val="006B36B8"/>
    <w:rsid w:val="006B3F96"/>
    <w:rsid w:val="006B47F9"/>
    <w:rsid w:val="006B5455"/>
    <w:rsid w:val="006B5F46"/>
    <w:rsid w:val="006B63D7"/>
    <w:rsid w:val="006B642D"/>
    <w:rsid w:val="006B6DD0"/>
    <w:rsid w:val="006B76FB"/>
    <w:rsid w:val="006C18F4"/>
    <w:rsid w:val="006C2209"/>
    <w:rsid w:val="006C2A8E"/>
    <w:rsid w:val="006C5427"/>
    <w:rsid w:val="006C5C7D"/>
    <w:rsid w:val="006C6171"/>
    <w:rsid w:val="006C7017"/>
    <w:rsid w:val="006C716A"/>
    <w:rsid w:val="006C74D5"/>
    <w:rsid w:val="006C7F1E"/>
    <w:rsid w:val="006D3C7D"/>
    <w:rsid w:val="006D4166"/>
    <w:rsid w:val="006D42AB"/>
    <w:rsid w:val="006D4674"/>
    <w:rsid w:val="006D5D5F"/>
    <w:rsid w:val="006D63BA"/>
    <w:rsid w:val="006E00EF"/>
    <w:rsid w:val="006E033E"/>
    <w:rsid w:val="006E17B0"/>
    <w:rsid w:val="006E2D19"/>
    <w:rsid w:val="006E31BE"/>
    <w:rsid w:val="006E3C48"/>
    <w:rsid w:val="006E4E25"/>
    <w:rsid w:val="006E6631"/>
    <w:rsid w:val="006E6F76"/>
    <w:rsid w:val="006F0D95"/>
    <w:rsid w:val="006F1419"/>
    <w:rsid w:val="006F2CED"/>
    <w:rsid w:val="006F306C"/>
    <w:rsid w:val="006F308B"/>
    <w:rsid w:val="006F3EE2"/>
    <w:rsid w:val="006F40AC"/>
    <w:rsid w:val="006F4C1E"/>
    <w:rsid w:val="006F5C08"/>
    <w:rsid w:val="006F63A5"/>
    <w:rsid w:val="006F6E08"/>
    <w:rsid w:val="006F6EE0"/>
    <w:rsid w:val="006F7D17"/>
    <w:rsid w:val="00700AE9"/>
    <w:rsid w:val="0070142B"/>
    <w:rsid w:val="0070176F"/>
    <w:rsid w:val="007019CA"/>
    <w:rsid w:val="007026D5"/>
    <w:rsid w:val="0070276E"/>
    <w:rsid w:val="00702F8F"/>
    <w:rsid w:val="00702FD7"/>
    <w:rsid w:val="00704945"/>
    <w:rsid w:val="00705D0D"/>
    <w:rsid w:val="00705D90"/>
    <w:rsid w:val="00707595"/>
    <w:rsid w:val="00710227"/>
    <w:rsid w:val="0071037E"/>
    <w:rsid w:val="007119AD"/>
    <w:rsid w:val="00711A36"/>
    <w:rsid w:val="0071429B"/>
    <w:rsid w:val="00714573"/>
    <w:rsid w:val="0071529C"/>
    <w:rsid w:val="0071547F"/>
    <w:rsid w:val="00715A37"/>
    <w:rsid w:val="0071676D"/>
    <w:rsid w:val="007172AD"/>
    <w:rsid w:val="00717D0F"/>
    <w:rsid w:val="00721622"/>
    <w:rsid w:val="00721DCB"/>
    <w:rsid w:val="0072247F"/>
    <w:rsid w:val="00722713"/>
    <w:rsid w:val="00722B1B"/>
    <w:rsid w:val="00723A5D"/>
    <w:rsid w:val="0072416F"/>
    <w:rsid w:val="00726CB5"/>
    <w:rsid w:val="007276B6"/>
    <w:rsid w:val="007278FE"/>
    <w:rsid w:val="00727C94"/>
    <w:rsid w:val="007300D7"/>
    <w:rsid w:val="00730FA7"/>
    <w:rsid w:val="0073161A"/>
    <w:rsid w:val="00731EAE"/>
    <w:rsid w:val="0073209F"/>
    <w:rsid w:val="00734887"/>
    <w:rsid w:val="00735033"/>
    <w:rsid w:val="00735328"/>
    <w:rsid w:val="007354BF"/>
    <w:rsid w:val="007357BC"/>
    <w:rsid w:val="0073615C"/>
    <w:rsid w:val="0073672E"/>
    <w:rsid w:val="0073685B"/>
    <w:rsid w:val="00737915"/>
    <w:rsid w:val="00741802"/>
    <w:rsid w:val="0074183B"/>
    <w:rsid w:val="00743EE5"/>
    <w:rsid w:val="00744E47"/>
    <w:rsid w:val="00744EA3"/>
    <w:rsid w:val="00745428"/>
    <w:rsid w:val="00745CFD"/>
    <w:rsid w:val="00747348"/>
    <w:rsid w:val="00747EC5"/>
    <w:rsid w:val="007503CB"/>
    <w:rsid w:val="007505CE"/>
    <w:rsid w:val="00750EB5"/>
    <w:rsid w:val="0075140D"/>
    <w:rsid w:val="00752142"/>
    <w:rsid w:val="007523F9"/>
    <w:rsid w:val="00752825"/>
    <w:rsid w:val="00752A23"/>
    <w:rsid w:val="0075318F"/>
    <w:rsid w:val="00754115"/>
    <w:rsid w:val="0075542C"/>
    <w:rsid w:val="00756056"/>
    <w:rsid w:val="00756D87"/>
    <w:rsid w:val="007573E8"/>
    <w:rsid w:val="0075777B"/>
    <w:rsid w:val="00760388"/>
    <w:rsid w:val="00760C4E"/>
    <w:rsid w:val="00761174"/>
    <w:rsid w:val="0076195C"/>
    <w:rsid w:val="007630E7"/>
    <w:rsid w:val="0076378B"/>
    <w:rsid w:val="00763A3D"/>
    <w:rsid w:val="00764B6C"/>
    <w:rsid w:val="007650D0"/>
    <w:rsid w:val="00765B1A"/>
    <w:rsid w:val="00765B68"/>
    <w:rsid w:val="00765CB7"/>
    <w:rsid w:val="00766300"/>
    <w:rsid w:val="007667A9"/>
    <w:rsid w:val="00767169"/>
    <w:rsid w:val="0076788D"/>
    <w:rsid w:val="00767CAC"/>
    <w:rsid w:val="0077121F"/>
    <w:rsid w:val="007727D5"/>
    <w:rsid w:val="00772853"/>
    <w:rsid w:val="00773936"/>
    <w:rsid w:val="00773B8D"/>
    <w:rsid w:val="00773EDE"/>
    <w:rsid w:val="007746A5"/>
    <w:rsid w:val="007750B6"/>
    <w:rsid w:val="00775984"/>
    <w:rsid w:val="00775C3B"/>
    <w:rsid w:val="00777977"/>
    <w:rsid w:val="00780491"/>
    <w:rsid w:val="00780BCF"/>
    <w:rsid w:val="00781E7D"/>
    <w:rsid w:val="00782754"/>
    <w:rsid w:val="007843F2"/>
    <w:rsid w:val="007845B6"/>
    <w:rsid w:val="00786FDE"/>
    <w:rsid w:val="00787747"/>
    <w:rsid w:val="007908DA"/>
    <w:rsid w:val="00793598"/>
    <w:rsid w:val="00793FAA"/>
    <w:rsid w:val="00794065"/>
    <w:rsid w:val="0079463D"/>
    <w:rsid w:val="00795195"/>
    <w:rsid w:val="007A0A12"/>
    <w:rsid w:val="007A132D"/>
    <w:rsid w:val="007A1690"/>
    <w:rsid w:val="007A1CCF"/>
    <w:rsid w:val="007A31B0"/>
    <w:rsid w:val="007A3278"/>
    <w:rsid w:val="007A3F12"/>
    <w:rsid w:val="007A58AD"/>
    <w:rsid w:val="007A6AB9"/>
    <w:rsid w:val="007A6DAC"/>
    <w:rsid w:val="007A721D"/>
    <w:rsid w:val="007A777D"/>
    <w:rsid w:val="007A7C86"/>
    <w:rsid w:val="007B0726"/>
    <w:rsid w:val="007B0D68"/>
    <w:rsid w:val="007B172D"/>
    <w:rsid w:val="007B1756"/>
    <w:rsid w:val="007B1786"/>
    <w:rsid w:val="007B17BB"/>
    <w:rsid w:val="007B251D"/>
    <w:rsid w:val="007B253D"/>
    <w:rsid w:val="007B3512"/>
    <w:rsid w:val="007B3D08"/>
    <w:rsid w:val="007B4544"/>
    <w:rsid w:val="007B4F58"/>
    <w:rsid w:val="007B528D"/>
    <w:rsid w:val="007B612D"/>
    <w:rsid w:val="007B77D1"/>
    <w:rsid w:val="007C0709"/>
    <w:rsid w:val="007C0E52"/>
    <w:rsid w:val="007C1CD9"/>
    <w:rsid w:val="007C361D"/>
    <w:rsid w:val="007C3AAD"/>
    <w:rsid w:val="007C3ADD"/>
    <w:rsid w:val="007C3AFA"/>
    <w:rsid w:val="007C4352"/>
    <w:rsid w:val="007C482B"/>
    <w:rsid w:val="007C4AFD"/>
    <w:rsid w:val="007C4B84"/>
    <w:rsid w:val="007C5099"/>
    <w:rsid w:val="007C54EF"/>
    <w:rsid w:val="007C77F3"/>
    <w:rsid w:val="007C7BDE"/>
    <w:rsid w:val="007C7C06"/>
    <w:rsid w:val="007D004F"/>
    <w:rsid w:val="007D0B38"/>
    <w:rsid w:val="007D191E"/>
    <w:rsid w:val="007D1B88"/>
    <w:rsid w:val="007D3186"/>
    <w:rsid w:val="007D3F1D"/>
    <w:rsid w:val="007D42FA"/>
    <w:rsid w:val="007D4608"/>
    <w:rsid w:val="007D49EA"/>
    <w:rsid w:val="007D4C7B"/>
    <w:rsid w:val="007D5440"/>
    <w:rsid w:val="007D54CC"/>
    <w:rsid w:val="007D5F94"/>
    <w:rsid w:val="007D62C2"/>
    <w:rsid w:val="007D6588"/>
    <w:rsid w:val="007D7009"/>
    <w:rsid w:val="007E05EE"/>
    <w:rsid w:val="007E20C1"/>
    <w:rsid w:val="007E3667"/>
    <w:rsid w:val="007E46C2"/>
    <w:rsid w:val="007E4854"/>
    <w:rsid w:val="007E49FD"/>
    <w:rsid w:val="007E4AB8"/>
    <w:rsid w:val="007E4C8F"/>
    <w:rsid w:val="007E6732"/>
    <w:rsid w:val="007E6946"/>
    <w:rsid w:val="007E75C5"/>
    <w:rsid w:val="007E7B79"/>
    <w:rsid w:val="007F03C8"/>
    <w:rsid w:val="007F046C"/>
    <w:rsid w:val="007F0725"/>
    <w:rsid w:val="007F1017"/>
    <w:rsid w:val="007F2441"/>
    <w:rsid w:val="007F3C68"/>
    <w:rsid w:val="007F3E30"/>
    <w:rsid w:val="007F4A3F"/>
    <w:rsid w:val="007F4A61"/>
    <w:rsid w:val="007F5463"/>
    <w:rsid w:val="007F57B3"/>
    <w:rsid w:val="007F6115"/>
    <w:rsid w:val="007F61C2"/>
    <w:rsid w:val="00800018"/>
    <w:rsid w:val="0080014B"/>
    <w:rsid w:val="00800683"/>
    <w:rsid w:val="008016BF"/>
    <w:rsid w:val="00801AB5"/>
    <w:rsid w:val="008024E1"/>
    <w:rsid w:val="00802BBD"/>
    <w:rsid w:val="00802D10"/>
    <w:rsid w:val="008042A7"/>
    <w:rsid w:val="00804C97"/>
    <w:rsid w:val="00805142"/>
    <w:rsid w:val="00805454"/>
    <w:rsid w:val="00805847"/>
    <w:rsid w:val="0080692C"/>
    <w:rsid w:val="00806D4B"/>
    <w:rsid w:val="00807161"/>
    <w:rsid w:val="00807A8B"/>
    <w:rsid w:val="00807C6D"/>
    <w:rsid w:val="00810F48"/>
    <w:rsid w:val="00811383"/>
    <w:rsid w:val="008119AF"/>
    <w:rsid w:val="00812149"/>
    <w:rsid w:val="00812CAC"/>
    <w:rsid w:val="00813242"/>
    <w:rsid w:val="00814D66"/>
    <w:rsid w:val="0081519B"/>
    <w:rsid w:val="0081559F"/>
    <w:rsid w:val="00815C91"/>
    <w:rsid w:val="008166EF"/>
    <w:rsid w:val="008173A8"/>
    <w:rsid w:val="008175D6"/>
    <w:rsid w:val="00820794"/>
    <w:rsid w:val="00821292"/>
    <w:rsid w:val="008218ED"/>
    <w:rsid w:val="00822BBD"/>
    <w:rsid w:val="00823C3C"/>
    <w:rsid w:val="0082524B"/>
    <w:rsid w:val="008254B6"/>
    <w:rsid w:val="00825751"/>
    <w:rsid w:val="008264EB"/>
    <w:rsid w:val="00826D06"/>
    <w:rsid w:val="0082715D"/>
    <w:rsid w:val="008277F0"/>
    <w:rsid w:val="00830264"/>
    <w:rsid w:val="0083031A"/>
    <w:rsid w:val="008317AE"/>
    <w:rsid w:val="008317D0"/>
    <w:rsid w:val="00833B05"/>
    <w:rsid w:val="0083552B"/>
    <w:rsid w:val="008358F0"/>
    <w:rsid w:val="008362B4"/>
    <w:rsid w:val="00836A60"/>
    <w:rsid w:val="00836E61"/>
    <w:rsid w:val="00836EDF"/>
    <w:rsid w:val="00837835"/>
    <w:rsid w:val="008405B3"/>
    <w:rsid w:val="00840CA2"/>
    <w:rsid w:val="0084249A"/>
    <w:rsid w:val="00842731"/>
    <w:rsid w:val="00842D19"/>
    <w:rsid w:val="00842F54"/>
    <w:rsid w:val="008435F0"/>
    <w:rsid w:val="0084374F"/>
    <w:rsid w:val="00846191"/>
    <w:rsid w:val="00847DF5"/>
    <w:rsid w:val="00851432"/>
    <w:rsid w:val="008516D4"/>
    <w:rsid w:val="0085213A"/>
    <w:rsid w:val="0085309D"/>
    <w:rsid w:val="00853551"/>
    <w:rsid w:val="008536B2"/>
    <w:rsid w:val="008545C6"/>
    <w:rsid w:val="00854681"/>
    <w:rsid w:val="008551D8"/>
    <w:rsid w:val="00855678"/>
    <w:rsid w:val="0085685A"/>
    <w:rsid w:val="00856897"/>
    <w:rsid w:val="00856BC4"/>
    <w:rsid w:val="00856E9A"/>
    <w:rsid w:val="00857EA8"/>
    <w:rsid w:val="0086075D"/>
    <w:rsid w:val="00860B35"/>
    <w:rsid w:val="008619D1"/>
    <w:rsid w:val="00861A59"/>
    <w:rsid w:val="00861B24"/>
    <w:rsid w:val="00862502"/>
    <w:rsid w:val="008649D6"/>
    <w:rsid w:val="008659A0"/>
    <w:rsid w:val="008660D4"/>
    <w:rsid w:val="008670DA"/>
    <w:rsid w:val="00867480"/>
    <w:rsid w:val="00870465"/>
    <w:rsid w:val="00871FA9"/>
    <w:rsid w:val="008728E9"/>
    <w:rsid w:val="0087294B"/>
    <w:rsid w:val="008733F5"/>
    <w:rsid w:val="00873F27"/>
    <w:rsid w:val="00876FB3"/>
    <w:rsid w:val="00877670"/>
    <w:rsid w:val="008802C1"/>
    <w:rsid w:val="00880881"/>
    <w:rsid w:val="008812F1"/>
    <w:rsid w:val="00881316"/>
    <w:rsid w:val="00882874"/>
    <w:rsid w:val="00882D3B"/>
    <w:rsid w:val="00883787"/>
    <w:rsid w:val="008838F0"/>
    <w:rsid w:val="00883C40"/>
    <w:rsid w:val="00883CC5"/>
    <w:rsid w:val="00885D09"/>
    <w:rsid w:val="00885EA5"/>
    <w:rsid w:val="00886CD2"/>
    <w:rsid w:val="00886D1A"/>
    <w:rsid w:val="00887C06"/>
    <w:rsid w:val="00891AE5"/>
    <w:rsid w:val="00892A36"/>
    <w:rsid w:val="00893239"/>
    <w:rsid w:val="00894489"/>
    <w:rsid w:val="00894CDF"/>
    <w:rsid w:val="00895B41"/>
    <w:rsid w:val="008963A5"/>
    <w:rsid w:val="008968CC"/>
    <w:rsid w:val="008A24A0"/>
    <w:rsid w:val="008A3363"/>
    <w:rsid w:val="008A3371"/>
    <w:rsid w:val="008A3C3E"/>
    <w:rsid w:val="008A46E9"/>
    <w:rsid w:val="008A4BC6"/>
    <w:rsid w:val="008A554D"/>
    <w:rsid w:val="008A55E5"/>
    <w:rsid w:val="008A7476"/>
    <w:rsid w:val="008A79DE"/>
    <w:rsid w:val="008B01B2"/>
    <w:rsid w:val="008B13C9"/>
    <w:rsid w:val="008B1757"/>
    <w:rsid w:val="008B1D1A"/>
    <w:rsid w:val="008B2741"/>
    <w:rsid w:val="008B2A43"/>
    <w:rsid w:val="008B2F32"/>
    <w:rsid w:val="008B3AE4"/>
    <w:rsid w:val="008B462C"/>
    <w:rsid w:val="008B615F"/>
    <w:rsid w:val="008B7D7E"/>
    <w:rsid w:val="008C037B"/>
    <w:rsid w:val="008C06AD"/>
    <w:rsid w:val="008C1E55"/>
    <w:rsid w:val="008C371C"/>
    <w:rsid w:val="008C3AC3"/>
    <w:rsid w:val="008C4562"/>
    <w:rsid w:val="008C545A"/>
    <w:rsid w:val="008C759D"/>
    <w:rsid w:val="008C78A4"/>
    <w:rsid w:val="008C7ECB"/>
    <w:rsid w:val="008D0158"/>
    <w:rsid w:val="008D0821"/>
    <w:rsid w:val="008D1049"/>
    <w:rsid w:val="008D2212"/>
    <w:rsid w:val="008D3305"/>
    <w:rsid w:val="008D36F4"/>
    <w:rsid w:val="008D37E9"/>
    <w:rsid w:val="008D426E"/>
    <w:rsid w:val="008D4755"/>
    <w:rsid w:val="008D4C3D"/>
    <w:rsid w:val="008D5039"/>
    <w:rsid w:val="008D51CC"/>
    <w:rsid w:val="008D5F5E"/>
    <w:rsid w:val="008D611A"/>
    <w:rsid w:val="008D633D"/>
    <w:rsid w:val="008D64AE"/>
    <w:rsid w:val="008D67FD"/>
    <w:rsid w:val="008D6AA6"/>
    <w:rsid w:val="008D6D44"/>
    <w:rsid w:val="008D76BD"/>
    <w:rsid w:val="008E0D3C"/>
    <w:rsid w:val="008E0D98"/>
    <w:rsid w:val="008E1251"/>
    <w:rsid w:val="008E164E"/>
    <w:rsid w:val="008E1B9E"/>
    <w:rsid w:val="008E1EAC"/>
    <w:rsid w:val="008E3585"/>
    <w:rsid w:val="008E39B1"/>
    <w:rsid w:val="008E3F56"/>
    <w:rsid w:val="008E50DB"/>
    <w:rsid w:val="008E535A"/>
    <w:rsid w:val="008E548B"/>
    <w:rsid w:val="008E55AB"/>
    <w:rsid w:val="008E7EAF"/>
    <w:rsid w:val="008F0497"/>
    <w:rsid w:val="008F0579"/>
    <w:rsid w:val="008F08CC"/>
    <w:rsid w:val="008F0F3A"/>
    <w:rsid w:val="008F120A"/>
    <w:rsid w:val="008F1F41"/>
    <w:rsid w:val="008F27E0"/>
    <w:rsid w:val="008F3597"/>
    <w:rsid w:val="008F42D3"/>
    <w:rsid w:val="008F48EB"/>
    <w:rsid w:val="008F4C11"/>
    <w:rsid w:val="008F4F0B"/>
    <w:rsid w:val="008F530A"/>
    <w:rsid w:val="008F587F"/>
    <w:rsid w:val="008F5C8D"/>
    <w:rsid w:val="008F6E8A"/>
    <w:rsid w:val="00900E11"/>
    <w:rsid w:val="00900E18"/>
    <w:rsid w:val="009020B3"/>
    <w:rsid w:val="00902B1F"/>
    <w:rsid w:val="00903491"/>
    <w:rsid w:val="009046C4"/>
    <w:rsid w:val="00904F1F"/>
    <w:rsid w:val="00904FFB"/>
    <w:rsid w:val="009058D0"/>
    <w:rsid w:val="009062A5"/>
    <w:rsid w:val="009064B0"/>
    <w:rsid w:val="00906D22"/>
    <w:rsid w:val="00906E74"/>
    <w:rsid w:val="009106A7"/>
    <w:rsid w:val="00910A8F"/>
    <w:rsid w:val="00910F37"/>
    <w:rsid w:val="00911272"/>
    <w:rsid w:val="00911664"/>
    <w:rsid w:val="00911B18"/>
    <w:rsid w:val="00912CCB"/>
    <w:rsid w:val="009135D6"/>
    <w:rsid w:val="00913667"/>
    <w:rsid w:val="00914C77"/>
    <w:rsid w:val="00915283"/>
    <w:rsid w:val="00915A5F"/>
    <w:rsid w:val="0091600A"/>
    <w:rsid w:val="00916482"/>
    <w:rsid w:val="009167CE"/>
    <w:rsid w:val="00916C16"/>
    <w:rsid w:val="00917405"/>
    <w:rsid w:val="00917A33"/>
    <w:rsid w:val="009201A0"/>
    <w:rsid w:val="009211E4"/>
    <w:rsid w:val="00921863"/>
    <w:rsid w:val="00922313"/>
    <w:rsid w:val="0092369B"/>
    <w:rsid w:val="00924288"/>
    <w:rsid w:val="009258C3"/>
    <w:rsid w:val="00925C12"/>
    <w:rsid w:val="009264E6"/>
    <w:rsid w:val="00926767"/>
    <w:rsid w:val="0093012F"/>
    <w:rsid w:val="0093173A"/>
    <w:rsid w:val="009323EB"/>
    <w:rsid w:val="009324DC"/>
    <w:rsid w:val="00934795"/>
    <w:rsid w:val="0093516F"/>
    <w:rsid w:val="009355C4"/>
    <w:rsid w:val="0093586D"/>
    <w:rsid w:val="00936242"/>
    <w:rsid w:val="0093782D"/>
    <w:rsid w:val="00940129"/>
    <w:rsid w:val="00941E21"/>
    <w:rsid w:val="00941E70"/>
    <w:rsid w:val="0094258B"/>
    <w:rsid w:val="009427D6"/>
    <w:rsid w:val="00942DD5"/>
    <w:rsid w:val="00943F67"/>
    <w:rsid w:val="00944681"/>
    <w:rsid w:val="00945EB8"/>
    <w:rsid w:val="009474C4"/>
    <w:rsid w:val="00947804"/>
    <w:rsid w:val="00947BED"/>
    <w:rsid w:val="009500C5"/>
    <w:rsid w:val="009510A2"/>
    <w:rsid w:val="00951178"/>
    <w:rsid w:val="009515CE"/>
    <w:rsid w:val="00953257"/>
    <w:rsid w:val="009534AE"/>
    <w:rsid w:val="009535EB"/>
    <w:rsid w:val="00955DD0"/>
    <w:rsid w:val="009600E7"/>
    <w:rsid w:val="009603E5"/>
    <w:rsid w:val="0096096E"/>
    <w:rsid w:val="0096167F"/>
    <w:rsid w:val="00962CB9"/>
    <w:rsid w:val="00963EC6"/>
    <w:rsid w:val="00963FEB"/>
    <w:rsid w:val="00964312"/>
    <w:rsid w:val="00964AA8"/>
    <w:rsid w:val="009655E4"/>
    <w:rsid w:val="00965B8A"/>
    <w:rsid w:val="00965C7E"/>
    <w:rsid w:val="0096635C"/>
    <w:rsid w:val="009700E5"/>
    <w:rsid w:val="009717AC"/>
    <w:rsid w:val="00971B73"/>
    <w:rsid w:val="00972A2D"/>
    <w:rsid w:val="00973030"/>
    <w:rsid w:val="009759F9"/>
    <w:rsid w:val="009766FA"/>
    <w:rsid w:val="00976B27"/>
    <w:rsid w:val="00976F25"/>
    <w:rsid w:val="00981697"/>
    <w:rsid w:val="00983E57"/>
    <w:rsid w:val="00986327"/>
    <w:rsid w:val="0098675D"/>
    <w:rsid w:val="009901F3"/>
    <w:rsid w:val="0099214D"/>
    <w:rsid w:val="00992168"/>
    <w:rsid w:val="00992C5B"/>
    <w:rsid w:val="0099492F"/>
    <w:rsid w:val="00995049"/>
    <w:rsid w:val="00995456"/>
    <w:rsid w:val="0099663D"/>
    <w:rsid w:val="00996918"/>
    <w:rsid w:val="00996B1A"/>
    <w:rsid w:val="00996F27"/>
    <w:rsid w:val="00996F7F"/>
    <w:rsid w:val="00996F95"/>
    <w:rsid w:val="00997C73"/>
    <w:rsid w:val="00997FD4"/>
    <w:rsid w:val="009A06A5"/>
    <w:rsid w:val="009A1143"/>
    <w:rsid w:val="009A1282"/>
    <w:rsid w:val="009A1E2F"/>
    <w:rsid w:val="009A205F"/>
    <w:rsid w:val="009A2205"/>
    <w:rsid w:val="009A24D7"/>
    <w:rsid w:val="009A3DF5"/>
    <w:rsid w:val="009A3F87"/>
    <w:rsid w:val="009A5D90"/>
    <w:rsid w:val="009A769D"/>
    <w:rsid w:val="009A7B9A"/>
    <w:rsid w:val="009A7F10"/>
    <w:rsid w:val="009B10FC"/>
    <w:rsid w:val="009B1DD9"/>
    <w:rsid w:val="009B2738"/>
    <w:rsid w:val="009B2B00"/>
    <w:rsid w:val="009B32B0"/>
    <w:rsid w:val="009B3E26"/>
    <w:rsid w:val="009B3EBA"/>
    <w:rsid w:val="009B4AF0"/>
    <w:rsid w:val="009B4B7C"/>
    <w:rsid w:val="009B58EA"/>
    <w:rsid w:val="009B6F32"/>
    <w:rsid w:val="009B7035"/>
    <w:rsid w:val="009B7BD9"/>
    <w:rsid w:val="009C02E4"/>
    <w:rsid w:val="009C0765"/>
    <w:rsid w:val="009C09E8"/>
    <w:rsid w:val="009C10C7"/>
    <w:rsid w:val="009C1C12"/>
    <w:rsid w:val="009C2591"/>
    <w:rsid w:val="009C51B6"/>
    <w:rsid w:val="009C6A43"/>
    <w:rsid w:val="009C6CEA"/>
    <w:rsid w:val="009C7B85"/>
    <w:rsid w:val="009C7F59"/>
    <w:rsid w:val="009D0A05"/>
    <w:rsid w:val="009D2770"/>
    <w:rsid w:val="009D2811"/>
    <w:rsid w:val="009D2908"/>
    <w:rsid w:val="009D4237"/>
    <w:rsid w:val="009D4604"/>
    <w:rsid w:val="009D48DD"/>
    <w:rsid w:val="009D5B91"/>
    <w:rsid w:val="009D6AC9"/>
    <w:rsid w:val="009D6B12"/>
    <w:rsid w:val="009D6D00"/>
    <w:rsid w:val="009D792E"/>
    <w:rsid w:val="009E0320"/>
    <w:rsid w:val="009E0DFE"/>
    <w:rsid w:val="009E2508"/>
    <w:rsid w:val="009E2B64"/>
    <w:rsid w:val="009E34D1"/>
    <w:rsid w:val="009E43E1"/>
    <w:rsid w:val="009E47E8"/>
    <w:rsid w:val="009E4C07"/>
    <w:rsid w:val="009E57D2"/>
    <w:rsid w:val="009E62D4"/>
    <w:rsid w:val="009E6394"/>
    <w:rsid w:val="009F0DE6"/>
    <w:rsid w:val="009F1363"/>
    <w:rsid w:val="009F2224"/>
    <w:rsid w:val="009F3F52"/>
    <w:rsid w:val="009F515C"/>
    <w:rsid w:val="009F69AC"/>
    <w:rsid w:val="009F76C2"/>
    <w:rsid w:val="00A00837"/>
    <w:rsid w:val="00A01184"/>
    <w:rsid w:val="00A0195A"/>
    <w:rsid w:val="00A01DD9"/>
    <w:rsid w:val="00A02476"/>
    <w:rsid w:val="00A03D43"/>
    <w:rsid w:val="00A04380"/>
    <w:rsid w:val="00A069E4"/>
    <w:rsid w:val="00A06D38"/>
    <w:rsid w:val="00A06F09"/>
    <w:rsid w:val="00A100C2"/>
    <w:rsid w:val="00A10E82"/>
    <w:rsid w:val="00A11247"/>
    <w:rsid w:val="00A11CD0"/>
    <w:rsid w:val="00A13948"/>
    <w:rsid w:val="00A142BC"/>
    <w:rsid w:val="00A1468E"/>
    <w:rsid w:val="00A150A7"/>
    <w:rsid w:val="00A1555B"/>
    <w:rsid w:val="00A155C5"/>
    <w:rsid w:val="00A165D5"/>
    <w:rsid w:val="00A16AD8"/>
    <w:rsid w:val="00A176E3"/>
    <w:rsid w:val="00A20BF8"/>
    <w:rsid w:val="00A20D72"/>
    <w:rsid w:val="00A21CF3"/>
    <w:rsid w:val="00A21D72"/>
    <w:rsid w:val="00A21EDA"/>
    <w:rsid w:val="00A222A1"/>
    <w:rsid w:val="00A248E2"/>
    <w:rsid w:val="00A24A8F"/>
    <w:rsid w:val="00A257E8"/>
    <w:rsid w:val="00A26294"/>
    <w:rsid w:val="00A27833"/>
    <w:rsid w:val="00A27AEC"/>
    <w:rsid w:val="00A30259"/>
    <w:rsid w:val="00A31133"/>
    <w:rsid w:val="00A31585"/>
    <w:rsid w:val="00A31FF4"/>
    <w:rsid w:val="00A320DB"/>
    <w:rsid w:val="00A33D5F"/>
    <w:rsid w:val="00A35B9D"/>
    <w:rsid w:val="00A35D16"/>
    <w:rsid w:val="00A36660"/>
    <w:rsid w:val="00A3739C"/>
    <w:rsid w:val="00A37BCD"/>
    <w:rsid w:val="00A37CC4"/>
    <w:rsid w:val="00A37F2E"/>
    <w:rsid w:val="00A40BAB"/>
    <w:rsid w:val="00A410CA"/>
    <w:rsid w:val="00A42C94"/>
    <w:rsid w:val="00A43116"/>
    <w:rsid w:val="00A4388E"/>
    <w:rsid w:val="00A43C59"/>
    <w:rsid w:val="00A43D48"/>
    <w:rsid w:val="00A4521D"/>
    <w:rsid w:val="00A45BE1"/>
    <w:rsid w:val="00A46F2D"/>
    <w:rsid w:val="00A501A5"/>
    <w:rsid w:val="00A50635"/>
    <w:rsid w:val="00A50ECD"/>
    <w:rsid w:val="00A516D0"/>
    <w:rsid w:val="00A518F3"/>
    <w:rsid w:val="00A52729"/>
    <w:rsid w:val="00A5315E"/>
    <w:rsid w:val="00A53354"/>
    <w:rsid w:val="00A53675"/>
    <w:rsid w:val="00A54955"/>
    <w:rsid w:val="00A54E76"/>
    <w:rsid w:val="00A55698"/>
    <w:rsid w:val="00A55CEC"/>
    <w:rsid w:val="00A560D9"/>
    <w:rsid w:val="00A564D7"/>
    <w:rsid w:val="00A56B6A"/>
    <w:rsid w:val="00A56D82"/>
    <w:rsid w:val="00A56FB7"/>
    <w:rsid w:val="00A57716"/>
    <w:rsid w:val="00A578DC"/>
    <w:rsid w:val="00A613E6"/>
    <w:rsid w:val="00A61B88"/>
    <w:rsid w:val="00A62E90"/>
    <w:rsid w:val="00A6332B"/>
    <w:rsid w:val="00A63A8B"/>
    <w:rsid w:val="00A63FD1"/>
    <w:rsid w:val="00A64475"/>
    <w:rsid w:val="00A65193"/>
    <w:rsid w:val="00A65BE9"/>
    <w:rsid w:val="00A6646D"/>
    <w:rsid w:val="00A6725B"/>
    <w:rsid w:val="00A70605"/>
    <w:rsid w:val="00A71E04"/>
    <w:rsid w:val="00A73134"/>
    <w:rsid w:val="00A74361"/>
    <w:rsid w:val="00A75BCC"/>
    <w:rsid w:val="00A777B2"/>
    <w:rsid w:val="00A77B6A"/>
    <w:rsid w:val="00A80693"/>
    <w:rsid w:val="00A83B07"/>
    <w:rsid w:val="00A850C4"/>
    <w:rsid w:val="00A85133"/>
    <w:rsid w:val="00A8522C"/>
    <w:rsid w:val="00A85D03"/>
    <w:rsid w:val="00A86E8B"/>
    <w:rsid w:val="00A86EE2"/>
    <w:rsid w:val="00A87164"/>
    <w:rsid w:val="00A8766A"/>
    <w:rsid w:val="00A87C52"/>
    <w:rsid w:val="00A91357"/>
    <w:rsid w:val="00A9149B"/>
    <w:rsid w:val="00A916DC"/>
    <w:rsid w:val="00A92388"/>
    <w:rsid w:val="00A92DCA"/>
    <w:rsid w:val="00A93072"/>
    <w:rsid w:val="00A93749"/>
    <w:rsid w:val="00A93953"/>
    <w:rsid w:val="00A94340"/>
    <w:rsid w:val="00A9455B"/>
    <w:rsid w:val="00A95303"/>
    <w:rsid w:val="00A958AF"/>
    <w:rsid w:val="00A959D8"/>
    <w:rsid w:val="00A96556"/>
    <w:rsid w:val="00A9656E"/>
    <w:rsid w:val="00A96CE7"/>
    <w:rsid w:val="00A97837"/>
    <w:rsid w:val="00AA113D"/>
    <w:rsid w:val="00AA1512"/>
    <w:rsid w:val="00AA2019"/>
    <w:rsid w:val="00AA2B5C"/>
    <w:rsid w:val="00AA2E1D"/>
    <w:rsid w:val="00AA3AB2"/>
    <w:rsid w:val="00AA3E26"/>
    <w:rsid w:val="00AA3E71"/>
    <w:rsid w:val="00AA4DD3"/>
    <w:rsid w:val="00AA517C"/>
    <w:rsid w:val="00AA5FCA"/>
    <w:rsid w:val="00AA6552"/>
    <w:rsid w:val="00AA6C7D"/>
    <w:rsid w:val="00AA7043"/>
    <w:rsid w:val="00AA7946"/>
    <w:rsid w:val="00AA7FD6"/>
    <w:rsid w:val="00AB042A"/>
    <w:rsid w:val="00AB0A7B"/>
    <w:rsid w:val="00AB1860"/>
    <w:rsid w:val="00AB1913"/>
    <w:rsid w:val="00AB20D4"/>
    <w:rsid w:val="00AB2D34"/>
    <w:rsid w:val="00AB3430"/>
    <w:rsid w:val="00AB3F2C"/>
    <w:rsid w:val="00AB4AD1"/>
    <w:rsid w:val="00AB5178"/>
    <w:rsid w:val="00AB5C37"/>
    <w:rsid w:val="00AB6164"/>
    <w:rsid w:val="00AB7137"/>
    <w:rsid w:val="00AB7CFA"/>
    <w:rsid w:val="00AC1340"/>
    <w:rsid w:val="00AC156B"/>
    <w:rsid w:val="00AC159E"/>
    <w:rsid w:val="00AC1AF6"/>
    <w:rsid w:val="00AC3073"/>
    <w:rsid w:val="00AC3801"/>
    <w:rsid w:val="00AC4380"/>
    <w:rsid w:val="00AC5058"/>
    <w:rsid w:val="00AC5242"/>
    <w:rsid w:val="00AC5B48"/>
    <w:rsid w:val="00AC6CE9"/>
    <w:rsid w:val="00AC745C"/>
    <w:rsid w:val="00AC7D41"/>
    <w:rsid w:val="00AD255E"/>
    <w:rsid w:val="00AD261E"/>
    <w:rsid w:val="00AD50B2"/>
    <w:rsid w:val="00AD6437"/>
    <w:rsid w:val="00AD64AB"/>
    <w:rsid w:val="00AD6502"/>
    <w:rsid w:val="00AD6A2C"/>
    <w:rsid w:val="00AD6BA4"/>
    <w:rsid w:val="00AD6BD5"/>
    <w:rsid w:val="00AD6E3E"/>
    <w:rsid w:val="00AD711D"/>
    <w:rsid w:val="00AD7DC8"/>
    <w:rsid w:val="00AE01FD"/>
    <w:rsid w:val="00AE1B5D"/>
    <w:rsid w:val="00AE41DC"/>
    <w:rsid w:val="00AE5605"/>
    <w:rsid w:val="00AE6B0E"/>
    <w:rsid w:val="00AE6C34"/>
    <w:rsid w:val="00AE787B"/>
    <w:rsid w:val="00AF0125"/>
    <w:rsid w:val="00AF0153"/>
    <w:rsid w:val="00AF0B62"/>
    <w:rsid w:val="00AF0C8F"/>
    <w:rsid w:val="00AF0FBD"/>
    <w:rsid w:val="00AF0FE5"/>
    <w:rsid w:val="00AF1315"/>
    <w:rsid w:val="00AF18D3"/>
    <w:rsid w:val="00AF19BF"/>
    <w:rsid w:val="00AF2661"/>
    <w:rsid w:val="00AF2DC3"/>
    <w:rsid w:val="00AF2EFE"/>
    <w:rsid w:val="00AF39CC"/>
    <w:rsid w:val="00AF39E1"/>
    <w:rsid w:val="00AF4292"/>
    <w:rsid w:val="00AF47ED"/>
    <w:rsid w:val="00AF4A43"/>
    <w:rsid w:val="00AF4B53"/>
    <w:rsid w:val="00AF5A66"/>
    <w:rsid w:val="00AF7078"/>
    <w:rsid w:val="00B005C6"/>
    <w:rsid w:val="00B00628"/>
    <w:rsid w:val="00B01197"/>
    <w:rsid w:val="00B01D3E"/>
    <w:rsid w:val="00B02ADF"/>
    <w:rsid w:val="00B033E5"/>
    <w:rsid w:val="00B03A63"/>
    <w:rsid w:val="00B03C9F"/>
    <w:rsid w:val="00B04308"/>
    <w:rsid w:val="00B04EF9"/>
    <w:rsid w:val="00B05700"/>
    <w:rsid w:val="00B058E6"/>
    <w:rsid w:val="00B1042F"/>
    <w:rsid w:val="00B11152"/>
    <w:rsid w:val="00B11EC8"/>
    <w:rsid w:val="00B124AA"/>
    <w:rsid w:val="00B137D5"/>
    <w:rsid w:val="00B13E77"/>
    <w:rsid w:val="00B142BE"/>
    <w:rsid w:val="00B15F78"/>
    <w:rsid w:val="00B16288"/>
    <w:rsid w:val="00B16ECB"/>
    <w:rsid w:val="00B200D9"/>
    <w:rsid w:val="00B201A4"/>
    <w:rsid w:val="00B2085D"/>
    <w:rsid w:val="00B21234"/>
    <w:rsid w:val="00B213A6"/>
    <w:rsid w:val="00B22ABE"/>
    <w:rsid w:val="00B23283"/>
    <w:rsid w:val="00B24421"/>
    <w:rsid w:val="00B247A9"/>
    <w:rsid w:val="00B24DF6"/>
    <w:rsid w:val="00B2597F"/>
    <w:rsid w:val="00B26880"/>
    <w:rsid w:val="00B30B62"/>
    <w:rsid w:val="00B30C13"/>
    <w:rsid w:val="00B31FAB"/>
    <w:rsid w:val="00B3315E"/>
    <w:rsid w:val="00B33751"/>
    <w:rsid w:val="00B34FE2"/>
    <w:rsid w:val="00B35306"/>
    <w:rsid w:val="00B357D8"/>
    <w:rsid w:val="00B35FB3"/>
    <w:rsid w:val="00B37A11"/>
    <w:rsid w:val="00B37BFC"/>
    <w:rsid w:val="00B37FCF"/>
    <w:rsid w:val="00B40358"/>
    <w:rsid w:val="00B404C2"/>
    <w:rsid w:val="00B40B31"/>
    <w:rsid w:val="00B4116B"/>
    <w:rsid w:val="00B41614"/>
    <w:rsid w:val="00B42851"/>
    <w:rsid w:val="00B42F80"/>
    <w:rsid w:val="00B435CB"/>
    <w:rsid w:val="00B44B6E"/>
    <w:rsid w:val="00B4521D"/>
    <w:rsid w:val="00B45526"/>
    <w:rsid w:val="00B466F1"/>
    <w:rsid w:val="00B46747"/>
    <w:rsid w:val="00B47360"/>
    <w:rsid w:val="00B50DB8"/>
    <w:rsid w:val="00B512B1"/>
    <w:rsid w:val="00B518F6"/>
    <w:rsid w:val="00B51A32"/>
    <w:rsid w:val="00B525DF"/>
    <w:rsid w:val="00B5331E"/>
    <w:rsid w:val="00B53654"/>
    <w:rsid w:val="00B53905"/>
    <w:rsid w:val="00B53C31"/>
    <w:rsid w:val="00B5427A"/>
    <w:rsid w:val="00B54B5B"/>
    <w:rsid w:val="00B54D0E"/>
    <w:rsid w:val="00B550BC"/>
    <w:rsid w:val="00B5515E"/>
    <w:rsid w:val="00B5562E"/>
    <w:rsid w:val="00B55E9D"/>
    <w:rsid w:val="00B57000"/>
    <w:rsid w:val="00B57462"/>
    <w:rsid w:val="00B57BD1"/>
    <w:rsid w:val="00B6071B"/>
    <w:rsid w:val="00B60749"/>
    <w:rsid w:val="00B60939"/>
    <w:rsid w:val="00B60AFD"/>
    <w:rsid w:val="00B61B8E"/>
    <w:rsid w:val="00B62715"/>
    <w:rsid w:val="00B6279E"/>
    <w:rsid w:val="00B628DF"/>
    <w:rsid w:val="00B62BAD"/>
    <w:rsid w:val="00B631E4"/>
    <w:rsid w:val="00B633F1"/>
    <w:rsid w:val="00B63929"/>
    <w:rsid w:val="00B63D82"/>
    <w:rsid w:val="00B64062"/>
    <w:rsid w:val="00B649E5"/>
    <w:rsid w:val="00B65551"/>
    <w:rsid w:val="00B6589D"/>
    <w:rsid w:val="00B66786"/>
    <w:rsid w:val="00B7072C"/>
    <w:rsid w:val="00B71126"/>
    <w:rsid w:val="00B7174D"/>
    <w:rsid w:val="00B71EC6"/>
    <w:rsid w:val="00B7216A"/>
    <w:rsid w:val="00B72BC0"/>
    <w:rsid w:val="00B73301"/>
    <w:rsid w:val="00B7345D"/>
    <w:rsid w:val="00B74FF4"/>
    <w:rsid w:val="00B75397"/>
    <w:rsid w:val="00B75BEB"/>
    <w:rsid w:val="00B77100"/>
    <w:rsid w:val="00B818A4"/>
    <w:rsid w:val="00B8233C"/>
    <w:rsid w:val="00B83C92"/>
    <w:rsid w:val="00B84117"/>
    <w:rsid w:val="00B8550D"/>
    <w:rsid w:val="00B85AA2"/>
    <w:rsid w:val="00B85D5D"/>
    <w:rsid w:val="00B8649C"/>
    <w:rsid w:val="00B86FB8"/>
    <w:rsid w:val="00B8732B"/>
    <w:rsid w:val="00B87DC6"/>
    <w:rsid w:val="00B87F0A"/>
    <w:rsid w:val="00B9032F"/>
    <w:rsid w:val="00B9150A"/>
    <w:rsid w:val="00B9191D"/>
    <w:rsid w:val="00B929CA"/>
    <w:rsid w:val="00B92D0B"/>
    <w:rsid w:val="00B92F73"/>
    <w:rsid w:val="00B94945"/>
    <w:rsid w:val="00B9555D"/>
    <w:rsid w:val="00B963EF"/>
    <w:rsid w:val="00B97FBD"/>
    <w:rsid w:val="00BA14A1"/>
    <w:rsid w:val="00BA27AB"/>
    <w:rsid w:val="00BA2BF9"/>
    <w:rsid w:val="00BA2C40"/>
    <w:rsid w:val="00BA322D"/>
    <w:rsid w:val="00BA4AAE"/>
    <w:rsid w:val="00BA5248"/>
    <w:rsid w:val="00BA5ED7"/>
    <w:rsid w:val="00BA5F91"/>
    <w:rsid w:val="00BA6C9C"/>
    <w:rsid w:val="00BA757E"/>
    <w:rsid w:val="00BB03A3"/>
    <w:rsid w:val="00BB043D"/>
    <w:rsid w:val="00BB0BDD"/>
    <w:rsid w:val="00BB14AC"/>
    <w:rsid w:val="00BB18FB"/>
    <w:rsid w:val="00BB2A73"/>
    <w:rsid w:val="00BB30C4"/>
    <w:rsid w:val="00BB38D9"/>
    <w:rsid w:val="00BB3C24"/>
    <w:rsid w:val="00BB4ACC"/>
    <w:rsid w:val="00BB5A32"/>
    <w:rsid w:val="00BB61F2"/>
    <w:rsid w:val="00BB63DE"/>
    <w:rsid w:val="00BB6ECE"/>
    <w:rsid w:val="00BB703E"/>
    <w:rsid w:val="00BB7405"/>
    <w:rsid w:val="00BC0736"/>
    <w:rsid w:val="00BC18CE"/>
    <w:rsid w:val="00BC22B8"/>
    <w:rsid w:val="00BC2962"/>
    <w:rsid w:val="00BC3631"/>
    <w:rsid w:val="00BC3A14"/>
    <w:rsid w:val="00BC3A19"/>
    <w:rsid w:val="00BC584F"/>
    <w:rsid w:val="00BC7B2F"/>
    <w:rsid w:val="00BC7BDC"/>
    <w:rsid w:val="00BD0CC8"/>
    <w:rsid w:val="00BD1089"/>
    <w:rsid w:val="00BD15A1"/>
    <w:rsid w:val="00BD2F50"/>
    <w:rsid w:val="00BD2F7B"/>
    <w:rsid w:val="00BD3F40"/>
    <w:rsid w:val="00BD4AE9"/>
    <w:rsid w:val="00BD4B83"/>
    <w:rsid w:val="00BD68A3"/>
    <w:rsid w:val="00BD6938"/>
    <w:rsid w:val="00BD6CF3"/>
    <w:rsid w:val="00BD6D1A"/>
    <w:rsid w:val="00BD77E3"/>
    <w:rsid w:val="00BE0101"/>
    <w:rsid w:val="00BE044F"/>
    <w:rsid w:val="00BE04CF"/>
    <w:rsid w:val="00BE0FB1"/>
    <w:rsid w:val="00BE2180"/>
    <w:rsid w:val="00BE21F2"/>
    <w:rsid w:val="00BE330E"/>
    <w:rsid w:val="00BE4275"/>
    <w:rsid w:val="00BE5075"/>
    <w:rsid w:val="00BE5D59"/>
    <w:rsid w:val="00BE73F5"/>
    <w:rsid w:val="00BE77B9"/>
    <w:rsid w:val="00BE7A12"/>
    <w:rsid w:val="00BF0F95"/>
    <w:rsid w:val="00BF110F"/>
    <w:rsid w:val="00BF2433"/>
    <w:rsid w:val="00BF252A"/>
    <w:rsid w:val="00BF298E"/>
    <w:rsid w:val="00BF2B95"/>
    <w:rsid w:val="00BF3AA3"/>
    <w:rsid w:val="00BF3F96"/>
    <w:rsid w:val="00BF4BF1"/>
    <w:rsid w:val="00BF4EE9"/>
    <w:rsid w:val="00BF5175"/>
    <w:rsid w:val="00BF568D"/>
    <w:rsid w:val="00BF57C2"/>
    <w:rsid w:val="00BF61C9"/>
    <w:rsid w:val="00BF6C94"/>
    <w:rsid w:val="00BF7058"/>
    <w:rsid w:val="00BF76D0"/>
    <w:rsid w:val="00BF7C79"/>
    <w:rsid w:val="00BF7D08"/>
    <w:rsid w:val="00C001A3"/>
    <w:rsid w:val="00C00424"/>
    <w:rsid w:val="00C005D7"/>
    <w:rsid w:val="00C02426"/>
    <w:rsid w:val="00C04E69"/>
    <w:rsid w:val="00C064CF"/>
    <w:rsid w:val="00C065E4"/>
    <w:rsid w:val="00C0717B"/>
    <w:rsid w:val="00C073B8"/>
    <w:rsid w:val="00C07C74"/>
    <w:rsid w:val="00C07D1C"/>
    <w:rsid w:val="00C104C1"/>
    <w:rsid w:val="00C11031"/>
    <w:rsid w:val="00C11AFB"/>
    <w:rsid w:val="00C11BCB"/>
    <w:rsid w:val="00C11DB4"/>
    <w:rsid w:val="00C12928"/>
    <w:rsid w:val="00C12AF7"/>
    <w:rsid w:val="00C12C14"/>
    <w:rsid w:val="00C13911"/>
    <w:rsid w:val="00C13EC3"/>
    <w:rsid w:val="00C15D62"/>
    <w:rsid w:val="00C164A2"/>
    <w:rsid w:val="00C168C8"/>
    <w:rsid w:val="00C16BBE"/>
    <w:rsid w:val="00C16D08"/>
    <w:rsid w:val="00C17E79"/>
    <w:rsid w:val="00C200AA"/>
    <w:rsid w:val="00C20BD0"/>
    <w:rsid w:val="00C20EAA"/>
    <w:rsid w:val="00C20FA3"/>
    <w:rsid w:val="00C237ED"/>
    <w:rsid w:val="00C23DE5"/>
    <w:rsid w:val="00C242C1"/>
    <w:rsid w:val="00C24632"/>
    <w:rsid w:val="00C24C64"/>
    <w:rsid w:val="00C2519F"/>
    <w:rsid w:val="00C25418"/>
    <w:rsid w:val="00C25D9C"/>
    <w:rsid w:val="00C2778B"/>
    <w:rsid w:val="00C27D32"/>
    <w:rsid w:val="00C27E61"/>
    <w:rsid w:val="00C30E8A"/>
    <w:rsid w:val="00C31093"/>
    <w:rsid w:val="00C31649"/>
    <w:rsid w:val="00C324E3"/>
    <w:rsid w:val="00C3455B"/>
    <w:rsid w:val="00C374BF"/>
    <w:rsid w:val="00C37E23"/>
    <w:rsid w:val="00C37F6B"/>
    <w:rsid w:val="00C40385"/>
    <w:rsid w:val="00C40612"/>
    <w:rsid w:val="00C40914"/>
    <w:rsid w:val="00C42C59"/>
    <w:rsid w:val="00C43CA6"/>
    <w:rsid w:val="00C4434E"/>
    <w:rsid w:val="00C448EA"/>
    <w:rsid w:val="00C45343"/>
    <w:rsid w:val="00C458D1"/>
    <w:rsid w:val="00C4653B"/>
    <w:rsid w:val="00C46A80"/>
    <w:rsid w:val="00C471A3"/>
    <w:rsid w:val="00C475AA"/>
    <w:rsid w:val="00C47B94"/>
    <w:rsid w:val="00C50505"/>
    <w:rsid w:val="00C50C9F"/>
    <w:rsid w:val="00C516E6"/>
    <w:rsid w:val="00C51A3E"/>
    <w:rsid w:val="00C51A59"/>
    <w:rsid w:val="00C54671"/>
    <w:rsid w:val="00C550B0"/>
    <w:rsid w:val="00C56288"/>
    <w:rsid w:val="00C56EEA"/>
    <w:rsid w:val="00C57CFB"/>
    <w:rsid w:val="00C6126B"/>
    <w:rsid w:val="00C62E8C"/>
    <w:rsid w:val="00C63141"/>
    <w:rsid w:val="00C633BD"/>
    <w:rsid w:val="00C6344B"/>
    <w:rsid w:val="00C63EA0"/>
    <w:rsid w:val="00C64323"/>
    <w:rsid w:val="00C64C13"/>
    <w:rsid w:val="00C65576"/>
    <w:rsid w:val="00C65B4A"/>
    <w:rsid w:val="00C66165"/>
    <w:rsid w:val="00C66746"/>
    <w:rsid w:val="00C66851"/>
    <w:rsid w:val="00C713EA"/>
    <w:rsid w:val="00C7151A"/>
    <w:rsid w:val="00C71F60"/>
    <w:rsid w:val="00C72241"/>
    <w:rsid w:val="00C72618"/>
    <w:rsid w:val="00C728AC"/>
    <w:rsid w:val="00C728EE"/>
    <w:rsid w:val="00C749D5"/>
    <w:rsid w:val="00C750C8"/>
    <w:rsid w:val="00C7560F"/>
    <w:rsid w:val="00C80A0E"/>
    <w:rsid w:val="00C811D2"/>
    <w:rsid w:val="00C81A35"/>
    <w:rsid w:val="00C8213F"/>
    <w:rsid w:val="00C829B8"/>
    <w:rsid w:val="00C82B68"/>
    <w:rsid w:val="00C85E2A"/>
    <w:rsid w:val="00C85EEC"/>
    <w:rsid w:val="00C86C88"/>
    <w:rsid w:val="00C876B2"/>
    <w:rsid w:val="00C8797A"/>
    <w:rsid w:val="00C87ABC"/>
    <w:rsid w:val="00C87EA7"/>
    <w:rsid w:val="00C87F76"/>
    <w:rsid w:val="00C87FD4"/>
    <w:rsid w:val="00C900B8"/>
    <w:rsid w:val="00C9030E"/>
    <w:rsid w:val="00C90558"/>
    <w:rsid w:val="00C90C71"/>
    <w:rsid w:val="00C91F47"/>
    <w:rsid w:val="00C92296"/>
    <w:rsid w:val="00C92346"/>
    <w:rsid w:val="00C931CF"/>
    <w:rsid w:val="00C931F8"/>
    <w:rsid w:val="00C938CF"/>
    <w:rsid w:val="00C94AAA"/>
    <w:rsid w:val="00C94BC1"/>
    <w:rsid w:val="00C94E55"/>
    <w:rsid w:val="00C951B8"/>
    <w:rsid w:val="00C952F8"/>
    <w:rsid w:val="00C95459"/>
    <w:rsid w:val="00C9579E"/>
    <w:rsid w:val="00C95AE7"/>
    <w:rsid w:val="00C9624D"/>
    <w:rsid w:val="00C96258"/>
    <w:rsid w:val="00C9684D"/>
    <w:rsid w:val="00C969DA"/>
    <w:rsid w:val="00C9775E"/>
    <w:rsid w:val="00C978F5"/>
    <w:rsid w:val="00CA1E57"/>
    <w:rsid w:val="00CA28F1"/>
    <w:rsid w:val="00CA2C77"/>
    <w:rsid w:val="00CA364E"/>
    <w:rsid w:val="00CA40E3"/>
    <w:rsid w:val="00CA444F"/>
    <w:rsid w:val="00CA49C3"/>
    <w:rsid w:val="00CA5245"/>
    <w:rsid w:val="00CA55B3"/>
    <w:rsid w:val="00CA560C"/>
    <w:rsid w:val="00CA6858"/>
    <w:rsid w:val="00CA71F4"/>
    <w:rsid w:val="00CA7379"/>
    <w:rsid w:val="00CA73EA"/>
    <w:rsid w:val="00CA7B09"/>
    <w:rsid w:val="00CA7FAC"/>
    <w:rsid w:val="00CA7FC7"/>
    <w:rsid w:val="00CB05F2"/>
    <w:rsid w:val="00CB1A1A"/>
    <w:rsid w:val="00CB1A6E"/>
    <w:rsid w:val="00CB1BB5"/>
    <w:rsid w:val="00CB1F1E"/>
    <w:rsid w:val="00CB2F2A"/>
    <w:rsid w:val="00CB37B6"/>
    <w:rsid w:val="00CB3873"/>
    <w:rsid w:val="00CB3912"/>
    <w:rsid w:val="00CB39C2"/>
    <w:rsid w:val="00CB4528"/>
    <w:rsid w:val="00CB521E"/>
    <w:rsid w:val="00CB5549"/>
    <w:rsid w:val="00CB5A03"/>
    <w:rsid w:val="00CB5B1A"/>
    <w:rsid w:val="00CB641D"/>
    <w:rsid w:val="00CB6B22"/>
    <w:rsid w:val="00CB6F2D"/>
    <w:rsid w:val="00CB7F5F"/>
    <w:rsid w:val="00CC0885"/>
    <w:rsid w:val="00CC1B39"/>
    <w:rsid w:val="00CC2970"/>
    <w:rsid w:val="00CC2A26"/>
    <w:rsid w:val="00CC2A28"/>
    <w:rsid w:val="00CC580D"/>
    <w:rsid w:val="00CC5B12"/>
    <w:rsid w:val="00CC671D"/>
    <w:rsid w:val="00CC6F38"/>
    <w:rsid w:val="00CC719E"/>
    <w:rsid w:val="00CD0170"/>
    <w:rsid w:val="00CD077E"/>
    <w:rsid w:val="00CD0A15"/>
    <w:rsid w:val="00CD13C0"/>
    <w:rsid w:val="00CD194C"/>
    <w:rsid w:val="00CD2FD8"/>
    <w:rsid w:val="00CD33B9"/>
    <w:rsid w:val="00CD3F9F"/>
    <w:rsid w:val="00CD4028"/>
    <w:rsid w:val="00CD4F62"/>
    <w:rsid w:val="00CD6058"/>
    <w:rsid w:val="00CD605A"/>
    <w:rsid w:val="00CD6535"/>
    <w:rsid w:val="00CD6ADC"/>
    <w:rsid w:val="00CD6BE6"/>
    <w:rsid w:val="00CE00B1"/>
    <w:rsid w:val="00CE0D7E"/>
    <w:rsid w:val="00CE1546"/>
    <w:rsid w:val="00CE3168"/>
    <w:rsid w:val="00CE3FDA"/>
    <w:rsid w:val="00CE6170"/>
    <w:rsid w:val="00CE6274"/>
    <w:rsid w:val="00CE71DA"/>
    <w:rsid w:val="00CE74FA"/>
    <w:rsid w:val="00CF01B5"/>
    <w:rsid w:val="00CF0CE2"/>
    <w:rsid w:val="00CF1D7C"/>
    <w:rsid w:val="00CF2226"/>
    <w:rsid w:val="00CF261C"/>
    <w:rsid w:val="00CF2B8D"/>
    <w:rsid w:val="00CF2E4A"/>
    <w:rsid w:val="00CF31C0"/>
    <w:rsid w:val="00CF456B"/>
    <w:rsid w:val="00CF475F"/>
    <w:rsid w:val="00CF51C1"/>
    <w:rsid w:val="00CF52A4"/>
    <w:rsid w:val="00CF5A22"/>
    <w:rsid w:val="00CF5D40"/>
    <w:rsid w:val="00CF5F2D"/>
    <w:rsid w:val="00CF7125"/>
    <w:rsid w:val="00CF7F68"/>
    <w:rsid w:val="00D0089C"/>
    <w:rsid w:val="00D00F15"/>
    <w:rsid w:val="00D0262E"/>
    <w:rsid w:val="00D029CB"/>
    <w:rsid w:val="00D02E85"/>
    <w:rsid w:val="00D04E85"/>
    <w:rsid w:val="00D063BE"/>
    <w:rsid w:val="00D10DC3"/>
    <w:rsid w:val="00D11009"/>
    <w:rsid w:val="00D110BD"/>
    <w:rsid w:val="00D124E4"/>
    <w:rsid w:val="00D12774"/>
    <w:rsid w:val="00D12A06"/>
    <w:rsid w:val="00D12C50"/>
    <w:rsid w:val="00D131A0"/>
    <w:rsid w:val="00D13675"/>
    <w:rsid w:val="00D13D48"/>
    <w:rsid w:val="00D141E1"/>
    <w:rsid w:val="00D146BD"/>
    <w:rsid w:val="00D14D5C"/>
    <w:rsid w:val="00D15FAC"/>
    <w:rsid w:val="00D17D6C"/>
    <w:rsid w:val="00D17EEF"/>
    <w:rsid w:val="00D2015F"/>
    <w:rsid w:val="00D2026F"/>
    <w:rsid w:val="00D209AA"/>
    <w:rsid w:val="00D20A80"/>
    <w:rsid w:val="00D21A99"/>
    <w:rsid w:val="00D22457"/>
    <w:rsid w:val="00D22A54"/>
    <w:rsid w:val="00D22D3A"/>
    <w:rsid w:val="00D231C7"/>
    <w:rsid w:val="00D248DB"/>
    <w:rsid w:val="00D250FF"/>
    <w:rsid w:val="00D259D8"/>
    <w:rsid w:val="00D263B7"/>
    <w:rsid w:val="00D2754D"/>
    <w:rsid w:val="00D278D9"/>
    <w:rsid w:val="00D27B27"/>
    <w:rsid w:val="00D27D62"/>
    <w:rsid w:val="00D30EF0"/>
    <w:rsid w:val="00D31AA7"/>
    <w:rsid w:val="00D32DD5"/>
    <w:rsid w:val="00D334FD"/>
    <w:rsid w:val="00D33BE9"/>
    <w:rsid w:val="00D34EED"/>
    <w:rsid w:val="00D353E5"/>
    <w:rsid w:val="00D35639"/>
    <w:rsid w:val="00D357FF"/>
    <w:rsid w:val="00D35B27"/>
    <w:rsid w:val="00D3614F"/>
    <w:rsid w:val="00D37528"/>
    <w:rsid w:val="00D37A5E"/>
    <w:rsid w:val="00D42225"/>
    <w:rsid w:val="00D424C7"/>
    <w:rsid w:val="00D434E0"/>
    <w:rsid w:val="00D43B2A"/>
    <w:rsid w:val="00D45218"/>
    <w:rsid w:val="00D457A9"/>
    <w:rsid w:val="00D45C53"/>
    <w:rsid w:val="00D45ECA"/>
    <w:rsid w:val="00D46FB3"/>
    <w:rsid w:val="00D47127"/>
    <w:rsid w:val="00D4712D"/>
    <w:rsid w:val="00D47289"/>
    <w:rsid w:val="00D47575"/>
    <w:rsid w:val="00D50AE0"/>
    <w:rsid w:val="00D53908"/>
    <w:rsid w:val="00D54F54"/>
    <w:rsid w:val="00D5560C"/>
    <w:rsid w:val="00D55CB3"/>
    <w:rsid w:val="00D5635F"/>
    <w:rsid w:val="00D607BB"/>
    <w:rsid w:val="00D6081E"/>
    <w:rsid w:val="00D624B1"/>
    <w:rsid w:val="00D633BE"/>
    <w:rsid w:val="00D633D8"/>
    <w:rsid w:val="00D63AD3"/>
    <w:rsid w:val="00D64154"/>
    <w:rsid w:val="00D65698"/>
    <w:rsid w:val="00D6586B"/>
    <w:rsid w:val="00D65BA6"/>
    <w:rsid w:val="00D66B9B"/>
    <w:rsid w:val="00D67294"/>
    <w:rsid w:val="00D67BE9"/>
    <w:rsid w:val="00D70BF9"/>
    <w:rsid w:val="00D70F16"/>
    <w:rsid w:val="00D71834"/>
    <w:rsid w:val="00D71A5B"/>
    <w:rsid w:val="00D72E52"/>
    <w:rsid w:val="00D737B8"/>
    <w:rsid w:val="00D73B26"/>
    <w:rsid w:val="00D740AC"/>
    <w:rsid w:val="00D751B4"/>
    <w:rsid w:val="00D75467"/>
    <w:rsid w:val="00D76A44"/>
    <w:rsid w:val="00D76F3B"/>
    <w:rsid w:val="00D77104"/>
    <w:rsid w:val="00D80295"/>
    <w:rsid w:val="00D815EF"/>
    <w:rsid w:val="00D81FB6"/>
    <w:rsid w:val="00D82C27"/>
    <w:rsid w:val="00D862B7"/>
    <w:rsid w:val="00D87274"/>
    <w:rsid w:val="00D90E95"/>
    <w:rsid w:val="00D91923"/>
    <w:rsid w:val="00D91EAA"/>
    <w:rsid w:val="00D92795"/>
    <w:rsid w:val="00D93058"/>
    <w:rsid w:val="00D931BA"/>
    <w:rsid w:val="00D93350"/>
    <w:rsid w:val="00D93753"/>
    <w:rsid w:val="00D938BB"/>
    <w:rsid w:val="00D943F6"/>
    <w:rsid w:val="00D95235"/>
    <w:rsid w:val="00D95A4F"/>
    <w:rsid w:val="00D96A37"/>
    <w:rsid w:val="00D972DD"/>
    <w:rsid w:val="00D97308"/>
    <w:rsid w:val="00D975E6"/>
    <w:rsid w:val="00D976C5"/>
    <w:rsid w:val="00DA18EF"/>
    <w:rsid w:val="00DA3167"/>
    <w:rsid w:val="00DA4790"/>
    <w:rsid w:val="00DA4DC3"/>
    <w:rsid w:val="00DA5334"/>
    <w:rsid w:val="00DA59B4"/>
    <w:rsid w:val="00DA5A9F"/>
    <w:rsid w:val="00DA5C58"/>
    <w:rsid w:val="00DA77A5"/>
    <w:rsid w:val="00DA795B"/>
    <w:rsid w:val="00DB06BE"/>
    <w:rsid w:val="00DB203B"/>
    <w:rsid w:val="00DB2399"/>
    <w:rsid w:val="00DB2D05"/>
    <w:rsid w:val="00DB44E0"/>
    <w:rsid w:val="00DB484F"/>
    <w:rsid w:val="00DB4F5B"/>
    <w:rsid w:val="00DB5104"/>
    <w:rsid w:val="00DB5C7A"/>
    <w:rsid w:val="00DB7355"/>
    <w:rsid w:val="00DB7A63"/>
    <w:rsid w:val="00DC0184"/>
    <w:rsid w:val="00DC04F6"/>
    <w:rsid w:val="00DC1BE7"/>
    <w:rsid w:val="00DC2C5E"/>
    <w:rsid w:val="00DC32F2"/>
    <w:rsid w:val="00DC358F"/>
    <w:rsid w:val="00DC3C57"/>
    <w:rsid w:val="00DC3DEE"/>
    <w:rsid w:val="00DC4D43"/>
    <w:rsid w:val="00DC5501"/>
    <w:rsid w:val="00DC576B"/>
    <w:rsid w:val="00DC6194"/>
    <w:rsid w:val="00DC62A7"/>
    <w:rsid w:val="00DC64DB"/>
    <w:rsid w:val="00DC67A5"/>
    <w:rsid w:val="00DD0691"/>
    <w:rsid w:val="00DD18A1"/>
    <w:rsid w:val="00DD273C"/>
    <w:rsid w:val="00DD366E"/>
    <w:rsid w:val="00DD3C23"/>
    <w:rsid w:val="00DD3F28"/>
    <w:rsid w:val="00DD4108"/>
    <w:rsid w:val="00DD4537"/>
    <w:rsid w:val="00DD4E15"/>
    <w:rsid w:val="00DD5DB6"/>
    <w:rsid w:val="00DD5E4C"/>
    <w:rsid w:val="00DD5EED"/>
    <w:rsid w:val="00DD67CF"/>
    <w:rsid w:val="00DE089F"/>
    <w:rsid w:val="00DE0CCB"/>
    <w:rsid w:val="00DE108E"/>
    <w:rsid w:val="00DE20FA"/>
    <w:rsid w:val="00DE2442"/>
    <w:rsid w:val="00DE3138"/>
    <w:rsid w:val="00DE37F8"/>
    <w:rsid w:val="00DE4125"/>
    <w:rsid w:val="00DE4197"/>
    <w:rsid w:val="00DE440B"/>
    <w:rsid w:val="00DE4A2E"/>
    <w:rsid w:val="00DE4FCB"/>
    <w:rsid w:val="00DE6132"/>
    <w:rsid w:val="00DE6541"/>
    <w:rsid w:val="00DE7253"/>
    <w:rsid w:val="00DE7832"/>
    <w:rsid w:val="00DF0A9B"/>
    <w:rsid w:val="00DF127A"/>
    <w:rsid w:val="00DF18FC"/>
    <w:rsid w:val="00DF20E4"/>
    <w:rsid w:val="00DF3B6A"/>
    <w:rsid w:val="00DF3B8B"/>
    <w:rsid w:val="00DF3FB5"/>
    <w:rsid w:val="00DF4302"/>
    <w:rsid w:val="00DF47EF"/>
    <w:rsid w:val="00DF5D2B"/>
    <w:rsid w:val="00DF638D"/>
    <w:rsid w:val="00DF6464"/>
    <w:rsid w:val="00DF6E5C"/>
    <w:rsid w:val="00DF7D27"/>
    <w:rsid w:val="00E00E08"/>
    <w:rsid w:val="00E00E8E"/>
    <w:rsid w:val="00E01940"/>
    <w:rsid w:val="00E019ED"/>
    <w:rsid w:val="00E01E11"/>
    <w:rsid w:val="00E022ED"/>
    <w:rsid w:val="00E03B96"/>
    <w:rsid w:val="00E04546"/>
    <w:rsid w:val="00E05630"/>
    <w:rsid w:val="00E0577D"/>
    <w:rsid w:val="00E05B6F"/>
    <w:rsid w:val="00E06338"/>
    <w:rsid w:val="00E06DBB"/>
    <w:rsid w:val="00E06E8A"/>
    <w:rsid w:val="00E06F40"/>
    <w:rsid w:val="00E0792B"/>
    <w:rsid w:val="00E10149"/>
    <w:rsid w:val="00E10E07"/>
    <w:rsid w:val="00E1285D"/>
    <w:rsid w:val="00E1464F"/>
    <w:rsid w:val="00E14B0E"/>
    <w:rsid w:val="00E152D1"/>
    <w:rsid w:val="00E16372"/>
    <w:rsid w:val="00E17834"/>
    <w:rsid w:val="00E20E4D"/>
    <w:rsid w:val="00E20ED6"/>
    <w:rsid w:val="00E21358"/>
    <w:rsid w:val="00E2249B"/>
    <w:rsid w:val="00E22A0D"/>
    <w:rsid w:val="00E235CA"/>
    <w:rsid w:val="00E2396E"/>
    <w:rsid w:val="00E2432A"/>
    <w:rsid w:val="00E24389"/>
    <w:rsid w:val="00E2486F"/>
    <w:rsid w:val="00E24FD2"/>
    <w:rsid w:val="00E25ABC"/>
    <w:rsid w:val="00E26778"/>
    <w:rsid w:val="00E267B3"/>
    <w:rsid w:val="00E2771E"/>
    <w:rsid w:val="00E2799F"/>
    <w:rsid w:val="00E27D31"/>
    <w:rsid w:val="00E300B0"/>
    <w:rsid w:val="00E300FA"/>
    <w:rsid w:val="00E304D1"/>
    <w:rsid w:val="00E30AA2"/>
    <w:rsid w:val="00E31B5D"/>
    <w:rsid w:val="00E329A9"/>
    <w:rsid w:val="00E330A7"/>
    <w:rsid w:val="00E33F28"/>
    <w:rsid w:val="00E34896"/>
    <w:rsid w:val="00E34948"/>
    <w:rsid w:val="00E34E14"/>
    <w:rsid w:val="00E37569"/>
    <w:rsid w:val="00E37EF4"/>
    <w:rsid w:val="00E37F92"/>
    <w:rsid w:val="00E4023B"/>
    <w:rsid w:val="00E41CF1"/>
    <w:rsid w:val="00E41E30"/>
    <w:rsid w:val="00E4248F"/>
    <w:rsid w:val="00E42A69"/>
    <w:rsid w:val="00E42A72"/>
    <w:rsid w:val="00E434E8"/>
    <w:rsid w:val="00E43954"/>
    <w:rsid w:val="00E43B41"/>
    <w:rsid w:val="00E43D70"/>
    <w:rsid w:val="00E43DDB"/>
    <w:rsid w:val="00E442F4"/>
    <w:rsid w:val="00E44FE2"/>
    <w:rsid w:val="00E4599F"/>
    <w:rsid w:val="00E45FD7"/>
    <w:rsid w:val="00E466F3"/>
    <w:rsid w:val="00E47B2C"/>
    <w:rsid w:val="00E47E28"/>
    <w:rsid w:val="00E47E4A"/>
    <w:rsid w:val="00E47F04"/>
    <w:rsid w:val="00E50802"/>
    <w:rsid w:val="00E50BB2"/>
    <w:rsid w:val="00E51104"/>
    <w:rsid w:val="00E51560"/>
    <w:rsid w:val="00E51941"/>
    <w:rsid w:val="00E53279"/>
    <w:rsid w:val="00E536BA"/>
    <w:rsid w:val="00E54347"/>
    <w:rsid w:val="00E55424"/>
    <w:rsid w:val="00E5544F"/>
    <w:rsid w:val="00E55BB5"/>
    <w:rsid w:val="00E56380"/>
    <w:rsid w:val="00E565D7"/>
    <w:rsid w:val="00E56D27"/>
    <w:rsid w:val="00E57C1F"/>
    <w:rsid w:val="00E60560"/>
    <w:rsid w:val="00E6446E"/>
    <w:rsid w:val="00E649A1"/>
    <w:rsid w:val="00E65E79"/>
    <w:rsid w:val="00E66BA2"/>
    <w:rsid w:val="00E6733E"/>
    <w:rsid w:val="00E67416"/>
    <w:rsid w:val="00E678F3"/>
    <w:rsid w:val="00E718B6"/>
    <w:rsid w:val="00E71DD6"/>
    <w:rsid w:val="00E71EDF"/>
    <w:rsid w:val="00E723BA"/>
    <w:rsid w:val="00E73581"/>
    <w:rsid w:val="00E7571E"/>
    <w:rsid w:val="00E773B1"/>
    <w:rsid w:val="00E8076F"/>
    <w:rsid w:val="00E81614"/>
    <w:rsid w:val="00E81D73"/>
    <w:rsid w:val="00E81DCD"/>
    <w:rsid w:val="00E82EC8"/>
    <w:rsid w:val="00E833F7"/>
    <w:rsid w:val="00E83BDF"/>
    <w:rsid w:val="00E83DAD"/>
    <w:rsid w:val="00E84197"/>
    <w:rsid w:val="00E84839"/>
    <w:rsid w:val="00E84E52"/>
    <w:rsid w:val="00E87A1D"/>
    <w:rsid w:val="00E87D6F"/>
    <w:rsid w:val="00E87F6C"/>
    <w:rsid w:val="00E9190A"/>
    <w:rsid w:val="00E92129"/>
    <w:rsid w:val="00E92286"/>
    <w:rsid w:val="00E926A5"/>
    <w:rsid w:val="00E93770"/>
    <w:rsid w:val="00E9407E"/>
    <w:rsid w:val="00E976A0"/>
    <w:rsid w:val="00E9785B"/>
    <w:rsid w:val="00E97C41"/>
    <w:rsid w:val="00EA09BB"/>
    <w:rsid w:val="00EA0A10"/>
    <w:rsid w:val="00EA0A22"/>
    <w:rsid w:val="00EA17C3"/>
    <w:rsid w:val="00EA19D1"/>
    <w:rsid w:val="00EA255F"/>
    <w:rsid w:val="00EA2CAA"/>
    <w:rsid w:val="00EA2EEF"/>
    <w:rsid w:val="00EA3864"/>
    <w:rsid w:val="00EA387E"/>
    <w:rsid w:val="00EA3A1F"/>
    <w:rsid w:val="00EA4181"/>
    <w:rsid w:val="00EA427C"/>
    <w:rsid w:val="00EA4B80"/>
    <w:rsid w:val="00EA4FEE"/>
    <w:rsid w:val="00EA535D"/>
    <w:rsid w:val="00EA64DD"/>
    <w:rsid w:val="00EA7439"/>
    <w:rsid w:val="00EA79CC"/>
    <w:rsid w:val="00EB05E0"/>
    <w:rsid w:val="00EB076A"/>
    <w:rsid w:val="00EB08DB"/>
    <w:rsid w:val="00EB13E1"/>
    <w:rsid w:val="00EB15B6"/>
    <w:rsid w:val="00EB1CAB"/>
    <w:rsid w:val="00EB2BA4"/>
    <w:rsid w:val="00EB3D0D"/>
    <w:rsid w:val="00EB4699"/>
    <w:rsid w:val="00EB4916"/>
    <w:rsid w:val="00EB4FF8"/>
    <w:rsid w:val="00EB5599"/>
    <w:rsid w:val="00EB585B"/>
    <w:rsid w:val="00EB65DE"/>
    <w:rsid w:val="00EB6D41"/>
    <w:rsid w:val="00EB75B2"/>
    <w:rsid w:val="00EC00C9"/>
    <w:rsid w:val="00EC1377"/>
    <w:rsid w:val="00EC1D28"/>
    <w:rsid w:val="00EC2649"/>
    <w:rsid w:val="00EC27C4"/>
    <w:rsid w:val="00EC38A2"/>
    <w:rsid w:val="00EC4F93"/>
    <w:rsid w:val="00EC5635"/>
    <w:rsid w:val="00EC7EA4"/>
    <w:rsid w:val="00ED009C"/>
    <w:rsid w:val="00ED0131"/>
    <w:rsid w:val="00ED024A"/>
    <w:rsid w:val="00ED0A95"/>
    <w:rsid w:val="00ED0F7F"/>
    <w:rsid w:val="00ED186D"/>
    <w:rsid w:val="00ED19D3"/>
    <w:rsid w:val="00ED1A3A"/>
    <w:rsid w:val="00ED1D7D"/>
    <w:rsid w:val="00ED211C"/>
    <w:rsid w:val="00ED3D84"/>
    <w:rsid w:val="00ED4CD8"/>
    <w:rsid w:val="00ED537F"/>
    <w:rsid w:val="00ED56E3"/>
    <w:rsid w:val="00ED57EA"/>
    <w:rsid w:val="00ED6DFB"/>
    <w:rsid w:val="00ED7CCA"/>
    <w:rsid w:val="00ED7ED6"/>
    <w:rsid w:val="00ED7F07"/>
    <w:rsid w:val="00EE01B1"/>
    <w:rsid w:val="00EE0630"/>
    <w:rsid w:val="00EE07D3"/>
    <w:rsid w:val="00EE1E14"/>
    <w:rsid w:val="00EE210C"/>
    <w:rsid w:val="00EE22AF"/>
    <w:rsid w:val="00EE242E"/>
    <w:rsid w:val="00EE26A9"/>
    <w:rsid w:val="00EE3B0E"/>
    <w:rsid w:val="00EE51DE"/>
    <w:rsid w:val="00EE5B93"/>
    <w:rsid w:val="00EE66A3"/>
    <w:rsid w:val="00EE6B77"/>
    <w:rsid w:val="00EE6E68"/>
    <w:rsid w:val="00EE7812"/>
    <w:rsid w:val="00EF0171"/>
    <w:rsid w:val="00EF0613"/>
    <w:rsid w:val="00EF0B0A"/>
    <w:rsid w:val="00EF110B"/>
    <w:rsid w:val="00EF1B25"/>
    <w:rsid w:val="00EF20D6"/>
    <w:rsid w:val="00EF4747"/>
    <w:rsid w:val="00EF4BF8"/>
    <w:rsid w:val="00EF5100"/>
    <w:rsid w:val="00EF5605"/>
    <w:rsid w:val="00EF5ACD"/>
    <w:rsid w:val="00EF5B0D"/>
    <w:rsid w:val="00EF6324"/>
    <w:rsid w:val="00EF7CE8"/>
    <w:rsid w:val="00EF7F33"/>
    <w:rsid w:val="00F009D5"/>
    <w:rsid w:val="00F010FB"/>
    <w:rsid w:val="00F01E0E"/>
    <w:rsid w:val="00F02253"/>
    <w:rsid w:val="00F03123"/>
    <w:rsid w:val="00F0330C"/>
    <w:rsid w:val="00F03C2E"/>
    <w:rsid w:val="00F04306"/>
    <w:rsid w:val="00F04A66"/>
    <w:rsid w:val="00F04DBE"/>
    <w:rsid w:val="00F050C1"/>
    <w:rsid w:val="00F0516C"/>
    <w:rsid w:val="00F05170"/>
    <w:rsid w:val="00F05B38"/>
    <w:rsid w:val="00F05B40"/>
    <w:rsid w:val="00F05F5C"/>
    <w:rsid w:val="00F0626C"/>
    <w:rsid w:val="00F067A2"/>
    <w:rsid w:val="00F067E3"/>
    <w:rsid w:val="00F06DE6"/>
    <w:rsid w:val="00F0785F"/>
    <w:rsid w:val="00F10B68"/>
    <w:rsid w:val="00F1263A"/>
    <w:rsid w:val="00F1270A"/>
    <w:rsid w:val="00F12B91"/>
    <w:rsid w:val="00F13FBF"/>
    <w:rsid w:val="00F14F95"/>
    <w:rsid w:val="00F152A7"/>
    <w:rsid w:val="00F15F7A"/>
    <w:rsid w:val="00F16E65"/>
    <w:rsid w:val="00F17799"/>
    <w:rsid w:val="00F17838"/>
    <w:rsid w:val="00F1795E"/>
    <w:rsid w:val="00F17EDA"/>
    <w:rsid w:val="00F2071C"/>
    <w:rsid w:val="00F23A10"/>
    <w:rsid w:val="00F23B62"/>
    <w:rsid w:val="00F23E9B"/>
    <w:rsid w:val="00F24837"/>
    <w:rsid w:val="00F2575F"/>
    <w:rsid w:val="00F26B2D"/>
    <w:rsid w:val="00F27565"/>
    <w:rsid w:val="00F278EA"/>
    <w:rsid w:val="00F30D09"/>
    <w:rsid w:val="00F310D4"/>
    <w:rsid w:val="00F31AAA"/>
    <w:rsid w:val="00F31D5A"/>
    <w:rsid w:val="00F31DE2"/>
    <w:rsid w:val="00F32793"/>
    <w:rsid w:val="00F3392A"/>
    <w:rsid w:val="00F33DE9"/>
    <w:rsid w:val="00F347FA"/>
    <w:rsid w:val="00F34E1F"/>
    <w:rsid w:val="00F35311"/>
    <w:rsid w:val="00F355E5"/>
    <w:rsid w:val="00F35B6F"/>
    <w:rsid w:val="00F3619A"/>
    <w:rsid w:val="00F365F6"/>
    <w:rsid w:val="00F370FA"/>
    <w:rsid w:val="00F374CC"/>
    <w:rsid w:val="00F37C72"/>
    <w:rsid w:val="00F40656"/>
    <w:rsid w:val="00F40AAA"/>
    <w:rsid w:val="00F40BA7"/>
    <w:rsid w:val="00F40F0F"/>
    <w:rsid w:val="00F425DE"/>
    <w:rsid w:val="00F4374D"/>
    <w:rsid w:val="00F43CB6"/>
    <w:rsid w:val="00F43E36"/>
    <w:rsid w:val="00F44C69"/>
    <w:rsid w:val="00F45504"/>
    <w:rsid w:val="00F464C2"/>
    <w:rsid w:val="00F46A15"/>
    <w:rsid w:val="00F46CB6"/>
    <w:rsid w:val="00F47DE8"/>
    <w:rsid w:val="00F503BD"/>
    <w:rsid w:val="00F50493"/>
    <w:rsid w:val="00F518A2"/>
    <w:rsid w:val="00F53FB1"/>
    <w:rsid w:val="00F542C1"/>
    <w:rsid w:val="00F545CE"/>
    <w:rsid w:val="00F5575E"/>
    <w:rsid w:val="00F55D6A"/>
    <w:rsid w:val="00F55E73"/>
    <w:rsid w:val="00F55EDA"/>
    <w:rsid w:val="00F562A4"/>
    <w:rsid w:val="00F5663A"/>
    <w:rsid w:val="00F56E51"/>
    <w:rsid w:val="00F577F3"/>
    <w:rsid w:val="00F57BA7"/>
    <w:rsid w:val="00F57BD5"/>
    <w:rsid w:val="00F60092"/>
    <w:rsid w:val="00F60CE6"/>
    <w:rsid w:val="00F619D8"/>
    <w:rsid w:val="00F61A04"/>
    <w:rsid w:val="00F62B00"/>
    <w:rsid w:val="00F62DB2"/>
    <w:rsid w:val="00F63824"/>
    <w:rsid w:val="00F64F48"/>
    <w:rsid w:val="00F65574"/>
    <w:rsid w:val="00F65F4B"/>
    <w:rsid w:val="00F663E9"/>
    <w:rsid w:val="00F67B10"/>
    <w:rsid w:val="00F70746"/>
    <w:rsid w:val="00F70B29"/>
    <w:rsid w:val="00F70C9D"/>
    <w:rsid w:val="00F70CAB"/>
    <w:rsid w:val="00F74A7D"/>
    <w:rsid w:val="00F74BE5"/>
    <w:rsid w:val="00F74CD9"/>
    <w:rsid w:val="00F7520E"/>
    <w:rsid w:val="00F7730C"/>
    <w:rsid w:val="00F77902"/>
    <w:rsid w:val="00F77D87"/>
    <w:rsid w:val="00F77F34"/>
    <w:rsid w:val="00F805FE"/>
    <w:rsid w:val="00F80A7B"/>
    <w:rsid w:val="00F80E5D"/>
    <w:rsid w:val="00F810FF"/>
    <w:rsid w:val="00F8143C"/>
    <w:rsid w:val="00F81B92"/>
    <w:rsid w:val="00F82B5C"/>
    <w:rsid w:val="00F84080"/>
    <w:rsid w:val="00F849E1"/>
    <w:rsid w:val="00F851CE"/>
    <w:rsid w:val="00F85A5F"/>
    <w:rsid w:val="00F863C2"/>
    <w:rsid w:val="00F867A9"/>
    <w:rsid w:val="00F86B32"/>
    <w:rsid w:val="00F86CD3"/>
    <w:rsid w:val="00F873A7"/>
    <w:rsid w:val="00F87B9B"/>
    <w:rsid w:val="00F91219"/>
    <w:rsid w:val="00F912F6"/>
    <w:rsid w:val="00F918E5"/>
    <w:rsid w:val="00F91C60"/>
    <w:rsid w:val="00F91D5E"/>
    <w:rsid w:val="00F93BB0"/>
    <w:rsid w:val="00F94270"/>
    <w:rsid w:val="00F94825"/>
    <w:rsid w:val="00F95AB7"/>
    <w:rsid w:val="00F96932"/>
    <w:rsid w:val="00F97A78"/>
    <w:rsid w:val="00FA0474"/>
    <w:rsid w:val="00FA0B20"/>
    <w:rsid w:val="00FA1B4A"/>
    <w:rsid w:val="00FA23B3"/>
    <w:rsid w:val="00FA24E7"/>
    <w:rsid w:val="00FA3042"/>
    <w:rsid w:val="00FA6363"/>
    <w:rsid w:val="00FB15E4"/>
    <w:rsid w:val="00FB206B"/>
    <w:rsid w:val="00FB2E9B"/>
    <w:rsid w:val="00FB2FCB"/>
    <w:rsid w:val="00FB3AEC"/>
    <w:rsid w:val="00FB4813"/>
    <w:rsid w:val="00FB55C0"/>
    <w:rsid w:val="00FB6E47"/>
    <w:rsid w:val="00FB7112"/>
    <w:rsid w:val="00FB77E0"/>
    <w:rsid w:val="00FC0FB4"/>
    <w:rsid w:val="00FC1074"/>
    <w:rsid w:val="00FC1173"/>
    <w:rsid w:val="00FC1884"/>
    <w:rsid w:val="00FC371C"/>
    <w:rsid w:val="00FC371D"/>
    <w:rsid w:val="00FC39E6"/>
    <w:rsid w:val="00FC3E87"/>
    <w:rsid w:val="00FC4649"/>
    <w:rsid w:val="00FC49E9"/>
    <w:rsid w:val="00FC55FF"/>
    <w:rsid w:val="00FC5603"/>
    <w:rsid w:val="00FC5836"/>
    <w:rsid w:val="00FC58CA"/>
    <w:rsid w:val="00FC5BE6"/>
    <w:rsid w:val="00FC5F0B"/>
    <w:rsid w:val="00FC65E7"/>
    <w:rsid w:val="00FD2100"/>
    <w:rsid w:val="00FD33CF"/>
    <w:rsid w:val="00FD436C"/>
    <w:rsid w:val="00FD446D"/>
    <w:rsid w:val="00FD5025"/>
    <w:rsid w:val="00FD59BD"/>
    <w:rsid w:val="00FD6394"/>
    <w:rsid w:val="00FD6E44"/>
    <w:rsid w:val="00FD7ABC"/>
    <w:rsid w:val="00FD7DB7"/>
    <w:rsid w:val="00FE06F5"/>
    <w:rsid w:val="00FE0E6C"/>
    <w:rsid w:val="00FE0EA3"/>
    <w:rsid w:val="00FE1383"/>
    <w:rsid w:val="00FE29B5"/>
    <w:rsid w:val="00FE3C20"/>
    <w:rsid w:val="00FE3F36"/>
    <w:rsid w:val="00FE407E"/>
    <w:rsid w:val="00FE4386"/>
    <w:rsid w:val="00FE5DE6"/>
    <w:rsid w:val="00FE70C3"/>
    <w:rsid w:val="00FE7DCA"/>
    <w:rsid w:val="00FF0CD2"/>
    <w:rsid w:val="00FF31B4"/>
    <w:rsid w:val="00FF337D"/>
    <w:rsid w:val="00FF3BEB"/>
    <w:rsid w:val="00FF3DCF"/>
    <w:rsid w:val="00FF43A7"/>
    <w:rsid w:val="00FF492C"/>
    <w:rsid w:val="00FF4A21"/>
    <w:rsid w:val="00FF5AA3"/>
    <w:rsid w:val="00FF5AD8"/>
    <w:rsid w:val="00FF6643"/>
    <w:rsid w:val="00FF6C2A"/>
    <w:rsid w:val="00FF7C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B3C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B5"/>
    <w:pPr>
      <w:jc w:val="both"/>
    </w:pPr>
    <w:rPr>
      <w:rFonts w:ascii="Calibri" w:hAnsi="Calibri"/>
      <w:sz w:val="24"/>
      <w:szCs w:val="24"/>
      <w:lang w:eastAsia="en-GB"/>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Section heading,Footnote,ES Paragraph,PBAC ES Paragraph,PBAC normal points,L,Bullet Point,Bulletr List Paragraph,Content descriptions,FooterText,lp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Section heading Char,Footnote Char,ES Paragraph Char,PBAC ES Paragraph Char,PBAC normal points Char,L Char,lp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new sty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963EF"/>
    <w:pPr>
      <w:numPr>
        <w:numId w:val="3"/>
      </w:numPr>
      <w:spacing w:after="0"/>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F863C2"/>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UnresolvedMention1">
    <w:name w:val="Unresolved Mention1"/>
    <w:basedOn w:val="DefaultParagraphFont"/>
    <w:uiPriority w:val="99"/>
    <w:semiHidden/>
    <w:unhideWhenUsed/>
    <w:rsid w:val="00683396"/>
    <w:rPr>
      <w:color w:val="605E5C"/>
      <w:shd w:val="clear" w:color="auto" w:fill="E1DFDD"/>
    </w:rPr>
  </w:style>
  <w:style w:type="character" w:styleId="Emphasis">
    <w:name w:val="Emphasis"/>
    <w:basedOn w:val="DefaultParagraphFont"/>
    <w:uiPriority w:val="20"/>
    <w:qFormat/>
    <w:rsid w:val="00043DAF"/>
    <w:rPr>
      <w:i/>
      <w:iCs/>
    </w:rPr>
  </w:style>
  <w:style w:type="paragraph" w:customStyle="1" w:styleId="TableText0">
    <w:name w:val="TableText"/>
    <w:basedOn w:val="Normal"/>
    <w:link w:val="TableTextChar0"/>
    <w:rsid w:val="0066283B"/>
    <w:pPr>
      <w:keepNext/>
      <w:spacing w:before="40" w:after="40"/>
      <w:jc w:val="left"/>
    </w:pPr>
    <w:rPr>
      <w:rFonts w:ascii="Arial Narrow" w:hAnsi="Arial Narrow" w:cs="Arial Narrow"/>
      <w:sz w:val="20"/>
      <w:szCs w:val="20"/>
    </w:rPr>
  </w:style>
  <w:style w:type="character" w:customStyle="1" w:styleId="TableTextChar0">
    <w:name w:val="TableText Char"/>
    <w:link w:val="TableText0"/>
    <w:rsid w:val="0066283B"/>
    <w:rPr>
      <w:rFonts w:ascii="Arial Narrow" w:hAnsi="Arial Narrow" w:cs="Arial Narrow"/>
      <w:lang w:eastAsia="en-US"/>
    </w:rPr>
  </w:style>
  <w:style w:type="character" w:customStyle="1" w:styleId="cit-auth">
    <w:name w:val="cit-auth"/>
    <w:basedOn w:val="DefaultParagraphFont"/>
    <w:rsid w:val="00174867"/>
  </w:style>
  <w:style w:type="character" w:customStyle="1" w:styleId="cit-name-surname">
    <w:name w:val="cit-name-surname"/>
    <w:basedOn w:val="DefaultParagraphFont"/>
    <w:rsid w:val="00174867"/>
  </w:style>
  <w:style w:type="character" w:customStyle="1" w:styleId="apple-converted-space">
    <w:name w:val="apple-converted-space"/>
    <w:basedOn w:val="DefaultParagraphFont"/>
    <w:rsid w:val="00174867"/>
  </w:style>
  <w:style w:type="character" w:customStyle="1" w:styleId="cit-name-given-names">
    <w:name w:val="cit-name-given-names"/>
    <w:basedOn w:val="DefaultParagraphFont"/>
    <w:rsid w:val="00174867"/>
  </w:style>
  <w:style w:type="character" w:customStyle="1" w:styleId="cit-etal">
    <w:name w:val="cit-etal"/>
    <w:basedOn w:val="DefaultParagraphFont"/>
    <w:rsid w:val="00174867"/>
  </w:style>
  <w:style w:type="character" w:styleId="HTMLCite">
    <w:name w:val="HTML Cite"/>
    <w:basedOn w:val="DefaultParagraphFont"/>
    <w:uiPriority w:val="99"/>
    <w:semiHidden/>
    <w:unhideWhenUsed/>
    <w:rsid w:val="00174867"/>
    <w:rPr>
      <w:i/>
      <w:iCs/>
    </w:rPr>
  </w:style>
  <w:style w:type="character" w:customStyle="1" w:styleId="cit-article-title">
    <w:name w:val="cit-article-title"/>
    <w:basedOn w:val="DefaultParagraphFont"/>
    <w:rsid w:val="00174867"/>
  </w:style>
  <w:style w:type="character" w:customStyle="1" w:styleId="cit-pub-date">
    <w:name w:val="cit-pub-date"/>
    <w:basedOn w:val="DefaultParagraphFont"/>
    <w:rsid w:val="00174867"/>
  </w:style>
  <w:style w:type="character" w:customStyle="1" w:styleId="cit-vol">
    <w:name w:val="cit-vol"/>
    <w:basedOn w:val="DefaultParagraphFont"/>
    <w:rsid w:val="00174867"/>
  </w:style>
  <w:style w:type="character" w:customStyle="1" w:styleId="cit-issue">
    <w:name w:val="cit-issue"/>
    <w:basedOn w:val="DefaultParagraphFont"/>
    <w:rsid w:val="00174867"/>
  </w:style>
  <w:style w:type="character" w:customStyle="1" w:styleId="cit-fpage">
    <w:name w:val="cit-fpage"/>
    <w:basedOn w:val="DefaultParagraphFont"/>
    <w:rsid w:val="00174867"/>
  </w:style>
  <w:style w:type="character" w:customStyle="1" w:styleId="cit-lpage">
    <w:name w:val="cit-lpage"/>
    <w:basedOn w:val="DefaultParagraphFont"/>
    <w:rsid w:val="00174867"/>
  </w:style>
  <w:style w:type="character" w:customStyle="1" w:styleId="highwire-citation-authors">
    <w:name w:val="highwire-citation-authors"/>
    <w:basedOn w:val="DefaultParagraphFont"/>
    <w:rsid w:val="00A43116"/>
  </w:style>
  <w:style w:type="character" w:customStyle="1" w:styleId="nlm-given-names">
    <w:name w:val="nlm-given-names"/>
    <w:basedOn w:val="DefaultParagraphFont"/>
    <w:rsid w:val="00A43116"/>
  </w:style>
  <w:style w:type="character" w:customStyle="1" w:styleId="nlm-surname">
    <w:name w:val="nlm-surname"/>
    <w:basedOn w:val="DefaultParagraphFont"/>
    <w:rsid w:val="00A43116"/>
  </w:style>
  <w:style w:type="character" w:customStyle="1" w:styleId="highwire-cite-metadata-journal">
    <w:name w:val="highwire-cite-metadata-journal"/>
    <w:basedOn w:val="DefaultParagraphFont"/>
    <w:rsid w:val="00A43116"/>
  </w:style>
  <w:style w:type="character" w:customStyle="1" w:styleId="highwire-cite-metadata-date">
    <w:name w:val="highwire-cite-metadata-date"/>
    <w:basedOn w:val="DefaultParagraphFont"/>
    <w:rsid w:val="00A43116"/>
  </w:style>
  <w:style w:type="character" w:customStyle="1" w:styleId="highwire-cite-metadata-volume">
    <w:name w:val="highwire-cite-metadata-volume"/>
    <w:basedOn w:val="DefaultParagraphFont"/>
    <w:rsid w:val="00A43116"/>
  </w:style>
  <w:style w:type="character" w:customStyle="1" w:styleId="highwire-cite-metadata-pages">
    <w:name w:val="highwire-cite-metadata-pages"/>
    <w:basedOn w:val="DefaultParagraphFont"/>
    <w:rsid w:val="00A43116"/>
  </w:style>
  <w:style w:type="paragraph" w:styleId="FootnoteText">
    <w:name w:val="footnote text"/>
    <w:basedOn w:val="Normal"/>
    <w:link w:val="FootnoteTextChar"/>
    <w:semiHidden/>
    <w:unhideWhenUsed/>
    <w:rsid w:val="00A43116"/>
    <w:rPr>
      <w:sz w:val="20"/>
      <w:szCs w:val="20"/>
    </w:rPr>
  </w:style>
  <w:style w:type="character" w:customStyle="1" w:styleId="FootnoteTextChar">
    <w:name w:val="Footnote Text Char"/>
    <w:basedOn w:val="DefaultParagraphFont"/>
    <w:link w:val="FootnoteText"/>
    <w:semiHidden/>
    <w:rsid w:val="00A43116"/>
    <w:rPr>
      <w:rFonts w:ascii="Calibri" w:hAnsi="Calibri"/>
      <w:lang w:eastAsia="en-GB"/>
    </w:rPr>
  </w:style>
  <w:style w:type="character" w:styleId="FootnoteReference">
    <w:name w:val="footnote reference"/>
    <w:basedOn w:val="DefaultParagraphFont"/>
    <w:semiHidden/>
    <w:unhideWhenUsed/>
    <w:rsid w:val="00A43116"/>
    <w:rPr>
      <w:vertAlign w:val="superscript"/>
    </w:rPr>
  </w:style>
  <w:style w:type="paragraph" w:styleId="HTMLPreformatted">
    <w:name w:val="HTML Preformatted"/>
    <w:basedOn w:val="Normal"/>
    <w:link w:val="HTMLPreformattedChar"/>
    <w:uiPriority w:val="99"/>
    <w:semiHidden/>
    <w:unhideWhenUsed/>
    <w:rsid w:val="00FD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D5025"/>
    <w:rPr>
      <w:rFonts w:ascii="Courier New" w:hAnsi="Courier New" w:cs="Courier New"/>
      <w:lang w:eastAsia="en-GB"/>
    </w:rPr>
  </w:style>
  <w:style w:type="paragraph" w:customStyle="1" w:styleId="TableText1">
    <w:name w:val="Table Text"/>
    <w:basedOn w:val="Normal"/>
    <w:link w:val="TableTextChar1"/>
    <w:rsid w:val="000549DC"/>
    <w:pPr>
      <w:keepNext/>
      <w:jc w:val="left"/>
    </w:pPr>
    <w:rPr>
      <w:rFonts w:ascii="Arial Narrow" w:eastAsiaTheme="minorHAnsi" w:hAnsi="Arial Narrow" w:cstheme="minorBidi"/>
      <w:sz w:val="20"/>
      <w:szCs w:val="22"/>
      <w:lang w:eastAsia="en-US"/>
    </w:rPr>
  </w:style>
  <w:style w:type="paragraph" w:customStyle="1" w:styleId="TableHeading0">
    <w:name w:val="Table Heading"/>
    <w:basedOn w:val="Normal"/>
    <w:qFormat/>
    <w:rsid w:val="000D2040"/>
    <w:pPr>
      <w:keepNext/>
      <w:spacing w:after="60"/>
      <w:jc w:val="left"/>
    </w:pPr>
    <w:rPr>
      <w:rFonts w:ascii="Arial Narrow" w:eastAsiaTheme="minorHAnsi" w:hAnsi="Arial Narrow" w:cstheme="minorBidi"/>
      <w:b/>
      <w:sz w:val="20"/>
      <w:szCs w:val="22"/>
      <w:lang w:eastAsia="en-US"/>
    </w:rPr>
  </w:style>
  <w:style w:type="character" w:customStyle="1" w:styleId="small-caps">
    <w:name w:val="small-caps"/>
    <w:basedOn w:val="DefaultParagraphFont"/>
    <w:rsid w:val="009A2205"/>
  </w:style>
  <w:style w:type="table" w:customStyle="1" w:styleId="Summarybox2">
    <w:name w:val="Summary box2"/>
    <w:basedOn w:val="TableNormal"/>
    <w:uiPriority w:val="59"/>
    <w:rsid w:val="00F13F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E7720"/>
    <w:pPr>
      <w:spacing w:line="336" w:lineRule="auto"/>
      <w:ind w:left="1134" w:right="851" w:hanging="1134"/>
    </w:pPr>
    <w:rPr>
      <w:rFonts w:ascii="Arial" w:eastAsiaTheme="minorHAnsi" w:hAnsi="Arial" w:cstheme="minorBidi"/>
      <w:sz w:val="20"/>
      <w:szCs w:val="22"/>
      <w:lang w:eastAsia="en-US"/>
    </w:rPr>
  </w:style>
  <w:style w:type="table" w:customStyle="1" w:styleId="TableGridbeth3">
    <w:name w:val="Table Gridbeth3"/>
    <w:basedOn w:val="TableNormal"/>
    <w:next w:val="TableGrid"/>
    <w:uiPriority w:val="59"/>
    <w:rsid w:val="000D5573"/>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V50Instructions">
    <w:name w:val="V5.0 Instructions"/>
    <w:basedOn w:val="Normal"/>
    <w:link w:val="V50InstructionsChar"/>
    <w:rsid w:val="003B113B"/>
    <w:pPr>
      <w:spacing w:before="120" w:after="160"/>
      <w:jc w:val="left"/>
    </w:pPr>
    <w:rPr>
      <w:rFonts w:asciiTheme="minorHAnsi" w:eastAsiaTheme="minorHAnsi" w:hAnsiTheme="minorHAnsi" w:cstheme="minorBidi"/>
      <w:snapToGrid w:val="0"/>
      <w:color w:val="4BACC6" w:themeColor="accent5"/>
      <w:lang w:eastAsia="en-US"/>
    </w:rPr>
  </w:style>
  <w:style w:type="character" w:customStyle="1" w:styleId="V50InstructionsChar">
    <w:name w:val="V5.0 Instructions Char"/>
    <w:basedOn w:val="DefaultParagraphFont"/>
    <w:link w:val="V50Instructions"/>
    <w:rsid w:val="003B113B"/>
    <w:rPr>
      <w:rFonts w:asciiTheme="minorHAnsi" w:eastAsiaTheme="minorHAnsi" w:hAnsiTheme="minorHAnsi" w:cstheme="minorBidi"/>
      <w:snapToGrid w:val="0"/>
      <w:color w:val="4BACC6" w:themeColor="accent5"/>
      <w:sz w:val="24"/>
      <w:szCs w:val="24"/>
      <w:lang w:eastAsia="en-US"/>
    </w:rPr>
  </w:style>
  <w:style w:type="character" w:customStyle="1" w:styleId="TableTextChar1">
    <w:name w:val="Table Text Char"/>
    <w:link w:val="TableText1"/>
    <w:locked/>
    <w:rsid w:val="00FC371C"/>
    <w:rPr>
      <w:rFonts w:ascii="Arial Narrow" w:eastAsiaTheme="minorHAnsi" w:hAnsi="Arial Narrow" w:cstheme="minorBidi"/>
      <w:szCs w:val="22"/>
      <w:lang w:eastAsia="en-US"/>
    </w:rPr>
  </w:style>
  <w:style w:type="table" w:customStyle="1" w:styleId="Summarybox4">
    <w:name w:val="Summary box4"/>
    <w:basedOn w:val="TableNormal"/>
    <w:next w:val="TableGrid"/>
    <w:uiPriority w:val="39"/>
    <w:rsid w:val="000B50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ES">
    <w:name w:val="Table Title ES"/>
    <w:basedOn w:val="Normal"/>
    <w:next w:val="BodyText"/>
    <w:qFormat/>
    <w:rsid w:val="00142EEE"/>
    <w:pPr>
      <w:tabs>
        <w:tab w:val="num" w:pos="1080"/>
      </w:tabs>
      <w:ind w:left="851" w:hanging="851"/>
    </w:pPr>
    <w:rPr>
      <w:rFonts w:ascii="Verdana" w:hAnsi="Verdana"/>
      <w:b/>
      <w:sz w:val="20"/>
      <w:lang w:eastAsia="en-US"/>
    </w:rPr>
  </w:style>
  <w:style w:type="paragraph" w:styleId="EndnoteText">
    <w:name w:val="endnote text"/>
    <w:basedOn w:val="Normal"/>
    <w:link w:val="EndnoteTextChar"/>
    <w:semiHidden/>
    <w:unhideWhenUsed/>
    <w:rsid w:val="000F642E"/>
    <w:rPr>
      <w:sz w:val="20"/>
      <w:szCs w:val="20"/>
    </w:rPr>
  </w:style>
  <w:style w:type="character" w:customStyle="1" w:styleId="EndnoteTextChar">
    <w:name w:val="Endnote Text Char"/>
    <w:basedOn w:val="DefaultParagraphFont"/>
    <w:link w:val="EndnoteText"/>
    <w:semiHidden/>
    <w:rsid w:val="000F642E"/>
    <w:rPr>
      <w:rFonts w:ascii="Calibri" w:hAnsi="Calibri"/>
      <w:lang w:eastAsia="en-GB"/>
    </w:rPr>
  </w:style>
  <w:style w:type="character" w:styleId="EndnoteReference">
    <w:name w:val="endnote reference"/>
    <w:basedOn w:val="DefaultParagraphFont"/>
    <w:semiHidden/>
    <w:unhideWhenUsed/>
    <w:rsid w:val="000F642E"/>
    <w:rPr>
      <w:vertAlign w:val="superscript"/>
    </w:rPr>
  </w:style>
  <w:style w:type="paragraph" w:customStyle="1" w:styleId="Default">
    <w:name w:val="Default"/>
    <w:basedOn w:val="Normal"/>
    <w:rsid w:val="002A4AA1"/>
    <w:pPr>
      <w:autoSpaceDE w:val="0"/>
      <w:autoSpaceDN w:val="0"/>
      <w:jc w:val="left"/>
    </w:pPr>
    <w:rPr>
      <w:rFonts w:ascii="Arial" w:eastAsiaTheme="minorHAnsi" w:hAnsi="Arial" w:cs="Arial"/>
      <w:color w:val="000000"/>
      <w:lang w:eastAsia="en-US"/>
    </w:rPr>
  </w:style>
  <w:style w:type="paragraph" w:customStyle="1" w:styleId="PBACheading10">
    <w:name w:val="PBAC heading 1"/>
    <w:qFormat/>
    <w:rsid w:val="009C51B6"/>
    <w:pPr>
      <w:ind w:left="720" w:hanging="720"/>
      <w:outlineLvl w:val="0"/>
    </w:pPr>
    <w:rPr>
      <w:rFonts w:ascii="Arial" w:hAnsi="Arial" w:cs="Arial"/>
      <w:b/>
      <w:snapToGrid w:val="0"/>
      <w:sz w:val="22"/>
      <w:szCs w:val="22"/>
      <w:lang w:eastAsia="en-US"/>
    </w:rPr>
  </w:style>
  <w:style w:type="paragraph" w:customStyle="1" w:styleId="2Sections">
    <w:name w:val="2. Sections"/>
    <w:qFormat/>
    <w:rsid w:val="00634216"/>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634216"/>
    <w:pPr>
      <w:spacing w:after="120"/>
      <w:ind w:left="1146" w:hanging="720"/>
    </w:pPr>
    <w:rPr>
      <w:rFonts w:asciiTheme="minorHAnsi" w:eastAsiaTheme="minorHAnsi" w:hAnsiTheme="minorHAnsi" w:cstheme="minorBidi"/>
      <w: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7">
      <w:bodyDiv w:val="1"/>
      <w:marLeft w:val="0"/>
      <w:marRight w:val="0"/>
      <w:marTop w:val="0"/>
      <w:marBottom w:val="0"/>
      <w:divBdr>
        <w:top w:val="none" w:sz="0" w:space="0" w:color="auto"/>
        <w:left w:val="none" w:sz="0" w:space="0" w:color="auto"/>
        <w:bottom w:val="none" w:sz="0" w:space="0" w:color="auto"/>
        <w:right w:val="none" w:sz="0" w:space="0" w:color="auto"/>
      </w:divBdr>
      <w:divsChild>
        <w:div w:id="1895433373">
          <w:marLeft w:val="0"/>
          <w:marRight w:val="0"/>
          <w:marTop w:val="0"/>
          <w:marBottom w:val="0"/>
          <w:divBdr>
            <w:top w:val="none" w:sz="0" w:space="0" w:color="auto"/>
            <w:left w:val="none" w:sz="0" w:space="0" w:color="auto"/>
            <w:bottom w:val="none" w:sz="0" w:space="0" w:color="auto"/>
            <w:right w:val="none" w:sz="0" w:space="0" w:color="auto"/>
          </w:divBdr>
          <w:divsChild>
            <w:div w:id="1678116694">
              <w:marLeft w:val="0"/>
              <w:marRight w:val="0"/>
              <w:marTop w:val="0"/>
              <w:marBottom w:val="0"/>
              <w:divBdr>
                <w:top w:val="none" w:sz="0" w:space="0" w:color="auto"/>
                <w:left w:val="none" w:sz="0" w:space="0" w:color="auto"/>
                <w:bottom w:val="none" w:sz="0" w:space="0" w:color="auto"/>
                <w:right w:val="none" w:sz="0" w:space="0" w:color="auto"/>
              </w:divBdr>
              <w:divsChild>
                <w:div w:id="2099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4572">
      <w:bodyDiv w:val="1"/>
      <w:marLeft w:val="0"/>
      <w:marRight w:val="0"/>
      <w:marTop w:val="0"/>
      <w:marBottom w:val="0"/>
      <w:divBdr>
        <w:top w:val="none" w:sz="0" w:space="0" w:color="auto"/>
        <w:left w:val="none" w:sz="0" w:space="0" w:color="auto"/>
        <w:bottom w:val="none" w:sz="0" w:space="0" w:color="auto"/>
        <w:right w:val="none" w:sz="0" w:space="0" w:color="auto"/>
      </w:divBdr>
    </w:div>
    <w:div w:id="54744835">
      <w:bodyDiv w:val="1"/>
      <w:marLeft w:val="0"/>
      <w:marRight w:val="0"/>
      <w:marTop w:val="0"/>
      <w:marBottom w:val="0"/>
      <w:divBdr>
        <w:top w:val="none" w:sz="0" w:space="0" w:color="auto"/>
        <w:left w:val="none" w:sz="0" w:space="0" w:color="auto"/>
        <w:bottom w:val="none" w:sz="0" w:space="0" w:color="auto"/>
        <w:right w:val="none" w:sz="0" w:space="0" w:color="auto"/>
      </w:divBdr>
      <w:divsChild>
        <w:div w:id="737674460">
          <w:marLeft w:val="0"/>
          <w:marRight w:val="0"/>
          <w:marTop w:val="0"/>
          <w:marBottom w:val="0"/>
          <w:divBdr>
            <w:top w:val="none" w:sz="0" w:space="0" w:color="auto"/>
            <w:left w:val="none" w:sz="0" w:space="0" w:color="auto"/>
            <w:bottom w:val="none" w:sz="0" w:space="0" w:color="auto"/>
            <w:right w:val="none" w:sz="0" w:space="0" w:color="auto"/>
          </w:divBdr>
          <w:divsChild>
            <w:div w:id="429350890">
              <w:marLeft w:val="0"/>
              <w:marRight w:val="0"/>
              <w:marTop w:val="0"/>
              <w:marBottom w:val="0"/>
              <w:divBdr>
                <w:top w:val="none" w:sz="0" w:space="0" w:color="auto"/>
                <w:left w:val="none" w:sz="0" w:space="0" w:color="auto"/>
                <w:bottom w:val="none" w:sz="0" w:space="0" w:color="auto"/>
                <w:right w:val="none" w:sz="0" w:space="0" w:color="auto"/>
              </w:divBdr>
              <w:divsChild>
                <w:div w:id="6372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6105">
      <w:bodyDiv w:val="1"/>
      <w:marLeft w:val="0"/>
      <w:marRight w:val="0"/>
      <w:marTop w:val="0"/>
      <w:marBottom w:val="0"/>
      <w:divBdr>
        <w:top w:val="none" w:sz="0" w:space="0" w:color="auto"/>
        <w:left w:val="none" w:sz="0" w:space="0" w:color="auto"/>
        <w:bottom w:val="none" w:sz="0" w:space="0" w:color="auto"/>
        <w:right w:val="none" w:sz="0" w:space="0" w:color="auto"/>
      </w:divBdr>
    </w:div>
    <w:div w:id="79327405">
      <w:bodyDiv w:val="1"/>
      <w:marLeft w:val="0"/>
      <w:marRight w:val="0"/>
      <w:marTop w:val="0"/>
      <w:marBottom w:val="0"/>
      <w:divBdr>
        <w:top w:val="none" w:sz="0" w:space="0" w:color="auto"/>
        <w:left w:val="none" w:sz="0" w:space="0" w:color="auto"/>
        <w:bottom w:val="none" w:sz="0" w:space="0" w:color="auto"/>
        <w:right w:val="none" w:sz="0" w:space="0" w:color="auto"/>
      </w:divBdr>
      <w:divsChild>
        <w:div w:id="676032546">
          <w:marLeft w:val="0"/>
          <w:marRight w:val="0"/>
          <w:marTop w:val="0"/>
          <w:marBottom w:val="0"/>
          <w:divBdr>
            <w:top w:val="none" w:sz="0" w:space="0" w:color="auto"/>
            <w:left w:val="none" w:sz="0" w:space="0" w:color="auto"/>
            <w:bottom w:val="none" w:sz="0" w:space="0" w:color="auto"/>
            <w:right w:val="none" w:sz="0" w:space="0" w:color="auto"/>
          </w:divBdr>
          <w:divsChild>
            <w:div w:id="761683108">
              <w:marLeft w:val="0"/>
              <w:marRight w:val="0"/>
              <w:marTop w:val="0"/>
              <w:marBottom w:val="0"/>
              <w:divBdr>
                <w:top w:val="none" w:sz="0" w:space="0" w:color="auto"/>
                <w:left w:val="none" w:sz="0" w:space="0" w:color="auto"/>
                <w:bottom w:val="none" w:sz="0" w:space="0" w:color="auto"/>
                <w:right w:val="none" w:sz="0" w:space="0" w:color="auto"/>
              </w:divBdr>
              <w:divsChild>
                <w:div w:id="9317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4768">
      <w:bodyDiv w:val="1"/>
      <w:marLeft w:val="0"/>
      <w:marRight w:val="0"/>
      <w:marTop w:val="0"/>
      <w:marBottom w:val="0"/>
      <w:divBdr>
        <w:top w:val="none" w:sz="0" w:space="0" w:color="auto"/>
        <w:left w:val="none" w:sz="0" w:space="0" w:color="auto"/>
        <w:bottom w:val="none" w:sz="0" w:space="0" w:color="auto"/>
        <w:right w:val="none" w:sz="0" w:space="0" w:color="auto"/>
      </w:divBdr>
      <w:divsChild>
        <w:div w:id="1828206746">
          <w:marLeft w:val="0"/>
          <w:marRight w:val="0"/>
          <w:marTop w:val="0"/>
          <w:marBottom w:val="0"/>
          <w:divBdr>
            <w:top w:val="none" w:sz="0" w:space="0" w:color="auto"/>
            <w:left w:val="none" w:sz="0" w:space="0" w:color="auto"/>
            <w:bottom w:val="none" w:sz="0" w:space="0" w:color="auto"/>
            <w:right w:val="none" w:sz="0" w:space="0" w:color="auto"/>
          </w:divBdr>
          <w:divsChild>
            <w:div w:id="342510180">
              <w:marLeft w:val="0"/>
              <w:marRight w:val="0"/>
              <w:marTop w:val="0"/>
              <w:marBottom w:val="0"/>
              <w:divBdr>
                <w:top w:val="none" w:sz="0" w:space="0" w:color="auto"/>
                <w:left w:val="none" w:sz="0" w:space="0" w:color="auto"/>
                <w:bottom w:val="none" w:sz="0" w:space="0" w:color="auto"/>
                <w:right w:val="none" w:sz="0" w:space="0" w:color="auto"/>
              </w:divBdr>
              <w:divsChild>
                <w:div w:id="199560804">
                  <w:marLeft w:val="0"/>
                  <w:marRight w:val="0"/>
                  <w:marTop w:val="0"/>
                  <w:marBottom w:val="0"/>
                  <w:divBdr>
                    <w:top w:val="none" w:sz="0" w:space="0" w:color="auto"/>
                    <w:left w:val="none" w:sz="0" w:space="0" w:color="auto"/>
                    <w:bottom w:val="none" w:sz="0" w:space="0" w:color="auto"/>
                    <w:right w:val="none" w:sz="0" w:space="0" w:color="auto"/>
                  </w:divBdr>
                  <w:divsChild>
                    <w:div w:id="6998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5693">
      <w:bodyDiv w:val="1"/>
      <w:marLeft w:val="0"/>
      <w:marRight w:val="0"/>
      <w:marTop w:val="0"/>
      <w:marBottom w:val="0"/>
      <w:divBdr>
        <w:top w:val="none" w:sz="0" w:space="0" w:color="auto"/>
        <w:left w:val="none" w:sz="0" w:space="0" w:color="auto"/>
        <w:bottom w:val="none" w:sz="0" w:space="0" w:color="auto"/>
        <w:right w:val="none" w:sz="0" w:space="0" w:color="auto"/>
      </w:divBdr>
      <w:divsChild>
        <w:div w:id="222185120">
          <w:marLeft w:val="0"/>
          <w:marRight w:val="0"/>
          <w:marTop w:val="0"/>
          <w:marBottom w:val="0"/>
          <w:divBdr>
            <w:top w:val="none" w:sz="0" w:space="0" w:color="auto"/>
            <w:left w:val="none" w:sz="0" w:space="0" w:color="auto"/>
            <w:bottom w:val="none" w:sz="0" w:space="0" w:color="auto"/>
            <w:right w:val="none" w:sz="0" w:space="0" w:color="auto"/>
          </w:divBdr>
          <w:divsChild>
            <w:div w:id="50426294">
              <w:marLeft w:val="0"/>
              <w:marRight w:val="0"/>
              <w:marTop w:val="0"/>
              <w:marBottom w:val="0"/>
              <w:divBdr>
                <w:top w:val="none" w:sz="0" w:space="0" w:color="auto"/>
                <w:left w:val="none" w:sz="0" w:space="0" w:color="auto"/>
                <w:bottom w:val="none" w:sz="0" w:space="0" w:color="auto"/>
                <w:right w:val="none" w:sz="0" w:space="0" w:color="auto"/>
              </w:divBdr>
              <w:divsChild>
                <w:div w:id="10993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6564">
      <w:bodyDiv w:val="1"/>
      <w:marLeft w:val="0"/>
      <w:marRight w:val="0"/>
      <w:marTop w:val="0"/>
      <w:marBottom w:val="0"/>
      <w:divBdr>
        <w:top w:val="none" w:sz="0" w:space="0" w:color="auto"/>
        <w:left w:val="none" w:sz="0" w:space="0" w:color="auto"/>
        <w:bottom w:val="none" w:sz="0" w:space="0" w:color="auto"/>
        <w:right w:val="none" w:sz="0" w:space="0" w:color="auto"/>
      </w:divBdr>
    </w:div>
    <w:div w:id="139657401">
      <w:bodyDiv w:val="1"/>
      <w:marLeft w:val="0"/>
      <w:marRight w:val="0"/>
      <w:marTop w:val="0"/>
      <w:marBottom w:val="0"/>
      <w:divBdr>
        <w:top w:val="none" w:sz="0" w:space="0" w:color="auto"/>
        <w:left w:val="none" w:sz="0" w:space="0" w:color="auto"/>
        <w:bottom w:val="none" w:sz="0" w:space="0" w:color="auto"/>
        <w:right w:val="none" w:sz="0" w:space="0" w:color="auto"/>
      </w:divBdr>
    </w:div>
    <w:div w:id="144518826">
      <w:bodyDiv w:val="1"/>
      <w:marLeft w:val="0"/>
      <w:marRight w:val="0"/>
      <w:marTop w:val="0"/>
      <w:marBottom w:val="0"/>
      <w:divBdr>
        <w:top w:val="none" w:sz="0" w:space="0" w:color="auto"/>
        <w:left w:val="none" w:sz="0" w:space="0" w:color="auto"/>
        <w:bottom w:val="none" w:sz="0" w:space="0" w:color="auto"/>
        <w:right w:val="none" w:sz="0" w:space="0" w:color="auto"/>
      </w:divBdr>
      <w:divsChild>
        <w:div w:id="648368269">
          <w:marLeft w:val="0"/>
          <w:marRight w:val="0"/>
          <w:marTop w:val="0"/>
          <w:marBottom w:val="0"/>
          <w:divBdr>
            <w:top w:val="none" w:sz="0" w:space="0" w:color="auto"/>
            <w:left w:val="none" w:sz="0" w:space="0" w:color="auto"/>
            <w:bottom w:val="none" w:sz="0" w:space="0" w:color="auto"/>
            <w:right w:val="none" w:sz="0" w:space="0" w:color="auto"/>
          </w:divBdr>
        </w:div>
        <w:div w:id="1385829040">
          <w:marLeft w:val="0"/>
          <w:marRight w:val="0"/>
          <w:marTop w:val="0"/>
          <w:marBottom w:val="0"/>
          <w:divBdr>
            <w:top w:val="none" w:sz="0" w:space="0" w:color="auto"/>
            <w:left w:val="none" w:sz="0" w:space="0" w:color="auto"/>
            <w:bottom w:val="none" w:sz="0" w:space="0" w:color="auto"/>
            <w:right w:val="none" w:sz="0" w:space="0" w:color="auto"/>
          </w:divBdr>
        </w:div>
        <w:div w:id="2142067379">
          <w:marLeft w:val="0"/>
          <w:marRight w:val="0"/>
          <w:marTop w:val="0"/>
          <w:marBottom w:val="0"/>
          <w:divBdr>
            <w:top w:val="none" w:sz="0" w:space="0" w:color="auto"/>
            <w:left w:val="none" w:sz="0" w:space="0" w:color="auto"/>
            <w:bottom w:val="none" w:sz="0" w:space="0" w:color="auto"/>
            <w:right w:val="none" w:sz="0" w:space="0" w:color="auto"/>
          </w:divBdr>
        </w:div>
      </w:divsChild>
    </w:div>
    <w:div w:id="186413106">
      <w:bodyDiv w:val="1"/>
      <w:marLeft w:val="0"/>
      <w:marRight w:val="0"/>
      <w:marTop w:val="0"/>
      <w:marBottom w:val="0"/>
      <w:divBdr>
        <w:top w:val="none" w:sz="0" w:space="0" w:color="auto"/>
        <w:left w:val="none" w:sz="0" w:space="0" w:color="auto"/>
        <w:bottom w:val="none" w:sz="0" w:space="0" w:color="auto"/>
        <w:right w:val="none" w:sz="0" w:space="0" w:color="auto"/>
      </w:divBdr>
      <w:divsChild>
        <w:div w:id="1961642363">
          <w:marLeft w:val="0"/>
          <w:marRight w:val="0"/>
          <w:marTop w:val="0"/>
          <w:marBottom w:val="0"/>
          <w:divBdr>
            <w:top w:val="none" w:sz="0" w:space="0" w:color="auto"/>
            <w:left w:val="none" w:sz="0" w:space="0" w:color="auto"/>
            <w:bottom w:val="none" w:sz="0" w:space="0" w:color="auto"/>
            <w:right w:val="none" w:sz="0" w:space="0" w:color="auto"/>
          </w:divBdr>
          <w:divsChild>
            <w:div w:id="1434520723">
              <w:marLeft w:val="0"/>
              <w:marRight w:val="0"/>
              <w:marTop w:val="0"/>
              <w:marBottom w:val="0"/>
              <w:divBdr>
                <w:top w:val="none" w:sz="0" w:space="0" w:color="auto"/>
                <w:left w:val="none" w:sz="0" w:space="0" w:color="auto"/>
                <w:bottom w:val="none" w:sz="0" w:space="0" w:color="auto"/>
                <w:right w:val="none" w:sz="0" w:space="0" w:color="auto"/>
              </w:divBdr>
              <w:divsChild>
                <w:div w:id="1614706975">
                  <w:marLeft w:val="0"/>
                  <w:marRight w:val="0"/>
                  <w:marTop w:val="0"/>
                  <w:marBottom w:val="0"/>
                  <w:divBdr>
                    <w:top w:val="none" w:sz="0" w:space="0" w:color="auto"/>
                    <w:left w:val="none" w:sz="0" w:space="0" w:color="auto"/>
                    <w:bottom w:val="none" w:sz="0" w:space="0" w:color="auto"/>
                    <w:right w:val="none" w:sz="0" w:space="0" w:color="auto"/>
                  </w:divBdr>
                  <w:divsChild>
                    <w:div w:id="1226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3963">
      <w:bodyDiv w:val="1"/>
      <w:marLeft w:val="0"/>
      <w:marRight w:val="0"/>
      <w:marTop w:val="0"/>
      <w:marBottom w:val="0"/>
      <w:divBdr>
        <w:top w:val="none" w:sz="0" w:space="0" w:color="auto"/>
        <w:left w:val="none" w:sz="0" w:space="0" w:color="auto"/>
        <w:bottom w:val="none" w:sz="0" w:space="0" w:color="auto"/>
        <w:right w:val="none" w:sz="0" w:space="0" w:color="auto"/>
      </w:divBdr>
    </w:div>
    <w:div w:id="198398964">
      <w:bodyDiv w:val="1"/>
      <w:marLeft w:val="0"/>
      <w:marRight w:val="0"/>
      <w:marTop w:val="0"/>
      <w:marBottom w:val="0"/>
      <w:divBdr>
        <w:top w:val="none" w:sz="0" w:space="0" w:color="auto"/>
        <w:left w:val="none" w:sz="0" w:space="0" w:color="auto"/>
        <w:bottom w:val="none" w:sz="0" w:space="0" w:color="auto"/>
        <w:right w:val="none" w:sz="0" w:space="0" w:color="auto"/>
      </w:divBdr>
    </w:div>
    <w:div w:id="206065973">
      <w:bodyDiv w:val="1"/>
      <w:marLeft w:val="0"/>
      <w:marRight w:val="0"/>
      <w:marTop w:val="0"/>
      <w:marBottom w:val="0"/>
      <w:divBdr>
        <w:top w:val="none" w:sz="0" w:space="0" w:color="auto"/>
        <w:left w:val="none" w:sz="0" w:space="0" w:color="auto"/>
        <w:bottom w:val="none" w:sz="0" w:space="0" w:color="auto"/>
        <w:right w:val="none" w:sz="0" w:space="0" w:color="auto"/>
      </w:divBdr>
      <w:divsChild>
        <w:div w:id="157888642">
          <w:marLeft w:val="0"/>
          <w:marRight w:val="0"/>
          <w:marTop w:val="0"/>
          <w:marBottom w:val="0"/>
          <w:divBdr>
            <w:top w:val="none" w:sz="0" w:space="0" w:color="auto"/>
            <w:left w:val="none" w:sz="0" w:space="0" w:color="auto"/>
            <w:bottom w:val="none" w:sz="0" w:space="0" w:color="auto"/>
            <w:right w:val="none" w:sz="0" w:space="0" w:color="auto"/>
          </w:divBdr>
          <w:divsChild>
            <w:div w:id="770122971">
              <w:marLeft w:val="0"/>
              <w:marRight w:val="0"/>
              <w:marTop w:val="0"/>
              <w:marBottom w:val="0"/>
              <w:divBdr>
                <w:top w:val="none" w:sz="0" w:space="0" w:color="auto"/>
                <w:left w:val="none" w:sz="0" w:space="0" w:color="auto"/>
                <w:bottom w:val="none" w:sz="0" w:space="0" w:color="auto"/>
                <w:right w:val="none" w:sz="0" w:space="0" w:color="auto"/>
              </w:divBdr>
              <w:divsChild>
                <w:div w:id="19094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2970">
      <w:bodyDiv w:val="1"/>
      <w:marLeft w:val="0"/>
      <w:marRight w:val="0"/>
      <w:marTop w:val="0"/>
      <w:marBottom w:val="0"/>
      <w:divBdr>
        <w:top w:val="none" w:sz="0" w:space="0" w:color="auto"/>
        <w:left w:val="none" w:sz="0" w:space="0" w:color="auto"/>
        <w:bottom w:val="none" w:sz="0" w:space="0" w:color="auto"/>
        <w:right w:val="none" w:sz="0" w:space="0" w:color="auto"/>
      </w:divBdr>
      <w:divsChild>
        <w:div w:id="679704264">
          <w:marLeft w:val="0"/>
          <w:marRight w:val="0"/>
          <w:marTop w:val="0"/>
          <w:marBottom w:val="0"/>
          <w:divBdr>
            <w:top w:val="none" w:sz="0" w:space="0" w:color="auto"/>
            <w:left w:val="none" w:sz="0" w:space="0" w:color="auto"/>
            <w:bottom w:val="none" w:sz="0" w:space="0" w:color="auto"/>
            <w:right w:val="none" w:sz="0" w:space="0" w:color="auto"/>
          </w:divBdr>
          <w:divsChild>
            <w:div w:id="590547723">
              <w:marLeft w:val="0"/>
              <w:marRight w:val="0"/>
              <w:marTop w:val="0"/>
              <w:marBottom w:val="0"/>
              <w:divBdr>
                <w:top w:val="none" w:sz="0" w:space="0" w:color="auto"/>
                <w:left w:val="none" w:sz="0" w:space="0" w:color="auto"/>
                <w:bottom w:val="none" w:sz="0" w:space="0" w:color="auto"/>
                <w:right w:val="none" w:sz="0" w:space="0" w:color="auto"/>
              </w:divBdr>
              <w:divsChild>
                <w:div w:id="1482430336">
                  <w:marLeft w:val="0"/>
                  <w:marRight w:val="0"/>
                  <w:marTop w:val="0"/>
                  <w:marBottom w:val="0"/>
                  <w:divBdr>
                    <w:top w:val="none" w:sz="0" w:space="0" w:color="auto"/>
                    <w:left w:val="none" w:sz="0" w:space="0" w:color="auto"/>
                    <w:bottom w:val="none" w:sz="0" w:space="0" w:color="auto"/>
                    <w:right w:val="none" w:sz="0" w:space="0" w:color="auto"/>
                  </w:divBdr>
                  <w:divsChild>
                    <w:div w:id="8379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515534">
      <w:bodyDiv w:val="1"/>
      <w:marLeft w:val="0"/>
      <w:marRight w:val="0"/>
      <w:marTop w:val="0"/>
      <w:marBottom w:val="0"/>
      <w:divBdr>
        <w:top w:val="none" w:sz="0" w:space="0" w:color="auto"/>
        <w:left w:val="none" w:sz="0" w:space="0" w:color="auto"/>
        <w:bottom w:val="none" w:sz="0" w:space="0" w:color="auto"/>
        <w:right w:val="none" w:sz="0" w:space="0" w:color="auto"/>
      </w:divBdr>
    </w:div>
    <w:div w:id="273441909">
      <w:bodyDiv w:val="1"/>
      <w:marLeft w:val="0"/>
      <w:marRight w:val="0"/>
      <w:marTop w:val="0"/>
      <w:marBottom w:val="0"/>
      <w:divBdr>
        <w:top w:val="none" w:sz="0" w:space="0" w:color="auto"/>
        <w:left w:val="none" w:sz="0" w:space="0" w:color="auto"/>
        <w:bottom w:val="none" w:sz="0" w:space="0" w:color="auto"/>
        <w:right w:val="none" w:sz="0" w:space="0" w:color="auto"/>
      </w:divBdr>
      <w:divsChild>
        <w:div w:id="1732927999">
          <w:marLeft w:val="0"/>
          <w:marRight w:val="0"/>
          <w:marTop w:val="0"/>
          <w:marBottom w:val="0"/>
          <w:divBdr>
            <w:top w:val="none" w:sz="0" w:space="0" w:color="auto"/>
            <w:left w:val="none" w:sz="0" w:space="0" w:color="auto"/>
            <w:bottom w:val="none" w:sz="0" w:space="0" w:color="auto"/>
            <w:right w:val="none" w:sz="0" w:space="0" w:color="auto"/>
          </w:divBdr>
          <w:divsChild>
            <w:div w:id="1885480882">
              <w:marLeft w:val="0"/>
              <w:marRight w:val="0"/>
              <w:marTop w:val="0"/>
              <w:marBottom w:val="0"/>
              <w:divBdr>
                <w:top w:val="none" w:sz="0" w:space="0" w:color="auto"/>
                <w:left w:val="none" w:sz="0" w:space="0" w:color="auto"/>
                <w:bottom w:val="none" w:sz="0" w:space="0" w:color="auto"/>
                <w:right w:val="none" w:sz="0" w:space="0" w:color="auto"/>
              </w:divBdr>
              <w:divsChild>
                <w:div w:id="2064211847">
                  <w:marLeft w:val="0"/>
                  <w:marRight w:val="0"/>
                  <w:marTop w:val="0"/>
                  <w:marBottom w:val="0"/>
                  <w:divBdr>
                    <w:top w:val="none" w:sz="0" w:space="0" w:color="auto"/>
                    <w:left w:val="none" w:sz="0" w:space="0" w:color="auto"/>
                    <w:bottom w:val="none" w:sz="0" w:space="0" w:color="auto"/>
                    <w:right w:val="none" w:sz="0" w:space="0" w:color="auto"/>
                  </w:divBdr>
                  <w:divsChild>
                    <w:div w:id="1332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20845">
      <w:bodyDiv w:val="1"/>
      <w:marLeft w:val="0"/>
      <w:marRight w:val="0"/>
      <w:marTop w:val="0"/>
      <w:marBottom w:val="0"/>
      <w:divBdr>
        <w:top w:val="none" w:sz="0" w:space="0" w:color="auto"/>
        <w:left w:val="none" w:sz="0" w:space="0" w:color="auto"/>
        <w:bottom w:val="none" w:sz="0" w:space="0" w:color="auto"/>
        <w:right w:val="none" w:sz="0" w:space="0" w:color="auto"/>
      </w:divBdr>
    </w:div>
    <w:div w:id="279146234">
      <w:bodyDiv w:val="1"/>
      <w:marLeft w:val="0"/>
      <w:marRight w:val="0"/>
      <w:marTop w:val="0"/>
      <w:marBottom w:val="0"/>
      <w:divBdr>
        <w:top w:val="none" w:sz="0" w:space="0" w:color="auto"/>
        <w:left w:val="none" w:sz="0" w:space="0" w:color="auto"/>
        <w:bottom w:val="none" w:sz="0" w:space="0" w:color="auto"/>
        <w:right w:val="none" w:sz="0" w:space="0" w:color="auto"/>
      </w:divBdr>
    </w:div>
    <w:div w:id="293875109">
      <w:bodyDiv w:val="1"/>
      <w:marLeft w:val="0"/>
      <w:marRight w:val="0"/>
      <w:marTop w:val="0"/>
      <w:marBottom w:val="0"/>
      <w:divBdr>
        <w:top w:val="none" w:sz="0" w:space="0" w:color="auto"/>
        <w:left w:val="none" w:sz="0" w:space="0" w:color="auto"/>
        <w:bottom w:val="none" w:sz="0" w:space="0" w:color="auto"/>
        <w:right w:val="none" w:sz="0" w:space="0" w:color="auto"/>
      </w:divBdr>
    </w:div>
    <w:div w:id="298268664">
      <w:bodyDiv w:val="1"/>
      <w:marLeft w:val="0"/>
      <w:marRight w:val="0"/>
      <w:marTop w:val="0"/>
      <w:marBottom w:val="0"/>
      <w:divBdr>
        <w:top w:val="none" w:sz="0" w:space="0" w:color="auto"/>
        <w:left w:val="none" w:sz="0" w:space="0" w:color="auto"/>
        <w:bottom w:val="none" w:sz="0" w:space="0" w:color="auto"/>
        <w:right w:val="none" w:sz="0" w:space="0" w:color="auto"/>
      </w:divBdr>
      <w:divsChild>
        <w:div w:id="102725818">
          <w:marLeft w:val="0"/>
          <w:marRight w:val="0"/>
          <w:marTop w:val="0"/>
          <w:marBottom w:val="0"/>
          <w:divBdr>
            <w:top w:val="none" w:sz="0" w:space="0" w:color="auto"/>
            <w:left w:val="none" w:sz="0" w:space="0" w:color="auto"/>
            <w:bottom w:val="none" w:sz="0" w:space="0" w:color="auto"/>
            <w:right w:val="none" w:sz="0" w:space="0" w:color="auto"/>
          </w:divBdr>
          <w:divsChild>
            <w:div w:id="34430209">
              <w:marLeft w:val="0"/>
              <w:marRight w:val="0"/>
              <w:marTop w:val="0"/>
              <w:marBottom w:val="0"/>
              <w:divBdr>
                <w:top w:val="none" w:sz="0" w:space="0" w:color="auto"/>
                <w:left w:val="none" w:sz="0" w:space="0" w:color="auto"/>
                <w:bottom w:val="none" w:sz="0" w:space="0" w:color="auto"/>
                <w:right w:val="none" w:sz="0" w:space="0" w:color="auto"/>
              </w:divBdr>
              <w:divsChild>
                <w:div w:id="617032944">
                  <w:marLeft w:val="0"/>
                  <w:marRight w:val="0"/>
                  <w:marTop w:val="0"/>
                  <w:marBottom w:val="0"/>
                  <w:divBdr>
                    <w:top w:val="none" w:sz="0" w:space="0" w:color="auto"/>
                    <w:left w:val="none" w:sz="0" w:space="0" w:color="auto"/>
                    <w:bottom w:val="none" w:sz="0" w:space="0" w:color="auto"/>
                    <w:right w:val="none" w:sz="0" w:space="0" w:color="auto"/>
                  </w:divBdr>
                  <w:divsChild>
                    <w:div w:id="9970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16">
      <w:bodyDiv w:val="1"/>
      <w:marLeft w:val="0"/>
      <w:marRight w:val="0"/>
      <w:marTop w:val="0"/>
      <w:marBottom w:val="0"/>
      <w:divBdr>
        <w:top w:val="none" w:sz="0" w:space="0" w:color="auto"/>
        <w:left w:val="none" w:sz="0" w:space="0" w:color="auto"/>
        <w:bottom w:val="none" w:sz="0" w:space="0" w:color="auto"/>
        <w:right w:val="none" w:sz="0" w:space="0" w:color="auto"/>
      </w:divBdr>
      <w:divsChild>
        <w:div w:id="1833906727">
          <w:marLeft w:val="0"/>
          <w:marRight w:val="0"/>
          <w:marTop w:val="0"/>
          <w:marBottom w:val="0"/>
          <w:divBdr>
            <w:top w:val="none" w:sz="0" w:space="0" w:color="auto"/>
            <w:left w:val="none" w:sz="0" w:space="0" w:color="auto"/>
            <w:bottom w:val="none" w:sz="0" w:space="0" w:color="auto"/>
            <w:right w:val="none" w:sz="0" w:space="0" w:color="auto"/>
          </w:divBdr>
          <w:divsChild>
            <w:div w:id="416949974">
              <w:marLeft w:val="0"/>
              <w:marRight w:val="0"/>
              <w:marTop w:val="0"/>
              <w:marBottom w:val="0"/>
              <w:divBdr>
                <w:top w:val="none" w:sz="0" w:space="0" w:color="auto"/>
                <w:left w:val="none" w:sz="0" w:space="0" w:color="auto"/>
                <w:bottom w:val="none" w:sz="0" w:space="0" w:color="auto"/>
                <w:right w:val="none" w:sz="0" w:space="0" w:color="auto"/>
              </w:divBdr>
              <w:divsChild>
                <w:div w:id="2092508336">
                  <w:marLeft w:val="0"/>
                  <w:marRight w:val="0"/>
                  <w:marTop w:val="0"/>
                  <w:marBottom w:val="0"/>
                  <w:divBdr>
                    <w:top w:val="none" w:sz="0" w:space="0" w:color="auto"/>
                    <w:left w:val="none" w:sz="0" w:space="0" w:color="auto"/>
                    <w:bottom w:val="none" w:sz="0" w:space="0" w:color="auto"/>
                    <w:right w:val="none" w:sz="0" w:space="0" w:color="auto"/>
                  </w:divBdr>
                  <w:divsChild>
                    <w:div w:id="13874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2284">
      <w:bodyDiv w:val="1"/>
      <w:marLeft w:val="0"/>
      <w:marRight w:val="0"/>
      <w:marTop w:val="0"/>
      <w:marBottom w:val="0"/>
      <w:divBdr>
        <w:top w:val="none" w:sz="0" w:space="0" w:color="auto"/>
        <w:left w:val="none" w:sz="0" w:space="0" w:color="auto"/>
        <w:bottom w:val="none" w:sz="0" w:space="0" w:color="auto"/>
        <w:right w:val="none" w:sz="0" w:space="0" w:color="auto"/>
      </w:divBdr>
      <w:divsChild>
        <w:div w:id="954681236">
          <w:marLeft w:val="0"/>
          <w:marRight w:val="0"/>
          <w:marTop w:val="0"/>
          <w:marBottom w:val="0"/>
          <w:divBdr>
            <w:top w:val="none" w:sz="0" w:space="0" w:color="auto"/>
            <w:left w:val="none" w:sz="0" w:space="0" w:color="auto"/>
            <w:bottom w:val="none" w:sz="0" w:space="0" w:color="auto"/>
            <w:right w:val="none" w:sz="0" w:space="0" w:color="auto"/>
          </w:divBdr>
          <w:divsChild>
            <w:div w:id="1199199096">
              <w:marLeft w:val="0"/>
              <w:marRight w:val="0"/>
              <w:marTop w:val="0"/>
              <w:marBottom w:val="0"/>
              <w:divBdr>
                <w:top w:val="none" w:sz="0" w:space="0" w:color="auto"/>
                <w:left w:val="none" w:sz="0" w:space="0" w:color="auto"/>
                <w:bottom w:val="none" w:sz="0" w:space="0" w:color="auto"/>
                <w:right w:val="none" w:sz="0" w:space="0" w:color="auto"/>
              </w:divBdr>
              <w:divsChild>
                <w:div w:id="177162347">
                  <w:marLeft w:val="0"/>
                  <w:marRight w:val="0"/>
                  <w:marTop w:val="0"/>
                  <w:marBottom w:val="0"/>
                  <w:divBdr>
                    <w:top w:val="none" w:sz="0" w:space="0" w:color="auto"/>
                    <w:left w:val="none" w:sz="0" w:space="0" w:color="auto"/>
                    <w:bottom w:val="none" w:sz="0" w:space="0" w:color="auto"/>
                    <w:right w:val="none" w:sz="0" w:space="0" w:color="auto"/>
                  </w:divBdr>
                  <w:divsChild>
                    <w:div w:id="18599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51489">
      <w:bodyDiv w:val="1"/>
      <w:marLeft w:val="0"/>
      <w:marRight w:val="0"/>
      <w:marTop w:val="0"/>
      <w:marBottom w:val="0"/>
      <w:divBdr>
        <w:top w:val="none" w:sz="0" w:space="0" w:color="auto"/>
        <w:left w:val="none" w:sz="0" w:space="0" w:color="auto"/>
        <w:bottom w:val="none" w:sz="0" w:space="0" w:color="auto"/>
        <w:right w:val="none" w:sz="0" w:space="0" w:color="auto"/>
      </w:divBdr>
    </w:div>
    <w:div w:id="416439966">
      <w:bodyDiv w:val="1"/>
      <w:marLeft w:val="0"/>
      <w:marRight w:val="0"/>
      <w:marTop w:val="0"/>
      <w:marBottom w:val="0"/>
      <w:divBdr>
        <w:top w:val="none" w:sz="0" w:space="0" w:color="auto"/>
        <w:left w:val="none" w:sz="0" w:space="0" w:color="auto"/>
        <w:bottom w:val="none" w:sz="0" w:space="0" w:color="auto"/>
        <w:right w:val="none" w:sz="0" w:space="0" w:color="auto"/>
      </w:divBdr>
    </w:div>
    <w:div w:id="420567263">
      <w:bodyDiv w:val="1"/>
      <w:marLeft w:val="0"/>
      <w:marRight w:val="0"/>
      <w:marTop w:val="0"/>
      <w:marBottom w:val="0"/>
      <w:divBdr>
        <w:top w:val="none" w:sz="0" w:space="0" w:color="auto"/>
        <w:left w:val="none" w:sz="0" w:space="0" w:color="auto"/>
        <w:bottom w:val="none" w:sz="0" w:space="0" w:color="auto"/>
        <w:right w:val="none" w:sz="0" w:space="0" w:color="auto"/>
      </w:divBdr>
      <w:divsChild>
        <w:div w:id="1803961209">
          <w:marLeft w:val="0"/>
          <w:marRight w:val="0"/>
          <w:marTop w:val="0"/>
          <w:marBottom w:val="0"/>
          <w:divBdr>
            <w:top w:val="none" w:sz="0" w:space="0" w:color="auto"/>
            <w:left w:val="none" w:sz="0" w:space="0" w:color="auto"/>
            <w:bottom w:val="none" w:sz="0" w:space="0" w:color="auto"/>
            <w:right w:val="none" w:sz="0" w:space="0" w:color="auto"/>
          </w:divBdr>
          <w:divsChild>
            <w:div w:id="1540975293">
              <w:marLeft w:val="0"/>
              <w:marRight w:val="0"/>
              <w:marTop w:val="0"/>
              <w:marBottom w:val="0"/>
              <w:divBdr>
                <w:top w:val="none" w:sz="0" w:space="0" w:color="auto"/>
                <w:left w:val="none" w:sz="0" w:space="0" w:color="auto"/>
                <w:bottom w:val="none" w:sz="0" w:space="0" w:color="auto"/>
                <w:right w:val="none" w:sz="0" w:space="0" w:color="auto"/>
              </w:divBdr>
              <w:divsChild>
                <w:div w:id="10945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97936">
      <w:bodyDiv w:val="1"/>
      <w:marLeft w:val="0"/>
      <w:marRight w:val="0"/>
      <w:marTop w:val="0"/>
      <w:marBottom w:val="0"/>
      <w:divBdr>
        <w:top w:val="none" w:sz="0" w:space="0" w:color="auto"/>
        <w:left w:val="none" w:sz="0" w:space="0" w:color="auto"/>
        <w:bottom w:val="none" w:sz="0" w:space="0" w:color="auto"/>
        <w:right w:val="none" w:sz="0" w:space="0" w:color="auto"/>
      </w:divBdr>
      <w:divsChild>
        <w:div w:id="720059497">
          <w:marLeft w:val="0"/>
          <w:marRight w:val="0"/>
          <w:marTop w:val="0"/>
          <w:marBottom w:val="0"/>
          <w:divBdr>
            <w:top w:val="none" w:sz="0" w:space="0" w:color="auto"/>
            <w:left w:val="none" w:sz="0" w:space="0" w:color="auto"/>
            <w:bottom w:val="none" w:sz="0" w:space="0" w:color="auto"/>
            <w:right w:val="none" w:sz="0" w:space="0" w:color="auto"/>
          </w:divBdr>
          <w:divsChild>
            <w:div w:id="708839362">
              <w:marLeft w:val="0"/>
              <w:marRight w:val="0"/>
              <w:marTop w:val="0"/>
              <w:marBottom w:val="0"/>
              <w:divBdr>
                <w:top w:val="none" w:sz="0" w:space="0" w:color="auto"/>
                <w:left w:val="none" w:sz="0" w:space="0" w:color="auto"/>
                <w:bottom w:val="none" w:sz="0" w:space="0" w:color="auto"/>
                <w:right w:val="none" w:sz="0" w:space="0" w:color="auto"/>
              </w:divBdr>
              <w:divsChild>
                <w:div w:id="14185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77191">
      <w:bodyDiv w:val="1"/>
      <w:marLeft w:val="0"/>
      <w:marRight w:val="0"/>
      <w:marTop w:val="0"/>
      <w:marBottom w:val="0"/>
      <w:divBdr>
        <w:top w:val="none" w:sz="0" w:space="0" w:color="auto"/>
        <w:left w:val="none" w:sz="0" w:space="0" w:color="auto"/>
        <w:bottom w:val="none" w:sz="0" w:space="0" w:color="auto"/>
        <w:right w:val="none" w:sz="0" w:space="0" w:color="auto"/>
      </w:divBdr>
    </w:div>
    <w:div w:id="529949592">
      <w:bodyDiv w:val="1"/>
      <w:marLeft w:val="0"/>
      <w:marRight w:val="0"/>
      <w:marTop w:val="0"/>
      <w:marBottom w:val="0"/>
      <w:divBdr>
        <w:top w:val="none" w:sz="0" w:space="0" w:color="auto"/>
        <w:left w:val="none" w:sz="0" w:space="0" w:color="auto"/>
        <w:bottom w:val="none" w:sz="0" w:space="0" w:color="auto"/>
        <w:right w:val="none" w:sz="0" w:space="0" w:color="auto"/>
      </w:divBdr>
    </w:div>
    <w:div w:id="540244440">
      <w:bodyDiv w:val="1"/>
      <w:marLeft w:val="0"/>
      <w:marRight w:val="0"/>
      <w:marTop w:val="0"/>
      <w:marBottom w:val="0"/>
      <w:divBdr>
        <w:top w:val="none" w:sz="0" w:space="0" w:color="auto"/>
        <w:left w:val="none" w:sz="0" w:space="0" w:color="auto"/>
        <w:bottom w:val="none" w:sz="0" w:space="0" w:color="auto"/>
        <w:right w:val="none" w:sz="0" w:space="0" w:color="auto"/>
      </w:divBdr>
      <w:divsChild>
        <w:div w:id="720712515">
          <w:marLeft w:val="0"/>
          <w:marRight w:val="0"/>
          <w:marTop w:val="0"/>
          <w:marBottom w:val="0"/>
          <w:divBdr>
            <w:top w:val="none" w:sz="0" w:space="0" w:color="auto"/>
            <w:left w:val="none" w:sz="0" w:space="0" w:color="auto"/>
            <w:bottom w:val="none" w:sz="0" w:space="0" w:color="auto"/>
            <w:right w:val="none" w:sz="0" w:space="0" w:color="auto"/>
          </w:divBdr>
          <w:divsChild>
            <w:div w:id="1461146778">
              <w:marLeft w:val="0"/>
              <w:marRight w:val="0"/>
              <w:marTop w:val="0"/>
              <w:marBottom w:val="0"/>
              <w:divBdr>
                <w:top w:val="none" w:sz="0" w:space="0" w:color="auto"/>
                <w:left w:val="none" w:sz="0" w:space="0" w:color="auto"/>
                <w:bottom w:val="none" w:sz="0" w:space="0" w:color="auto"/>
                <w:right w:val="none" w:sz="0" w:space="0" w:color="auto"/>
              </w:divBdr>
              <w:divsChild>
                <w:div w:id="1698577471">
                  <w:marLeft w:val="0"/>
                  <w:marRight w:val="0"/>
                  <w:marTop w:val="0"/>
                  <w:marBottom w:val="0"/>
                  <w:divBdr>
                    <w:top w:val="none" w:sz="0" w:space="0" w:color="auto"/>
                    <w:left w:val="none" w:sz="0" w:space="0" w:color="auto"/>
                    <w:bottom w:val="none" w:sz="0" w:space="0" w:color="auto"/>
                    <w:right w:val="none" w:sz="0" w:space="0" w:color="auto"/>
                  </w:divBdr>
                  <w:divsChild>
                    <w:div w:id="12225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72063">
      <w:bodyDiv w:val="1"/>
      <w:marLeft w:val="0"/>
      <w:marRight w:val="0"/>
      <w:marTop w:val="0"/>
      <w:marBottom w:val="0"/>
      <w:divBdr>
        <w:top w:val="none" w:sz="0" w:space="0" w:color="auto"/>
        <w:left w:val="none" w:sz="0" w:space="0" w:color="auto"/>
        <w:bottom w:val="none" w:sz="0" w:space="0" w:color="auto"/>
        <w:right w:val="none" w:sz="0" w:space="0" w:color="auto"/>
      </w:divBdr>
      <w:divsChild>
        <w:div w:id="314068421">
          <w:marLeft w:val="0"/>
          <w:marRight w:val="0"/>
          <w:marTop w:val="166"/>
          <w:marBottom w:val="166"/>
          <w:divBdr>
            <w:top w:val="none" w:sz="0" w:space="0" w:color="auto"/>
            <w:left w:val="none" w:sz="0" w:space="0" w:color="auto"/>
            <w:bottom w:val="none" w:sz="0" w:space="0" w:color="auto"/>
            <w:right w:val="none" w:sz="0" w:space="0" w:color="auto"/>
          </w:divBdr>
          <w:divsChild>
            <w:div w:id="7287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9979">
      <w:bodyDiv w:val="1"/>
      <w:marLeft w:val="0"/>
      <w:marRight w:val="0"/>
      <w:marTop w:val="0"/>
      <w:marBottom w:val="0"/>
      <w:divBdr>
        <w:top w:val="none" w:sz="0" w:space="0" w:color="auto"/>
        <w:left w:val="none" w:sz="0" w:space="0" w:color="auto"/>
        <w:bottom w:val="none" w:sz="0" w:space="0" w:color="auto"/>
        <w:right w:val="none" w:sz="0" w:space="0" w:color="auto"/>
      </w:divBdr>
      <w:divsChild>
        <w:div w:id="1037241626">
          <w:marLeft w:val="0"/>
          <w:marRight w:val="0"/>
          <w:marTop w:val="0"/>
          <w:marBottom w:val="0"/>
          <w:divBdr>
            <w:top w:val="none" w:sz="0" w:space="0" w:color="auto"/>
            <w:left w:val="none" w:sz="0" w:space="0" w:color="auto"/>
            <w:bottom w:val="none" w:sz="0" w:space="0" w:color="auto"/>
            <w:right w:val="none" w:sz="0" w:space="0" w:color="auto"/>
          </w:divBdr>
          <w:divsChild>
            <w:div w:id="1628658292">
              <w:marLeft w:val="0"/>
              <w:marRight w:val="0"/>
              <w:marTop w:val="0"/>
              <w:marBottom w:val="0"/>
              <w:divBdr>
                <w:top w:val="none" w:sz="0" w:space="0" w:color="auto"/>
                <w:left w:val="none" w:sz="0" w:space="0" w:color="auto"/>
                <w:bottom w:val="none" w:sz="0" w:space="0" w:color="auto"/>
                <w:right w:val="none" w:sz="0" w:space="0" w:color="auto"/>
              </w:divBdr>
              <w:divsChild>
                <w:div w:id="1580092510">
                  <w:marLeft w:val="0"/>
                  <w:marRight w:val="0"/>
                  <w:marTop w:val="0"/>
                  <w:marBottom w:val="0"/>
                  <w:divBdr>
                    <w:top w:val="none" w:sz="0" w:space="0" w:color="auto"/>
                    <w:left w:val="none" w:sz="0" w:space="0" w:color="auto"/>
                    <w:bottom w:val="none" w:sz="0" w:space="0" w:color="auto"/>
                    <w:right w:val="none" w:sz="0" w:space="0" w:color="auto"/>
                  </w:divBdr>
                  <w:divsChild>
                    <w:div w:id="21033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3140">
      <w:bodyDiv w:val="1"/>
      <w:marLeft w:val="0"/>
      <w:marRight w:val="0"/>
      <w:marTop w:val="0"/>
      <w:marBottom w:val="0"/>
      <w:divBdr>
        <w:top w:val="none" w:sz="0" w:space="0" w:color="auto"/>
        <w:left w:val="none" w:sz="0" w:space="0" w:color="auto"/>
        <w:bottom w:val="none" w:sz="0" w:space="0" w:color="auto"/>
        <w:right w:val="none" w:sz="0" w:space="0" w:color="auto"/>
      </w:divBdr>
    </w:div>
    <w:div w:id="584341793">
      <w:bodyDiv w:val="1"/>
      <w:marLeft w:val="0"/>
      <w:marRight w:val="0"/>
      <w:marTop w:val="0"/>
      <w:marBottom w:val="0"/>
      <w:divBdr>
        <w:top w:val="none" w:sz="0" w:space="0" w:color="auto"/>
        <w:left w:val="none" w:sz="0" w:space="0" w:color="auto"/>
        <w:bottom w:val="none" w:sz="0" w:space="0" w:color="auto"/>
        <w:right w:val="none" w:sz="0" w:space="0" w:color="auto"/>
      </w:divBdr>
    </w:div>
    <w:div w:id="585504835">
      <w:bodyDiv w:val="1"/>
      <w:marLeft w:val="0"/>
      <w:marRight w:val="0"/>
      <w:marTop w:val="0"/>
      <w:marBottom w:val="0"/>
      <w:divBdr>
        <w:top w:val="none" w:sz="0" w:space="0" w:color="auto"/>
        <w:left w:val="none" w:sz="0" w:space="0" w:color="auto"/>
        <w:bottom w:val="none" w:sz="0" w:space="0" w:color="auto"/>
        <w:right w:val="none" w:sz="0" w:space="0" w:color="auto"/>
      </w:divBdr>
    </w:div>
    <w:div w:id="602685864">
      <w:bodyDiv w:val="1"/>
      <w:marLeft w:val="0"/>
      <w:marRight w:val="0"/>
      <w:marTop w:val="0"/>
      <w:marBottom w:val="0"/>
      <w:divBdr>
        <w:top w:val="none" w:sz="0" w:space="0" w:color="auto"/>
        <w:left w:val="none" w:sz="0" w:space="0" w:color="auto"/>
        <w:bottom w:val="none" w:sz="0" w:space="0" w:color="auto"/>
        <w:right w:val="none" w:sz="0" w:space="0" w:color="auto"/>
      </w:divBdr>
    </w:div>
    <w:div w:id="626854471">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2">
          <w:marLeft w:val="0"/>
          <w:marRight w:val="0"/>
          <w:marTop w:val="0"/>
          <w:marBottom w:val="0"/>
          <w:divBdr>
            <w:top w:val="none" w:sz="0" w:space="0" w:color="auto"/>
            <w:left w:val="none" w:sz="0" w:space="0" w:color="auto"/>
            <w:bottom w:val="none" w:sz="0" w:space="0" w:color="auto"/>
            <w:right w:val="none" w:sz="0" w:space="0" w:color="auto"/>
          </w:divBdr>
          <w:divsChild>
            <w:div w:id="1096176127">
              <w:marLeft w:val="0"/>
              <w:marRight w:val="0"/>
              <w:marTop w:val="0"/>
              <w:marBottom w:val="0"/>
              <w:divBdr>
                <w:top w:val="none" w:sz="0" w:space="0" w:color="auto"/>
                <w:left w:val="none" w:sz="0" w:space="0" w:color="auto"/>
                <w:bottom w:val="none" w:sz="0" w:space="0" w:color="auto"/>
                <w:right w:val="none" w:sz="0" w:space="0" w:color="auto"/>
              </w:divBdr>
              <w:divsChild>
                <w:div w:id="13439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1743">
      <w:bodyDiv w:val="1"/>
      <w:marLeft w:val="0"/>
      <w:marRight w:val="0"/>
      <w:marTop w:val="0"/>
      <w:marBottom w:val="0"/>
      <w:divBdr>
        <w:top w:val="none" w:sz="0" w:space="0" w:color="auto"/>
        <w:left w:val="none" w:sz="0" w:space="0" w:color="auto"/>
        <w:bottom w:val="none" w:sz="0" w:space="0" w:color="auto"/>
        <w:right w:val="none" w:sz="0" w:space="0" w:color="auto"/>
      </w:divBdr>
      <w:divsChild>
        <w:div w:id="233588308">
          <w:marLeft w:val="0"/>
          <w:marRight w:val="0"/>
          <w:marTop w:val="0"/>
          <w:marBottom w:val="300"/>
          <w:divBdr>
            <w:top w:val="none" w:sz="0" w:space="0" w:color="auto"/>
            <w:left w:val="none" w:sz="0" w:space="0" w:color="auto"/>
            <w:bottom w:val="none" w:sz="0" w:space="0" w:color="auto"/>
            <w:right w:val="none" w:sz="0" w:space="0" w:color="auto"/>
          </w:divBdr>
        </w:div>
        <w:div w:id="570316028">
          <w:marLeft w:val="0"/>
          <w:marRight w:val="0"/>
          <w:marTop w:val="75"/>
          <w:marBottom w:val="0"/>
          <w:divBdr>
            <w:top w:val="none" w:sz="0" w:space="0" w:color="auto"/>
            <w:left w:val="none" w:sz="0" w:space="0" w:color="auto"/>
            <w:bottom w:val="none" w:sz="0" w:space="0" w:color="auto"/>
            <w:right w:val="none" w:sz="0" w:space="0" w:color="auto"/>
          </w:divBdr>
        </w:div>
        <w:div w:id="1540319324">
          <w:marLeft w:val="0"/>
          <w:marRight w:val="0"/>
          <w:marTop w:val="75"/>
          <w:marBottom w:val="300"/>
          <w:divBdr>
            <w:top w:val="none" w:sz="0" w:space="0" w:color="auto"/>
            <w:left w:val="none" w:sz="0" w:space="0" w:color="auto"/>
            <w:bottom w:val="none" w:sz="0" w:space="0" w:color="auto"/>
            <w:right w:val="none" w:sz="0" w:space="0" w:color="auto"/>
          </w:divBdr>
        </w:div>
      </w:divsChild>
    </w:div>
    <w:div w:id="638806487">
      <w:bodyDiv w:val="1"/>
      <w:marLeft w:val="0"/>
      <w:marRight w:val="0"/>
      <w:marTop w:val="0"/>
      <w:marBottom w:val="0"/>
      <w:divBdr>
        <w:top w:val="none" w:sz="0" w:space="0" w:color="auto"/>
        <w:left w:val="none" w:sz="0" w:space="0" w:color="auto"/>
        <w:bottom w:val="none" w:sz="0" w:space="0" w:color="auto"/>
        <w:right w:val="none" w:sz="0" w:space="0" w:color="auto"/>
      </w:divBdr>
    </w:div>
    <w:div w:id="672686568">
      <w:bodyDiv w:val="1"/>
      <w:marLeft w:val="0"/>
      <w:marRight w:val="0"/>
      <w:marTop w:val="0"/>
      <w:marBottom w:val="0"/>
      <w:divBdr>
        <w:top w:val="none" w:sz="0" w:space="0" w:color="auto"/>
        <w:left w:val="none" w:sz="0" w:space="0" w:color="auto"/>
        <w:bottom w:val="none" w:sz="0" w:space="0" w:color="auto"/>
        <w:right w:val="none" w:sz="0" w:space="0" w:color="auto"/>
      </w:divBdr>
      <w:divsChild>
        <w:div w:id="336616188">
          <w:marLeft w:val="0"/>
          <w:marRight w:val="0"/>
          <w:marTop w:val="0"/>
          <w:marBottom w:val="0"/>
          <w:divBdr>
            <w:top w:val="none" w:sz="0" w:space="0" w:color="auto"/>
            <w:left w:val="none" w:sz="0" w:space="0" w:color="auto"/>
            <w:bottom w:val="none" w:sz="0" w:space="0" w:color="auto"/>
            <w:right w:val="none" w:sz="0" w:space="0" w:color="auto"/>
          </w:divBdr>
          <w:divsChild>
            <w:div w:id="1614633327">
              <w:marLeft w:val="0"/>
              <w:marRight w:val="0"/>
              <w:marTop w:val="0"/>
              <w:marBottom w:val="0"/>
              <w:divBdr>
                <w:top w:val="none" w:sz="0" w:space="0" w:color="auto"/>
                <w:left w:val="none" w:sz="0" w:space="0" w:color="auto"/>
                <w:bottom w:val="none" w:sz="0" w:space="0" w:color="auto"/>
                <w:right w:val="none" w:sz="0" w:space="0" w:color="auto"/>
              </w:divBdr>
              <w:divsChild>
                <w:div w:id="1695615916">
                  <w:marLeft w:val="0"/>
                  <w:marRight w:val="0"/>
                  <w:marTop w:val="0"/>
                  <w:marBottom w:val="0"/>
                  <w:divBdr>
                    <w:top w:val="none" w:sz="0" w:space="0" w:color="auto"/>
                    <w:left w:val="none" w:sz="0" w:space="0" w:color="auto"/>
                    <w:bottom w:val="none" w:sz="0" w:space="0" w:color="auto"/>
                    <w:right w:val="none" w:sz="0" w:space="0" w:color="auto"/>
                  </w:divBdr>
                  <w:divsChild>
                    <w:div w:id="4358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8416">
      <w:bodyDiv w:val="1"/>
      <w:marLeft w:val="0"/>
      <w:marRight w:val="0"/>
      <w:marTop w:val="0"/>
      <w:marBottom w:val="0"/>
      <w:divBdr>
        <w:top w:val="none" w:sz="0" w:space="0" w:color="auto"/>
        <w:left w:val="none" w:sz="0" w:space="0" w:color="auto"/>
        <w:bottom w:val="none" w:sz="0" w:space="0" w:color="auto"/>
        <w:right w:val="none" w:sz="0" w:space="0" w:color="auto"/>
      </w:divBdr>
      <w:divsChild>
        <w:div w:id="1267621068">
          <w:marLeft w:val="0"/>
          <w:marRight w:val="0"/>
          <w:marTop w:val="0"/>
          <w:marBottom w:val="0"/>
          <w:divBdr>
            <w:top w:val="none" w:sz="0" w:space="0" w:color="auto"/>
            <w:left w:val="none" w:sz="0" w:space="0" w:color="auto"/>
            <w:bottom w:val="none" w:sz="0" w:space="0" w:color="auto"/>
            <w:right w:val="none" w:sz="0" w:space="0" w:color="auto"/>
          </w:divBdr>
          <w:divsChild>
            <w:div w:id="1351300699">
              <w:marLeft w:val="0"/>
              <w:marRight w:val="0"/>
              <w:marTop w:val="0"/>
              <w:marBottom w:val="0"/>
              <w:divBdr>
                <w:top w:val="none" w:sz="0" w:space="0" w:color="auto"/>
                <w:left w:val="none" w:sz="0" w:space="0" w:color="auto"/>
                <w:bottom w:val="none" w:sz="0" w:space="0" w:color="auto"/>
                <w:right w:val="none" w:sz="0" w:space="0" w:color="auto"/>
              </w:divBdr>
              <w:divsChild>
                <w:div w:id="1684942143">
                  <w:marLeft w:val="0"/>
                  <w:marRight w:val="0"/>
                  <w:marTop w:val="0"/>
                  <w:marBottom w:val="0"/>
                  <w:divBdr>
                    <w:top w:val="none" w:sz="0" w:space="0" w:color="auto"/>
                    <w:left w:val="none" w:sz="0" w:space="0" w:color="auto"/>
                    <w:bottom w:val="none" w:sz="0" w:space="0" w:color="auto"/>
                    <w:right w:val="none" w:sz="0" w:space="0" w:color="auto"/>
                  </w:divBdr>
                  <w:divsChild>
                    <w:div w:id="19042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4416">
      <w:bodyDiv w:val="1"/>
      <w:marLeft w:val="0"/>
      <w:marRight w:val="0"/>
      <w:marTop w:val="0"/>
      <w:marBottom w:val="0"/>
      <w:divBdr>
        <w:top w:val="none" w:sz="0" w:space="0" w:color="auto"/>
        <w:left w:val="none" w:sz="0" w:space="0" w:color="auto"/>
        <w:bottom w:val="none" w:sz="0" w:space="0" w:color="auto"/>
        <w:right w:val="none" w:sz="0" w:space="0" w:color="auto"/>
      </w:divBdr>
    </w:div>
    <w:div w:id="781650217">
      <w:bodyDiv w:val="1"/>
      <w:marLeft w:val="0"/>
      <w:marRight w:val="0"/>
      <w:marTop w:val="0"/>
      <w:marBottom w:val="0"/>
      <w:divBdr>
        <w:top w:val="none" w:sz="0" w:space="0" w:color="auto"/>
        <w:left w:val="none" w:sz="0" w:space="0" w:color="auto"/>
        <w:bottom w:val="none" w:sz="0" w:space="0" w:color="auto"/>
        <w:right w:val="none" w:sz="0" w:space="0" w:color="auto"/>
      </w:divBdr>
      <w:divsChild>
        <w:div w:id="1627154210">
          <w:marLeft w:val="0"/>
          <w:marRight w:val="0"/>
          <w:marTop w:val="0"/>
          <w:marBottom w:val="0"/>
          <w:divBdr>
            <w:top w:val="none" w:sz="0" w:space="0" w:color="auto"/>
            <w:left w:val="none" w:sz="0" w:space="0" w:color="auto"/>
            <w:bottom w:val="none" w:sz="0" w:space="0" w:color="auto"/>
            <w:right w:val="none" w:sz="0" w:space="0" w:color="auto"/>
          </w:divBdr>
          <w:divsChild>
            <w:div w:id="930040226">
              <w:marLeft w:val="0"/>
              <w:marRight w:val="0"/>
              <w:marTop w:val="0"/>
              <w:marBottom w:val="0"/>
              <w:divBdr>
                <w:top w:val="none" w:sz="0" w:space="0" w:color="auto"/>
                <w:left w:val="none" w:sz="0" w:space="0" w:color="auto"/>
                <w:bottom w:val="none" w:sz="0" w:space="0" w:color="auto"/>
                <w:right w:val="none" w:sz="0" w:space="0" w:color="auto"/>
              </w:divBdr>
              <w:divsChild>
                <w:div w:id="10536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4083">
      <w:bodyDiv w:val="1"/>
      <w:marLeft w:val="0"/>
      <w:marRight w:val="0"/>
      <w:marTop w:val="0"/>
      <w:marBottom w:val="0"/>
      <w:divBdr>
        <w:top w:val="none" w:sz="0" w:space="0" w:color="auto"/>
        <w:left w:val="none" w:sz="0" w:space="0" w:color="auto"/>
        <w:bottom w:val="none" w:sz="0" w:space="0" w:color="auto"/>
        <w:right w:val="none" w:sz="0" w:space="0" w:color="auto"/>
      </w:divBdr>
    </w:div>
    <w:div w:id="857112570">
      <w:bodyDiv w:val="1"/>
      <w:marLeft w:val="0"/>
      <w:marRight w:val="0"/>
      <w:marTop w:val="0"/>
      <w:marBottom w:val="0"/>
      <w:divBdr>
        <w:top w:val="none" w:sz="0" w:space="0" w:color="auto"/>
        <w:left w:val="none" w:sz="0" w:space="0" w:color="auto"/>
        <w:bottom w:val="none" w:sz="0" w:space="0" w:color="auto"/>
        <w:right w:val="none" w:sz="0" w:space="0" w:color="auto"/>
      </w:divBdr>
    </w:div>
    <w:div w:id="870604698">
      <w:bodyDiv w:val="1"/>
      <w:marLeft w:val="0"/>
      <w:marRight w:val="0"/>
      <w:marTop w:val="0"/>
      <w:marBottom w:val="0"/>
      <w:divBdr>
        <w:top w:val="none" w:sz="0" w:space="0" w:color="auto"/>
        <w:left w:val="none" w:sz="0" w:space="0" w:color="auto"/>
        <w:bottom w:val="none" w:sz="0" w:space="0" w:color="auto"/>
        <w:right w:val="none" w:sz="0" w:space="0" w:color="auto"/>
      </w:divBdr>
    </w:div>
    <w:div w:id="884414305">
      <w:bodyDiv w:val="1"/>
      <w:marLeft w:val="0"/>
      <w:marRight w:val="0"/>
      <w:marTop w:val="0"/>
      <w:marBottom w:val="0"/>
      <w:divBdr>
        <w:top w:val="none" w:sz="0" w:space="0" w:color="auto"/>
        <w:left w:val="none" w:sz="0" w:space="0" w:color="auto"/>
        <w:bottom w:val="none" w:sz="0" w:space="0" w:color="auto"/>
        <w:right w:val="none" w:sz="0" w:space="0" w:color="auto"/>
      </w:divBdr>
      <w:divsChild>
        <w:div w:id="1014962983">
          <w:marLeft w:val="0"/>
          <w:marRight w:val="0"/>
          <w:marTop w:val="0"/>
          <w:marBottom w:val="0"/>
          <w:divBdr>
            <w:top w:val="none" w:sz="0" w:space="0" w:color="auto"/>
            <w:left w:val="none" w:sz="0" w:space="0" w:color="auto"/>
            <w:bottom w:val="none" w:sz="0" w:space="0" w:color="auto"/>
            <w:right w:val="none" w:sz="0" w:space="0" w:color="auto"/>
          </w:divBdr>
          <w:divsChild>
            <w:div w:id="277219784">
              <w:marLeft w:val="0"/>
              <w:marRight w:val="0"/>
              <w:marTop w:val="0"/>
              <w:marBottom w:val="0"/>
              <w:divBdr>
                <w:top w:val="none" w:sz="0" w:space="0" w:color="auto"/>
                <w:left w:val="none" w:sz="0" w:space="0" w:color="auto"/>
                <w:bottom w:val="none" w:sz="0" w:space="0" w:color="auto"/>
                <w:right w:val="none" w:sz="0" w:space="0" w:color="auto"/>
              </w:divBdr>
              <w:divsChild>
                <w:div w:id="12247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8702">
      <w:bodyDiv w:val="1"/>
      <w:marLeft w:val="0"/>
      <w:marRight w:val="0"/>
      <w:marTop w:val="0"/>
      <w:marBottom w:val="0"/>
      <w:divBdr>
        <w:top w:val="none" w:sz="0" w:space="0" w:color="auto"/>
        <w:left w:val="none" w:sz="0" w:space="0" w:color="auto"/>
        <w:bottom w:val="none" w:sz="0" w:space="0" w:color="auto"/>
        <w:right w:val="none" w:sz="0" w:space="0" w:color="auto"/>
      </w:divBdr>
      <w:divsChild>
        <w:div w:id="1929999319">
          <w:marLeft w:val="0"/>
          <w:marRight w:val="0"/>
          <w:marTop w:val="0"/>
          <w:marBottom w:val="0"/>
          <w:divBdr>
            <w:top w:val="none" w:sz="0" w:space="0" w:color="auto"/>
            <w:left w:val="none" w:sz="0" w:space="0" w:color="auto"/>
            <w:bottom w:val="none" w:sz="0" w:space="0" w:color="auto"/>
            <w:right w:val="none" w:sz="0" w:space="0" w:color="auto"/>
          </w:divBdr>
          <w:divsChild>
            <w:div w:id="1696733999">
              <w:marLeft w:val="0"/>
              <w:marRight w:val="0"/>
              <w:marTop w:val="0"/>
              <w:marBottom w:val="0"/>
              <w:divBdr>
                <w:top w:val="none" w:sz="0" w:space="0" w:color="auto"/>
                <w:left w:val="none" w:sz="0" w:space="0" w:color="auto"/>
                <w:bottom w:val="none" w:sz="0" w:space="0" w:color="auto"/>
                <w:right w:val="none" w:sz="0" w:space="0" w:color="auto"/>
              </w:divBdr>
              <w:divsChild>
                <w:div w:id="340399502">
                  <w:marLeft w:val="0"/>
                  <w:marRight w:val="0"/>
                  <w:marTop w:val="0"/>
                  <w:marBottom w:val="0"/>
                  <w:divBdr>
                    <w:top w:val="none" w:sz="0" w:space="0" w:color="auto"/>
                    <w:left w:val="none" w:sz="0" w:space="0" w:color="auto"/>
                    <w:bottom w:val="none" w:sz="0" w:space="0" w:color="auto"/>
                    <w:right w:val="none" w:sz="0" w:space="0" w:color="auto"/>
                  </w:divBdr>
                  <w:divsChild>
                    <w:div w:id="10369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54258">
      <w:bodyDiv w:val="1"/>
      <w:marLeft w:val="0"/>
      <w:marRight w:val="0"/>
      <w:marTop w:val="0"/>
      <w:marBottom w:val="0"/>
      <w:divBdr>
        <w:top w:val="none" w:sz="0" w:space="0" w:color="auto"/>
        <w:left w:val="none" w:sz="0" w:space="0" w:color="auto"/>
        <w:bottom w:val="none" w:sz="0" w:space="0" w:color="auto"/>
        <w:right w:val="none" w:sz="0" w:space="0" w:color="auto"/>
      </w:divBdr>
      <w:divsChild>
        <w:div w:id="1347177185">
          <w:marLeft w:val="0"/>
          <w:marRight w:val="0"/>
          <w:marTop w:val="0"/>
          <w:marBottom w:val="0"/>
          <w:divBdr>
            <w:top w:val="none" w:sz="0" w:space="0" w:color="auto"/>
            <w:left w:val="none" w:sz="0" w:space="0" w:color="auto"/>
            <w:bottom w:val="none" w:sz="0" w:space="0" w:color="auto"/>
            <w:right w:val="none" w:sz="0" w:space="0" w:color="auto"/>
          </w:divBdr>
          <w:divsChild>
            <w:div w:id="43216395">
              <w:marLeft w:val="0"/>
              <w:marRight w:val="0"/>
              <w:marTop w:val="0"/>
              <w:marBottom w:val="0"/>
              <w:divBdr>
                <w:top w:val="none" w:sz="0" w:space="0" w:color="auto"/>
                <w:left w:val="none" w:sz="0" w:space="0" w:color="auto"/>
                <w:bottom w:val="none" w:sz="0" w:space="0" w:color="auto"/>
                <w:right w:val="none" w:sz="0" w:space="0" w:color="auto"/>
              </w:divBdr>
              <w:divsChild>
                <w:div w:id="4125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7395">
      <w:bodyDiv w:val="1"/>
      <w:marLeft w:val="0"/>
      <w:marRight w:val="0"/>
      <w:marTop w:val="0"/>
      <w:marBottom w:val="0"/>
      <w:divBdr>
        <w:top w:val="none" w:sz="0" w:space="0" w:color="auto"/>
        <w:left w:val="none" w:sz="0" w:space="0" w:color="auto"/>
        <w:bottom w:val="none" w:sz="0" w:space="0" w:color="auto"/>
        <w:right w:val="none" w:sz="0" w:space="0" w:color="auto"/>
      </w:divBdr>
    </w:div>
    <w:div w:id="962350541">
      <w:bodyDiv w:val="1"/>
      <w:marLeft w:val="0"/>
      <w:marRight w:val="0"/>
      <w:marTop w:val="0"/>
      <w:marBottom w:val="0"/>
      <w:divBdr>
        <w:top w:val="none" w:sz="0" w:space="0" w:color="auto"/>
        <w:left w:val="none" w:sz="0" w:space="0" w:color="auto"/>
        <w:bottom w:val="none" w:sz="0" w:space="0" w:color="auto"/>
        <w:right w:val="none" w:sz="0" w:space="0" w:color="auto"/>
      </w:divBdr>
    </w:div>
    <w:div w:id="984238510">
      <w:bodyDiv w:val="1"/>
      <w:marLeft w:val="0"/>
      <w:marRight w:val="0"/>
      <w:marTop w:val="0"/>
      <w:marBottom w:val="0"/>
      <w:divBdr>
        <w:top w:val="none" w:sz="0" w:space="0" w:color="auto"/>
        <w:left w:val="none" w:sz="0" w:space="0" w:color="auto"/>
        <w:bottom w:val="none" w:sz="0" w:space="0" w:color="auto"/>
        <w:right w:val="none" w:sz="0" w:space="0" w:color="auto"/>
      </w:divBdr>
    </w:div>
    <w:div w:id="10002362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746">
          <w:marLeft w:val="0"/>
          <w:marRight w:val="0"/>
          <w:marTop w:val="0"/>
          <w:marBottom w:val="0"/>
          <w:divBdr>
            <w:top w:val="none" w:sz="0" w:space="0" w:color="auto"/>
            <w:left w:val="none" w:sz="0" w:space="0" w:color="auto"/>
            <w:bottom w:val="none" w:sz="0" w:space="0" w:color="auto"/>
            <w:right w:val="none" w:sz="0" w:space="0" w:color="auto"/>
          </w:divBdr>
          <w:divsChild>
            <w:div w:id="1036006055">
              <w:marLeft w:val="0"/>
              <w:marRight w:val="0"/>
              <w:marTop w:val="0"/>
              <w:marBottom w:val="0"/>
              <w:divBdr>
                <w:top w:val="none" w:sz="0" w:space="0" w:color="auto"/>
                <w:left w:val="none" w:sz="0" w:space="0" w:color="auto"/>
                <w:bottom w:val="none" w:sz="0" w:space="0" w:color="auto"/>
                <w:right w:val="none" w:sz="0" w:space="0" w:color="auto"/>
              </w:divBdr>
              <w:divsChild>
                <w:div w:id="13510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50577">
      <w:bodyDiv w:val="1"/>
      <w:marLeft w:val="0"/>
      <w:marRight w:val="0"/>
      <w:marTop w:val="0"/>
      <w:marBottom w:val="0"/>
      <w:divBdr>
        <w:top w:val="none" w:sz="0" w:space="0" w:color="auto"/>
        <w:left w:val="none" w:sz="0" w:space="0" w:color="auto"/>
        <w:bottom w:val="none" w:sz="0" w:space="0" w:color="auto"/>
        <w:right w:val="none" w:sz="0" w:space="0" w:color="auto"/>
      </w:divBdr>
    </w:div>
    <w:div w:id="1040935730">
      <w:bodyDiv w:val="1"/>
      <w:marLeft w:val="0"/>
      <w:marRight w:val="0"/>
      <w:marTop w:val="0"/>
      <w:marBottom w:val="0"/>
      <w:divBdr>
        <w:top w:val="none" w:sz="0" w:space="0" w:color="auto"/>
        <w:left w:val="none" w:sz="0" w:space="0" w:color="auto"/>
        <w:bottom w:val="none" w:sz="0" w:space="0" w:color="auto"/>
        <w:right w:val="none" w:sz="0" w:space="0" w:color="auto"/>
      </w:divBdr>
    </w:div>
    <w:div w:id="1078330730">
      <w:bodyDiv w:val="1"/>
      <w:marLeft w:val="0"/>
      <w:marRight w:val="0"/>
      <w:marTop w:val="0"/>
      <w:marBottom w:val="0"/>
      <w:divBdr>
        <w:top w:val="none" w:sz="0" w:space="0" w:color="auto"/>
        <w:left w:val="none" w:sz="0" w:space="0" w:color="auto"/>
        <w:bottom w:val="none" w:sz="0" w:space="0" w:color="auto"/>
        <w:right w:val="none" w:sz="0" w:space="0" w:color="auto"/>
      </w:divBdr>
      <w:divsChild>
        <w:div w:id="1373655931">
          <w:marLeft w:val="0"/>
          <w:marRight w:val="0"/>
          <w:marTop w:val="0"/>
          <w:marBottom w:val="0"/>
          <w:divBdr>
            <w:top w:val="none" w:sz="0" w:space="0" w:color="auto"/>
            <w:left w:val="none" w:sz="0" w:space="0" w:color="auto"/>
            <w:bottom w:val="none" w:sz="0" w:space="0" w:color="auto"/>
            <w:right w:val="none" w:sz="0" w:space="0" w:color="auto"/>
          </w:divBdr>
          <w:divsChild>
            <w:div w:id="326637705">
              <w:marLeft w:val="0"/>
              <w:marRight w:val="0"/>
              <w:marTop w:val="0"/>
              <w:marBottom w:val="0"/>
              <w:divBdr>
                <w:top w:val="none" w:sz="0" w:space="0" w:color="auto"/>
                <w:left w:val="none" w:sz="0" w:space="0" w:color="auto"/>
                <w:bottom w:val="none" w:sz="0" w:space="0" w:color="auto"/>
                <w:right w:val="none" w:sz="0" w:space="0" w:color="auto"/>
              </w:divBdr>
              <w:divsChild>
                <w:div w:id="809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70046">
      <w:bodyDiv w:val="1"/>
      <w:marLeft w:val="0"/>
      <w:marRight w:val="0"/>
      <w:marTop w:val="0"/>
      <w:marBottom w:val="0"/>
      <w:divBdr>
        <w:top w:val="none" w:sz="0" w:space="0" w:color="auto"/>
        <w:left w:val="none" w:sz="0" w:space="0" w:color="auto"/>
        <w:bottom w:val="none" w:sz="0" w:space="0" w:color="auto"/>
        <w:right w:val="none" w:sz="0" w:space="0" w:color="auto"/>
      </w:divBdr>
      <w:divsChild>
        <w:div w:id="1681423090">
          <w:marLeft w:val="0"/>
          <w:marRight w:val="0"/>
          <w:marTop w:val="0"/>
          <w:marBottom w:val="0"/>
          <w:divBdr>
            <w:top w:val="none" w:sz="0" w:space="0" w:color="auto"/>
            <w:left w:val="none" w:sz="0" w:space="0" w:color="auto"/>
            <w:bottom w:val="none" w:sz="0" w:space="0" w:color="auto"/>
            <w:right w:val="none" w:sz="0" w:space="0" w:color="auto"/>
          </w:divBdr>
          <w:divsChild>
            <w:div w:id="1859544547">
              <w:marLeft w:val="0"/>
              <w:marRight w:val="0"/>
              <w:marTop w:val="0"/>
              <w:marBottom w:val="0"/>
              <w:divBdr>
                <w:top w:val="none" w:sz="0" w:space="0" w:color="auto"/>
                <w:left w:val="none" w:sz="0" w:space="0" w:color="auto"/>
                <w:bottom w:val="none" w:sz="0" w:space="0" w:color="auto"/>
                <w:right w:val="none" w:sz="0" w:space="0" w:color="auto"/>
              </w:divBdr>
              <w:divsChild>
                <w:div w:id="10888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2617">
      <w:bodyDiv w:val="1"/>
      <w:marLeft w:val="0"/>
      <w:marRight w:val="0"/>
      <w:marTop w:val="0"/>
      <w:marBottom w:val="0"/>
      <w:divBdr>
        <w:top w:val="none" w:sz="0" w:space="0" w:color="auto"/>
        <w:left w:val="none" w:sz="0" w:space="0" w:color="auto"/>
        <w:bottom w:val="none" w:sz="0" w:space="0" w:color="auto"/>
        <w:right w:val="none" w:sz="0" w:space="0" w:color="auto"/>
      </w:divBdr>
      <w:divsChild>
        <w:div w:id="88671334">
          <w:marLeft w:val="0"/>
          <w:marRight w:val="0"/>
          <w:marTop w:val="0"/>
          <w:marBottom w:val="0"/>
          <w:divBdr>
            <w:top w:val="none" w:sz="0" w:space="0" w:color="auto"/>
            <w:left w:val="none" w:sz="0" w:space="0" w:color="auto"/>
            <w:bottom w:val="none" w:sz="0" w:space="0" w:color="auto"/>
            <w:right w:val="none" w:sz="0" w:space="0" w:color="auto"/>
          </w:divBdr>
          <w:divsChild>
            <w:div w:id="360514066">
              <w:marLeft w:val="0"/>
              <w:marRight w:val="0"/>
              <w:marTop w:val="0"/>
              <w:marBottom w:val="0"/>
              <w:divBdr>
                <w:top w:val="none" w:sz="0" w:space="0" w:color="auto"/>
                <w:left w:val="none" w:sz="0" w:space="0" w:color="auto"/>
                <w:bottom w:val="none" w:sz="0" w:space="0" w:color="auto"/>
                <w:right w:val="none" w:sz="0" w:space="0" w:color="auto"/>
              </w:divBdr>
              <w:divsChild>
                <w:div w:id="4398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7629">
      <w:bodyDiv w:val="1"/>
      <w:marLeft w:val="0"/>
      <w:marRight w:val="0"/>
      <w:marTop w:val="0"/>
      <w:marBottom w:val="0"/>
      <w:divBdr>
        <w:top w:val="none" w:sz="0" w:space="0" w:color="auto"/>
        <w:left w:val="none" w:sz="0" w:space="0" w:color="auto"/>
        <w:bottom w:val="none" w:sz="0" w:space="0" w:color="auto"/>
        <w:right w:val="none" w:sz="0" w:space="0" w:color="auto"/>
      </w:divBdr>
      <w:divsChild>
        <w:div w:id="1657301671">
          <w:marLeft w:val="0"/>
          <w:marRight w:val="0"/>
          <w:marTop w:val="0"/>
          <w:marBottom w:val="0"/>
          <w:divBdr>
            <w:top w:val="none" w:sz="0" w:space="0" w:color="auto"/>
            <w:left w:val="none" w:sz="0" w:space="0" w:color="auto"/>
            <w:bottom w:val="none" w:sz="0" w:space="0" w:color="auto"/>
            <w:right w:val="none" w:sz="0" w:space="0" w:color="auto"/>
          </w:divBdr>
          <w:divsChild>
            <w:div w:id="762384027">
              <w:marLeft w:val="0"/>
              <w:marRight w:val="0"/>
              <w:marTop w:val="0"/>
              <w:marBottom w:val="0"/>
              <w:divBdr>
                <w:top w:val="none" w:sz="0" w:space="0" w:color="auto"/>
                <w:left w:val="none" w:sz="0" w:space="0" w:color="auto"/>
                <w:bottom w:val="none" w:sz="0" w:space="0" w:color="auto"/>
                <w:right w:val="none" w:sz="0" w:space="0" w:color="auto"/>
              </w:divBdr>
              <w:divsChild>
                <w:div w:id="1245606070">
                  <w:marLeft w:val="0"/>
                  <w:marRight w:val="0"/>
                  <w:marTop w:val="0"/>
                  <w:marBottom w:val="0"/>
                  <w:divBdr>
                    <w:top w:val="none" w:sz="0" w:space="0" w:color="auto"/>
                    <w:left w:val="none" w:sz="0" w:space="0" w:color="auto"/>
                    <w:bottom w:val="none" w:sz="0" w:space="0" w:color="auto"/>
                    <w:right w:val="none" w:sz="0" w:space="0" w:color="auto"/>
                  </w:divBdr>
                  <w:divsChild>
                    <w:div w:id="12845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73143">
      <w:bodyDiv w:val="1"/>
      <w:marLeft w:val="0"/>
      <w:marRight w:val="0"/>
      <w:marTop w:val="0"/>
      <w:marBottom w:val="0"/>
      <w:divBdr>
        <w:top w:val="none" w:sz="0" w:space="0" w:color="auto"/>
        <w:left w:val="none" w:sz="0" w:space="0" w:color="auto"/>
        <w:bottom w:val="none" w:sz="0" w:space="0" w:color="auto"/>
        <w:right w:val="none" w:sz="0" w:space="0" w:color="auto"/>
      </w:divBdr>
    </w:div>
    <w:div w:id="1143622937">
      <w:bodyDiv w:val="1"/>
      <w:marLeft w:val="0"/>
      <w:marRight w:val="0"/>
      <w:marTop w:val="0"/>
      <w:marBottom w:val="0"/>
      <w:divBdr>
        <w:top w:val="none" w:sz="0" w:space="0" w:color="auto"/>
        <w:left w:val="none" w:sz="0" w:space="0" w:color="auto"/>
        <w:bottom w:val="none" w:sz="0" w:space="0" w:color="auto"/>
        <w:right w:val="none" w:sz="0" w:space="0" w:color="auto"/>
      </w:divBdr>
    </w:div>
    <w:div w:id="1147281095">
      <w:bodyDiv w:val="1"/>
      <w:marLeft w:val="0"/>
      <w:marRight w:val="0"/>
      <w:marTop w:val="0"/>
      <w:marBottom w:val="0"/>
      <w:divBdr>
        <w:top w:val="none" w:sz="0" w:space="0" w:color="auto"/>
        <w:left w:val="none" w:sz="0" w:space="0" w:color="auto"/>
        <w:bottom w:val="none" w:sz="0" w:space="0" w:color="auto"/>
        <w:right w:val="none" w:sz="0" w:space="0" w:color="auto"/>
      </w:divBdr>
    </w:div>
    <w:div w:id="1152984121">
      <w:bodyDiv w:val="1"/>
      <w:marLeft w:val="0"/>
      <w:marRight w:val="0"/>
      <w:marTop w:val="0"/>
      <w:marBottom w:val="0"/>
      <w:divBdr>
        <w:top w:val="none" w:sz="0" w:space="0" w:color="auto"/>
        <w:left w:val="none" w:sz="0" w:space="0" w:color="auto"/>
        <w:bottom w:val="none" w:sz="0" w:space="0" w:color="auto"/>
        <w:right w:val="none" w:sz="0" w:space="0" w:color="auto"/>
      </w:divBdr>
    </w:div>
    <w:div w:id="1170365135">
      <w:bodyDiv w:val="1"/>
      <w:marLeft w:val="0"/>
      <w:marRight w:val="0"/>
      <w:marTop w:val="0"/>
      <w:marBottom w:val="0"/>
      <w:divBdr>
        <w:top w:val="none" w:sz="0" w:space="0" w:color="auto"/>
        <w:left w:val="none" w:sz="0" w:space="0" w:color="auto"/>
        <w:bottom w:val="none" w:sz="0" w:space="0" w:color="auto"/>
        <w:right w:val="none" w:sz="0" w:space="0" w:color="auto"/>
      </w:divBdr>
    </w:div>
    <w:div w:id="1193962235">
      <w:bodyDiv w:val="1"/>
      <w:marLeft w:val="0"/>
      <w:marRight w:val="0"/>
      <w:marTop w:val="0"/>
      <w:marBottom w:val="0"/>
      <w:divBdr>
        <w:top w:val="none" w:sz="0" w:space="0" w:color="auto"/>
        <w:left w:val="none" w:sz="0" w:space="0" w:color="auto"/>
        <w:bottom w:val="none" w:sz="0" w:space="0" w:color="auto"/>
        <w:right w:val="none" w:sz="0" w:space="0" w:color="auto"/>
      </w:divBdr>
      <w:divsChild>
        <w:div w:id="1490440093">
          <w:marLeft w:val="0"/>
          <w:marRight w:val="0"/>
          <w:marTop w:val="0"/>
          <w:marBottom w:val="0"/>
          <w:divBdr>
            <w:top w:val="none" w:sz="0" w:space="0" w:color="auto"/>
            <w:left w:val="none" w:sz="0" w:space="0" w:color="auto"/>
            <w:bottom w:val="none" w:sz="0" w:space="0" w:color="auto"/>
            <w:right w:val="none" w:sz="0" w:space="0" w:color="auto"/>
          </w:divBdr>
          <w:divsChild>
            <w:div w:id="942952462">
              <w:marLeft w:val="0"/>
              <w:marRight w:val="0"/>
              <w:marTop w:val="0"/>
              <w:marBottom w:val="0"/>
              <w:divBdr>
                <w:top w:val="none" w:sz="0" w:space="0" w:color="auto"/>
                <w:left w:val="none" w:sz="0" w:space="0" w:color="auto"/>
                <w:bottom w:val="none" w:sz="0" w:space="0" w:color="auto"/>
                <w:right w:val="none" w:sz="0" w:space="0" w:color="auto"/>
              </w:divBdr>
              <w:divsChild>
                <w:div w:id="1032464395">
                  <w:marLeft w:val="0"/>
                  <w:marRight w:val="0"/>
                  <w:marTop w:val="0"/>
                  <w:marBottom w:val="0"/>
                  <w:divBdr>
                    <w:top w:val="none" w:sz="0" w:space="0" w:color="auto"/>
                    <w:left w:val="none" w:sz="0" w:space="0" w:color="auto"/>
                    <w:bottom w:val="none" w:sz="0" w:space="0" w:color="auto"/>
                    <w:right w:val="none" w:sz="0" w:space="0" w:color="auto"/>
                  </w:divBdr>
                  <w:divsChild>
                    <w:div w:id="17398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99772">
      <w:bodyDiv w:val="1"/>
      <w:marLeft w:val="0"/>
      <w:marRight w:val="0"/>
      <w:marTop w:val="0"/>
      <w:marBottom w:val="0"/>
      <w:divBdr>
        <w:top w:val="none" w:sz="0" w:space="0" w:color="auto"/>
        <w:left w:val="none" w:sz="0" w:space="0" w:color="auto"/>
        <w:bottom w:val="none" w:sz="0" w:space="0" w:color="auto"/>
        <w:right w:val="none" w:sz="0" w:space="0" w:color="auto"/>
      </w:divBdr>
    </w:div>
    <w:div w:id="1205555944">
      <w:bodyDiv w:val="1"/>
      <w:marLeft w:val="0"/>
      <w:marRight w:val="0"/>
      <w:marTop w:val="0"/>
      <w:marBottom w:val="0"/>
      <w:divBdr>
        <w:top w:val="none" w:sz="0" w:space="0" w:color="auto"/>
        <w:left w:val="none" w:sz="0" w:space="0" w:color="auto"/>
        <w:bottom w:val="none" w:sz="0" w:space="0" w:color="auto"/>
        <w:right w:val="none" w:sz="0" w:space="0" w:color="auto"/>
      </w:divBdr>
      <w:divsChild>
        <w:div w:id="1418282991">
          <w:marLeft w:val="0"/>
          <w:marRight w:val="0"/>
          <w:marTop w:val="0"/>
          <w:marBottom w:val="0"/>
          <w:divBdr>
            <w:top w:val="none" w:sz="0" w:space="0" w:color="auto"/>
            <w:left w:val="none" w:sz="0" w:space="0" w:color="auto"/>
            <w:bottom w:val="none" w:sz="0" w:space="0" w:color="auto"/>
            <w:right w:val="none" w:sz="0" w:space="0" w:color="auto"/>
          </w:divBdr>
          <w:divsChild>
            <w:div w:id="2091652133">
              <w:marLeft w:val="0"/>
              <w:marRight w:val="0"/>
              <w:marTop w:val="0"/>
              <w:marBottom w:val="0"/>
              <w:divBdr>
                <w:top w:val="none" w:sz="0" w:space="0" w:color="auto"/>
                <w:left w:val="none" w:sz="0" w:space="0" w:color="auto"/>
                <w:bottom w:val="none" w:sz="0" w:space="0" w:color="auto"/>
                <w:right w:val="none" w:sz="0" w:space="0" w:color="auto"/>
              </w:divBdr>
              <w:divsChild>
                <w:div w:id="1106004100">
                  <w:marLeft w:val="0"/>
                  <w:marRight w:val="0"/>
                  <w:marTop w:val="0"/>
                  <w:marBottom w:val="0"/>
                  <w:divBdr>
                    <w:top w:val="none" w:sz="0" w:space="0" w:color="auto"/>
                    <w:left w:val="none" w:sz="0" w:space="0" w:color="auto"/>
                    <w:bottom w:val="none" w:sz="0" w:space="0" w:color="auto"/>
                    <w:right w:val="none" w:sz="0" w:space="0" w:color="auto"/>
                  </w:divBdr>
                  <w:divsChild>
                    <w:div w:id="5675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430">
      <w:bodyDiv w:val="1"/>
      <w:marLeft w:val="0"/>
      <w:marRight w:val="0"/>
      <w:marTop w:val="0"/>
      <w:marBottom w:val="0"/>
      <w:divBdr>
        <w:top w:val="none" w:sz="0" w:space="0" w:color="auto"/>
        <w:left w:val="none" w:sz="0" w:space="0" w:color="auto"/>
        <w:bottom w:val="none" w:sz="0" w:space="0" w:color="auto"/>
        <w:right w:val="none" w:sz="0" w:space="0" w:color="auto"/>
      </w:divBdr>
      <w:divsChild>
        <w:div w:id="2050375449">
          <w:marLeft w:val="0"/>
          <w:marRight w:val="0"/>
          <w:marTop w:val="0"/>
          <w:marBottom w:val="0"/>
          <w:divBdr>
            <w:top w:val="none" w:sz="0" w:space="0" w:color="auto"/>
            <w:left w:val="none" w:sz="0" w:space="0" w:color="auto"/>
            <w:bottom w:val="none" w:sz="0" w:space="0" w:color="auto"/>
            <w:right w:val="none" w:sz="0" w:space="0" w:color="auto"/>
          </w:divBdr>
          <w:divsChild>
            <w:div w:id="2037197620">
              <w:marLeft w:val="0"/>
              <w:marRight w:val="0"/>
              <w:marTop w:val="0"/>
              <w:marBottom w:val="0"/>
              <w:divBdr>
                <w:top w:val="none" w:sz="0" w:space="0" w:color="auto"/>
                <w:left w:val="none" w:sz="0" w:space="0" w:color="auto"/>
                <w:bottom w:val="none" w:sz="0" w:space="0" w:color="auto"/>
                <w:right w:val="none" w:sz="0" w:space="0" w:color="auto"/>
              </w:divBdr>
              <w:divsChild>
                <w:div w:id="13766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4003">
      <w:bodyDiv w:val="1"/>
      <w:marLeft w:val="0"/>
      <w:marRight w:val="0"/>
      <w:marTop w:val="0"/>
      <w:marBottom w:val="0"/>
      <w:divBdr>
        <w:top w:val="none" w:sz="0" w:space="0" w:color="auto"/>
        <w:left w:val="none" w:sz="0" w:space="0" w:color="auto"/>
        <w:bottom w:val="none" w:sz="0" w:space="0" w:color="auto"/>
        <w:right w:val="none" w:sz="0" w:space="0" w:color="auto"/>
      </w:divBdr>
    </w:div>
    <w:div w:id="1222523248">
      <w:bodyDiv w:val="1"/>
      <w:marLeft w:val="0"/>
      <w:marRight w:val="0"/>
      <w:marTop w:val="0"/>
      <w:marBottom w:val="0"/>
      <w:divBdr>
        <w:top w:val="none" w:sz="0" w:space="0" w:color="auto"/>
        <w:left w:val="none" w:sz="0" w:space="0" w:color="auto"/>
        <w:bottom w:val="none" w:sz="0" w:space="0" w:color="auto"/>
        <w:right w:val="none" w:sz="0" w:space="0" w:color="auto"/>
      </w:divBdr>
      <w:divsChild>
        <w:div w:id="8148276">
          <w:marLeft w:val="0"/>
          <w:marRight w:val="0"/>
          <w:marTop w:val="0"/>
          <w:marBottom w:val="0"/>
          <w:divBdr>
            <w:top w:val="none" w:sz="0" w:space="0" w:color="auto"/>
            <w:left w:val="none" w:sz="0" w:space="0" w:color="auto"/>
            <w:bottom w:val="none" w:sz="0" w:space="0" w:color="auto"/>
            <w:right w:val="none" w:sz="0" w:space="0" w:color="auto"/>
          </w:divBdr>
          <w:divsChild>
            <w:div w:id="1689402142">
              <w:marLeft w:val="0"/>
              <w:marRight w:val="0"/>
              <w:marTop w:val="0"/>
              <w:marBottom w:val="0"/>
              <w:divBdr>
                <w:top w:val="none" w:sz="0" w:space="0" w:color="auto"/>
                <w:left w:val="none" w:sz="0" w:space="0" w:color="auto"/>
                <w:bottom w:val="none" w:sz="0" w:space="0" w:color="auto"/>
                <w:right w:val="none" w:sz="0" w:space="0" w:color="auto"/>
              </w:divBdr>
              <w:divsChild>
                <w:div w:id="13159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0781">
      <w:bodyDiv w:val="1"/>
      <w:marLeft w:val="0"/>
      <w:marRight w:val="0"/>
      <w:marTop w:val="0"/>
      <w:marBottom w:val="0"/>
      <w:divBdr>
        <w:top w:val="none" w:sz="0" w:space="0" w:color="auto"/>
        <w:left w:val="none" w:sz="0" w:space="0" w:color="auto"/>
        <w:bottom w:val="none" w:sz="0" w:space="0" w:color="auto"/>
        <w:right w:val="none" w:sz="0" w:space="0" w:color="auto"/>
      </w:divBdr>
    </w:div>
    <w:div w:id="1244803337">
      <w:bodyDiv w:val="1"/>
      <w:marLeft w:val="0"/>
      <w:marRight w:val="0"/>
      <w:marTop w:val="0"/>
      <w:marBottom w:val="0"/>
      <w:divBdr>
        <w:top w:val="none" w:sz="0" w:space="0" w:color="auto"/>
        <w:left w:val="none" w:sz="0" w:space="0" w:color="auto"/>
        <w:bottom w:val="none" w:sz="0" w:space="0" w:color="auto"/>
        <w:right w:val="none" w:sz="0" w:space="0" w:color="auto"/>
      </w:divBdr>
      <w:divsChild>
        <w:div w:id="863128119">
          <w:marLeft w:val="0"/>
          <w:marRight w:val="0"/>
          <w:marTop w:val="0"/>
          <w:marBottom w:val="0"/>
          <w:divBdr>
            <w:top w:val="none" w:sz="0" w:space="0" w:color="auto"/>
            <w:left w:val="none" w:sz="0" w:space="0" w:color="auto"/>
            <w:bottom w:val="none" w:sz="0" w:space="0" w:color="auto"/>
            <w:right w:val="none" w:sz="0" w:space="0" w:color="auto"/>
          </w:divBdr>
          <w:divsChild>
            <w:div w:id="372854264">
              <w:marLeft w:val="0"/>
              <w:marRight w:val="0"/>
              <w:marTop w:val="0"/>
              <w:marBottom w:val="0"/>
              <w:divBdr>
                <w:top w:val="none" w:sz="0" w:space="0" w:color="auto"/>
                <w:left w:val="none" w:sz="0" w:space="0" w:color="auto"/>
                <w:bottom w:val="none" w:sz="0" w:space="0" w:color="auto"/>
                <w:right w:val="none" w:sz="0" w:space="0" w:color="auto"/>
              </w:divBdr>
              <w:divsChild>
                <w:div w:id="16759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2560">
      <w:bodyDiv w:val="1"/>
      <w:marLeft w:val="0"/>
      <w:marRight w:val="0"/>
      <w:marTop w:val="0"/>
      <w:marBottom w:val="0"/>
      <w:divBdr>
        <w:top w:val="none" w:sz="0" w:space="0" w:color="auto"/>
        <w:left w:val="none" w:sz="0" w:space="0" w:color="auto"/>
        <w:bottom w:val="none" w:sz="0" w:space="0" w:color="auto"/>
        <w:right w:val="none" w:sz="0" w:space="0" w:color="auto"/>
      </w:divBdr>
      <w:divsChild>
        <w:div w:id="1488471257">
          <w:marLeft w:val="0"/>
          <w:marRight w:val="0"/>
          <w:marTop w:val="0"/>
          <w:marBottom w:val="0"/>
          <w:divBdr>
            <w:top w:val="none" w:sz="0" w:space="0" w:color="auto"/>
            <w:left w:val="none" w:sz="0" w:space="0" w:color="auto"/>
            <w:bottom w:val="none" w:sz="0" w:space="0" w:color="auto"/>
            <w:right w:val="none" w:sz="0" w:space="0" w:color="auto"/>
          </w:divBdr>
          <w:divsChild>
            <w:div w:id="659893103">
              <w:marLeft w:val="0"/>
              <w:marRight w:val="0"/>
              <w:marTop w:val="0"/>
              <w:marBottom w:val="0"/>
              <w:divBdr>
                <w:top w:val="none" w:sz="0" w:space="0" w:color="auto"/>
                <w:left w:val="none" w:sz="0" w:space="0" w:color="auto"/>
                <w:bottom w:val="none" w:sz="0" w:space="0" w:color="auto"/>
                <w:right w:val="none" w:sz="0" w:space="0" w:color="auto"/>
              </w:divBdr>
              <w:divsChild>
                <w:div w:id="7913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4316">
      <w:bodyDiv w:val="1"/>
      <w:marLeft w:val="0"/>
      <w:marRight w:val="0"/>
      <w:marTop w:val="0"/>
      <w:marBottom w:val="0"/>
      <w:divBdr>
        <w:top w:val="none" w:sz="0" w:space="0" w:color="auto"/>
        <w:left w:val="none" w:sz="0" w:space="0" w:color="auto"/>
        <w:bottom w:val="none" w:sz="0" w:space="0" w:color="auto"/>
        <w:right w:val="none" w:sz="0" w:space="0" w:color="auto"/>
      </w:divBdr>
    </w:div>
    <w:div w:id="1268079063">
      <w:bodyDiv w:val="1"/>
      <w:marLeft w:val="0"/>
      <w:marRight w:val="0"/>
      <w:marTop w:val="0"/>
      <w:marBottom w:val="0"/>
      <w:divBdr>
        <w:top w:val="none" w:sz="0" w:space="0" w:color="auto"/>
        <w:left w:val="none" w:sz="0" w:space="0" w:color="auto"/>
        <w:bottom w:val="none" w:sz="0" w:space="0" w:color="auto"/>
        <w:right w:val="none" w:sz="0" w:space="0" w:color="auto"/>
      </w:divBdr>
    </w:div>
    <w:div w:id="1283076436">
      <w:bodyDiv w:val="1"/>
      <w:marLeft w:val="0"/>
      <w:marRight w:val="0"/>
      <w:marTop w:val="0"/>
      <w:marBottom w:val="0"/>
      <w:divBdr>
        <w:top w:val="none" w:sz="0" w:space="0" w:color="auto"/>
        <w:left w:val="none" w:sz="0" w:space="0" w:color="auto"/>
        <w:bottom w:val="none" w:sz="0" w:space="0" w:color="auto"/>
        <w:right w:val="none" w:sz="0" w:space="0" w:color="auto"/>
      </w:divBdr>
    </w:div>
    <w:div w:id="1305159088">
      <w:bodyDiv w:val="1"/>
      <w:marLeft w:val="0"/>
      <w:marRight w:val="0"/>
      <w:marTop w:val="0"/>
      <w:marBottom w:val="0"/>
      <w:divBdr>
        <w:top w:val="none" w:sz="0" w:space="0" w:color="auto"/>
        <w:left w:val="none" w:sz="0" w:space="0" w:color="auto"/>
        <w:bottom w:val="none" w:sz="0" w:space="0" w:color="auto"/>
        <w:right w:val="none" w:sz="0" w:space="0" w:color="auto"/>
      </w:divBdr>
    </w:div>
    <w:div w:id="1306006948">
      <w:bodyDiv w:val="1"/>
      <w:marLeft w:val="0"/>
      <w:marRight w:val="0"/>
      <w:marTop w:val="0"/>
      <w:marBottom w:val="0"/>
      <w:divBdr>
        <w:top w:val="none" w:sz="0" w:space="0" w:color="auto"/>
        <w:left w:val="none" w:sz="0" w:space="0" w:color="auto"/>
        <w:bottom w:val="none" w:sz="0" w:space="0" w:color="auto"/>
        <w:right w:val="none" w:sz="0" w:space="0" w:color="auto"/>
      </w:divBdr>
      <w:divsChild>
        <w:div w:id="621349744">
          <w:marLeft w:val="0"/>
          <w:marRight w:val="0"/>
          <w:marTop w:val="0"/>
          <w:marBottom w:val="0"/>
          <w:divBdr>
            <w:top w:val="none" w:sz="0" w:space="0" w:color="auto"/>
            <w:left w:val="none" w:sz="0" w:space="0" w:color="auto"/>
            <w:bottom w:val="none" w:sz="0" w:space="0" w:color="auto"/>
            <w:right w:val="none" w:sz="0" w:space="0" w:color="auto"/>
          </w:divBdr>
          <w:divsChild>
            <w:div w:id="239364725">
              <w:marLeft w:val="0"/>
              <w:marRight w:val="0"/>
              <w:marTop w:val="0"/>
              <w:marBottom w:val="0"/>
              <w:divBdr>
                <w:top w:val="none" w:sz="0" w:space="0" w:color="auto"/>
                <w:left w:val="none" w:sz="0" w:space="0" w:color="auto"/>
                <w:bottom w:val="none" w:sz="0" w:space="0" w:color="auto"/>
                <w:right w:val="none" w:sz="0" w:space="0" w:color="auto"/>
              </w:divBdr>
              <w:divsChild>
                <w:div w:id="4465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7211">
      <w:bodyDiv w:val="1"/>
      <w:marLeft w:val="0"/>
      <w:marRight w:val="0"/>
      <w:marTop w:val="0"/>
      <w:marBottom w:val="0"/>
      <w:divBdr>
        <w:top w:val="none" w:sz="0" w:space="0" w:color="auto"/>
        <w:left w:val="none" w:sz="0" w:space="0" w:color="auto"/>
        <w:bottom w:val="none" w:sz="0" w:space="0" w:color="auto"/>
        <w:right w:val="none" w:sz="0" w:space="0" w:color="auto"/>
      </w:divBdr>
      <w:divsChild>
        <w:div w:id="1484538566">
          <w:marLeft w:val="0"/>
          <w:marRight w:val="0"/>
          <w:marTop w:val="0"/>
          <w:marBottom w:val="0"/>
          <w:divBdr>
            <w:top w:val="none" w:sz="0" w:space="0" w:color="auto"/>
            <w:left w:val="none" w:sz="0" w:space="0" w:color="auto"/>
            <w:bottom w:val="none" w:sz="0" w:space="0" w:color="auto"/>
            <w:right w:val="none" w:sz="0" w:space="0" w:color="auto"/>
          </w:divBdr>
          <w:divsChild>
            <w:div w:id="111360480">
              <w:marLeft w:val="0"/>
              <w:marRight w:val="0"/>
              <w:marTop w:val="0"/>
              <w:marBottom w:val="0"/>
              <w:divBdr>
                <w:top w:val="none" w:sz="0" w:space="0" w:color="auto"/>
                <w:left w:val="none" w:sz="0" w:space="0" w:color="auto"/>
                <w:bottom w:val="none" w:sz="0" w:space="0" w:color="auto"/>
                <w:right w:val="none" w:sz="0" w:space="0" w:color="auto"/>
              </w:divBdr>
              <w:divsChild>
                <w:div w:id="1595698914">
                  <w:marLeft w:val="0"/>
                  <w:marRight w:val="0"/>
                  <w:marTop w:val="0"/>
                  <w:marBottom w:val="0"/>
                  <w:divBdr>
                    <w:top w:val="none" w:sz="0" w:space="0" w:color="auto"/>
                    <w:left w:val="none" w:sz="0" w:space="0" w:color="auto"/>
                    <w:bottom w:val="none" w:sz="0" w:space="0" w:color="auto"/>
                    <w:right w:val="none" w:sz="0" w:space="0" w:color="auto"/>
                  </w:divBdr>
                  <w:divsChild>
                    <w:div w:id="5981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9629">
      <w:bodyDiv w:val="1"/>
      <w:marLeft w:val="0"/>
      <w:marRight w:val="0"/>
      <w:marTop w:val="0"/>
      <w:marBottom w:val="0"/>
      <w:divBdr>
        <w:top w:val="none" w:sz="0" w:space="0" w:color="auto"/>
        <w:left w:val="none" w:sz="0" w:space="0" w:color="auto"/>
        <w:bottom w:val="none" w:sz="0" w:space="0" w:color="auto"/>
        <w:right w:val="none" w:sz="0" w:space="0" w:color="auto"/>
      </w:divBdr>
      <w:divsChild>
        <w:div w:id="625355434">
          <w:marLeft w:val="0"/>
          <w:marRight w:val="0"/>
          <w:marTop w:val="0"/>
          <w:marBottom w:val="0"/>
          <w:divBdr>
            <w:top w:val="none" w:sz="0" w:space="0" w:color="auto"/>
            <w:left w:val="none" w:sz="0" w:space="0" w:color="auto"/>
            <w:bottom w:val="none" w:sz="0" w:space="0" w:color="auto"/>
            <w:right w:val="none" w:sz="0" w:space="0" w:color="auto"/>
          </w:divBdr>
          <w:divsChild>
            <w:div w:id="1949584097">
              <w:marLeft w:val="0"/>
              <w:marRight w:val="0"/>
              <w:marTop w:val="0"/>
              <w:marBottom w:val="0"/>
              <w:divBdr>
                <w:top w:val="none" w:sz="0" w:space="0" w:color="auto"/>
                <w:left w:val="none" w:sz="0" w:space="0" w:color="auto"/>
                <w:bottom w:val="none" w:sz="0" w:space="0" w:color="auto"/>
                <w:right w:val="none" w:sz="0" w:space="0" w:color="auto"/>
              </w:divBdr>
              <w:divsChild>
                <w:div w:id="775906874">
                  <w:marLeft w:val="0"/>
                  <w:marRight w:val="0"/>
                  <w:marTop w:val="0"/>
                  <w:marBottom w:val="0"/>
                  <w:divBdr>
                    <w:top w:val="none" w:sz="0" w:space="0" w:color="auto"/>
                    <w:left w:val="none" w:sz="0" w:space="0" w:color="auto"/>
                    <w:bottom w:val="none" w:sz="0" w:space="0" w:color="auto"/>
                    <w:right w:val="none" w:sz="0" w:space="0" w:color="auto"/>
                  </w:divBdr>
                  <w:divsChild>
                    <w:div w:id="1531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40991">
      <w:bodyDiv w:val="1"/>
      <w:marLeft w:val="0"/>
      <w:marRight w:val="0"/>
      <w:marTop w:val="0"/>
      <w:marBottom w:val="0"/>
      <w:divBdr>
        <w:top w:val="none" w:sz="0" w:space="0" w:color="auto"/>
        <w:left w:val="none" w:sz="0" w:space="0" w:color="auto"/>
        <w:bottom w:val="none" w:sz="0" w:space="0" w:color="auto"/>
        <w:right w:val="none" w:sz="0" w:space="0" w:color="auto"/>
      </w:divBdr>
      <w:divsChild>
        <w:div w:id="1544639369">
          <w:marLeft w:val="0"/>
          <w:marRight w:val="0"/>
          <w:marTop w:val="0"/>
          <w:marBottom w:val="0"/>
          <w:divBdr>
            <w:top w:val="none" w:sz="0" w:space="0" w:color="auto"/>
            <w:left w:val="none" w:sz="0" w:space="0" w:color="auto"/>
            <w:bottom w:val="none" w:sz="0" w:space="0" w:color="auto"/>
            <w:right w:val="none" w:sz="0" w:space="0" w:color="auto"/>
          </w:divBdr>
          <w:divsChild>
            <w:div w:id="978805783">
              <w:marLeft w:val="0"/>
              <w:marRight w:val="0"/>
              <w:marTop w:val="0"/>
              <w:marBottom w:val="0"/>
              <w:divBdr>
                <w:top w:val="none" w:sz="0" w:space="0" w:color="auto"/>
                <w:left w:val="none" w:sz="0" w:space="0" w:color="auto"/>
                <w:bottom w:val="none" w:sz="0" w:space="0" w:color="auto"/>
                <w:right w:val="none" w:sz="0" w:space="0" w:color="auto"/>
              </w:divBdr>
              <w:divsChild>
                <w:div w:id="17994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7339">
      <w:bodyDiv w:val="1"/>
      <w:marLeft w:val="0"/>
      <w:marRight w:val="0"/>
      <w:marTop w:val="0"/>
      <w:marBottom w:val="0"/>
      <w:divBdr>
        <w:top w:val="none" w:sz="0" w:space="0" w:color="auto"/>
        <w:left w:val="none" w:sz="0" w:space="0" w:color="auto"/>
        <w:bottom w:val="none" w:sz="0" w:space="0" w:color="auto"/>
        <w:right w:val="none" w:sz="0" w:space="0" w:color="auto"/>
      </w:divBdr>
      <w:divsChild>
        <w:div w:id="1127577807">
          <w:marLeft w:val="0"/>
          <w:marRight w:val="0"/>
          <w:marTop w:val="0"/>
          <w:marBottom w:val="0"/>
          <w:divBdr>
            <w:top w:val="none" w:sz="0" w:space="0" w:color="auto"/>
            <w:left w:val="none" w:sz="0" w:space="0" w:color="auto"/>
            <w:bottom w:val="none" w:sz="0" w:space="0" w:color="auto"/>
            <w:right w:val="none" w:sz="0" w:space="0" w:color="auto"/>
          </w:divBdr>
          <w:divsChild>
            <w:div w:id="1072629605">
              <w:marLeft w:val="0"/>
              <w:marRight w:val="0"/>
              <w:marTop w:val="0"/>
              <w:marBottom w:val="0"/>
              <w:divBdr>
                <w:top w:val="none" w:sz="0" w:space="0" w:color="auto"/>
                <w:left w:val="none" w:sz="0" w:space="0" w:color="auto"/>
                <w:bottom w:val="none" w:sz="0" w:space="0" w:color="auto"/>
                <w:right w:val="none" w:sz="0" w:space="0" w:color="auto"/>
              </w:divBdr>
              <w:divsChild>
                <w:div w:id="2645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586">
      <w:bodyDiv w:val="1"/>
      <w:marLeft w:val="0"/>
      <w:marRight w:val="0"/>
      <w:marTop w:val="0"/>
      <w:marBottom w:val="0"/>
      <w:divBdr>
        <w:top w:val="none" w:sz="0" w:space="0" w:color="auto"/>
        <w:left w:val="none" w:sz="0" w:space="0" w:color="auto"/>
        <w:bottom w:val="none" w:sz="0" w:space="0" w:color="auto"/>
        <w:right w:val="none" w:sz="0" w:space="0" w:color="auto"/>
      </w:divBdr>
      <w:divsChild>
        <w:div w:id="60100885">
          <w:marLeft w:val="0"/>
          <w:marRight w:val="0"/>
          <w:marTop w:val="0"/>
          <w:marBottom w:val="0"/>
          <w:divBdr>
            <w:top w:val="none" w:sz="0" w:space="0" w:color="auto"/>
            <w:left w:val="none" w:sz="0" w:space="0" w:color="auto"/>
            <w:bottom w:val="none" w:sz="0" w:space="0" w:color="auto"/>
            <w:right w:val="none" w:sz="0" w:space="0" w:color="auto"/>
          </w:divBdr>
          <w:divsChild>
            <w:div w:id="1057971687">
              <w:marLeft w:val="0"/>
              <w:marRight w:val="0"/>
              <w:marTop w:val="0"/>
              <w:marBottom w:val="0"/>
              <w:divBdr>
                <w:top w:val="none" w:sz="0" w:space="0" w:color="auto"/>
                <w:left w:val="none" w:sz="0" w:space="0" w:color="auto"/>
                <w:bottom w:val="none" w:sz="0" w:space="0" w:color="auto"/>
                <w:right w:val="none" w:sz="0" w:space="0" w:color="auto"/>
              </w:divBdr>
              <w:divsChild>
                <w:div w:id="12202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65776">
      <w:bodyDiv w:val="1"/>
      <w:marLeft w:val="0"/>
      <w:marRight w:val="0"/>
      <w:marTop w:val="0"/>
      <w:marBottom w:val="0"/>
      <w:divBdr>
        <w:top w:val="none" w:sz="0" w:space="0" w:color="auto"/>
        <w:left w:val="none" w:sz="0" w:space="0" w:color="auto"/>
        <w:bottom w:val="none" w:sz="0" w:space="0" w:color="auto"/>
        <w:right w:val="none" w:sz="0" w:space="0" w:color="auto"/>
      </w:divBdr>
      <w:divsChild>
        <w:div w:id="353771454">
          <w:marLeft w:val="0"/>
          <w:marRight w:val="0"/>
          <w:marTop w:val="0"/>
          <w:marBottom w:val="0"/>
          <w:divBdr>
            <w:top w:val="none" w:sz="0" w:space="0" w:color="auto"/>
            <w:left w:val="none" w:sz="0" w:space="0" w:color="auto"/>
            <w:bottom w:val="none" w:sz="0" w:space="0" w:color="auto"/>
            <w:right w:val="none" w:sz="0" w:space="0" w:color="auto"/>
          </w:divBdr>
          <w:divsChild>
            <w:div w:id="48113226">
              <w:marLeft w:val="0"/>
              <w:marRight w:val="0"/>
              <w:marTop w:val="0"/>
              <w:marBottom w:val="0"/>
              <w:divBdr>
                <w:top w:val="none" w:sz="0" w:space="0" w:color="auto"/>
                <w:left w:val="none" w:sz="0" w:space="0" w:color="auto"/>
                <w:bottom w:val="none" w:sz="0" w:space="0" w:color="auto"/>
                <w:right w:val="none" w:sz="0" w:space="0" w:color="auto"/>
              </w:divBdr>
              <w:divsChild>
                <w:div w:id="1881702222">
                  <w:marLeft w:val="0"/>
                  <w:marRight w:val="0"/>
                  <w:marTop w:val="0"/>
                  <w:marBottom w:val="0"/>
                  <w:divBdr>
                    <w:top w:val="none" w:sz="0" w:space="0" w:color="auto"/>
                    <w:left w:val="none" w:sz="0" w:space="0" w:color="auto"/>
                    <w:bottom w:val="none" w:sz="0" w:space="0" w:color="auto"/>
                    <w:right w:val="none" w:sz="0" w:space="0" w:color="auto"/>
                  </w:divBdr>
                </w:div>
              </w:divsChild>
            </w:div>
            <w:div w:id="1252858408">
              <w:marLeft w:val="0"/>
              <w:marRight w:val="0"/>
              <w:marTop w:val="0"/>
              <w:marBottom w:val="0"/>
              <w:divBdr>
                <w:top w:val="none" w:sz="0" w:space="0" w:color="auto"/>
                <w:left w:val="none" w:sz="0" w:space="0" w:color="auto"/>
                <w:bottom w:val="none" w:sz="0" w:space="0" w:color="auto"/>
                <w:right w:val="none" w:sz="0" w:space="0" w:color="auto"/>
              </w:divBdr>
              <w:divsChild>
                <w:div w:id="1597402458">
                  <w:marLeft w:val="0"/>
                  <w:marRight w:val="0"/>
                  <w:marTop w:val="0"/>
                  <w:marBottom w:val="0"/>
                  <w:divBdr>
                    <w:top w:val="none" w:sz="0" w:space="0" w:color="auto"/>
                    <w:left w:val="none" w:sz="0" w:space="0" w:color="auto"/>
                    <w:bottom w:val="none" w:sz="0" w:space="0" w:color="auto"/>
                    <w:right w:val="none" w:sz="0" w:space="0" w:color="auto"/>
                  </w:divBdr>
                </w:div>
              </w:divsChild>
            </w:div>
            <w:div w:id="1981953782">
              <w:marLeft w:val="0"/>
              <w:marRight w:val="0"/>
              <w:marTop w:val="0"/>
              <w:marBottom w:val="0"/>
              <w:divBdr>
                <w:top w:val="none" w:sz="0" w:space="0" w:color="auto"/>
                <w:left w:val="none" w:sz="0" w:space="0" w:color="auto"/>
                <w:bottom w:val="none" w:sz="0" w:space="0" w:color="auto"/>
                <w:right w:val="none" w:sz="0" w:space="0" w:color="auto"/>
              </w:divBdr>
              <w:divsChild>
                <w:div w:id="17623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322">
      <w:bodyDiv w:val="1"/>
      <w:marLeft w:val="0"/>
      <w:marRight w:val="0"/>
      <w:marTop w:val="0"/>
      <w:marBottom w:val="0"/>
      <w:divBdr>
        <w:top w:val="none" w:sz="0" w:space="0" w:color="auto"/>
        <w:left w:val="none" w:sz="0" w:space="0" w:color="auto"/>
        <w:bottom w:val="none" w:sz="0" w:space="0" w:color="auto"/>
        <w:right w:val="none" w:sz="0" w:space="0" w:color="auto"/>
      </w:divBdr>
      <w:divsChild>
        <w:div w:id="1489514665">
          <w:marLeft w:val="0"/>
          <w:marRight w:val="0"/>
          <w:marTop w:val="0"/>
          <w:marBottom w:val="0"/>
          <w:divBdr>
            <w:top w:val="none" w:sz="0" w:space="0" w:color="auto"/>
            <w:left w:val="none" w:sz="0" w:space="0" w:color="auto"/>
            <w:bottom w:val="none" w:sz="0" w:space="0" w:color="auto"/>
            <w:right w:val="none" w:sz="0" w:space="0" w:color="auto"/>
          </w:divBdr>
          <w:divsChild>
            <w:div w:id="974915794">
              <w:marLeft w:val="0"/>
              <w:marRight w:val="0"/>
              <w:marTop w:val="0"/>
              <w:marBottom w:val="0"/>
              <w:divBdr>
                <w:top w:val="none" w:sz="0" w:space="0" w:color="auto"/>
                <w:left w:val="none" w:sz="0" w:space="0" w:color="auto"/>
                <w:bottom w:val="none" w:sz="0" w:space="0" w:color="auto"/>
                <w:right w:val="none" w:sz="0" w:space="0" w:color="auto"/>
              </w:divBdr>
              <w:divsChild>
                <w:div w:id="1203175679">
                  <w:marLeft w:val="0"/>
                  <w:marRight w:val="0"/>
                  <w:marTop w:val="0"/>
                  <w:marBottom w:val="0"/>
                  <w:divBdr>
                    <w:top w:val="none" w:sz="0" w:space="0" w:color="auto"/>
                    <w:left w:val="none" w:sz="0" w:space="0" w:color="auto"/>
                    <w:bottom w:val="none" w:sz="0" w:space="0" w:color="auto"/>
                    <w:right w:val="none" w:sz="0" w:space="0" w:color="auto"/>
                  </w:divBdr>
                  <w:divsChild>
                    <w:div w:id="5633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66681">
      <w:bodyDiv w:val="1"/>
      <w:marLeft w:val="0"/>
      <w:marRight w:val="0"/>
      <w:marTop w:val="0"/>
      <w:marBottom w:val="0"/>
      <w:divBdr>
        <w:top w:val="none" w:sz="0" w:space="0" w:color="auto"/>
        <w:left w:val="none" w:sz="0" w:space="0" w:color="auto"/>
        <w:bottom w:val="none" w:sz="0" w:space="0" w:color="auto"/>
        <w:right w:val="none" w:sz="0" w:space="0" w:color="auto"/>
      </w:divBdr>
    </w:div>
    <w:div w:id="1406076033">
      <w:bodyDiv w:val="1"/>
      <w:marLeft w:val="0"/>
      <w:marRight w:val="0"/>
      <w:marTop w:val="0"/>
      <w:marBottom w:val="0"/>
      <w:divBdr>
        <w:top w:val="none" w:sz="0" w:space="0" w:color="auto"/>
        <w:left w:val="none" w:sz="0" w:space="0" w:color="auto"/>
        <w:bottom w:val="none" w:sz="0" w:space="0" w:color="auto"/>
        <w:right w:val="none" w:sz="0" w:space="0" w:color="auto"/>
      </w:divBdr>
    </w:div>
    <w:div w:id="1406293811">
      <w:bodyDiv w:val="1"/>
      <w:marLeft w:val="0"/>
      <w:marRight w:val="0"/>
      <w:marTop w:val="0"/>
      <w:marBottom w:val="0"/>
      <w:divBdr>
        <w:top w:val="none" w:sz="0" w:space="0" w:color="auto"/>
        <w:left w:val="none" w:sz="0" w:space="0" w:color="auto"/>
        <w:bottom w:val="none" w:sz="0" w:space="0" w:color="auto"/>
        <w:right w:val="none" w:sz="0" w:space="0" w:color="auto"/>
      </w:divBdr>
    </w:div>
    <w:div w:id="1409156329">
      <w:bodyDiv w:val="1"/>
      <w:marLeft w:val="0"/>
      <w:marRight w:val="0"/>
      <w:marTop w:val="0"/>
      <w:marBottom w:val="0"/>
      <w:divBdr>
        <w:top w:val="none" w:sz="0" w:space="0" w:color="auto"/>
        <w:left w:val="none" w:sz="0" w:space="0" w:color="auto"/>
        <w:bottom w:val="none" w:sz="0" w:space="0" w:color="auto"/>
        <w:right w:val="none" w:sz="0" w:space="0" w:color="auto"/>
      </w:divBdr>
    </w:div>
    <w:div w:id="1436630993">
      <w:bodyDiv w:val="1"/>
      <w:marLeft w:val="0"/>
      <w:marRight w:val="0"/>
      <w:marTop w:val="0"/>
      <w:marBottom w:val="0"/>
      <w:divBdr>
        <w:top w:val="none" w:sz="0" w:space="0" w:color="auto"/>
        <w:left w:val="none" w:sz="0" w:space="0" w:color="auto"/>
        <w:bottom w:val="none" w:sz="0" w:space="0" w:color="auto"/>
        <w:right w:val="none" w:sz="0" w:space="0" w:color="auto"/>
      </w:divBdr>
      <w:divsChild>
        <w:div w:id="483162313">
          <w:marLeft w:val="0"/>
          <w:marRight w:val="0"/>
          <w:marTop w:val="0"/>
          <w:marBottom w:val="0"/>
          <w:divBdr>
            <w:top w:val="none" w:sz="0" w:space="0" w:color="auto"/>
            <w:left w:val="none" w:sz="0" w:space="0" w:color="auto"/>
            <w:bottom w:val="none" w:sz="0" w:space="0" w:color="auto"/>
            <w:right w:val="none" w:sz="0" w:space="0" w:color="auto"/>
          </w:divBdr>
          <w:divsChild>
            <w:div w:id="394471037">
              <w:marLeft w:val="0"/>
              <w:marRight w:val="0"/>
              <w:marTop w:val="0"/>
              <w:marBottom w:val="0"/>
              <w:divBdr>
                <w:top w:val="none" w:sz="0" w:space="0" w:color="auto"/>
                <w:left w:val="none" w:sz="0" w:space="0" w:color="auto"/>
                <w:bottom w:val="none" w:sz="0" w:space="0" w:color="auto"/>
                <w:right w:val="none" w:sz="0" w:space="0" w:color="auto"/>
              </w:divBdr>
              <w:divsChild>
                <w:div w:id="1858496600">
                  <w:marLeft w:val="0"/>
                  <w:marRight w:val="0"/>
                  <w:marTop w:val="0"/>
                  <w:marBottom w:val="0"/>
                  <w:divBdr>
                    <w:top w:val="none" w:sz="0" w:space="0" w:color="auto"/>
                    <w:left w:val="none" w:sz="0" w:space="0" w:color="auto"/>
                    <w:bottom w:val="none" w:sz="0" w:space="0" w:color="auto"/>
                    <w:right w:val="none" w:sz="0" w:space="0" w:color="auto"/>
                  </w:divBdr>
                  <w:divsChild>
                    <w:div w:id="829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91485">
      <w:bodyDiv w:val="1"/>
      <w:marLeft w:val="0"/>
      <w:marRight w:val="0"/>
      <w:marTop w:val="0"/>
      <w:marBottom w:val="0"/>
      <w:divBdr>
        <w:top w:val="none" w:sz="0" w:space="0" w:color="auto"/>
        <w:left w:val="none" w:sz="0" w:space="0" w:color="auto"/>
        <w:bottom w:val="none" w:sz="0" w:space="0" w:color="auto"/>
        <w:right w:val="none" w:sz="0" w:space="0" w:color="auto"/>
      </w:divBdr>
    </w:div>
    <w:div w:id="1480802934">
      <w:bodyDiv w:val="1"/>
      <w:marLeft w:val="0"/>
      <w:marRight w:val="0"/>
      <w:marTop w:val="0"/>
      <w:marBottom w:val="0"/>
      <w:divBdr>
        <w:top w:val="none" w:sz="0" w:space="0" w:color="auto"/>
        <w:left w:val="none" w:sz="0" w:space="0" w:color="auto"/>
        <w:bottom w:val="none" w:sz="0" w:space="0" w:color="auto"/>
        <w:right w:val="none" w:sz="0" w:space="0" w:color="auto"/>
      </w:divBdr>
    </w:div>
    <w:div w:id="1511288737">
      <w:bodyDiv w:val="1"/>
      <w:marLeft w:val="0"/>
      <w:marRight w:val="0"/>
      <w:marTop w:val="0"/>
      <w:marBottom w:val="0"/>
      <w:divBdr>
        <w:top w:val="none" w:sz="0" w:space="0" w:color="auto"/>
        <w:left w:val="none" w:sz="0" w:space="0" w:color="auto"/>
        <w:bottom w:val="none" w:sz="0" w:space="0" w:color="auto"/>
        <w:right w:val="none" w:sz="0" w:space="0" w:color="auto"/>
      </w:divBdr>
    </w:div>
    <w:div w:id="1550652090">
      <w:bodyDiv w:val="1"/>
      <w:marLeft w:val="0"/>
      <w:marRight w:val="0"/>
      <w:marTop w:val="0"/>
      <w:marBottom w:val="0"/>
      <w:divBdr>
        <w:top w:val="none" w:sz="0" w:space="0" w:color="auto"/>
        <w:left w:val="none" w:sz="0" w:space="0" w:color="auto"/>
        <w:bottom w:val="none" w:sz="0" w:space="0" w:color="auto"/>
        <w:right w:val="none" w:sz="0" w:space="0" w:color="auto"/>
      </w:divBdr>
    </w:div>
    <w:div w:id="1564636622">
      <w:bodyDiv w:val="1"/>
      <w:marLeft w:val="0"/>
      <w:marRight w:val="0"/>
      <w:marTop w:val="0"/>
      <w:marBottom w:val="0"/>
      <w:divBdr>
        <w:top w:val="none" w:sz="0" w:space="0" w:color="auto"/>
        <w:left w:val="none" w:sz="0" w:space="0" w:color="auto"/>
        <w:bottom w:val="none" w:sz="0" w:space="0" w:color="auto"/>
        <w:right w:val="none" w:sz="0" w:space="0" w:color="auto"/>
      </w:divBdr>
    </w:div>
    <w:div w:id="1596472779">
      <w:bodyDiv w:val="1"/>
      <w:marLeft w:val="0"/>
      <w:marRight w:val="0"/>
      <w:marTop w:val="0"/>
      <w:marBottom w:val="0"/>
      <w:divBdr>
        <w:top w:val="none" w:sz="0" w:space="0" w:color="auto"/>
        <w:left w:val="none" w:sz="0" w:space="0" w:color="auto"/>
        <w:bottom w:val="none" w:sz="0" w:space="0" w:color="auto"/>
        <w:right w:val="none" w:sz="0" w:space="0" w:color="auto"/>
      </w:divBdr>
      <w:divsChild>
        <w:div w:id="93286650">
          <w:marLeft w:val="0"/>
          <w:marRight w:val="0"/>
          <w:marTop w:val="0"/>
          <w:marBottom w:val="0"/>
          <w:divBdr>
            <w:top w:val="none" w:sz="0" w:space="0" w:color="auto"/>
            <w:left w:val="none" w:sz="0" w:space="0" w:color="auto"/>
            <w:bottom w:val="none" w:sz="0" w:space="0" w:color="auto"/>
            <w:right w:val="none" w:sz="0" w:space="0" w:color="auto"/>
          </w:divBdr>
          <w:divsChild>
            <w:div w:id="1703286222">
              <w:marLeft w:val="0"/>
              <w:marRight w:val="0"/>
              <w:marTop w:val="0"/>
              <w:marBottom w:val="0"/>
              <w:divBdr>
                <w:top w:val="none" w:sz="0" w:space="0" w:color="auto"/>
                <w:left w:val="none" w:sz="0" w:space="0" w:color="auto"/>
                <w:bottom w:val="none" w:sz="0" w:space="0" w:color="auto"/>
                <w:right w:val="none" w:sz="0" w:space="0" w:color="auto"/>
              </w:divBdr>
              <w:divsChild>
                <w:div w:id="13796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7302">
      <w:bodyDiv w:val="1"/>
      <w:marLeft w:val="0"/>
      <w:marRight w:val="0"/>
      <w:marTop w:val="0"/>
      <w:marBottom w:val="0"/>
      <w:divBdr>
        <w:top w:val="none" w:sz="0" w:space="0" w:color="auto"/>
        <w:left w:val="none" w:sz="0" w:space="0" w:color="auto"/>
        <w:bottom w:val="none" w:sz="0" w:space="0" w:color="auto"/>
        <w:right w:val="none" w:sz="0" w:space="0" w:color="auto"/>
      </w:divBdr>
    </w:div>
    <w:div w:id="1611934020">
      <w:bodyDiv w:val="1"/>
      <w:marLeft w:val="0"/>
      <w:marRight w:val="0"/>
      <w:marTop w:val="0"/>
      <w:marBottom w:val="0"/>
      <w:divBdr>
        <w:top w:val="none" w:sz="0" w:space="0" w:color="auto"/>
        <w:left w:val="none" w:sz="0" w:space="0" w:color="auto"/>
        <w:bottom w:val="none" w:sz="0" w:space="0" w:color="auto"/>
        <w:right w:val="none" w:sz="0" w:space="0" w:color="auto"/>
      </w:divBdr>
      <w:divsChild>
        <w:div w:id="1158576716">
          <w:marLeft w:val="0"/>
          <w:marRight w:val="0"/>
          <w:marTop w:val="0"/>
          <w:marBottom w:val="0"/>
          <w:divBdr>
            <w:top w:val="none" w:sz="0" w:space="0" w:color="auto"/>
            <w:left w:val="none" w:sz="0" w:space="0" w:color="auto"/>
            <w:bottom w:val="none" w:sz="0" w:space="0" w:color="auto"/>
            <w:right w:val="none" w:sz="0" w:space="0" w:color="auto"/>
          </w:divBdr>
          <w:divsChild>
            <w:div w:id="272979809">
              <w:marLeft w:val="0"/>
              <w:marRight w:val="0"/>
              <w:marTop w:val="0"/>
              <w:marBottom w:val="0"/>
              <w:divBdr>
                <w:top w:val="none" w:sz="0" w:space="0" w:color="auto"/>
                <w:left w:val="none" w:sz="0" w:space="0" w:color="auto"/>
                <w:bottom w:val="none" w:sz="0" w:space="0" w:color="auto"/>
                <w:right w:val="none" w:sz="0" w:space="0" w:color="auto"/>
              </w:divBdr>
              <w:divsChild>
                <w:div w:id="14573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3717">
      <w:bodyDiv w:val="1"/>
      <w:marLeft w:val="0"/>
      <w:marRight w:val="0"/>
      <w:marTop w:val="0"/>
      <w:marBottom w:val="0"/>
      <w:divBdr>
        <w:top w:val="none" w:sz="0" w:space="0" w:color="auto"/>
        <w:left w:val="none" w:sz="0" w:space="0" w:color="auto"/>
        <w:bottom w:val="none" w:sz="0" w:space="0" w:color="auto"/>
        <w:right w:val="none" w:sz="0" w:space="0" w:color="auto"/>
      </w:divBdr>
    </w:div>
    <w:div w:id="1640577577">
      <w:bodyDiv w:val="1"/>
      <w:marLeft w:val="0"/>
      <w:marRight w:val="0"/>
      <w:marTop w:val="0"/>
      <w:marBottom w:val="0"/>
      <w:divBdr>
        <w:top w:val="none" w:sz="0" w:space="0" w:color="auto"/>
        <w:left w:val="none" w:sz="0" w:space="0" w:color="auto"/>
        <w:bottom w:val="none" w:sz="0" w:space="0" w:color="auto"/>
        <w:right w:val="none" w:sz="0" w:space="0" w:color="auto"/>
      </w:divBdr>
      <w:divsChild>
        <w:div w:id="185141414">
          <w:marLeft w:val="0"/>
          <w:marRight w:val="0"/>
          <w:marTop w:val="0"/>
          <w:marBottom w:val="0"/>
          <w:divBdr>
            <w:top w:val="none" w:sz="0" w:space="0" w:color="auto"/>
            <w:left w:val="none" w:sz="0" w:space="0" w:color="auto"/>
            <w:bottom w:val="none" w:sz="0" w:space="0" w:color="auto"/>
            <w:right w:val="none" w:sz="0" w:space="0" w:color="auto"/>
          </w:divBdr>
          <w:divsChild>
            <w:div w:id="294677338">
              <w:marLeft w:val="0"/>
              <w:marRight w:val="0"/>
              <w:marTop w:val="0"/>
              <w:marBottom w:val="0"/>
              <w:divBdr>
                <w:top w:val="none" w:sz="0" w:space="0" w:color="auto"/>
                <w:left w:val="none" w:sz="0" w:space="0" w:color="auto"/>
                <w:bottom w:val="none" w:sz="0" w:space="0" w:color="auto"/>
                <w:right w:val="none" w:sz="0" w:space="0" w:color="auto"/>
              </w:divBdr>
              <w:divsChild>
                <w:div w:id="1091513254">
                  <w:marLeft w:val="0"/>
                  <w:marRight w:val="0"/>
                  <w:marTop w:val="0"/>
                  <w:marBottom w:val="0"/>
                  <w:divBdr>
                    <w:top w:val="none" w:sz="0" w:space="0" w:color="auto"/>
                    <w:left w:val="none" w:sz="0" w:space="0" w:color="auto"/>
                    <w:bottom w:val="none" w:sz="0" w:space="0" w:color="auto"/>
                    <w:right w:val="none" w:sz="0" w:space="0" w:color="auto"/>
                  </w:divBdr>
                  <w:divsChild>
                    <w:div w:id="4833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45034">
      <w:bodyDiv w:val="1"/>
      <w:marLeft w:val="0"/>
      <w:marRight w:val="0"/>
      <w:marTop w:val="0"/>
      <w:marBottom w:val="0"/>
      <w:divBdr>
        <w:top w:val="none" w:sz="0" w:space="0" w:color="auto"/>
        <w:left w:val="none" w:sz="0" w:space="0" w:color="auto"/>
        <w:bottom w:val="none" w:sz="0" w:space="0" w:color="auto"/>
        <w:right w:val="none" w:sz="0" w:space="0" w:color="auto"/>
      </w:divBdr>
      <w:divsChild>
        <w:div w:id="283850822">
          <w:marLeft w:val="0"/>
          <w:marRight w:val="0"/>
          <w:marTop w:val="0"/>
          <w:marBottom w:val="0"/>
          <w:divBdr>
            <w:top w:val="none" w:sz="0" w:space="0" w:color="auto"/>
            <w:left w:val="none" w:sz="0" w:space="0" w:color="auto"/>
            <w:bottom w:val="none" w:sz="0" w:space="0" w:color="auto"/>
            <w:right w:val="none" w:sz="0" w:space="0" w:color="auto"/>
          </w:divBdr>
          <w:divsChild>
            <w:div w:id="939024221">
              <w:marLeft w:val="0"/>
              <w:marRight w:val="0"/>
              <w:marTop w:val="0"/>
              <w:marBottom w:val="0"/>
              <w:divBdr>
                <w:top w:val="none" w:sz="0" w:space="0" w:color="auto"/>
                <w:left w:val="none" w:sz="0" w:space="0" w:color="auto"/>
                <w:bottom w:val="none" w:sz="0" w:space="0" w:color="auto"/>
                <w:right w:val="none" w:sz="0" w:space="0" w:color="auto"/>
              </w:divBdr>
              <w:divsChild>
                <w:div w:id="1347361682">
                  <w:marLeft w:val="0"/>
                  <w:marRight w:val="0"/>
                  <w:marTop w:val="0"/>
                  <w:marBottom w:val="0"/>
                  <w:divBdr>
                    <w:top w:val="none" w:sz="0" w:space="0" w:color="auto"/>
                    <w:left w:val="none" w:sz="0" w:space="0" w:color="auto"/>
                    <w:bottom w:val="none" w:sz="0" w:space="0" w:color="auto"/>
                    <w:right w:val="none" w:sz="0" w:space="0" w:color="auto"/>
                  </w:divBdr>
                  <w:divsChild>
                    <w:div w:id="13164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68132">
      <w:bodyDiv w:val="1"/>
      <w:marLeft w:val="0"/>
      <w:marRight w:val="0"/>
      <w:marTop w:val="0"/>
      <w:marBottom w:val="0"/>
      <w:divBdr>
        <w:top w:val="none" w:sz="0" w:space="0" w:color="auto"/>
        <w:left w:val="none" w:sz="0" w:space="0" w:color="auto"/>
        <w:bottom w:val="none" w:sz="0" w:space="0" w:color="auto"/>
        <w:right w:val="none" w:sz="0" w:space="0" w:color="auto"/>
      </w:divBdr>
      <w:divsChild>
        <w:div w:id="1063332960">
          <w:marLeft w:val="0"/>
          <w:marRight w:val="0"/>
          <w:marTop w:val="0"/>
          <w:marBottom w:val="0"/>
          <w:divBdr>
            <w:top w:val="none" w:sz="0" w:space="0" w:color="auto"/>
            <w:left w:val="none" w:sz="0" w:space="0" w:color="auto"/>
            <w:bottom w:val="none" w:sz="0" w:space="0" w:color="auto"/>
            <w:right w:val="none" w:sz="0" w:space="0" w:color="auto"/>
          </w:divBdr>
          <w:divsChild>
            <w:div w:id="1103380823">
              <w:marLeft w:val="0"/>
              <w:marRight w:val="0"/>
              <w:marTop w:val="0"/>
              <w:marBottom w:val="0"/>
              <w:divBdr>
                <w:top w:val="none" w:sz="0" w:space="0" w:color="auto"/>
                <w:left w:val="none" w:sz="0" w:space="0" w:color="auto"/>
                <w:bottom w:val="none" w:sz="0" w:space="0" w:color="auto"/>
                <w:right w:val="none" w:sz="0" w:space="0" w:color="auto"/>
              </w:divBdr>
              <w:divsChild>
                <w:div w:id="1838497434">
                  <w:marLeft w:val="0"/>
                  <w:marRight w:val="0"/>
                  <w:marTop w:val="0"/>
                  <w:marBottom w:val="0"/>
                  <w:divBdr>
                    <w:top w:val="none" w:sz="0" w:space="0" w:color="auto"/>
                    <w:left w:val="none" w:sz="0" w:space="0" w:color="auto"/>
                    <w:bottom w:val="none" w:sz="0" w:space="0" w:color="auto"/>
                    <w:right w:val="none" w:sz="0" w:space="0" w:color="auto"/>
                  </w:divBdr>
                  <w:divsChild>
                    <w:div w:id="21222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79805">
      <w:bodyDiv w:val="1"/>
      <w:marLeft w:val="0"/>
      <w:marRight w:val="0"/>
      <w:marTop w:val="0"/>
      <w:marBottom w:val="0"/>
      <w:divBdr>
        <w:top w:val="none" w:sz="0" w:space="0" w:color="auto"/>
        <w:left w:val="none" w:sz="0" w:space="0" w:color="auto"/>
        <w:bottom w:val="none" w:sz="0" w:space="0" w:color="auto"/>
        <w:right w:val="none" w:sz="0" w:space="0" w:color="auto"/>
      </w:divBdr>
      <w:divsChild>
        <w:div w:id="118034542">
          <w:marLeft w:val="0"/>
          <w:marRight w:val="0"/>
          <w:marTop w:val="0"/>
          <w:marBottom w:val="0"/>
          <w:divBdr>
            <w:top w:val="none" w:sz="0" w:space="0" w:color="auto"/>
            <w:left w:val="none" w:sz="0" w:space="0" w:color="auto"/>
            <w:bottom w:val="none" w:sz="0" w:space="0" w:color="auto"/>
            <w:right w:val="none" w:sz="0" w:space="0" w:color="auto"/>
          </w:divBdr>
          <w:divsChild>
            <w:div w:id="442387948">
              <w:marLeft w:val="0"/>
              <w:marRight w:val="0"/>
              <w:marTop w:val="0"/>
              <w:marBottom w:val="0"/>
              <w:divBdr>
                <w:top w:val="none" w:sz="0" w:space="0" w:color="auto"/>
                <w:left w:val="none" w:sz="0" w:space="0" w:color="auto"/>
                <w:bottom w:val="none" w:sz="0" w:space="0" w:color="auto"/>
                <w:right w:val="none" w:sz="0" w:space="0" w:color="auto"/>
              </w:divBdr>
              <w:divsChild>
                <w:div w:id="1928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70762">
      <w:bodyDiv w:val="1"/>
      <w:marLeft w:val="0"/>
      <w:marRight w:val="0"/>
      <w:marTop w:val="0"/>
      <w:marBottom w:val="0"/>
      <w:divBdr>
        <w:top w:val="none" w:sz="0" w:space="0" w:color="auto"/>
        <w:left w:val="none" w:sz="0" w:space="0" w:color="auto"/>
        <w:bottom w:val="none" w:sz="0" w:space="0" w:color="auto"/>
        <w:right w:val="none" w:sz="0" w:space="0" w:color="auto"/>
      </w:divBdr>
    </w:div>
    <w:div w:id="1773629735">
      <w:bodyDiv w:val="1"/>
      <w:marLeft w:val="0"/>
      <w:marRight w:val="0"/>
      <w:marTop w:val="0"/>
      <w:marBottom w:val="0"/>
      <w:divBdr>
        <w:top w:val="none" w:sz="0" w:space="0" w:color="auto"/>
        <w:left w:val="none" w:sz="0" w:space="0" w:color="auto"/>
        <w:bottom w:val="none" w:sz="0" w:space="0" w:color="auto"/>
        <w:right w:val="none" w:sz="0" w:space="0" w:color="auto"/>
      </w:divBdr>
    </w:div>
    <w:div w:id="1816069057">
      <w:bodyDiv w:val="1"/>
      <w:marLeft w:val="0"/>
      <w:marRight w:val="0"/>
      <w:marTop w:val="0"/>
      <w:marBottom w:val="0"/>
      <w:divBdr>
        <w:top w:val="none" w:sz="0" w:space="0" w:color="auto"/>
        <w:left w:val="none" w:sz="0" w:space="0" w:color="auto"/>
        <w:bottom w:val="none" w:sz="0" w:space="0" w:color="auto"/>
        <w:right w:val="none" w:sz="0" w:space="0" w:color="auto"/>
      </w:divBdr>
      <w:divsChild>
        <w:div w:id="1725520388">
          <w:marLeft w:val="0"/>
          <w:marRight w:val="0"/>
          <w:marTop w:val="0"/>
          <w:marBottom w:val="0"/>
          <w:divBdr>
            <w:top w:val="none" w:sz="0" w:space="0" w:color="auto"/>
            <w:left w:val="none" w:sz="0" w:space="0" w:color="auto"/>
            <w:bottom w:val="none" w:sz="0" w:space="0" w:color="auto"/>
            <w:right w:val="none" w:sz="0" w:space="0" w:color="auto"/>
          </w:divBdr>
          <w:divsChild>
            <w:div w:id="448428764">
              <w:marLeft w:val="0"/>
              <w:marRight w:val="0"/>
              <w:marTop w:val="0"/>
              <w:marBottom w:val="0"/>
              <w:divBdr>
                <w:top w:val="none" w:sz="0" w:space="0" w:color="auto"/>
                <w:left w:val="none" w:sz="0" w:space="0" w:color="auto"/>
                <w:bottom w:val="none" w:sz="0" w:space="0" w:color="auto"/>
                <w:right w:val="none" w:sz="0" w:space="0" w:color="auto"/>
              </w:divBdr>
              <w:divsChild>
                <w:div w:id="13719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99510">
      <w:bodyDiv w:val="1"/>
      <w:marLeft w:val="0"/>
      <w:marRight w:val="0"/>
      <w:marTop w:val="0"/>
      <w:marBottom w:val="0"/>
      <w:divBdr>
        <w:top w:val="none" w:sz="0" w:space="0" w:color="auto"/>
        <w:left w:val="none" w:sz="0" w:space="0" w:color="auto"/>
        <w:bottom w:val="none" w:sz="0" w:space="0" w:color="auto"/>
        <w:right w:val="none" w:sz="0" w:space="0" w:color="auto"/>
      </w:divBdr>
    </w:div>
    <w:div w:id="1862620272">
      <w:bodyDiv w:val="1"/>
      <w:marLeft w:val="0"/>
      <w:marRight w:val="0"/>
      <w:marTop w:val="0"/>
      <w:marBottom w:val="0"/>
      <w:divBdr>
        <w:top w:val="none" w:sz="0" w:space="0" w:color="auto"/>
        <w:left w:val="none" w:sz="0" w:space="0" w:color="auto"/>
        <w:bottom w:val="none" w:sz="0" w:space="0" w:color="auto"/>
        <w:right w:val="none" w:sz="0" w:space="0" w:color="auto"/>
      </w:divBdr>
    </w:div>
    <w:div w:id="1868713264">
      <w:bodyDiv w:val="1"/>
      <w:marLeft w:val="0"/>
      <w:marRight w:val="0"/>
      <w:marTop w:val="0"/>
      <w:marBottom w:val="0"/>
      <w:divBdr>
        <w:top w:val="none" w:sz="0" w:space="0" w:color="auto"/>
        <w:left w:val="none" w:sz="0" w:space="0" w:color="auto"/>
        <w:bottom w:val="none" w:sz="0" w:space="0" w:color="auto"/>
        <w:right w:val="none" w:sz="0" w:space="0" w:color="auto"/>
      </w:divBdr>
    </w:div>
    <w:div w:id="1876771428">
      <w:bodyDiv w:val="1"/>
      <w:marLeft w:val="0"/>
      <w:marRight w:val="0"/>
      <w:marTop w:val="0"/>
      <w:marBottom w:val="0"/>
      <w:divBdr>
        <w:top w:val="none" w:sz="0" w:space="0" w:color="auto"/>
        <w:left w:val="none" w:sz="0" w:space="0" w:color="auto"/>
        <w:bottom w:val="none" w:sz="0" w:space="0" w:color="auto"/>
        <w:right w:val="none" w:sz="0" w:space="0" w:color="auto"/>
      </w:divBdr>
      <w:divsChild>
        <w:div w:id="1003975561">
          <w:marLeft w:val="0"/>
          <w:marRight w:val="0"/>
          <w:marTop w:val="0"/>
          <w:marBottom w:val="0"/>
          <w:divBdr>
            <w:top w:val="none" w:sz="0" w:space="0" w:color="auto"/>
            <w:left w:val="none" w:sz="0" w:space="0" w:color="auto"/>
            <w:bottom w:val="none" w:sz="0" w:space="0" w:color="auto"/>
            <w:right w:val="none" w:sz="0" w:space="0" w:color="auto"/>
          </w:divBdr>
          <w:divsChild>
            <w:div w:id="1872305012">
              <w:marLeft w:val="0"/>
              <w:marRight w:val="0"/>
              <w:marTop w:val="0"/>
              <w:marBottom w:val="0"/>
              <w:divBdr>
                <w:top w:val="none" w:sz="0" w:space="0" w:color="auto"/>
                <w:left w:val="none" w:sz="0" w:space="0" w:color="auto"/>
                <w:bottom w:val="none" w:sz="0" w:space="0" w:color="auto"/>
                <w:right w:val="none" w:sz="0" w:space="0" w:color="auto"/>
              </w:divBdr>
              <w:divsChild>
                <w:div w:id="4286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2272">
      <w:bodyDiv w:val="1"/>
      <w:marLeft w:val="0"/>
      <w:marRight w:val="0"/>
      <w:marTop w:val="0"/>
      <w:marBottom w:val="0"/>
      <w:divBdr>
        <w:top w:val="none" w:sz="0" w:space="0" w:color="auto"/>
        <w:left w:val="none" w:sz="0" w:space="0" w:color="auto"/>
        <w:bottom w:val="none" w:sz="0" w:space="0" w:color="auto"/>
        <w:right w:val="none" w:sz="0" w:space="0" w:color="auto"/>
      </w:divBdr>
    </w:div>
    <w:div w:id="1908880912">
      <w:bodyDiv w:val="1"/>
      <w:marLeft w:val="0"/>
      <w:marRight w:val="0"/>
      <w:marTop w:val="0"/>
      <w:marBottom w:val="0"/>
      <w:divBdr>
        <w:top w:val="none" w:sz="0" w:space="0" w:color="auto"/>
        <w:left w:val="none" w:sz="0" w:space="0" w:color="auto"/>
        <w:bottom w:val="none" w:sz="0" w:space="0" w:color="auto"/>
        <w:right w:val="none" w:sz="0" w:space="0" w:color="auto"/>
      </w:divBdr>
    </w:div>
    <w:div w:id="1913198666">
      <w:bodyDiv w:val="1"/>
      <w:marLeft w:val="0"/>
      <w:marRight w:val="0"/>
      <w:marTop w:val="0"/>
      <w:marBottom w:val="0"/>
      <w:divBdr>
        <w:top w:val="none" w:sz="0" w:space="0" w:color="auto"/>
        <w:left w:val="none" w:sz="0" w:space="0" w:color="auto"/>
        <w:bottom w:val="none" w:sz="0" w:space="0" w:color="auto"/>
        <w:right w:val="none" w:sz="0" w:space="0" w:color="auto"/>
      </w:divBdr>
    </w:div>
    <w:div w:id="1971015945">
      <w:bodyDiv w:val="1"/>
      <w:marLeft w:val="0"/>
      <w:marRight w:val="0"/>
      <w:marTop w:val="0"/>
      <w:marBottom w:val="0"/>
      <w:divBdr>
        <w:top w:val="none" w:sz="0" w:space="0" w:color="auto"/>
        <w:left w:val="none" w:sz="0" w:space="0" w:color="auto"/>
        <w:bottom w:val="none" w:sz="0" w:space="0" w:color="auto"/>
        <w:right w:val="none" w:sz="0" w:space="0" w:color="auto"/>
      </w:divBdr>
      <w:divsChild>
        <w:div w:id="684401443">
          <w:marLeft w:val="0"/>
          <w:marRight w:val="0"/>
          <w:marTop w:val="0"/>
          <w:marBottom w:val="0"/>
          <w:divBdr>
            <w:top w:val="none" w:sz="0" w:space="0" w:color="auto"/>
            <w:left w:val="none" w:sz="0" w:space="0" w:color="auto"/>
            <w:bottom w:val="none" w:sz="0" w:space="0" w:color="auto"/>
            <w:right w:val="none" w:sz="0" w:space="0" w:color="auto"/>
          </w:divBdr>
          <w:divsChild>
            <w:div w:id="1498691652">
              <w:marLeft w:val="0"/>
              <w:marRight w:val="0"/>
              <w:marTop w:val="0"/>
              <w:marBottom w:val="0"/>
              <w:divBdr>
                <w:top w:val="none" w:sz="0" w:space="0" w:color="auto"/>
                <w:left w:val="none" w:sz="0" w:space="0" w:color="auto"/>
                <w:bottom w:val="none" w:sz="0" w:space="0" w:color="auto"/>
                <w:right w:val="none" w:sz="0" w:space="0" w:color="auto"/>
              </w:divBdr>
              <w:divsChild>
                <w:div w:id="6088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32209">
      <w:bodyDiv w:val="1"/>
      <w:marLeft w:val="0"/>
      <w:marRight w:val="0"/>
      <w:marTop w:val="0"/>
      <w:marBottom w:val="0"/>
      <w:divBdr>
        <w:top w:val="none" w:sz="0" w:space="0" w:color="auto"/>
        <w:left w:val="none" w:sz="0" w:space="0" w:color="auto"/>
        <w:bottom w:val="none" w:sz="0" w:space="0" w:color="auto"/>
        <w:right w:val="none" w:sz="0" w:space="0" w:color="auto"/>
      </w:divBdr>
    </w:div>
    <w:div w:id="1990093106">
      <w:bodyDiv w:val="1"/>
      <w:marLeft w:val="0"/>
      <w:marRight w:val="0"/>
      <w:marTop w:val="0"/>
      <w:marBottom w:val="0"/>
      <w:divBdr>
        <w:top w:val="none" w:sz="0" w:space="0" w:color="auto"/>
        <w:left w:val="none" w:sz="0" w:space="0" w:color="auto"/>
        <w:bottom w:val="none" w:sz="0" w:space="0" w:color="auto"/>
        <w:right w:val="none" w:sz="0" w:space="0" w:color="auto"/>
      </w:divBdr>
    </w:div>
    <w:div w:id="2062629732">
      <w:bodyDiv w:val="1"/>
      <w:marLeft w:val="0"/>
      <w:marRight w:val="0"/>
      <w:marTop w:val="0"/>
      <w:marBottom w:val="0"/>
      <w:divBdr>
        <w:top w:val="none" w:sz="0" w:space="0" w:color="auto"/>
        <w:left w:val="none" w:sz="0" w:space="0" w:color="auto"/>
        <w:bottom w:val="none" w:sz="0" w:space="0" w:color="auto"/>
        <w:right w:val="none" w:sz="0" w:space="0" w:color="auto"/>
      </w:divBdr>
    </w:div>
    <w:div w:id="2082287959">
      <w:bodyDiv w:val="1"/>
      <w:marLeft w:val="0"/>
      <w:marRight w:val="0"/>
      <w:marTop w:val="0"/>
      <w:marBottom w:val="0"/>
      <w:divBdr>
        <w:top w:val="none" w:sz="0" w:space="0" w:color="auto"/>
        <w:left w:val="none" w:sz="0" w:space="0" w:color="auto"/>
        <w:bottom w:val="none" w:sz="0" w:space="0" w:color="auto"/>
        <w:right w:val="none" w:sz="0" w:space="0" w:color="auto"/>
      </w:divBdr>
      <w:divsChild>
        <w:div w:id="707413781">
          <w:marLeft w:val="0"/>
          <w:marRight w:val="0"/>
          <w:marTop w:val="0"/>
          <w:marBottom w:val="0"/>
          <w:divBdr>
            <w:top w:val="none" w:sz="0" w:space="0" w:color="auto"/>
            <w:left w:val="none" w:sz="0" w:space="0" w:color="auto"/>
            <w:bottom w:val="none" w:sz="0" w:space="0" w:color="auto"/>
            <w:right w:val="none" w:sz="0" w:space="0" w:color="auto"/>
          </w:divBdr>
          <w:divsChild>
            <w:div w:id="2085832910">
              <w:marLeft w:val="0"/>
              <w:marRight w:val="0"/>
              <w:marTop w:val="0"/>
              <w:marBottom w:val="0"/>
              <w:divBdr>
                <w:top w:val="none" w:sz="0" w:space="0" w:color="auto"/>
                <w:left w:val="none" w:sz="0" w:space="0" w:color="auto"/>
                <w:bottom w:val="none" w:sz="0" w:space="0" w:color="auto"/>
                <w:right w:val="none" w:sz="0" w:space="0" w:color="auto"/>
              </w:divBdr>
              <w:divsChild>
                <w:div w:id="3868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52493">
      <w:bodyDiv w:val="1"/>
      <w:marLeft w:val="0"/>
      <w:marRight w:val="0"/>
      <w:marTop w:val="0"/>
      <w:marBottom w:val="0"/>
      <w:divBdr>
        <w:top w:val="none" w:sz="0" w:space="0" w:color="auto"/>
        <w:left w:val="none" w:sz="0" w:space="0" w:color="auto"/>
        <w:bottom w:val="none" w:sz="0" w:space="0" w:color="auto"/>
        <w:right w:val="none" w:sz="0" w:space="0" w:color="auto"/>
      </w:divBdr>
    </w:div>
    <w:div w:id="2099406898">
      <w:bodyDiv w:val="1"/>
      <w:marLeft w:val="0"/>
      <w:marRight w:val="0"/>
      <w:marTop w:val="0"/>
      <w:marBottom w:val="0"/>
      <w:divBdr>
        <w:top w:val="none" w:sz="0" w:space="0" w:color="auto"/>
        <w:left w:val="none" w:sz="0" w:space="0" w:color="auto"/>
        <w:bottom w:val="none" w:sz="0" w:space="0" w:color="auto"/>
        <w:right w:val="none" w:sz="0" w:space="0" w:color="auto"/>
      </w:divBdr>
    </w:div>
    <w:div w:id="2117168427">
      <w:bodyDiv w:val="1"/>
      <w:marLeft w:val="0"/>
      <w:marRight w:val="0"/>
      <w:marTop w:val="0"/>
      <w:marBottom w:val="0"/>
      <w:divBdr>
        <w:top w:val="none" w:sz="0" w:space="0" w:color="auto"/>
        <w:left w:val="none" w:sz="0" w:space="0" w:color="auto"/>
        <w:bottom w:val="none" w:sz="0" w:space="0" w:color="auto"/>
        <w:right w:val="none" w:sz="0" w:space="0" w:color="auto"/>
      </w:divBdr>
    </w:div>
    <w:div w:id="2122339868">
      <w:bodyDiv w:val="1"/>
      <w:marLeft w:val="0"/>
      <w:marRight w:val="0"/>
      <w:marTop w:val="0"/>
      <w:marBottom w:val="0"/>
      <w:divBdr>
        <w:top w:val="none" w:sz="0" w:space="0" w:color="auto"/>
        <w:left w:val="none" w:sz="0" w:space="0" w:color="auto"/>
        <w:bottom w:val="none" w:sz="0" w:space="0" w:color="auto"/>
        <w:right w:val="none" w:sz="0" w:space="0" w:color="auto"/>
      </w:divBdr>
      <w:divsChild>
        <w:div w:id="843131250">
          <w:marLeft w:val="0"/>
          <w:marRight w:val="0"/>
          <w:marTop w:val="0"/>
          <w:marBottom w:val="0"/>
          <w:divBdr>
            <w:top w:val="none" w:sz="0" w:space="0" w:color="auto"/>
            <w:left w:val="none" w:sz="0" w:space="0" w:color="auto"/>
            <w:bottom w:val="none" w:sz="0" w:space="0" w:color="auto"/>
            <w:right w:val="none" w:sz="0" w:space="0" w:color="auto"/>
          </w:divBdr>
          <w:divsChild>
            <w:div w:id="1118378621">
              <w:marLeft w:val="0"/>
              <w:marRight w:val="0"/>
              <w:marTop w:val="0"/>
              <w:marBottom w:val="0"/>
              <w:divBdr>
                <w:top w:val="none" w:sz="0" w:space="0" w:color="auto"/>
                <w:left w:val="none" w:sz="0" w:space="0" w:color="auto"/>
                <w:bottom w:val="none" w:sz="0" w:space="0" w:color="auto"/>
                <w:right w:val="none" w:sz="0" w:space="0" w:color="auto"/>
              </w:divBdr>
              <w:divsChild>
                <w:div w:id="17939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5886">
      <w:bodyDiv w:val="1"/>
      <w:marLeft w:val="0"/>
      <w:marRight w:val="0"/>
      <w:marTop w:val="0"/>
      <w:marBottom w:val="0"/>
      <w:divBdr>
        <w:top w:val="none" w:sz="0" w:space="0" w:color="auto"/>
        <w:left w:val="none" w:sz="0" w:space="0" w:color="auto"/>
        <w:bottom w:val="none" w:sz="0" w:space="0" w:color="auto"/>
        <w:right w:val="none" w:sz="0" w:space="0" w:color="auto"/>
      </w:divBdr>
    </w:div>
    <w:div w:id="21289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02/ajh.25638" TargetMode="External"/><Relationship Id="rId2" Type="http://schemas.openxmlformats.org/officeDocument/2006/relationships/hyperlink" Target="https://doi.org/10.1002/ajh.25638" TargetMode="External"/><Relationship Id="rId1" Type="http://schemas.openxmlformats.org/officeDocument/2006/relationships/hyperlink" Target="https://handbook-5-1.cochrane.org/chapter_16/16_6_2_indirect_comparis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4D02-FEBB-41E1-96C8-1FA308C6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15703</Words>
  <Characters>95893</Characters>
  <Application>Microsoft Office Word</Application>
  <DocSecurity>0</DocSecurity>
  <Lines>799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2020-02-19T23:54:00Z</dcterms:created>
  <dcterms:modified xsi:type="dcterms:W3CDTF">2020-02-26T04:14:00Z</dcterms:modified>
</cp:coreProperties>
</file>