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D40E4" w14:textId="77777777" w:rsidR="00C81663" w:rsidRDefault="00C81663" w:rsidP="002C06D4">
      <w:pPr>
        <w:rPr>
          <w:rFonts w:eastAsia="Calibri"/>
          <w:lang w:eastAsia="en-US"/>
        </w:rPr>
      </w:pPr>
    </w:p>
    <w:p w14:paraId="6ADEEF7C" w14:textId="7879B622" w:rsidR="006552E6" w:rsidRPr="00520325" w:rsidRDefault="008B31E4" w:rsidP="00520325">
      <w:pPr>
        <w:ind w:left="720" w:hanging="720"/>
        <w:outlineLvl w:val="0"/>
        <w:rPr>
          <w:rFonts w:ascii="Calibri" w:eastAsia="Calibri" w:hAnsi="Calibri"/>
          <w:b/>
          <w:sz w:val="36"/>
          <w:szCs w:val="36"/>
          <w:lang w:eastAsia="en-US"/>
        </w:rPr>
      </w:pPr>
      <w:r>
        <w:rPr>
          <w:rFonts w:ascii="Calibri" w:eastAsia="Calibri" w:hAnsi="Calibri"/>
          <w:b/>
          <w:sz w:val="36"/>
          <w:szCs w:val="36"/>
          <w:lang w:eastAsia="en-US"/>
        </w:rPr>
        <w:t>6</w:t>
      </w:r>
      <w:r w:rsidR="00BF27A0" w:rsidRPr="00BF27A0">
        <w:rPr>
          <w:rFonts w:ascii="Calibri" w:eastAsia="Calibri" w:hAnsi="Calibri"/>
          <w:b/>
          <w:sz w:val="36"/>
          <w:szCs w:val="36"/>
          <w:lang w:eastAsia="en-US"/>
        </w:rPr>
        <w:t>.</w:t>
      </w:r>
      <w:r>
        <w:rPr>
          <w:rFonts w:ascii="Calibri" w:eastAsia="Calibri" w:hAnsi="Calibri"/>
          <w:b/>
          <w:sz w:val="36"/>
          <w:szCs w:val="36"/>
          <w:lang w:eastAsia="en-US"/>
        </w:rPr>
        <w:t>12</w:t>
      </w:r>
      <w:r w:rsidR="00BF27A0" w:rsidRPr="00BF27A0">
        <w:rPr>
          <w:rFonts w:ascii="Calibri" w:eastAsia="Calibri" w:hAnsi="Calibri"/>
          <w:b/>
          <w:sz w:val="36"/>
          <w:szCs w:val="36"/>
          <w:lang w:eastAsia="en-US"/>
        </w:rPr>
        <w:tab/>
      </w:r>
      <w:r w:rsidRPr="008B31E4">
        <w:rPr>
          <w:rFonts w:ascii="Calibri" w:eastAsia="Calibri" w:hAnsi="Calibri"/>
          <w:b/>
          <w:sz w:val="36"/>
          <w:szCs w:val="36"/>
          <w:lang w:eastAsia="en-US"/>
        </w:rPr>
        <w:t>INCOBOTULINUMTOXIN A</w:t>
      </w:r>
      <w:r w:rsidR="002E0E1C">
        <w:rPr>
          <w:rFonts w:ascii="Calibri" w:eastAsia="Calibri" w:hAnsi="Calibri"/>
          <w:b/>
          <w:sz w:val="36"/>
          <w:szCs w:val="36"/>
          <w:lang w:eastAsia="en-US"/>
        </w:rPr>
        <w:t>,</w:t>
      </w:r>
      <w:r w:rsidRPr="008B31E4">
        <w:rPr>
          <w:rFonts w:ascii="Calibri" w:eastAsia="Calibri" w:hAnsi="Calibri"/>
          <w:b/>
          <w:sz w:val="36"/>
          <w:szCs w:val="36"/>
          <w:lang w:eastAsia="en-US"/>
        </w:rPr>
        <w:t xml:space="preserve"> </w:t>
      </w:r>
      <w:r w:rsidR="00520325">
        <w:rPr>
          <w:rFonts w:ascii="Calibri" w:eastAsia="Calibri" w:hAnsi="Calibri"/>
          <w:b/>
          <w:sz w:val="36"/>
          <w:szCs w:val="36"/>
          <w:lang w:eastAsia="en-US"/>
        </w:rPr>
        <w:br/>
      </w:r>
      <w:r w:rsidR="000E079D">
        <w:rPr>
          <w:rFonts w:ascii="Calibri" w:eastAsia="Calibri" w:hAnsi="Calibri"/>
          <w:b/>
          <w:sz w:val="36"/>
          <w:szCs w:val="36"/>
          <w:lang w:eastAsia="en-US"/>
        </w:rPr>
        <w:t xml:space="preserve">Lyophilised </w:t>
      </w:r>
      <w:r w:rsidRPr="008B31E4">
        <w:rPr>
          <w:rFonts w:ascii="Calibri" w:eastAsia="Calibri" w:hAnsi="Calibri"/>
          <w:b/>
          <w:sz w:val="36"/>
          <w:szCs w:val="36"/>
          <w:lang w:eastAsia="en-US"/>
        </w:rPr>
        <w:t>powder for injection, 100 units,</w:t>
      </w:r>
      <w:r w:rsidR="00520325">
        <w:rPr>
          <w:rFonts w:ascii="Calibri" w:eastAsia="Calibri" w:hAnsi="Calibri"/>
          <w:b/>
          <w:sz w:val="36"/>
          <w:szCs w:val="36"/>
          <w:lang w:eastAsia="en-US"/>
        </w:rPr>
        <w:t xml:space="preserve"> </w:t>
      </w:r>
      <w:r w:rsidR="00520325">
        <w:rPr>
          <w:rFonts w:ascii="Calibri" w:eastAsia="Calibri" w:hAnsi="Calibri"/>
          <w:b/>
          <w:sz w:val="36"/>
          <w:szCs w:val="36"/>
          <w:lang w:eastAsia="en-US"/>
        </w:rPr>
        <w:br/>
      </w:r>
      <w:proofErr w:type="spellStart"/>
      <w:r w:rsidR="00CC6525">
        <w:rPr>
          <w:rFonts w:ascii="Calibri" w:eastAsia="Calibri" w:hAnsi="Calibri"/>
          <w:b/>
          <w:sz w:val="36"/>
          <w:szCs w:val="36"/>
          <w:lang w:eastAsia="en-US"/>
        </w:rPr>
        <w:t>Xeomin</w:t>
      </w:r>
      <w:proofErr w:type="spellEnd"/>
      <w:r w:rsidR="00D336C8">
        <w:rPr>
          <w:rFonts w:ascii="Calibri" w:eastAsia="Calibri" w:hAnsi="Calibri"/>
          <w:b/>
          <w:sz w:val="36"/>
          <w:szCs w:val="36"/>
          <w:lang w:eastAsia="en-US"/>
        </w:rPr>
        <w:t>®</w:t>
      </w:r>
      <w:r w:rsidRPr="008B31E4">
        <w:rPr>
          <w:rFonts w:ascii="Calibri" w:eastAsia="Calibri" w:hAnsi="Calibri"/>
          <w:b/>
          <w:sz w:val="36"/>
          <w:szCs w:val="36"/>
          <w:lang w:eastAsia="en-US"/>
        </w:rPr>
        <w:t xml:space="preserve">, </w:t>
      </w:r>
      <w:proofErr w:type="spellStart"/>
      <w:r w:rsidRPr="008B31E4">
        <w:rPr>
          <w:rFonts w:ascii="Calibri" w:eastAsia="Calibri" w:hAnsi="Calibri"/>
          <w:b/>
          <w:sz w:val="36"/>
          <w:szCs w:val="36"/>
          <w:lang w:eastAsia="en-US"/>
        </w:rPr>
        <w:t>Merz</w:t>
      </w:r>
      <w:proofErr w:type="spellEnd"/>
      <w:r w:rsidR="002E0E1C">
        <w:rPr>
          <w:rFonts w:ascii="Calibri" w:eastAsia="Calibri" w:hAnsi="Calibri"/>
          <w:b/>
          <w:sz w:val="36"/>
          <w:szCs w:val="36"/>
          <w:lang w:eastAsia="en-US"/>
        </w:rPr>
        <w:t xml:space="preserve"> </w:t>
      </w:r>
      <w:r w:rsidR="000E079D">
        <w:rPr>
          <w:rFonts w:ascii="Calibri" w:eastAsia="Calibri" w:hAnsi="Calibri"/>
          <w:b/>
          <w:sz w:val="36"/>
          <w:szCs w:val="36"/>
          <w:lang w:eastAsia="en-US"/>
        </w:rPr>
        <w:t>Australia Pty Ltd</w:t>
      </w:r>
      <w:r w:rsidR="002E0E1C">
        <w:rPr>
          <w:rFonts w:ascii="Calibri" w:eastAsia="Calibri" w:hAnsi="Calibri"/>
          <w:b/>
          <w:sz w:val="36"/>
          <w:szCs w:val="36"/>
          <w:lang w:eastAsia="en-US"/>
        </w:rPr>
        <w:t>.</w:t>
      </w:r>
      <w:r w:rsidR="006552E6" w:rsidRPr="002B1D51">
        <w:tab/>
      </w:r>
    </w:p>
    <w:p w14:paraId="342EC28D" w14:textId="48335F5B" w:rsidR="00BA2DA8" w:rsidRPr="00FE1129" w:rsidRDefault="00CE10C4" w:rsidP="00FE1129">
      <w:pPr>
        <w:pStyle w:val="2Sections"/>
        <w:numPr>
          <w:ilvl w:val="0"/>
          <w:numId w:val="19"/>
        </w:numPr>
      </w:pPr>
      <w:r w:rsidRPr="0033263D">
        <w:t xml:space="preserve">Purpose of </w:t>
      </w:r>
      <w:r w:rsidR="0004240E" w:rsidRPr="0033263D">
        <w:t>Application</w:t>
      </w:r>
      <w:r w:rsidR="00034905">
        <w:t xml:space="preserve"> </w:t>
      </w:r>
    </w:p>
    <w:p w14:paraId="1F927198" w14:textId="411E6F53" w:rsidR="00567214" w:rsidRPr="00567214" w:rsidRDefault="00567214" w:rsidP="008431CB">
      <w:pPr>
        <w:pStyle w:val="Bodytextitalics"/>
        <w:jc w:val="both"/>
        <w:rPr>
          <w:i w:val="0"/>
        </w:rPr>
      </w:pPr>
      <w:r w:rsidRPr="00567214">
        <w:rPr>
          <w:i w:val="0"/>
        </w:rPr>
        <w:t xml:space="preserve">The minor submission requested an expansion of the current Section 100 Authority Required (STREAMLINED) listing for </w:t>
      </w:r>
      <w:proofErr w:type="spellStart"/>
      <w:r w:rsidR="00FE1129">
        <w:rPr>
          <w:i w:val="0"/>
        </w:rPr>
        <w:t>incobotulinumtoxin</w:t>
      </w:r>
      <w:proofErr w:type="spellEnd"/>
      <w:r w:rsidR="00FE1129">
        <w:rPr>
          <w:i w:val="0"/>
        </w:rPr>
        <w:t xml:space="preserve"> A</w:t>
      </w:r>
      <w:r w:rsidRPr="00567214">
        <w:rPr>
          <w:i w:val="0"/>
        </w:rPr>
        <w:t xml:space="preserve"> (herein known as </w:t>
      </w:r>
      <w:proofErr w:type="spellStart"/>
      <w:r w:rsidR="00CC6525">
        <w:rPr>
          <w:i w:val="0"/>
        </w:rPr>
        <w:t>Xeomin</w:t>
      </w:r>
      <w:proofErr w:type="spellEnd"/>
      <w:r w:rsidR="00D336C8">
        <w:rPr>
          <w:i w:val="0"/>
        </w:rPr>
        <w:t>®</w:t>
      </w:r>
      <w:r w:rsidRPr="00567214">
        <w:rPr>
          <w:i w:val="0"/>
        </w:rPr>
        <w:t xml:space="preserve">) for the treatment of moderate to severe focal spasticity of the upper limb following a stroke to also include spasticity following acute events other than stroke. </w:t>
      </w:r>
    </w:p>
    <w:p w14:paraId="501C8752" w14:textId="46DC2C9B" w:rsidR="00567214" w:rsidRPr="00567214" w:rsidRDefault="00567214" w:rsidP="008431CB">
      <w:pPr>
        <w:pStyle w:val="Bodytextitalics"/>
        <w:jc w:val="both"/>
        <w:rPr>
          <w:i w:val="0"/>
        </w:rPr>
      </w:pPr>
      <w:r w:rsidRPr="00567214">
        <w:rPr>
          <w:i w:val="0"/>
        </w:rPr>
        <w:t xml:space="preserve">An expansion of the same listing was recommended for clostridium botulinum type </w:t>
      </w:r>
      <w:proofErr w:type="gramStart"/>
      <w:r w:rsidRPr="00567214">
        <w:rPr>
          <w:i w:val="0"/>
        </w:rPr>
        <w:t>A</w:t>
      </w:r>
      <w:proofErr w:type="gramEnd"/>
      <w:r w:rsidRPr="00567214">
        <w:rPr>
          <w:i w:val="0"/>
        </w:rPr>
        <w:t xml:space="preserve"> toxin-</w:t>
      </w:r>
      <w:proofErr w:type="spellStart"/>
      <w:r w:rsidRPr="00567214">
        <w:rPr>
          <w:i w:val="0"/>
        </w:rPr>
        <w:t>haemagglutinin</w:t>
      </w:r>
      <w:proofErr w:type="spellEnd"/>
      <w:r w:rsidRPr="00567214">
        <w:rPr>
          <w:i w:val="0"/>
        </w:rPr>
        <w:t xml:space="preserve"> complex (herein known as </w:t>
      </w:r>
      <w:proofErr w:type="spellStart"/>
      <w:r w:rsidRPr="00567214">
        <w:rPr>
          <w:i w:val="0"/>
        </w:rPr>
        <w:t>Dysport</w:t>
      </w:r>
      <w:proofErr w:type="spellEnd"/>
      <w:r w:rsidRPr="00567214">
        <w:rPr>
          <w:i w:val="0"/>
        </w:rPr>
        <w:t>®) at the March 2019 PBAC meeting</w:t>
      </w:r>
      <w:r w:rsidR="001C1A2F">
        <w:rPr>
          <w:i w:val="0"/>
        </w:rPr>
        <w:t xml:space="preserve"> and the change was made to the</w:t>
      </w:r>
      <w:r w:rsidR="00B07FE5">
        <w:rPr>
          <w:i w:val="0"/>
        </w:rPr>
        <w:t xml:space="preserve"> </w:t>
      </w:r>
      <w:r w:rsidRPr="00567214">
        <w:rPr>
          <w:i w:val="0"/>
        </w:rPr>
        <w:t xml:space="preserve">PBS </w:t>
      </w:r>
      <w:r w:rsidR="001C1A2F">
        <w:rPr>
          <w:i w:val="0"/>
        </w:rPr>
        <w:t xml:space="preserve">on </w:t>
      </w:r>
      <w:r w:rsidRPr="00567214">
        <w:rPr>
          <w:i w:val="0"/>
        </w:rPr>
        <w:t>1 October 2019.</w:t>
      </w:r>
    </w:p>
    <w:p w14:paraId="7375DA7F" w14:textId="77777777" w:rsidR="006B4007" w:rsidRPr="00FD6D8E" w:rsidRDefault="006B4007" w:rsidP="006B4007">
      <w:pPr>
        <w:pStyle w:val="2Sections"/>
      </w:pPr>
      <w:r w:rsidRPr="002B5596">
        <w:t>Background</w:t>
      </w:r>
    </w:p>
    <w:p w14:paraId="0B4C1C5F" w14:textId="77777777" w:rsidR="006B4007" w:rsidRPr="00E72446" w:rsidRDefault="006B4007" w:rsidP="00E72446">
      <w:pPr>
        <w:pStyle w:val="Heading2"/>
        <w:spacing w:after="120"/>
        <w:rPr>
          <w:rFonts w:asciiTheme="minorHAnsi" w:hAnsiTheme="minorHAnsi" w:cstheme="minorHAnsi"/>
          <w:sz w:val="28"/>
          <w:szCs w:val="28"/>
        </w:rPr>
      </w:pPr>
      <w:r w:rsidRPr="00E72446">
        <w:rPr>
          <w:rFonts w:asciiTheme="minorHAnsi" w:hAnsiTheme="minorHAnsi" w:cstheme="minorHAnsi"/>
          <w:sz w:val="28"/>
          <w:szCs w:val="28"/>
        </w:rPr>
        <w:t>Registration status</w:t>
      </w:r>
    </w:p>
    <w:p w14:paraId="01E92116" w14:textId="77777777" w:rsidR="006B4007" w:rsidRPr="00754E77" w:rsidRDefault="006B4007" w:rsidP="006B4007">
      <w:pPr>
        <w:pStyle w:val="Bodytextitalics"/>
        <w:jc w:val="both"/>
        <w:rPr>
          <w:i w:val="0"/>
        </w:rPr>
      </w:pPr>
      <w:proofErr w:type="spellStart"/>
      <w:r w:rsidRPr="00754E77">
        <w:rPr>
          <w:i w:val="0"/>
        </w:rPr>
        <w:t>Xeomin</w:t>
      </w:r>
      <w:proofErr w:type="spellEnd"/>
      <w:r w:rsidRPr="00754E77">
        <w:rPr>
          <w:i w:val="0"/>
        </w:rPr>
        <w:t>® was TGA registered on 21 March 2014 for</w:t>
      </w:r>
      <w:r w:rsidRPr="00754E77" w:rsidDel="009A61CA">
        <w:rPr>
          <w:i w:val="0"/>
        </w:rPr>
        <w:t xml:space="preserve"> </w:t>
      </w:r>
      <w:r w:rsidRPr="00754E77">
        <w:rPr>
          <w:i w:val="0"/>
        </w:rPr>
        <w:t xml:space="preserve">post-stroke spasticity of the upper limb. </w:t>
      </w:r>
    </w:p>
    <w:p w14:paraId="67A701C9" w14:textId="77777777" w:rsidR="006B4007" w:rsidRPr="00C863F3" w:rsidRDefault="006B4007" w:rsidP="006B4007">
      <w:pPr>
        <w:pStyle w:val="Bodytextitalics"/>
        <w:jc w:val="both"/>
        <w:rPr>
          <w:i w:val="0"/>
        </w:rPr>
      </w:pPr>
      <w:proofErr w:type="spellStart"/>
      <w:r w:rsidRPr="00C863F3">
        <w:rPr>
          <w:i w:val="0"/>
        </w:rPr>
        <w:t>Xeomin</w:t>
      </w:r>
      <w:proofErr w:type="spellEnd"/>
      <w:r w:rsidRPr="00C863F3">
        <w:rPr>
          <w:i w:val="0"/>
        </w:rPr>
        <w:t xml:space="preserve">® was granted a licensing extension that removed the restriction limiting use </w:t>
      </w:r>
      <w:r w:rsidRPr="00371F8F">
        <w:rPr>
          <w:i w:val="0"/>
        </w:rPr>
        <w:t xml:space="preserve">to the post-stroke subgroup on 15 March 2018, resulting in the current </w:t>
      </w:r>
      <w:r w:rsidRPr="00C863F3">
        <w:rPr>
          <w:i w:val="0"/>
        </w:rPr>
        <w:t xml:space="preserve">TGA-approved indication </w:t>
      </w:r>
      <w:r>
        <w:rPr>
          <w:i w:val="0"/>
        </w:rPr>
        <w:t>of</w:t>
      </w:r>
      <w:r w:rsidRPr="00C863F3">
        <w:rPr>
          <w:i w:val="0"/>
        </w:rPr>
        <w:t xml:space="preserve"> “spasticity of the upper limb</w:t>
      </w:r>
      <w:r>
        <w:rPr>
          <w:i w:val="0"/>
        </w:rPr>
        <w:t>”</w:t>
      </w:r>
      <w:r w:rsidRPr="00C863F3">
        <w:rPr>
          <w:i w:val="0"/>
        </w:rPr>
        <w:t>.</w:t>
      </w:r>
    </w:p>
    <w:p w14:paraId="0CFC7017" w14:textId="77777777" w:rsidR="006B4007" w:rsidRPr="006646FE" w:rsidRDefault="006B4007" w:rsidP="006B4007">
      <w:pPr>
        <w:pStyle w:val="Bodytextitalics"/>
        <w:jc w:val="both"/>
        <w:rPr>
          <w:rFonts w:ascii="Arial" w:hAnsi="Arial"/>
          <w:b/>
          <w:i w:val="0"/>
          <w:sz w:val="22"/>
        </w:rPr>
      </w:pPr>
      <w:proofErr w:type="spellStart"/>
      <w:r w:rsidRPr="00754E77">
        <w:rPr>
          <w:i w:val="0"/>
        </w:rPr>
        <w:t>Xeomin</w:t>
      </w:r>
      <w:proofErr w:type="spellEnd"/>
      <w:r w:rsidRPr="00754E77">
        <w:rPr>
          <w:i w:val="0"/>
        </w:rPr>
        <w:t xml:space="preserve">® is currently listed on the PBS as </w:t>
      </w:r>
      <w:r>
        <w:rPr>
          <w:i w:val="0"/>
        </w:rPr>
        <w:t xml:space="preserve">a </w:t>
      </w:r>
      <w:r w:rsidRPr="00754E77">
        <w:rPr>
          <w:i w:val="0"/>
        </w:rPr>
        <w:t>Section 100</w:t>
      </w:r>
      <w:r>
        <w:rPr>
          <w:i w:val="0"/>
        </w:rPr>
        <w:t xml:space="preserve"> – Botulinum Toxin Program, </w:t>
      </w:r>
      <w:r w:rsidRPr="00754E77">
        <w:rPr>
          <w:i w:val="0"/>
        </w:rPr>
        <w:t>Authority Required (STREAMLINED) listing for moderate to severe spasticity of the upper limb following a stroke</w:t>
      </w:r>
      <w:r>
        <w:t>.</w:t>
      </w:r>
    </w:p>
    <w:p w14:paraId="4B64D455" w14:textId="77777777" w:rsidR="006B4007" w:rsidRPr="00E72446" w:rsidRDefault="006B4007" w:rsidP="00E72446">
      <w:pPr>
        <w:pStyle w:val="Heading2"/>
        <w:spacing w:after="120"/>
        <w:rPr>
          <w:rFonts w:asciiTheme="minorHAnsi" w:hAnsiTheme="minorHAnsi" w:cstheme="minorHAnsi"/>
          <w:sz w:val="28"/>
          <w:szCs w:val="28"/>
        </w:rPr>
      </w:pPr>
      <w:r w:rsidRPr="00E72446">
        <w:rPr>
          <w:rFonts w:asciiTheme="minorHAnsi" w:hAnsiTheme="minorHAnsi" w:cstheme="minorHAnsi"/>
          <w:sz w:val="28"/>
          <w:szCs w:val="28"/>
        </w:rPr>
        <w:t>Previous PBAC considerations</w:t>
      </w:r>
    </w:p>
    <w:p w14:paraId="7632A0A2" w14:textId="2CDD12C7" w:rsidR="006B4007" w:rsidRPr="00561EEA" w:rsidRDefault="006B4007" w:rsidP="006B4007">
      <w:pPr>
        <w:pStyle w:val="3Bodytext"/>
        <w:jc w:val="both"/>
        <w:rPr>
          <w:i/>
        </w:rPr>
      </w:pPr>
      <w:r>
        <w:t xml:space="preserve">The PBAC recommended </w:t>
      </w:r>
      <w:proofErr w:type="spellStart"/>
      <w:r>
        <w:t>Xeomin</w:t>
      </w:r>
      <w:proofErr w:type="spellEnd"/>
      <w:r>
        <w:t>® for the treatment of upper limb spasticity following a stroke in</w:t>
      </w:r>
      <w:r w:rsidRPr="00657C63">
        <w:t xml:space="preserve"> </w:t>
      </w:r>
      <w:r>
        <w:t>July 2014</w:t>
      </w:r>
      <w:r w:rsidRPr="00657C63">
        <w:t xml:space="preserve"> meeting</w:t>
      </w:r>
      <w:r>
        <w:t xml:space="preserve"> (in conjunction with application for use in cervical dystonia and </w:t>
      </w:r>
      <w:proofErr w:type="spellStart"/>
      <w:r>
        <w:t>blepharospasm</w:t>
      </w:r>
      <w:proofErr w:type="spellEnd"/>
      <w:r>
        <w:t>) on a cost-minimisation basis compared with botulinum toxin type A (herein known as Botox</w:t>
      </w:r>
      <w:r w:rsidRPr="00A229B6">
        <w:rPr>
          <w:rFonts w:eastAsia="Times New Roman" w:cs="Arial"/>
          <w:snapToGrid w:val="0"/>
          <w:szCs w:val="24"/>
          <w:lang w:eastAsia="en-US"/>
        </w:rPr>
        <w:t>®</w:t>
      </w:r>
      <w:r>
        <w:t>).</w:t>
      </w:r>
    </w:p>
    <w:p w14:paraId="0F496C4D" w14:textId="77777777" w:rsidR="006B4007" w:rsidRDefault="006B4007" w:rsidP="006B4007">
      <w:pPr>
        <w:pStyle w:val="3Bodytext"/>
        <w:jc w:val="both"/>
      </w:pPr>
      <w:r w:rsidRPr="00561EEA">
        <w:t>The PBAC recommended B</w:t>
      </w:r>
      <w:r>
        <w:t>otox</w:t>
      </w:r>
      <w:r w:rsidRPr="00561EEA">
        <w:t xml:space="preserve">® for the treatment of upper limb spasticity following a stroke in July 2008 on a cost-minimisation basis compared with </w:t>
      </w:r>
      <w:proofErr w:type="spellStart"/>
      <w:r w:rsidRPr="00561EEA">
        <w:t>Dysport</w:t>
      </w:r>
      <w:proofErr w:type="spellEnd"/>
      <w:r w:rsidRPr="00561EEA">
        <w:t>®.</w:t>
      </w:r>
    </w:p>
    <w:p w14:paraId="2BEBBE92" w14:textId="6D948DC5" w:rsidR="00BE21DE" w:rsidRDefault="006B4007" w:rsidP="00B158F3">
      <w:pPr>
        <w:pStyle w:val="3Bodytext"/>
        <w:jc w:val="both"/>
      </w:pPr>
      <w:r>
        <w:t xml:space="preserve">The PBAC recommended an extension of the PBS listing of </w:t>
      </w:r>
      <w:proofErr w:type="spellStart"/>
      <w:r>
        <w:t>Dysport</w:t>
      </w:r>
      <w:proofErr w:type="spellEnd"/>
      <w:r>
        <w:rPr>
          <w:rFonts w:cstheme="minorHAnsi"/>
        </w:rPr>
        <w:t>®</w:t>
      </w:r>
      <w:r>
        <w:t xml:space="preserve"> from upper limb spasticity following a stroke to upper limb spasticity following an acute event in March 2019.</w:t>
      </w:r>
    </w:p>
    <w:p w14:paraId="7CDCFCE7" w14:textId="78F84964" w:rsidR="00BE21DE" w:rsidRDefault="006B4007" w:rsidP="00B167E9">
      <w:pPr>
        <w:pStyle w:val="3Bodytext"/>
        <w:jc w:val="both"/>
      </w:pPr>
      <w:r w:rsidRPr="00C81663">
        <w:t xml:space="preserve">The PBAC also </w:t>
      </w:r>
      <w:r w:rsidR="00BE21DE">
        <w:t xml:space="preserve">considered </w:t>
      </w:r>
      <w:r w:rsidRPr="00C81663">
        <w:t>a minor submission to extend the listing of Botox</w:t>
      </w:r>
      <w:r w:rsidRPr="00BE21DE">
        <w:rPr>
          <w:rFonts w:cstheme="minorHAnsi"/>
        </w:rPr>
        <w:t>®</w:t>
      </w:r>
      <w:r w:rsidRPr="00C81663">
        <w:t xml:space="preserve"> for the treatment of upper limb spasticity at </w:t>
      </w:r>
      <w:r w:rsidR="00BE21DE">
        <w:t>its</w:t>
      </w:r>
      <w:r w:rsidRPr="00C81663">
        <w:t xml:space="preserve"> November 2019 meeting</w:t>
      </w:r>
      <w:r w:rsidR="00673E93" w:rsidRPr="00C81663">
        <w:t xml:space="preserve"> (refer to item 6.09)</w:t>
      </w:r>
      <w:r w:rsidRPr="00C81663">
        <w:t>.</w:t>
      </w:r>
    </w:p>
    <w:p w14:paraId="07B5077B" w14:textId="1C377254" w:rsidR="00BE21DE" w:rsidRPr="00C81663" w:rsidRDefault="00BE21DE" w:rsidP="00B167E9">
      <w:pPr>
        <w:pStyle w:val="3Bodytext"/>
        <w:numPr>
          <w:ilvl w:val="0"/>
          <w:numId w:val="0"/>
        </w:numPr>
        <w:ind w:firstLine="720"/>
      </w:pPr>
      <w:r w:rsidRPr="00BE21DE">
        <w:rPr>
          <w:i/>
        </w:rPr>
        <w:lastRenderedPageBreak/>
        <w:t xml:space="preserve"> </w:t>
      </w:r>
      <w:r w:rsidRPr="00525B39">
        <w:rPr>
          <w:i/>
        </w:rPr>
        <w:t xml:space="preserve">For more detail on PBAC’s view, see section </w:t>
      </w:r>
      <w:r>
        <w:rPr>
          <w:i/>
        </w:rPr>
        <w:t>6</w:t>
      </w:r>
      <w:r w:rsidRPr="00525B39">
        <w:rPr>
          <w:i/>
        </w:rPr>
        <w:t xml:space="preserve"> PBAC outcome.</w:t>
      </w:r>
    </w:p>
    <w:p w14:paraId="107956BB" w14:textId="54A68CA1" w:rsidR="001A76FB" w:rsidRDefault="006A12A5" w:rsidP="00E72446">
      <w:pPr>
        <w:pStyle w:val="2Sections"/>
        <w:keepNext/>
      </w:pPr>
      <w:r w:rsidRPr="002B5596">
        <w:t>Requested listing</w:t>
      </w:r>
    </w:p>
    <w:p w14:paraId="2D53D5BE" w14:textId="7D8F0667" w:rsidR="00FE1129" w:rsidRDefault="00EF44A0" w:rsidP="00E72446">
      <w:pPr>
        <w:pStyle w:val="3Bodytext"/>
        <w:keepNext/>
        <w:jc w:val="both"/>
      </w:pPr>
      <w:r w:rsidRPr="00E0207E">
        <w:t xml:space="preserve">The submission </w:t>
      </w:r>
      <w:r w:rsidR="00FF2801" w:rsidRPr="00E0207E">
        <w:t>requested</w:t>
      </w:r>
      <w:r w:rsidRPr="00E0207E">
        <w:t xml:space="preserve"> the following </w:t>
      </w:r>
      <w:r w:rsidRPr="000116B2">
        <w:t>changes to the existing listing</w:t>
      </w:r>
      <w:r w:rsidR="00826F6D" w:rsidRPr="00E0207E">
        <w:t>:</w:t>
      </w:r>
      <w:r w:rsidRPr="00E0207E">
        <w:t xml:space="preserve"> </w:t>
      </w:r>
    </w:p>
    <w:p w14:paraId="2ACA426A" w14:textId="51EA4890" w:rsidR="00FE1129" w:rsidRDefault="00B07FE5" w:rsidP="008431CB">
      <w:pPr>
        <w:pStyle w:val="3Bodytext"/>
        <w:numPr>
          <w:ilvl w:val="0"/>
          <w:numId w:val="21"/>
        </w:numPr>
        <w:jc w:val="both"/>
      </w:pPr>
      <w:r>
        <w:t>Extension of</w:t>
      </w:r>
      <w:r w:rsidR="00FE1129">
        <w:t xml:space="preserve"> the current restriction </w:t>
      </w:r>
      <w:r>
        <w:t xml:space="preserve">from </w:t>
      </w:r>
      <w:r w:rsidR="00FE1129">
        <w:t>“moderate to severe spasticity of the upper limb</w:t>
      </w:r>
      <w:r w:rsidR="00E40977">
        <w:t xml:space="preserve"> </w:t>
      </w:r>
      <w:r w:rsidR="00FE1129">
        <w:t>following a</w:t>
      </w:r>
      <w:r>
        <w:t xml:space="preserve"> stroke</w:t>
      </w:r>
      <w:r w:rsidR="00FE1129">
        <w:t>”</w:t>
      </w:r>
      <w:r>
        <w:t xml:space="preserve"> to “….following an acute event”</w:t>
      </w:r>
      <w:r w:rsidR="00622CB3">
        <w:t>;</w:t>
      </w:r>
    </w:p>
    <w:p w14:paraId="7264CE32" w14:textId="7AB5952E" w:rsidR="00FE1129" w:rsidRDefault="00B07FE5" w:rsidP="008431CB">
      <w:pPr>
        <w:pStyle w:val="3Bodytext"/>
        <w:numPr>
          <w:ilvl w:val="0"/>
          <w:numId w:val="21"/>
        </w:numPr>
        <w:jc w:val="both"/>
      </w:pPr>
      <w:r>
        <w:t>Modification of</w:t>
      </w:r>
      <w:r w:rsidR="00FE1129">
        <w:t xml:space="preserve"> the c</w:t>
      </w:r>
      <w:r>
        <w:t>urrent restriction to include “T</w:t>
      </w:r>
      <w:r w:rsidR="00FE1129">
        <w:t>he treatment must not exceed a maximum of 4 treatment periods (with any botulinum</w:t>
      </w:r>
      <w:r w:rsidR="009D6DE6">
        <w:t xml:space="preserve"> </w:t>
      </w:r>
      <w:r w:rsidR="00FE1129">
        <w:t>toxin-A) per</w:t>
      </w:r>
      <w:r w:rsidR="00A229B6">
        <w:t xml:space="preserve"> upper limb in the first year of</w:t>
      </w:r>
      <w:r w:rsidR="00FE1129">
        <w:t xml:space="preserve"> treatment, and 2 treatment periods (with any botulinum toxin-A) per upper limb each year thereafter</w:t>
      </w:r>
      <w:r>
        <w:t>”</w:t>
      </w:r>
      <w:r w:rsidR="00F9332F">
        <w:t xml:space="preserve">. This amendment has been </w:t>
      </w:r>
      <w:r w:rsidR="00554518">
        <w:t xml:space="preserve">accepted </w:t>
      </w:r>
      <w:r w:rsidR="00F9332F">
        <w:t>by the PBAC in previous consideration of botulinum toxin in upper and lower limb focal spasticity</w:t>
      </w:r>
      <w:r w:rsidR="00622CB3">
        <w:t>;</w:t>
      </w:r>
    </w:p>
    <w:p w14:paraId="19A3E75E" w14:textId="1C8D8958" w:rsidR="00FE1129" w:rsidRDefault="00E40977" w:rsidP="008431CB">
      <w:pPr>
        <w:pStyle w:val="3Bodytext"/>
        <w:numPr>
          <w:ilvl w:val="0"/>
          <w:numId w:val="21"/>
        </w:numPr>
        <w:jc w:val="both"/>
      </w:pPr>
      <w:r>
        <w:t xml:space="preserve">A </w:t>
      </w:r>
      <w:r w:rsidR="009B71DD">
        <w:t xml:space="preserve">Special Pricing Agreement (SPA) to match the </w:t>
      </w:r>
      <w:r>
        <w:t xml:space="preserve">effective price of </w:t>
      </w:r>
      <w:proofErr w:type="spellStart"/>
      <w:r>
        <w:t>Dyspor</w:t>
      </w:r>
      <w:r w:rsidRPr="00E40977">
        <w:t>t</w:t>
      </w:r>
      <w:proofErr w:type="spellEnd"/>
      <w:r w:rsidRPr="00E40977">
        <w:t>®</w:t>
      </w:r>
      <w:r w:rsidR="00622CB3">
        <w:t>; and</w:t>
      </w:r>
    </w:p>
    <w:p w14:paraId="2FFCA386" w14:textId="4DA612DE" w:rsidR="00FE1129" w:rsidRPr="00E0207E" w:rsidRDefault="008431CB" w:rsidP="008431CB">
      <w:pPr>
        <w:pStyle w:val="3Bodytext"/>
        <w:numPr>
          <w:ilvl w:val="0"/>
          <w:numId w:val="21"/>
        </w:numPr>
        <w:jc w:val="both"/>
      </w:pPr>
      <w:r>
        <w:t>To e</w:t>
      </w:r>
      <w:r w:rsidR="00FE1129">
        <w:t xml:space="preserve">nter into the same </w:t>
      </w:r>
      <w:r w:rsidR="009B71DD">
        <w:t>R</w:t>
      </w:r>
      <w:r w:rsidR="00FE1129">
        <w:t xml:space="preserve">isk </w:t>
      </w:r>
      <w:r w:rsidR="009B71DD">
        <w:t>S</w:t>
      </w:r>
      <w:r w:rsidR="00FE1129">
        <w:t>har</w:t>
      </w:r>
      <w:r w:rsidR="009B71DD">
        <w:t>ing</w:t>
      </w:r>
      <w:r w:rsidR="00FE1129">
        <w:t xml:space="preserve"> </w:t>
      </w:r>
      <w:r w:rsidR="009B71DD">
        <w:t>A</w:t>
      </w:r>
      <w:r w:rsidR="00FE1129">
        <w:t xml:space="preserve">rrangement (RSA) as </w:t>
      </w:r>
      <w:proofErr w:type="spellStart"/>
      <w:r w:rsidR="00FE1129">
        <w:t>Dysport</w:t>
      </w:r>
      <w:proofErr w:type="spellEnd"/>
      <w:r w:rsidR="00E40977" w:rsidRPr="00E40977">
        <w:t>®</w:t>
      </w:r>
      <w:r w:rsidR="000E079D">
        <w:t>,</w:t>
      </w:r>
      <w:r w:rsidR="00FE1129">
        <w:t xml:space="preserve"> with 100% rebate</w:t>
      </w:r>
      <w:r w:rsidR="000E079D">
        <w:t>s</w:t>
      </w:r>
      <w:r w:rsidR="00FE1129">
        <w:t xml:space="preserve"> beyond estimated </w:t>
      </w:r>
      <w:r w:rsidR="000E079D">
        <w:t xml:space="preserve">subsidisation </w:t>
      </w:r>
      <w:r w:rsidR="00FE1129">
        <w:t>caps.</w:t>
      </w:r>
    </w:p>
    <w:p w14:paraId="67905D38" w14:textId="470C1B6F" w:rsidR="00BE21DE" w:rsidRPr="00BF0190" w:rsidRDefault="00BE21DE" w:rsidP="00B07FE5">
      <w:pPr>
        <w:pStyle w:val="ListParagraph"/>
        <w:widowControl/>
        <w:numPr>
          <w:ilvl w:val="1"/>
          <w:numId w:val="1"/>
        </w:numPr>
        <w:spacing w:after="240"/>
        <w:contextualSpacing w:val="0"/>
        <w:rPr>
          <w:rFonts w:asciiTheme="minorHAnsi" w:eastAsiaTheme="minorHAnsi" w:hAnsiTheme="minorHAnsi" w:cstheme="minorHAnsi"/>
          <w:i/>
          <w:snapToGrid/>
          <w:sz w:val="24"/>
          <w:szCs w:val="24"/>
        </w:rPr>
      </w:pPr>
      <w:r w:rsidRPr="00BF0190">
        <w:rPr>
          <w:rFonts w:asciiTheme="minorHAnsi" w:eastAsiaTheme="minorHAnsi" w:hAnsiTheme="minorHAnsi" w:cstheme="minorHAnsi"/>
          <w:snapToGrid/>
          <w:sz w:val="24"/>
          <w:szCs w:val="24"/>
        </w:rPr>
        <w:t>The PBAC note</w:t>
      </w:r>
      <w:r w:rsidR="001F0A4C" w:rsidRPr="001F0A4C">
        <w:rPr>
          <w:rFonts w:asciiTheme="minorHAnsi" w:eastAsiaTheme="minorHAnsi" w:hAnsiTheme="minorHAnsi" w:cstheme="minorHAnsi"/>
          <w:snapToGrid/>
          <w:sz w:val="24"/>
          <w:szCs w:val="24"/>
        </w:rPr>
        <w:t xml:space="preserve">d that the amendments requested are relevant to Authority code </w:t>
      </w:r>
      <w:r w:rsidR="001F0A4C">
        <w:rPr>
          <w:rFonts w:asciiTheme="minorHAnsi" w:eastAsiaTheme="minorHAnsi" w:hAnsiTheme="minorHAnsi" w:cstheme="minorHAnsi"/>
          <w:snapToGrid/>
          <w:sz w:val="24"/>
          <w:szCs w:val="24"/>
        </w:rPr>
        <w:t>5220, which falls under PBS item 10983C.</w:t>
      </w:r>
    </w:p>
    <w:p w14:paraId="6265537E" w14:textId="3831BF9B" w:rsidR="00BA2DA8" w:rsidRPr="00554518" w:rsidRDefault="00B07FE5" w:rsidP="00B07FE5">
      <w:pPr>
        <w:pStyle w:val="ListParagraph"/>
        <w:widowControl/>
        <w:numPr>
          <w:ilvl w:val="1"/>
          <w:numId w:val="1"/>
        </w:numPr>
        <w:spacing w:after="240"/>
        <w:contextualSpacing w:val="0"/>
        <w:rPr>
          <w:rFonts w:asciiTheme="minorHAnsi" w:eastAsiaTheme="minorHAnsi" w:hAnsiTheme="minorHAnsi" w:cstheme="minorHAnsi"/>
          <w:snapToGrid/>
          <w:sz w:val="24"/>
          <w:szCs w:val="24"/>
        </w:rPr>
      </w:pPr>
      <w:r w:rsidRPr="00B25C8F">
        <w:rPr>
          <w:rFonts w:asciiTheme="minorHAnsi" w:hAnsiTheme="minorHAnsi" w:cstheme="minorHAnsi"/>
          <w:sz w:val="24"/>
          <w:szCs w:val="24"/>
        </w:rPr>
        <w:t>Changes to the current restriction proposed by the sponsor are in bold</w:t>
      </w:r>
      <w:r w:rsidRPr="00BF0190">
        <w:rPr>
          <w:rFonts w:asciiTheme="minorHAnsi" w:hAnsiTheme="minorHAnsi" w:cstheme="minorHAnsi"/>
          <w:sz w:val="24"/>
          <w:szCs w:val="24"/>
        </w:rPr>
        <w:t>.</w:t>
      </w:r>
      <w:r w:rsidRPr="00BF0190">
        <w:rPr>
          <w:rFonts w:asciiTheme="minorHAnsi" w:hAnsiTheme="minorHAnsi" w:cstheme="minorHAnsi"/>
          <w:i/>
          <w:sz w:val="24"/>
          <w:szCs w:val="24"/>
        </w:rPr>
        <w:t xml:space="preserve"> </w:t>
      </w:r>
      <w:r w:rsidR="0067747D" w:rsidRPr="00554518">
        <w:rPr>
          <w:rFonts w:asciiTheme="minorHAnsi" w:hAnsiTheme="minorHAnsi" w:cstheme="minorHAnsi"/>
          <w:sz w:val="24"/>
          <w:szCs w:val="24"/>
        </w:rPr>
        <w:t>Suggestions and additions proposed by the Secretariat to the requested listing</w:t>
      </w:r>
      <w:r w:rsidR="00D07A8A" w:rsidRPr="00554518">
        <w:rPr>
          <w:rFonts w:asciiTheme="minorHAnsi" w:hAnsiTheme="minorHAnsi" w:cstheme="minorHAnsi"/>
          <w:sz w:val="24"/>
          <w:szCs w:val="24"/>
        </w:rPr>
        <w:t xml:space="preserve"> are in italics and deletions are in strikethrough</w:t>
      </w:r>
      <w:r w:rsidR="0067747D" w:rsidRPr="00554518">
        <w:rPr>
          <w:rFonts w:asciiTheme="minorHAnsi" w:hAnsiTheme="minorHAnsi" w:cstheme="minorHAnsi"/>
          <w:sz w:val="24"/>
          <w:szCs w:val="24"/>
        </w:rPr>
        <w:t>.</w:t>
      </w:r>
      <w:r w:rsidR="009A05CB" w:rsidRPr="00554518">
        <w:rPr>
          <w:rFonts w:asciiTheme="minorHAnsi" w:hAnsiTheme="minorHAnsi" w:cstheme="minorHAnsi"/>
          <w:sz w:val="24"/>
          <w:szCs w:val="24"/>
        </w:rPr>
        <w:t xml:space="preserve"> </w:t>
      </w:r>
    </w:p>
    <w:tbl>
      <w:tblPr>
        <w:tblW w:w="9498" w:type="dxa"/>
        <w:tblLayout w:type="fixed"/>
        <w:tblLook w:val="0000" w:firstRow="0" w:lastRow="0" w:firstColumn="0" w:lastColumn="0" w:noHBand="0" w:noVBand="0"/>
      </w:tblPr>
      <w:tblGrid>
        <w:gridCol w:w="1843"/>
        <w:gridCol w:w="992"/>
        <w:gridCol w:w="709"/>
        <w:gridCol w:w="992"/>
        <w:gridCol w:w="1843"/>
        <w:gridCol w:w="992"/>
        <w:gridCol w:w="1843"/>
        <w:gridCol w:w="284"/>
      </w:tblGrid>
      <w:tr w:rsidR="009324A6" w:rsidRPr="00E53F68" w14:paraId="63B823A4" w14:textId="77777777" w:rsidTr="00554518">
        <w:trPr>
          <w:gridAfter w:val="1"/>
          <w:wAfter w:w="284" w:type="dxa"/>
          <w:cantSplit/>
          <w:trHeight w:val="471"/>
        </w:trPr>
        <w:tc>
          <w:tcPr>
            <w:tcW w:w="2835" w:type="dxa"/>
            <w:gridSpan w:val="2"/>
            <w:tcBorders>
              <w:bottom w:val="single" w:sz="4" w:space="0" w:color="auto"/>
            </w:tcBorders>
          </w:tcPr>
          <w:p w14:paraId="3F3957AA" w14:textId="1845F9C8" w:rsidR="009324A6" w:rsidRPr="00E53F68" w:rsidRDefault="009324A6" w:rsidP="001C1A2F">
            <w:pPr>
              <w:keepNext/>
              <w:ind w:left="-108"/>
              <w:rPr>
                <w:rFonts w:ascii="Arial Narrow" w:hAnsi="Arial Narrow" w:cs="Arial"/>
                <w:b/>
                <w:sz w:val="20"/>
                <w:szCs w:val="20"/>
              </w:rPr>
            </w:pPr>
            <w:r w:rsidRPr="00E53F68">
              <w:rPr>
                <w:rFonts w:ascii="Arial Narrow" w:hAnsi="Arial Narrow" w:cs="Arial"/>
                <w:b/>
                <w:sz w:val="20"/>
                <w:szCs w:val="20"/>
              </w:rPr>
              <w:t>Name, Restriction,</w:t>
            </w:r>
            <w:r w:rsidR="001C1A2F">
              <w:rPr>
                <w:rFonts w:ascii="Arial Narrow" w:hAnsi="Arial Narrow" w:cs="Arial"/>
                <w:b/>
                <w:sz w:val="20"/>
                <w:szCs w:val="20"/>
              </w:rPr>
              <w:t xml:space="preserve"> </w:t>
            </w:r>
            <w:r w:rsidRPr="00E53F68">
              <w:rPr>
                <w:rFonts w:ascii="Arial Narrow" w:hAnsi="Arial Narrow" w:cs="Arial"/>
                <w:b/>
                <w:sz w:val="20"/>
                <w:szCs w:val="20"/>
              </w:rPr>
              <w:t>Manner of administration and form</w:t>
            </w:r>
          </w:p>
        </w:tc>
        <w:tc>
          <w:tcPr>
            <w:tcW w:w="709" w:type="dxa"/>
            <w:tcBorders>
              <w:bottom w:val="single" w:sz="4" w:space="0" w:color="auto"/>
            </w:tcBorders>
          </w:tcPr>
          <w:p w14:paraId="15E4EDDA" w14:textId="77777777" w:rsidR="009324A6" w:rsidRPr="00E53F68" w:rsidRDefault="009324A6" w:rsidP="00E53F68">
            <w:pPr>
              <w:keepNext/>
              <w:ind w:left="-108"/>
              <w:jc w:val="center"/>
              <w:rPr>
                <w:rFonts w:ascii="Arial Narrow" w:hAnsi="Arial Narrow" w:cs="Arial"/>
                <w:b/>
                <w:sz w:val="20"/>
                <w:szCs w:val="20"/>
              </w:rPr>
            </w:pPr>
            <w:r w:rsidRPr="00E53F68">
              <w:rPr>
                <w:rFonts w:ascii="Arial Narrow" w:hAnsi="Arial Narrow" w:cs="Arial"/>
                <w:b/>
                <w:sz w:val="20"/>
                <w:szCs w:val="20"/>
              </w:rPr>
              <w:t>Max.</w:t>
            </w:r>
          </w:p>
          <w:p w14:paraId="0A85768D" w14:textId="77777777" w:rsidR="009324A6" w:rsidRPr="00E53F68" w:rsidRDefault="009324A6" w:rsidP="00E53F68">
            <w:pPr>
              <w:keepNext/>
              <w:ind w:left="-108"/>
              <w:jc w:val="center"/>
              <w:rPr>
                <w:rFonts w:ascii="Arial Narrow" w:hAnsi="Arial Narrow" w:cs="Arial"/>
                <w:b/>
                <w:sz w:val="20"/>
                <w:szCs w:val="20"/>
              </w:rPr>
            </w:pPr>
            <w:proofErr w:type="spellStart"/>
            <w:r w:rsidRPr="00E53F68">
              <w:rPr>
                <w:rFonts w:ascii="Arial Narrow" w:hAnsi="Arial Narrow" w:cs="Arial"/>
                <w:b/>
                <w:sz w:val="20"/>
                <w:szCs w:val="20"/>
              </w:rPr>
              <w:t>Qty</w:t>
            </w:r>
            <w:proofErr w:type="spellEnd"/>
          </w:p>
        </w:tc>
        <w:tc>
          <w:tcPr>
            <w:tcW w:w="992" w:type="dxa"/>
            <w:tcBorders>
              <w:bottom w:val="single" w:sz="4" w:space="0" w:color="auto"/>
            </w:tcBorders>
          </w:tcPr>
          <w:p w14:paraId="3D21B519" w14:textId="77777777" w:rsidR="009324A6" w:rsidRPr="00E53F68" w:rsidRDefault="009324A6" w:rsidP="00E53F68">
            <w:pPr>
              <w:keepNext/>
              <w:ind w:left="-108"/>
              <w:jc w:val="center"/>
              <w:rPr>
                <w:rFonts w:ascii="Arial Narrow" w:hAnsi="Arial Narrow" w:cs="Arial"/>
                <w:b/>
                <w:sz w:val="20"/>
                <w:szCs w:val="20"/>
              </w:rPr>
            </w:pPr>
            <w:r w:rsidRPr="00E53F68">
              <w:rPr>
                <w:rFonts w:ascii="Arial Narrow" w:hAnsi="Arial Narrow" w:cs="Arial"/>
                <w:b/>
                <w:sz w:val="20"/>
                <w:szCs w:val="20"/>
              </w:rPr>
              <w:t>№.of</w:t>
            </w:r>
          </w:p>
          <w:p w14:paraId="512D4A8F" w14:textId="77777777" w:rsidR="009324A6" w:rsidRPr="00E53F68" w:rsidRDefault="009324A6" w:rsidP="00E53F68">
            <w:pPr>
              <w:keepNext/>
              <w:ind w:left="-108"/>
              <w:jc w:val="center"/>
              <w:rPr>
                <w:rFonts w:ascii="Arial Narrow" w:hAnsi="Arial Narrow" w:cs="Arial"/>
                <w:b/>
                <w:sz w:val="20"/>
                <w:szCs w:val="20"/>
              </w:rPr>
            </w:pPr>
            <w:proofErr w:type="spellStart"/>
            <w:r w:rsidRPr="00E53F68">
              <w:rPr>
                <w:rFonts w:ascii="Arial Narrow" w:hAnsi="Arial Narrow" w:cs="Arial"/>
                <w:b/>
                <w:sz w:val="20"/>
                <w:szCs w:val="20"/>
              </w:rPr>
              <w:t>Rpts</w:t>
            </w:r>
            <w:proofErr w:type="spellEnd"/>
          </w:p>
        </w:tc>
        <w:tc>
          <w:tcPr>
            <w:tcW w:w="1843" w:type="dxa"/>
            <w:tcBorders>
              <w:bottom w:val="single" w:sz="4" w:space="0" w:color="auto"/>
            </w:tcBorders>
          </w:tcPr>
          <w:p w14:paraId="51923EEB" w14:textId="77777777" w:rsidR="009324A6" w:rsidRPr="00E53F68" w:rsidRDefault="009324A6" w:rsidP="001C1A2F">
            <w:pPr>
              <w:keepNext/>
              <w:ind w:left="-108"/>
              <w:rPr>
                <w:rFonts w:ascii="Arial Narrow" w:hAnsi="Arial Narrow" w:cs="Arial"/>
                <w:b/>
                <w:sz w:val="20"/>
                <w:szCs w:val="20"/>
              </w:rPr>
            </w:pPr>
            <w:r w:rsidRPr="00E53F68">
              <w:rPr>
                <w:rFonts w:ascii="Arial Narrow" w:hAnsi="Arial Narrow" w:cs="Arial"/>
                <w:b/>
                <w:sz w:val="20"/>
                <w:szCs w:val="20"/>
              </w:rPr>
              <w:t xml:space="preserve">Dispensed Price for Max. </w:t>
            </w:r>
            <w:proofErr w:type="spellStart"/>
            <w:r w:rsidRPr="00E53F68">
              <w:rPr>
                <w:rFonts w:ascii="Arial Narrow" w:hAnsi="Arial Narrow" w:cs="Arial"/>
                <w:b/>
                <w:sz w:val="20"/>
                <w:szCs w:val="20"/>
              </w:rPr>
              <w:t>Qty</w:t>
            </w:r>
            <w:proofErr w:type="spellEnd"/>
          </w:p>
        </w:tc>
        <w:tc>
          <w:tcPr>
            <w:tcW w:w="2835" w:type="dxa"/>
            <w:gridSpan w:val="2"/>
            <w:tcBorders>
              <w:bottom w:val="single" w:sz="4" w:space="0" w:color="auto"/>
            </w:tcBorders>
          </w:tcPr>
          <w:p w14:paraId="72849795" w14:textId="77777777" w:rsidR="009324A6" w:rsidRPr="00E53F68" w:rsidRDefault="009324A6" w:rsidP="00E53F68">
            <w:pPr>
              <w:keepNext/>
              <w:rPr>
                <w:rFonts w:ascii="Arial Narrow" w:hAnsi="Arial Narrow" w:cs="Arial"/>
                <w:b/>
                <w:sz w:val="20"/>
                <w:szCs w:val="20"/>
                <w:lang w:val="fr-FR"/>
              </w:rPr>
            </w:pPr>
            <w:r w:rsidRPr="00E53F68">
              <w:rPr>
                <w:rFonts w:ascii="Arial Narrow" w:hAnsi="Arial Narrow" w:cs="Arial"/>
                <w:b/>
                <w:sz w:val="20"/>
                <w:szCs w:val="20"/>
              </w:rPr>
              <w:t>Proprietary Name and Manufacturer</w:t>
            </w:r>
          </w:p>
        </w:tc>
      </w:tr>
      <w:tr w:rsidR="009324A6" w:rsidRPr="00090EFB" w14:paraId="68F0754C" w14:textId="77777777" w:rsidTr="00554518">
        <w:trPr>
          <w:cantSplit/>
          <w:trHeight w:val="577"/>
        </w:trPr>
        <w:tc>
          <w:tcPr>
            <w:tcW w:w="2835" w:type="dxa"/>
            <w:gridSpan w:val="2"/>
          </w:tcPr>
          <w:p w14:paraId="6A31D1DB" w14:textId="36DD957D" w:rsidR="007E38A2" w:rsidRPr="00090EFB" w:rsidRDefault="007E38A2" w:rsidP="007E38A2">
            <w:pPr>
              <w:keepNext/>
              <w:ind w:left="-108"/>
              <w:jc w:val="both"/>
              <w:rPr>
                <w:rFonts w:ascii="Arial Narrow" w:hAnsi="Arial Narrow" w:cs="Arial"/>
                <w:smallCaps/>
                <w:sz w:val="20"/>
                <w:szCs w:val="20"/>
              </w:rPr>
            </w:pPr>
            <w:r w:rsidRPr="00090EFB">
              <w:rPr>
                <w:rFonts w:ascii="Arial Narrow" w:hAnsi="Arial Narrow" w:cs="Arial"/>
                <w:smallCaps/>
                <w:sz w:val="20"/>
                <w:szCs w:val="20"/>
              </w:rPr>
              <w:t>INCOBOTULINUMTOXINA</w:t>
            </w:r>
          </w:p>
          <w:p w14:paraId="62E8D08A" w14:textId="00F08836" w:rsidR="009324A6" w:rsidRPr="00090EFB" w:rsidRDefault="008431CB" w:rsidP="007E38A2">
            <w:pPr>
              <w:keepNext/>
              <w:ind w:left="-108"/>
              <w:jc w:val="both"/>
              <w:rPr>
                <w:rFonts w:ascii="Arial Narrow" w:hAnsi="Arial Narrow" w:cs="Arial"/>
                <w:color w:val="FF0000"/>
                <w:sz w:val="20"/>
                <w:szCs w:val="20"/>
              </w:rPr>
            </w:pPr>
            <w:r>
              <w:rPr>
                <w:rFonts w:ascii="Arial Narrow" w:hAnsi="Arial Narrow" w:cs="Arial"/>
                <w:smallCaps/>
                <w:sz w:val="20"/>
                <w:szCs w:val="20"/>
              </w:rPr>
              <w:t xml:space="preserve">100 </w:t>
            </w:r>
            <w:r w:rsidRPr="00E53F68">
              <w:rPr>
                <w:rFonts w:ascii="Arial Narrow" w:hAnsi="Arial Narrow" w:cs="Arial"/>
                <w:sz w:val="20"/>
                <w:szCs w:val="20"/>
              </w:rPr>
              <w:t>units injection, 1 vial</w:t>
            </w:r>
          </w:p>
        </w:tc>
        <w:tc>
          <w:tcPr>
            <w:tcW w:w="709" w:type="dxa"/>
          </w:tcPr>
          <w:p w14:paraId="18951A86" w14:textId="772EB49F" w:rsidR="009324A6" w:rsidRPr="00090EFB" w:rsidRDefault="008431CB" w:rsidP="00E53F68">
            <w:pPr>
              <w:keepNext/>
              <w:ind w:left="-108"/>
              <w:jc w:val="center"/>
              <w:rPr>
                <w:rFonts w:ascii="Arial Narrow" w:hAnsi="Arial Narrow" w:cs="Arial"/>
                <w:sz w:val="20"/>
                <w:szCs w:val="20"/>
              </w:rPr>
            </w:pPr>
            <w:r>
              <w:rPr>
                <w:rFonts w:ascii="Arial Narrow" w:hAnsi="Arial Narrow" w:cs="Arial"/>
                <w:sz w:val="20"/>
                <w:szCs w:val="20"/>
              </w:rPr>
              <w:t>4</w:t>
            </w:r>
          </w:p>
          <w:p w14:paraId="2B2738BC" w14:textId="7F575AC9" w:rsidR="009324A6" w:rsidRPr="00090EFB" w:rsidRDefault="009324A6" w:rsidP="00E53F68">
            <w:pPr>
              <w:keepNext/>
              <w:ind w:left="-108"/>
              <w:jc w:val="center"/>
              <w:rPr>
                <w:rFonts w:ascii="Arial Narrow" w:hAnsi="Arial Narrow" w:cs="Arial"/>
                <w:sz w:val="20"/>
                <w:szCs w:val="20"/>
              </w:rPr>
            </w:pPr>
          </w:p>
        </w:tc>
        <w:tc>
          <w:tcPr>
            <w:tcW w:w="992" w:type="dxa"/>
          </w:tcPr>
          <w:p w14:paraId="1AB844AA" w14:textId="55D44021" w:rsidR="009324A6" w:rsidRPr="00090EFB" w:rsidRDefault="008431CB" w:rsidP="00E53F68">
            <w:pPr>
              <w:keepNext/>
              <w:ind w:left="-108"/>
              <w:jc w:val="center"/>
              <w:rPr>
                <w:rFonts w:ascii="Arial Narrow" w:hAnsi="Arial Narrow" w:cs="Arial"/>
                <w:sz w:val="20"/>
                <w:szCs w:val="20"/>
              </w:rPr>
            </w:pPr>
            <w:r>
              <w:rPr>
                <w:rFonts w:ascii="Arial Narrow" w:hAnsi="Arial Narrow" w:cs="Arial"/>
                <w:sz w:val="20"/>
                <w:szCs w:val="20"/>
              </w:rPr>
              <w:t>0</w:t>
            </w:r>
          </w:p>
          <w:p w14:paraId="2A2EE25C" w14:textId="0E506494" w:rsidR="009324A6" w:rsidRPr="00090EFB" w:rsidRDefault="009324A6" w:rsidP="00E53F68">
            <w:pPr>
              <w:keepNext/>
              <w:ind w:left="-108"/>
              <w:jc w:val="center"/>
              <w:rPr>
                <w:rFonts w:ascii="Arial Narrow" w:hAnsi="Arial Narrow" w:cs="Arial"/>
                <w:sz w:val="20"/>
                <w:szCs w:val="20"/>
              </w:rPr>
            </w:pPr>
          </w:p>
        </w:tc>
        <w:tc>
          <w:tcPr>
            <w:tcW w:w="1843" w:type="dxa"/>
          </w:tcPr>
          <w:p w14:paraId="63AEAA87" w14:textId="77454279" w:rsidR="009324A6" w:rsidRDefault="00090EFB" w:rsidP="003476EE">
            <w:pPr>
              <w:keepNext/>
              <w:ind w:left="-108"/>
              <w:jc w:val="both"/>
              <w:rPr>
                <w:rFonts w:ascii="Arial Narrow" w:hAnsi="Arial Narrow" w:cs="Arial"/>
                <w:sz w:val="20"/>
                <w:szCs w:val="20"/>
              </w:rPr>
            </w:pPr>
            <w:r>
              <w:rPr>
                <w:rFonts w:ascii="Arial Narrow" w:hAnsi="Arial Narrow" w:cs="Arial"/>
                <w:sz w:val="20"/>
                <w:szCs w:val="20"/>
              </w:rPr>
              <w:t>Published: $1</w:t>
            </w:r>
            <w:r w:rsidR="008431CB">
              <w:rPr>
                <w:rFonts w:ascii="Arial Narrow" w:hAnsi="Arial Narrow" w:cs="Arial"/>
                <w:sz w:val="20"/>
                <w:szCs w:val="20"/>
              </w:rPr>
              <w:t>,</w:t>
            </w:r>
            <w:r>
              <w:rPr>
                <w:rFonts w:ascii="Arial Narrow" w:hAnsi="Arial Narrow" w:cs="Arial"/>
                <w:sz w:val="20"/>
                <w:szCs w:val="20"/>
              </w:rPr>
              <w:t>547.39</w:t>
            </w:r>
          </w:p>
          <w:p w14:paraId="37142560" w14:textId="2BABD040" w:rsidR="008431CB" w:rsidRPr="00090EFB" w:rsidRDefault="008431CB" w:rsidP="003476EE">
            <w:pPr>
              <w:keepNext/>
              <w:ind w:left="-108"/>
              <w:jc w:val="both"/>
              <w:rPr>
                <w:rFonts w:ascii="Arial Narrow" w:hAnsi="Arial Narrow" w:cs="Arial"/>
                <w:sz w:val="20"/>
                <w:szCs w:val="20"/>
              </w:rPr>
            </w:pPr>
            <w:r>
              <w:rPr>
                <w:rFonts w:ascii="Arial Narrow" w:hAnsi="Arial Narrow" w:cs="Arial"/>
                <w:sz w:val="20"/>
                <w:szCs w:val="20"/>
              </w:rPr>
              <w:t>Effective: TBD</w:t>
            </w:r>
          </w:p>
          <w:p w14:paraId="3ED0E558" w14:textId="4721C864" w:rsidR="009324A6" w:rsidRPr="00090EFB" w:rsidRDefault="009324A6" w:rsidP="003476EE">
            <w:pPr>
              <w:keepNext/>
              <w:ind w:left="-108"/>
              <w:jc w:val="both"/>
              <w:rPr>
                <w:rFonts w:ascii="Arial Narrow" w:hAnsi="Arial Narrow" w:cs="Arial"/>
                <w:sz w:val="20"/>
                <w:szCs w:val="20"/>
              </w:rPr>
            </w:pPr>
          </w:p>
        </w:tc>
        <w:tc>
          <w:tcPr>
            <w:tcW w:w="992" w:type="dxa"/>
          </w:tcPr>
          <w:p w14:paraId="6EFB34D0" w14:textId="140CFD0D" w:rsidR="009324A6" w:rsidRPr="00090EFB" w:rsidRDefault="00CC6525" w:rsidP="007E38A2">
            <w:pPr>
              <w:keepNext/>
              <w:jc w:val="both"/>
              <w:rPr>
                <w:rFonts w:ascii="Arial Narrow" w:hAnsi="Arial Narrow" w:cs="Arial"/>
                <w:sz w:val="20"/>
                <w:szCs w:val="20"/>
              </w:rPr>
            </w:pPr>
            <w:proofErr w:type="spellStart"/>
            <w:r>
              <w:rPr>
                <w:rFonts w:ascii="Arial Narrow" w:hAnsi="Arial Narrow" w:cs="Arial"/>
                <w:sz w:val="20"/>
                <w:szCs w:val="20"/>
              </w:rPr>
              <w:t>Xeomin</w:t>
            </w:r>
            <w:proofErr w:type="spellEnd"/>
            <w:r w:rsidR="00D336C8" w:rsidRPr="00A226D7">
              <w:rPr>
                <w:rFonts w:ascii="Arial Narrow" w:hAnsi="Arial Narrow" w:cs="Arial"/>
                <w:sz w:val="20"/>
                <w:szCs w:val="20"/>
                <w:vertAlign w:val="superscript"/>
              </w:rPr>
              <w:t>®</w:t>
            </w:r>
          </w:p>
        </w:tc>
        <w:tc>
          <w:tcPr>
            <w:tcW w:w="2127" w:type="dxa"/>
            <w:gridSpan w:val="2"/>
          </w:tcPr>
          <w:p w14:paraId="3625F338" w14:textId="492F48FC" w:rsidR="009324A6" w:rsidRPr="00090EFB" w:rsidRDefault="007E38A2" w:rsidP="00E53F68">
            <w:pPr>
              <w:keepNext/>
              <w:rPr>
                <w:rFonts w:ascii="Arial Narrow" w:hAnsi="Arial Narrow" w:cs="Arial"/>
                <w:sz w:val="20"/>
                <w:szCs w:val="20"/>
              </w:rPr>
            </w:pPr>
            <w:proofErr w:type="spellStart"/>
            <w:r w:rsidRPr="00090EFB">
              <w:rPr>
                <w:rFonts w:ascii="Arial Narrow" w:hAnsi="Arial Narrow" w:cs="Arial"/>
                <w:sz w:val="20"/>
                <w:szCs w:val="20"/>
              </w:rPr>
              <w:t>Merz</w:t>
            </w:r>
            <w:proofErr w:type="spellEnd"/>
            <w:r w:rsidRPr="00090EFB">
              <w:rPr>
                <w:rFonts w:ascii="Arial Narrow" w:hAnsi="Arial Narrow" w:cs="Arial"/>
                <w:sz w:val="20"/>
                <w:szCs w:val="20"/>
              </w:rPr>
              <w:t xml:space="preserve"> Pharmaceuticals GmbH</w:t>
            </w:r>
          </w:p>
        </w:tc>
      </w:tr>
      <w:tr w:rsidR="007E38A2" w:rsidRPr="00090EFB" w14:paraId="78B9B867" w14:textId="77777777" w:rsidTr="00554518">
        <w:trPr>
          <w:gridAfter w:val="1"/>
          <w:wAfter w:w="284" w:type="dxa"/>
          <w:cantSplit/>
          <w:trHeight w:val="159"/>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D98E5A8" w14:textId="3EE07F91"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t>Category/program</w:t>
            </w:r>
            <w:r w:rsidR="00554518">
              <w:rPr>
                <w:rFonts w:ascii="Arial Narrow" w:hAnsi="Arial Narrow" w:cs="Arial"/>
                <w:b/>
                <w:sz w:val="20"/>
                <w:szCs w:val="20"/>
              </w:rPr>
              <w:t>:</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6DAF4A13" w14:textId="1C55FD83" w:rsidR="001659E2" w:rsidRPr="00090EFB" w:rsidRDefault="007E38A2" w:rsidP="007E38A2">
            <w:pPr>
              <w:jc w:val="both"/>
              <w:rPr>
                <w:rFonts w:ascii="Arial Narrow" w:hAnsi="Arial Narrow" w:cs="Arial"/>
                <w:sz w:val="20"/>
                <w:szCs w:val="20"/>
              </w:rPr>
            </w:pPr>
            <w:r w:rsidRPr="00090EFB">
              <w:rPr>
                <w:rFonts w:ascii="Arial Narrow" w:hAnsi="Arial Narrow" w:cs="Arial"/>
                <w:sz w:val="20"/>
                <w:szCs w:val="20"/>
              </w:rPr>
              <w:t>Section 100 – Botulinum Toxin Program</w:t>
            </w:r>
          </w:p>
        </w:tc>
      </w:tr>
      <w:tr w:rsidR="001659E2" w:rsidRPr="00090EFB" w14:paraId="676B5A14" w14:textId="77777777" w:rsidTr="00554518">
        <w:trPr>
          <w:gridAfter w:val="1"/>
          <w:wAfter w:w="284" w:type="dxa"/>
          <w:cantSplit/>
          <w:trHeight w:val="2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79CE749" w14:textId="435F6561" w:rsidR="001659E2" w:rsidRPr="00090EFB" w:rsidRDefault="001659E2" w:rsidP="001659E2">
            <w:pPr>
              <w:jc w:val="both"/>
              <w:rPr>
                <w:rFonts w:ascii="Arial Narrow" w:hAnsi="Arial Narrow" w:cs="Arial"/>
                <w:b/>
                <w:sz w:val="20"/>
                <w:szCs w:val="20"/>
              </w:rPr>
            </w:pPr>
            <w:r w:rsidRPr="00090EFB">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6961C910" w14:textId="07CD7A79" w:rsidR="001659E2" w:rsidRPr="00090EFB" w:rsidRDefault="001659E2" w:rsidP="008431CB">
            <w:pPr>
              <w:rPr>
                <w:rFonts w:ascii="Arial Narrow" w:hAnsi="Arial Narrow" w:cs="Arial"/>
                <w:sz w:val="20"/>
                <w:szCs w:val="20"/>
              </w:rPr>
            </w:pPr>
            <w:r w:rsidRPr="00090EFB">
              <w:rPr>
                <w:rFonts w:ascii="Arial Narrow" w:hAnsi="Arial Narrow" w:cs="Arial"/>
                <w:sz w:val="20"/>
                <w:szCs w:val="20"/>
              </w:rPr>
              <w:fldChar w:fldCharType="begin">
                <w:ffData>
                  <w:name w:val="Check1"/>
                  <w:enabled/>
                  <w:calcOnExit w:val="0"/>
                  <w:checkBox>
                    <w:sizeAuto/>
                    <w:default w:val="0"/>
                  </w:checkBox>
                </w:ffData>
              </w:fldChar>
            </w:r>
            <w:r w:rsidRPr="00090EF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090EFB">
              <w:rPr>
                <w:rFonts w:ascii="Arial Narrow" w:hAnsi="Arial Narrow" w:cs="Arial"/>
                <w:sz w:val="20"/>
                <w:szCs w:val="20"/>
              </w:rPr>
              <w:fldChar w:fldCharType="end"/>
            </w:r>
            <w:r w:rsidRPr="00090EFB">
              <w:rPr>
                <w:rFonts w:ascii="Arial Narrow" w:hAnsi="Arial Narrow" w:cs="Arial"/>
                <w:sz w:val="20"/>
                <w:szCs w:val="20"/>
              </w:rPr>
              <w:t xml:space="preserve">Dental  </w:t>
            </w:r>
            <w:r w:rsidRPr="00090EFB">
              <w:rPr>
                <w:rFonts w:ascii="Arial Narrow" w:hAnsi="Arial Narrow" w:cs="Arial"/>
                <w:sz w:val="20"/>
                <w:szCs w:val="20"/>
              </w:rPr>
              <w:fldChar w:fldCharType="begin">
                <w:ffData>
                  <w:name w:val=""/>
                  <w:enabled/>
                  <w:calcOnExit w:val="0"/>
                  <w:checkBox>
                    <w:sizeAuto/>
                    <w:default w:val="1"/>
                  </w:checkBox>
                </w:ffData>
              </w:fldChar>
            </w:r>
            <w:r w:rsidRPr="00090EF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090EFB">
              <w:rPr>
                <w:rFonts w:ascii="Arial Narrow" w:hAnsi="Arial Narrow" w:cs="Arial"/>
                <w:sz w:val="20"/>
                <w:szCs w:val="20"/>
              </w:rPr>
              <w:fldChar w:fldCharType="end"/>
            </w:r>
            <w:r w:rsidRPr="00090EFB">
              <w:rPr>
                <w:rFonts w:ascii="Arial Narrow" w:hAnsi="Arial Narrow" w:cs="Arial"/>
                <w:sz w:val="20"/>
                <w:szCs w:val="20"/>
              </w:rPr>
              <w:t xml:space="preserve">Medical Practitioners  </w:t>
            </w:r>
            <w:r w:rsidRPr="00090EFB">
              <w:rPr>
                <w:rFonts w:ascii="Arial Narrow" w:hAnsi="Arial Narrow" w:cs="Arial"/>
                <w:sz w:val="20"/>
                <w:szCs w:val="20"/>
              </w:rPr>
              <w:fldChar w:fldCharType="begin">
                <w:ffData>
                  <w:name w:val="Check3"/>
                  <w:enabled/>
                  <w:calcOnExit w:val="0"/>
                  <w:checkBox>
                    <w:sizeAuto/>
                    <w:default w:val="0"/>
                  </w:checkBox>
                </w:ffData>
              </w:fldChar>
            </w:r>
            <w:r w:rsidRPr="00090EF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090EFB">
              <w:rPr>
                <w:rFonts w:ascii="Arial Narrow" w:hAnsi="Arial Narrow" w:cs="Arial"/>
                <w:sz w:val="20"/>
                <w:szCs w:val="20"/>
              </w:rPr>
              <w:fldChar w:fldCharType="end"/>
            </w:r>
            <w:r w:rsidRPr="00090EFB">
              <w:rPr>
                <w:rFonts w:ascii="Arial Narrow" w:hAnsi="Arial Narrow" w:cs="Arial"/>
                <w:sz w:val="20"/>
                <w:szCs w:val="20"/>
              </w:rPr>
              <w:t xml:space="preserve">Nurse practitioners  </w:t>
            </w:r>
            <w:r w:rsidRPr="00090EFB">
              <w:rPr>
                <w:rFonts w:ascii="Arial Narrow" w:hAnsi="Arial Narrow" w:cs="Arial"/>
                <w:sz w:val="20"/>
                <w:szCs w:val="20"/>
              </w:rPr>
              <w:fldChar w:fldCharType="begin">
                <w:ffData>
                  <w:name w:val=""/>
                  <w:enabled/>
                  <w:calcOnExit w:val="0"/>
                  <w:checkBox>
                    <w:sizeAuto/>
                    <w:default w:val="0"/>
                  </w:checkBox>
                </w:ffData>
              </w:fldChar>
            </w:r>
            <w:r w:rsidRPr="00090EF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090EFB">
              <w:rPr>
                <w:rFonts w:ascii="Arial Narrow" w:hAnsi="Arial Narrow" w:cs="Arial"/>
                <w:sz w:val="20"/>
                <w:szCs w:val="20"/>
              </w:rPr>
              <w:fldChar w:fldCharType="end"/>
            </w:r>
            <w:r w:rsidRPr="00090EFB">
              <w:rPr>
                <w:rFonts w:ascii="Arial Narrow" w:hAnsi="Arial Narrow" w:cs="Arial"/>
                <w:sz w:val="20"/>
                <w:szCs w:val="20"/>
              </w:rPr>
              <w:t>Optometrists</w:t>
            </w:r>
            <w:r w:rsidR="008431CB">
              <w:rPr>
                <w:rFonts w:ascii="Arial Narrow" w:hAnsi="Arial Narrow" w:cs="Arial"/>
                <w:sz w:val="20"/>
                <w:szCs w:val="20"/>
              </w:rPr>
              <w:t xml:space="preserve"> </w:t>
            </w:r>
            <w:r w:rsidRPr="00090EFB">
              <w:rPr>
                <w:rFonts w:ascii="Arial Narrow" w:hAnsi="Arial Narrow" w:cs="Arial"/>
                <w:sz w:val="20"/>
                <w:szCs w:val="20"/>
              </w:rPr>
              <w:fldChar w:fldCharType="begin">
                <w:ffData>
                  <w:name w:val="Check5"/>
                  <w:enabled/>
                  <w:calcOnExit w:val="0"/>
                  <w:checkBox>
                    <w:sizeAuto/>
                    <w:default w:val="0"/>
                  </w:checkBox>
                </w:ffData>
              </w:fldChar>
            </w:r>
            <w:r w:rsidRPr="00090EF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090EFB">
              <w:rPr>
                <w:rFonts w:ascii="Arial Narrow" w:hAnsi="Arial Narrow" w:cs="Arial"/>
                <w:sz w:val="20"/>
                <w:szCs w:val="20"/>
              </w:rPr>
              <w:fldChar w:fldCharType="end"/>
            </w:r>
            <w:r w:rsidRPr="00090EFB">
              <w:rPr>
                <w:rFonts w:ascii="Arial Narrow" w:hAnsi="Arial Narrow" w:cs="Arial"/>
                <w:sz w:val="20"/>
                <w:szCs w:val="20"/>
              </w:rPr>
              <w:t>Midwives</w:t>
            </w:r>
          </w:p>
        </w:tc>
      </w:tr>
      <w:tr w:rsidR="001659E2" w:rsidRPr="00090EFB" w14:paraId="46DC0591" w14:textId="77777777" w:rsidTr="00554518">
        <w:trPr>
          <w:gridAfter w:val="1"/>
          <w:wAfter w:w="284" w:type="dxa"/>
          <w:cantSplit/>
          <w:trHeight w:val="123"/>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20C902D" w14:textId="4B122B38" w:rsidR="001659E2" w:rsidRPr="00090EFB" w:rsidRDefault="001659E2" w:rsidP="001659E2">
            <w:pPr>
              <w:jc w:val="both"/>
              <w:rPr>
                <w:rFonts w:ascii="Arial Narrow" w:hAnsi="Arial Narrow" w:cs="Arial"/>
                <w:b/>
                <w:sz w:val="20"/>
                <w:szCs w:val="20"/>
              </w:rPr>
            </w:pPr>
            <w:r w:rsidRPr="00090EFB">
              <w:rPr>
                <w:rFonts w:ascii="Arial Narrow" w:hAnsi="Arial Narrow" w:cs="Arial"/>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5703C651" w14:textId="1310D2D9" w:rsidR="001659E2" w:rsidRPr="00090EFB" w:rsidRDefault="001659E2" w:rsidP="001659E2">
            <w:pPr>
              <w:rPr>
                <w:rFonts w:ascii="Arial Narrow" w:hAnsi="Arial Narrow" w:cs="Arial"/>
                <w:sz w:val="20"/>
                <w:szCs w:val="20"/>
              </w:rPr>
            </w:pPr>
            <w:r w:rsidRPr="00090EFB">
              <w:rPr>
                <w:rFonts w:ascii="Arial Narrow" w:hAnsi="Arial Narrow" w:cs="Arial"/>
                <w:sz w:val="20"/>
                <w:szCs w:val="20"/>
              </w:rPr>
              <w:t>Moderate to severe</w:t>
            </w:r>
          </w:p>
        </w:tc>
      </w:tr>
      <w:tr w:rsidR="007E38A2" w:rsidRPr="00090EFB" w14:paraId="3EC9FD97" w14:textId="77777777" w:rsidTr="00554518">
        <w:trPr>
          <w:gridAfter w:val="1"/>
          <w:wAfter w:w="284" w:type="dxa"/>
          <w:cantSplit/>
          <w:trHeight w:val="15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7E45137" w14:textId="77777777"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5D0C5FF4"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 xml:space="preserve">Spasticity of the upper limb following </w:t>
            </w:r>
            <w:r w:rsidRPr="00090EFB">
              <w:rPr>
                <w:rFonts w:ascii="Arial Narrow" w:hAnsi="Arial Narrow" w:cs="Arial"/>
                <w:b/>
                <w:strike/>
                <w:sz w:val="20"/>
                <w:szCs w:val="20"/>
              </w:rPr>
              <w:t>a stroke</w:t>
            </w:r>
            <w:r w:rsidRPr="00090EFB">
              <w:rPr>
                <w:rFonts w:ascii="Arial Narrow" w:hAnsi="Arial Narrow" w:cs="Arial"/>
                <w:sz w:val="20"/>
                <w:szCs w:val="20"/>
              </w:rPr>
              <w:t xml:space="preserve"> </w:t>
            </w:r>
            <w:r w:rsidRPr="00B07FE5">
              <w:rPr>
                <w:rFonts w:ascii="Arial Narrow" w:hAnsi="Arial Narrow" w:cs="Arial"/>
                <w:b/>
                <w:sz w:val="20"/>
                <w:szCs w:val="20"/>
              </w:rPr>
              <w:t>an acute event</w:t>
            </w:r>
          </w:p>
        </w:tc>
      </w:tr>
      <w:tr w:rsidR="007E38A2" w:rsidRPr="00090EFB" w14:paraId="171F529A" w14:textId="77777777" w:rsidTr="00554518">
        <w:trPr>
          <w:gridAfter w:val="1"/>
          <w:wAfter w:w="284" w:type="dxa"/>
          <w:cantSplit/>
          <w:trHeight w:val="201"/>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6125D8C" w14:textId="77777777"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699BBFF0"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 xml:space="preserve">Moderate to severe spasticity of the upper limb following </w:t>
            </w:r>
            <w:r w:rsidRPr="00090EFB">
              <w:rPr>
                <w:rFonts w:ascii="Arial Narrow" w:hAnsi="Arial Narrow" w:cs="Arial"/>
                <w:b/>
                <w:strike/>
                <w:sz w:val="20"/>
                <w:szCs w:val="20"/>
              </w:rPr>
              <w:t>a stroke</w:t>
            </w:r>
            <w:r w:rsidRPr="00090EFB">
              <w:rPr>
                <w:rFonts w:ascii="Arial Narrow" w:hAnsi="Arial Narrow" w:cs="Arial"/>
                <w:sz w:val="20"/>
                <w:szCs w:val="20"/>
              </w:rPr>
              <w:t xml:space="preserve"> </w:t>
            </w:r>
            <w:r w:rsidRPr="00B07FE5">
              <w:rPr>
                <w:rFonts w:ascii="Arial Narrow" w:hAnsi="Arial Narrow" w:cs="Arial"/>
                <w:b/>
                <w:sz w:val="20"/>
                <w:szCs w:val="20"/>
              </w:rPr>
              <w:t>an acute event</w:t>
            </w:r>
          </w:p>
        </w:tc>
      </w:tr>
      <w:tr w:rsidR="007E38A2" w:rsidRPr="00090EFB" w14:paraId="21D38A78" w14:textId="77777777" w:rsidTr="00554518">
        <w:trPr>
          <w:gridAfter w:val="1"/>
          <w:wAfter w:w="284" w:type="dxa"/>
          <w:cantSplit/>
          <w:trHeight w:val="119"/>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7B08D74" w14:textId="61132148" w:rsidR="007E38A2" w:rsidRPr="00090EFB" w:rsidRDefault="007E38A2" w:rsidP="008431CB">
            <w:pPr>
              <w:jc w:val="both"/>
              <w:rPr>
                <w:rFonts w:ascii="Arial Narrow" w:hAnsi="Arial Narrow" w:cs="Arial"/>
                <w:b/>
                <w:sz w:val="20"/>
                <w:szCs w:val="20"/>
              </w:rPr>
            </w:pPr>
            <w:r w:rsidRPr="00090EFB">
              <w:rPr>
                <w:rFonts w:ascii="Arial Narrow" w:hAnsi="Arial Narrow" w:cs="Arial"/>
                <w:b/>
                <w:sz w:val="20"/>
                <w:szCs w:val="20"/>
              </w:rPr>
              <w:t>Restriction</w:t>
            </w:r>
            <w:r w:rsidR="001659E2" w:rsidRPr="00090EFB">
              <w:rPr>
                <w:rFonts w:ascii="Arial Narrow" w:hAnsi="Arial Narrow" w:cs="Arial"/>
                <w:b/>
                <w:sz w:val="20"/>
                <w:szCs w:val="20"/>
              </w:rPr>
              <w:t xml:space="preserve"> </w:t>
            </w:r>
            <w:r w:rsidR="008431CB">
              <w:rPr>
                <w:rFonts w:ascii="Arial Narrow" w:hAnsi="Arial Narrow" w:cs="Arial"/>
                <w:b/>
                <w:sz w:val="20"/>
                <w:szCs w:val="20"/>
              </w:rPr>
              <w:t>l</w:t>
            </w:r>
            <w:r w:rsidR="001659E2" w:rsidRPr="00090EFB">
              <w:rPr>
                <w:rFonts w:ascii="Arial Narrow" w:hAnsi="Arial Narrow" w:cs="Arial"/>
                <w:b/>
                <w:sz w:val="20"/>
                <w:szCs w:val="20"/>
              </w:rPr>
              <w:t>evel</w:t>
            </w:r>
            <w:r w:rsidRPr="00090EFB">
              <w:rPr>
                <w:rFonts w:ascii="Arial Narrow" w:hAnsi="Arial Narrow" w:cs="Arial"/>
                <w:b/>
                <w:sz w:val="20"/>
                <w:szCs w:val="20"/>
              </w:rPr>
              <w:t>:</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3B2F54C3"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fldChar w:fldCharType="begin">
                <w:ffData>
                  <w:name w:val="Check5"/>
                  <w:enabled/>
                  <w:calcOnExit w:val="0"/>
                  <w:checkBox>
                    <w:sizeAuto/>
                    <w:default w:val="1"/>
                  </w:checkBox>
                </w:ffData>
              </w:fldChar>
            </w:r>
            <w:bookmarkStart w:id="0" w:name="Check5"/>
            <w:r w:rsidRPr="00090EF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090EFB">
              <w:rPr>
                <w:rFonts w:ascii="Arial Narrow" w:hAnsi="Arial Narrow" w:cs="Arial"/>
                <w:sz w:val="20"/>
                <w:szCs w:val="20"/>
              </w:rPr>
              <w:fldChar w:fldCharType="end"/>
            </w:r>
            <w:bookmarkEnd w:id="0"/>
            <w:r w:rsidRPr="00090EFB">
              <w:rPr>
                <w:rFonts w:ascii="Arial Narrow" w:hAnsi="Arial Narrow" w:cs="Arial"/>
                <w:sz w:val="20"/>
                <w:szCs w:val="20"/>
              </w:rPr>
              <w:t xml:space="preserve"> Streamlined</w:t>
            </w:r>
          </w:p>
        </w:tc>
      </w:tr>
      <w:tr w:rsidR="007E38A2" w:rsidRPr="00090EFB" w14:paraId="47988F45" w14:textId="77777777" w:rsidTr="00554518">
        <w:trPr>
          <w:gridAfter w:val="1"/>
          <w:wAfter w:w="284" w:type="dxa"/>
          <w:cantSplit/>
          <w:trHeight w:val="36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C9706E2" w14:textId="7A73343B"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lastRenderedPageBreak/>
              <w:t>Clinical criteria</w:t>
            </w:r>
            <w:r w:rsidR="00554518">
              <w:rPr>
                <w:rFonts w:ascii="Arial Narrow" w:hAnsi="Arial Narrow" w:cs="Arial"/>
                <w:b/>
                <w:sz w:val="20"/>
                <w:szCs w:val="20"/>
              </w:rPr>
              <w:t>:</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38EFE604"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 xml:space="preserve">The condition must be moderate to severe spasticity of the upper limb/s following </w:t>
            </w:r>
            <w:r w:rsidRPr="00B07FE5">
              <w:rPr>
                <w:rFonts w:ascii="Arial Narrow" w:hAnsi="Arial Narrow" w:cs="Arial"/>
                <w:b/>
                <w:sz w:val="20"/>
                <w:szCs w:val="20"/>
              </w:rPr>
              <w:t>an acute event</w:t>
            </w:r>
            <w:r w:rsidRPr="00090EFB">
              <w:rPr>
                <w:rFonts w:ascii="Arial Narrow" w:hAnsi="Arial Narrow" w:cs="Arial"/>
                <w:sz w:val="20"/>
                <w:szCs w:val="20"/>
              </w:rPr>
              <w:t xml:space="preserve"> </w:t>
            </w:r>
            <w:r w:rsidRPr="00B07FE5">
              <w:rPr>
                <w:rFonts w:ascii="Arial Narrow" w:hAnsi="Arial Narrow" w:cs="Arial"/>
                <w:b/>
                <w:strike/>
                <w:sz w:val="20"/>
                <w:szCs w:val="20"/>
              </w:rPr>
              <w:t>stroke</w:t>
            </w:r>
            <w:r w:rsidRPr="00090EFB">
              <w:rPr>
                <w:rFonts w:ascii="Arial Narrow" w:hAnsi="Arial Narrow" w:cs="Arial"/>
                <w:sz w:val="20"/>
                <w:szCs w:val="20"/>
              </w:rPr>
              <w:t>, defined as a Modified Ashworth Scale rating of 3 or more,</w:t>
            </w:r>
          </w:p>
          <w:p w14:paraId="66580017"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AND</w:t>
            </w:r>
          </w:p>
          <w:p w14:paraId="59086DFC" w14:textId="77777777" w:rsidR="007E38A2" w:rsidRPr="00090EFB" w:rsidRDefault="007E38A2" w:rsidP="007E38A2">
            <w:pPr>
              <w:jc w:val="both"/>
              <w:rPr>
                <w:rFonts w:ascii="Arial Narrow" w:hAnsi="Arial Narrow" w:cs="Arial"/>
                <w:b/>
                <w:strike/>
                <w:sz w:val="20"/>
                <w:szCs w:val="20"/>
              </w:rPr>
            </w:pPr>
            <w:r w:rsidRPr="00090EFB">
              <w:rPr>
                <w:rFonts w:ascii="Arial Narrow" w:hAnsi="Arial Narrow" w:cs="Arial"/>
                <w:b/>
                <w:strike/>
                <w:sz w:val="20"/>
                <w:szCs w:val="20"/>
              </w:rPr>
              <w:t>The treatment must not be initiated until three months post-stoke,</w:t>
            </w:r>
          </w:p>
          <w:p w14:paraId="33705183" w14:textId="77777777" w:rsidR="007E38A2" w:rsidRPr="008676D3" w:rsidRDefault="007E38A2" w:rsidP="007E38A2">
            <w:pPr>
              <w:jc w:val="both"/>
              <w:rPr>
                <w:rFonts w:ascii="Arial Narrow" w:hAnsi="Arial Narrow" w:cs="Arial"/>
                <w:b/>
                <w:strike/>
                <w:sz w:val="20"/>
                <w:szCs w:val="20"/>
              </w:rPr>
            </w:pPr>
            <w:r w:rsidRPr="008676D3">
              <w:rPr>
                <w:rFonts w:ascii="Arial Narrow" w:hAnsi="Arial Narrow" w:cs="Arial"/>
                <w:b/>
                <w:strike/>
                <w:sz w:val="20"/>
                <w:szCs w:val="20"/>
              </w:rPr>
              <w:t>AND</w:t>
            </w:r>
          </w:p>
          <w:p w14:paraId="76F3D6D1"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The treatment must only be used as second line therapy when standard management has failed; OR</w:t>
            </w:r>
          </w:p>
          <w:p w14:paraId="03851407"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The treatment must only be used as an adjunct to physical therapy,</w:t>
            </w:r>
          </w:p>
          <w:p w14:paraId="235E0D03"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AND</w:t>
            </w:r>
          </w:p>
          <w:p w14:paraId="6A25F5F8" w14:textId="72ACFB02"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 xml:space="preserve">The treatment must not continue if the patient does not respond (defined as not having had a decrease in spasticity rating greater than 1, using the Modified Ashworth Scale [MAS], in at least one joint) after two treatment periods </w:t>
            </w:r>
            <w:r w:rsidRPr="00B07FE5">
              <w:rPr>
                <w:rFonts w:ascii="Arial Narrow" w:hAnsi="Arial Narrow" w:cs="Arial"/>
                <w:sz w:val="20"/>
                <w:szCs w:val="20"/>
              </w:rPr>
              <w:t>(</w:t>
            </w:r>
            <w:r w:rsidRPr="00B07FE5">
              <w:rPr>
                <w:rFonts w:ascii="Arial Narrow" w:hAnsi="Arial Narrow" w:cs="Arial"/>
                <w:b/>
                <w:sz w:val="20"/>
                <w:szCs w:val="20"/>
              </w:rPr>
              <w:t>with any botulinum toxin type A</w:t>
            </w:r>
            <w:r w:rsidRPr="00090EFB">
              <w:rPr>
                <w:rFonts w:ascii="Arial Narrow" w:hAnsi="Arial Narrow" w:cs="Arial"/>
                <w:sz w:val="20"/>
                <w:szCs w:val="20"/>
              </w:rPr>
              <w:t xml:space="preserve"> </w:t>
            </w:r>
            <w:r w:rsidRPr="00090EFB">
              <w:rPr>
                <w:rFonts w:ascii="Arial Narrow" w:hAnsi="Arial Narrow" w:cs="Arial"/>
                <w:b/>
                <w:strike/>
                <w:sz w:val="20"/>
                <w:szCs w:val="20"/>
              </w:rPr>
              <w:t xml:space="preserve">total Botox, </w:t>
            </w:r>
            <w:proofErr w:type="spellStart"/>
            <w:r w:rsidRPr="00090EFB">
              <w:rPr>
                <w:rFonts w:ascii="Arial Narrow" w:hAnsi="Arial Narrow" w:cs="Arial"/>
                <w:b/>
                <w:strike/>
                <w:sz w:val="20"/>
                <w:szCs w:val="20"/>
              </w:rPr>
              <w:t>Dysport</w:t>
            </w:r>
            <w:proofErr w:type="spellEnd"/>
            <w:r w:rsidRPr="00090EFB">
              <w:rPr>
                <w:rFonts w:ascii="Arial Narrow" w:hAnsi="Arial Narrow" w:cs="Arial"/>
                <w:b/>
                <w:strike/>
                <w:sz w:val="20"/>
                <w:szCs w:val="20"/>
              </w:rPr>
              <w:t xml:space="preserve">, and, </w:t>
            </w:r>
            <w:proofErr w:type="spellStart"/>
            <w:r w:rsidR="00CC6525">
              <w:rPr>
                <w:rFonts w:ascii="Arial Narrow" w:hAnsi="Arial Narrow" w:cs="Arial"/>
                <w:b/>
                <w:strike/>
                <w:sz w:val="20"/>
                <w:szCs w:val="20"/>
              </w:rPr>
              <w:t>Xeomin</w:t>
            </w:r>
            <w:proofErr w:type="spellEnd"/>
            <w:r w:rsidRPr="00090EFB">
              <w:rPr>
                <w:rFonts w:ascii="Arial Narrow" w:hAnsi="Arial Narrow" w:cs="Arial"/>
                <w:sz w:val="20"/>
                <w:szCs w:val="20"/>
              </w:rPr>
              <w:t>),</w:t>
            </w:r>
          </w:p>
          <w:p w14:paraId="4D5A08AE" w14:textId="4C71ECE2"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AND</w:t>
            </w:r>
          </w:p>
          <w:p w14:paraId="22E1F8CA" w14:textId="00EC0190" w:rsidR="000125DC" w:rsidRPr="00B07FE5" w:rsidRDefault="000125DC" w:rsidP="007E38A2">
            <w:pPr>
              <w:jc w:val="both"/>
              <w:rPr>
                <w:rFonts w:ascii="Arial Narrow" w:hAnsi="Arial Narrow" w:cs="Arial"/>
                <w:i/>
                <w:sz w:val="20"/>
                <w:szCs w:val="20"/>
              </w:rPr>
            </w:pPr>
            <w:r w:rsidRPr="00B07FE5">
              <w:rPr>
                <w:rFonts w:ascii="Arial Narrow" w:hAnsi="Arial Narrow" w:cs="Arial"/>
                <w:i/>
                <w:sz w:val="20"/>
                <w:szCs w:val="20"/>
              </w:rPr>
              <w:t>The treatment must not exceed a maximum of 4 treatment periods (with any botulinum toxin type A) per upper limb in the first year of treatment, and 2 treatment periods (with any botulinum toxin type A) per upper limb each year thereafter,</w:t>
            </w:r>
          </w:p>
          <w:p w14:paraId="120BD008" w14:textId="2099A39E" w:rsidR="007E38A2" w:rsidRPr="00090EFB" w:rsidRDefault="007E38A2" w:rsidP="007E38A2">
            <w:pPr>
              <w:jc w:val="both"/>
              <w:rPr>
                <w:rFonts w:ascii="Arial Narrow" w:hAnsi="Arial Narrow" w:cs="Arial"/>
                <w:b/>
                <w:strike/>
                <w:sz w:val="20"/>
                <w:szCs w:val="20"/>
              </w:rPr>
            </w:pPr>
            <w:r w:rsidRPr="00090EFB">
              <w:rPr>
                <w:rFonts w:ascii="Arial Narrow" w:hAnsi="Arial Narrow" w:cs="Arial"/>
                <w:b/>
                <w:strike/>
                <w:sz w:val="20"/>
                <w:szCs w:val="20"/>
              </w:rPr>
              <w:t xml:space="preserve">The treatment must not exceed 4 treatment periods (total Botox, </w:t>
            </w:r>
            <w:proofErr w:type="spellStart"/>
            <w:r w:rsidRPr="00090EFB">
              <w:rPr>
                <w:rFonts w:ascii="Arial Narrow" w:hAnsi="Arial Narrow" w:cs="Arial"/>
                <w:b/>
                <w:strike/>
                <w:sz w:val="20"/>
                <w:szCs w:val="20"/>
              </w:rPr>
              <w:t>Dysport</w:t>
            </w:r>
            <w:proofErr w:type="spellEnd"/>
            <w:r w:rsidRPr="00090EFB">
              <w:rPr>
                <w:rFonts w:ascii="Arial Narrow" w:hAnsi="Arial Narrow" w:cs="Arial"/>
                <w:b/>
                <w:strike/>
                <w:sz w:val="20"/>
                <w:szCs w:val="20"/>
              </w:rPr>
              <w:t xml:space="preserve">, and </w:t>
            </w:r>
            <w:proofErr w:type="spellStart"/>
            <w:r w:rsidR="00CC6525">
              <w:rPr>
                <w:rFonts w:ascii="Arial Narrow" w:hAnsi="Arial Narrow" w:cs="Arial"/>
                <w:b/>
                <w:strike/>
                <w:sz w:val="20"/>
                <w:szCs w:val="20"/>
              </w:rPr>
              <w:t>Xeomin</w:t>
            </w:r>
            <w:proofErr w:type="spellEnd"/>
            <w:r w:rsidR="00D336C8">
              <w:rPr>
                <w:rFonts w:ascii="Arial Narrow" w:hAnsi="Arial Narrow" w:cs="Arial"/>
                <w:b/>
                <w:strike/>
                <w:sz w:val="20"/>
                <w:szCs w:val="20"/>
              </w:rPr>
              <w:t>®</w:t>
            </w:r>
            <w:r w:rsidRPr="00090EFB">
              <w:rPr>
                <w:rFonts w:ascii="Arial Narrow" w:hAnsi="Arial Narrow" w:cs="Arial"/>
                <w:b/>
                <w:strike/>
                <w:sz w:val="20"/>
                <w:szCs w:val="20"/>
              </w:rPr>
              <w:t>) per upper limb per lifetime,</w:t>
            </w:r>
          </w:p>
          <w:p w14:paraId="16DB7B95" w14:textId="5F0687BA" w:rsidR="008676D3" w:rsidRPr="00090EFB" w:rsidRDefault="007E38A2" w:rsidP="007E38A2">
            <w:pPr>
              <w:jc w:val="both"/>
              <w:rPr>
                <w:rFonts w:ascii="Arial Narrow" w:hAnsi="Arial Narrow" w:cs="Arial"/>
                <w:sz w:val="20"/>
                <w:szCs w:val="20"/>
              </w:rPr>
            </w:pPr>
            <w:r w:rsidRPr="00090EFB">
              <w:rPr>
                <w:rFonts w:ascii="Arial Narrow" w:hAnsi="Arial Narrow" w:cs="Arial"/>
                <w:sz w:val="20"/>
                <w:szCs w:val="20"/>
              </w:rPr>
              <w:t>AND</w:t>
            </w:r>
          </w:p>
          <w:p w14:paraId="16AEB669"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Patient must not have established severe contracture in the limb to be treated</w:t>
            </w:r>
          </w:p>
        </w:tc>
      </w:tr>
      <w:tr w:rsidR="007E38A2" w:rsidRPr="00090EFB" w14:paraId="61681C2A" w14:textId="77777777" w:rsidTr="00554518">
        <w:trPr>
          <w:gridAfter w:val="1"/>
          <w:wAfter w:w="284" w:type="dxa"/>
          <w:cantSplit/>
          <w:trHeight w:val="197"/>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2BD1B97" w14:textId="6A0DA464"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t>Population criteria</w:t>
            </w:r>
            <w:r w:rsidR="00554518">
              <w:rPr>
                <w:rFonts w:ascii="Arial Narrow" w:hAnsi="Arial Narrow" w:cs="Arial"/>
                <w:b/>
                <w:sz w:val="20"/>
                <w:szCs w:val="20"/>
              </w:rPr>
              <w:t>:</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6BD83B4E"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Patient must be aged 18 years or older.</w:t>
            </w:r>
          </w:p>
        </w:tc>
      </w:tr>
      <w:tr w:rsidR="008431CB" w:rsidRPr="00090EFB" w14:paraId="218A4ABA" w14:textId="77777777" w:rsidTr="00554518">
        <w:trPr>
          <w:gridAfter w:val="1"/>
          <w:wAfter w:w="284" w:type="dxa"/>
          <w:cantSplit/>
          <w:trHeight w:val="36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F4FDA49" w14:textId="7A0A4D5A" w:rsidR="008431CB" w:rsidRPr="00090EFB" w:rsidRDefault="008431CB" w:rsidP="00C059B7">
            <w:pPr>
              <w:jc w:val="both"/>
              <w:rPr>
                <w:rFonts w:ascii="Arial Narrow" w:hAnsi="Arial Narrow" w:cs="Arial"/>
                <w:b/>
                <w:sz w:val="20"/>
                <w:szCs w:val="20"/>
              </w:rPr>
            </w:pPr>
            <w:r w:rsidRPr="00090EFB">
              <w:rPr>
                <w:rFonts w:ascii="Arial Narrow" w:hAnsi="Arial Narrow" w:cs="Arial"/>
                <w:b/>
                <w:sz w:val="20"/>
                <w:szCs w:val="20"/>
              </w:rPr>
              <w:t>Treatment criteria</w:t>
            </w:r>
            <w:r w:rsidR="00554518">
              <w:rPr>
                <w:rFonts w:ascii="Arial Narrow" w:hAnsi="Arial Narrow" w:cs="Arial"/>
                <w:b/>
                <w:sz w:val="20"/>
                <w:szCs w:val="20"/>
              </w:rPr>
              <w:t>:</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7575FCE1" w14:textId="77777777" w:rsidR="008431CB" w:rsidRPr="00090EFB" w:rsidRDefault="008431CB" w:rsidP="00C059B7">
            <w:pPr>
              <w:jc w:val="both"/>
              <w:rPr>
                <w:rFonts w:ascii="Arial Narrow" w:hAnsi="Arial Narrow" w:cs="Arial"/>
                <w:sz w:val="20"/>
                <w:szCs w:val="20"/>
              </w:rPr>
            </w:pPr>
            <w:r w:rsidRPr="00090EFB">
              <w:rPr>
                <w:rFonts w:ascii="Arial Narrow" w:hAnsi="Arial Narrow" w:cs="Arial"/>
                <w:sz w:val="20"/>
                <w:szCs w:val="20"/>
              </w:rPr>
              <w:t>Must be treated by a neurologist; OR</w:t>
            </w:r>
          </w:p>
          <w:p w14:paraId="4A734630" w14:textId="77777777" w:rsidR="008431CB" w:rsidRPr="00090EFB" w:rsidRDefault="008431CB" w:rsidP="00C059B7">
            <w:pPr>
              <w:jc w:val="both"/>
              <w:rPr>
                <w:rFonts w:ascii="Arial Narrow" w:hAnsi="Arial Narrow" w:cs="Arial"/>
                <w:sz w:val="20"/>
                <w:szCs w:val="20"/>
              </w:rPr>
            </w:pPr>
            <w:r w:rsidRPr="00090EFB">
              <w:rPr>
                <w:rFonts w:ascii="Arial Narrow" w:hAnsi="Arial Narrow" w:cs="Arial"/>
                <w:sz w:val="20"/>
                <w:szCs w:val="20"/>
              </w:rPr>
              <w:t>Must be treated by an orthopaedic surgeon; OR</w:t>
            </w:r>
          </w:p>
          <w:p w14:paraId="4358826B" w14:textId="77777777" w:rsidR="008431CB" w:rsidRPr="00090EFB" w:rsidRDefault="008431CB" w:rsidP="00C059B7">
            <w:pPr>
              <w:jc w:val="both"/>
              <w:rPr>
                <w:rFonts w:ascii="Arial Narrow" w:hAnsi="Arial Narrow" w:cs="Arial"/>
                <w:sz w:val="20"/>
                <w:szCs w:val="20"/>
              </w:rPr>
            </w:pPr>
            <w:r w:rsidRPr="00090EFB">
              <w:rPr>
                <w:rFonts w:ascii="Arial Narrow" w:hAnsi="Arial Narrow" w:cs="Arial"/>
                <w:sz w:val="20"/>
                <w:szCs w:val="20"/>
              </w:rPr>
              <w:t xml:space="preserve">Must be treated by a rehabilitation specialist </w:t>
            </w:r>
            <w:r w:rsidRPr="00090EFB">
              <w:rPr>
                <w:rFonts w:ascii="Arial Narrow" w:hAnsi="Arial Narrow" w:cs="Arial"/>
                <w:strike/>
                <w:sz w:val="20"/>
                <w:szCs w:val="20"/>
              </w:rPr>
              <w:t>physician</w:t>
            </w:r>
            <w:r w:rsidRPr="00090EFB">
              <w:rPr>
                <w:rFonts w:ascii="Arial Narrow" w:hAnsi="Arial Narrow" w:cs="Arial"/>
                <w:sz w:val="20"/>
                <w:szCs w:val="20"/>
              </w:rPr>
              <w:t>; OR</w:t>
            </w:r>
          </w:p>
          <w:p w14:paraId="35901AB0" w14:textId="77777777" w:rsidR="008431CB" w:rsidRPr="00090EFB" w:rsidRDefault="008431CB" w:rsidP="00C059B7">
            <w:pPr>
              <w:jc w:val="both"/>
              <w:rPr>
                <w:rFonts w:ascii="Arial Narrow" w:hAnsi="Arial Narrow" w:cs="Arial"/>
                <w:sz w:val="20"/>
                <w:szCs w:val="20"/>
              </w:rPr>
            </w:pPr>
            <w:r w:rsidRPr="00090EFB">
              <w:rPr>
                <w:rFonts w:ascii="Arial Narrow" w:hAnsi="Arial Narrow" w:cs="Arial"/>
                <w:sz w:val="20"/>
                <w:szCs w:val="20"/>
              </w:rPr>
              <w:t>Must be treated by a plastic surgeon; OR</w:t>
            </w:r>
          </w:p>
          <w:p w14:paraId="745CA747" w14:textId="77777777" w:rsidR="008431CB" w:rsidRPr="00090EFB" w:rsidRDefault="008431CB" w:rsidP="00C059B7">
            <w:pPr>
              <w:jc w:val="both"/>
              <w:rPr>
                <w:rFonts w:ascii="Arial Narrow" w:hAnsi="Arial Narrow" w:cs="Arial"/>
                <w:sz w:val="20"/>
                <w:szCs w:val="20"/>
              </w:rPr>
            </w:pPr>
            <w:r w:rsidRPr="00090EFB">
              <w:rPr>
                <w:rFonts w:ascii="Arial Narrow" w:hAnsi="Arial Narrow" w:cs="Arial"/>
                <w:sz w:val="20"/>
                <w:szCs w:val="20"/>
              </w:rPr>
              <w:t>Must be treated by a geriatrician.</w:t>
            </w:r>
          </w:p>
        </w:tc>
      </w:tr>
      <w:tr w:rsidR="007E38A2" w:rsidRPr="00090EFB" w14:paraId="0D9F18E8" w14:textId="77777777" w:rsidTr="00554518">
        <w:trPr>
          <w:gridAfter w:val="1"/>
          <w:wAfter w:w="284" w:type="dxa"/>
          <w:cantSplit/>
          <w:trHeight w:val="36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20D68C5" w14:textId="42EF85B5"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t>Prescriber instructions</w:t>
            </w:r>
            <w:r w:rsidR="00554518">
              <w:rPr>
                <w:rFonts w:ascii="Arial Narrow" w:hAnsi="Arial Narrow" w:cs="Arial"/>
                <w:b/>
                <w:sz w:val="20"/>
                <w:szCs w:val="20"/>
              </w:rPr>
              <w:t>:</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077954E4" w14:textId="7C41D970" w:rsidR="007E38A2" w:rsidRPr="008431CB" w:rsidRDefault="007E38A2" w:rsidP="007E38A2">
            <w:pPr>
              <w:jc w:val="both"/>
              <w:rPr>
                <w:rFonts w:ascii="Arial Narrow" w:hAnsi="Arial Narrow" w:cs="Arial"/>
                <w:strike/>
                <w:sz w:val="20"/>
                <w:szCs w:val="20"/>
              </w:rPr>
            </w:pPr>
            <w:r w:rsidRPr="008431CB">
              <w:rPr>
                <w:rFonts w:ascii="Arial Narrow" w:hAnsi="Arial Narrow" w:cs="Arial"/>
                <w:strike/>
                <w:sz w:val="20"/>
                <w:szCs w:val="20"/>
              </w:rPr>
              <w:t xml:space="preserve">The date </w:t>
            </w:r>
            <w:r w:rsidRPr="00B07FE5">
              <w:rPr>
                <w:rFonts w:ascii="Arial Narrow" w:hAnsi="Arial Narrow" w:cs="Arial"/>
                <w:strike/>
                <w:sz w:val="20"/>
                <w:szCs w:val="20"/>
              </w:rPr>
              <w:t>and nature of the event</w:t>
            </w:r>
            <w:r w:rsidRPr="008431CB">
              <w:rPr>
                <w:rFonts w:ascii="Arial Narrow" w:hAnsi="Arial Narrow" w:cs="Arial"/>
                <w:strike/>
                <w:sz w:val="20"/>
                <w:szCs w:val="20"/>
              </w:rPr>
              <w:t xml:space="preserve"> </w:t>
            </w:r>
            <w:r w:rsidRPr="00B07FE5">
              <w:rPr>
                <w:rFonts w:ascii="Arial Narrow" w:hAnsi="Arial Narrow" w:cs="Arial"/>
                <w:strike/>
                <w:sz w:val="20"/>
                <w:szCs w:val="20"/>
              </w:rPr>
              <w:t>of the stroke</w:t>
            </w:r>
            <w:r w:rsidRPr="008431CB">
              <w:rPr>
                <w:rFonts w:ascii="Arial Narrow" w:hAnsi="Arial Narrow" w:cs="Arial"/>
                <w:strike/>
                <w:sz w:val="20"/>
                <w:szCs w:val="20"/>
              </w:rPr>
              <w:t xml:space="preserve"> must be documented in the patient’s medical records when treatment is initiated.</w:t>
            </w:r>
          </w:p>
          <w:p w14:paraId="053F9C3F" w14:textId="77777777" w:rsidR="000125DC" w:rsidRPr="00090EFB" w:rsidRDefault="000125DC" w:rsidP="007E38A2">
            <w:pPr>
              <w:jc w:val="both"/>
              <w:rPr>
                <w:rFonts w:ascii="Arial Narrow" w:hAnsi="Arial Narrow" w:cs="Arial"/>
                <w:sz w:val="20"/>
                <w:szCs w:val="20"/>
              </w:rPr>
            </w:pPr>
          </w:p>
          <w:p w14:paraId="54BA641A"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Standard management includes physiotherapy and/or oral spasticity agents.</w:t>
            </w:r>
          </w:p>
        </w:tc>
      </w:tr>
      <w:tr w:rsidR="007E38A2" w:rsidRPr="00090EFB" w14:paraId="29E0233C" w14:textId="77777777" w:rsidTr="00554518">
        <w:trPr>
          <w:gridAfter w:val="1"/>
          <w:wAfter w:w="284" w:type="dxa"/>
          <w:cantSplit/>
          <w:trHeight w:val="36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B8B3F7E" w14:textId="230F3D2C"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t>Administrative Note</w:t>
            </w:r>
            <w:r w:rsidR="00554518">
              <w:rPr>
                <w:rFonts w:ascii="Arial Narrow" w:hAnsi="Arial Narrow" w:cs="Arial"/>
                <w:b/>
                <w:sz w:val="20"/>
                <w:szCs w:val="20"/>
              </w:rPr>
              <w:t>:</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0B508AEB" w14:textId="77777777" w:rsidR="007E38A2" w:rsidRPr="00B07FE5" w:rsidRDefault="007E38A2" w:rsidP="007E38A2">
            <w:pPr>
              <w:jc w:val="both"/>
              <w:rPr>
                <w:rFonts w:ascii="Arial Narrow" w:hAnsi="Arial Narrow" w:cs="Arial"/>
                <w:b/>
                <w:sz w:val="20"/>
                <w:szCs w:val="20"/>
              </w:rPr>
            </w:pPr>
            <w:r w:rsidRPr="00B07FE5">
              <w:rPr>
                <w:rFonts w:ascii="Arial Narrow" w:hAnsi="Arial Narrow" w:cs="Arial"/>
                <w:b/>
                <w:sz w:val="20"/>
                <w:szCs w:val="20"/>
              </w:rPr>
              <w:t>The units used to express the potency of botulinum toxin preparations currently available for PBS subsidy are not equivalent.</w:t>
            </w:r>
          </w:p>
          <w:p w14:paraId="71A5C1B9" w14:textId="6588C948" w:rsidR="001659E2" w:rsidRPr="00090EFB" w:rsidRDefault="001659E2" w:rsidP="007E38A2">
            <w:pPr>
              <w:jc w:val="both"/>
              <w:rPr>
                <w:rFonts w:ascii="Arial Narrow" w:hAnsi="Arial Narrow" w:cs="Arial"/>
                <w:b/>
                <w:i/>
                <w:sz w:val="20"/>
                <w:szCs w:val="20"/>
              </w:rPr>
            </w:pPr>
          </w:p>
          <w:p w14:paraId="2DDD4FC2" w14:textId="77777777" w:rsidR="001659E2" w:rsidRPr="00A275F5" w:rsidRDefault="001659E2" w:rsidP="007E38A2">
            <w:pPr>
              <w:jc w:val="both"/>
              <w:rPr>
                <w:rFonts w:ascii="Arial Narrow" w:hAnsi="Arial Narrow" w:cs="Arial"/>
                <w:b/>
                <w:sz w:val="20"/>
                <w:szCs w:val="20"/>
              </w:rPr>
            </w:pPr>
            <w:r w:rsidRPr="00A275F5">
              <w:rPr>
                <w:rFonts w:ascii="Arial Narrow" w:hAnsi="Arial Narrow" w:cs="Arial"/>
                <w:b/>
                <w:sz w:val="20"/>
                <w:szCs w:val="20"/>
              </w:rPr>
              <w:t xml:space="preserve">An acute event may be a clinical or external event that leads to upper motor neuron lesions resulting in spasticity for example, </w:t>
            </w:r>
            <w:r w:rsidRPr="00A275F5">
              <w:rPr>
                <w:rFonts w:ascii="Arial Narrow" w:hAnsi="Arial Narrow" w:cs="Arial"/>
                <w:b/>
                <w:strike/>
                <w:sz w:val="20"/>
                <w:szCs w:val="20"/>
              </w:rPr>
              <w:t>these may be</w:t>
            </w:r>
            <w:r w:rsidRPr="00A275F5">
              <w:rPr>
                <w:rFonts w:ascii="Arial Narrow" w:hAnsi="Arial Narrow" w:cs="Arial"/>
                <w:b/>
                <w:sz w:val="20"/>
                <w:szCs w:val="20"/>
              </w:rPr>
              <w:t xml:space="preserve"> stroke, traumatic brain injury </w:t>
            </w:r>
            <w:r w:rsidRPr="00A275F5">
              <w:rPr>
                <w:rFonts w:ascii="Arial Narrow" w:hAnsi="Arial Narrow" w:cs="Arial"/>
                <w:b/>
                <w:strike/>
                <w:sz w:val="20"/>
                <w:szCs w:val="20"/>
              </w:rPr>
              <w:t>(TBI)</w:t>
            </w:r>
            <w:r w:rsidRPr="00A275F5">
              <w:rPr>
                <w:rFonts w:ascii="Arial Narrow" w:hAnsi="Arial Narrow" w:cs="Arial"/>
                <w:b/>
                <w:sz w:val="20"/>
                <w:szCs w:val="20"/>
              </w:rPr>
              <w:t xml:space="preserve">, </w:t>
            </w:r>
            <w:r w:rsidR="00622CB3" w:rsidRPr="00A275F5">
              <w:rPr>
                <w:rFonts w:ascii="Arial Narrow" w:hAnsi="Arial Narrow" w:cs="Arial"/>
                <w:b/>
                <w:sz w:val="20"/>
                <w:szCs w:val="20"/>
              </w:rPr>
              <w:t xml:space="preserve">spinal cord injury, </w:t>
            </w:r>
            <w:r w:rsidRPr="00A275F5">
              <w:rPr>
                <w:rFonts w:ascii="Arial Narrow" w:hAnsi="Arial Narrow" w:cs="Arial"/>
                <w:b/>
                <w:sz w:val="20"/>
                <w:szCs w:val="20"/>
              </w:rPr>
              <w:t>infection or hypoxia.</w:t>
            </w:r>
          </w:p>
          <w:p w14:paraId="49197037" w14:textId="77777777" w:rsidR="00622CB3" w:rsidRDefault="00622CB3" w:rsidP="007E38A2">
            <w:pPr>
              <w:jc w:val="both"/>
              <w:rPr>
                <w:rFonts w:ascii="Arial Narrow" w:hAnsi="Arial Narrow" w:cs="Arial"/>
                <w:b/>
                <w:i/>
                <w:sz w:val="20"/>
                <w:szCs w:val="20"/>
              </w:rPr>
            </w:pPr>
          </w:p>
          <w:p w14:paraId="180F9BFE" w14:textId="342A20D5" w:rsidR="00622CB3" w:rsidRPr="00090EFB" w:rsidRDefault="00622CB3" w:rsidP="007E38A2">
            <w:pPr>
              <w:jc w:val="both"/>
              <w:rPr>
                <w:rFonts w:ascii="Arial Narrow" w:hAnsi="Arial Narrow" w:cs="Arial"/>
                <w:b/>
                <w:i/>
                <w:sz w:val="20"/>
                <w:szCs w:val="20"/>
              </w:rPr>
            </w:pPr>
            <w:r w:rsidRPr="008431CB">
              <w:rPr>
                <w:rFonts w:ascii="Arial Narrow" w:hAnsi="Arial Narrow" w:cs="Arial"/>
                <w:b/>
                <w:i/>
                <w:sz w:val="20"/>
                <w:szCs w:val="20"/>
              </w:rPr>
              <w:t>Special pricing Arrangement apply.</w:t>
            </w:r>
          </w:p>
        </w:tc>
      </w:tr>
      <w:tr w:rsidR="007E38A2" w:rsidRPr="00090EFB" w14:paraId="129EBAB4" w14:textId="77777777" w:rsidTr="00554518">
        <w:trPr>
          <w:gridAfter w:val="1"/>
          <w:wAfter w:w="284" w:type="dxa"/>
          <w:cantSplit/>
          <w:trHeight w:val="56"/>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5F3D02C" w14:textId="77777777" w:rsidR="007E38A2" w:rsidRPr="00090EFB" w:rsidRDefault="007E38A2" w:rsidP="007E38A2">
            <w:pPr>
              <w:jc w:val="both"/>
              <w:rPr>
                <w:rFonts w:ascii="Arial Narrow" w:hAnsi="Arial Narrow" w:cs="Arial"/>
                <w:b/>
                <w:sz w:val="20"/>
                <w:szCs w:val="20"/>
              </w:rPr>
            </w:pPr>
            <w:r w:rsidRPr="00090EFB">
              <w:rPr>
                <w:rFonts w:ascii="Arial Narrow" w:hAnsi="Arial Narrow" w:cs="Arial"/>
                <w:b/>
                <w:sz w:val="20"/>
                <w:szCs w:val="20"/>
              </w:rPr>
              <w:t xml:space="preserve">Caution: </w:t>
            </w:r>
          </w:p>
        </w:tc>
        <w:tc>
          <w:tcPr>
            <w:tcW w:w="73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55860C9D" w14:textId="77777777" w:rsidR="007E38A2" w:rsidRPr="00090EFB" w:rsidRDefault="007E38A2" w:rsidP="007E38A2">
            <w:pPr>
              <w:jc w:val="both"/>
              <w:rPr>
                <w:rFonts w:ascii="Arial Narrow" w:hAnsi="Arial Narrow" w:cs="Arial"/>
                <w:sz w:val="20"/>
                <w:szCs w:val="20"/>
              </w:rPr>
            </w:pPr>
            <w:r w:rsidRPr="00090EFB">
              <w:rPr>
                <w:rFonts w:ascii="Arial Narrow" w:hAnsi="Arial Narrow" w:cs="Arial"/>
                <w:sz w:val="20"/>
                <w:szCs w:val="20"/>
              </w:rPr>
              <w:t>Contraindications to treatment include known sensitivity to botulinum toxin.</w:t>
            </w:r>
          </w:p>
        </w:tc>
      </w:tr>
    </w:tbl>
    <w:p w14:paraId="0F1D428A" w14:textId="11F5BA23" w:rsidR="00234252" w:rsidRDefault="00234252" w:rsidP="009324A6">
      <w:pPr>
        <w:spacing w:after="120"/>
        <w:jc w:val="both"/>
        <w:rPr>
          <w:rFonts w:asciiTheme="minorHAnsi" w:eastAsiaTheme="minorHAnsi" w:hAnsiTheme="minorHAnsi" w:cstheme="minorBidi"/>
          <w:b/>
          <w:i/>
          <w:color w:val="000000" w:themeColor="text1"/>
          <w:lang w:eastAsia="en-US"/>
        </w:rPr>
      </w:pPr>
    </w:p>
    <w:tbl>
      <w:tblPr>
        <w:tblW w:w="9214" w:type="dxa"/>
        <w:tblInd w:w="-5" w:type="dxa"/>
        <w:tblLayout w:type="fixed"/>
        <w:tblLook w:val="0000" w:firstRow="0" w:lastRow="0" w:firstColumn="0" w:lastColumn="0" w:noHBand="0" w:noVBand="0"/>
      </w:tblPr>
      <w:tblGrid>
        <w:gridCol w:w="1848"/>
        <w:gridCol w:w="7366"/>
      </w:tblGrid>
      <w:tr w:rsidR="008676D3" w:rsidRPr="007E2D3C" w14:paraId="69C7F573" w14:textId="77777777" w:rsidTr="00554518">
        <w:trPr>
          <w:cantSplit/>
          <w:trHeight w:val="227"/>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7DFDEE5D"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Category</w:t>
            </w:r>
            <w:r>
              <w:rPr>
                <w:rFonts w:ascii="Arial Narrow" w:hAnsi="Arial Narrow" w:cs="Arial"/>
                <w:b/>
                <w:i/>
                <w:sz w:val="20"/>
                <w:szCs w:val="20"/>
              </w:rPr>
              <w:t>/P</w:t>
            </w:r>
            <w:r w:rsidRPr="007E2D3C">
              <w:rPr>
                <w:rFonts w:ascii="Arial Narrow" w:hAnsi="Arial Narrow" w:cs="Arial"/>
                <w:b/>
                <w:i/>
                <w:sz w:val="20"/>
                <w:szCs w:val="20"/>
              </w:rPr>
              <w:t>rogram:</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11AE60E5"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Section 100 – Botulinum Toxin Program</w:t>
            </w:r>
          </w:p>
        </w:tc>
      </w:tr>
      <w:tr w:rsidR="008676D3" w:rsidRPr="007E2D3C" w14:paraId="7171785B" w14:textId="77777777" w:rsidTr="00554518">
        <w:trPr>
          <w:cantSplit/>
          <w:trHeight w:val="154"/>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372028D3"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Prescriber type:</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67CAFDA4"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fldChar w:fldCharType="begin">
                <w:ffData>
                  <w:name w:val="Check1"/>
                  <w:enabled/>
                  <w:calcOnExit w:val="0"/>
                  <w:checkBox>
                    <w:sizeAuto/>
                    <w:default w:val="0"/>
                  </w:checkBox>
                </w:ffData>
              </w:fldChar>
            </w:r>
            <w:r w:rsidRPr="007E2D3C">
              <w:rPr>
                <w:rFonts w:ascii="Arial Narrow" w:hAnsi="Arial Narrow" w:cs="Arial"/>
                <w:i/>
                <w:sz w:val="20"/>
                <w:szCs w:val="20"/>
              </w:rPr>
              <w:instrText xml:space="preserve"> FORMCHECKBOX </w:instrText>
            </w:r>
            <w:r w:rsidR="00753600">
              <w:rPr>
                <w:rFonts w:ascii="Arial Narrow" w:hAnsi="Arial Narrow" w:cs="Arial"/>
                <w:i/>
                <w:sz w:val="20"/>
                <w:szCs w:val="20"/>
              </w:rPr>
            </w:r>
            <w:r w:rsidR="00753600">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 xml:space="preserve">Dental  </w:t>
            </w:r>
            <w:r w:rsidRPr="007E2D3C">
              <w:rPr>
                <w:rFonts w:ascii="Arial Narrow" w:hAnsi="Arial Narrow" w:cs="Arial"/>
                <w:i/>
                <w:sz w:val="20"/>
                <w:szCs w:val="20"/>
              </w:rPr>
              <w:fldChar w:fldCharType="begin">
                <w:ffData>
                  <w:name w:val=""/>
                  <w:enabled/>
                  <w:calcOnExit w:val="0"/>
                  <w:checkBox>
                    <w:sizeAuto/>
                    <w:default w:val="1"/>
                  </w:checkBox>
                </w:ffData>
              </w:fldChar>
            </w:r>
            <w:r w:rsidRPr="007E2D3C">
              <w:rPr>
                <w:rFonts w:ascii="Arial Narrow" w:hAnsi="Arial Narrow" w:cs="Arial"/>
                <w:i/>
                <w:sz w:val="20"/>
                <w:szCs w:val="20"/>
              </w:rPr>
              <w:instrText xml:space="preserve"> FORMCHECKBOX </w:instrText>
            </w:r>
            <w:r w:rsidR="00753600">
              <w:rPr>
                <w:rFonts w:ascii="Arial Narrow" w:hAnsi="Arial Narrow" w:cs="Arial"/>
                <w:i/>
                <w:sz w:val="20"/>
                <w:szCs w:val="20"/>
              </w:rPr>
            </w:r>
            <w:r w:rsidR="00753600">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 xml:space="preserve">Medical Practitioners  </w:t>
            </w:r>
            <w:r w:rsidRPr="007E2D3C">
              <w:rPr>
                <w:rFonts w:ascii="Arial Narrow" w:hAnsi="Arial Narrow" w:cs="Arial"/>
                <w:i/>
                <w:sz w:val="20"/>
                <w:szCs w:val="20"/>
              </w:rPr>
              <w:fldChar w:fldCharType="begin">
                <w:ffData>
                  <w:name w:val="Check3"/>
                  <w:enabled/>
                  <w:calcOnExit w:val="0"/>
                  <w:checkBox>
                    <w:sizeAuto/>
                    <w:default w:val="0"/>
                  </w:checkBox>
                </w:ffData>
              </w:fldChar>
            </w:r>
            <w:r w:rsidRPr="007E2D3C">
              <w:rPr>
                <w:rFonts w:ascii="Arial Narrow" w:hAnsi="Arial Narrow" w:cs="Arial"/>
                <w:i/>
                <w:sz w:val="20"/>
                <w:szCs w:val="20"/>
              </w:rPr>
              <w:instrText xml:space="preserve"> FORMCHECKBOX </w:instrText>
            </w:r>
            <w:r w:rsidR="00753600">
              <w:rPr>
                <w:rFonts w:ascii="Arial Narrow" w:hAnsi="Arial Narrow" w:cs="Arial"/>
                <w:i/>
                <w:sz w:val="20"/>
                <w:szCs w:val="20"/>
              </w:rPr>
            </w:r>
            <w:r w:rsidR="00753600">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 xml:space="preserve">Nurse practitioners  </w:t>
            </w:r>
            <w:r w:rsidRPr="007E2D3C">
              <w:rPr>
                <w:rFonts w:ascii="Arial Narrow" w:hAnsi="Arial Narrow" w:cs="Arial"/>
                <w:i/>
                <w:sz w:val="20"/>
                <w:szCs w:val="20"/>
              </w:rPr>
              <w:fldChar w:fldCharType="begin">
                <w:ffData>
                  <w:name w:val=""/>
                  <w:enabled/>
                  <w:calcOnExit w:val="0"/>
                  <w:checkBox>
                    <w:sizeAuto/>
                    <w:default w:val="0"/>
                  </w:checkBox>
                </w:ffData>
              </w:fldChar>
            </w:r>
            <w:r w:rsidRPr="007E2D3C">
              <w:rPr>
                <w:rFonts w:ascii="Arial Narrow" w:hAnsi="Arial Narrow" w:cs="Arial"/>
                <w:i/>
                <w:sz w:val="20"/>
                <w:szCs w:val="20"/>
              </w:rPr>
              <w:instrText xml:space="preserve"> FORMCHECKBOX </w:instrText>
            </w:r>
            <w:r w:rsidR="00753600">
              <w:rPr>
                <w:rFonts w:ascii="Arial Narrow" w:hAnsi="Arial Narrow" w:cs="Arial"/>
                <w:i/>
                <w:sz w:val="20"/>
                <w:szCs w:val="20"/>
              </w:rPr>
            </w:r>
            <w:r w:rsidR="00753600">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Optometrists</w:t>
            </w:r>
            <w:r>
              <w:rPr>
                <w:rFonts w:ascii="Arial Narrow" w:hAnsi="Arial Narrow" w:cs="Arial"/>
                <w:i/>
                <w:sz w:val="20"/>
                <w:szCs w:val="20"/>
              </w:rPr>
              <w:t xml:space="preserve"> </w:t>
            </w:r>
            <w:r w:rsidRPr="007E2D3C">
              <w:rPr>
                <w:rFonts w:ascii="Arial Narrow" w:hAnsi="Arial Narrow" w:cs="Arial"/>
                <w:i/>
                <w:sz w:val="20"/>
                <w:szCs w:val="20"/>
              </w:rPr>
              <w:fldChar w:fldCharType="begin">
                <w:ffData>
                  <w:name w:val="Check5"/>
                  <w:enabled/>
                  <w:calcOnExit w:val="0"/>
                  <w:checkBox>
                    <w:sizeAuto/>
                    <w:default w:val="0"/>
                  </w:checkBox>
                </w:ffData>
              </w:fldChar>
            </w:r>
            <w:r w:rsidRPr="007E2D3C">
              <w:rPr>
                <w:rFonts w:ascii="Arial Narrow" w:hAnsi="Arial Narrow" w:cs="Arial"/>
                <w:i/>
                <w:sz w:val="20"/>
                <w:szCs w:val="20"/>
              </w:rPr>
              <w:instrText xml:space="preserve"> FORMCHECKBOX </w:instrText>
            </w:r>
            <w:r w:rsidR="00753600">
              <w:rPr>
                <w:rFonts w:ascii="Arial Narrow" w:hAnsi="Arial Narrow" w:cs="Arial"/>
                <w:i/>
                <w:sz w:val="20"/>
                <w:szCs w:val="20"/>
              </w:rPr>
            </w:r>
            <w:r w:rsidR="00753600">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Midwives</w:t>
            </w:r>
          </w:p>
        </w:tc>
      </w:tr>
      <w:tr w:rsidR="008676D3" w:rsidRPr="007E2D3C" w14:paraId="2D254F6A" w14:textId="77777777" w:rsidTr="00554518">
        <w:trPr>
          <w:cantSplit/>
          <w:trHeight w:val="56"/>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29233DF6"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Severity:</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480CC66E"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Moderate to severe</w:t>
            </w:r>
          </w:p>
        </w:tc>
      </w:tr>
      <w:tr w:rsidR="008676D3" w:rsidRPr="0006376F" w14:paraId="520B4608" w14:textId="77777777" w:rsidTr="00554518">
        <w:trPr>
          <w:cantSplit/>
          <w:trHeight w:val="20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0B646D1A"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Condition:</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26BA3EE3" w14:textId="77777777" w:rsidR="008676D3" w:rsidRPr="0006376F" w:rsidRDefault="008676D3" w:rsidP="008676D3">
            <w:pPr>
              <w:rPr>
                <w:rFonts w:ascii="Arial Narrow" w:hAnsi="Arial Narrow" w:cs="Arial"/>
                <w:i/>
                <w:sz w:val="20"/>
                <w:szCs w:val="20"/>
              </w:rPr>
            </w:pPr>
            <w:r w:rsidRPr="0006376F">
              <w:rPr>
                <w:rFonts w:ascii="Arial Narrow" w:hAnsi="Arial Narrow" w:cs="Calibri"/>
                <w:i/>
                <w:sz w:val="20"/>
                <w:szCs w:val="20"/>
              </w:rPr>
              <w:t xml:space="preserve">Spasticity of the upper limb following an acute event </w:t>
            </w:r>
          </w:p>
        </w:tc>
      </w:tr>
      <w:tr w:rsidR="008676D3" w:rsidRPr="0006376F" w14:paraId="769E8F34" w14:textId="77777777" w:rsidTr="00554518">
        <w:trPr>
          <w:cantSplit/>
          <w:trHeight w:val="105"/>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158A8A42"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PBS Indication:</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7EE6C849" w14:textId="77777777" w:rsidR="008676D3" w:rsidRPr="0006376F" w:rsidRDefault="008676D3" w:rsidP="008676D3">
            <w:pPr>
              <w:rPr>
                <w:rFonts w:ascii="Arial Narrow" w:hAnsi="Arial Narrow" w:cs="Arial"/>
                <w:i/>
                <w:sz w:val="20"/>
                <w:szCs w:val="20"/>
              </w:rPr>
            </w:pPr>
            <w:r w:rsidRPr="0006376F">
              <w:rPr>
                <w:rFonts w:ascii="Arial Narrow" w:hAnsi="Arial Narrow" w:cs="Arial"/>
                <w:i/>
                <w:sz w:val="20"/>
                <w:szCs w:val="20"/>
              </w:rPr>
              <w:t>Moderate to severe</w:t>
            </w:r>
            <w:r w:rsidRPr="0006376F">
              <w:rPr>
                <w:rFonts w:ascii="Arial Narrow" w:hAnsi="Arial Narrow" w:cs="Calibri"/>
                <w:i/>
                <w:sz w:val="20"/>
                <w:szCs w:val="20"/>
              </w:rPr>
              <w:t xml:space="preserve"> spasticity of the upper limb following an acute event </w:t>
            </w:r>
          </w:p>
        </w:tc>
      </w:tr>
      <w:tr w:rsidR="008676D3" w:rsidRPr="007E2D3C" w14:paraId="7838D554" w14:textId="77777777" w:rsidTr="00554518">
        <w:trPr>
          <w:cantSplit/>
          <w:trHeight w:val="15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3BE8B34E" w14:textId="7E3E20C9"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Treatment phase</w:t>
            </w:r>
            <w:r w:rsidR="00554518">
              <w:rPr>
                <w:rFonts w:ascii="Arial Narrow" w:hAnsi="Arial Narrow" w:cs="Arial"/>
                <w:b/>
                <w:i/>
                <w:sz w:val="20"/>
                <w:szCs w:val="20"/>
              </w:rPr>
              <w:t>:</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69338316"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Grandfathered treatment</w:t>
            </w:r>
          </w:p>
        </w:tc>
      </w:tr>
      <w:tr w:rsidR="008676D3" w:rsidRPr="007E2D3C" w14:paraId="58DBA5EF" w14:textId="77777777" w:rsidTr="00554518">
        <w:trPr>
          <w:cantSplit/>
          <w:trHeight w:val="196"/>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375CFEC3" w14:textId="16F7834E" w:rsidR="008676D3" w:rsidRPr="007E2D3C" w:rsidRDefault="008676D3" w:rsidP="00554518">
            <w:pPr>
              <w:rPr>
                <w:rFonts w:ascii="Arial Narrow" w:hAnsi="Arial Narrow" w:cs="Arial"/>
                <w:i/>
                <w:sz w:val="20"/>
                <w:szCs w:val="20"/>
              </w:rPr>
            </w:pPr>
            <w:r>
              <w:rPr>
                <w:rFonts w:ascii="Arial Narrow" w:hAnsi="Arial Narrow" w:cs="Arial"/>
                <w:b/>
                <w:i/>
                <w:sz w:val="20"/>
                <w:szCs w:val="20"/>
              </w:rPr>
              <w:t xml:space="preserve">Restriction </w:t>
            </w:r>
            <w:r w:rsidR="00554518">
              <w:rPr>
                <w:rFonts w:ascii="Arial Narrow" w:hAnsi="Arial Narrow" w:cs="Arial"/>
                <w:b/>
                <w:i/>
                <w:sz w:val="20"/>
                <w:szCs w:val="20"/>
              </w:rPr>
              <w:t>l</w:t>
            </w:r>
            <w:r>
              <w:rPr>
                <w:rFonts w:ascii="Arial Narrow" w:hAnsi="Arial Narrow" w:cs="Arial"/>
                <w:b/>
                <w:i/>
                <w:sz w:val="20"/>
                <w:szCs w:val="20"/>
              </w:rPr>
              <w:t>evel</w:t>
            </w:r>
            <w:r w:rsidR="00554518">
              <w:rPr>
                <w:rFonts w:ascii="Arial Narrow" w:hAnsi="Arial Narrow" w:cs="Arial"/>
                <w:b/>
                <w:i/>
                <w:sz w:val="20"/>
                <w:szCs w:val="20"/>
              </w:rPr>
              <w:t>:</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05A65370"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fldChar w:fldCharType="begin">
                <w:ffData>
                  <w:name w:val="Check5"/>
                  <w:enabled/>
                  <w:calcOnExit w:val="0"/>
                  <w:checkBox>
                    <w:sizeAuto/>
                    <w:default w:val="1"/>
                  </w:checkBox>
                </w:ffData>
              </w:fldChar>
            </w:r>
            <w:r w:rsidRPr="007E2D3C">
              <w:rPr>
                <w:rFonts w:ascii="Arial Narrow" w:hAnsi="Arial Narrow" w:cs="Arial"/>
                <w:i/>
                <w:sz w:val="20"/>
                <w:szCs w:val="20"/>
              </w:rPr>
              <w:instrText xml:space="preserve"> FORMCHECKBOX </w:instrText>
            </w:r>
            <w:r w:rsidR="00753600">
              <w:rPr>
                <w:rFonts w:ascii="Arial Narrow" w:hAnsi="Arial Narrow" w:cs="Arial"/>
                <w:i/>
                <w:sz w:val="20"/>
                <w:szCs w:val="20"/>
              </w:rPr>
            </w:r>
            <w:r w:rsidR="00753600">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Streamlined</w:t>
            </w:r>
          </w:p>
        </w:tc>
      </w:tr>
      <w:tr w:rsidR="008676D3" w:rsidRPr="007E2D3C" w14:paraId="787AF7F9" w14:textId="77777777" w:rsidTr="00554518">
        <w:trPr>
          <w:cantSplit/>
          <w:trHeight w:val="4352"/>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7D79AF24"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lastRenderedPageBreak/>
              <w:t>Clinical criteria:</w:t>
            </w:r>
          </w:p>
          <w:p w14:paraId="4040F8CE" w14:textId="77777777" w:rsidR="008676D3" w:rsidRPr="007E2D3C" w:rsidRDefault="008676D3" w:rsidP="008676D3">
            <w:pPr>
              <w:jc w:val="both"/>
              <w:rPr>
                <w:rFonts w:ascii="Arial Narrow" w:hAnsi="Arial Narrow" w:cs="Arial"/>
                <w:b/>
                <w:i/>
                <w:sz w:val="20"/>
                <w:szCs w:val="20"/>
              </w:rPr>
            </w:pP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1795D313"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Patient must have previously received non-PBS subsidised treatment with this drug for this condition prior to [PBS listing date]</w:t>
            </w:r>
          </w:p>
          <w:p w14:paraId="69CF4A61"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AND</w:t>
            </w:r>
          </w:p>
          <w:p w14:paraId="721F49FA" w14:textId="77777777" w:rsidR="00554518" w:rsidRDefault="00773AB8" w:rsidP="008676D3">
            <w:pPr>
              <w:rPr>
                <w:rFonts w:ascii="Arial Narrow" w:hAnsi="Arial Narrow" w:cs="Arial"/>
                <w:i/>
                <w:sz w:val="20"/>
                <w:szCs w:val="20"/>
              </w:rPr>
            </w:pPr>
            <w:r w:rsidRPr="00773AB8">
              <w:rPr>
                <w:rFonts w:ascii="Arial Narrow" w:hAnsi="Arial Narrow" w:cs="Arial"/>
                <w:i/>
                <w:sz w:val="20"/>
                <w:szCs w:val="20"/>
              </w:rPr>
              <w:t>The condition must have been moderate to severe spasticity of the upper limb/s following an acute event, defined as a Modified Ashworth Scale rating of 3 or more prior to commenci</w:t>
            </w:r>
            <w:r w:rsidR="00554518">
              <w:rPr>
                <w:rFonts w:ascii="Arial Narrow" w:hAnsi="Arial Narrow" w:cs="Arial"/>
                <w:i/>
                <w:sz w:val="20"/>
                <w:szCs w:val="20"/>
              </w:rPr>
              <w:t>ng non-PBS subsidised treatment</w:t>
            </w:r>
          </w:p>
          <w:p w14:paraId="5B427D77" w14:textId="754EFBD0"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AND</w:t>
            </w:r>
          </w:p>
          <w:p w14:paraId="20D432BF"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The treatment must only be used as second line therapy when standard management has failed; OR</w:t>
            </w:r>
          </w:p>
          <w:p w14:paraId="07AB8E2D"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The treatment must only be used as an adjunct to physical therapy,</w:t>
            </w:r>
          </w:p>
          <w:p w14:paraId="5B79FE15"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AND</w:t>
            </w:r>
          </w:p>
          <w:p w14:paraId="72154C22"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The treatment must not continue if the patient does not respond (defined as not having had a decrease in spasticity rating greater than 1, using the Modified Ashworth Scale, in at least one joint) after two treatment periods (with any botulinum toxin type A)</w:t>
            </w:r>
          </w:p>
          <w:p w14:paraId="3616B2C2"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AND</w:t>
            </w:r>
          </w:p>
          <w:p w14:paraId="1FD48070"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The treatment must not exceed a maximum of 4 treatment periods (with any botulinum toxin type A) per upper limb in the first year of treatment, and 2 treatment periods (with any botulinum toxin type A) per upper limb each year thereafter.</w:t>
            </w:r>
          </w:p>
          <w:p w14:paraId="365018DD"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AND</w:t>
            </w:r>
          </w:p>
          <w:p w14:paraId="39D69766"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Patient must not have established severe contracture in the limb to be treated.</w:t>
            </w:r>
          </w:p>
        </w:tc>
        <w:bookmarkStart w:id="1" w:name="_GoBack"/>
        <w:bookmarkEnd w:id="1"/>
      </w:tr>
      <w:tr w:rsidR="008676D3" w:rsidRPr="007E2D3C" w14:paraId="422438ED" w14:textId="77777777" w:rsidTr="00554518">
        <w:trPr>
          <w:cantSplit/>
          <w:trHeight w:val="27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2087F615"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Population criteria:</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1AF84964"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Patient must be aged 18 years or older.</w:t>
            </w:r>
          </w:p>
        </w:tc>
      </w:tr>
      <w:tr w:rsidR="008676D3" w:rsidRPr="007E2D3C" w14:paraId="0FD64F04" w14:textId="77777777" w:rsidTr="00554518">
        <w:trPr>
          <w:cantSplit/>
          <w:trHeight w:val="36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02A8AD66" w14:textId="77777777" w:rsidR="008676D3" w:rsidRPr="007E2D3C" w:rsidRDefault="008676D3" w:rsidP="008676D3">
            <w:pPr>
              <w:rPr>
                <w:rFonts w:ascii="Arial Narrow" w:hAnsi="Arial Narrow" w:cs="Arial"/>
                <w:b/>
                <w:i/>
                <w:sz w:val="20"/>
                <w:szCs w:val="20"/>
              </w:rPr>
            </w:pPr>
            <w:r w:rsidRPr="007E2D3C">
              <w:rPr>
                <w:rFonts w:ascii="Arial Narrow" w:hAnsi="Arial Narrow" w:cs="Arial"/>
                <w:b/>
                <w:i/>
                <w:sz w:val="20"/>
                <w:szCs w:val="20"/>
              </w:rPr>
              <w:t>Treatment criteria:</w:t>
            </w:r>
          </w:p>
          <w:p w14:paraId="1C10D89B" w14:textId="77777777" w:rsidR="008676D3" w:rsidRPr="007E2D3C" w:rsidRDefault="008676D3" w:rsidP="008676D3">
            <w:pPr>
              <w:jc w:val="both"/>
              <w:rPr>
                <w:rFonts w:ascii="Arial Narrow" w:hAnsi="Arial Narrow" w:cs="Arial"/>
                <w:b/>
                <w:i/>
                <w:sz w:val="20"/>
                <w:szCs w:val="20"/>
              </w:rPr>
            </w:pP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4D526EC7"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Must be treated by a neurologist; OR</w:t>
            </w:r>
          </w:p>
          <w:p w14:paraId="6E70A92C"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Must be treated by an orthopaedic surgeon; OR</w:t>
            </w:r>
          </w:p>
          <w:p w14:paraId="7316F7DD"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Must be treated by a rehabilitation specialist; OR</w:t>
            </w:r>
          </w:p>
          <w:p w14:paraId="532FD54A"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Must be treated by a plastic surgeon; OR</w:t>
            </w:r>
          </w:p>
          <w:p w14:paraId="6D166966"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Must be treated by a geriatrician.</w:t>
            </w:r>
          </w:p>
        </w:tc>
      </w:tr>
      <w:tr w:rsidR="008676D3" w:rsidRPr="007E2D3C" w14:paraId="2125221E" w14:textId="77777777" w:rsidTr="00554518">
        <w:trPr>
          <w:cantSplit/>
          <w:trHeight w:val="38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2BA201BB" w14:textId="3169DEF8" w:rsidR="008676D3" w:rsidRPr="003803B2" w:rsidRDefault="008676D3" w:rsidP="008676D3">
            <w:pPr>
              <w:jc w:val="both"/>
              <w:rPr>
                <w:rFonts w:ascii="Arial Narrow" w:hAnsi="Arial Narrow" w:cs="Arial"/>
                <w:b/>
                <w:i/>
                <w:sz w:val="20"/>
                <w:szCs w:val="20"/>
              </w:rPr>
            </w:pPr>
            <w:r w:rsidRPr="007E2D3C">
              <w:rPr>
                <w:rFonts w:ascii="Arial Narrow" w:hAnsi="Arial Narrow" w:cs="Arial"/>
                <w:b/>
                <w:i/>
                <w:sz w:val="20"/>
                <w:szCs w:val="20"/>
              </w:rPr>
              <w:t>Prescriber Instructions</w:t>
            </w:r>
            <w:r w:rsidR="00554518">
              <w:rPr>
                <w:rFonts w:ascii="Arial Narrow" w:hAnsi="Arial Narrow" w:cs="Arial"/>
                <w:b/>
                <w:i/>
                <w:sz w:val="20"/>
                <w:szCs w:val="20"/>
              </w:rPr>
              <w:t>:</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01291C08" w14:textId="77777777" w:rsidR="008676D3" w:rsidRPr="007E2D3C" w:rsidRDefault="008676D3" w:rsidP="008676D3">
            <w:pPr>
              <w:autoSpaceDE w:val="0"/>
              <w:autoSpaceDN w:val="0"/>
              <w:adjustRightInd w:val="0"/>
              <w:rPr>
                <w:rFonts w:ascii="Arial Narrow" w:hAnsi="Arial Narrow"/>
                <w:i/>
                <w:sz w:val="20"/>
                <w:szCs w:val="20"/>
              </w:rPr>
            </w:pPr>
            <w:r w:rsidRPr="007E2D3C">
              <w:rPr>
                <w:rFonts w:ascii="Arial Narrow" w:hAnsi="Arial Narrow"/>
                <w:i/>
                <w:sz w:val="20"/>
                <w:szCs w:val="20"/>
              </w:rPr>
              <w:t>Standard management includes physiotherapy and/or oral spasticity agents.</w:t>
            </w:r>
          </w:p>
        </w:tc>
      </w:tr>
      <w:tr w:rsidR="008676D3" w:rsidRPr="007E2D3C" w14:paraId="15C551A1" w14:textId="77777777" w:rsidTr="00554518">
        <w:trPr>
          <w:cantSplit/>
          <w:trHeight w:val="36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289AB01E"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Administrative Advice:</w:t>
            </w:r>
          </w:p>
          <w:p w14:paraId="51633E5C" w14:textId="77777777" w:rsidR="008676D3" w:rsidRPr="007E2D3C" w:rsidRDefault="008676D3" w:rsidP="008676D3">
            <w:pPr>
              <w:jc w:val="both"/>
              <w:rPr>
                <w:rFonts w:ascii="Arial Narrow" w:hAnsi="Arial Narrow" w:cs="Arial"/>
                <w:i/>
                <w:sz w:val="20"/>
                <w:szCs w:val="20"/>
              </w:rPr>
            </w:pP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675C2E3E"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The units used to express the potency of botulinum toxin preparations currently available for PBS subsidy are not equivalent.</w:t>
            </w:r>
          </w:p>
          <w:p w14:paraId="5666E85F" w14:textId="77777777" w:rsidR="008676D3" w:rsidRPr="007E2D3C" w:rsidRDefault="008676D3" w:rsidP="008676D3">
            <w:pPr>
              <w:rPr>
                <w:rFonts w:ascii="Arial Narrow" w:hAnsi="Arial Narrow" w:cs="Arial"/>
                <w:i/>
                <w:sz w:val="20"/>
                <w:szCs w:val="20"/>
              </w:rPr>
            </w:pPr>
          </w:p>
          <w:p w14:paraId="44ED7B46"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An acute event may be a clinical or external event that leads to upper motor neuron lesions resulting in spasticity for example, these may be stroke, traumatic brain injury, spinal cord injury, infection or hypoxia.</w:t>
            </w:r>
          </w:p>
          <w:p w14:paraId="659F0272" w14:textId="77777777" w:rsidR="008676D3" w:rsidRPr="007E2D3C" w:rsidRDefault="008676D3" w:rsidP="008676D3">
            <w:pPr>
              <w:rPr>
                <w:rFonts w:ascii="Arial Narrow" w:hAnsi="Arial Narrow" w:cs="Arial"/>
                <w:i/>
                <w:sz w:val="20"/>
                <w:szCs w:val="20"/>
              </w:rPr>
            </w:pPr>
          </w:p>
          <w:p w14:paraId="202DBD56"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Special Pricing Arrangements apply.</w:t>
            </w:r>
          </w:p>
        </w:tc>
      </w:tr>
      <w:tr w:rsidR="008676D3" w:rsidRPr="007E2D3C" w14:paraId="15B61AA8" w14:textId="77777777" w:rsidTr="00554518">
        <w:trPr>
          <w:cantSplit/>
          <w:trHeight w:val="56"/>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4DD9489B" w14:textId="77777777" w:rsidR="008676D3" w:rsidRPr="007E2D3C" w:rsidRDefault="008676D3" w:rsidP="008676D3">
            <w:pPr>
              <w:jc w:val="both"/>
              <w:rPr>
                <w:rFonts w:ascii="Arial Narrow" w:hAnsi="Arial Narrow" w:cs="Arial"/>
                <w:b/>
                <w:i/>
                <w:sz w:val="20"/>
                <w:szCs w:val="20"/>
              </w:rPr>
            </w:pPr>
            <w:r w:rsidRPr="007E2D3C">
              <w:rPr>
                <w:rFonts w:ascii="Arial Narrow" w:hAnsi="Arial Narrow" w:cs="Arial"/>
                <w:b/>
                <w:i/>
                <w:sz w:val="20"/>
                <w:szCs w:val="20"/>
              </w:rPr>
              <w:t>Cautions:</w:t>
            </w:r>
          </w:p>
        </w:tc>
        <w:tc>
          <w:tcPr>
            <w:tcW w:w="7366" w:type="dxa"/>
            <w:tcBorders>
              <w:top w:val="single" w:sz="4" w:space="0" w:color="auto"/>
              <w:left w:val="single" w:sz="4" w:space="0" w:color="auto"/>
              <w:bottom w:val="single" w:sz="4" w:space="0" w:color="auto"/>
              <w:right w:val="single" w:sz="4" w:space="0" w:color="auto"/>
            </w:tcBorders>
            <w:tcMar>
              <w:left w:w="28" w:type="dxa"/>
              <w:right w:w="28" w:type="dxa"/>
            </w:tcMar>
          </w:tcPr>
          <w:p w14:paraId="23C34837" w14:textId="77777777" w:rsidR="008676D3" w:rsidRPr="007E2D3C" w:rsidRDefault="008676D3" w:rsidP="008676D3">
            <w:pPr>
              <w:rPr>
                <w:rFonts w:ascii="Arial Narrow" w:hAnsi="Arial Narrow" w:cs="Arial"/>
                <w:i/>
                <w:sz w:val="20"/>
                <w:szCs w:val="20"/>
              </w:rPr>
            </w:pPr>
            <w:r w:rsidRPr="007E2D3C">
              <w:rPr>
                <w:rFonts w:ascii="Arial Narrow" w:hAnsi="Arial Narrow" w:cs="Arial"/>
                <w:i/>
                <w:sz w:val="20"/>
                <w:szCs w:val="20"/>
              </w:rPr>
              <w:t>Contraindications to treatment include known sensitivity to botulinum toxin.</w:t>
            </w:r>
          </w:p>
        </w:tc>
      </w:tr>
    </w:tbl>
    <w:p w14:paraId="1AF27D00" w14:textId="77777777" w:rsidR="008676D3" w:rsidRDefault="008676D3" w:rsidP="009324A6">
      <w:pPr>
        <w:spacing w:after="120"/>
        <w:jc w:val="both"/>
        <w:rPr>
          <w:rFonts w:asciiTheme="minorHAnsi" w:eastAsiaTheme="minorHAnsi" w:hAnsiTheme="minorHAnsi" w:cstheme="minorBidi"/>
          <w:b/>
          <w:i/>
          <w:color w:val="000000" w:themeColor="text1"/>
          <w:lang w:eastAsia="en-US"/>
        </w:rPr>
      </w:pPr>
    </w:p>
    <w:p w14:paraId="3BD716CD" w14:textId="57405414" w:rsidR="007F5DA4" w:rsidRPr="00E72446" w:rsidRDefault="007F5DA4" w:rsidP="00E72446">
      <w:pPr>
        <w:pStyle w:val="Heading2"/>
        <w:spacing w:after="120"/>
        <w:rPr>
          <w:rFonts w:asciiTheme="minorHAnsi" w:hAnsiTheme="minorHAnsi" w:cstheme="minorHAnsi"/>
          <w:sz w:val="28"/>
          <w:szCs w:val="28"/>
        </w:rPr>
      </w:pPr>
      <w:r w:rsidRPr="00E72446">
        <w:rPr>
          <w:rFonts w:asciiTheme="minorHAnsi" w:hAnsiTheme="minorHAnsi" w:cstheme="minorHAnsi"/>
          <w:sz w:val="28"/>
          <w:szCs w:val="28"/>
        </w:rPr>
        <w:t>MBS restriction</w:t>
      </w:r>
    </w:p>
    <w:p w14:paraId="6EA7AB59" w14:textId="624FA4F2" w:rsidR="00702918" w:rsidRPr="00702918" w:rsidRDefault="00702918" w:rsidP="007F5DA4">
      <w:pPr>
        <w:pStyle w:val="3Bodytext"/>
        <w:jc w:val="both"/>
      </w:pPr>
      <w:r w:rsidRPr="00702918">
        <w:t xml:space="preserve">The pre-PABC response stated that in the event of a positive PBAC recommendation, the sponsor would submit an application to </w:t>
      </w:r>
      <w:r w:rsidR="00B67E1E">
        <w:t>the MSAC proposing changes to</w:t>
      </w:r>
      <w:r w:rsidRPr="00702918">
        <w:t xml:space="preserve"> MBS item 18365 to allow </w:t>
      </w:r>
      <w:proofErr w:type="spellStart"/>
      <w:r w:rsidRPr="00702918">
        <w:t>Xeomin</w:t>
      </w:r>
      <w:proofErr w:type="spellEnd"/>
      <w:r w:rsidRPr="00702918">
        <w:rPr>
          <w:rFonts w:cstheme="minorHAnsi"/>
        </w:rPr>
        <w:t>®</w:t>
      </w:r>
      <w:r w:rsidRPr="00702918">
        <w:t xml:space="preserve"> administration.</w:t>
      </w:r>
    </w:p>
    <w:p w14:paraId="16B8C726" w14:textId="18CC3F5E" w:rsidR="007F5DA4" w:rsidRPr="00C81663" w:rsidRDefault="00495079" w:rsidP="007F5DA4">
      <w:pPr>
        <w:pStyle w:val="3Bodytext"/>
        <w:jc w:val="both"/>
        <w:rPr>
          <w:b/>
          <w:color w:val="FF00FF"/>
        </w:rPr>
      </w:pPr>
      <w:r>
        <w:t>The PBAC noted that a</w:t>
      </w:r>
      <w:r w:rsidR="004A7807">
        <w:t xml:space="preserve"> MSAC application concerning </w:t>
      </w:r>
      <w:r w:rsidR="007F5DA4" w:rsidRPr="00C81663">
        <w:t xml:space="preserve">MBS item 18365 </w:t>
      </w:r>
      <w:r w:rsidR="004A7807">
        <w:t>addressing the</w:t>
      </w:r>
      <w:r w:rsidR="007F5DA4" w:rsidRPr="00C81663">
        <w:t xml:space="preserve"> corresponding changes </w:t>
      </w:r>
      <w:r w:rsidR="00BF0190">
        <w:t xml:space="preserve">to PBS listing </w:t>
      </w:r>
      <w:r w:rsidR="007F5DA4" w:rsidRPr="00C81663">
        <w:t xml:space="preserve">to allow administration of </w:t>
      </w:r>
      <w:proofErr w:type="spellStart"/>
      <w:r w:rsidR="007F5DA4" w:rsidRPr="00C81663">
        <w:t>Xeomin</w:t>
      </w:r>
      <w:proofErr w:type="spellEnd"/>
      <w:r w:rsidR="007F5DA4" w:rsidRPr="00C81663">
        <w:rPr>
          <w:rFonts w:cstheme="minorHAnsi"/>
        </w:rPr>
        <w:t>®</w:t>
      </w:r>
      <w:r w:rsidR="007F5DA4" w:rsidRPr="00C81663">
        <w:t xml:space="preserve"> following an acute event</w:t>
      </w:r>
      <w:r w:rsidR="004A7807">
        <w:t xml:space="preserve"> is required</w:t>
      </w:r>
      <w:r>
        <w:t xml:space="preserve"> and considered that c</w:t>
      </w:r>
      <w:r w:rsidR="004A7807">
        <w:t>hanges to the PBS and MBS listing would have to be implemented on the same date.</w:t>
      </w:r>
    </w:p>
    <w:p w14:paraId="52872523" w14:textId="1E8707A2" w:rsidR="00B167E9" w:rsidRPr="00C81663" w:rsidRDefault="00B167E9" w:rsidP="00B167E9">
      <w:pPr>
        <w:pStyle w:val="3Bodytext"/>
        <w:numPr>
          <w:ilvl w:val="0"/>
          <w:numId w:val="0"/>
        </w:numPr>
        <w:ind w:left="720"/>
        <w:rPr>
          <w:i/>
        </w:rPr>
      </w:pPr>
      <w:r>
        <w:t xml:space="preserve"> </w:t>
      </w:r>
      <w:r>
        <w:rPr>
          <w:i/>
        </w:rPr>
        <w:t>Fo</w:t>
      </w:r>
      <w:r w:rsidRPr="00DF2235">
        <w:rPr>
          <w:i/>
        </w:rPr>
        <w:t xml:space="preserve">r more detail on PBAC’s view, see section </w:t>
      </w:r>
      <w:r>
        <w:rPr>
          <w:i/>
        </w:rPr>
        <w:t>6</w:t>
      </w:r>
      <w:r w:rsidRPr="00DF2235">
        <w:rPr>
          <w:i/>
        </w:rPr>
        <w:t xml:space="preserve"> PBAC outcome.</w:t>
      </w:r>
    </w:p>
    <w:p w14:paraId="63EBB68B" w14:textId="0BC3A9D5" w:rsidR="00300B1B" w:rsidRPr="00D86251" w:rsidRDefault="005A3173" w:rsidP="009472BF">
      <w:pPr>
        <w:pStyle w:val="2Sections"/>
        <w:keepNext/>
        <w:rPr>
          <w:color w:val="FF0000"/>
        </w:rPr>
      </w:pPr>
      <w:r w:rsidRPr="003C2FB5">
        <w:lastRenderedPageBreak/>
        <w:t>Comparator</w:t>
      </w:r>
      <w:r w:rsidR="0099465B">
        <w:t xml:space="preserve"> </w:t>
      </w:r>
    </w:p>
    <w:p w14:paraId="45927F5E" w14:textId="0A5C1209" w:rsidR="00554518" w:rsidRPr="00554518" w:rsidRDefault="00FF2801" w:rsidP="00554518">
      <w:pPr>
        <w:pStyle w:val="Bodytextitalics"/>
        <w:jc w:val="both"/>
        <w:rPr>
          <w:i w:val="0"/>
        </w:rPr>
      </w:pPr>
      <w:r w:rsidRPr="00554518">
        <w:rPr>
          <w:i w:val="0"/>
        </w:rPr>
        <w:t>The minor submission nominated</w:t>
      </w:r>
      <w:r w:rsidR="00CB1193" w:rsidRPr="00554518">
        <w:rPr>
          <w:i w:val="0"/>
        </w:rPr>
        <w:t xml:space="preserve"> </w:t>
      </w:r>
      <w:proofErr w:type="spellStart"/>
      <w:r w:rsidR="00D86251" w:rsidRPr="00554518">
        <w:rPr>
          <w:i w:val="0"/>
        </w:rPr>
        <w:t>Dysport</w:t>
      </w:r>
      <w:proofErr w:type="spellEnd"/>
      <w:r w:rsidR="00D86251" w:rsidRPr="00554518">
        <w:rPr>
          <w:i w:val="0"/>
        </w:rPr>
        <w:t>®</w:t>
      </w:r>
      <w:r w:rsidR="00CB1193" w:rsidRPr="00554518">
        <w:rPr>
          <w:i w:val="0"/>
        </w:rPr>
        <w:t xml:space="preserve"> as the main comparator</w:t>
      </w:r>
      <w:r w:rsidR="00476245" w:rsidRPr="00554518">
        <w:rPr>
          <w:i w:val="0"/>
        </w:rPr>
        <w:t>.</w:t>
      </w:r>
      <w:r w:rsidR="004904B9" w:rsidRPr="00554518">
        <w:rPr>
          <w:i w:val="0"/>
        </w:rPr>
        <w:t xml:space="preserve"> </w:t>
      </w:r>
      <w:r w:rsidR="009472BF" w:rsidRPr="00554518">
        <w:rPr>
          <w:i w:val="0"/>
        </w:rPr>
        <w:t xml:space="preserve">This </w:t>
      </w:r>
      <w:r w:rsidR="00554518" w:rsidRPr="00554518">
        <w:rPr>
          <w:i w:val="0"/>
        </w:rPr>
        <w:t>wa</w:t>
      </w:r>
      <w:r w:rsidR="009472BF" w:rsidRPr="00554518">
        <w:rPr>
          <w:i w:val="0"/>
        </w:rPr>
        <w:t xml:space="preserve">s appropriate as BOTOX® and </w:t>
      </w:r>
      <w:proofErr w:type="spellStart"/>
      <w:r w:rsidR="009472BF" w:rsidRPr="00554518">
        <w:rPr>
          <w:i w:val="0"/>
        </w:rPr>
        <w:t>Dysport</w:t>
      </w:r>
      <w:proofErr w:type="spellEnd"/>
      <w:r w:rsidR="009472BF" w:rsidRPr="00554518">
        <w:rPr>
          <w:i w:val="0"/>
        </w:rPr>
        <w:t>® are used in the same place in the clinical management algorithm.</w:t>
      </w:r>
      <w:r w:rsidR="00B167E9" w:rsidRPr="00554518">
        <w:rPr>
          <w:i w:val="0"/>
        </w:rPr>
        <w:t xml:space="preserve"> </w:t>
      </w:r>
    </w:p>
    <w:p w14:paraId="78F2BEE3" w14:textId="415DC670" w:rsidR="000B44C3" w:rsidRPr="00C81663" w:rsidRDefault="00B167E9" w:rsidP="00554518">
      <w:pPr>
        <w:pStyle w:val="Bodytextitalics"/>
        <w:numPr>
          <w:ilvl w:val="0"/>
          <w:numId w:val="0"/>
        </w:numPr>
        <w:ind w:left="720"/>
      </w:pPr>
      <w:r>
        <w:t>Fo</w:t>
      </w:r>
      <w:r w:rsidRPr="00DF2235">
        <w:t xml:space="preserve">r more detail on PBAC’s view, see section </w:t>
      </w:r>
      <w:r>
        <w:t>6</w:t>
      </w:r>
      <w:r w:rsidRPr="00DF2235">
        <w:t xml:space="preserve"> PBAC outcome.</w:t>
      </w:r>
    </w:p>
    <w:p w14:paraId="186D2001" w14:textId="77777777" w:rsidR="000B558D" w:rsidRPr="003C2FB5" w:rsidRDefault="008D7A41" w:rsidP="00FE1129">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14:paraId="43CBAD3C" w14:textId="77777777" w:rsidR="00BF0190" w:rsidRPr="00836F75" w:rsidRDefault="00BF0190" w:rsidP="00BF0190">
      <w:pPr>
        <w:pStyle w:val="Heading2"/>
        <w:keepLines/>
        <w:spacing w:before="240" w:after="120"/>
        <w:rPr>
          <w:rFonts w:asciiTheme="minorHAnsi" w:hAnsiTheme="minorHAnsi" w:cs="Arial"/>
          <w:b w:val="0"/>
          <w:bCs/>
          <w:i w:val="0"/>
          <w:snapToGrid w:val="0"/>
          <w:sz w:val="28"/>
          <w:szCs w:val="28"/>
        </w:rPr>
      </w:pPr>
      <w:r w:rsidRPr="00DF2235">
        <w:rPr>
          <w:rFonts w:asciiTheme="minorHAnsi" w:eastAsiaTheme="majorEastAsia" w:hAnsiTheme="minorHAnsi" w:cstheme="majorBidi"/>
          <w:sz w:val="28"/>
          <w:szCs w:val="28"/>
          <w:lang w:eastAsia="en-US"/>
        </w:rPr>
        <w:t>Sponsor</w:t>
      </w:r>
      <w:r w:rsidRPr="00836F75">
        <w:rPr>
          <w:rFonts w:asciiTheme="minorHAnsi" w:hAnsiTheme="minorHAnsi" w:cs="Arial"/>
          <w:bCs/>
          <w:snapToGrid w:val="0"/>
          <w:sz w:val="28"/>
          <w:szCs w:val="28"/>
        </w:rPr>
        <w:t xml:space="preserve"> hearing</w:t>
      </w:r>
    </w:p>
    <w:p w14:paraId="77C1BD72" w14:textId="77777777" w:rsidR="00BF0190" w:rsidRPr="00D07D92" w:rsidRDefault="00BF0190" w:rsidP="00BF0190">
      <w:pPr>
        <w:widowControl w:val="0"/>
        <w:numPr>
          <w:ilvl w:val="1"/>
          <w:numId w:val="1"/>
        </w:numPr>
        <w:spacing w:after="120"/>
        <w:jc w:val="both"/>
        <w:rPr>
          <w:rFonts w:asciiTheme="minorHAnsi" w:hAnsiTheme="minorHAnsi" w:cs="Arial"/>
          <w:bCs/>
          <w:snapToGrid w:val="0"/>
        </w:rPr>
      </w:pPr>
      <w:r w:rsidRPr="00E20C81">
        <w:rPr>
          <w:rFonts w:asciiTheme="minorHAnsi" w:hAnsiTheme="minorHAnsi" w:cs="Arial"/>
          <w:bCs/>
          <w:snapToGrid w:val="0"/>
        </w:rPr>
        <w:t>There was no hearing for this ite</w:t>
      </w:r>
      <w:r>
        <w:rPr>
          <w:rFonts w:asciiTheme="minorHAnsi" w:hAnsiTheme="minorHAnsi" w:cs="Arial"/>
          <w:bCs/>
          <w:snapToGrid w:val="0"/>
        </w:rPr>
        <w:t>m as it was a minor submission.</w:t>
      </w:r>
    </w:p>
    <w:p w14:paraId="5E8DB8C5" w14:textId="77777777" w:rsidR="00BF0190" w:rsidRPr="00836F75" w:rsidRDefault="00BF0190" w:rsidP="00BF0190">
      <w:pPr>
        <w:pStyle w:val="Heading2"/>
        <w:keepLines/>
        <w:spacing w:before="240" w:after="120"/>
        <w:rPr>
          <w:rFonts w:asciiTheme="minorHAnsi" w:hAnsiTheme="minorHAnsi" w:cs="Arial"/>
          <w:b w:val="0"/>
          <w:bCs/>
          <w:i w:val="0"/>
          <w:snapToGrid w:val="0"/>
          <w:sz w:val="28"/>
          <w:szCs w:val="28"/>
        </w:rPr>
      </w:pPr>
      <w:r w:rsidRPr="00DF2235">
        <w:rPr>
          <w:rFonts w:asciiTheme="minorHAnsi" w:eastAsiaTheme="majorEastAsia" w:hAnsiTheme="minorHAnsi" w:cstheme="majorBidi"/>
          <w:sz w:val="28"/>
          <w:szCs w:val="28"/>
          <w:lang w:eastAsia="en-US"/>
        </w:rPr>
        <w:t>Consumer</w:t>
      </w:r>
      <w:r w:rsidRPr="00836F75">
        <w:rPr>
          <w:rFonts w:asciiTheme="minorHAnsi" w:hAnsiTheme="minorHAnsi" w:cs="Arial"/>
          <w:bCs/>
          <w:snapToGrid w:val="0"/>
          <w:sz w:val="28"/>
          <w:szCs w:val="28"/>
        </w:rPr>
        <w:t xml:space="preserve"> comments</w:t>
      </w:r>
    </w:p>
    <w:p w14:paraId="5F7562A8" w14:textId="672F43AF" w:rsidR="00BF0190" w:rsidRPr="00FB1D4D" w:rsidRDefault="00BF0190" w:rsidP="00BF0190">
      <w:pPr>
        <w:pStyle w:val="3Bodytext"/>
        <w:numPr>
          <w:ilvl w:val="1"/>
          <w:numId w:val="1"/>
        </w:numPr>
        <w:rPr>
          <w:snapToGrid w:val="0"/>
        </w:rPr>
      </w:pPr>
      <w:r w:rsidRPr="00BF0190">
        <w:rPr>
          <w:rFonts w:cs="Arial"/>
          <w:bCs/>
          <w:snapToGrid w:val="0"/>
        </w:rPr>
        <w:t>The</w:t>
      </w:r>
      <w:r w:rsidRPr="00FB1D4D">
        <w:rPr>
          <w:snapToGrid w:val="0"/>
        </w:rPr>
        <w:t xml:space="preserve"> PBAC noted that no consumer comments were received for this item.</w:t>
      </w:r>
    </w:p>
    <w:p w14:paraId="54ABC645" w14:textId="0184D1E8" w:rsidR="00693DFB" w:rsidRPr="00BF0190" w:rsidRDefault="00D84934" w:rsidP="00BF0190">
      <w:pPr>
        <w:pStyle w:val="Heading2"/>
        <w:keepLines/>
        <w:spacing w:before="240" w:after="120"/>
        <w:rPr>
          <w:rFonts w:asciiTheme="minorHAnsi" w:eastAsiaTheme="majorEastAsia" w:hAnsiTheme="minorHAnsi" w:cstheme="majorBidi"/>
          <w:sz w:val="28"/>
          <w:szCs w:val="28"/>
          <w:lang w:eastAsia="en-US"/>
        </w:rPr>
      </w:pPr>
      <w:r w:rsidRPr="00BF0190">
        <w:rPr>
          <w:rFonts w:asciiTheme="minorHAnsi" w:eastAsiaTheme="majorEastAsia" w:hAnsiTheme="minorHAnsi" w:cstheme="majorBidi"/>
          <w:sz w:val="28"/>
          <w:szCs w:val="28"/>
          <w:lang w:eastAsia="en-US"/>
        </w:rPr>
        <w:t>Clinical trials</w:t>
      </w:r>
      <w:r w:rsidR="0099465B" w:rsidRPr="00BF0190">
        <w:rPr>
          <w:rFonts w:asciiTheme="minorHAnsi" w:eastAsiaTheme="majorEastAsia" w:hAnsiTheme="minorHAnsi" w:cstheme="majorBidi"/>
          <w:sz w:val="28"/>
          <w:szCs w:val="28"/>
          <w:lang w:eastAsia="en-US"/>
        </w:rPr>
        <w:t xml:space="preserve"> </w:t>
      </w:r>
    </w:p>
    <w:p w14:paraId="7A787D62" w14:textId="3874D903" w:rsidR="00EC275E" w:rsidRPr="00E53F68" w:rsidRDefault="00980B0E" w:rsidP="00E53F68">
      <w:pPr>
        <w:pStyle w:val="Bodytextitalics"/>
        <w:jc w:val="both"/>
      </w:pPr>
      <w:r w:rsidRPr="00234BD7">
        <w:rPr>
          <w:i w:val="0"/>
        </w:rPr>
        <w:t>The minor submission was based on</w:t>
      </w:r>
      <w:r w:rsidR="00CC6E2A" w:rsidRPr="00234BD7">
        <w:rPr>
          <w:i w:val="0"/>
        </w:rPr>
        <w:t xml:space="preserve"> a naïve comparison </w:t>
      </w:r>
      <w:r w:rsidR="00CA1199">
        <w:rPr>
          <w:i w:val="0"/>
        </w:rPr>
        <w:t>between</w:t>
      </w:r>
      <w:r w:rsidR="00CC6E2A" w:rsidRPr="00234BD7">
        <w:rPr>
          <w:i w:val="0"/>
        </w:rPr>
        <w:t xml:space="preserve"> </w:t>
      </w:r>
      <w:proofErr w:type="spellStart"/>
      <w:r w:rsidR="00371F8F">
        <w:rPr>
          <w:i w:val="0"/>
        </w:rPr>
        <w:t>Xeomin</w:t>
      </w:r>
      <w:proofErr w:type="spellEnd"/>
      <w:r w:rsidR="00CC6E2A" w:rsidRPr="00234BD7">
        <w:rPr>
          <w:i w:val="0"/>
        </w:rPr>
        <w:t>®</w:t>
      </w:r>
      <w:r w:rsidR="00234BD7" w:rsidRPr="00234BD7">
        <w:rPr>
          <w:i w:val="0"/>
        </w:rPr>
        <w:t xml:space="preserve"> </w:t>
      </w:r>
      <w:r w:rsidR="00CA1199">
        <w:rPr>
          <w:i w:val="0"/>
        </w:rPr>
        <w:t>and</w:t>
      </w:r>
      <w:r w:rsidR="00CA1199" w:rsidRPr="00234BD7">
        <w:rPr>
          <w:i w:val="0"/>
        </w:rPr>
        <w:t xml:space="preserve"> </w:t>
      </w:r>
      <w:proofErr w:type="spellStart"/>
      <w:r w:rsidR="00371F8F">
        <w:rPr>
          <w:i w:val="0"/>
        </w:rPr>
        <w:t>Dysport</w:t>
      </w:r>
      <w:proofErr w:type="spellEnd"/>
      <w:r w:rsidR="00D336C8">
        <w:rPr>
          <w:i w:val="0"/>
        </w:rPr>
        <w:t>®</w:t>
      </w:r>
      <w:r w:rsidR="00EC275E">
        <w:rPr>
          <w:i w:val="0"/>
        </w:rPr>
        <w:t xml:space="preserve"> and presented data from:</w:t>
      </w:r>
    </w:p>
    <w:p w14:paraId="4C63A8B1" w14:textId="77777777" w:rsidR="00CA1199" w:rsidRPr="00E53F68" w:rsidRDefault="00CA1199" w:rsidP="00E53F68">
      <w:pPr>
        <w:pStyle w:val="Bodytextitalics"/>
        <w:numPr>
          <w:ilvl w:val="1"/>
          <w:numId w:val="25"/>
        </w:numPr>
        <w:ind w:left="1077" w:hanging="357"/>
        <w:jc w:val="both"/>
        <w:rPr>
          <w:i w:val="0"/>
        </w:rPr>
      </w:pPr>
      <w:r w:rsidRPr="00E53F68">
        <w:rPr>
          <w:i w:val="0"/>
        </w:rPr>
        <w:t xml:space="preserve">The TOWER study: a prospective, open-label, non-randomised titration study of </w:t>
      </w:r>
      <w:proofErr w:type="spellStart"/>
      <w:r w:rsidRPr="00E53F68">
        <w:rPr>
          <w:i w:val="0"/>
        </w:rPr>
        <w:t>Xeomin</w:t>
      </w:r>
      <w:proofErr w:type="spellEnd"/>
      <w:r w:rsidRPr="00E53F68">
        <w:rPr>
          <w:i w:val="0"/>
        </w:rPr>
        <w:t xml:space="preserve">® conducted over three treatment cycles (N=155); and </w:t>
      </w:r>
    </w:p>
    <w:p w14:paraId="264B7C26" w14:textId="7EA28EA5" w:rsidR="00CA1199" w:rsidRPr="00C81663" w:rsidRDefault="00CA1199" w:rsidP="00E53F68">
      <w:pPr>
        <w:pStyle w:val="Bodytextitalics"/>
        <w:numPr>
          <w:ilvl w:val="1"/>
          <w:numId w:val="25"/>
        </w:numPr>
        <w:ind w:left="1077" w:hanging="357"/>
        <w:jc w:val="both"/>
        <w:rPr>
          <w:i w:val="0"/>
        </w:rPr>
      </w:pPr>
      <w:r w:rsidRPr="00E53F68">
        <w:rPr>
          <w:i w:val="0"/>
        </w:rPr>
        <w:t xml:space="preserve">Study 145: </w:t>
      </w:r>
      <w:r w:rsidRPr="00E53F68">
        <w:rPr>
          <w:i w:val="0"/>
          <w:lang w:val="en-US"/>
        </w:rPr>
        <w:t xml:space="preserve">a </w:t>
      </w:r>
      <w:proofErr w:type="spellStart"/>
      <w:r w:rsidRPr="00E53F68">
        <w:rPr>
          <w:i w:val="0"/>
          <w:lang w:val="en-US"/>
        </w:rPr>
        <w:t>randomised</w:t>
      </w:r>
      <w:proofErr w:type="spellEnd"/>
      <w:r w:rsidRPr="00E53F68">
        <w:rPr>
          <w:i w:val="0"/>
          <w:lang w:val="en-US"/>
        </w:rPr>
        <w:t xml:space="preserve"> controlled trial comparing </w:t>
      </w:r>
      <w:proofErr w:type="spellStart"/>
      <w:r w:rsidRPr="00E53F68">
        <w:rPr>
          <w:i w:val="0"/>
          <w:lang w:val="en-US"/>
        </w:rPr>
        <w:t>Dysport</w:t>
      </w:r>
      <w:proofErr w:type="spellEnd"/>
      <w:r w:rsidRPr="00E53F68">
        <w:rPr>
          <w:i w:val="0"/>
          <w:lang w:val="en-US"/>
        </w:rPr>
        <w:t>® to placebo over one treatment cycle (N=</w:t>
      </w:r>
      <w:r w:rsidRPr="00C81663">
        <w:rPr>
          <w:i w:val="0"/>
          <w:lang w:val="en-US"/>
        </w:rPr>
        <w:t xml:space="preserve">243) </w:t>
      </w:r>
      <w:r w:rsidRPr="00C81663">
        <w:rPr>
          <w:i w:val="0"/>
        </w:rPr>
        <w:t>(previously considered by the PBAC in November 2018).</w:t>
      </w:r>
    </w:p>
    <w:p w14:paraId="5DC20409" w14:textId="10C25817" w:rsidR="00CA1199" w:rsidRPr="00E53F68" w:rsidRDefault="00CA1199" w:rsidP="00E53F68">
      <w:pPr>
        <w:pStyle w:val="Bodytextitalics"/>
        <w:jc w:val="both"/>
      </w:pPr>
      <w:r>
        <w:rPr>
          <w:i w:val="0"/>
        </w:rPr>
        <w:t>Details of the studies presented in the submission are provided below.</w:t>
      </w:r>
    </w:p>
    <w:p w14:paraId="320B4612" w14:textId="63E8B88D" w:rsidR="00371F8F" w:rsidRPr="00371F8F" w:rsidRDefault="00371F8F" w:rsidP="00E72446">
      <w:pPr>
        <w:pStyle w:val="TableHeading0"/>
        <w:spacing w:after="0"/>
        <w:rPr>
          <w:szCs w:val="20"/>
        </w:rPr>
      </w:pPr>
      <w:bookmarkStart w:id="2" w:name="_Ref526503575"/>
      <w:r w:rsidRPr="00371F8F">
        <w:rPr>
          <w:szCs w:val="20"/>
        </w:rPr>
        <w:t>Table</w:t>
      </w:r>
      <w:bookmarkEnd w:id="2"/>
      <w:r>
        <w:rPr>
          <w:szCs w:val="20"/>
        </w:rPr>
        <w:t xml:space="preserve"> </w:t>
      </w:r>
      <w:r w:rsidR="00E72446">
        <w:rPr>
          <w:szCs w:val="20"/>
        </w:rPr>
        <w:t>1</w:t>
      </w:r>
      <w:r w:rsidRPr="00371F8F">
        <w:rPr>
          <w:szCs w:val="20"/>
        </w:rPr>
        <w:t>:</w:t>
      </w:r>
      <w:r w:rsidRPr="00371F8F">
        <w:rPr>
          <w:rStyle w:val="CommentReference"/>
          <w:sz w:val="20"/>
          <w:szCs w:val="20"/>
        </w:rPr>
        <w:t xml:space="preserve"> </w:t>
      </w:r>
      <w:r w:rsidR="00CA1199">
        <w:rPr>
          <w:rStyle w:val="CommentReference"/>
          <w:sz w:val="20"/>
          <w:szCs w:val="20"/>
        </w:rPr>
        <w:t>Studies</w:t>
      </w:r>
      <w:r w:rsidRPr="00371F8F">
        <w:rPr>
          <w:rStyle w:val="CommentReference"/>
          <w:sz w:val="20"/>
          <w:szCs w:val="20"/>
        </w:rPr>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3"/>
        <w:gridCol w:w="6353"/>
        <w:gridCol w:w="1650"/>
      </w:tblGrid>
      <w:tr w:rsidR="00371F8F" w:rsidRPr="00B41614" w14:paraId="1BF60408" w14:textId="77777777" w:rsidTr="00554518">
        <w:trPr>
          <w:tblHeader/>
        </w:trPr>
        <w:tc>
          <w:tcPr>
            <w:tcW w:w="562" w:type="pct"/>
            <w:vAlign w:val="center"/>
          </w:tcPr>
          <w:p w14:paraId="758BDB94" w14:textId="1E9D17FE" w:rsidR="00371F8F" w:rsidRPr="00E53F68" w:rsidRDefault="00371F8F" w:rsidP="00E53F68">
            <w:pPr>
              <w:pStyle w:val="Tabletext"/>
              <w:keepNext/>
              <w:spacing w:after="0"/>
              <w:rPr>
                <w:rFonts w:ascii="Arial Narrow" w:hAnsi="Arial Narrow"/>
                <w:b/>
              </w:rPr>
            </w:pPr>
          </w:p>
        </w:tc>
        <w:tc>
          <w:tcPr>
            <w:tcW w:w="3523" w:type="pct"/>
            <w:vAlign w:val="center"/>
          </w:tcPr>
          <w:p w14:paraId="1173C211" w14:textId="77777777" w:rsidR="00371F8F" w:rsidRPr="00E53F68" w:rsidRDefault="00371F8F" w:rsidP="00E53F68">
            <w:pPr>
              <w:pStyle w:val="Tabletext"/>
              <w:keepNext/>
              <w:spacing w:after="0"/>
              <w:jc w:val="center"/>
              <w:rPr>
                <w:rFonts w:ascii="Arial Narrow" w:hAnsi="Arial Narrow"/>
                <w:b/>
              </w:rPr>
            </w:pPr>
            <w:r w:rsidRPr="00E53F68">
              <w:rPr>
                <w:rFonts w:ascii="Arial Narrow" w:hAnsi="Arial Narrow"/>
                <w:b/>
              </w:rPr>
              <w:t>Protocol title/ Publication title</w:t>
            </w:r>
          </w:p>
        </w:tc>
        <w:tc>
          <w:tcPr>
            <w:tcW w:w="915" w:type="pct"/>
            <w:vAlign w:val="center"/>
          </w:tcPr>
          <w:p w14:paraId="20E8BF0C" w14:textId="77777777" w:rsidR="00371F8F" w:rsidRPr="00E53F68" w:rsidRDefault="00371F8F" w:rsidP="00E53F68">
            <w:pPr>
              <w:pStyle w:val="Tabletext"/>
              <w:keepNext/>
              <w:spacing w:after="0"/>
              <w:jc w:val="center"/>
              <w:rPr>
                <w:rFonts w:ascii="Arial Narrow" w:hAnsi="Arial Narrow"/>
                <w:b/>
              </w:rPr>
            </w:pPr>
            <w:r w:rsidRPr="00E53F68">
              <w:rPr>
                <w:rFonts w:ascii="Arial Narrow" w:hAnsi="Arial Narrow"/>
                <w:b/>
              </w:rPr>
              <w:t>Publication citation</w:t>
            </w:r>
          </w:p>
        </w:tc>
      </w:tr>
      <w:tr w:rsidR="00371F8F" w:rsidRPr="00CB38A8" w14:paraId="11DEE277" w14:textId="77777777" w:rsidTr="00E53F68">
        <w:trPr>
          <w:trHeight w:val="151"/>
        </w:trPr>
        <w:tc>
          <w:tcPr>
            <w:tcW w:w="5000" w:type="pct"/>
            <w:gridSpan w:val="3"/>
            <w:tcBorders>
              <w:bottom w:val="nil"/>
            </w:tcBorders>
            <w:vAlign w:val="center"/>
          </w:tcPr>
          <w:p w14:paraId="4805641F" w14:textId="16E49775" w:rsidR="00371F8F" w:rsidRPr="00E53F68" w:rsidRDefault="00371F8F" w:rsidP="00E53F68">
            <w:pPr>
              <w:pStyle w:val="Tabletext"/>
              <w:keepNext/>
              <w:spacing w:after="0"/>
              <w:rPr>
                <w:rFonts w:ascii="Arial Narrow" w:hAnsi="Arial Narrow"/>
              </w:rPr>
            </w:pPr>
            <w:r w:rsidRPr="00E53F68">
              <w:rPr>
                <w:rFonts w:ascii="Arial Narrow" w:hAnsi="Arial Narrow"/>
                <w:b/>
                <w:bCs/>
              </w:rPr>
              <w:t xml:space="preserve">Main </w:t>
            </w:r>
            <w:r w:rsidR="009B71DD">
              <w:rPr>
                <w:rFonts w:ascii="Arial Narrow" w:hAnsi="Arial Narrow"/>
                <w:b/>
                <w:bCs/>
              </w:rPr>
              <w:t>study</w:t>
            </w:r>
          </w:p>
        </w:tc>
      </w:tr>
      <w:tr w:rsidR="00CA1199" w:rsidRPr="00CB38A8" w14:paraId="58820747" w14:textId="77777777" w:rsidTr="00554518">
        <w:tc>
          <w:tcPr>
            <w:tcW w:w="562" w:type="pct"/>
          </w:tcPr>
          <w:p w14:paraId="3313D2FC" w14:textId="72FB46A0" w:rsidR="00CA1199" w:rsidRPr="00CA1199" w:rsidRDefault="00CA1199" w:rsidP="00E53F68">
            <w:pPr>
              <w:pStyle w:val="Tabletext"/>
              <w:keepNext/>
              <w:rPr>
                <w:rFonts w:ascii="Arial Narrow" w:hAnsi="Arial Narrow"/>
              </w:rPr>
            </w:pPr>
            <w:r>
              <w:rPr>
                <w:rFonts w:ascii="Arial Narrow" w:hAnsi="Arial Narrow"/>
              </w:rPr>
              <w:t>TOWER</w:t>
            </w:r>
          </w:p>
        </w:tc>
        <w:tc>
          <w:tcPr>
            <w:tcW w:w="3523" w:type="pct"/>
          </w:tcPr>
          <w:p w14:paraId="1A91EC69" w14:textId="21516E37" w:rsidR="00CA1199" w:rsidRPr="00CA1199" w:rsidRDefault="00CA1199" w:rsidP="00E53F68">
            <w:pPr>
              <w:pStyle w:val="Tabletext"/>
              <w:keepNext/>
              <w:spacing w:after="0"/>
              <w:rPr>
                <w:rFonts w:ascii="Arial Narrow" w:hAnsi="Arial Narrow"/>
                <w:szCs w:val="18"/>
              </w:rPr>
            </w:pPr>
            <w:r>
              <w:rPr>
                <w:rFonts w:ascii="Arial Narrow" w:hAnsi="Arial Narrow"/>
                <w:szCs w:val="18"/>
              </w:rPr>
              <w:t>Prospective, open-label, non-randomized, single-arm, multi-</w:t>
            </w:r>
            <w:proofErr w:type="spellStart"/>
            <w:r>
              <w:rPr>
                <w:rFonts w:ascii="Arial Narrow" w:hAnsi="Arial Narrow"/>
                <w:szCs w:val="18"/>
              </w:rPr>
              <w:t>center</w:t>
            </w:r>
            <w:proofErr w:type="spellEnd"/>
            <w:r>
              <w:rPr>
                <w:rFonts w:ascii="Arial Narrow" w:hAnsi="Arial Narrow"/>
                <w:szCs w:val="18"/>
              </w:rPr>
              <w:t xml:space="preserve"> dose titration study to investigate the safety and efficacy of NT 201 in subjects deemed to require total body doses of 800 U of NT 201 during the course of the study for the treatment of upper and lower limb spasticity of the same body side due to cerebral causes.</w:t>
            </w:r>
          </w:p>
        </w:tc>
        <w:tc>
          <w:tcPr>
            <w:tcW w:w="915" w:type="pct"/>
          </w:tcPr>
          <w:p w14:paraId="4860BD68" w14:textId="43710333" w:rsidR="00CA1199" w:rsidRDefault="00CA1199" w:rsidP="00E53F68">
            <w:pPr>
              <w:pStyle w:val="Tabletext"/>
              <w:keepNext/>
              <w:spacing w:after="0"/>
              <w:rPr>
                <w:rFonts w:ascii="Arial Narrow" w:hAnsi="Arial Narrow"/>
              </w:rPr>
            </w:pPr>
            <w:r>
              <w:rPr>
                <w:rFonts w:ascii="Arial Narrow" w:hAnsi="Arial Narrow"/>
              </w:rPr>
              <w:t>18 August 2015</w:t>
            </w:r>
          </w:p>
          <w:p w14:paraId="262E34DE" w14:textId="77777777" w:rsidR="00CA1199" w:rsidRDefault="00CA1199" w:rsidP="00E53F68">
            <w:pPr>
              <w:pStyle w:val="Tabletext"/>
              <w:keepNext/>
              <w:spacing w:after="0"/>
              <w:rPr>
                <w:rFonts w:ascii="Arial Narrow" w:hAnsi="Arial Narrow"/>
              </w:rPr>
            </w:pPr>
          </w:p>
          <w:p w14:paraId="465B2B7B" w14:textId="6AB64095" w:rsidR="009B6B4A" w:rsidRDefault="009B6B4A" w:rsidP="00E53F68">
            <w:pPr>
              <w:pStyle w:val="Tabletext"/>
              <w:keepNext/>
              <w:spacing w:after="0"/>
              <w:rPr>
                <w:rFonts w:ascii="Arial Narrow" w:hAnsi="Arial Narrow"/>
              </w:rPr>
            </w:pPr>
          </w:p>
          <w:p w14:paraId="6B2729F8" w14:textId="4D4EF8E5" w:rsidR="00CA1199" w:rsidRPr="00CA1199" w:rsidRDefault="00CA1199" w:rsidP="00E53F68">
            <w:pPr>
              <w:pStyle w:val="Tabletext"/>
              <w:keepNext/>
              <w:spacing w:after="0"/>
              <w:rPr>
                <w:rFonts w:ascii="Arial Narrow" w:hAnsi="Arial Narrow"/>
              </w:rPr>
            </w:pPr>
          </w:p>
        </w:tc>
      </w:tr>
      <w:tr w:rsidR="009B71DD" w:rsidRPr="00E53F68" w14:paraId="5D88760D" w14:textId="77777777" w:rsidTr="009B71DD">
        <w:tc>
          <w:tcPr>
            <w:tcW w:w="5000" w:type="pct"/>
            <w:gridSpan w:val="3"/>
          </w:tcPr>
          <w:p w14:paraId="0E1883E4" w14:textId="51F55C67" w:rsidR="009B71DD" w:rsidRPr="00E53F68" w:rsidRDefault="009B71DD" w:rsidP="009B6B4A">
            <w:pPr>
              <w:pStyle w:val="Tabletext"/>
              <w:keepNext/>
              <w:spacing w:after="0"/>
              <w:rPr>
                <w:rFonts w:ascii="Arial Narrow" w:hAnsi="Arial Narrow"/>
                <w:b/>
              </w:rPr>
            </w:pPr>
            <w:r w:rsidRPr="00E53F68">
              <w:rPr>
                <w:rFonts w:ascii="Arial Narrow" w:hAnsi="Arial Narrow"/>
                <w:b/>
              </w:rPr>
              <w:t>Open-label extension study</w:t>
            </w:r>
          </w:p>
        </w:tc>
      </w:tr>
      <w:tr w:rsidR="009B71DD" w:rsidRPr="00CB38A8" w14:paraId="76004419" w14:textId="77777777" w:rsidTr="00554518">
        <w:tc>
          <w:tcPr>
            <w:tcW w:w="562" w:type="pct"/>
            <w:tcBorders>
              <w:bottom w:val="single" w:sz="4" w:space="0" w:color="auto"/>
            </w:tcBorders>
          </w:tcPr>
          <w:p w14:paraId="7577BD33" w14:textId="23F95E4A" w:rsidR="009B71DD" w:rsidRDefault="009B71DD" w:rsidP="009B6B4A">
            <w:pPr>
              <w:pStyle w:val="Tabletext"/>
              <w:keepNext/>
              <w:rPr>
                <w:rFonts w:ascii="Arial Narrow" w:hAnsi="Arial Narrow"/>
              </w:rPr>
            </w:pPr>
            <w:proofErr w:type="spellStart"/>
            <w:r>
              <w:rPr>
                <w:rFonts w:ascii="Arial Narrow" w:hAnsi="Arial Narrow"/>
              </w:rPr>
              <w:t>Kanovsky</w:t>
            </w:r>
            <w:proofErr w:type="spellEnd"/>
            <w:r w:rsidR="00994844">
              <w:rPr>
                <w:rFonts w:ascii="Arial Narrow" w:hAnsi="Arial Narrow"/>
              </w:rPr>
              <w:t>, 2011</w:t>
            </w:r>
          </w:p>
        </w:tc>
        <w:tc>
          <w:tcPr>
            <w:tcW w:w="3523" w:type="pct"/>
            <w:tcBorders>
              <w:bottom w:val="single" w:sz="4" w:space="0" w:color="auto"/>
            </w:tcBorders>
            <w:vAlign w:val="center"/>
          </w:tcPr>
          <w:p w14:paraId="0DA235FB" w14:textId="715937EB" w:rsidR="009B71DD" w:rsidRDefault="009B71DD" w:rsidP="009B6B4A">
            <w:pPr>
              <w:pStyle w:val="Tabletext"/>
              <w:keepNext/>
              <w:spacing w:after="0"/>
              <w:rPr>
                <w:rFonts w:ascii="Arial Narrow" w:hAnsi="Arial Narrow"/>
                <w:szCs w:val="18"/>
              </w:rPr>
            </w:pPr>
            <w:proofErr w:type="spellStart"/>
            <w:r>
              <w:rPr>
                <w:rFonts w:ascii="Arial Narrow" w:hAnsi="Arial Narrow"/>
                <w:szCs w:val="18"/>
              </w:rPr>
              <w:t>Kanovsky</w:t>
            </w:r>
            <w:proofErr w:type="spellEnd"/>
            <w:r>
              <w:rPr>
                <w:rFonts w:ascii="Arial Narrow" w:hAnsi="Arial Narrow"/>
                <w:szCs w:val="18"/>
              </w:rPr>
              <w:t xml:space="preserve"> P, </w:t>
            </w:r>
            <w:proofErr w:type="spellStart"/>
            <w:r>
              <w:rPr>
                <w:rFonts w:ascii="Arial Narrow" w:hAnsi="Arial Narrow"/>
                <w:szCs w:val="18"/>
              </w:rPr>
              <w:t>Slawek</w:t>
            </w:r>
            <w:proofErr w:type="spellEnd"/>
            <w:r>
              <w:rPr>
                <w:rFonts w:ascii="Arial Narrow" w:hAnsi="Arial Narrow"/>
                <w:szCs w:val="18"/>
              </w:rPr>
              <w:t xml:space="preserve"> J, Denes Z, et al. Efficacy and safety of treatment with </w:t>
            </w:r>
            <w:proofErr w:type="spellStart"/>
            <w:r>
              <w:rPr>
                <w:rFonts w:ascii="Arial Narrow" w:hAnsi="Arial Narrow"/>
                <w:szCs w:val="18"/>
              </w:rPr>
              <w:t>incobotulinum</w:t>
            </w:r>
            <w:proofErr w:type="spellEnd"/>
            <w:r>
              <w:rPr>
                <w:rFonts w:ascii="Arial Narrow" w:hAnsi="Arial Narrow"/>
                <w:szCs w:val="18"/>
              </w:rPr>
              <w:t xml:space="preserve"> toxin A (botulinum neurotoxin type A free from complexing proteins; NT 201) in post-stroke upper limb spasticity.</w:t>
            </w:r>
          </w:p>
        </w:tc>
        <w:tc>
          <w:tcPr>
            <w:tcW w:w="915" w:type="pct"/>
            <w:tcBorders>
              <w:bottom w:val="single" w:sz="4" w:space="0" w:color="auto"/>
            </w:tcBorders>
          </w:tcPr>
          <w:p w14:paraId="22FD99C1" w14:textId="7AF4D62B" w:rsidR="009B71DD" w:rsidRDefault="009B71DD" w:rsidP="009B6B4A">
            <w:pPr>
              <w:pStyle w:val="Tabletext"/>
              <w:keepNext/>
              <w:spacing w:after="0"/>
              <w:rPr>
                <w:rFonts w:ascii="Arial Narrow" w:hAnsi="Arial Narrow"/>
              </w:rPr>
            </w:pPr>
            <w:r>
              <w:rPr>
                <w:rFonts w:ascii="Arial Narrow" w:hAnsi="Arial Narrow"/>
              </w:rPr>
              <w:t xml:space="preserve">J </w:t>
            </w:r>
            <w:proofErr w:type="spellStart"/>
            <w:r>
              <w:rPr>
                <w:rFonts w:ascii="Arial Narrow" w:hAnsi="Arial Narrow"/>
              </w:rPr>
              <w:t>Rehabil</w:t>
            </w:r>
            <w:proofErr w:type="spellEnd"/>
            <w:r>
              <w:rPr>
                <w:rFonts w:ascii="Arial Narrow" w:hAnsi="Arial Narrow"/>
              </w:rPr>
              <w:t xml:space="preserve"> Med. 2011; 43: 486-492.</w:t>
            </w:r>
          </w:p>
        </w:tc>
      </w:tr>
    </w:tbl>
    <w:p w14:paraId="66B4018E" w14:textId="519F5FEE" w:rsidR="00371F8F" w:rsidRDefault="00CA1199" w:rsidP="00A275F5">
      <w:pPr>
        <w:pStyle w:val="TableFooter"/>
        <w:rPr>
          <w:i/>
        </w:rPr>
      </w:pPr>
      <w:r w:rsidRPr="00E53F68">
        <w:t>Source: Compiled during evaluation</w:t>
      </w:r>
    </w:p>
    <w:p w14:paraId="6A301409" w14:textId="77777777" w:rsidR="00CA1199" w:rsidRPr="00E53F68" w:rsidRDefault="00CA1199" w:rsidP="00A275F5"/>
    <w:p w14:paraId="45599A9C" w14:textId="674FAA33" w:rsidR="0058042B" w:rsidRPr="00E53F68" w:rsidRDefault="00487910" w:rsidP="00E53F68">
      <w:pPr>
        <w:pStyle w:val="Bodytextitalics"/>
        <w:jc w:val="both"/>
      </w:pPr>
      <w:r>
        <w:rPr>
          <w:i w:val="0"/>
        </w:rPr>
        <w:t xml:space="preserve">The TOWER study </w:t>
      </w:r>
      <w:r w:rsidR="0058042B">
        <w:rPr>
          <w:i w:val="0"/>
        </w:rPr>
        <w:t xml:space="preserve">investigated the safety </w:t>
      </w:r>
      <w:r w:rsidR="00CC6E2A">
        <w:rPr>
          <w:i w:val="0"/>
        </w:rPr>
        <w:t>a</w:t>
      </w:r>
      <w:r w:rsidR="0058042B">
        <w:rPr>
          <w:i w:val="0"/>
        </w:rPr>
        <w:t xml:space="preserve">nd efficacy of </w:t>
      </w:r>
      <w:proofErr w:type="spellStart"/>
      <w:r w:rsidR="00CC6525">
        <w:rPr>
          <w:i w:val="0"/>
        </w:rPr>
        <w:t>X</w:t>
      </w:r>
      <w:r w:rsidR="00FB0531">
        <w:rPr>
          <w:i w:val="0"/>
        </w:rPr>
        <w:t>eomin</w:t>
      </w:r>
      <w:proofErr w:type="spellEnd"/>
      <w:r w:rsidR="00D336C8">
        <w:rPr>
          <w:i w:val="0"/>
        </w:rPr>
        <w:t>®</w:t>
      </w:r>
      <w:r w:rsidR="0058042B">
        <w:rPr>
          <w:i w:val="0"/>
        </w:rPr>
        <w:t xml:space="preserve"> in subjects with upper and lower </w:t>
      </w:r>
      <w:r w:rsidR="009B6B4A">
        <w:rPr>
          <w:i w:val="0"/>
        </w:rPr>
        <w:t xml:space="preserve">limb </w:t>
      </w:r>
      <w:r w:rsidR="0058042B">
        <w:rPr>
          <w:i w:val="0"/>
        </w:rPr>
        <w:t>spasticity of the same body side due to cerebral causes.</w:t>
      </w:r>
      <w:r>
        <w:rPr>
          <w:i w:val="0"/>
        </w:rPr>
        <w:t xml:space="preserve"> </w:t>
      </w:r>
      <w:r w:rsidR="0058042B" w:rsidRPr="00487910">
        <w:rPr>
          <w:i w:val="0"/>
        </w:rPr>
        <w:t>The TOWER study used a dose titration approach over three injection cycles (a fixed total body dose of 400U</w:t>
      </w:r>
      <w:r w:rsidR="001506A5">
        <w:rPr>
          <w:i w:val="0"/>
        </w:rPr>
        <w:t>,</w:t>
      </w:r>
      <w:r w:rsidR="0058042B" w:rsidRPr="00487910">
        <w:rPr>
          <w:i w:val="0"/>
        </w:rPr>
        <w:t xml:space="preserve"> 600U and 800U </w:t>
      </w:r>
      <w:r w:rsidR="001506A5">
        <w:rPr>
          <w:i w:val="0"/>
        </w:rPr>
        <w:t xml:space="preserve">of </w:t>
      </w:r>
      <w:proofErr w:type="spellStart"/>
      <w:r w:rsidR="00CC6525">
        <w:rPr>
          <w:i w:val="0"/>
        </w:rPr>
        <w:t>X</w:t>
      </w:r>
      <w:r w:rsidR="00FB0531">
        <w:rPr>
          <w:i w:val="0"/>
        </w:rPr>
        <w:t>eomin</w:t>
      </w:r>
      <w:proofErr w:type="spellEnd"/>
      <w:r w:rsidR="00D336C8">
        <w:rPr>
          <w:i w:val="0"/>
        </w:rPr>
        <w:t>®</w:t>
      </w:r>
      <w:r w:rsidR="0058042B" w:rsidRPr="00487910">
        <w:rPr>
          <w:i w:val="0"/>
        </w:rPr>
        <w:t xml:space="preserve"> [if permitted]), with a flexible observation period after each injection of 12 to 16 weeks and a total duration of exposure of up to 48 weeks.</w:t>
      </w:r>
    </w:p>
    <w:p w14:paraId="6DDC0763" w14:textId="58D6C5C4" w:rsidR="009B6B4A" w:rsidRPr="00E53F68" w:rsidRDefault="009B6B4A" w:rsidP="00E53F68">
      <w:pPr>
        <w:pStyle w:val="Bodytextitalics"/>
        <w:jc w:val="both"/>
      </w:pPr>
      <w:r>
        <w:rPr>
          <w:i w:val="0"/>
        </w:rPr>
        <w:lastRenderedPageBreak/>
        <w:t>In the TOWER study 132/155 (</w:t>
      </w:r>
      <w:r w:rsidR="001506A5">
        <w:rPr>
          <w:i w:val="0"/>
        </w:rPr>
        <w:t>85.2</w:t>
      </w:r>
      <w:r>
        <w:rPr>
          <w:i w:val="0"/>
        </w:rPr>
        <w:t>%) of patients had stroke as their primary disease, 11/155 (7.1%) had traumatic brain injury and 12/155 (7.7%) had other cerebral vascular disorders, brain tumour or cerebral palsy. In Study 145 approximately 90% of patients ha</w:t>
      </w:r>
      <w:r w:rsidR="001506A5">
        <w:rPr>
          <w:i w:val="0"/>
        </w:rPr>
        <w:t>d</w:t>
      </w:r>
      <w:r>
        <w:rPr>
          <w:i w:val="0"/>
        </w:rPr>
        <w:t xml:space="preserve"> post-stroke spasticity and approximately 10% had spasticity following a traumatic brain injury.</w:t>
      </w:r>
    </w:p>
    <w:p w14:paraId="6F366FE2" w14:textId="25AFE4DF" w:rsidR="009B6B4A" w:rsidRPr="00E53F68" w:rsidRDefault="009B6B4A" w:rsidP="00E53F68">
      <w:pPr>
        <w:pStyle w:val="Bodytextitalics"/>
        <w:jc w:val="both"/>
      </w:pPr>
      <w:r>
        <w:rPr>
          <w:i w:val="0"/>
        </w:rPr>
        <w:t xml:space="preserve">Treatment response in </w:t>
      </w:r>
      <w:r w:rsidR="00E53F68">
        <w:rPr>
          <w:i w:val="0"/>
        </w:rPr>
        <w:t xml:space="preserve">the TOWER study was a reduction in Ashworth Scale (AS) score of </w:t>
      </w:r>
      <w:r w:rsidR="00E53F68">
        <w:rPr>
          <w:rFonts w:cstheme="minorHAnsi"/>
          <w:i w:val="0"/>
        </w:rPr>
        <w:t>≥</w:t>
      </w:r>
      <w:r w:rsidR="00E53F68">
        <w:rPr>
          <w:i w:val="0"/>
        </w:rPr>
        <w:t xml:space="preserve"> 1. Treatment response in Study 145 was</w:t>
      </w:r>
      <w:r>
        <w:rPr>
          <w:i w:val="0"/>
        </w:rPr>
        <w:t xml:space="preserve"> a reduction in Modif</w:t>
      </w:r>
      <w:r w:rsidR="00E53F68">
        <w:rPr>
          <w:i w:val="0"/>
        </w:rPr>
        <w:t>i</w:t>
      </w:r>
      <w:r>
        <w:rPr>
          <w:i w:val="0"/>
        </w:rPr>
        <w:t xml:space="preserve">ed Ashworth Scale (MAS) score </w:t>
      </w:r>
      <w:r w:rsidR="00E53F68">
        <w:rPr>
          <w:rFonts w:cstheme="minorHAnsi"/>
          <w:i w:val="0"/>
        </w:rPr>
        <w:t xml:space="preserve">≥ </w:t>
      </w:r>
      <w:r>
        <w:rPr>
          <w:i w:val="0"/>
        </w:rPr>
        <w:t>1.</w:t>
      </w:r>
      <w:r w:rsidR="000E079D">
        <w:rPr>
          <w:i w:val="0"/>
        </w:rPr>
        <w:t xml:space="preserve"> </w:t>
      </w:r>
    </w:p>
    <w:p w14:paraId="584A74B7" w14:textId="77777777" w:rsidR="00BC17C3" w:rsidRDefault="00BC17C3" w:rsidP="00BC17C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Comparative </w:t>
      </w:r>
      <w:r w:rsidRPr="000214D1">
        <w:rPr>
          <w:rFonts w:asciiTheme="minorHAnsi" w:eastAsiaTheme="majorEastAsia" w:hAnsiTheme="minorHAnsi" w:cstheme="majorBidi"/>
          <w:sz w:val="28"/>
          <w:szCs w:val="28"/>
          <w:lang w:eastAsia="en-US"/>
        </w:rPr>
        <w:t>effectiveness</w:t>
      </w:r>
    </w:p>
    <w:p w14:paraId="48C40C2F" w14:textId="3B64C722" w:rsidR="0076420C" w:rsidRDefault="00FB0531" w:rsidP="00E53F68">
      <w:pPr>
        <w:pStyle w:val="Bodytextitalics"/>
        <w:jc w:val="both"/>
        <w:rPr>
          <w:i w:val="0"/>
        </w:rPr>
      </w:pPr>
      <w:r>
        <w:rPr>
          <w:i w:val="0"/>
        </w:rPr>
        <w:t xml:space="preserve">The </w:t>
      </w:r>
      <w:r w:rsidR="009B6B4A">
        <w:rPr>
          <w:i w:val="0"/>
        </w:rPr>
        <w:t xml:space="preserve">results of the naïve indirect comparison are presented below. </w:t>
      </w:r>
    </w:p>
    <w:p w14:paraId="78B9A159" w14:textId="0D2A5D06" w:rsidR="00FB0531" w:rsidRPr="00FB0531" w:rsidRDefault="00FB0531" w:rsidP="00E53F68">
      <w:pPr>
        <w:pStyle w:val="Bodytextitalics"/>
        <w:keepNext/>
        <w:numPr>
          <w:ilvl w:val="0"/>
          <w:numId w:val="0"/>
        </w:numPr>
        <w:spacing w:after="0"/>
        <w:rPr>
          <w:rFonts w:ascii="Arial Narrow" w:hAnsi="Arial Narrow"/>
          <w:b/>
          <w:i w:val="0"/>
          <w:sz w:val="20"/>
          <w:szCs w:val="20"/>
        </w:rPr>
      </w:pPr>
      <w:r w:rsidRPr="00FB0531">
        <w:rPr>
          <w:rFonts w:ascii="Arial Narrow" w:hAnsi="Arial Narrow"/>
          <w:b/>
          <w:i w:val="0"/>
          <w:sz w:val="20"/>
          <w:szCs w:val="20"/>
        </w:rPr>
        <w:t xml:space="preserve">Table </w:t>
      </w:r>
      <w:r w:rsidR="00E72446">
        <w:rPr>
          <w:rFonts w:ascii="Arial Narrow" w:hAnsi="Arial Narrow"/>
          <w:b/>
          <w:i w:val="0"/>
          <w:sz w:val="20"/>
          <w:szCs w:val="20"/>
        </w:rPr>
        <w:t>2</w:t>
      </w:r>
      <w:r w:rsidR="009B6B4A">
        <w:rPr>
          <w:rFonts w:ascii="Arial Narrow" w:hAnsi="Arial Narrow"/>
          <w:b/>
          <w:i w:val="0"/>
          <w:sz w:val="20"/>
          <w:szCs w:val="20"/>
        </w:rPr>
        <w:t xml:space="preserve">: </w:t>
      </w:r>
      <w:r w:rsidRPr="00FB0531">
        <w:rPr>
          <w:rFonts w:ascii="Arial Narrow" w:hAnsi="Arial Narrow"/>
          <w:b/>
          <w:i w:val="0"/>
          <w:sz w:val="20"/>
          <w:szCs w:val="20"/>
        </w:rPr>
        <w:t xml:space="preserve">Treatment response </w:t>
      </w:r>
      <w:r w:rsidR="009B6B4A">
        <w:rPr>
          <w:rFonts w:ascii="Arial Narrow" w:hAnsi="Arial Narrow"/>
          <w:b/>
          <w:i w:val="0"/>
          <w:sz w:val="20"/>
          <w:szCs w:val="20"/>
        </w:rPr>
        <w:t>outcomes from TOWER and Study 145</w:t>
      </w:r>
    </w:p>
    <w:tbl>
      <w:tblPr>
        <w:tblStyle w:val="TableGrid"/>
        <w:tblW w:w="0" w:type="auto"/>
        <w:jc w:val="center"/>
        <w:tblLayout w:type="fixed"/>
        <w:tblLook w:val="04A0" w:firstRow="1" w:lastRow="0" w:firstColumn="1" w:lastColumn="0" w:noHBand="0" w:noVBand="1"/>
        <w:tblCaption w:val="Table 2: Treatment response outcomes from TOWER and Study 145"/>
      </w:tblPr>
      <w:tblGrid>
        <w:gridCol w:w="1271"/>
        <w:gridCol w:w="709"/>
        <w:gridCol w:w="709"/>
        <w:gridCol w:w="708"/>
        <w:gridCol w:w="1276"/>
        <w:gridCol w:w="709"/>
        <w:gridCol w:w="709"/>
        <w:gridCol w:w="708"/>
        <w:gridCol w:w="709"/>
        <w:gridCol w:w="709"/>
        <w:gridCol w:w="799"/>
      </w:tblGrid>
      <w:tr w:rsidR="001506A5" w14:paraId="60D42E41" w14:textId="77777777" w:rsidTr="00753600">
        <w:trPr>
          <w:trHeight w:val="20"/>
          <w:tblHeader/>
          <w:jc w:val="center"/>
        </w:trPr>
        <w:tc>
          <w:tcPr>
            <w:tcW w:w="1271" w:type="dxa"/>
            <w:vMerge w:val="restart"/>
            <w:tcMar>
              <w:left w:w="28" w:type="dxa"/>
              <w:right w:w="28" w:type="dxa"/>
            </w:tcMar>
            <w:vAlign w:val="center"/>
          </w:tcPr>
          <w:p w14:paraId="21109EA5" w14:textId="77777777" w:rsidR="00FB0531" w:rsidRPr="00E53F68" w:rsidRDefault="00FB0531" w:rsidP="00E53F68">
            <w:pPr>
              <w:pStyle w:val="TableText0"/>
              <w:keepNext/>
              <w:jc w:val="center"/>
              <w:rPr>
                <w:b/>
              </w:rPr>
            </w:pPr>
            <w:r w:rsidRPr="00E53F68">
              <w:rPr>
                <w:b/>
              </w:rPr>
              <w:t>Population (and subgroup)</w:t>
            </w:r>
          </w:p>
        </w:tc>
        <w:tc>
          <w:tcPr>
            <w:tcW w:w="2126" w:type="dxa"/>
            <w:gridSpan w:val="3"/>
            <w:tcMar>
              <w:left w:w="28" w:type="dxa"/>
              <w:right w:w="28" w:type="dxa"/>
            </w:tcMar>
            <w:vAlign w:val="center"/>
          </w:tcPr>
          <w:p w14:paraId="15A2E2C8" w14:textId="384A0839" w:rsidR="00FB0531" w:rsidRPr="00E53F68" w:rsidRDefault="00FB0531" w:rsidP="00E53F68">
            <w:pPr>
              <w:pStyle w:val="TableText0"/>
              <w:keepNext/>
              <w:jc w:val="center"/>
              <w:rPr>
                <w:b/>
                <w:bCs/>
              </w:rPr>
            </w:pPr>
            <w:proofErr w:type="spellStart"/>
            <w:r w:rsidRPr="00E53F68">
              <w:rPr>
                <w:b/>
                <w:bCs/>
              </w:rPr>
              <w:t>Xeomin</w:t>
            </w:r>
            <w:proofErr w:type="spellEnd"/>
            <w:r w:rsidRPr="00A275F5">
              <w:rPr>
                <w:b/>
                <w:bCs/>
                <w:vertAlign w:val="superscript"/>
              </w:rPr>
              <w:t>®</w:t>
            </w:r>
            <w:r w:rsidRPr="00E53F68">
              <w:rPr>
                <w:b/>
                <w:bCs/>
              </w:rPr>
              <w:t xml:space="preserve"> </w:t>
            </w:r>
            <w:r w:rsidR="00A275F5">
              <w:rPr>
                <w:b/>
                <w:bCs/>
              </w:rPr>
              <w:br/>
            </w:r>
            <w:r w:rsidRPr="00E53F68">
              <w:rPr>
                <w:b/>
                <w:bCs/>
              </w:rPr>
              <w:t>(TOWER)</w:t>
            </w:r>
            <w:r w:rsidRPr="00E53F68">
              <w:rPr>
                <w:b/>
                <w:bCs/>
                <w:vertAlign w:val="superscript"/>
              </w:rPr>
              <w:t>#</w:t>
            </w:r>
          </w:p>
        </w:tc>
        <w:tc>
          <w:tcPr>
            <w:tcW w:w="1276" w:type="dxa"/>
            <w:vMerge w:val="restart"/>
            <w:tcMar>
              <w:left w:w="28" w:type="dxa"/>
              <w:right w:w="28" w:type="dxa"/>
            </w:tcMar>
            <w:vAlign w:val="center"/>
          </w:tcPr>
          <w:p w14:paraId="24E2C708" w14:textId="77777777" w:rsidR="00FB0531" w:rsidRPr="00E53F68" w:rsidRDefault="00FB0531" w:rsidP="00E53F68">
            <w:pPr>
              <w:pStyle w:val="TableText0"/>
              <w:keepNext/>
              <w:jc w:val="center"/>
              <w:rPr>
                <w:b/>
              </w:rPr>
            </w:pPr>
            <w:r w:rsidRPr="00E53F68">
              <w:rPr>
                <w:b/>
              </w:rPr>
              <w:t>Population (and subgroup)</w:t>
            </w:r>
          </w:p>
        </w:tc>
        <w:tc>
          <w:tcPr>
            <w:tcW w:w="4343" w:type="dxa"/>
            <w:gridSpan w:val="6"/>
            <w:tcMar>
              <w:left w:w="28" w:type="dxa"/>
              <w:right w:w="28" w:type="dxa"/>
            </w:tcMar>
            <w:vAlign w:val="center"/>
          </w:tcPr>
          <w:p w14:paraId="2AFA5679" w14:textId="70320793" w:rsidR="00FB0531" w:rsidRPr="00E53F68" w:rsidRDefault="00FB0531" w:rsidP="00A275F5">
            <w:pPr>
              <w:pStyle w:val="TableText0"/>
              <w:keepNext/>
              <w:jc w:val="center"/>
              <w:rPr>
                <w:b/>
              </w:rPr>
            </w:pPr>
            <w:proofErr w:type="spellStart"/>
            <w:r w:rsidRPr="00E53F68">
              <w:rPr>
                <w:b/>
              </w:rPr>
              <w:t>Dysport</w:t>
            </w:r>
            <w:proofErr w:type="spellEnd"/>
            <w:r w:rsidRPr="00A275F5">
              <w:rPr>
                <w:b/>
                <w:vertAlign w:val="superscript"/>
              </w:rPr>
              <w:t xml:space="preserve">® </w:t>
            </w:r>
            <w:r w:rsidR="00A275F5">
              <w:rPr>
                <w:b/>
              </w:rPr>
              <w:br/>
            </w:r>
            <w:r w:rsidR="00BC17C3">
              <w:rPr>
                <w:b/>
              </w:rPr>
              <w:t>(</w:t>
            </w:r>
            <w:r w:rsidRPr="00E53F68">
              <w:rPr>
                <w:b/>
              </w:rPr>
              <w:t>Study 145</w:t>
            </w:r>
            <w:r w:rsidR="00BC17C3">
              <w:rPr>
                <w:b/>
              </w:rPr>
              <w:t xml:space="preserve"> – results from </w:t>
            </w:r>
            <w:r w:rsidR="00A275F5">
              <w:rPr>
                <w:b/>
              </w:rPr>
              <w:t xml:space="preserve">November 2018 </w:t>
            </w:r>
            <w:r w:rsidR="00BC17C3" w:rsidRPr="002B7C2E">
              <w:rPr>
                <w:b/>
              </w:rPr>
              <w:t>PSD</w:t>
            </w:r>
          </w:p>
        </w:tc>
      </w:tr>
      <w:tr w:rsidR="001506A5" w14:paraId="085100DC" w14:textId="77777777" w:rsidTr="00753600">
        <w:trPr>
          <w:trHeight w:val="20"/>
          <w:tblHeader/>
          <w:jc w:val="center"/>
        </w:trPr>
        <w:tc>
          <w:tcPr>
            <w:tcW w:w="1271" w:type="dxa"/>
            <w:vMerge/>
            <w:tcMar>
              <w:left w:w="28" w:type="dxa"/>
              <w:right w:w="28" w:type="dxa"/>
            </w:tcMar>
            <w:vAlign w:val="center"/>
          </w:tcPr>
          <w:p w14:paraId="46FF6CB3" w14:textId="77777777" w:rsidR="00FB0531" w:rsidRPr="006646FE" w:rsidRDefault="00FB0531" w:rsidP="006646FE">
            <w:pPr>
              <w:pStyle w:val="TableText0"/>
              <w:keepNext/>
              <w:jc w:val="center"/>
              <w:rPr>
                <w:b/>
              </w:rPr>
            </w:pPr>
          </w:p>
        </w:tc>
        <w:tc>
          <w:tcPr>
            <w:tcW w:w="709" w:type="dxa"/>
            <w:tcMar>
              <w:left w:w="28" w:type="dxa"/>
              <w:right w:w="28" w:type="dxa"/>
            </w:tcMar>
            <w:vAlign w:val="center"/>
          </w:tcPr>
          <w:p w14:paraId="4FF9D6E2" w14:textId="77777777" w:rsidR="00FB0531" w:rsidRPr="006646FE" w:rsidRDefault="00FB0531" w:rsidP="006646FE">
            <w:pPr>
              <w:pStyle w:val="TableText0"/>
              <w:keepNext/>
              <w:jc w:val="center"/>
              <w:rPr>
                <w:b/>
                <w:bCs/>
              </w:rPr>
            </w:pPr>
            <w:r w:rsidRPr="006646FE">
              <w:rPr>
                <w:b/>
                <w:bCs/>
              </w:rPr>
              <w:t>Cycle 1</w:t>
            </w:r>
          </w:p>
        </w:tc>
        <w:tc>
          <w:tcPr>
            <w:tcW w:w="709" w:type="dxa"/>
            <w:tcMar>
              <w:left w:w="28" w:type="dxa"/>
              <w:right w:w="28" w:type="dxa"/>
            </w:tcMar>
            <w:vAlign w:val="center"/>
          </w:tcPr>
          <w:p w14:paraId="3EB57D5C" w14:textId="77777777" w:rsidR="00FB0531" w:rsidRPr="006646FE" w:rsidRDefault="00FB0531" w:rsidP="006646FE">
            <w:pPr>
              <w:pStyle w:val="TableText0"/>
              <w:keepNext/>
              <w:jc w:val="center"/>
              <w:rPr>
                <w:b/>
                <w:bCs/>
              </w:rPr>
            </w:pPr>
            <w:r w:rsidRPr="006646FE">
              <w:rPr>
                <w:b/>
                <w:bCs/>
              </w:rPr>
              <w:t>Cycle 2</w:t>
            </w:r>
          </w:p>
        </w:tc>
        <w:tc>
          <w:tcPr>
            <w:tcW w:w="708" w:type="dxa"/>
            <w:tcMar>
              <w:left w:w="28" w:type="dxa"/>
              <w:right w:w="28" w:type="dxa"/>
            </w:tcMar>
            <w:vAlign w:val="center"/>
          </w:tcPr>
          <w:p w14:paraId="5397036B" w14:textId="77777777" w:rsidR="00FB0531" w:rsidRPr="006646FE" w:rsidRDefault="00FB0531" w:rsidP="006646FE">
            <w:pPr>
              <w:pStyle w:val="TableText0"/>
              <w:keepNext/>
              <w:jc w:val="center"/>
              <w:rPr>
                <w:b/>
                <w:bCs/>
              </w:rPr>
            </w:pPr>
            <w:r w:rsidRPr="006646FE">
              <w:rPr>
                <w:b/>
                <w:bCs/>
              </w:rPr>
              <w:t>Cycle 3</w:t>
            </w:r>
          </w:p>
        </w:tc>
        <w:tc>
          <w:tcPr>
            <w:tcW w:w="1276" w:type="dxa"/>
            <w:vMerge/>
            <w:tcMar>
              <w:left w:w="28" w:type="dxa"/>
              <w:right w:w="28" w:type="dxa"/>
            </w:tcMar>
            <w:vAlign w:val="center"/>
          </w:tcPr>
          <w:p w14:paraId="636B0745" w14:textId="77777777" w:rsidR="00FB0531" w:rsidRPr="006646FE" w:rsidRDefault="00FB0531" w:rsidP="006646FE">
            <w:pPr>
              <w:pStyle w:val="TableText0"/>
              <w:keepNext/>
              <w:jc w:val="center"/>
              <w:rPr>
                <w:b/>
              </w:rPr>
            </w:pPr>
          </w:p>
        </w:tc>
        <w:tc>
          <w:tcPr>
            <w:tcW w:w="2126" w:type="dxa"/>
            <w:gridSpan w:val="3"/>
            <w:tcMar>
              <w:left w:w="28" w:type="dxa"/>
              <w:right w:w="28" w:type="dxa"/>
            </w:tcMar>
            <w:vAlign w:val="center"/>
          </w:tcPr>
          <w:p w14:paraId="1C02D562" w14:textId="77777777" w:rsidR="00FB0531" w:rsidRPr="006646FE" w:rsidRDefault="00FB0531" w:rsidP="006646FE">
            <w:pPr>
              <w:pStyle w:val="TableText0"/>
              <w:keepNext/>
              <w:jc w:val="center"/>
              <w:rPr>
                <w:b/>
              </w:rPr>
            </w:pPr>
            <w:r w:rsidRPr="006646FE">
              <w:rPr>
                <w:b/>
              </w:rPr>
              <w:t>4 weeks</w:t>
            </w:r>
          </w:p>
        </w:tc>
        <w:tc>
          <w:tcPr>
            <w:tcW w:w="2217" w:type="dxa"/>
            <w:gridSpan w:val="3"/>
            <w:tcMar>
              <w:left w:w="28" w:type="dxa"/>
              <w:right w:w="28" w:type="dxa"/>
            </w:tcMar>
            <w:vAlign w:val="center"/>
          </w:tcPr>
          <w:p w14:paraId="33C0D8FC" w14:textId="77777777" w:rsidR="00FB0531" w:rsidRPr="006646FE" w:rsidRDefault="00FB0531" w:rsidP="006646FE">
            <w:pPr>
              <w:pStyle w:val="TableText0"/>
              <w:keepNext/>
              <w:jc w:val="center"/>
              <w:rPr>
                <w:b/>
              </w:rPr>
            </w:pPr>
            <w:r w:rsidRPr="006646FE">
              <w:rPr>
                <w:b/>
              </w:rPr>
              <w:t>12 weeks</w:t>
            </w:r>
          </w:p>
        </w:tc>
      </w:tr>
      <w:tr w:rsidR="001506A5" w14:paraId="788DF269" w14:textId="77777777" w:rsidTr="00753600">
        <w:trPr>
          <w:trHeight w:val="70"/>
          <w:tblHeader/>
          <w:jc w:val="center"/>
        </w:trPr>
        <w:tc>
          <w:tcPr>
            <w:tcW w:w="1271" w:type="dxa"/>
            <w:vMerge/>
            <w:tcMar>
              <w:left w:w="28" w:type="dxa"/>
              <w:right w:w="28" w:type="dxa"/>
            </w:tcMar>
            <w:vAlign w:val="center"/>
          </w:tcPr>
          <w:p w14:paraId="269AAC13" w14:textId="77777777" w:rsidR="00FB0531" w:rsidRPr="006646FE" w:rsidRDefault="00FB0531" w:rsidP="006646FE">
            <w:pPr>
              <w:pStyle w:val="TableText0"/>
              <w:keepNext/>
              <w:jc w:val="center"/>
              <w:rPr>
                <w:b/>
              </w:rPr>
            </w:pPr>
          </w:p>
        </w:tc>
        <w:tc>
          <w:tcPr>
            <w:tcW w:w="709" w:type="dxa"/>
            <w:tcMar>
              <w:left w:w="28" w:type="dxa"/>
              <w:right w:w="28" w:type="dxa"/>
            </w:tcMar>
            <w:vAlign w:val="center"/>
          </w:tcPr>
          <w:p w14:paraId="16C81891" w14:textId="77777777" w:rsidR="00FB0531" w:rsidRPr="006646FE" w:rsidRDefault="00FB0531" w:rsidP="006646FE">
            <w:pPr>
              <w:pStyle w:val="TableText0"/>
              <w:keepNext/>
              <w:jc w:val="center"/>
              <w:rPr>
                <w:b/>
              </w:rPr>
            </w:pPr>
            <w:r w:rsidRPr="006646FE">
              <w:rPr>
                <w:b/>
                <w:bCs/>
              </w:rPr>
              <w:t>up to 400U</w:t>
            </w:r>
          </w:p>
        </w:tc>
        <w:tc>
          <w:tcPr>
            <w:tcW w:w="709" w:type="dxa"/>
            <w:tcMar>
              <w:left w:w="28" w:type="dxa"/>
              <w:right w:w="28" w:type="dxa"/>
            </w:tcMar>
            <w:vAlign w:val="center"/>
          </w:tcPr>
          <w:p w14:paraId="156326FB" w14:textId="77777777" w:rsidR="00FB0531" w:rsidRPr="006646FE" w:rsidRDefault="00FB0531" w:rsidP="006646FE">
            <w:pPr>
              <w:pStyle w:val="TableText0"/>
              <w:keepNext/>
              <w:jc w:val="center"/>
              <w:rPr>
                <w:b/>
              </w:rPr>
            </w:pPr>
            <w:r w:rsidRPr="006646FE">
              <w:rPr>
                <w:b/>
                <w:bCs/>
              </w:rPr>
              <w:t>up to 600U</w:t>
            </w:r>
          </w:p>
        </w:tc>
        <w:tc>
          <w:tcPr>
            <w:tcW w:w="708" w:type="dxa"/>
            <w:tcMar>
              <w:left w:w="28" w:type="dxa"/>
              <w:right w:w="28" w:type="dxa"/>
            </w:tcMar>
            <w:vAlign w:val="center"/>
          </w:tcPr>
          <w:p w14:paraId="17DB166C" w14:textId="77777777" w:rsidR="00FB0531" w:rsidRPr="006646FE" w:rsidRDefault="00FB0531" w:rsidP="006646FE">
            <w:pPr>
              <w:pStyle w:val="TableText0"/>
              <w:keepNext/>
              <w:jc w:val="center"/>
              <w:rPr>
                <w:b/>
              </w:rPr>
            </w:pPr>
            <w:r w:rsidRPr="006646FE">
              <w:rPr>
                <w:b/>
                <w:bCs/>
              </w:rPr>
              <w:t>up to 800U</w:t>
            </w:r>
          </w:p>
        </w:tc>
        <w:tc>
          <w:tcPr>
            <w:tcW w:w="1276" w:type="dxa"/>
            <w:vMerge/>
            <w:tcMar>
              <w:left w:w="28" w:type="dxa"/>
              <w:right w:w="28" w:type="dxa"/>
            </w:tcMar>
            <w:vAlign w:val="center"/>
          </w:tcPr>
          <w:p w14:paraId="4AF7D94B" w14:textId="77777777" w:rsidR="00FB0531" w:rsidRPr="006646FE" w:rsidRDefault="00FB0531" w:rsidP="006646FE">
            <w:pPr>
              <w:pStyle w:val="TableText0"/>
              <w:keepNext/>
              <w:jc w:val="center"/>
              <w:rPr>
                <w:b/>
              </w:rPr>
            </w:pPr>
          </w:p>
        </w:tc>
        <w:tc>
          <w:tcPr>
            <w:tcW w:w="709" w:type="dxa"/>
            <w:tcMar>
              <w:left w:w="28" w:type="dxa"/>
              <w:right w:w="28" w:type="dxa"/>
            </w:tcMar>
            <w:vAlign w:val="center"/>
          </w:tcPr>
          <w:p w14:paraId="2157E498" w14:textId="491CC639" w:rsidR="00FB0531" w:rsidRPr="006646FE" w:rsidRDefault="00FB0531" w:rsidP="006646FE">
            <w:pPr>
              <w:pStyle w:val="TableText0"/>
              <w:keepNext/>
              <w:jc w:val="center"/>
              <w:rPr>
                <w:b/>
              </w:rPr>
            </w:pPr>
            <w:r w:rsidRPr="006646FE">
              <w:rPr>
                <w:b/>
              </w:rPr>
              <w:t>1000U</w:t>
            </w:r>
          </w:p>
        </w:tc>
        <w:tc>
          <w:tcPr>
            <w:tcW w:w="709" w:type="dxa"/>
            <w:tcMar>
              <w:left w:w="28" w:type="dxa"/>
              <w:right w:w="28" w:type="dxa"/>
            </w:tcMar>
            <w:vAlign w:val="center"/>
          </w:tcPr>
          <w:p w14:paraId="43E96699" w14:textId="42ADF5F9" w:rsidR="00FB0531" w:rsidRPr="006646FE" w:rsidRDefault="00FB0531" w:rsidP="006646FE">
            <w:pPr>
              <w:pStyle w:val="TableText0"/>
              <w:keepNext/>
              <w:jc w:val="center"/>
              <w:rPr>
                <w:b/>
              </w:rPr>
            </w:pPr>
            <w:r w:rsidRPr="006646FE">
              <w:rPr>
                <w:b/>
              </w:rPr>
              <w:t>500U</w:t>
            </w:r>
          </w:p>
        </w:tc>
        <w:tc>
          <w:tcPr>
            <w:tcW w:w="708" w:type="dxa"/>
            <w:tcMar>
              <w:left w:w="28" w:type="dxa"/>
              <w:right w:w="28" w:type="dxa"/>
            </w:tcMar>
            <w:vAlign w:val="center"/>
          </w:tcPr>
          <w:p w14:paraId="6C11CB14" w14:textId="77777777" w:rsidR="00FB0531" w:rsidRPr="006646FE" w:rsidRDefault="00FB0531" w:rsidP="006646FE">
            <w:pPr>
              <w:pStyle w:val="TableText0"/>
              <w:keepNext/>
              <w:jc w:val="center"/>
              <w:rPr>
                <w:b/>
              </w:rPr>
            </w:pPr>
            <w:r w:rsidRPr="006646FE">
              <w:rPr>
                <w:b/>
              </w:rPr>
              <w:t>Placebo</w:t>
            </w:r>
          </w:p>
        </w:tc>
        <w:tc>
          <w:tcPr>
            <w:tcW w:w="709" w:type="dxa"/>
            <w:tcMar>
              <w:left w:w="28" w:type="dxa"/>
              <w:right w:w="28" w:type="dxa"/>
            </w:tcMar>
            <w:vAlign w:val="center"/>
          </w:tcPr>
          <w:p w14:paraId="01A8B3C2" w14:textId="7F3F4712" w:rsidR="00FB0531" w:rsidRPr="006646FE" w:rsidRDefault="00FB0531" w:rsidP="006646FE">
            <w:pPr>
              <w:pStyle w:val="TableText0"/>
              <w:keepNext/>
              <w:jc w:val="center"/>
              <w:rPr>
                <w:b/>
              </w:rPr>
            </w:pPr>
            <w:r w:rsidRPr="006646FE">
              <w:rPr>
                <w:b/>
              </w:rPr>
              <w:t>1000U</w:t>
            </w:r>
          </w:p>
        </w:tc>
        <w:tc>
          <w:tcPr>
            <w:tcW w:w="709" w:type="dxa"/>
            <w:tcMar>
              <w:left w:w="28" w:type="dxa"/>
              <w:right w:w="28" w:type="dxa"/>
            </w:tcMar>
            <w:vAlign w:val="center"/>
          </w:tcPr>
          <w:p w14:paraId="4004C5C2" w14:textId="01B637C7" w:rsidR="00FB0531" w:rsidRPr="006646FE" w:rsidRDefault="00FB0531" w:rsidP="006646FE">
            <w:pPr>
              <w:pStyle w:val="TableText0"/>
              <w:keepNext/>
              <w:jc w:val="center"/>
              <w:rPr>
                <w:b/>
              </w:rPr>
            </w:pPr>
            <w:r w:rsidRPr="006646FE">
              <w:rPr>
                <w:b/>
              </w:rPr>
              <w:t>500U</w:t>
            </w:r>
          </w:p>
        </w:tc>
        <w:tc>
          <w:tcPr>
            <w:tcW w:w="799" w:type="dxa"/>
            <w:tcMar>
              <w:left w:w="28" w:type="dxa"/>
              <w:right w:w="28" w:type="dxa"/>
            </w:tcMar>
            <w:vAlign w:val="center"/>
          </w:tcPr>
          <w:p w14:paraId="12238ABB" w14:textId="77777777" w:rsidR="00FB0531" w:rsidRPr="006646FE" w:rsidRDefault="00FB0531" w:rsidP="006646FE">
            <w:pPr>
              <w:pStyle w:val="TableText0"/>
              <w:keepNext/>
              <w:jc w:val="center"/>
              <w:rPr>
                <w:b/>
              </w:rPr>
            </w:pPr>
            <w:r w:rsidRPr="006646FE">
              <w:rPr>
                <w:b/>
              </w:rPr>
              <w:t>Placebo</w:t>
            </w:r>
          </w:p>
        </w:tc>
      </w:tr>
      <w:tr w:rsidR="001506A5" w14:paraId="34642795" w14:textId="77777777" w:rsidTr="00753600">
        <w:trPr>
          <w:trHeight w:val="381"/>
          <w:tblHeader/>
          <w:jc w:val="center"/>
        </w:trPr>
        <w:tc>
          <w:tcPr>
            <w:tcW w:w="1271" w:type="dxa"/>
            <w:vMerge/>
            <w:tcMar>
              <w:left w:w="28" w:type="dxa"/>
              <w:right w:w="28" w:type="dxa"/>
            </w:tcMar>
            <w:vAlign w:val="center"/>
          </w:tcPr>
          <w:p w14:paraId="7899951C" w14:textId="77777777" w:rsidR="00FB0531" w:rsidRPr="006646FE" w:rsidRDefault="00FB0531" w:rsidP="006646FE">
            <w:pPr>
              <w:pStyle w:val="TableText0"/>
              <w:keepNext/>
              <w:jc w:val="center"/>
              <w:rPr>
                <w:b/>
              </w:rPr>
            </w:pPr>
          </w:p>
        </w:tc>
        <w:tc>
          <w:tcPr>
            <w:tcW w:w="2126" w:type="dxa"/>
            <w:gridSpan w:val="3"/>
            <w:tcMar>
              <w:left w:w="28" w:type="dxa"/>
              <w:right w:w="28" w:type="dxa"/>
            </w:tcMar>
            <w:vAlign w:val="center"/>
          </w:tcPr>
          <w:p w14:paraId="36FA53D3" w14:textId="67C39ECB" w:rsidR="00FB0531" w:rsidRPr="00E53F68" w:rsidRDefault="00FB0531" w:rsidP="006646FE">
            <w:pPr>
              <w:pStyle w:val="TableText0"/>
              <w:keepNext/>
              <w:jc w:val="center"/>
              <w:rPr>
                <w:b/>
              </w:rPr>
            </w:pPr>
            <w:r w:rsidRPr="006646FE">
              <w:rPr>
                <w:b/>
              </w:rPr>
              <w:t>Treatment response*</w:t>
            </w:r>
            <w:r w:rsidR="00BC17C3">
              <w:rPr>
                <w:b/>
              </w:rPr>
              <w:t>,</w:t>
            </w:r>
            <w:r w:rsidRPr="00E53F68">
              <w:rPr>
                <w:b/>
              </w:rPr>
              <w:t xml:space="preserve"> </w:t>
            </w:r>
            <w:r w:rsidR="00BC17C3">
              <w:rPr>
                <w:b/>
              </w:rPr>
              <w:br/>
            </w:r>
            <w:r w:rsidRPr="00E53F68">
              <w:rPr>
                <w:b/>
              </w:rPr>
              <w:t>n/N (%)</w:t>
            </w:r>
          </w:p>
        </w:tc>
        <w:tc>
          <w:tcPr>
            <w:tcW w:w="1276" w:type="dxa"/>
            <w:vMerge/>
            <w:tcMar>
              <w:left w:w="28" w:type="dxa"/>
              <w:right w:w="28" w:type="dxa"/>
            </w:tcMar>
            <w:vAlign w:val="center"/>
          </w:tcPr>
          <w:p w14:paraId="3C6E9AD9" w14:textId="77777777" w:rsidR="00FB0531" w:rsidRPr="00E53F68" w:rsidRDefault="00FB0531" w:rsidP="006646FE">
            <w:pPr>
              <w:pStyle w:val="TableText0"/>
              <w:keepNext/>
              <w:jc w:val="center"/>
              <w:rPr>
                <w:b/>
              </w:rPr>
            </w:pPr>
          </w:p>
        </w:tc>
        <w:tc>
          <w:tcPr>
            <w:tcW w:w="4343" w:type="dxa"/>
            <w:gridSpan w:val="6"/>
            <w:tcMar>
              <w:left w:w="28" w:type="dxa"/>
              <w:right w:w="28" w:type="dxa"/>
            </w:tcMar>
            <w:vAlign w:val="center"/>
          </w:tcPr>
          <w:p w14:paraId="7A373E76" w14:textId="3062FE9D" w:rsidR="00FB0531" w:rsidRPr="00E53F68" w:rsidRDefault="00FB0531" w:rsidP="006646FE">
            <w:pPr>
              <w:pStyle w:val="TableText0"/>
              <w:keepNext/>
              <w:jc w:val="center"/>
              <w:rPr>
                <w:b/>
              </w:rPr>
            </w:pPr>
            <w:r w:rsidRPr="00E53F68">
              <w:rPr>
                <w:b/>
              </w:rPr>
              <w:t>Treatment response**</w:t>
            </w:r>
            <w:r w:rsidR="00BC17C3">
              <w:rPr>
                <w:b/>
              </w:rPr>
              <w:t>,</w:t>
            </w:r>
            <w:r w:rsidRPr="00E53F68">
              <w:rPr>
                <w:b/>
              </w:rPr>
              <w:t xml:space="preserve"> </w:t>
            </w:r>
            <w:r w:rsidR="00BC17C3">
              <w:rPr>
                <w:b/>
              </w:rPr>
              <w:br/>
            </w:r>
            <w:r w:rsidRPr="00E53F68">
              <w:rPr>
                <w:b/>
              </w:rPr>
              <w:t>n/N (%)</w:t>
            </w:r>
          </w:p>
        </w:tc>
      </w:tr>
      <w:tr w:rsidR="001506A5" w14:paraId="4A040C7F" w14:textId="77777777" w:rsidTr="006646FE">
        <w:trPr>
          <w:trHeight w:val="20"/>
          <w:jc w:val="center"/>
        </w:trPr>
        <w:tc>
          <w:tcPr>
            <w:tcW w:w="1271" w:type="dxa"/>
            <w:tcMar>
              <w:left w:w="28" w:type="dxa"/>
              <w:right w:w="28" w:type="dxa"/>
            </w:tcMar>
          </w:tcPr>
          <w:p w14:paraId="014F5C92" w14:textId="77777777" w:rsidR="00FB0531" w:rsidRDefault="00FB0531" w:rsidP="00E53F68">
            <w:pPr>
              <w:pStyle w:val="TableText0"/>
              <w:keepNext/>
              <w:jc w:val="center"/>
            </w:pPr>
            <w:r>
              <w:t>Upper limb TCP</w:t>
            </w:r>
            <w:r>
              <w:br/>
              <w:t>N=114</w:t>
            </w:r>
          </w:p>
        </w:tc>
        <w:tc>
          <w:tcPr>
            <w:tcW w:w="709" w:type="dxa"/>
            <w:tcMar>
              <w:left w:w="28" w:type="dxa"/>
              <w:right w:w="28" w:type="dxa"/>
            </w:tcMar>
            <w:vAlign w:val="center"/>
          </w:tcPr>
          <w:p w14:paraId="5C9EED8E" w14:textId="77777777" w:rsidR="00FB0531" w:rsidRPr="00627830" w:rsidRDefault="00FB0531" w:rsidP="00E53F68">
            <w:pPr>
              <w:pStyle w:val="TableText0"/>
              <w:keepNext/>
              <w:jc w:val="center"/>
            </w:pPr>
            <w:r w:rsidRPr="00627830">
              <w:t>72/114 (63%)</w:t>
            </w:r>
          </w:p>
        </w:tc>
        <w:tc>
          <w:tcPr>
            <w:tcW w:w="709" w:type="dxa"/>
            <w:tcMar>
              <w:left w:w="28" w:type="dxa"/>
              <w:right w:w="28" w:type="dxa"/>
            </w:tcMar>
            <w:vAlign w:val="center"/>
          </w:tcPr>
          <w:p w14:paraId="580C5A58" w14:textId="77777777" w:rsidR="00FB0531" w:rsidRPr="00627830" w:rsidRDefault="00FB0531" w:rsidP="00E53F68">
            <w:pPr>
              <w:pStyle w:val="TableText0"/>
              <w:keepNext/>
              <w:jc w:val="center"/>
            </w:pPr>
            <w:r w:rsidRPr="00627830">
              <w:t>71/108 (66%)</w:t>
            </w:r>
          </w:p>
        </w:tc>
        <w:tc>
          <w:tcPr>
            <w:tcW w:w="708" w:type="dxa"/>
            <w:tcMar>
              <w:left w:w="28" w:type="dxa"/>
              <w:right w:w="28" w:type="dxa"/>
            </w:tcMar>
            <w:vAlign w:val="center"/>
          </w:tcPr>
          <w:p w14:paraId="6CF2CDA3" w14:textId="77777777" w:rsidR="00FB0531" w:rsidRPr="00627830" w:rsidRDefault="00FB0531" w:rsidP="00E53F68">
            <w:pPr>
              <w:pStyle w:val="TableText0"/>
              <w:keepNext/>
              <w:jc w:val="center"/>
            </w:pPr>
            <w:r w:rsidRPr="00627830">
              <w:t>69/100 (69%)</w:t>
            </w:r>
          </w:p>
        </w:tc>
        <w:tc>
          <w:tcPr>
            <w:tcW w:w="1276" w:type="dxa"/>
            <w:tcMar>
              <w:left w:w="28" w:type="dxa"/>
              <w:right w:w="28" w:type="dxa"/>
            </w:tcMar>
            <w:vAlign w:val="center"/>
          </w:tcPr>
          <w:p w14:paraId="39C7E718" w14:textId="09B3BAEF" w:rsidR="00FB0531" w:rsidRPr="00627830" w:rsidRDefault="00BC17C3" w:rsidP="00E53F68">
            <w:pPr>
              <w:pStyle w:val="TableText0"/>
              <w:keepNext/>
              <w:jc w:val="center"/>
            </w:pPr>
            <w:r>
              <w:t>Upper limb P</w:t>
            </w:r>
            <w:r w:rsidR="00FB0531">
              <w:t xml:space="preserve">TMG </w:t>
            </w:r>
            <w:r>
              <w:br/>
            </w:r>
            <w:r w:rsidR="00FB0531">
              <w:t xml:space="preserve">(ITT) </w:t>
            </w:r>
            <w:r w:rsidR="00FB0531" w:rsidRPr="00627830">
              <w:t>N=238</w:t>
            </w:r>
          </w:p>
        </w:tc>
        <w:tc>
          <w:tcPr>
            <w:tcW w:w="709" w:type="dxa"/>
            <w:tcMar>
              <w:left w:w="28" w:type="dxa"/>
              <w:right w:w="28" w:type="dxa"/>
            </w:tcMar>
            <w:vAlign w:val="center"/>
          </w:tcPr>
          <w:p w14:paraId="2A342EE7" w14:textId="453508D5" w:rsidR="00FB0531" w:rsidRPr="00627830" w:rsidRDefault="00FB0531" w:rsidP="00E53F68">
            <w:pPr>
              <w:pStyle w:val="TableText0"/>
              <w:keepNext/>
              <w:jc w:val="center"/>
            </w:pPr>
            <w:r w:rsidRPr="00627830">
              <w:t>62/79 (78.5%)</w:t>
            </w:r>
          </w:p>
        </w:tc>
        <w:tc>
          <w:tcPr>
            <w:tcW w:w="709" w:type="dxa"/>
            <w:tcMar>
              <w:left w:w="28" w:type="dxa"/>
              <w:right w:w="28" w:type="dxa"/>
            </w:tcMar>
            <w:vAlign w:val="center"/>
          </w:tcPr>
          <w:p w14:paraId="00C40B61" w14:textId="15448D77" w:rsidR="00FB0531" w:rsidRPr="00627830" w:rsidRDefault="00FB0531" w:rsidP="00E53F68">
            <w:pPr>
              <w:pStyle w:val="TableText0"/>
              <w:keepNext/>
              <w:jc w:val="center"/>
            </w:pPr>
            <w:r w:rsidRPr="00627830">
              <w:t>59/80 (73.8%)</w:t>
            </w:r>
          </w:p>
        </w:tc>
        <w:tc>
          <w:tcPr>
            <w:tcW w:w="708" w:type="dxa"/>
            <w:tcMar>
              <w:left w:w="28" w:type="dxa"/>
              <w:right w:w="28" w:type="dxa"/>
            </w:tcMar>
            <w:vAlign w:val="center"/>
          </w:tcPr>
          <w:p w14:paraId="7BF53438" w14:textId="77777777" w:rsidR="00FB0531" w:rsidRPr="00627830" w:rsidRDefault="00FB0531" w:rsidP="00E53F68">
            <w:pPr>
              <w:pStyle w:val="TableText0"/>
              <w:keepNext/>
              <w:jc w:val="center"/>
            </w:pPr>
            <w:r w:rsidRPr="00627830">
              <w:t>18/79 (22.8%)</w:t>
            </w:r>
          </w:p>
        </w:tc>
        <w:tc>
          <w:tcPr>
            <w:tcW w:w="709" w:type="dxa"/>
            <w:tcMar>
              <w:left w:w="28" w:type="dxa"/>
              <w:right w:w="28" w:type="dxa"/>
            </w:tcMar>
            <w:vAlign w:val="center"/>
          </w:tcPr>
          <w:p w14:paraId="437E3908" w14:textId="19BD59D9" w:rsidR="00FB0531" w:rsidRPr="00627830" w:rsidRDefault="00FB0531" w:rsidP="00E53F68">
            <w:pPr>
              <w:pStyle w:val="TableText0"/>
              <w:keepNext/>
              <w:jc w:val="center"/>
            </w:pPr>
            <w:r w:rsidRPr="00627830">
              <w:t>38/79 (48.1%)</w:t>
            </w:r>
          </w:p>
        </w:tc>
        <w:tc>
          <w:tcPr>
            <w:tcW w:w="709" w:type="dxa"/>
            <w:tcMar>
              <w:left w:w="28" w:type="dxa"/>
              <w:right w:w="28" w:type="dxa"/>
            </w:tcMar>
            <w:vAlign w:val="center"/>
          </w:tcPr>
          <w:p w14:paraId="3878425D" w14:textId="1CC490E5" w:rsidR="00FB0531" w:rsidRPr="00627830" w:rsidRDefault="00FB0531" w:rsidP="00E53F68">
            <w:pPr>
              <w:pStyle w:val="TableText0"/>
              <w:keepNext/>
              <w:jc w:val="center"/>
            </w:pPr>
            <w:r w:rsidRPr="00627830">
              <w:t>34/80 (42.5%)</w:t>
            </w:r>
          </w:p>
        </w:tc>
        <w:tc>
          <w:tcPr>
            <w:tcW w:w="799" w:type="dxa"/>
            <w:tcMar>
              <w:left w:w="28" w:type="dxa"/>
              <w:right w:w="28" w:type="dxa"/>
            </w:tcMar>
            <w:vAlign w:val="center"/>
          </w:tcPr>
          <w:p w14:paraId="7896BE00" w14:textId="77777777" w:rsidR="00FB0531" w:rsidRPr="00627830" w:rsidRDefault="00FB0531" w:rsidP="00E53F68">
            <w:pPr>
              <w:pStyle w:val="TableText0"/>
              <w:keepNext/>
              <w:jc w:val="center"/>
            </w:pPr>
            <w:r w:rsidRPr="00627830">
              <w:t>11/79 (13.9%)</w:t>
            </w:r>
          </w:p>
        </w:tc>
      </w:tr>
      <w:tr w:rsidR="001506A5" w14:paraId="15582D78" w14:textId="77777777" w:rsidTr="006646FE">
        <w:trPr>
          <w:trHeight w:val="20"/>
          <w:jc w:val="center"/>
        </w:trPr>
        <w:tc>
          <w:tcPr>
            <w:tcW w:w="1271" w:type="dxa"/>
            <w:tcMar>
              <w:left w:w="28" w:type="dxa"/>
              <w:right w:w="28" w:type="dxa"/>
            </w:tcMar>
          </w:tcPr>
          <w:p w14:paraId="18603FC7" w14:textId="77777777" w:rsidR="00FB0531" w:rsidRDefault="00FB0531" w:rsidP="00E53F68">
            <w:pPr>
              <w:pStyle w:val="TableText0"/>
              <w:keepNext/>
              <w:jc w:val="center"/>
            </w:pPr>
            <w:r>
              <w:t xml:space="preserve">Upper limb TCP (spasticity due to stroke) </w:t>
            </w:r>
            <w:r>
              <w:br/>
              <w:t>N=94</w:t>
            </w:r>
          </w:p>
        </w:tc>
        <w:tc>
          <w:tcPr>
            <w:tcW w:w="709" w:type="dxa"/>
            <w:tcMar>
              <w:left w:w="28" w:type="dxa"/>
              <w:right w:w="28" w:type="dxa"/>
            </w:tcMar>
            <w:vAlign w:val="center"/>
          </w:tcPr>
          <w:p w14:paraId="3F7B6E64" w14:textId="77777777" w:rsidR="00FB0531" w:rsidRPr="00627830" w:rsidRDefault="00FB0531" w:rsidP="00E53F68">
            <w:pPr>
              <w:pStyle w:val="TableText0"/>
              <w:keepNext/>
              <w:jc w:val="center"/>
            </w:pPr>
            <w:r w:rsidRPr="00627830">
              <w:t>60/94 (64%)</w:t>
            </w:r>
          </w:p>
        </w:tc>
        <w:tc>
          <w:tcPr>
            <w:tcW w:w="709" w:type="dxa"/>
            <w:tcMar>
              <w:left w:w="28" w:type="dxa"/>
              <w:right w:w="28" w:type="dxa"/>
            </w:tcMar>
            <w:vAlign w:val="center"/>
          </w:tcPr>
          <w:p w14:paraId="7D46B589" w14:textId="77777777" w:rsidR="00FB0531" w:rsidRPr="00627830" w:rsidRDefault="00FB0531" w:rsidP="00E53F68">
            <w:pPr>
              <w:pStyle w:val="TableText0"/>
              <w:keepNext/>
              <w:jc w:val="center"/>
            </w:pPr>
            <w:r w:rsidRPr="00627830">
              <w:t>63/91 (69%)</w:t>
            </w:r>
          </w:p>
        </w:tc>
        <w:tc>
          <w:tcPr>
            <w:tcW w:w="708" w:type="dxa"/>
            <w:tcMar>
              <w:left w:w="28" w:type="dxa"/>
              <w:right w:w="28" w:type="dxa"/>
            </w:tcMar>
            <w:vAlign w:val="center"/>
          </w:tcPr>
          <w:p w14:paraId="1CAF465A" w14:textId="77777777" w:rsidR="00FB0531" w:rsidRPr="00627830" w:rsidRDefault="00FB0531" w:rsidP="00E53F68">
            <w:pPr>
              <w:pStyle w:val="TableText0"/>
              <w:keepNext/>
              <w:jc w:val="center"/>
            </w:pPr>
            <w:r w:rsidRPr="00627830">
              <w:t>61/87 (70%)</w:t>
            </w:r>
          </w:p>
        </w:tc>
        <w:tc>
          <w:tcPr>
            <w:tcW w:w="1276" w:type="dxa"/>
            <w:tcMar>
              <w:left w:w="28" w:type="dxa"/>
              <w:right w:w="28" w:type="dxa"/>
            </w:tcMar>
            <w:vAlign w:val="center"/>
          </w:tcPr>
          <w:p w14:paraId="0B2AAEA9" w14:textId="3BF75142" w:rsidR="00FB0531" w:rsidRPr="00627830" w:rsidRDefault="00BC17C3" w:rsidP="00E53F68">
            <w:pPr>
              <w:pStyle w:val="TableText0"/>
              <w:keepNext/>
              <w:jc w:val="center"/>
            </w:pPr>
            <w:r>
              <w:t>-</w:t>
            </w:r>
          </w:p>
        </w:tc>
        <w:tc>
          <w:tcPr>
            <w:tcW w:w="709" w:type="dxa"/>
            <w:tcMar>
              <w:left w:w="28" w:type="dxa"/>
              <w:right w:w="28" w:type="dxa"/>
            </w:tcMar>
            <w:vAlign w:val="center"/>
          </w:tcPr>
          <w:p w14:paraId="7F7B3333" w14:textId="38CD0BF1" w:rsidR="00FB0531" w:rsidRPr="00627830" w:rsidRDefault="00A275F5" w:rsidP="00E53F68">
            <w:pPr>
              <w:pStyle w:val="TableText0"/>
              <w:keepNext/>
              <w:jc w:val="center"/>
            </w:pPr>
            <w:r>
              <w:t>-</w:t>
            </w:r>
          </w:p>
        </w:tc>
        <w:tc>
          <w:tcPr>
            <w:tcW w:w="709" w:type="dxa"/>
            <w:tcMar>
              <w:left w:w="28" w:type="dxa"/>
              <w:right w:w="28" w:type="dxa"/>
            </w:tcMar>
            <w:vAlign w:val="center"/>
          </w:tcPr>
          <w:p w14:paraId="3468395E" w14:textId="399CC3A1" w:rsidR="00FB0531" w:rsidRPr="00627830" w:rsidRDefault="00A275F5" w:rsidP="00E53F68">
            <w:pPr>
              <w:pStyle w:val="TableText0"/>
              <w:keepNext/>
              <w:jc w:val="center"/>
            </w:pPr>
            <w:r>
              <w:t>-</w:t>
            </w:r>
          </w:p>
        </w:tc>
        <w:tc>
          <w:tcPr>
            <w:tcW w:w="708" w:type="dxa"/>
            <w:tcMar>
              <w:left w:w="28" w:type="dxa"/>
              <w:right w:w="28" w:type="dxa"/>
            </w:tcMar>
            <w:vAlign w:val="center"/>
          </w:tcPr>
          <w:p w14:paraId="1D6D9F25" w14:textId="6F81F42C" w:rsidR="00FB0531" w:rsidRPr="00627830" w:rsidRDefault="00A275F5" w:rsidP="00E53F68">
            <w:pPr>
              <w:pStyle w:val="TableText0"/>
              <w:keepNext/>
              <w:jc w:val="center"/>
            </w:pPr>
            <w:r>
              <w:t>-</w:t>
            </w:r>
          </w:p>
        </w:tc>
        <w:tc>
          <w:tcPr>
            <w:tcW w:w="709" w:type="dxa"/>
            <w:tcMar>
              <w:left w:w="28" w:type="dxa"/>
              <w:right w:w="28" w:type="dxa"/>
            </w:tcMar>
            <w:vAlign w:val="center"/>
          </w:tcPr>
          <w:p w14:paraId="117F19AC" w14:textId="7F32CE47" w:rsidR="00FB0531" w:rsidRPr="00627830" w:rsidRDefault="00A275F5" w:rsidP="00E53F68">
            <w:pPr>
              <w:pStyle w:val="TableText0"/>
              <w:keepNext/>
              <w:jc w:val="center"/>
            </w:pPr>
            <w:r>
              <w:t>-</w:t>
            </w:r>
          </w:p>
        </w:tc>
        <w:tc>
          <w:tcPr>
            <w:tcW w:w="709" w:type="dxa"/>
            <w:tcMar>
              <w:left w:w="28" w:type="dxa"/>
              <w:right w:w="28" w:type="dxa"/>
            </w:tcMar>
            <w:vAlign w:val="center"/>
          </w:tcPr>
          <w:p w14:paraId="54089D0C" w14:textId="6B4F562A" w:rsidR="00FB0531" w:rsidRPr="00627830" w:rsidRDefault="00A275F5" w:rsidP="00E53F68">
            <w:pPr>
              <w:pStyle w:val="TableText0"/>
              <w:keepNext/>
              <w:jc w:val="center"/>
            </w:pPr>
            <w:r>
              <w:t>-</w:t>
            </w:r>
          </w:p>
        </w:tc>
        <w:tc>
          <w:tcPr>
            <w:tcW w:w="799" w:type="dxa"/>
            <w:tcMar>
              <w:left w:w="28" w:type="dxa"/>
              <w:right w:w="28" w:type="dxa"/>
            </w:tcMar>
            <w:vAlign w:val="center"/>
          </w:tcPr>
          <w:p w14:paraId="697DACB9" w14:textId="35BF151C" w:rsidR="00FB0531" w:rsidRPr="00627830" w:rsidRDefault="00A275F5" w:rsidP="00E53F68">
            <w:pPr>
              <w:pStyle w:val="TableText0"/>
              <w:keepNext/>
              <w:jc w:val="center"/>
            </w:pPr>
            <w:r>
              <w:t>-</w:t>
            </w:r>
          </w:p>
        </w:tc>
      </w:tr>
      <w:tr w:rsidR="001506A5" w14:paraId="3F79FFB1" w14:textId="77777777" w:rsidTr="006646FE">
        <w:trPr>
          <w:trHeight w:val="20"/>
          <w:jc w:val="center"/>
        </w:trPr>
        <w:tc>
          <w:tcPr>
            <w:tcW w:w="1271" w:type="dxa"/>
            <w:tcMar>
              <w:left w:w="28" w:type="dxa"/>
              <w:right w:w="28" w:type="dxa"/>
            </w:tcMar>
          </w:tcPr>
          <w:p w14:paraId="72D51C86" w14:textId="77777777" w:rsidR="00FB0531" w:rsidRDefault="00FB0531" w:rsidP="00E53F68">
            <w:pPr>
              <w:pStyle w:val="TableText0"/>
              <w:keepNext/>
              <w:jc w:val="center"/>
            </w:pPr>
            <w:r>
              <w:t xml:space="preserve">Upper limb TCP (spasticity due to other causes) </w:t>
            </w:r>
            <w:r>
              <w:br/>
              <w:t>N=20</w:t>
            </w:r>
          </w:p>
        </w:tc>
        <w:tc>
          <w:tcPr>
            <w:tcW w:w="709" w:type="dxa"/>
            <w:tcMar>
              <w:left w:w="28" w:type="dxa"/>
              <w:right w:w="28" w:type="dxa"/>
            </w:tcMar>
            <w:vAlign w:val="center"/>
          </w:tcPr>
          <w:p w14:paraId="74B428E7" w14:textId="77777777" w:rsidR="00FB0531" w:rsidRPr="00627830" w:rsidRDefault="00FB0531" w:rsidP="00E53F68">
            <w:pPr>
              <w:pStyle w:val="TableText0"/>
              <w:keepNext/>
              <w:jc w:val="center"/>
            </w:pPr>
            <w:r w:rsidRPr="00627830">
              <w:t>12/20 (60%)</w:t>
            </w:r>
          </w:p>
        </w:tc>
        <w:tc>
          <w:tcPr>
            <w:tcW w:w="709" w:type="dxa"/>
            <w:tcMar>
              <w:left w:w="28" w:type="dxa"/>
              <w:right w:w="28" w:type="dxa"/>
            </w:tcMar>
            <w:vAlign w:val="center"/>
          </w:tcPr>
          <w:p w14:paraId="3E92193C" w14:textId="77777777" w:rsidR="00FB0531" w:rsidRPr="00627830" w:rsidRDefault="00FB0531" w:rsidP="00E53F68">
            <w:pPr>
              <w:pStyle w:val="TableText0"/>
              <w:keepNext/>
              <w:jc w:val="center"/>
            </w:pPr>
            <w:r w:rsidRPr="00627830">
              <w:t>8/17 (47%)</w:t>
            </w:r>
          </w:p>
        </w:tc>
        <w:tc>
          <w:tcPr>
            <w:tcW w:w="708" w:type="dxa"/>
            <w:tcMar>
              <w:left w:w="28" w:type="dxa"/>
              <w:right w:w="28" w:type="dxa"/>
            </w:tcMar>
            <w:vAlign w:val="center"/>
          </w:tcPr>
          <w:p w14:paraId="05DEDB42" w14:textId="77777777" w:rsidR="00FB0531" w:rsidRPr="00627830" w:rsidRDefault="00FB0531" w:rsidP="00E53F68">
            <w:pPr>
              <w:pStyle w:val="TableText0"/>
              <w:keepNext/>
              <w:jc w:val="center"/>
            </w:pPr>
            <w:r w:rsidRPr="00627830">
              <w:t>8/13 (62%)</w:t>
            </w:r>
          </w:p>
        </w:tc>
        <w:tc>
          <w:tcPr>
            <w:tcW w:w="1276" w:type="dxa"/>
            <w:tcMar>
              <w:left w:w="28" w:type="dxa"/>
              <w:right w:w="28" w:type="dxa"/>
            </w:tcMar>
            <w:vAlign w:val="center"/>
          </w:tcPr>
          <w:p w14:paraId="518E18E4" w14:textId="19F52BAE" w:rsidR="00FB0531" w:rsidRPr="00627830" w:rsidRDefault="00BC17C3" w:rsidP="00E53F68">
            <w:pPr>
              <w:pStyle w:val="TableText0"/>
              <w:keepNext/>
              <w:jc w:val="center"/>
            </w:pPr>
            <w:r>
              <w:t>Upper limb</w:t>
            </w:r>
            <w:r>
              <w:br/>
            </w:r>
            <w:r w:rsidR="00FB0531">
              <w:t xml:space="preserve">PTMG </w:t>
            </w:r>
            <w:r>
              <w:br/>
            </w:r>
            <w:r w:rsidR="00FB0531">
              <w:t xml:space="preserve">(TBI subgroup) </w:t>
            </w:r>
            <w:r w:rsidR="00FB0531" w:rsidRPr="00627830">
              <w:t>N=23</w:t>
            </w:r>
          </w:p>
        </w:tc>
        <w:tc>
          <w:tcPr>
            <w:tcW w:w="709" w:type="dxa"/>
            <w:tcMar>
              <w:left w:w="28" w:type="dxa"/>
              <w:right w:w="28" w:type="dxa"/>
            </w:tcMar>
            <w:vAlign w:val="center"/>
          </w:tcPr>
          <w:p w14:paraId="4D9783BE" w14:textId="3309A9A7" w:rsidR="00FB0531" w:rsidRPr="00627830" w:rsidRDefault="00FB0531" w:rsidP="00E53F68">
            <w:pPr>
              <w:pStyle w:val="TableText0"/>
              <w:keepNext/>
              <w:jc w:val="center"/>
            </w:pPr>
            <w:r w:rsidRPr="00627830">
              <w:t>4/6 (66.7%)</w:t>
            </w:r>
          </w:p>
        </w:tc>
        <w:tc>
          <w:tcPr>
            <w:tcW w:w="709" w:type="dxa"/>
            <w:tcMar>
              <w:left w:w="28" w:type="dxa"/>
              <w:right w:w="28" w:type="dxa"/>
            </w:tcMar>
            <w:vAlign w:val="center"/>
          </w:tcPr>
          <w:p w14:paraId="1FA2199D" w14:textId="4E02EB7E" w:rsidR="00FB0531" w:rsidRPr="00627830" w:rsidRDefault="00FB0531" w:rsidP="00E53F68">
            <w:pPr>
              <w:pStyle w:val="TableText0"/>
              <w:keepNext/>
              <w:jc w:val="center"/>
            </w:pPr>
            <w:r w:rsidRPr="00627830">
              <w:t>5/8 (62.5%)</w:t>
            </w:r>
          </w:p>
        </w:tc>
        <w:tc>
          <w:tcPr>
            <w:tcW w:w="708" w:type="dxa"/>
            <w:tcMar>
              <w:left w:w="28" w:type="dxa"/>
              <w:right w:w="28" w:type="dxa"/>
            </w:tcMar>
            <w:vAlign w:val="center"/>
          </w:tcPr>
          <w:p w14:paraId="28BD7055" w14:textId="77777777" w:rsidR="00FB0531" w:rsidRPr="00627830" w:rsidRDefault="00FB0531" w:rsidP="00E53F68">
            <w:pPr>
              <w:pStyle w:val="TableText0"/>
              <w:keepNext/>
              <w:jc w:val="center"/>
            </w:pPr>
            <w:r w:rsidRPr="00627830">
              <w:t>2/9 (22.2%)</w:t>
            </w:r>
          </w:p>
        </w:tc>
        <w:tc>
          <w:tcPr>
            <w:tcW w:w="709" w:type="dxa"/>
            <w:tcMar>
              <w:left w:w="28" w:type="dxa"/>
              <w:right w:w="28" w:type="dxa"/>
            </w:tcMar>
            <w:vAlign w:val="center"/>
          </w:tcPr>
          <w:p w14:paraId="2461DDD7" w14:textId="6822AB9C" w:rsidR="00FB0531" w:rsidRPr="00627830" w:rsidRDefault="00FB0531" w:rsidP="00E53F68">
            <w:pPr>
              <w:pStyle w:val="TableText0"/>
              <w:keepNext/>
              <w:jc w:val="center"/>
            </w:pPr>
            <w:r w:rsidRPr="00627830">
              <w:t>1/6 (16.7%)</w:t>
            </w:r>
          </w:p>
        </w:tc>
        <w:tc>
          <w:tcPr>
            <w:tcW w:w="709" w:type="dxa"/>
            <w:tcMar>
              <w:left w:w="28" w:type="dxa"/>
              <w:right w:w="28" w:type="dxa"/>
            </w:tcMar>
            <w:vAlign w:val="center"/>
          </w:tcPr>
          <w:p w14:paraId="5EF06944" w14:textId="4C9E373F" w:rsidR="00FB0531" w:rsidRPr="00627830" w:rsidRDefault="00FB0531" w:rsidP="00E53F68">
            <w:pPr>
              <w:pStyle w:val="TableText0"/>
              <w:keepNext/>
              <w:jc w:val="center"/>
            </w:pPr>
            <w:r w:rsidRPr="00627830">
              <w:t>4/8 (50.0%)</w:t>
            </w:r>
          </w:p>
        </w:tc>
        <w:tc>
          <w:tcPr>
            <w:tcW w:w="799" w:type="dxa"/>
            <w:tcMar>
              <w:left w:w="28" w:type="dxa"/>
              <w:right w:w="28" w:type="dxa"/>
            </w:tcMar>
            <w:vAlign w:val="center"/>
          </w:tcPr>
          <w:p w14:paraId="48033E4E" w14:textId="77777777" w:rsidR="00FB0531" w:rsidRPr="00627830" w:rsidRDefault="00FB0531" w:rsidP="00E53F68">
            <w:pPr>
              <w:pStyle w:val="TableText0"/>
              <w:keepNext/>
              <w:jc w:val="center"/>
            </w:pPr>
            <w:r w:rsidRPr="00627830">
              <w:t>1/9 (11.1%)</w:t>
            </w:r>
          </w:p>
        </w:tc>
      </w:tr>
    </w:tbl>
    <w:p w14:paraId="200B9CE0" w14:textId="7F1919DF" w:rsidR="00BC17C3" w:rsidRPr="00185A0D" w:rsidRDefault="00BC17C3" w:rsidP="00E53F68">
      <w:pPr>
        <w:pStyle w:val="TableFooter"/>
      </w:pPr>
      <w:r>
        <w:t>* Reduction in AS ≥</w:t>
      </w:r>
      <w:r w:rsidR="00554518">
        <w:t xml:space="preserve"> </w:t>
      </w:r>
      <w:r>
        <w:t>1 in TCP</w:t>
      </w:r>
    </w:p>
    <w:p w14:paraId="788E138A" w14:textId="16B59372" w:rsidR="00BC17C3" w:rsidRDefault="00BC17C3" w:rsidP="00E53F68">
      <w:pPr>
        <w:pStyle w:val="TableFooter"/>
      </w:pPr>
      <w:r>
        <w:t>** R</w:t>
      </w:r>
      <w:r w:rsidRPr="004253BA">
        <w:t xml:space="preserve">eduction in </w:t>
      </w:r>
      <w:r>
        <w:t>M</w:t>
      </w:r>
      <w:r w:rsidRPr="004253BA">
        <w:t>AS ≥</w:t>
      </w:r>
      <w:r w:rsidR="00554518">
        <w:t xml:space="preserve"> </w:t>
      </w:r>
      <w:r w:rsidRPr="004253BA">
        <w:t>1</w:t>
      </w:r>
      <w:r>
        <w:t xml:space="preserve"> PTMG</w:t>
      </w:r>
    </w:p>
    <w:p w14:paraId="7D9090FC" w14:textId="34448B66" w:rsidR="00BC17C3" w:rsidRDefault="00BC17C3" w:rsidP="00E53F68">
      <w:pPr>
        <w:pStyle w:val="TableFooter"/>
      </w:pPr>
      <w:proofErr w:type="gramStart"/>
      <w:r w:rsidRPr="00AA50E1">
        <w:rPr>
          <w:vertAlign w:val="superscript"/>
        </w:rPr>
        <w:t>#</w:t>
      </w:r>
      <w:r>
        <w:rPr>
          <w:vertAlign w:val="superscript"/>
        </w:rPr>
        <w:t xml:space="preserve"> </w:t>
      </w:r>
      <w:r w:rsidR="00554518">
        <w:rPr>
          <w:vertAlign w:val="superscript"/>
        </w:rPr>
        <w:t xml:space="preserve"> </w:t>
      </w:r>
      <w:r w:rsidRPr="00185A0D">
        <w:t>Each</w:t>
      </w:r>
      <w:proofErr w:type="gramEnd"/>
      <w:r w:rsidRPr="00185A0D">
        <w:t xml:space="preserve"> injection cycle </w:t>
      </w:r>
      <w:r>
        <w:t xml:space="preserve">observation period of </w:t>
      </w:r>
      <w:r w:rsidRPr="00185A0D">
        <w:t>12 to 16 weeks in length</w:t>
      </w:r>
    </w:p>
    <w:p w14:paraId="2E171D7E" w14:textId="089F00DC" w:rsidR="00BC17C3" w:rsidRDefault="00BC17C3" w:rsidP="00E53F68">
      <w:pPr>
        <w:pStyle w:val="TableFooter"/>
      </w:pPr>
      <w:r>
        <w:t xml:space="preserve">AS = Ashworth Scale; ITT = intention-to-treat; MAS = Modified Ashworth Scale; </w:t>
      </w:r>
      <w:r w:rsidR="009B06D7">
        <w:t>PSD = P</w:t>
      </w:r>
      <w:r>
        <w:t xml:space="preserve">ublic </w:t>
      </w:r>
      <w:r w:rsidR="009B06D7">
        <w:t>Summary D</w:t>
      </w:r>
      <w:r>
        <w:t>ocument; PTMG = p</w:t>
      </w:r>
      <w:r w:rsidRPr="009C2312">
        <w:t>rimary target muscle group</w:t>
      </w:r>
      <w:r>
        <w:t>; TBI = traumatic brain injury; TCP = target clinical pattern</w:t>
      </w:r>
    </w:p>
    <w:p w14:paraId="70948801" w14:textId="4A4589EF" w:rsidR="00BC17C3" w:rsidRDefault="00BC17C3" w:rsidP="00E53F68">
      <w:pPr>
        <w:pStyle w:val="TableFooter"/>
      </w:pPr>
      <w:r>
        <w:t>Source: Table 4, p11 of the minor submission</w:t>
      </w:r>
    </w:p>
    <w:p w14:paraId="68C96180" w14:textId="77777777" w:rsidR="00BC17C3" w:rsidRPr="00E53F68" w:rsidRDefault="00BC17C3" w:rsidP="00E53F68"/>
    <w:p w14:paraId="3DFB3F58" w14:textId="2060BDFB" w:rsidR="00A849CA" w:rsidRPr="00E53F68" w:rsidRDefault="00A849CA" w:rsidP="00E53F68">
      <w:pPr>
        <w:pStyle w:val="Bodytextitalics"/>
        <w:jc w:val="both"/>
      </w:pPr>
      <w:r w:rsidRPr="00A849CA">
        <w:rPr>
          <w:i w:val="0"/>
        </w:rPr>
        <w:t xml:space="preserve">On the basis of a </w:t>
      </w:r>
      <w:r w:rsidRPr="00E53F68">
        <w:t>post-hoc</w:t>
      </w:r>
      <w:r w:rsidRPr="00A849CA">
        <w:rPr>
          <w:i w:val="0"/>
        </w:rPr>
        <w:t xml:space="preserve"> analysis of individual patient data from the TOWER study, the benefits of </w:t>
      </w:r>
      <w:proofErr w:type="spellStart"/>
      <w:r w:rsidRPr="00A849CA">
        <w:rPr>
          <w:i w:val="0"/>
        </w:rPr>
        <w:t>Xeomin</w:t>
      </w:r>
      <w:proofErr w:type="spellEnd"/>
      <w:r w:rsidRPr="00A849CA">
        <w:rPr>
          <w:i w:val="0"/>
        </w:rPr>
        <w:t xml:space="preserve">® in patients with a </w:t>
      </w:r>
      <w:r w:rsidR="00C059B7">
        <w:rPr>
          <w:i w:val="0"/>
        </w:rPr>
        <w:t xml:space="preserve">target clinical pattern (TCP) </w:t>
      </w:r>
      <w:r w:rsidRPr="00A849CA">
        <w:rPr>
          <w:i w:val="0"/>
        </w:rPr>
        <w:t>in the upper limb were observed in both stroke-related spasticity and non-stroke-related spasticity populations, with a response rate of 64%, 69% and 70% across the three treatment cycles for stroke-related spasticity and 60%, 47% and 62% for non-stroke-related spasticity. Th</w:t>
      </w:r>
      <w:r w:rsidR="00673E93">
        <w:rPr>
          <w:i w:val="0"/>
        </w:rPr>
        <w:t>e</w:t>
      </w:r>
      <w:r w:rsidRPr="00A849CA">
        <w:rPr>
          <w:i w:val="0"/>
        </w:rPr>
        <w:t xml:space="preserve"> </w:t>
      </w:r>
      <w:r w:rsidR="00C059B7">
        <w:rPr>
          <w:i w:val="0"/>
        </w:rPr>
        <w:t xml:space="preserve">submission claimed this was </w:t>
      </w:r>
      <w:r w:rsidRPr="00A849CA">
        <w:rPr>
          <w:i w:val="0"/>
        </w:rPr>
        <w:t xml:space="preserve">comparable </w:t>
      </w:r>
      <w:r w:rsidR="00C059B7">
        <w:rPr>
          <w:i w:val="0"/>
        </w:rPr>
        <w:t xml:space="preserve">to the results from Study 145, in which </w:t>
      </w:r>
      <w:r w:rsidRPr="00A849CA">
        <w:rPr>
          <w:i w:val="0"/>
        </w:rPr>
        <w:t xml:space="preserve">treatment with </w:t>
      </w:r>
      <w:proofErr w:type="spellStart"/>
      <w:r w:rsidRPr="00A849CA">
        <w:rPr>
          <w:i w:val="0"/>
        </w:rPr>
        <w:t>Dysport</w:t>
      </w:r>
      <w:proofErr w:type="spellEnd"/>
      <w:r w:rsidRPr="00A849CA">
        <w:rPr>
          <w:i w:val="0"/>
        </w:rPr>
        <w:t>® 1</w:t>
      </w:r>
      <w:r w:rsidR="001506A5">
        <w:rPr>
          <w:i w:val="0"/>
        </w:rPr>
        <w:t>,</w:t>
      </w:r>
      <w:r w:rsidRPr="00A849CA">
        <w:rPr>
          <w:i w:val="0"/>
        </w:rPr>
        <w:t>000U produced a response rate of 78.5% after 4 weeks and 48.1% after 12 weeks.</w:t>
      </w:r>
    </w:p>
    <w:p w14:paraId="446085F4" w14:textId="30A7B5E9" w:rsidR="00C059B7" w:rsidRPr="00E53F68" w:rsidRDefault="00C059B7" w:rsidP="00E53F68">
      <w:pPr>
        <w:pStyle w:val="Bodytextitalics"/>
        <w:jc w:val="both"/>
      </w:pPr>
      <w:r>
        <w:rPr>
          <w:rFonts w:eastAsiaTheme="majorEastAsia" w:cstheme="majorBidi"/>
          <w:i w:val="0"/>
          <w:szCs w:val="24"/>
          <w:lang w:eastAsia="en-US"/>
        </w:rPr>
        <w:lastRenderedPageBreak/>
        <w:t xml:space="preserve">The minor submission acknowledged potential weaknesses in the clinical evidence from the TOWER </w:t>
      </w:r>
      <w:r w:rsidR="001506A5">
        <w:rPr>
          <w:rFonts w:eastAsiaTheme="majorEastAsia" w:cstheme="majorBidi"/>
          <w:i w:val="0"/>
          <w:szCs w:val="24"/>
          <w:lang w:eastAsia="en-US"/>
        </w:rPr>
        <w:t xml:space="preserve">study </w:t>
      </w:r>
      <w:r>
        <w:rPr>
          <w:rFonts w:eastAsiaTheme="majorEastAsia" w:cstheme="majorBidi"/>
          <w:i w:val="0"/>
          <w:szCs w:val="24"/>
          <w:lang w:eastAsia="en-US"/>
        </w:rPr>
        <w:t>in terms of:</w:t>
      </w:r>
    </w:p>
    <w:p w14:paraId="0EA8B4E1" w14:textId="650CBD66" w:rsidR="00C059B7" w:rsidRPr="00E53F68" w:rsidRDefault="00C059B7" w:rsidP="00E53F68">
      <w:pPr>
        <w:pStyle w:val="Bodytextitalics"/>
        <w:numPr>
          <w:ilvl w:val="1"/>
          <w:numId w:val="26"/>
        </w:numPr>
        <w:ind w:left="1077" w:hanging="357"/>
        <w:jc w:val="both"/>
      </w:pPr>
      <w:r>
        <w:rPr>
          <w:rFonts w:eastAsiaTheme="majorEastAsia" w:cstheme="majorBidi"/>
          <w:i w:val="0"/>
          <w:szCs w:val="24"/>
          <w:lang w:eastAsia="en-US"/>
        </w:rPr>
        <w:t>Two of the doses examined (600U and 800U) exceeded the maximum quantity amount requested on the PBS (400U). The submission noted that treatment in TOWER was administered to both upper and lower limbs and that treatment administered to the upper limbs would have been below 400U in the first cycle;</w:t>
      </w:r>
    </w:p>
    <w:p w14:paraId="34CAEA04" w14:textId="2CB4148C" w:rsidR="00C059B7" w:rsidRPr="00A849CA" w:rsidRDefault="009B6DC5" w:rsidP="00E53F68">
      <w:pPr>
        <w:pStyle w:val="Bodytextitalics"/>
        <w:numPr>
          <w:ilvl w:val="1"/>
          <w:numId w:val="26"/>
        </w:numPr>
        <w:ind w:left="1077" w:hanging="357"/>
        <w:jc w:val="both"/>
      </w:pPr>
      <w:r>
        <w:rPr>
          <w:rFonts w:eastAsiaTheme="majorEastAsia" w:cstheme="majorBidi"/>
          <w:i w:val="0"/>
          <w:szCs w:val="24"/>
          <w:lang w:eastAsia="en-US"/>
        </w:rPr>
        <w:t>As noted above, the</w:t>
      </w:r>
      <w:r w:rsidR="00C059B7">
        <w:rPr>
          <w:rFonts w:eastAsiaTheme="majorEastAsia" w:cstheme="majorBidi"/>
          <w:i w:val="0"/>
          <w:szCs w:val="24"/>
          <w:lang w:eastAsia="en-US"/>
        </w:rPr>
        <w:t xml:space="preserve"> TOWER study outcome was Ashworth Scale score, rather than Modified Ashworth Scale score. </w:t>
      </w:r>
      <w:r>
        <w:rPr>
          <w:rFonts w:eastAsiaTheme="majorEastAsia" w:cstheme="majorBidi"/>
          <w:i w:val="0"/>
          <w:szCs w:val="24"/>
          <w:lang w:eastAsia="en-US"/>
        </w:rPr>
        <w:t xml:space="preserve">The current and proposed PBS listing for </w:t>
      </w:r>
      <w:proofErr w:type="spellStart"/>
      <w:r>
        <w:rPr>
          <w:rFonts w:eastAsiaTheme="majorEastAsia" w:cstheme="majorBidi"/>
          <w:i w:val="0"/>
          <w:szCs w:val="24"/>
          <w:lang w:eastAsia="en-US"/>
        </w:rPr>
        <w:t>Xeomin</w:t>
      </w:r>
      <w:proofErr w:type="spellEnd"/>
      <w:r>
        <w:rPr>
          <w:rFonts w:eastAsiaTheme="majorEastAsia" w:cstheme="minorHAnsi"/>
          <w:i w:val="0"/>
          <w:szCs w:val="24"/>
          <w:lang w:eastAsia="en-US"/>
        </w:rPr>
        <w:t>®</w:t>
      </w:r>
      <w:r>
        <w:rPr>
          <w:rFonts w:eastAsiaTheme="majorEastAsia" w:cstheme="majorBidi"/>
          <w:i w:val="0"/>
          <w:szCs w:val="24"/>
          <w:lang w:eastAsia="en-US"/>
        </w:rPr>
        <w:t xml:space="preserve"> specifies that patients have moderate to severe spasticity, defined as a MAS score of </w:t>
      </w:r>
      <w:r>
        <w:rPr>
          <w:rFonts w:eastAsiaTheme="majorEastAsia" w:cstheme="minorHAnsi"/>
          <w:i w:val="0"/>
          <w:szCs w:val="24"/>
          <w:lang w:eastAsia="en-US"/>
        </w:rPr>
        <w:t>≥</w:t>
      </w:r>
      <w:r>
        <w:rPr>
          <w:rFonts w:eastAsiaTheme="majorEastAsia" w:cstheme="majorBidi"/>
          <w:i w:val="0"/>
          <w:szCs w:val="24"/>
          <w:lang w:eastAsia="en-US"/>
        </w:rPr>
        <w:t xml:space="preserve"> 3 to be eligible </w:t>
      </w:r>
      <w:r w:rsidRPr="006646FE">
        <w:rPr>
          <w:rFonts w:eastAsiaTheme="majorEastAsia" w:cstheme="majorBidi"/>
          <w:i w:val="0"/>
          <w:szCs w:val="24"/>
          <w:lang w:eastAsia="en-US"/>
        </w:rPr>
        <w:t>for treatment. T</w:t>
      </w:r>
      <w:r w:rsidR="0050293D" w:rsidRPr="006646FE">
        <w:rPr>
          <w:rFonts w:eastAsiaTheme="majorEastAsia" w:cstheme="majorBidi"/>
          <w:i w:val="0"/>
          <w:szCs w:val="24"/>
          <w:lang w:eastAsia="en-US"/>
        </w:rPr>
        <w:t xml:space="preserve">he submission stated that an AS score </w:t>
      </w:r>
      <w:r w:rsidR="0050293D" w:rsidRPr="006646FE">
        <w:rPr>
          <w:rFonts w:eastAsiaTheme="majorEastAsia" w:cstheme="minorHAnsi"/>
          <w:i w:val="0"/>
          <w:szCs w:val="24"/>
          <w:lang w:eastAsia="en-US"/>
        </w:rPr>
        <w:t>≥</w:t>
      </w:r>
      <w:r w:rsidR="0050293D" w:rsidRPr="006646FE">
        <w:rPr>
          <w:rFonts w:eastAsiaTheme="majorEastAsia" w:cstheme="majorBidi"/>
          <w:i w:val="0"/>
          <w:szCs w:val="24"/>
          <w:lang w:eastAsia="en-US"/>
        </w:rPr>
        <w:t xml:space="preserve"> 2 could be considered as moderate to severe spasticity</w:t>
      </w:r>
      <w:r w:rsidR="0050293D">
        <w:rPr>
          <w:rFonts w:eastAsiaTheme="majorEastAsia" w:cstheme="majorBidi"/>
          <w:i w:val="0"/>
          <w:szCs w:val="24"/>
          <w:lang w:eastAsia="en-US"/>
        </w:rPr>
        <w:t xml:space="preserve">. All patients in the TOWER study had an AS score </w:t>
      </w:r>
      <w:r w:rsidR="0050293D">
        <w:rPr>
          <w:rFonts w:eastAsiaTheme="majorEastAsia" w:cstheme="minorHAnsi"/>
          <w:i w:val="0"/>
          <w:szCs w:val="24"/>
          <w:lang w:eastAsia="en-US"/>
        </w:rPr>
        <w:t>≥</w:t>
      </w:r>
      <w:r w:rsidR="0050293D">
        <w:rPr>
          <w:rFonts w:eastAsiaTheme="majorEastAsia" w:cstheme="majorBidi"/>
          <w:i w:val="0"/>
          <w:szCs w:val="24"/>
          <w:lang w:eastAsia="en-US"/>
        </w:rPr>
        <w:t xml:space="preserve"> 2 in the joint associated with the selected TCP at baseline.</w:t>
      </w:r>
    </w:p>
    <w:p w14:paraId="396B3D24" w14:textId="15819A25" w:rsidR="00A849CA" w:rsidRPr="00E53F68" w:rsidRDefault="00A849CA" w:rsidP="00E53F68">
      <w:pPr>
        <w:pStyle w:val="Bodytextitalics"/>
        <w:numPr>
          <w:ilvl w:val="1"/>
          <w:numId w:val="26"/>
        </w:numPr>
        <w:ind w:left="1077" w:hanging="357"/>
        <w:jc w:val="both"/>
      </w:pPr>
      <w:r w:rsidRPr="00A849CA">
        <w:rPr>
          <w:i w:val="0"/>
        </w:rPr>
        <w:t>The sample sizes of the non-stroke cause</w:t>
      </w:r>
      <w:r w:rsidR="001506A5">
        <w:rPr>
          <w:i w:val="0"/>
        </w:rPr>
        <w:t>s</w:t>
      </w:r>
      <w:r w:rsidRPr="00A849CA">
        <w:rPr>
          <w:i w:val="0"/>
        </w:rPr>
        <w:t xml:space="preserve"> of spasticity </w:t>
      </w:r>
      <w:r w:rsidR="0050293D">
        <w:rPr>
          <w:i w:val="0"/>
        </w:rPr>
        <w:t>were</w:t>
      </w:r>
      <w:r w:rsidRPr="00A849CA">
        <w:rPr>
          <w:i w:val="0"/>
        </w:rPr>
        <w:t xml:space="preserve"> smal</w:t>
      </w:r>
      <w:r w:rsidR="0050293D">
        <w:rPr>
          <w:i w:val="0"/>
        </w:rPr>
        <w:t>l</w:t>
      </w:r>
      <w:r w:rsidRPr="00A849CA">
        <w:rPr>
          <w:i w:val="0"/>
        </w:rPr>
        <w:t xml:space="preserve">. </w:t>
      </w:r>
    </w:p>
    <w:p w14:paraId="4A9B3D1E" w14:textId="023E464C" w:rsidR="0050293D" w:rsidRPr="00C81663" w:rsidRDefault="0050293D" w:rsidP="00E53F68">
      <w:pPr>
        <w:pStyle w:val="Bodytextitalics"/>
        <w:jc w:val="both"/>
        <w:rPr>
          <w:i w:val="0"/>
        </w:rPr>
      </w:pPr>
      <w:r w:rsidRPr="00C81663">
        <w:rPr>
          <w:i w:val="0"/>
        </w:rPr>
        <w:t xml:space="preserve">The PBAC has previously considered that despite the lack of clinical trials in </w:t>
      </w:r>
      <w:r w:rsidR="009B71DD" w:rsidRPr="00C81663">
        <w:rPr>
          <w:i w:val="0"/>
        </w:rPr>
        <w:t>aetiologies</w:t>
      </w:r>
      <w:r w:rsidRPr="00C81663">
        <w:rPr>
          <w:i w:val="0"/>
        </w:rPr>
        <w:t xml:space="preserve"> other than stroke, the request to extend the listing </w:t>
      </w:r>
      <w:r w:rsidR="009B71DD" w:rsidRPr="00C81663">
        <w:rPr>
          <w:i w:val="0"/>
        </w:rPr>
        <w:t xml:space="preserve">of botulinum toxins to include acute events </w:t>
      </w:r>
      <w:r w:rsidRPr="00C81663">
        <w:rPr>
          <w:i w:val="0"/>
        </w:rPr>
        <w:t xml:space="preserve">was reasonable and biologically plausible (paragraph 5.2, </w:t>
      </w:r>
      <w:r w:rsidR="00E53F68" w:rsidRPr="00C81663">
        <w:rPr>
          <w:i w:val="0"/>
        </w:rPr>
        <w:t>Botox</w:t>
      </w:r>
      <w:r w:rsidR="008B656F" w:rsidRPr="00C81663">
        <w:rPr>
          <w:rFonts w:cstheme="minorHAnsi"/>
          <w:i w:val="0"/>
        </w:rPr>
        <w:t>®</w:t>
      </w:r>
      <w:r w:rsidR="00E53F68" w:rsidRPr="00C81663">
        <w:rPr>
          <w:i w:val="0"/>
        </w:rPr>
        <w:t xml:space="preserve"> PSD</w:t>
      </w:r>
      <w:r w:rsidRPr="00C81663">
        <w:rPr>
          <w:i w:val="0"/>
        </w:rPr>
        <w:t>, March 2019</w:t>
      </w:r>
      <w:r w:rsidR="00F257B1" w:rsidRPr="00C81663">
        <w:rPr>
          <w:i w:val="0"/>
        </w:rPr>
        <w:t xml:space="preserve">; paragraph 7.2, </w:t>
      </w:r>
      <w:proofErr w:type="spellStart"/>
      <w:r w:rsidR="00F257B1" w:rsidRPr="00C81663">
        <w:rPr>
          <w:i w:val="0"/>
        </w:rPr>
        <w:t>Dysport</w:t>
      </w:r>
      <w:proofErr w:type="spellEnd"/>
      <w:r w:rsidR="008B656F" w:rsidRPr="00C81663">
        <w:rPr>
          <w:rFonts w:cstheme="minorHAnsi"/>
          <w:i w:val="0"/>
        </w:rPr>
        <w:t>®</w:t>
      </w:r>
      <w:r w:rsidR="00F257B1" w:rsidRPr="00C81663">
        <w:rPr>
          <w:i w:val="0"/>
        </w:rPr>
        <w:t xml:space="preserve"> PSD, July 2019</w:t>
      </w:r>
      <w:r w:rsidR="009B71DD" w:rsidRPr="00C81663">
        <w:rPr>
          <w:i w:val="0"/>
        </w:rPr>
        <w:t>).</w:t>
      </w:r>
      <w:r w:rsidR="00B26347" w:rsidRPr="00C81663">
        <w:rPr>
          <w:i w:val="0"/>
        </w:rPr>
        <w:t xml:space="preserve"> In addition, in July 2014 when </w:t>
      </w:r>
      <w:proofErr w:type="spellStart"/>
      <w:r w:rsidR="00B26347" w:rsidRPr="00C81663">
        <w:rPr>
          <w:i w:val="0"/>
        </w:rPr>
        <w:t>Xeomin</w:t>
      </w:r>
      <w:proofErr w:type="spellEnd"/>
      <w:r w:rsidR="00B26347" w:rsidRPr="00C81663">
        <w:rPr>
          <w:rFonts w:cstheme="minorHAnsi"/>
          <w:i w:val="0"/>
        </w:rPr>
        <w:t>®</w:t>
      </w:r>
      <w:r w:rsidR="00B26347" w:rsidRPr="00C81663">
        <w:rPr>
          <w:i w:val="0"/>
        </w:rPr>
        <w:t xml:space="preserve"> was recommended for upper limb spasticity on the basis of a cost-minimisation analysis with Botox</w:t>
      </w:r>
      <w:r w:rsidR="00B26347" w:rsidRPr="00C81663">
        <w:rPr>
          <w:rFonts w:cstheme="minorHAnsi"/>
          <w:i w:val="0"/>
        </w:rPr>
        <w:t>®</w:t>
      </w:r>
      <w:r w:rsidR="00B26347" w:rsidRPr="00C81663">
        <w:rPr>
          <w:i w:val="0"/>
        </w:rPr>
        <w:t>, the PBAC consider</w:t>
      </w:r>
      <w:r w:rsidR="00B7554B" w:rsidRPr="00C81663">
        <w:rPr>
          <w:i w:val="0"/>
        </w:rPr>
        <w:t>ed</w:t>
      </w:r>
      <w:r w:rsidR="00B26347" w:rsidRPr="00C81663">
        <w:rPr>
          <w:i w:val="0"/>
        </w:rPr>
        <w:t xml:space="preserve"> that both agents would be likely to have similar clinical effects as they are analogues of each other (paragraph 6.17, </w:t>
      </w:r>
      <w:proofErr w:type="spellStart"/>
      <w:r w:rsidR="00B26347" w:rsidRPr="00C81663">
        <w:rPr>
          <w:i w:val="0"/>
        </w:rPr>
        <w:t>Xeomin</w:t>
      </w:r>
      <w:proofErr w:type="spellEnd"/>
      <w:r w:rsidR="008B656F" w:rsidRPr="00C81663">
        <w:rPr>
          <w:rFonts w:cstheme="minorHAnsi"/>
          <w:i w:val="0"/>
        </w:rPr>
        <w:t>®</w:t>
      </w:r>
      <w:r w:rsidR="00B26347" w:rsidRPr="00C81663">
        <w:rPr>
          <w:i w:val="0"/>
        </w:rPr>
        <w:t xml:space="preserve"> PSD, July 2014).</w:t>
      </w:r>
    </w:p>
    <w:p w14:paraId="215DB990" w14:textId="61E66B25" w:rsidR="009B71DD" w:rsidRPr="00E53F68" w:rsidRDefault="009B71DD" w:rsidP="00E53F68">
      <w:pPr>
        <w:pStyle w:val="Bodytextitalics"/>
        <w:jc w:val="both"/>
        <w:rPr>
          <w:rFonts w:eastAsiaTheme="majorEastAsia" w:cstheme="majorBidi"/>
          <w:b/>
          <w:sz w:val="28"/>
          <w:szCs w:val="28"/>
          <w:lang w:eastAsia="en-US"/>
        </w:rPr>
      </w:pPr>
      <w:r w:rsidRPr="00E53F68">
        <w:rPr>
          <w:i w:val="0"/>
        </w:rPr>
        <w:t xml:space="preserve">As it was proposed that </w:t>
      </w:r>
      <w:proofErr w:type="spellStart"/>
      <w:r w:rsidRPr="00E53F68">
        <w:rPr>
          <w:i w:val="0"/>
        </w:rPr>
        <w:t>Xeomin</w:t>
      </w:r>
      <w:proofErr w:type="spellEnd"/>
      <w:r>
        <w:rPr>
          <w:rFonts w:cstheme="minorHAnsi"/>
          <w:i w:val="0"/>
        </w:rPr>
        <w:t>®</w:t>
      </w:r>
      <w:r w:rsidRPr="00E53F68">
        <w:rPr>
          <w:i w:val="0"/>
        </w:rPr>
        <w:t xml:space="preserve"> enter into the same Deed of Agreement as </w:t>
      </w:r>
      <w:proofErr w:type="spellStart"/>
      <w:r w:rsidRPr="00E53F68">
        <w:rPr>
          <w:i w:val="0"/>
        </w:rPr>
        <w:t>Dysport</w:t>
      </w:r>
      <w:proofErr w:type="spellEnd"/>
      <w:r>
        <w:rPr>
          <w:rFonts w:cstheme="minorHAnsi"/>
          <w:i w:val="0"/>
        </w:rPr>
        <w:t>®</w:t>
      </w:r>
      <w:r w:rsidRPr="00E53F68">
        <w:rPr>
          <w:i w:val="0"/>
        </w:rPr>
        <w:t>, including the SPA and RSA, the submission</w:t>
      </w:r>
      <w:r>
        <w:rPr>
          <w:rFonts w:eastAsiaTheme="majorEastAsia" w:cstheme="majorBidi"/>
          <w:b/>
          <w:sz w:val="28"/>
          <w:szCs w:val="28"/>
          <w:lang w:eastAsia="en-US"/>
        </w:rPr>
        <w:t xml:space="preserve"> </w:t>
      </w:r>
      <w:r w:rsidR="00B67E1E">
        <w:rPr>
          <w:rFonts w:eastAsiaTheme="majorEastAsia" w:cstheme="majorBidi"/>
          <w:i w:val="0"/>
          <w:szCs w:val="24"/>
          <w:lang w:eastAsia="en-US"/>
        </w:rPr>
        <w:t xml:space="preserve">requested the removal of the four </w:t>
      </w:r>
      <w:r>
        <w:rPr>
          <w:rFonts w:eastAsiaTheme="majorEastAsia" w:cstheme="majorBidi"/>
          <w:i w:val="0"/>
          <w:szCs w:val="24"/>
          <w:lang w:eastAsia="en-US"/>
        </w:rPr>
        <w:t>injections per lifetime limit from the restriction. The submission presented data from an open-label extension study</w:t>
      </w:r>
      <w:r w:rsidR="009673FE">
        <w:rPr>
          <w:rFonts w:eastAsiaTheme="majorEastAsia" w:cstheme="majorBidi"/>
          <w:i w:val="0"/>
          <w:szCs w:val="24"/>
          <w:lang w:eastAsia="en-US"/>
        </w:rPr>
        <w:t xml:space="preserve">, </w:t>
      </w:r>
      <w:proofErr w:type="spellStart"/>
      <w:r w:rsidR="009673FE">
        <w:rPr>
          <w:rFonts w:eastAsiaTheme="majorEastAsia" w:cstheme="majorBidi"/>
          <w:i w:val="0"/>
          <w:szCs w:val="24"/>
          <w:lang w:eastAsia="en-US"/>
        </w:rPr>
        <w:t>Kanovsky</w:t>
      </w:r>
      <w:proofErr w:type="spellEnd"/>
      <w:r w:rsidR="009673FE">
        <w:rPr>
          <w:rFonts w:eastAsiaTheme="majorEastAsia" w:cstheme="majorBidi"/>
          <w:i w:val="0"/>
          <w:szCs w:val="24"/>
          <w:lang w:eastAsia="en-US"/>
        </w:rPr>
        <w:t xml:space="preserve"> 2011, </w:t>
      </w:r>
      <w:r>
        <w:rPr>
          <w:rFonts w:eastAsiaTheme="majorEastAsia" w:cstheme="majorBidi"/>
          <w:i w:val="0"/>
          <w:szCs w:val="24"/>
          <w:lang w:eastAsia="en-US"/>
        </w:rPr>
        <w:t>demonstrat</w:t>
      </w:r>
      <w:r w:rsidR="009673FE">
        <w:rPr>
          <w:rFonts w:eastAsiaTheme="majorEastAsia" w:cstheme="majorBidi"/>
          <w:i w:val="0"/>
          <w:szCs w:val="24"/>
          <w:lang w:eastAsia="en-US"/>
        </w:rPr>
        <w:t>ing</w:t>
      </w:r>
      <w:r>
        <w:rPr>
          <w:rFonts w:eastAsiaTheme="majorEastAsia" w:cstheme="majorBidi"/>
          <w:i w:val="0"/>
          <w:szCs w:val="24"/>
          <w:lang w:eastAsia="en-US"/>
        </w:rPr>
        <w:t xml:space="preserve"> that </w:t>
      </w:r>
      <w:proofErr w:type="spellStart"/>
      <w:r w:rsidR="009673FE">
        <w:rPr>
          <w:rFonts w:eastAsiaTheme="majorEastAsia" w:cstheme="majorBidi"/>
          <w:i w:val="0"/>
          <w:szCs w:val="24"/>
          <w:lang w:eastAsia="en-US"/>
        </w:rPr>
        <w:t>Xeomin</w:t>
      </w:r>
      <w:proofErr w:type="spellEnd"/>
      <w:r w:rsidR="009673FE">
        <w:rPr>
          <w:rFonts w:eastAsiaTheme="majorEastAsia" w:cstheme="minorHAnsi"/>
          <w:i w:val="0"/>
          <w:szCs w:val="24"/>
          <w:lang w:eastAsia="en-US"/>
        </w:rPr>
        <w:t>®</w:t>
      </w:r>
      <w:r w:rsidR="009673FE">
        <w:rPr>
          <w:rFonts w:eastAsiaTheme="majorEastAsia" w:cstheme="majorBidi"/>
          <w:i w:val="0"/>
          <w:szCs w:val="24"/>
          <w:lang w:eastAsia="en-US"/>
        </w:rPr>
        <w:t xml:space="preserve"> continued to have a response after at least six treatment cycles.</w:t>
      </w:r>
    </w:p>
    <w:p w14:paraId="4F4AD322" w14:textId="0F997EFB" w:rsidR="005A3173" w:rsidRDefault="007F0021" w:rsidP="0093795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Comparative </w:t>
      </w:r>
      <w:r w:rsidR="005A3173" w:rsidRPr="000214D1">
        <w:rPr>
          <w:rFonts w:asciiTheme="minorHAnsi" w:eastAsiaTheme="majorEastAsia" w:hAnsiTheme="minorHAnsi" w:cstheme="majorBidi"/>
          <w:sz w:val="28"/>
          <w:szCs w:val="28"/>
          <w:lang w:eastAsia="en-US"/>
        </w:rPr>
        <w:t>harms</w:t>
      </w:r>
    </w:p>
    <w:p w14:paraId="0EA90F78" w14:textId="205857F0" w:rsidR="00A849CA" w:rsidRPr="00A849CA" w:rsidRDefault="009673FE" w:rsidP="00A849CA">
      <w:pPr>
        <w:pStyle w:val="Bodytextitalics"/>
      </w:pPr>
      <w:r>
        <w:rPr>
          <w:i w:val="0"/>
        </w:rPr>
        <w:t>The submission did not present an analysis of c</w:t>
      </w:r>
      <w:r w:rsidR="00A849CA">
        <w:rPr>
          <w:i w:val="0"/>
        </w:rPr>
        <w:t>omparative harms.</w:t>
      </w:r>
    </w:p>
    <w:p w14:paraId="45233162" w14:textId="3B8C34B7" w:rsidR="00977BF3" w:rsidRPr="00630019" w:rsidRDefault="005A3173" w:rsidP="00630019">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claim</w:t>
      </w:r>
    </w:p>
    <w:p w14:paraId="722A5025" w14:textId="532F60B5" w:rsidR="00F57A6D" w:rsidRPr="00554518" w:rsidRDefault="00FF2801" w:rsidP="00E53F68">
      <w:pPr>
        <w:pStyle w:val="3Bodytext"/>
        <w:jc w:val="both"/>
      </w:pPr>
      <w:r w:rsidRPr="003C2FB5">
        <w:t>The submission claimed</w:t>
      </w:r>
      <w:r w:rsidR="00BB7EC3" w:rsidRPr="003C2FB5">
        <w:t xml:space="preserve"> </w:t>
      </w:r>
      <w:r w:rsidR="009673FE">
        <w:t xml:space="preserve">that </w:t>
      </w:r>
      <w:proofErr w:type="spellStart"/>
      <w:r w:rsidR="009673FE">
        <w:t>Xeomin</w:t>
      </w:r>
      <w:proofErr w:type="spellEnd"/>
      <w:r w:rsidR="009673FE">
        <w:rPr>
          <w:rFonts w:cstheme="minorHAnsi"/>
        </w:rPr>
        <w:t>®</w:t>
      </w:r>
      <w:r w:rsidR="009673FE">
        <w:t xml:space="preserve"> was </w:t>
      </w:r>
      <w:r w:rsidR="00487910" w:rsidRPr="00487910">
        <w:t>non-inferior</w:t>
      </w:r>
      <w:r w:rsidR="00BB7EC3" w:rsidRPr="00487910">
        <w:t xml:space="preserve"> </w:t>
      </w:r>
      <w:r w:rsidR="009673FE">
        <w:t xml:space="preserve">in terms of </w:t>
      </w:r>
      <w:r w:rsidR="00BB7EC3" w:rsidRPr="00487910">
        <w:t xml:space="preserve">comparative effectiveness compared </w:t>
      </w:r>
      <w:r w:rsidR="009673FE">
        <w:t>to</w:t>
      </w:r>
      <w:r w:rsidR="009673FE" w:rsidRPr="00487910">
        <w:t xml:space="preserve"> </w:t>
      </w:r>
      <w:proofErr w:type="spellStart"/>
      <w:r w:rsidR="00487910" w:rsidRPr="00487910">
        <w:t>Dysport</w:t>
      </w:r>
      <w:proofErr w:type="spellEnd"/>
      <w:r w:rsidR="00487910" w:rsidRPr="00487910">
        <w:t>®</w:t>
      </w:r>
      <w:r w:rsidR="00C60C01">
        <w:t xml:space="preserve"> in patients with upper limb spasticity following an acute event</w:t>
      </w:r>
      <w:r w:rsidR="009673FE">
        <w:rPr>
          <w:i/>
        </w:rPr>
        <w:t>.</w:t>
      </w:r>
    </w:p>
    <w:p w14:paraId="5B9DDCF7" w14:textId="3038C31C" w:rsidR="00554518" w:rsidRPr="008306F3" w:rsidRDefault="00554518" w:rsidP="00E53F68">
      <w:pPr>
        <w:pStyle w:val="3Bodytext"/>
        <w:jc w:val="both"/>
      </w:pPr>
      <w:r>
        <w:t xml:space="preserve">The PBAC considered that the claim that </w:t>
      </w:r>
      <w:proofErr w:type="spellStart"/>
      <w:r>
        <w:t>Xeomin</w:t>
      </w:r>
      <w:proofErr w:type="spellEnd"/>
      <w:r w:rsidR="00702918">
        <w:rPr>
          <w:rFonts w:cstheme="minorHAnsi"/>
        </w:rPr>
        <w:t>®</w:t>
      </w:r>
      <w:r>
        <w:t xml:space="preserve"> was non-inferior to Botox</w:t>
      </w:r>
      <w:r w:rsidR="00702918">
        <w:rPr>
          <w:rFonts w:cstheme="minorHAnsi"/>
        </w:rPr>
        <w:t>®</w:t>
      </w:r>
      <w:r>
        <w:t xml:space="preserve"> in terms of comparative efficacy flowing an acute event was likely to reasonable give</w:t>
      </w:r>
      <w:r w:rsidR="00B67E1E">
        <w:t>n</w:t>
      </w:r>
      <w:r>
        <w:t xml:space="preserve"> the established interchangeability in </w:t>
      </w:r>
      <w:r w:rsidR="00702918">
        <w:t>post-stroke upper limb focal spasticity.</w:t>
      </w:r>
    </w:p>
    <w:p w14:paraId="5C51A096" w14:textId="5C7E5557" w:rsidR="005A3173"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Economic analysis</w:t>
      </w:r>
      <w:r w:rsidR="009803E4">
        <w:rPr>
          <w:rFonts w:asciiTheme="minorHAnsi" w:eastAsiaTheme="majorEastAsia" w:hAnsiTheme="minorHAnsi" w:cstheme="majorBidi"/>
          <w:sz w:val="28"/>
          <w:szCs w:val="28"/>
          <w:lang w:eastAsia="en-US"/>
        </w:rPr>
        <w:t xml:space="preserve"> </w:t>
      </w:r>
    </w:p>
    <w:p w14:paraId="745E8E4A" w14:textId="77777777" w:rsidR="009673FE" w:rsidRPr="00994844" w:rsidRDefault="009803E4" w:rsidP="005B3EF7">
      <w:pPr>
        <w:pStyle w:val="Bodytextitalics"/>
        <w:rPr>
          <w:i w:val="0"/>
        </w:rPr>
      </w:pPr>
      <w:r w:rsidRPr="005B3EF7">
        <w:rPr>
          <w:i w:val="0"/>
          <w:snapToGrid w:val="0"/>
          <w:lang w:eastAsia="en-US"/>
        </w:rPr>
        <w:t xml:space="preserve">The minor submission presented a cost-minimisation analysis of </w:t>
      </w:r>
      <w:proofErr w:type="spellStart"/>
      <w:r w:rsidR="00CC6525">
        <w:rPr>
          <w:i w:val="0"/>
          <w:snapToGrid w:val="0"/>
          <w:lang w:eastAsia="en-US"/>
        </w:rPr>
        <w:t>Xeomin</w:t>
      </w:r>
      <w:proofErr w:type="spellEnd"/>
      <w:r w:rsidR="00D336C8">
        <w:rPr>
          <w:i w:val="0"/>
          <w:snapToGrid w:val="0"/>
          <w:lang w:eastAsia="en-US"/>
        </w:rPr>
        <w:t>®</w:t>
      </w:r>
      <w:r w:rsidRPr="005B3EF7">
        <w:rPr>
          <w:i w:val="0"/>
          <w:snapToGrid w:val="0"/>
          <w:lang w:eastAsia="en-US"/>
        </w:rPr>
        <w:t xml:space="preserve"> </w:t>
      </w:r>
      <w:r w:rsidR="005B3EF7" w:rsidRPr="005B3EF7">
        <w:rPr>
          <w:i w:val="0"/>
          <w:snapToGrid w:val="0"/>
          <w:lang w:eastAsia="en-US"/>
        </w:rPr>
        <w:t xml:space="preserve">compared with </w:t>
      </w:r>
      <w:proofErr w:type="spellStart"/>
      <w:r w:rsidR="005B3EF7" w:rsidRPr="005B3EF7">
        <w:rPr>
          <w:i w:val="0"/>
          <w:snapToGrid w:val="0"/>
          <w:lang w:eastAsia="en-US"/>
        </w:rPr>
        <w:t>Dysport</w:t>
      </w:r>
      <w:proofErr w:type="spellEnd"/>
      <w:r w:rsidR="005B3EF7" w:rsidRPr="005B3EF7">
        <w:rPr>
          <w:i w:val="0"/>
        </w:rPr>
        <w:t>®</w:t>
      </w:r>
      <w:r w:rsidR="008A59D9" w:rsidRPr="005B3EF7">
        <w:rPr>
          <w:i w:val="0"/>
          <w:snapToGrid w:val="0"/>
          <w:lang w:eastAsia="en-US"/>
        </w:rPr>
        <w:t xml:space="preserve">. </w:t>
      </w:r>
    </w:p>
    <w:p w14:paraId="65CCD9C5" w14:textId="033DC942" w:rsidR="009673FE" w:rsidRPr="00994844" w:rsidRDefault="00CC3B97" w:rsidP="005B3EF7">
      <w:pPr>
        <w:pStyle w:val="Bodytextitalics"/>
        <w:rPr>
          <w:i w:val="0"/>
        </w:rPr>
      </w:pPr>
      <w:r w:rsidRPr="005B3EF7">
        <w:rPr>
          <w:i w:val="0"/>
          <w:snapToGrid w:val="0"/>
          <w:lang w:eastAsia="en-US"/>
        </w:rPr>
        <w:t xml:space="preserve">The equi-effective doses </w:t>
      </w:r>
      <w:r w:rsidR="008A59D9" w:rsidRPr="005B3EF7">
        <w:rPr>
          <w:i w:val="0"/>
          <w:snapToGrid w:val="0"/>
          <w:lang w:eastAsia="en-US"/>
        </w:rPr>
        <w:t>were</w:t>
      </w:r>
      <w:r w:rsidRPr="005B3EF7">
        <w:rPr>
          <w:i w:val="0"/>
          <w:snapToGrid w:val="0"/>
          <w:lang w:eastAsia="en-US"/>
        </w:rPr>
        <w:t xml:space="preserve"> estimated as</w:t>
      </w:r>
      <w:r w:rsidR="009673FE">
        <w:rPr>
          <w:i w:val="0"/>
          <w:snapToGrid w:val="0"/>
          <w:lang w:eastAsia="en-US"/>
        </w:rPr>
        <w:t>:</w:t>
      </w:r>
    </w:p>
    <w:p w14:paraId="204A1BA8" w14:textId="400F144B" w:rsidR="009673FE" w:rsidRPr="00994844" w:rsidRDefault="00CC6525" w:rsidP="00994844">
      <w:pPr>
        <w:pStyle w:val="Bodytextitalics"/>
        <w:numPr>
          <w:ilvl w:val="0"/>
          <w:numId w:val="0"/>
        </w:numPr>
        <w:ind w:left="720" w:firstLine="720"/>
        <w:rPr>
          <w:i w:val="0"/>
        </w:rPr>
      </w:pPr>
      <w:proofErr w:type="spellStart"/>
      <w:r>
        <w:rPr>
          <w:i w:val="0"/>
          <w:snapToGrid w:val="0"/>
          <w:lang w:eastAsia="en-US"/>
        </w:rPr>
        <w:t>Xeomin</w:t>
      </w:r>
      <w:proofErr w:type="spellEnd"/>
      <w:r w:rsidR="00D336C8">
        <w:rPr>
          <w:i w:val="0"/>
          <w:snapToGrid w:val="0"/>
          <w:lang w:eastAsia="en-US"/>
        </w:rPr>
        <w:t>®</w:t>
      </w:r>
      <w:r w:rsidR="005B3EF7" w:rsidRPr="005B3EF7">
        <w:rPr>
          <w:rFonts w:eastAsia="Times New Roman" w:cstheme="minorHAnsi"/>
          <w:i w:val="0"/>
          <w:snapToGrid w:val="0"/>
          <w:szCs w:val="24"/>
          <w:lang w:eastAsia="en-US"/>
        </w:rPr>
        <w:t xml:space="preserve"> </w:t>
      </w:r>
      <w:r w:rsidR="009673FE">
        <w:rPr>
          <w:rFonts w:eastAsia="Times New Roman" w:cstheme="minorHAnsi"/>
          <w:i w:val="0"/>
          <w:snapToGrid w:val="0"/>
          <w:szCs w:val="24"/>
          <w:lang w:eastAsia="en-US"/>
        </w:rPr>
        <w:t xml:space="preserve">1U = </w:t>
      </w:r>
      <w:proofErr w:type="spellStart"/>
      <w:r w:rsidR="005B3EF7" w:rsidRPr="005B3EF7">
        <w:rPr>
          <w:rFonts w:eastAsia="Times New Roman" w:cstheme="minorHAnsi"/>
          <w:i w:val="0"/>
          <w:snapToGrid w:val="0"/>
          <w:szCs w:val="24"/>
          <w:lang w:eastAsia="en-US"/>
        </w:rPr>
        <w:t>Dysport</w:t>
      </w:r>
      <w:proofErr w:type="spellEnd"/>
      <w:r w:rsidR="005B3EF7" w:rsidRPr="005B3EF7">
        <w:rPr>
          <w:rFonts w:eastAsia="Times New Roman" w:cstheme="minorHAnsi"/>
          <w:i w:val="0"/>
          <w:snapToGrid w:val="0"/>
          <w:szCs w:val="24"/>
          <w:lang w:eastAsia="en-US"/>
        </w:rPr>
        <w:t>® 4.3</w:t>
      </w:r>
      <w:r w:rsidR="009673FE">
        <w:rPr>
          <w:rFonts w:eastAsia="Times New Roman" w:cstheme="minorHAnsi"/>
          <w:i w:val="0"/>
          <w:snapToGrid w:val="0"/>
          <w:szCs w:val="24"/>
          <w:lang w:eastAsia="en-US"/>
        </w:rPr>
        <w:t>U</w:t>
      </w:r>
      <w:r w:rsidR="005B3EF7" w:rsidRPr="005B3EF7">
        <w:rPr>
          <w:rFonts w:eastAsia="Times New Roman" w:cstheme="minorHAnsi"/>
          <w:i w:val="0"/>
          <w:snapToGrid w:val="0"/>
          <w:szCs w:val="24"/>
          <w:lang w:eastAsia="en-US"/>
        </w:rPr>
        <w:t xml:space="preserve"> </w:t>
      </w:r>
    </w:p>
    <w:p w14:paraId="30493206" w14:textId="06989855" w:rsidR="00977BF3" w:rsidRPr="006646FE" w:rsidRDefault="005B3EF7">
      <w:pPr>
        <w:pStyle w:val="Bodytextitalics"/>
        <w:jc w:val="both"/>
      </w:pPr>
      <w:r w:rsidRPr="005B3EF7">
        <w:rPr>
          <w:rFonts w:eastAsia="Times New Roman" w:cstheme="minorHAnsi"/>
          <w:i w:val="0"/>
          <w:snapToGrid w:val="0"/>
          <w:szCs w:val="24"/>
          <w:lang w:eastAsia="en-US"/>
        </w:rPr>
        <w:t xml:space="preserve">This relativity </w:t>
      </w:r>
      <w:r w:rsidR="009673FE">
        <w:rPr>
          <w:rFonts w:eastAsia="Times New Roman" w:cstheme="minorHAnsi"/>
          <w:i w:val="0"/>
          <w:snapToGrid w:val="0"/>
          <w:szCs w:val="24"/>
          <w:lang w:eastAsia="en-US"/>
        </w:rPr>
        <w:t>wa</w:t>
      </w:r>
      <w:r w:rsidRPr="005B3EF7">
        <w:rPr>
          <w:rFonts w:eastAsia="Times New Roman" w:cstheme="minorHAnsi"/>
          <w:i w:val="0"/>
          <w:snapToGrid w:val="0"/>
          <w:szCs w:val="24"/>
          <w:lang w:eastAsia="en-US"/>
        </w:rPr>
        <w:t>s consistent with previous PBAC recommendations for the three botulinum toxin treatments.</w:t>
      </w:r>
      <w:r>
        <w:rPr>
          <w:rFonts w:eastAsia="Times New Roman" w:cstheme="minorHAnsi"/>
          <w:i w:val="0"/>
          <w:snapToGrid w:val="0"/>
          <w:szCs w:val="24"/>
          <w:lang w:eastAsia="en-US"/>
        </w:rPr>
        <w:t xml:space="preserve"> </w:t>
      </w:r>
      <w:r w:rsidR="008B656F">
        <w:rPr>
          <w:i w:val="0"/>
        </w:rPr>
        <w:t xml:space="preserve">The submission requested that the effective price of </w:t>
      </w:r>
      <w:proofErr w:type="spellStart"/>
      <w:r w:rsidR="008B656F">
        <w:rPr>
          <w:i w:val="0"/>
        </w:rPr>
        <w:t>Xeomin</w:t>
      </w:r>
      <w:proofErr w:type="spellEnd"/>
      <w:r w:rsidR="008B656F">
        <w:rPr>
          <w:rFonts w:cstheme="minorHAnsi"/>
          <w:i w:val="0"/>
        </w:rPr>
        <w:t>®</w:t>
      </w:r>
      <w:r w:rsidR="008B656F">
        <w:rPr>
          <w:i w:val="0"/>
        </w:rPr>
        <w:t xml:space="preserve"> retain the cost-minimisation therapeutic relativity with </w:t>
      </w:r>
      <w:proofErr w:type="spellStart"/>
      <w:r w:rsidR="008B656F">
        <w:rPr>
          <w:i w:val="0"/>
        </w:rPr>
        <w:t>Dysport</w:t>
      </w:r>
      <w:proofErr w:type="spellEnd"/>
      <w:r w:rsidR="008B656F">
        <w:rPr>
          <w:rFonts w:cstheme="minorHAnsi"/>
          <w:i w:val="0"/>
        </w:rPr>
        <w:t>®</w:t>
      </w:r>
      <w:r w:rsidR="008B656F">
        <w:rPr>
          <w:i w:val="0"/>
        </w:rPr>
        <w:t>.</w:t>
      </w:r>
    </w:p>
    <w:p w14:paraId="09C4E377" w14:textId="77777777" w:rsidR="009D6DE6" w:rsidRDefault="009D6DE6">
      <w:pPr>
        <w:rPr>
          <w:rFonts w:ascii="Arial Narrow" w:eastAsiaTheme="minorHAnsi" w:hAnsi="Arial Narrow" w:cstheme="minorBidi"/>
          <w:b/>
          <w:snapToGrid w:val="0"/>
          <w:sz w:val="20"/>
          <w:szCs w:val="20"/>
          <w:lang w:eastAsia="en-US"/>
        </w:rPr>
      </w:pPr>
      <w:r>
        <w:rPr>
          <w:rFonts w:ascii="Arial Narrow" w:hAnsi="Arial Narrow"/>
          <w:b/>
          <w:i/>
          <w:snapToGrid w:val="0"/>
          <w:sz w:val="20"/>
          <w:szCs w:val="20"/>
          <w:lang w:eastAsia="en-US"/>
        </w:rPr>
        <w:br w:type="page"/>
      </w:r>
    </w:p>
    <w:p w14:paraId="1E06DA11" w14:textId="027CD35A" w:rsidR="00FB0531" w:rsidRPr="00FB0531" w:rsidRDefault="00FB0531" w:rsidP="00A275F5">
      <w:pPr>
        <w:pStyle w:val="Bodytextitalics"/>
        <w:keepNext/>
        <w:numPr>
          <w:ilvl w:val="0"/>
          <w:numId w:val="0"/>
        </w:numPr>
        <w:spacing w:after="0"/>
        <w:rPr>
          <w:rFonts w:ascii="Arial Narrow" w:hAnsi="Arial Narrow"/>
          <w:b/>
          <w:i w:val="0"/>
          <w:sz w:val="20"/>
          <w:szCs w:val="20"/>
        </w:rPr>
      </w:pPr>
      <w:r w:rsidRPr="00FB0531">
        <w:rPr>
          <w:rFonts w:ascii="Arial Narrow" w:hAnsi="Arial Narrow"/>
          <w:b/>
          <w:i w:val="0"/>
          <w:snapToGrid w:val="0"/>
          <w:sz w:val="20"/>
          <w:szCs w:val="20"/>
          <w:lang w:eastAsia="en-US"/>
        </w:rPr>
        <w:lastRenderedPageBreak/>
        <w:t xml:space="preserve">Table </w:t>
      </w:r>
      <w:r w:rsidR="009673FE">
        <w:rPr>
          <w:rFonts w:ascii="Arial Narrow" w:hAnsi="Arial Narrow"/>
          <w:b/>
          <w:i w:val="0"/>
          <w:snapToGrid w:val="0"/>
          <w:sz w:val="20"/>
          <w:szCs w:val="20"/>
          <w:lang w:eastAsia="en-US"/>
        </w:rPr>
        <w:t>3:</w:t>
      </w:r>
      <w:r w:rsidRPr="00FB0531">
        <w:rPr>
          <w:rFonts w:ascii="Arial Narrow" w:hAnsi="Arial Narrow"/>
          <w:b/>
          <w:i w:val="0"/>
          <w:snapToGrid w:val="0"/>
          <w:sz w:val="20"/>
          <w:szCs w:val="20"/>
          <w:lang w:eastAsia="en-US"/>
        </w:rPr>
        <w:t xml:space="preserve"> Equi-effective doses and dose relativities of botulinum toxins for the upper limb spasticity indication</w:t>
      </w:r>
    </w:p>
    <w:tbl>
      <w:tblPr>
        <w:tblStyle w:val="TableGrid"/>
        <w:tblW w:w="5000" w:type="pct"/>
        <w:tblLayout w:type="fixed"/>
        <w:tblLook w:val="04A0" w:firstRow="1" w:lastRow="0" w:firstColumn="1" w:lastColumn="0" w:noHBand="0" w:noVBand="1"/>
        <w:tblCaption w:val="Table 3: Equi-effective doses and dose relativities of botulinum toxins for the upper limb spasticity indication"/>
      </w:tblPr>
      <w:tblGrid>
        <w:gridCol w:w="1697"/>
        <w:gridCol w:w="1277"/>
        <w:gridCol w:w="3258"/>
        <w:gridCol w:w="992"/>
        <w:gridCol w:w="1792"/>
      </w:tblGrid>
      <w:tr w:rsidR="004E4474" w:rsidRPr="00B06942" w14:paraId="4249B577" w14:textId="77777777" w:rsidTr="00753600">
        <w:trPr>
          <w:tblHeader/>
        </w:trPr>
        <w:tc>
          <w:tcPr>
            <w:tcW w:w="941" w:type="pct"/>
            <w:tcMar>
              <w:left w:w="28" w:type="dxa"/>
              <w:right w:w="28" w:type="dxa"/>
            </w:tcMar>
          </w:tcPr>
          <w:p w14:paraId="2EBE0DE5" w14:textId="2FE65A9E" w:rsidR="005B3EF7" w:rsidRPr="00B06942" w:rsidRDefault="005B3EF7" w:rsidP="00A275F5">
            <w:pPr>
              <w:pStyle w:val="TableText0"/>
              <w:keepNext/>
              <w:rPr>
                <w:b/>
                <w:bCs/>
              </w:rPr>
            </w:pPr>
          </w:p>
        </w:tc>
        <w:tc>
          <w:tcPr>
            <w:tcW w:w="708" w:type="pct"/>
            <w:tcMar>
              <w:left w:w="28" w:type="dxa"/>
              <w:right w:w="28" w:type="dxa"/>
            </w:tcMar>
          </w:tcPr>
          <w:p w14:paraId="4C27E754" w14:textId="6E210E3A" w:rsidR="005B3EF7" w:rsidRDefault="005B3EF7" w:rsidP="00A275F5">
            <w:pPr>
              <w:pStyle w:val="TableText0"/>
              <w:keepNext/>
              <w:jc w:val="center"/>
              <w:rPr>
                <w:b/>
                <w:bCs/>
              </w:rPr>
            </w:pPr>
            <w:r>
              <w:rPr>
                <w:b/>
                <w:bCs/>
              </w:rPr>
              <w:t>PBAC meeting</w:t>
            </w:r>
          </w:p>
        </w:tc>
        <w:tc>
          <w:tcPr>
            <w:tcW w:w="1807" w:type="pct"/>
            <w:tcMar>
              <w:left w:w="28" w:type="dxa"/>
              <w:right w:w="28" w:type="dxa"/>
            </w:tcMar>
          </w:tcPr>
          <w:p w14:paraId="31E252E4" w14:textId="19E35F45" w:rsidR="005B3EF7" w:rsidRPr="00B06942" w:rsidRDefault="005B3EF7" w:rsidP="00A275F5">
            <w:pPr>
              <w:pStyle w:val="TableText0"/>
              <w:keepNext/>
              <w:jc w:val="center"/>
              <w:rPr>
                <w:b/>
                <w:bCs/>
              </w:rPr>
            </w:pPr>
            <w:r>
              <w:rPr>
                <w:b/>
                <w:bCs/>
              </w:rPr>
              <w:t>Equi-</w:t>
            </w:r>
            <w:r w:rsidRPr="00B06942">
              <w:rPr>
                <w:b/>
                <w:bCs/>
              </w:rPr>
              <w:t>effe</w:t>
            </w:r>
            <w:r>
              <w:rPr>
                <w:b/>
                <w:bCs/>
              </w:rPr>
              <w:t>c</w:t>
            </w:r>
            <w:r w:rsidRPr="00B06942">
              <w:rPr>
                <w:b/>
                <w:bCs/>
              </w:rPr>
              <w:t>tive dose</w:t>
            </w:r>
            <w:r w:rsidR="004E4474">
              <w:rPr>
                <w:b/>
                <w:bCs/>
              </w:rPr>
              <w:t>s</w:t>
            </w:r>
          </w:p>
        </w:tc>
        <w:tc>
          <w:tcPr>
            <w:tcW w:w="550" w:type="pct"/>
            <w:tcMar>
              <w:left w:w="28" w:type="dxa"/>
              <w:right w:w="28" w:type="dxa"/>
            </w:tcMar>
          </w:tcPr>
          <w:p w14:paraId="5292B258" w14:textId="77777777" w:rsidR="005B3EF7" w:rsidRPr="00B06942" w:rsidRDefault="005B3EF7" w:rsidP="00A275F5">
            <w:pPr>
              <w:pStyle w:val="TableText0"/>
              <w:keepNext/>
              <w:jc w:val="center"/>
              <w:rPr>
                <w:b/>
                <w:bCs/>
              </w:rPr>
            </w:pPr>
            <w:r w:rsidRPr="00B06942">
              <w:rPr>
                <w:b/>
                <w:bCs/>
              </w:rPr>
              <w:t>Dose relativities</w:t>
            </w:r>
          </w:p>
        </w:tc>
        <w:tc>
          <w:tcPr>
            <w:tcW w:w="994" w:type="pct"/>
            <w:tcMar>
              <w:left w:w="28" w:type="dxa"/>
              <w:right w:w="28" w:type="dxa"/>
            </w:tcMar>
          </w:tcPr>
          <w:p w14:paraId="60D0B8AD" w14:textId="77777777" w:rsidR="005B3EF7" w:rsidRPr="00B06942" w:rsidRDefault="005B3EF7" w:rsidP="00A275F5">
            <w:pPr>
              <w:pStyle w:val="TableText0"/>
              <w:keepNext/>
              <w:rPr>
                <w:b/>
                <w:bCs/>
              </w:rPr>
            </w:pPr>
            <w:r w:rsidRPr="00B06942">
              <w:rPr>
                <w:b/>
                <w:bCs/>
              </w:rPr>
              <w:t>Source</w:t>
            </w:r>
          </w:p>
        </w:tc>
      </w:tr>
      <w:tr w:rsidR="009673FE" w:rsidRPr="00994844" w14:paraId="0E09ADA2" w14:textId="77777777" w:rsidTr="00994844">
        <w:tc>
          <w:tcPr>
            <w:tcW w:w="5000" w:type="pct"/>
            <w:gridSpan w:val="5"/>
            <w:tcMar>
              <w:left w:w="28" w:type="dxa"/>
              <w:right w:w="28" w:type="dxa"/>
            </w:tcMar>
          </w:tcPr>
          <w:p w14:paraId="5D728949" w14:textId="6915C88E" w:rsidR="009673FE" w:rsidRPr="00994844" w:rsidRDefault="009673FE" w:rsidP="00A275F5">
            <w:pPr>
              <w:pStyle w:val="TableText0"/>
              <w:keepNext/>
              <w:rPr>
                <w:b/>
              </w:rPr>
            </w:pPr>
            <w:r w:rsidRPr="00994844">
              <w:rPr>
                <w:b/>
              </w:rPr>
              <w:t>Previously accepted by the PBAC</w:t>
            </w:r>
          </w:p>
        </w:tc>
      </w:tr>
      <w:tr w:rsidR="004E4474" w14:paraId="5006B663" w14:textId="77777777" w:rsidTr="00994844">
        <w:tc>
          <w:tcPr>
            <w:tcW w:w="941" w:type="pct"/>
            <w:tcMar>
              <w:left w:w="28" w:type="dxa"/>
              <w:right w:w="28" w:type="dxa"/>
            </w:tcMar>
          </w:tcPr>
          <w:p w14:paraId="20C3704C" w14:textId="620AE6B8" w:rsidR="005B3EF7" w:rsidRDefault="005B3EF7" w:rsidP="00A275F5">
            <w:pPr>
              <w:pStyle w:val="TableText0"/>
              <w:keepNext/>
            </w:pPr>
            <w:r>
              <w:t>Botox</w:t>
            </w:r>
            <w:r w:rsidR="009673FE" w:rsidRPr="00994844">
              <w:rPr>
                <w:vertAlign w:val="superscript"/>
              </w:rPr>
              <w:t>®</w:t>
            </w:r>
            <w:r>
              <w:t xml:space="preserve"> vs. </w:t>
            </w:r>
            <w:proofErr w:type="spellStart"/>
            <w:r>
              <w:t>Dysport</w:t>
            </w:r>
            <w:proofErr w:type="spellEnd"/>
            <w:r w:rsidR="009673FE" w:rsidRPr="002B7C2E">
              <w:rPr>
                <w:vertAlign w:val="superscript"/>
              </w:rPr>
              <w:t>®</w:t>
            </w:r>
          </w:p>
        </w:tc>
        <w:tc>
          <w:tcPr>
            <w:tcW w:w="708" w:type="pct"/>
            <w:tcMar>
              <w:left w:w="28" w:type="dxa"/>
              <w:right w:w="28" w:type="dxa"/>
            </w:tcMar>
          </w:tcPr>
          <w:p w14:paraId="04B7D3D4" w14:textId="127E6A70" w:rsidR="005B3EF7" w:rsidDel="00A843AD" w:rsidRDefault="005B3EF7" w:rsidP="00A275F5">
            <w:pPr>
              <w:pStyle w:val="TableText0"/>
              <w:keepNext/>
              <w:jc w:val="center"/>
            </w:pPr>
            <w:r>
              <w:t>July 2008</w:t>
            </w:r>
          </w:p>
        </w:tc>
        <w:tc>
          <w:tcPr>
            <w:tcW w:w="1807" w:type="pct"/>
            <w:tcMar>
              <w:left w:w="28" w:type="dxa"/>
              <w:right w:w="28" w:type="dxa"/>
            </w:tcMar>
          </w:tcPr>
          <w:p w14:paraId="1B4612AE" w14:textId="7A5DA7A0" w:rsidR="005B3EF7" w:rsidRDefault="005B3EF7" w:rsidP="00A275F5">
            <w:pPr>
              <w:pStyle w:val="TableText0"/>
              <w:keepNext/>
              <w:jc w:val="center"/>
            </w:pPr>
            <w:r>
              <w:t>Botox</w:t>
            </w:r>
            <w:r w:rsidR="009673FE" w:rsidRPr="002B7C2E">
              <w:rPr>
                <w:vertAlign w:val="superscript"/>
              </w:rPr>
              <w:t>®</w:t>
            </w:r>
            <w:r>
              <w:t xml:space="preserve"> </w:t>
            </w:r>
            <w:r w:rsidRPr="00D90647">
              <w:t xml:space="preserve">229U per treatment course </w:t>
            </w:r>
            <w:r w:rsidR="009673FE">
              <w:t>=</w:t>
            </w:r>
            <w:r w:rsidR="009673FE" w:rsidRPr="00D90647">
              <w:t xml:space="preserve"> </w:t>
            </w:r>
            <w:r w:rsidR="004E4474">
              <w:br/>
            </w:r>
            <w:proofErr w:type="spellStart"/>
            <w:r w:rsidRPr="00D90647">
              <w:t>Dysport</w:t>
            </w:r>
            <w:proofErr w:type="spellEnd"/>
            <w:r w:rsidR="009673FE" w:rsidRPr="002B7C2E">
              <w:rPr>
                <w:vertAlign w:val="superscript"/>
              </w:rPr>
              <w:t>®</w:t>
            </w:r>
            <w:r w:rsidRPr="00D90647">
              <w:t xml:space="preserve"> 989U per treatment course</w:t>
            </w:r>
          </w:p>
        </w:tc>
        <w:tc>
          <w:tcPr>
            <w:tcW w:w="550" w:type="pct"/>
            <w:tcMar>
              <w:left w:w="28" w:type="dxa"/>
              <w:right w:w="28" w:type="dxa"/>
            </w:tcMar>
          </w:tcPr>
          <w:p w14:paraId="6A476C8F" w14:textId="77777777" w:rsidR="005B3EF7" w:rsidRDefault="005B3EF7" w:rsidP="00A275F5">
            <w:pPr>
              <w:pStyle w:val="TableText0"/>
              <w:keepNext/>
              <w:jc w:val="center"/>
            </w:pPr>
            <w:r>
              <w:t>1:4.3</w:t>
            </w:r>
          </w:p>
        </w:tc>
        <w:tc>
          <w:tcPr>
            <w:tcW w:w="994" w:type="pct"/>
            <w:tcMar>
              <w:left w:w="28" w:type="dxa"/>
              <w:right w:w="28" w:type="dxa"/>
            </w:tcMar>
          </w:tcPr>
          <w:p w14:paraId="511C9180" w14:textId="55FE0186" w:rsidR="005B3EF7" w:rsidRDefault="005B3EF7" w:rsidP="00A275F5">
            <w:pPr>
              <w:pStyle w:val="TableText0"/>
              <w:keepNext/>
            </w:pPr>
            <w:r>
              <w:t>Botox</w:t>
            </w:r>
            <w:r w:rsidR="009673FE" w:rsidRPr="002B7C2E">
              <w:rPr>
                <w:vertAlign w:val="superscript"/>
              </w:rPr>
              <w:t>®</w:t>
            </w:r>
            <w:r>
              <w:t xml:space="preserve"> PSD July 2008</w:t>
            </w:r>
          </w:p>
        </w:tc>
      </w:tr>
      <w:tr w:rsidR="004E4474" w14:paraId="31CE5B78" w14:textId="77777777" w:rsidTr="00994844">
        <w:tc>
          <w:tcPr>
            <w:tcW w:w="941" w:type="pct"/>
            <w:tcMar>
              <w:left w:w="28" w:type="dxa"/>
              <w:right w:w="28" w:type="dxa"/>
            </w:tcMar>
          </w:tcPr>
          <w:p w14:paraId="2C8FDA78" w14:textId="75F48C13" w:rsidR="005B3EF7" w:rsidRDefault="005B3EF7" w:rsidP="00A275F5">
            <w:pPr>
              <w:pStyle w:val="TableText0"/>
              <w:keepNext/>
            </w:pPr>
            <w:r>
              <w:t>Botox</w:t>
            </w:r>
            <w:r w:rsidR="009673FE" w:rsidRPr="002B7C2E">
              <w:rPr>
                <w:vertAlign w:val="superscript"/>
              </w:rPr>
              <w:t>®</w:t>
            </w:r>
            <w:r>
              <w:t xml:space="preserve"> vs. </w:t>
            </w:r>
            <w:proofErr w:type="spellStart"/>
            <w:r w:rsidR="00CC6525">
              <w:t>Xeomin</w:t>
            </w:r>
            <w:proofErr w:type="spellEnd"/>
            <w:r w:rsidR="009673FE" w:rsidRPr="002B7C2E">
              <w:rPr>
                <w:vertAlign w:val="superscript"/>
              </w:rPr>
              <w:t>®</w:t>
            </w:r>
          </w:p>
        </w:tc>
        <w:tc>
          <w:tcPr>
            <w:tcW w:w="708" w:type="pct"/>
            <w:tcMar>
              <w:left w:w="28" w:type="dxa"/>
              <w:right w:w="28" w:type="dxa"/>
            </w:tcMar>
          </w:tcPr>
          <w:p w14:paraId="25BCF3A7" w14:textId="77777777" w:rsidR="005B3EF7" w:rsidDel="00A843AD" w:rsidRDefault="005B3EF7" w:rsidP="00A275F5">
            <w:pPr>
              <w:pStyle w:val="TableText0"/>
              <w:keepNext/>
              <w:jc w:val="center"/>
            </w:pPr>
            <w:r>
              <w:t>July 2014</w:t>
            </w:r>
          </w:p>
        </w:tc>
        <w:tc>
          <w:tcPr>
            <w:tcW w:w="1807" w:type="pct"/>
            <w:tcMar>
              <w:left w:w="28" w:type="dxa"/>
              <w:right w:w="28" w:type="dxa"/>
            </w:tcMar>
          </w:tcPr>
          <w:p w14:paraId="5CDC2123" w14:textId="2F4A9F51" w:rsidR="005B3EF7" w:rsidRDefault="00CC6525" w:rsidP="00A275F5">
            <w:pPr>
              <w:pStyle w:val="TableText0"/>
              <w:keepNext/>
              <w:jc w:val="center"/>
            </w:pPr>
            <w:proofErr w:type="spellStart"/>
            <w:r>
              <w:t>Xeomin</w:t>
            </w:r>
            <w:proofErr w:type="spellEnd"/>
            <w:r w:rsidR="009673FE" w:rsidRPr="002B7C2E">
              <w:rPr>
                <w:vertAlign w:val="superscript"/>
              </w:rPr>
              <w:t>®</w:t>
            </w:r>
            <w:r w:rsidR="005B3EF7">
              <w:t xml:space="preserve"> 229U (over </w:t>
            </w:r>
            <w:proofErr w:type="spellStart"/>
            <w:r w:rsidR="005B3EF7">
              <w:t>approx</w:t>
            </w:r>
            <w:proofErr w:type="spellEnd"/>
            <w:r w:rsidR="005B3EF7">
              <w:t xml:space="preserve"> 87 days) </w:t>
            </w:r>
            <w:r w:rsidR="009673FE">
              <w:t xml:space="preserve">= </w:t>
            </w:r>
            <w:r w:rsidR="009673FE">
              <w:br/>
            </w:r>
            <w:r w:rsidR="005B3EF7">
              <w:t>Botox 229U Botox</w:t>
            </w:r>
            <w:r w:rsidR="009673FE" w:rsidRPr="002B7C2E">
              <w:rPr>
                <w:vertAlign w:val="superscript"/>
              </w:rPr>
              <w:t>®</w:t>
            </w:r>
            <w:r w:rsidR="005B3EF7">
              <w:t xml:space="preserve"> (over </w:t>
            </w:r>
            <w:proofErr w:type="spellStart"/>
            <w:r w:rsidR="005B3EF7">
              <w:t>approx</w:t>
            </w:r>
            <w:proofErr w:type="spellEnd"/>
            <w:r w:rsidR="005B3EF7">
              <w:t xml:space="preserve"> 87 days)</w:t>
            </w:r>
          </w:p>
        </w:tc>
        <w:tc>
          <w:tcPr>
            <w:tcW w:w="550" w:type="pct"/>
            <w:tcMar>
              <w:left w:w="28" w:type="dxa"/>
              <w:right w:w="28" w:type="dxa"/>
            </w:tcMar>
          </w:tcPr>
          <w:p w14:paraId="03F022E5" w14:textId="77777777" w:rsidR="005B3EF7" w:rsidRDefault="005B3EF7" w:rsidP="00A275F5">
            <w:pPr>
              <w:pStyle w:val="TableText0"/>
              <w:keepNext/>
              <w:jc w:val="center"/>
            </w:pPr>
            <w:r>
              <w:t>1:1</w:t>
            </w:r>
          </w:p>
        </w:tc>
        <w:tc>
          <w:tcPr>
            <w:tcW w:w="994" w:type="pct"/>
            <w:tcMar>
              <w:left w:w="28" w:type="dxa"/>
              <w:right w:w="28" w:type="dxa"/>
            </w:tcMar>
          </w:tcPr>
          <w:p w14:paraId="3526EFE8" w14:textId="013A3352" w:rsidR="005B3EF7" w:rsidRDefault="004E4474" w:rsidP="00A275F5">
            <w:pPr>
              <w:pStyle w:val="TableText0"/>
              <w:keepNext/>
            </w:pPr>
            <w:r>
              <w:t xml:space="preserve">PBS </w:t>
            </w:r>
            <w:r w:rsidR="005B3EF7">
              <w:t>Therapeutic Relativity Sheets</w:t>
            </w:r>
          </w:p>
        </w:tc>
      </w:tr>
      <w:tr w:rsidR="009673FE" w:rsidRPr="00994844" w14:paraId="1CEAA946" w14:textId="77777777" w:rsidTr="00994844">
        <w:tc>
          <w:tcPr>
            <w:tcW w:w="5000" w:type="pct"/>
            <w:gridSpan w:val="5"/>
            <w:tcMar>
              <w:left w:w="28" w:type="dxa"/>
              <w:right w:w="28" w:type="dxa"/>
            </w:tcMar>
          </w:tcPr>
          <w:p w14:paraId="3345EEE5" w14:textId="3312C3F6" w:rsidR="009673FE" w:rsidRPr="00994844" w:rsidRDefault="009673FE" w:rsidP="00A275F5">
            <w:pPr>
              <w:pStyle w:val="TableText0"/>
              <w:keepNext/>
              <w:rPr>
                <w:b/>
              </w:rPr>
            </w:pPr>
            <w:r w:rsidRPr="00994844">
              <w:rPr>
                <w:b/>
              </w:rPr>
              <w:t>Proposed in this submission</w:t>
            </w:r>
          </w:p>
        </w:tc>
      </w:tr>
      <w:tr w:rsidR="004E4474" w14:paraId="6E98AF0A" w14:textId="77777777" w:rsidTr="00994844">
        <w:tc>
          <w:tcPr>
            <w:tcW w:w="941" w:type="pct"/>
            <w:tcMar>
              <w:left w:w="28" w:type="dxa"/>
              <w:right w:w="28" w:type="dxa"/>
            </w:tcMar>
          </w:tcPr>
          <w:p w14:paraId="5497C94F" w14:textId="30CF8697" w:rsidR="005B3EF7" w:rsidRDefault="00CC6525" w:rsidP="00A275F5">
            <w:pPr>
              <w:pStyle w:val="TableText0"/>
              <w:keepNext/>
            </w:pPr>
            <w:proofErr w:type="spellStart"/>
            <w:r>
              <w:t>Xeomin</w:t>
            </w:r>
            <w:proofErr w:type="spellEnd"/>
            <w:r w:rsidR="009673FE" w:rsidRPr="002B7C2E">
              <w:rPr>
                <w:vertAlign w:val="superscript"/>
              </w:rPr>
              <w:t>®</w:t>
            </w:r>
            <w:r w:rsidR="005B3EF7">
              <w:t xml:space="preserve"> vs. </w:t>
            </w:r>
            <w:proofErr w:type="spellStart"/>
            <w:r w:rsidR="005B3EF7">
              <w:t>Dysport</w:t>
            </w:r>
            <w:proofErr w:type="spellEnd"/>
            <w:r w:rsidR="009673FE" w:rsidRPr="002B7C2E">
              <w:rPr>
                <w:vertAlign w:val="superscript"/>
              </w:rPr>
              <w:t>®</w:t>
            </w:r>
          </w:p>
        </w:tc>
        <w:tc>
          <w:tcPr>
            <w:tcW w:w="708" w:type="pct"/>
            <w:tcMar>
              <w:left w:w="28" w:type="dxa"/>
              <w:right w:w="28" w:type="dxa"/>
            </w:tcMar>
          </w:tcPr>
          <w:p w14:paraId="5E12B6CF" w14:textId="3AAC7861" w:rsidR="005B3EF7" w:rsidDel="00A843AD" w:rsidRDefault="004E4474" w:rsidP="00A275F5">
            <w:pPr>
              <w:pStyle w:val="TableText0"/>
              <w:keepNext/>
              <w:jc w:val="center"/>
            </w:pPr>
            <w:r>
              <w:t>November 2019</w:t>
            </w:r>
          </w:p>
        </w:tc>
        <w:tc>
          <w:tcPr>
            <w:tcW w:w="1807" w:type="pct"/>
            <w:tcMar>
              <w:left w:w="28" w:type="dxa"/>
              <w:right w:w="28" w:type="dxa"/>
            </w:tcMar>
          </w:tcPr>
          <w:p w14:paraId="0EFC1E9C" w14:textId="3F249858" w:rsidR="005B3EF7" w:rsidRDefault="00CC6525" w:rsidP="00A275F5">
            <w:pPr>
              <w:pStyle w:val="TableText0"/>
              <w:keepNext/>
              <w:jc w:val="center"/>
            </w:pPr>
            <w:proofErr w:type="spellStart"/>
            <w:r>
              <w:t>Xeomin</w:t>
            </w:r>
            <w:proofErr w:type="spellEnd"/>
            <w:r w:rsidR="004E4474" w:rsidRPr="002B7C2E">
              <w:rPr>
                <w:vertAlign w:val="superscript"/>
              </w:rPr>
              <w:t>®</w:t>
            </w:r>
            <w:r w:rsidR="005B3EF7">
              <w:t xml:space="preserve"> </w:t>
            </w:r>
            <w:r w:rsidR="004E4474">
              <w:t>1U =</w:t>
            </w:r>
            <w:r w:rsidR="005B3EF7">
              <w:t xml:space="preserve"> </w:t>
            </w:r>
            <w:r w:rsidR="004E4474">
              <w:br/>
            </w:r>
            <w:proofErr w:type="spellStart"/>
            <w:r w:rsidR="005B3EF7">
              <w:t>Dysport</w:t>
            </w:r>
            <w:proofErr w:type="spellEnd"/>
            <w:r w:rsidR="004E4474" w:rsidRPr="002B7C2E">
              <w:rPr>
                <w:vertAlign w:val="superscript"/>
              </w:rPr>
              <w:t>®</w:t>
            </w:r>
            <w:r w:rsidR="00702918">
              <w:rPr>
                <w:vertAlign w:val="superscript"/>
              </w:rPr>
              <w:t xml:space="preserve"> </w:t>
            </w:r>
            <w:r w:rsidR="004E4474">
              <w:t>4.3U</w:t>
            </w:r>
          </w:p>
        </w:tc>
        <w:tc>
          <w:tcPr>
            <w:tcW w:w="550" w:type="pct"/>
            <w:tcMar>
              <w:left w:w="28" w:type="dxa"/>
              <w:right w:w="28" w:type="dxa"/>
            </w:tcMar>
          </w:tcPr>
          <w:p w14:paraId="792F005D" w14:textId="77777777" w:rsidR="005B3EF7" w:rsidRDefault="005B3EF7" w:rsidP="00A275F5">
            <w:pPr>
              <w:pStyle w:val="TableText0"/>
              <w:keepNext/>
              <w:jc w:val="center"/>
            </w:pPr>
            <w:r>
              <w:t>1:4.3</w:t>
            </w:r>
          </w:p>
        </w:tc>
        <w:tc>
          <w:tcPr>
            <w:tcW w:w="994" w:type="pct"/>
            <w:tcMar>
              <w:left w:w="28" w:type="dxa"/>
              <w:right w:w="28" w:type="dxa"/>
            </w:tcMar>
          </w:tcPr>
          <w:p w14:paraId="4B9357B6" w14:textId="43501BC5" w:rsidR="005B3EF7" w:rsidRDefault="005B3EF7" w:rsidP="00A275F5">
            <w:pPr>
              <w:pStyle w:val="TableText0"/>
              <w:keepNext/>
            </w:pPr>
            <w:r>
              <w:t xml:space="preserve">Derived from the </w:t>
            </w:r>
            <w:r w:rsidR="004E4474">
              <w:t xml:space="preserve">previously accepted </w:t>
            </w:r>
            <w:r>
              <w:t>relativit</w:t>
            </w:r>
            <w:r w:rsidR="004E4474">
              <w:t>ies</w:t>
            </w:r>
            <w:r>
              <w:t xml:space="preserve"> </w:t>
            </w:r>
          </w:p>
        </w:tc>
      </w:tr>
    </w:tbl>
    <w:p w14:paraId="6BF6DB33" w14:textId="32763E59" w:rsidR="005B3EF7" w:rsidRDefault="004E4474" w:rsidP="00994844">
      <w:pPr>
        <w:pStyle w:val="TableFooter"/>
      </w:pPr>
      <w:r>
        <w:t>PBAC = Pharmaceutical Benefits Committee; PBS = Pharmaceutical Benefits Scheme; PS</w:t>
      </w:r>
      <w:r w:rsidR="00702918">
        <w:t>D</w:t>
      </w:r>
      <w:r>
        <w:t xml:space="preserve"> = Public Summary Document</w:t>
      </w:r>
    </w:p>
    <w:p w14:paraId="0DC9E105" w14:textId="6AD402D0" w:rsidR="004E4474" w:rsidRPr="005B3EF7" w:rsidRDefault="004E4474" w:rsidP="00994844">
      <w:pPr>
        <w:pStyle w:val="TableFooter"/>
      </w:pPr>
      <w:r>
        <w:t>Source: Table 5, p14 of the minor submission</w:t>
      </w:r>
    </w:p>
    <w:p w14:paraId="44244815" w14:textId="77777777" w:rsidR="00CA48D9" w:rsidRDefault="00CA48D9" w:rsidP="006646FE"/>
    <w:p w14:paraId="48030D5D" w14:textId="0D5BBF3A" w:rsidR="00B26347" w:rsidRPr="00C81663" w:rsidRDefault="00B26347" w:rsidP="00994844">
      <w:pPr>
        <w:pStyle w:val="Bodytextitalics"/>
        <w:jc w:val="both"/>
        <w:rPr>
          <w:i w:val="0"/>
        </w:rPr>
      </w:pPr>
      <w:r w:rsidRPr="00C81663">
        <w:rPr>
          <w:i w:val="0"/>
        </w:rPr>
        <w:t>However in July 2019</w:t>
      </w:r>
      <w:r w:rsidR="004269C2" w:rsidRPr="00C81663">
        <w:rPr>
          <w:i w:val="0"/>
        </w:rPr>
        <w:t>,</w:t>
      </w:r>
      <w:r w:rsidRPr="00C81663">
        <w:rPr>
          <w:i w:val="0"/>
        </w:rPr>
        <w:t xml:space="preserve"> </w:t>
      </w:r>
      <w:proofErr w:type="spellStart"/>
      <w:r w:rsidRPr="00C81663">
        <w:rPr>
          <w:i w:val="0"/>
        </w:rPr>
        <w:t>Dysport</w:t>
      </w:r>
      <w:proofErr w:type="spellEnd"/>
      <w:r w:rsidRPr="00C81663">
        <w:rPr>
          <w:rFonts w:cstheme="minorHAnsi"/>
          <w:i w:val="0"/>
        </w:rPr>
        <w:t>®</w:t>
      </w:r>
      <w:r w:rsidRPr="00C81663">
        <w:rPr>
          <w:i w:val="0"/>
        </w:rPr>
        <w:t xml:space="preserve"> for the treatment of lower limb spasticity following an acute event was recommended based on a cost minimisation analysis with Botox</w:t>
      </w:r>
      <w:r w:rsidRPr="00C81663">
        <w:rPr>
          <w:rFonts w:cstheme="minorHAnsi"/>
          <w:i w:val="0"/>
        </w:rPr>
        <w:t>®</w:t>
      </w:r>
      <w:r w:rsidRPr="00C81663">
        <w:rPr>
          <w:i w:val="0"/>
        </w:rPr>
        <w:t xml:space="preserve">, in which the PBAC considered that the equi-effective doses of </w:t>
      </w:r>
      <w:proofErr w:type="spellStart"/>
      <w:r w:rsidRPr="00C81663">
        <w:rPr>
          <w:i w:val="0"/>
        </w:rPr>
        <w:t>Dysport</w:t>
      </w:r>
      <w:proofErr w:type="spellEnd"/>
      <w:r w:rsidRPr="00C81663">
        <w:rPr>
          <w:rFonts w:cstheme="minorHAnsi"/>
          <w:i w:val="0"/>
        </w:rPr>
        <w:t>®</w:t>
      </w:r>
      <w:r w:rsidRPr="00C81663">
        <w:rPr>
          <w:i w:val="0"/>
        </w:rPr>
        <w:t xml:space="preserve"> and Botox</w:t>
      </w:r>
      <w:r w:rsidRPr="00C81663">
        <w:rPr>
          <w:rFonts w:cstheme="minorHAnsi"/>
          <w:i w:val="0"/>
        </w:rPr>
        <w:t>®</w:t>
      </w:r>
      <w:r w:rsidRPr="00C81663">
        <w:rPr>
          <w:i w:val="0"/>
        </w:rPr>
        <w:t xml:space="preserve"> should be based on the maximum dispensed quantities which would result in equivalent treatment costs per cycle, that is:</w:t>
      </w:r>
    </w:p>
    <w:p w14:paraId="41A6E8B1" w14:textId="0EB80CA2" w:rsidR="00B26347" w:rsidRPr="00C81663" w:rsidRDefault="00B26347" w:rsidP="006646FE">
      <w:pPr>
        <w:pStyle w:val="Bodytextitalics"/>
        <w:numPr>
          <w:ilvl w:val="0"/>
          <w:numId w:val="0"/>
        </w:numPr>
        <w:ind w:left="1440"/>
        <w:jc w:val="both"/>
        <w:rPr>
          <w:i w:val="0"/>
        </w:rPr>
      </w:pPr>
      <w:proofErr w:type="spellStart"/>
      <w:r w:rsidRPr="00C81663">
        <w:rPr>
          <w:i w:val="0"/>
        </w:rPr>
        <w:t>Dysport</w:t>
      </w:r>
      <w:proofErr w:type="spellEnd"/>
      <w:r w:rsidRPr="00C81663">
        <w:rPr>
          <w:rFonts w:cstheme="minorHAnsi"/>
          <w:i w:val="0"/>
        </w:rPr>
        <w:t>®</w:t>
      </w:r>
      <w:r w:rsidRPr="00C81663">
        <w:rPr>
          <w:i w:val="0"/>
        </w:rPr>
        <w:t xml:space="preserve"> 3.75U = Botox</w:t>
      </w:r>
      <w:r w:rsidRPr="00C81663">
        <w:rPr>
          <w:rFonts w:cstheme="minorHAnsi"/>
          <w:i w:val="0"/>
        </w:rPr>
        <w:t>®</w:t>
      </w:r>
      <w:r w:rsidRPr="00C81663">
        <w:rPr>
          <w:i w:val="0"/>
        </w:rPr>
        <w:t xml:space="preserve"> 1U (i.e. </w:t>
      </w:r>
      <w:proofErr w:type="spellStart"/>
      <w:r w:rsidRPr="00C81663">
        <w:rPr>
          <w:i w:val="0"/>
        </w:rPr>
        <w:t>Dysport</w:t>
      </w:r>
      <w:proofErr w:type="spellEnd"/>
      <w:r w:rsidRPr="00C81663">
        <w:rPr>
          <w:rFonts w:cstheme="minorHAnsi"/>
          <w:i w:val="0"/>
        </w:rPr>
        <w:t>®</w:t>
      </w:r>
      <w:r w:rsidRPr="00C81663">
        <w:rPr>
          <w:i w:val="0"/>
        </w:rPr>
        <w:t xml:space="preserve"> 1</w:t>
      </w:r>
      <w:r w:rsidR="00C54193" w:rsidRPr="00C81663">
        <w:rPr>
          <w:i w:val="0"/>
        </w:rPr>
        <w:t>,</w:t>
      </w:r>
      <w:r w:rsidRPr="00C81663">
        <w:rPr>
          <w:i w:val="0"/>
        </w:rPr>
        <w:t>500U = Botox</w:t>
      </w:r>
      <w:r w:rsidRPr="00C81663">
        <w:rPr>
          <w:rFonts w:cstheme="minorHAnsi"/>
          <w:i w:val="0"/>
        </w:rPr>
        <w:t>®</w:t>
      </w:r>
      <w:r w:rsidRPr="00C81663">
        <w:rPr>
          <w:i w:val="0"/>
        </w:rPr>
        <w:t xml:space="preserve"> 400U)</w:t>
      </w:r>
    </w:p>
    <w:p w14:paraId="574EA2D5" w14:textId="2F532B10" w:rsidR="00B26347" w:rsidRPr="00C81663" w:rsidRDefault="00B26347" w:rsidP="00994844">
      <w:pPr>
        <w:pStyle w:val="Bodytextitalics"/>
        <w:jc w:val="both"/>
        <w:rPr>
          <w:i w:val="0"/>
        </w:rPr>
      </w:pPr>
      <w:r w:rsidRPr="00C81663">
        <w:rPr>
          <w:i w:val="0"/>
        </w:rPr>
        <w:t xml:space="preserve">In addition, the PBAC has previously considered that the extent to which the potential use of </w:t>
      </w:r>
      <w:r w:rsidR="00702918">
        <w:rPr>
          <w:i w:val="0"/>
        </w:rPr>
        <w:t>botulinum toxin</w:t>
      </w:r>
      <w:r w:rsidRPr="00C81663">
        <w:rPr>
          <w:i w:val="0"/>
        </w:rPr>
        <w:t xml:space="preserve"> in both the upper and lower limbs in the same patient would affect utilisation, cost effectiveness</w:t>
      </w:r>
      <w:r w:rsidR="009F6014" w:rsidRPr="00C81663">
        <w:rPr>
          <w:i w:val="0"/>
        </w:rPr>
        <w:t xml:space="preserve"> and the financial implications remained uncertain. The PBAC was therefore of the view that any pricing arrangement for these indications should take these uncertainties into account by implementing a single price across these conditions. (</w:t>
      </w:r>
      <w:proofErr w:type="gramStart"/>
      <w:r w:rsidR="009F6014" w:rsidRPr="00C81663">
        <w:rPr>
          <w:i w:val="0"/>
        </w:rPr>
        <w:t>paragraphs</w:t>
      </w:r>
      <w:proofErr w:type="gramEnd"/>
      <w:r w:rsidR="009F6014" w:rsidRPr="00C81663">
        <w:rPr>
          <w:i w:val="0"/>
        </w:rPr>
        <w:t xml:space="preserve"> 5.9</w:t>
      </w:r>
      <w:r w:rsidR="00C54193" w:rsidRPr="00C81663">
        <w:rPr>
          <w:i w:val="0"/>
        </w:rPr>
        <w:t xml:space="preserve"> and</w:t>
      </w:r>
      <w:r w:rsidR="009F6014" w:rsidRPr="00C81663">
        <w:rPr>
          <w:i w:val="0"/>
        </w:rPr>
        <w:t xml:space="preserve"> 5.10, Botox</w:t>
      </w:r>
      <w:r w:rsidR="008B656F" w:rsidRPr="00C81663">
        <w:rPr>
          <w:rFonts w:cstheme="minorHAnsi"/>
          <w:i w:val="0"/>
        </w:rPr>
        <w:t>®</w:t>
      </w:r>
      <w:r w:rsidR="009F6014" w:rsidRPr="00C81663">
        <w:rPr>
          <w:i w:val="0"/>
        </w:rPr>
        <w:t xml:space="preserve"> PSD, March 2019; paragraph 7.17, </w:t>
      </w:r>
      <w:proofErr w:type="spellStart"/>
      <w:r w:rsidR="009F6014" w:rsidRPr="00C81663">
        <w:rPr>
          <w:i w:val="0"/>
        </w:rPr>
        <w:t>Dysport</w:t>
      </w:r>
      <w:proofErr w:type="spellEnd"/>
      <w:r w:rsidR="008B656F" w:rsidRPr="00C81663">
        <w:rPr>
          <w:rFonts w:cstheme="minorHAnsi"/>
          <w:i w:val="0"/>
        </w:rPr>
        <w:t>®</w:t>
      </w:r>
      <w:r w:rsidR="009F6014" w:rsidRPr="00C81663">
        <w:rPr>
          <w:i w:val="0"/>
        </w:rPr>
        <w:t xml:space="preserve"> PSD, July 2019).</w:t>
      </w:r>
    </w:p>
    <w:p w14:paraId="3AF363B5" w14:textId="4D3F6517" w:rsidR="001A0C08" w:rsidRPr="00C81663" w:rsidRDefault="009F6014" w:rsidP="00994844">
      <w:pPr>
        <w:pStyle w:val="Bodytextitalics"/>
        <w:jc w:val="both"/>
        <w:rPr>
          <w:i w:val="0"/>
        </w:rPr>
      </w:pPr>
      <w:r w:rsidRPr="00C81663">
        <w:rPr>
          <w:i w:val="0"/>
        </w:rPr>
        <w:t>The maximu</w:t>
      </w:r>
      <w:r w:rsidR="001A0C08" w:rsidRPr="00C81663">
        <w:rPr>
          <w:i w:val="0"/>
        </w:rPr>
        <w:t>m doses recommended in the approved Product Information leaflets and the maximum quantities approved on the PBS for upper and lower limb spasticity are outlined below.</w:t>
      </w:r>
    </w:p>
    <w:p w14:paraId="1416000C" w14:textId="0705058E" w:rsidR="00C54193" w:rsidRPr="00C81663" w:rsidRDefault="008B656F" w:rsidP="00217862">
      <w:pPr>
        <w:pStyle w:val="Bodytextitalics"/>
        <w:keepNext/>
        <w:keepLines/>
        <w:numPr>
          <w:ilvl w:val="0"/>
          <w:numId w:val="0"/>
        </w:numPr>
        <w:spacing w:after="0"/>
        <w:jc w:val="both"/>
        <w:rPr>
          <w:rFonts w:ascii="Arial Narrow" w:hAnsi="Arial Narrow"/>
          <w:b/>
          <w:i w:val="0"/>
          <w:sz w:val="20"/>
          <w:szCs w:val="20"/>
        </w:rPr>
      </w:pPr>
      <w:r w:rsidRPr="00C81663">
        <w:rPr>
          <w:rFonts w:ascii="Arial Narrow" w:hAnsi="Arial Narrow"/>
          <w:b/>
          <w:i w:val="0"/>
          <w:sz w:val="20"/>
          <w:szCs w:val="20"/>
        </w:rPr>
        <w:lastRenderedPageBreak/>
        <w:t>Table 4</w:t>
      </w:r>
      <w:r w:rsidR="00C54193" w:rsidRPr="00C81663">
        <w:rPr>
          <w:rFonts w:ascii="Arial Narrow" w:hAnsi="Arial Narrow"/>
          <w:b/>
          <w:i w:val="0"/>
          <w:sz w:val="20"/>
          <w:szCs w:val="20"/>
        </w:rPr>
        <w:t>: Maximum doses and PBS quantities of botulinum toxin in ULFS and LLFS</w:t>
      </w:r>
    </w:p>
    <w:tbl>
      <w:tblPr>
        <w:tblStyle w:val="TableGrid"/>
        <w:tblW w:w="0" w:type="auto"/>
        <w:tblLook w:val="04A0" w:firstRow="1" w:lastRow="0" w:firstColumn="1" w:lastColumn="0" w:noHBand="0" w:noVBand="1"/>
        <w:tblCaption w:val="Table 4: Maximum doses and PBS quantities of botulinum toxin in ULFS and LLFS"/>
      </w:tblPr>
      <w:tblGrid>
        <w:gridCol w:w="988"/>
        <w:gridCol w:w="1275"/>
        <w:gridCol w:w="1418"/>
        <w:gridCol w:w="3554"/>
        <w:gridCol w:w="1781"/>
      </w:tblGrid>
      <w:tr w:rsidR="001A0C08" w:rsidRPr="00C81663" w14:paraId="3A44A471" w14:textId="77777777" w:rsidTr="00753600">
        <w:trPr>
          <w:tblHeader/>
        </w:trPr>
        <w:tc>
          <w:tcPr>
            <w:tcW w:w="988" w:type="dxa"/>
            <w:tcMar>
              <w:left w:w="28" w:type="dxa"/>
              <w:right w:w="28" w:type="dxa"/>
            </w:tcMar>
          </w:tcPr>
          <w:p w14:paraId="11BA9835" w14:textId="77777777" w:rsidR="001A0C08" w:rsidRPr="00C81663" w:rsidRDefault="001A0C08" w:rsidP="00217862">
            <w:pPr>
              <w:pStyle w:val="Bodytextitalics"/>
              <w:keepNext/>
              <w:keepLines/>
              <w:numPr>
                <w:ilvl w:val="0"/>
                <w:numId w:val="0"/>
              </w:numPr>
              <w:spacing w:after="0"/>
              <w:jc w:val="both"/>
              <w:rPr>
                <w:rFonts w:ascii="Arial Narrow" w:hAnsi="Arial Narrow"/>
                <w:i w:val="0"/>
                <w:sz w:val="20"/>
                <w:szCs w:val="20"/>
              </w:rPr>
            </w:pPr>
          </w:p>
        </w:tc>
        <w:tc>
          <w:tcPr>
            <w:tcW w:w="1275" w:type="dxa"/>
            <w:tcMar>
              <w:left w:w="28" w:type="dxa"/>
              <w:right w:w="28" w:type="dxa"/>
            </w:tcMar>
          </w:tcPr>
          <w:p w14:paraId="3E6DE6B2" w14:textId="76AC6937" w:rsidR="001A0C08" w:rsidRPr="00C81663" w:rsidRDefault="00B04ECB" w:rsidP="00217862">
            <w:pPr>
              <w:pStyle w:val="Bodytextitalics"/>
              <w:keepNext/>
              <w:keepLines/>
              <w:numPr>
                <w:ilvl w:val="0"/>
                <w:numId w:val="0"/>
              </w:numPr>
              <w:spacing w:after="0"/>
              <w:jc w:val="center"/>
              <w:rPr>
                <w:rFonts w:ascii="Arial Narrow" w:hAnsi="Arial Narrow"/>
                <w:b/>
                <w:i w:val="0"/>
                <w:sz w:val="20"/>
                <w:szCs w:val="20"/>
              </w:rPr>
            </w:pPr>
            <w:r w:rsidRPr="00C81663">
              <w:rPr>
                <w:rFonts w:ascii="Arial Narrow" w:hAnsi="Arial Narrow"/>
                <w:b/>
                <w:i w:val="0"/>
                <w:sz w:val="20"/>
                <w:szCs w:val="20"/>
              </w:rPr>
              <w:t>Maximum PI dose</w:t>
            </w:r>
          </w:p>
        </w:tc>
        <w:tc>
          <w:tcPr>
            <w:tcW w:w="1418" w:type="dxa"/>
            <w:tcMar>
              <w:left w:w="28" w:type="dxa"/>
              <w:right w:w="28" w:type="dxa"/>
            </w:tcMar>
          </w:tcPr>
          <w:p w14:paraId="19381268" w14:textId="50AA9CBF" w:rsidR="001A0C08" w:rsidRPr="00C81663" w:rsidRDefault="00B04ECB" w:rsidP="00217862">
            <w:pPr>
              <w:pStyle w:val="Bodytextitalics"/>
              <w:keepNext/>
              <w:keepLines/>
              <w:numPr>
                <w:ilvl w:val="0"/>
                <w:numId w:val="0"/>
              </w:numPr>
              <w:spacing w:after="0"/>
              <w:jc w:val="center"/>
              <w:rPr>
                <w:rFonts w:ascii="Arial Narrow" w:hAnsi="Arial Narrow"/>
                <w:b/>
                <w:i w:val="0"/>
                <w:sz w:val="20"/>
                <w:szCs w:val="20"/>
              </w:rPr>
            </w:pPr>
            <w:r w:rsidRPr="00C81663">
              <w:rPr>
                <w:rFonts w:ascii="Arial Narrow" w:hAnsi="Arial Narrow"/>
                <w:b/>
                <w:i w:val="0"/>
                <w:sz w:val="20"/>
                <w:szCs w:val="20"/>
              </w:rPr>
              <w:t>Maximum PBS quantity</w:t>
            </w:r>
          </w:p>
        </w:tc>
        <w:tc>
          <w:tcPr>
            <w:tcW w:w="3554" w:type="dxa"/>
            <w:tcMar>
              <w:left w:w="28" w:type="dxa"/>
              <w:right w:w="28" w:type="dxa"/>
            </w:tcMar>
          </w:tcPr>
          <w:p w14:paraId="1726EE29" w14:textId="4FD3F140" w:rsidR="001A0C08" w:rsidRPr="00C81663" w:rsidRDefault="00B06338" w:rsidP="00217862">
            <w:pPr>
              <w:pStyle w:val="Bodytextitalics"/>
              <w:keepNext/>
              <w:keepLines/>
              <w:numPr>
                <w:ilvl w:val="0"/>
                <w:numId w:val="0"/>
              </w:numPr>
              <w:spacing w:after="0"/>
              <w:rPr>
                <w:rFonts w:ascii="Arial Narrow" w:hAnsi="Arial Narrow"/>
                <w:b/>
                <w:i w:val="0"/>
                <w:sz w:val="20"/>
                <w:szCs w:val="20"/>
              </w:rPr>
            </w:pPr>
            <w:r w:rsidRPr="00C81663">
              <w:rPr>
                <w:rFonts w:ascii="Arial Narrow" w:hAnsi="Arial Narrow"/>
                <w:b/>
                <w:i w:val="0"/>
                <w:sz w:val="20"/>
                <w:szCs w:val="20"/>
              </w:rPr>
              <w:t>Current/recommended/requested PBS listing</w:t>
            </w:r>
          </w:p>
        </w:tc>
        <w:tc>
          <w:tcPr>
            <w:tcW w:w="1781" w:type="dxa"/>
            <w:tcMar>
              <w:left w:w="28" w:type="dxa"/>
              <w:right w:w="28" w:type="dxa"/>
            </w:tcMar>
          </w:tcPr>
          <w:p w14:paraId="4B8B4E38" w14:textId="6FDE5DD4" w:rsidR="001A0C08" w:rsidRPr="00C81663" w:rsidRDefault="00B06338" w:rsidP="00217862">
            <w:pPr>
              <w:pStyle w:val="Bodytextitalics"/>
              <w:keepNext/>
              <w:keepLines/>
              <w:numPr>
                <w:ilvl w:val="0"/>
                <w:numId w:val="0"/>
              </w:numPr>
              <w:spacing w:after="0"/>
              <w:rPr>
                <w:rFonts w:ascii="Arial Narrow" w:hAnsi="Arial Narrow"/>
                <w:b/>
                <w:i w:val="0"/>
                <w:sz w:val="20"/>
                <w:szCs w:val="20"/>
              </w:rPr>
            </w:pPr>
            <w:r w:rsidRPr="00C81663">
              <w:rPr>
                <w:rFonts w:ascii="Arial Narrow" w:hAnsi="Arial Narrow"/>
                <w:b/>
                <w:i w:val="0"/>
                <w:sz w:val="20"/>
                <w:szCs w:val="20"/>
              </w:rPr>
              <w:t>PBAC consideration</w:t>
            </w:r>
          </w:p>
        </w:tc>
      </w:tr>
      <w:tr w:rsidR="00B06338" w:rsidRPr="00C81663" w14:paraId="608632D5" w14:textId="77777777" w:rsidTr="006646FE">
        <w:tc>
          <w:tcPr>
            <w:tcW w:w="988" w:type="dxa"/>
            <w:vMerge w:val="restart"/>
            <w:tcMar>
              <w:left w:w="28" w:type="dxa"/>
              <w:right w:w="28" w:type="dxa"/>
            </w:tcMar>
          </w:tcPr>
          <w:p w14:paraId="766564AE" w14:textId="09D5688D"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proofErr w:type="spellStart"/>
            <w:r w:rsidRPr="00C81663">
              <w:rPr>
                <w:rFonts w:ascii="Arial Narrow" w:hAnsi="Arial Narrow"/>
                <w:i w:val="0"/>
                <w:sz w:val="20"/>
                <w:szCs w:val="20"/>
              </w:rPr>
              <w:t>Dysport</w:t>
            </w:r>
            <w:proofErr w:type="spellEnd"/>
            <w:r w:rsidRPr="00C81663">
              <w:rPr>
                <w:rFonts w:ascii="Arial Narrow" w:hAnsi="Arial Narrow"/>
                <w:i w:val="0"/>
                <w:sz w:val="20"/>
                <w:szCs w:val="20"/>
                <w:vertAlign w:val="superscript"/>
              </w:rPr>
              <w:t>®</w:t>
            </w:r>
          </w:p>
        </w:tc>
        <w:tc>
          <w:tcPr>
            <w:tcW w:w="1275" w:type="dxa"/>
            <w:tcMar>
              <w:left w:w="28" w:type="dxa"/>
              <w:right w:w="28" w:type="dxa"/>
            </w:tcMar>
          </w:tcPr>
          <w:p w14:paraId="0B59A5CB" w14:textId="77777777"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ULFS = 1,000U</w:t>
            </w:r>
          </w:p>
          <w:p w14:paraId="2AD45B0D" w14:textId="0A96DE00"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p>
        </w:tc>
        <w:tc>
          <w:tcPr>
            <w:tcW w:w="1418" w:type="dxa"/>
            <w:tcMar>
              <w:left w:w="28" w:type="dxa"/>
              <w:right w:w="28" w:type="dxa"/>
            </w:tcMar>
          </w:tcPr>
          <w:p w14:paraId="42A332C1" w14:textId="2D4A482C"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300U x 4, or</w:t>
            </w:r>
          </w:p>
          <w:p w14:paraId="2FB5D4AB" w14:textId="7DCFFE18"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500U x 2</w:t>
            </w:r>
          </w:p>
        </w:tc>
        <w:tc>
          <w:tcPr>
            <w:tcW w:w="3554" w:type="dxa"/>
            <w:tcMar>
              <w:left w:w="28" w:type="dxa"/>
              <w:right w:w="28" w:type="dxa"/>
            </w:tcMar>
          </w:tcPr>
          <w:p w14:paraId="6DAC80E1" w14:textId="49DB9878"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Current PBS listing for ULFS after an acute event</w:t>
            </w:r>
          </w:p>
        </w:tc>
        <w:tc>
          <w:tcPr>
            <w:tcW w:w="1781" w:type="dxa"/>
            <w:tcMar>
              <w:left w:w="28" w:type="dxa"/>
              <w:right w:w="28" w:type="dxa"/>
            </w:tcMar>
          </w:tcPr>
          <w:p w14:paraId="0DD93300" w14:textId="3CF45A75"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Recommended March 2019</w:t>
            </w:r>
          </w:p>
        </w:tc>
      </w:tr>
      <w:tr w:rsidR="00B06338" w:rsidRPr="00C81663" w14:paraId="378F4E68" w14:textId="77777777" w:rsidTr="006646FE">
        <w:tc>
          <w:tcPr>
            <w:tcW w:w="988" w:type="dxa"/>
            <w:vMerge/>
            <w:tcMar>
              <w:left w:w="28" w:type="dxa"/>
              <w:right w:w="28" w:type="dxa"/>
            </w:tcMar>
          </w:tcPr>
          <w:p w14:paraId="1758F930" w14:textId="13E032A7"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p>
        </w:tc>
        <w:tc>
          <w:tcPr>
            <w:tcW w:w="1275" w:type="dxa"/>
            <w:tcMar>
              <w:left w:w="28" w:type="dxa"/>
              <w:right w:w="28" w:type="dxa"/>
            </w:tcMar>
          </w:tcPr>
          <w:p w14:paraId="4B5C57D1" w14:textId="4B06994E"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LLFS = 1,500U</w:t>
            </w:r>
          </w:p>
        </w:tc>
        <w:tc>
          <w:tcPr>
            <w:tcW w:w="1418" w:type="dxa"/>
            <w:tcMar>
              <w:left w:w="28" w:type="dxa"/>
              <w:right w:w="28" w:type="dxa"/>
            </w:tcMar>
          </w:tcPr>
          <w:p w14:paraId="5E95B4E2" w14:textId="3598D048"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300U x 5, or</w:t>
            </w:r>
          </w:p>
          <w:p w14:paraId="30A1BB4D" w14:textId="6087A8F4"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500U x 3</w:t>
            </w:r>
          </w:p>
        </w:tc>
        <w:tc>
          <w:tcPr>
            <w:tcW w:w="3554" w:type="dxa"/>
            <w:tcMar>
              <w:left w:w="28" w:type="dxa"/>
              <w:right w:w="28" w:type="dxa"/>
            </w:tcMar>
          </w:tcPr>
          <w:p w14:paraId="479B52A9" w14:textId="41C82150"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Recommended PBS listing for LLFS after an acute event</w:t>
            </w:r>
          </w:p>
        </w:tc>
        <w:tc>
          <w:tcPr>
            <w:tcW w:w="1781" w:type="dxa"/>
            <w:tcMar>
              <w:left w:w="28" w:type="dxa"/>
              <w:right w:w="28" w:type="dxa"/>
            </w:tcMar>
          </w:tcPr>
          <w:p w14:paraId="2CBF077F" w14:textId="7E165C2F"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Recommended July 2019</w:t>
            </w:r>
          </w:p>
        </w:tc>
      </w:tr>
      <w:tr w:rsidR="00B06338" w:rsidRPr="00C81663" w14:paraId="4E2F8DA4" w14:textId="77777777" w:rsidTr="006646FE">
        <w:tc>
          <w:tcPr>
            <w:tcW w:w="988" w:type="dxa"/>
            <w:vMerge w:val="restart"/>
            <w:tcMar>
              <w:left w:w="28" w:type="dxa"/>
              <w:right w:w="28" w:type="dxa"/>
            </w:tcMar>
          </w:tcPr>
          <w:p w14:paraId="0FBFB943" w14:textId="25497B5B"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r w:rsidRPr="00C81663">
              <w:rPr>
                <w:rFonts w:ascii="Arial Narrow" w:hAnsi="Arial Narrow"/>
                <w:i w:val="0"/>
                <w:sz w:val="20"/>
                <w:szCs w:val="20"/>
              </w:rPr>
              <w:t>Botox</w:t>
            </w:r>
            <w:r w:rsidRPr="00C81663">
              <w:rPr>
                <w:rFonts w:ascii="Arial Narrow" w:hAnsi="Arial Narrow"/>
                <w:i w:val="0"/>
                <w:sz w:val="20"/>
                <w:szCs w:val="20"/>
                <w:vertAlign w:val="superscript"/>
              </w:rPr>
              <w:t>®</w:t>
            </w:r>
          </w:p>
        </w:tc>
        <w:tc>
          <w:tcPr>
            <w:tcW w:w="1275" w:type="dxa"/>
            <w:tcMar>
              <w:left w:w="28" w:type="dxa"/>
              <w:right w:w="28" w:type="dxa"/>
            </w:tcMar>
          </w:tcPr>
          <w:p w14:paraId="4932EBC6" w14:textId="22F1E5F1"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ULFS = 360U</w:t>
            </w:r>
          </w:p>
        </w:tc>
        <w:tc>
          <w:tcPr>
            <w:tcW w:w="1418" w:type="dxa"/>
            <w:tcMar>
              <w:left w:w="28" w:type="dxa"/>
              <w:right w:w="28" w:type="dxa"/>
            </w:tcMar>
          </w:tcPr>
          <w:p w14:paraId="418BD9C1" w14:textId="039ADE78"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100U x 4</w:t>
            </w:r>
          </w:p>
        </w:tc>
        <w:tc>
          <w:tcPr>
            <w:tcW w:w="3554" w:type="dxa"/>
            <w:tcMar>
              <w:left w:w="28" w:type="dxa"/>
              <w:right w:w="28" w:type="dxa"/>
            </w:tcMar>
          </w:tcPr>
          <w:p w14:paraId="2D2D9E40" w14:textId="58AFDA8B"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Current</w:t>
            </w:r>
            <w:r w:rsidR="00224005" w:rsidRPr="00C81663">
              <w:rPr>
                <w:rFonts w:ascii="Arial Narrow" w:hAnsi="Arial Narrow"/>
                <w:i w:val="0"/>
                <w:sz w:val="20"/>
                <w:szCs w:val="20"/>
              </w:rPr>
              <w:t>/requested</w:t>
            </w:r>
            <w:r w:rsidRPr="00C81663">
              <w:rPr>
                <w:rFonts w:ascii="Arial Narrow" w:hAnsi="Arial Narrow"/>
                <w:i w:val="0"/>
                <w:sz w:val="20"/>
                <w:szCs w:val="20"/>
              </w:rPr>
              <w:t xml:space="preserve"> PBS listing for ULFS after a stroke</w:t>
            </w:r>
            <w:r w:rsidR="00224005" w:rsidRPr="00C81663">
              <w:rPr>
                <w:rFonts w:ascii="Arial Narrow" w:hAnsi="Arial Narrow"/>
                <w:i w:val="0"/>
                <w:sz w:val="20"/>
                <w:szCs w:val="20"/>
              </w:rPr>
              <w:t>/</w:t>
            </w:r>
            <w:r w:rsidRPr="00C81663">
              <w:rPr>
                <w:rFonts w:ascii="Arial Narrow" w:hAnsi="Arial Narrow"/>
                <w:i w:val="0"/>
                <w:sz w:val="20"/>
                <w:szCs w:val="20"/>
              </w:rPr>
              <w:t>an acute event</w:t>
            </w:r>
          </w:p>
        </w:tc>
        <w:tc>
          <w:tcPr>
            <w:tcW w:w="1781" w:type="dxa"/>
            <w:tcMar>
              <w:left w:w="28" w:type="dxa"/>
              <w:right w:w="28" w:type="dxa"/>
            </w:tcMar>
          </w:tcPr>
          <w:p w14:paraId="4A1CCE9F" w14:textId="2E05169B"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Requested November 2019</w:t>
            </w:r>
          </w:p>
        </w:tc>
      </w:tr>
      <w:tr w:rsidR="00B06338" w:rsidRPr="00C81663" w14:paraId="6D4296FB" w14:textId="77777777" w:rsidTr="006646FE">
        <w:tc>
          <w:tcPr>
            <w:tcW w:w="988" w:type="dxa"/>
            <w:vMerge/>
            <w:tcMar>
              <w:left w:w="28" w:type="dxa"/>
              <w:right w:w="28" w:type="dxa"/>
            </w:tcMar>
          </w:tcPr>
          <w:p w14:paraId="1159AB4A" w14:textId="638959C8"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p>
        </w:tc>
        <w:tc>
          <w:tcPr>
            <w:tcW w:w="1275" w:type="dxa"/>
            <w:tcMar>
              <w:left w:w="28" w:type="dxa"/>
              <w:right w:w="28" w:type="dxa"/>
            </w:tcMar>
          </w:tcPr>
          <w:p w14:paraId="380D0023" w14:textId="30F93867"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LLFS = 400U</w:t>
            </w:r>
          </w:p>
        </w:tc>
        <w:tc>
          <w:tcPr>
            <w:tcW w:w="1418" w:type="dxa"/>
            <w:tcMar>
              <w:left w:w="28" w:type="dxa"/>
              <w:right w:w="28" w:type="dxa"/>
            </w:tcMar>
          </w:tcPr>
          <w:p w14:paraId="65CB18C7" w14:textId="5B747C60"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100U x 4</w:t>
            </w:r>
          </w:p>
        </w:tc>
        <w:tc>
          <w:tcPr>
            <w:tcW w:w="3554" w:type="dxa"/>
            <w:tcMar>
              <w:left w:w="28" w:type="dxa"/>
              <w:right w:w="28" w:type="dxa"/>
            </w:tcMar>
          </w:tcPr>
          <w:p w14:paraId="3B8270DF" w14:textId="6906F406"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Current PBS listing for LLFS after an acute event</w:t>
            </w:r>
          </w:p>
        </w:tc>
        <w:tc>
          <w:tcPr>
            <w:tcW w:w="1781" w:type="dxa"/>
            <w:tcMar>
              <w:left w:w="28" w:type="dxa"/>
              <w:right w:w="28" w:type="dxa"/>
            </w:tcMar>
          </w:tcPr>
          <w:p w14:paraId="1630E80A" w14:textId="55D0BF1A"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Recommended March 2019</w:t>
            </w:r>
          </w:p>
        </w:tc>
      </w:tr>
      <w:tr w:rsidR="00B06338" w:rsidRPr="00C81663" w14:paraId="084F960D" w14:textId="77777777" w:rsidTr="006646FE">
        <w:tc>
          <w:tcPr>
            <w:tcW w:w="988" w:type="dxa"/>
            <w:vMerge w:val="restart"/>
            <w:tcMar>
              <w:left w:w="28" w:type="dxa"/>
              <w:right w:w="28" w:type="dxa"/>
            </w:tcMar>
          </w:tcPr>
          <w:p w14:paraId="2EA702BC" w14:textId="4DB7A786"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proofErr w:type="spellStart"/>
            <w:r w:rsidRPr="00C81663">
              <w:rPr>
                <w:rFonts w:ascii="Arial Narrow" w:hAnsi="Arial Narrow"/>
                <w:i w:val="0"/>
                <w:sz w:val="20"/>
                <w:szCs w:val="20"/>
              </w:rPr>
              <w:t>Xeomin</w:t>
            </w:r>
            <w:proofErr w:type="spellEnd"/>
            <w:r w:rsidRPr="00C81663">
              <w:rPr>
                <w:rFonts w:ascii="Arial Narrow" w:hAnsi="Arial Narrow"/>
                <w:i w:val="0"/>
                <w:sz w:val="20"/>
                <w:szCs w:val="20"/>
                <w:vertAlign w:val="superscript"/>
              </w:rPr>
              <w:t>®</w:t>
            </w:r>
          </w:p>
        </w:tc>
        <w:tc>
          <w:tcPr>
            <w:tcW w:w="1275" w:type="dxa"/>
            <w:tcMar>
              <w:left w:w="28" w:type="dxa"/>
              <w:right w:w="28" w:type="dxa"/>
            </w:tcMar>
          </w:tcPr>
          <w:p w14:paraId="5820C155" w14:textId="1DA73CD7"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ULFS = 500U</w:t>
            </w:r>
          </w:p>
        </w:tc>
        <w:tc>
          <w:tcPr>
            <w:tcW w:w="1418" w:type="dxa"/>
            <w:tcMar>
              <w:left w:w="28" w:type="dxa"/>
              <w:right w:w="28" w:type="dxa"/>
            </w:tcMar>
          </w:tcPr>
          <w:p w14:paraId="7BA5CE50" w14:textId="2C48D226"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100U x 4</w:t>
            </w:r>
          </w:p>
        </w:tc>
        <w:tc>
          <w:tcPr>
            <w:tcW w:w="3554" w:type="dxa"/>
            <w:tcMar>
              <w:left w:w="28" w:type="dxa"/>
              <w:right w:w="28" w:type="dxa"/>
            </w:tcMar>
          </w:tcPr>
          <w:p w14:paraId="22E8DD9B" w14:textId="4C9F2B7B"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Current</w:t>
            </w:r>
            <w:r w:rsidR="00224005" w:rsidRPr="00C81663">
              <w:rPr>
                <w:rFonts w:ascii="Arial Narrow" w:hAnsi="Arial Narrow"/>
                <w:i w:val="0"/>
                <w:sz w:val="20"/>
                <w:szCs w:val="20"/>
              </w:rPr>
              <w:t>/r</w:t>
            </w:r>
            <w:r w:rsidRPr="00C81663">
              <w:rPr>
                <w:rFonts w:ascii="Arial Narrow" w:hAnsi="Arial Narrow"/>
                <w:i w:val="0"/>
                <w:sz w:val="20"/>
                <w:szCs w:val="20"/>
              </w:rPr>
              <w:t xml:space="preserve">equested PBS listing for ULFS after </w:t>
            </w:r>
            <w:r w:rsidR="00224005" w:rsidRPr="00C81663">
              <w:rPr>
                <w:rFonts w:ascii="Arial Narrow" w:hAnsi="Arial Narrow"/>
                <w:i w:val="0"/>
                <w:sz w:val="20"/>
                <w:szCs w:val="20"/>
              </w:rPr>
              <w:t>a stroke/</w:t>
            </w:r>
            <w:r w:rsidRPr="00C81663">
              <w:rPr>
                <w:rFonts w:ascii="Arial Narrow" w:hAnsi="Arial Narrow"/>
                <w:i w:val="0"/>
                <w:sz w:val="20"/>
                <w:szCs w:val="20"/>
              </w:rPr>
              <w:t>an acute event</w:t>
            </w:r>
          </w:p>
        </w:tc>
        <w:tc>
          <w:tcPr>
            <w:tcW w:w="1781" w:type="dxa"/>
            <w:tcMar>
              <w:left w:w="28" w:type="dxa"/>
              <w:right w:w="28" w:type="dxa"/>
            </w:tcMar>
          </w:tcPr>
          <w:p w14:paraId="5A8A579A" w14:textId="6F67D12A" w:rsidR="00B06338" w:rsidRPr="00C81663" w:rsidRDefault="00B06338" w:rsidP="00217862">
            <w:pPr>
              <w:pStyle w:val="Bodytextitalics"/>
              <w:keepNext/>
              <w:keepLines/>
              <w:numPr>
                <w:ilvl w:val="0"/>
                <w:numId w:val="0"/>
              </w:numPr>
              <w:spacing w:after="0"/>
              <w:rPr>
                <w:rFonts w:ascii="Arial Narrow" w:hAnsi="Arial Narrow"/>
                <w:i w:val="0"/>
                <w:sz w:val="20"/>
                <w:szCs w:val="20"/>
              </w:rPr>
            </w:pPr>
            <w:r w:rsidRPr="00C81663">
              <w:rPr>
                <w:rFonts w:ascii="Arial Narrow" w:hAnsi="Arial Narrow"/>
                <w:i w:val="0"/>
                <w:sz w:val="20"/>
                <w:szCs w:val="20"/>
              </w:rPr>
              <w:t>Requested November 2019</w:t>
            </w:r>
          </w:p>
        </w:tc>
      </w:tr>
      <w:tr w:rsidR="00B06338" w:rsidRPr="00C81663" w14:paraId="77192F9E" w14:textId="77777777" w:rsidTr="006646FE">
        <w:tc>
          <w:tcPr>
            <w:tcW w:w="988" w:type="dxa"/>
            <w:vMerge/>
            <w:tcMar>
              <w:left w:w="28" w:type="dxa"/>
              <w:right w:w="28" w:type="dxa"/>
            </w:tcMar>
          </w:tcPr>
          <w:p w14:paraId="703C21CC" w14:textId="77777777"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p>
        </w:tc>
        <w:tc>
          <w:tcPr>
            <w:tcW w:w="1275" w:type="dxa"/>
            <w:tcMar>
              <w:left w:w="28" w:type="dxa"/>
              <w:right w:w="28" w:type="dxa"/>
            </w:tcMar>
          </w:tcPr>
          <w:p w14:paraId="4DE98E56" w14:textId="30BB8CC4"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LLFS = NR</w:t>
            </w:r>
          </w:p>
        </w:tc>
        <w:tc>
          <w:tcPr>
            <w:tcW w:w="1418" w:type="dxa"/>
            <w:tcMar>
              <w:left w:w="28" w:type="dxa"/>
              <w:right w:w="28" w:type="dxa"/>
            </w:tcMar>
          </w:tcPr>
          <w:p w14:paraId="14066392" w14:textId="07CAF8C9" w:rsidR="00B06338" w:rsidRPr="00C81663" w:rsidRDefault="00B06338" w:rsidP="00217862">
            <w:pPr>
              <w:pStyle w:val="Bodytextitalics"/>
              <w:keepNext/>
              <w:keepLines/>
              <w:numPr>
                <w:ilvl w:val="0"/>
                <w:numId w:val="0"/>
              </w:numPr>
              <w:spacing w:after="0"/>
              <w:jc w:val="center"/>
              <w:rPr>
                <w:rFonts w:ascii="Arial Narrow" w:hAnsi="Arial Narrow"/>
                <w:i w:val="0"/>
                <w:sz w:val="20"/>
                <w:szCs w:val="20"/>
              </w:rPr>
            </w:pPr>
            <w:r w:rsidRPr="00C81663">
              <w:rPr>
                <w:rFonts w:ascii="Arial Narrow" w:hAnsi="Arial Narrow"/>
                <w:i w:val="0"/>
                <w:sz w:val="20"/>
                <w:szCs w:val="20"/>
              </w:rPr>
              <w:t>-</w:t>
            </w:r>
          </w:p>
        </w:tc>
        <w:tc>
          <w:tcPr>
            <w:tcW w:w="3554" w:type="dxa"/>
            <w:tcMar>
              <w:left w:w="28" w:type="dxa"/>
              <w:right w:w="28" w:type="dxa"/>
            </w:tcMar>
          </w:tcPr>
          <w:p w14:paraId="542681D9" w14:textId="706DA792"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r w:rsidRPr="00C81663">
              <w:rPr>
                <w:rFonts w:ascii="Arial Narrow" w:hAnsi="Arial Narrow"/>
                <w:i w:val="0"/>
                <w:sz w:val="20"/>
                <w:szCs w:val="20"/>
              </w:rPr>
              <w:t>-</w:t>
            </w:r>
          </w:p>
        </w:tc>
        <w:tc>
          <w:tcPr>
            <w:tcW w:w="1781" w:type="dxa"/>
            <w:tcMar>
              <w:left w:w="28" w:type="dxa"/>
              <w:right w:w="28" w:type="dxa"/>
            </w:tcMar>
          </w:tcPr>
          <w:p w14:paraId="6450494E" w14:textId="078FF69F" w:rsidR="00B06338" w:rsidRPr="00C81663" w:rsidRDefault="00B06338" w:rsidP="00217862">
            <w:pPr>
              <w:pStyle w:val="Bodytextitalics"/>
              <w:keepNext/>
              <w:keepLines/>
              <w:numPr>
                <w:ilvl w:val="0"/>
                <w:numId w:val="0"/>
              </w:numPr>
              <w:spacing w:after="0"/>
              <w:jc w:val="both"/>
              <w:rPr>
                <w:rFonts w:ascii="Arial Narrow" w:hAnsi="Arial Narrow"/>
                <w:i w:val="0"/>
                <w:sz w:val="20"/>
                <w:szCs w:val="20"/>
              </w:rPr>
            </w:pPr>
            <w:r w:rsidRPr="00C81663">
              <w:rPr>
                <w:rFonts w:ascii="Arial Narrow" w:hAnsi="Arial Narrow"/>
                <w:i w:val="0"/>
                <w:sz w:val="20"/>
                <w:szCs w:val="20"/>
              </w:rPr>
              <w:t>-</w:t>
            </w:r>
          </w:p>
        </w:tc>
      </w:tr>
    </w:tbl>
    <w:p w14:paraId="19134A41" w14:textId="10134984" w:rsidR="001A0C08" w:rsidRDefault="00C54193" w:rsidP="00217862">
      <w:pPr>
        <w:pStyle w:val="TableFooter"/>
        <w:keepNext/>
        <w:keepLines/>
      </w:pPr>
      <w:r>
        <w:t xml:space="preserve">LLFS = lower limb focal spasticity; </w:t>
      </w:r>
      <w:r w:rsidR="00702918">
        <w:t xml:space="preserve">NR = not reported; </w:t>
      </w:r>
      <w:r>
        <w:t xml:space="preserve">PBAC = Pharmaceutical Benefits Advisory Committee; PBS = Pharmaceutical Benefits Scheme; </w:t>
      </w:r>
      <w:r w:rsidR="00702918">
        <w:t xml:space="preserve">PI = Product Information; </w:t>
      </w:r>
      <w:r>
        <w:t>ULFS = upper limb focal spasticity</w:t>
      </w:r>
    </w:p>
    <w:p w14:paraId="4B149257" w14:textId="5630D383" w:rsidR="00C54193" w:rsidRDefault="00C54193" w:rsidP="00217862">
      <w:pPr>
        <w:pStyle w:val="TableFooter"/>
        <w:keepNext/>
        <w:keepLines/>
      </w:pPr>
      <w:r>
        <w:t>Source: Compiled by the Secretariat</w:t>
      </w:r>
    </w:p>
    <w:p w14:paraId="2A2F2FEB" w14:textId="77777777" w:rsidR="00C54193" w:rsidRDefault="00C54193" w:rsidP="006646FE"/>
    <w:p w14:paraId="18D0FAF6" w14:textId="1477DBC2" w:rsidR="009F6014" w:rsidRPr="00C81663" w:rsidRDefault="00215C42" w:rsidP="00E72446">
      <w:pPr>
        <w:pStyle w:val="Bodytextitalics"/>
        <w:jc w:val="both"/>
        <w:rPr>
          <w:i w:val="0"/>
        </w:rPr>
      </w:pPr>
      <w:r w:rsidRPr="00C81663">
        <w:rPr>
          <w:i w:val="0"/>
        </w:rPr>
        <w:t xml:space="preserve">Therefore, based on the July 2014 PBAC recommendation that 1U </w:t>
      </w:r>
      <w:proofErr w:type="spellStart"/>
      <w:r w:rsidRPr="00C81663">
        <w:rPr>
          <w:i w:val="0"/>
        </w:rPr>
        <w:t>Xeomin</w:t>
      </w:r>
      <w:proofErr w:type="spellEnd"/>
      <w:r w:rsidRPr="00C81663">
        <w:rPr>
          <w:rFonts w:cstheme="minorHAnsi"/>
          <w:i w:val="0"/>
        </w:rPr>
        <w:t>®</w:t>
      </w:r>
      <w:r w:rsidRPr="00C81663">
        <w:rPr>
          <w:i w:val="0"/>
        </w:rPr>
        <w:t xml:space="preserve"> = 1U Botox</w:t>
      </w:r>
      <w:r w:rsidRPr="00C81663">
        <w:rPr>
          <w:rFonts w:cstheme="minorHAnsi"/>
          <w:i w:val="0"/>
        </w:rPr>
        <w:t>®</w:t>
      </w:r>
      <w:r w:rsidRPr="00C81663">
        <w:rPr>
          <w:i w:val="0"/>
        </w:rPr>
        <w:t xml:space="preserve">, the July 2019 PBAC recommendation </w:t>
      </w:r>
      <w:r w:rsidR="00C54193" w:rsidRPr="00C81663">
        <w:rPr>
          <w:i w:val="0"/>
        </w:rPr>
        <w:t xml:space="preserve">that </w:t>
      </w:r>
      <w:proofErr w:type="spellStart"/>
      <w:r w:rsidR="00C54193" w:rsidRPr="00C81663">
        <w:rPr>
          <w:i w:val="0"/>
        </w:rPr>
        <w:t>Dy</w:t>
      </w:r>
      <w:r w:rsidRPr="00C81663">
        <w:rPr>
          <w:i w:val="0"/>
        </w:rPr>
        <w:t>sport</w:t>
      </w:r>
      <w:proofErr w:type="spellEnd"/>
      <w:r w:rsidR="00C54193" w:rsidRPr="00C81663">
        <w:rPr>
          <w:rFonts w:cstheme="minorHAnsi"/>
          <w:i w:val="0"/>
        </w:rPr>
        <w:t>®</w:t>
      </w:r>
      <w:r w:rsidRPr="00C81663">
        <w:rPr>
          <w:i w:val="0"/>
        </w:rPr>
        <w:t xml:space="preserve"> 1</w:t>
      </w:r>
      <w:r w:rsidR="00C54193" w:rsidRPr="00C81663">
        <w:rPr>
          <w:i w:val="0"/>
        </w:rPr>
        <w:t>,</w:t>
      </w:r>
      <w:r w:rsidRPr="00C81663">
        <w:rPr>
          <w:i w:val="0"/>
        </w:rPr>
        <w:t>500U = Botox</w:t>
      </w:r>
      <w:r w:rsidR="00C54193" w:rsidRPr="00C81663">
        <w:rPr>
          <w:rFonts w:cstheme="minorHAnsi"/>
          <w:i w:val="0"/>
        </w:rPr>
        <w:t>®</w:t>
      </w:r>
      <w:r w:rsidRPr="00C81663">
        <w:rPr>
          <w:i w:val="0"/>
        </w:rPr>
        <w:t xml:space="preserve"> 400U, and the fact that the maximum PBS quantity for Botox</w:t>
      </w:r>
      <w:r w:rsidR="00C54193" w:rsidRPr="00C81663">
        <w:rPr>
          <w:rFonts w:cstheme="minorHAnsi"/>
          <w:i w:val="0"/>
        </w:rPr>
        <w:t>®</w:t>
      </w:r>
      <w:r w:rsidRPr="00C81663">
        <w:rPr>
          <w:i w:val="0"/>
        </w:rPr>
        <w:t xml:space="preserve"> in both the upper and lower limb rest</w:t>
      </w:r>
      <w:r w:rsidR="00C54193" w:rsidRPr="00C81663">
        <w:rPr>
          <w:i w:val="0"/>
        </w:rPr>
        <w:t>r</w:t>
      </w:r>
      <w:r w:rsidRPr="00C81663">
        <w:rPr>
          <w:i w:val="0"/>
        </w:rPr>
        <w:t>ictions is</w:t>
      </w:r>
      <w:r w:rsidR="00702918">
        <w:rPr>
          <w:i w:val="0"/>
        </w:rPr>
        <w:t xml:space="preserve"> 400U, the PBAC wa</w:t>
      </w:r>
      <w:r w:rsidRPr="00C81663">
        <w:rPr>
          <w:i w:val="0"/>
        </w:rPr>
        <w:t xml:space="preserve">s asked to consider if the equi-effective doses should be </w:t>
      </w:r>
      <w:proofErr w:type="spellStart"/>
      <w:r w:rsidR="00C54193" w:rsidRPr="00C81663">
        <w:rPr>
          <w:i w:val="0"/>
        </w:rPr>
        <w:t>Xeomin</w:t>
      </w:r>
      <w:proofErr w:type="spellEnd"/>
      <w:r w:rsidR="00C54193" w:rsidRPr="00C81663">
        <w:rPr>
          <w:rFonts w:cstheme="minorHAnsi"/>
          <w:i w:val="0"/>
        </w:rPr>
        <w:t>®</w:t>
      </w:r>
      <w:r w:rsidR="00C54193" w:rsidRPr="00C81663">
        <w:rPr>
          <w:i w:val="0"/>
        </w:rPr>
        <w:t xml:space="preserve"> 400U = </w:t>
      </w:r>
      <w:proofErr w:type="spellStart"/>
      <w:r w:rsidRPr="00C81663">
        <w:rPr>
          <w:i w:val="0"/>
        </w:rPr>
        <w:t>Dysport</w:t>
      </w:r>
      <w:proofErr w:type="spellEnd"/>
      <w:r w:rsidR="00C54193" w:rsidRPr="00C81663">
        <w:rPr>
          <w:rFonts w:cstheme="minorHAnsi"/>
          <w:i w:val="0"/>
        </w:rPr>
        <w:t>®</w:t>
      </w:r>
      <w:r w:rsidR="00C54193" w:rsidRPr="00C81663">
        <w:rPr>
          <w:i w:val="0"/>
        </w:rPr>
        <w:t xml:space="preserve"> 1,500U</w:t>
      </w:r>
      <w:r w:rsidR="00901576" w:rsidRPr="00C81663">
        <w:rPr>
          <w:i w:val="0"/>
        </w:rPr>
        <w:t xml:space="preserve"> (</w:t>
      </w:r>
      <w:r w:rsidR="00E72446" w:rsidRPr="00C81663">
        <w:rPr>
          <w:i w:val="0"/>
        </w:rPr>
        <w:t xml:space="preserve">i.e. </w:t>
      </w:r>
      <w:proofErr w:type="spellStart"/>
      <w:r w:rsidR="00901576" w:rsidRPr="00C81663">
        <w:rPr>
          <w:i w:val="0"/>
        </w:rPr>
        <w:t>Xeomin</w:t>
      </w:r>
      <w:proofErr w:type="spellEnd"/>
      <w:r w:rsidR="00901576" w:rsidRPr="00C81663">
        <w:rPr>
          <w:i w:val="0"/>
        </w:rPr>
        <w:t xml:space="preserve">® 1U = </w:t>
      </w:r>
      <w:proofErr w:type="spellStart"/>
      <w:r w:rsidR="00901576" w:rsidRPr="00C81663">
        <w:rPr>
          <w:i w:val="0"/>
        </w:rPr>
        <w:t>Dysport</w:t>
      </w:r>
      <w:proofErr w:type="spellEnd"/>
      <w:r w:rsidR="00901576" w:rsidRPr="00C81663">
        <w:rPr>
          <w:i w:val="0"/>
        </w:rPr>
        <w:t>® 3.75U)</w:t>
      </w:r>
      <w:r w:rsidR="00C54193" w:rsidRPr="00C81663">
        <w:rPr>
          <w:i w:val="0"/>
        </w:rPr>
        <w:t>.</w:t>
      </w:r>
      <w:r w:rsidR="00702918">
        <w:rPr>
          <w:i w:val="0"/>
        </w:rPr>
        <w:t xml:space="preserve"> The pre-PBAC response noted that </w:t>
      </w:r>
      <w:proofErr w:type="spellStart"/>
      <w:r w:rsidR="00702918">
        <w:rPr>
          <w:i w:val="0"/>
        </w:rPr>
        <w:t>Xeomin</w:t>
      </w:r>
      <w:proofErr w:type="spellEnd"/>
      <w:r w:rsidR="00702918">
        <w:rPr>
          <w:rFonts w:cstheme="minorHAnsi"/>
          <w:i w:val="0"/>
        </w:rPr>
        <w:t>®</w:t>
      </w:r>
      <w:r w:rsidR="00702918">
        <w:rPr>
          <w:i w:val="0"/>
        </w:rPr>
        <w:t xml:space="preserve"> is not TGA registered or PBS listed for treatment of spasticity of the lower limb meaning that </w:t>
      </w:r>
      <w:proofErr w:type="spellStart"/>
      <w:r w:rsidR="00702918">
        <w:rPr>
          <w:i w:val="0"/>
        </w:rPr>
        <w:t>Xeomin</w:t>
      </w:r>
      <w:proofErr w:type="spellEnd"/>
      <w:r w:rsidR="00702918">
        <w:rPr>
          <w:rFonts w:cstheme="minorHAnsi"/>
          <w:i w:val="0"/>
        </w:rPr>
        <w:t>®</w:t>
      </w:r>
      <w:r w:rsidR="00702918">
        <w:rPr>
          <w:i w:val="0"/>
        </w:rPr>
        <w:t xml:space="preserve"> cannot be used in both the upper and lower limbs and therefore the previously accepted relativity should be maintained.</w:t>
      </w:r>
    </w:p>
    <w:p w14:paraId="370954C1" w14:textId="4495F099" w:rsidR="007B72A6" w:rsidRDefault="005A3173" w:rsidP="00E72446">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14:paraId="3C7C9733" w14:textId="745E10E5" w:rsidR="00CE10C4" w:rsidRPr="00B167E9" w:rsidRDefault="00FF2801" w:rsidP="00E72446">
      <w:pPr>
        <w:pStyle w:val="3Bodytext"/>
        <w:keepNext/>
        <w:jc w:val="both"/>
        <w:rPr>
          <w:b/>
          <w:color w:val="FF00FF"/>
        </w:rPr>
      </w:pPr>
      <w:r w:rsidRPr="003C2FB5">
        <w:t>The minor submission estimated</w:t>
      </w:r>
      <w:r w:rsidR="00C00DA7" w:rsidRPr="003C2FB5">
        <w:t xml:space="preserve"> there to be no financial implications to the PBS as the submission </w:t>
      </w:r>
      <w:r w:rsidR="00C00DA7" w:rsidRPr="00167A46">
        <w:t xml:space="preserve">expects </w:t>
      </w:r>
      <w:proofErr w:type="spellStart"/>
      <w:r w:rsidR="00CC6525">
        <w:t>Xeomin</w:t>
      </w:r>
      <w:proofErr w:type="spellEnd"/>
      <w:r w:rsidR="00D336C8">
        <w:t>®</w:t>
      </w:r>
      <w:r w:rsidR="00C00DA7" w:rsidRPr="00167A46">
        <w:t xml:space="preserve"> to substitute for </w:t>
      </w:r>
      <w:proofErr w:type="spellStart"/>
      <w:r w:rsidR="00167A46" w:rsidRPr="00167A46">
        <w:t>Dysport</w:t>
      </w:r>
      <w:proofErr w:type="spellEnd"/>
      <w:r w:rsidR="00167A46" w:rsidRPr="005B3EF7">
        <w:rPr>
          <w:i/>
        </w:rPr>
        <w:t>®</w:t>
      </w:r>
      <w:r w:rsidR="00C00DA7" w:rsidRPr="00167A46">
        <w:t xml:space="preserve"> and both drugs </w:t>
      </w:r>
      <w:r w:rsidR="00224005">
        <w:t xml:space="preserve">will </w:t>
      </w:r>
      <w:r w:rsidR="00C00DA7" w:rsidRPr="00167A46">
        <w:t xml:space="preserve">have the same </w:t>
      </w:r>
      <w:r w:rsidR="00224005">
        <w:t>effective AEMP</w:t>
      </w:r>
      <w:r w:rsidR="00C00DA7" w:rsidRPr="00167A46">
        <w:t xml:space="preserve">. </w:t>
      </w:r>
    </w:p>
    <w:p w14:paraId="148D7786" w14:textId="77777777" w:rsidR="00B167E9" w:rsidRPr="00C81663" w:rsidRDefault="00B167E9" w:rsidP="00B167E9">
      <w:pPr>
        <w:pStyle w:val="3Bodytext"/>
        <w:numPr>
          <w:ilvl w:val="0"/>
          <w:numId w:val="0"/>
        </w:numPr>
        <w:ind w:left="720"/>
        <w:rPr>
          <w:i/>
        </w:rPr>
      </w:pPr>
      <w:r>
        <w:rPr>
          <w:i/>
        </w:rPr>
        <w:t>Fo</w:t>
      </w:r>
      <w:r w:rsidRPr="00DF2235">
        <w:rPr>
          <w:i/>
        </w:rPr>
        <w:t xml:space="preserve">r more detail on PBAC’s view, see section </w:t>
      </w:r>
      <w:r>
        <w:rPr>
          <w:i/>
        </w:rPr>
        <w:t>6</w:t>
      </w:r>
      <w:r w:rsidRPr="00DF2235">
        <w:rPr>
          <w:i/>
        </w:rPr>
        <w:t xml:space="preserve"> PBAC outcome.</w:t>
      </w:r>
    </w:p>
    <w:p w14:paraId="4423D3E6" w14:textId="77777777" w:rsidR="00C81663" w:rsidRPr="00D52702" w:rsidRDefault="00C81663" w:rsidP="003542CD">
      <w:pPr>
        <w:pStyle w:val="Heading1"/>
        <w:keepNext/>
        <w:keepLines/>
        <w:widowControl/>
        <w:numPr>
          <w:ilvl w:val="0"/>
          <w:numId w:val="3"/>
        </w:numPr>
        <w:spacing w:before="240" w:after="120"/>
        <w:ind w:left="709" w:hanging="709"/>
        <w:contextualSpacing w:val="0"/>
        <w:jc w:val="left"/>
        <w:rPr>
          <w:rFonts w:asciiTheme="minorHAnsi" w:hAnsiTheme="minorHAnsi"/>
          <w:bCs/>
          <w:sz w:val="32"/>
        </w:rPr>
      </w:pPr>
      <w:r w:rsidRPr="00773AB8">
        <w:rPr>
          <w:rFonts w:asciiTheme="minorHAnsi" w:hAnsiTheme="minorHAnsi"/>
          <w:sz w:val="32"/>
          <w:szCs w:val="32"/>
        </w:rPr>
        <w:t>PBAC</w:t>
      </w:r>
      <w:r w:rsidRPr="00D52702">
        <w:rPr>
          <w:rFonts w:asciiTheme="minorHAnsi" w:hAnsiTheme="minorHAnsi"/>
          <w:b w:val="0"/>
          <w:bCs/>
          <w:sz w:val="32"/>
        </w:rPr>
        <w:t xml:space="preserve"> </w:t>
      </w:r>
      <w:r w:rsidRPr="00773AB8">
        <w:rPr>
          <w:rFonts w:asciiTheme="minorHAnsi" w:hAnsiTheme="minorHAnsi"/>
          <w:sz w:val="32"/>
          <w:szCs w:val="32"/>
        </w:rPr>
        <w:t>Outcome</w:t>
      </w:r>
    </w:p>
    <w:p w14:paraId="2D84E630" w14:textId="78BB1E4F" w:rsidR="00C81663" w:rsidRPr="00B67E1E" w:rsidRDefault="00841785" w:rsidP="00B64004">
      <w:pPr>
        <w:pStyle w:val="Bodytextitalics"/>
        <w:jc w:val="both"/>
        <w:rPr>
          <w:i w:val="0"/>
          <w:snapToGrid w:val="0"/>
          <w:lang w:val="en-GB"/>
        </w:rPr>
      </w:pPr>
      <w:r w:rsidRPr="003542CD">
        <w:rPr>
          <w:i w:val="0"/>
          <w:snapToGrid w:val="0"/>
          <w:lang w:val="en-GB"/>
        </w:rPr>
        <w:t>The PBAC recommended an extension of the current section 100 (Botulinum Toxin Program), Authority Required (STREAMLINED) li</w:t>
      </w:r>
      <w:r w:rsidR="002C7E38">
        <w:rPr>
          <w:i w:val="0"/>
          <w:snapToGrid w:val="0"/>
          <w:lang w:val="en-GB"/>
        </w:rPr>
        <w:t xml:space="preserve">sting for </w:t>
      </w:r>
      <w:proofErr w:type="spellStart"/>
      <w:r w:rsidR="00B67E1E">
        <w:rPr>
          <w:i w:val="0"/>
          <w:snapToGrid w:val="0"/>
          <w:lang w:val="en-GB"/>
        </w:rPr>
        <w:t>incobotulinumtoxinA</w:t>
      </w:r>
      <w:proofErr w:type="spellEnd"/>
      <w:r w:rsidR="00B67E1E">
        <w:rPr>
          <w:i w:val="0"/>
          <w:snapToGrid w:val="0"/>
          <w:lang w:val="en-GB"/>
        </w:rPr>
        <w:t xml:space="preserve"> (</w:t>
      </w:r>
      <w:proofErr w:type="spellStart"/>
      <w:r w:rsidRPr="003542CD">
        <w:rPr>
          <w:i w:val="0"/>
          <w:snapToGrid w:val="0"/>
          <w:lang w:val="en-GB"/>
        </w:rPr>
        <w:t>Xeomin</w:t>
      </w:r>
      <w:proofErr w:type="spellEnd"/>
      <w:r w:rsidRPr="00841785">
        <w:rPr>
          <w:rFonts w:eastAsia="Times New Roman" w:cs="Arial"/>
          <w:bCs/>
          <w:i w:val="0"/>
          <w:snapToGrid w:val="0"/>
          <w:szCs w:val="24"/>
          <w:lang w:val="en-GB"/>
        </w:rPr>
        <w:t>®</w:t>
      </w:r>
      <w:r w:rsidR="00B67E1E">
        <w:rPr>
          <w:rFonts w:eastAsia="Times New Roman" w:cs="Arial"/>
          <w:bCs/>
          <w:i w:val="0"/>
          <w:snapToGrid w:val="0"/>
          <w:szCs w:val="24"/>
          <w:lang w:val="en-GB"/>
        </w:rPr>
        <w:t>)</w:t>
      </w:r>
      <w:r w:rsidR="00DE6BF0">
        <w:rPr>
          <w:i w:val="0"/>
          <w:snapToGrid w:val="0"/>
          <w:lang w:val="en-GB"/>
        </w:rPr>
        <w:t xml:space="preserve"> for treatment of moderate to severe focal spasticity of the upper limb following a stroke, to also include spasticity following acute events other than stroke. T</w:t>
      </w:r>
      <w:r w:rsidR="002C7E38">
        <w:rPr>
          <w:i w:val="0"/>
          <w:snapToGrid w:val="0"/>
          <w:lang w:val="en-GB"/>
        </w:rPr>
        <w:t xml:space="preserve">he PBAC was satisfied that </w:t>
      </w:r>
      <w:proofErr w:type="spellStart"/>
      <w:r w:rsidR="002C7E38">
        <w:rPr>
          <w:i w:val="0"/>
          <w:snapToGrid w:val="0"/>
          <w:lang w:val="en-GB"/>
        </w:rPr>
        <w:t>Xeomin</w:t>
      </w:r>
      <w:proofErr w:type="spellEnd"/>
      <w:r w:rsidR="00DE6BF0">
        <w:t>®</w:t>
      </w:r>
      <w:r w:rsidR="00DE6BF0">
        <w:rPr>
          <w:i w:val="0"/>
        </w:rPr>
        <w:t xml:space="preserve"> was non inferior to </w:t>
      </w:r>
      <w:proofErr w:type="spellStart"/>
      <w:r w:rsidR="00DE6BF0">
        <w:rPr>
          <w:i w:val="0"/>
        </w:rPr>
        <w:t>Dysport</w:t>
      </w:r>
      <w:proofErr w:type="spellEnd"/>
      <w:r w:rsidR="00DE6BF0">
        <w:t>®</w:t>
      </w:r>
      <w:r w:rsidR="00DE6BF0">
        <w:rPr>
          <w:i w:val="0"/>
        </w:rPr>
        <w:t xml:space="preserve"> i</w:t>
      </w:r>
      <w:r w:rsidR="00495079">
        <w:rPr>
          <w:i w:val="0"/>
        </w:rPr>
        <w:t xml:space="preserve">n terms of comparative efficacy. </w:t>
      </w:r>
    </w:p>
    <w:p w14:paraId="3D86A66C" w14:textId="3C6C6255" w:rsidR="00B67E1E" w:rsidRPr="00662D1F" w:rsidRDefault="00B67E1E" w:rsidP="00B64004">
      <w:pPr>
        <w:pStyle w:val="Bodytextitalics"/>
        <w:jc w:val="both"/>
        <w:rPr>
          <w:i w:val="0"/>
          <w:snapToGrid w:val="0"/>
          <w:lang w:val="en-GB"/>
        </w:rPr>
      </w:pPr>
      <w:r>
        <w:rPr>
          <w:i w:val="0"/>
        </w:rPr>
        <w:t xml:space="preserve">The PBAC noted that the request to add additional acute aetiologies, including traumatic brain and spinal cord injuries, to the upper limb focal spasticity restriction </w:t>
      </w:r>
      <w:r>
        <w:rPr>
          <w:i w:val="0"/>
        </w:rPr>
        <w:lastRenderedPageBreak/>
        <w:t xml:space="preserve">was supported by the Rehabilitation Medicine Society of Australia and New Zealand (RMSANZ). </w:t>
      </w:r>
    </w:p>
    <w:p w14:paraId="3F3AE0B9" w14:textId="5EBB6230" w:rsidR="00DE6BF0" w:rsidRPr="00D40149" w:rsidRDefault="00DE6BF0" w:rsidP="00B64004">
      <w:pPr>
        <w:pStyle w:val="Bodytextitalics"/>
        <w:jc w:val="both"/>
        <w:rPr>
          <w:snapToGrid w:val="0"/>
          <w:lang w:val="en-GB"/>
        </w:rPr>
      </w:pPr>
      <w:r w:rsidRPr="00662D1F">
        <w:rPr>
          <w:i w:val="0"/>
        </w:rPr>
        <w:t xml:space="preserve">The PBAC noted that the proposed restriction was </w:t>
      </w:r>
      <w:r w:rsidRPr="00DE6BF0">
        <w:rPr>
          <w:i w:val="0"/>
        </w:rPr>
        <w:t xml:space="preserve">identical to that recommended in March 2019 for </w:t>
      </w:r>
      <w:proofErr w:type="spellStart"/>
      <w:r w:rsidRPr="00DE6BF0">
        <w:rPr>
          <w:i w:val="0"/>
        </w:rPr>
        <w:t>Dysport</w:t>
      </w:r>
      <w:proofErr w:type="spellEnd"/>
      <w:r w:rsidRPr="00DE6BF0">
        <w:rPr>
          <w:i w:val="0"/>
        </w:rPr>
        <w:t xml:space="preserve">® for the same indication. The PBAC recalled that it had previously considered that it would be reasonable for future botulinum toxin restrictions to be consistent in terms of initiation and continuation criteria and lifetime limits (paragraph 5.11, </w:t>
      </w:r>
      <w:proofErr w:type="spellStart"/>
      <w:r w:rsidRPr="00DE6BF0">
        <w:rPr>
          <w:i w:val="0"/>
        </w:rPr>
        <w:t>Dysport</w:t>
      </w:r>
      <w:proofErr w:type="spellEnd"/>
      <w:r w:rsidRPr="00DE6BF0">
        <w:rPr>
          <w:i w:val="0"/>
        </w:rPr>
        <w:t>® PSD, March 2019)</w:t>
      </w:r>
      <w:r>
        <w:rPr>
          <w:i w:val="0"/>
        </w:rPr>
        <w:t>.</w:t>
      </w:r>
    </w:p>
    <w:p w14:paraId="0A07D1AC" w14:textId="11DCB188" w:rsidR="002C7E38" w:rsidRPr="002C7E38" w:rsidRDefault="002C7E38" w:rsidP="00B64004">
      <w:pPr>
        <w:pStyle w:val="Bodytextitalics"/>
        <w:jc w:val="both"/>
        <w:rPr>
          <w:i w:val="0"/>
          <w:snapToGrid w:val="0"/>
          <w:lang w:val="en-GB"/>
        </w:rPr>
      </w:pPr>
      <w:r w:rsidRPr="002C7E38">
        <w:rPr>
          <w:i w:val="0"/>
          <w:snapToGrid w:val="0"/>
          <w:lang w:val="en-GB"/>
        </w:rPr>
        <w:t xml:space="preserve">The PBAC considered that a grandfather restriction, identical to the current grandfather restriction for </w:t>
      </w:r>
      <w:proofErr w:type="spellStart"/>
      <w:r w:rsidRPr="002C7E38">
        <w:rPr>
          <w:i w:val="0"/>
          <w:snapToGrid w:val="0"/>
          <w:lang w:val="en-GB"/>
        </w:rPr>
        <w:t>Dysport</w:t>
      </w:r>
      <w:proofErr w:type="spellEnd"/>
      <w:r w:rsidRPr="002C7E38">
        <w:rPr>
          <w:i w:val="0"/>
          <w:snapToGrid w:val="0"/>
          <w:lang w:val="en-GB"/>
        </w:rPr>
        <w:t>®, would be appropriate for pat</w:t>
      </w:r>
      <w:r>
        <w:rPr>
          <w:i w:val="0"/>
          <w:snapToGrid w:val="0"/>
          <w:lang w:val="en-GB"/>
        </w:rPr>
        <w:t xml:space="preserve">ients already treated with </w:t>
      </w:r>
      <w:proofErr w:type="spellStart"/>
      <w:r>
        <w:rPr>
          <w:i w:val="0"/>
          <w:snapToGrid w:val="0"/>
          <w:lang w:val="en-GB"/>
        </w:rPr>
        <w:t>Xeomin</w:t>
      </w:r>
      <w:proofErr w:type="spellEnd"/>
      <w:r w:rsidRPr="002C7E38">
        <w:rPr>
          <w:i w:val="0"/>
          <w:snapToGrid w:val="0"/>
          <w:lang w:val="en-GB"/>
        </w:rPr>
        <w:t>®, if requested by the sponsor.</w:t>
      </w:r>
    </w:p>
    <w:p w14:paraId="1BD523B4" w14:textId="12C6BBBF" w:rsidR="00DE6BF0" w:rsidRPr="003542CD" w:rsidRDefault="00DE6BF0" w:rsidP="00B64004">
      <w:pPr>
        <w:pStyle w:val="Bodytextitalics"/>
        <w:jc w:val="both"/>
        <w:rPr>
          <w:snapToGrid w:val="0"/>
          <w:lang w:val="en-GB"/>
        </w:rPr>
      </w:pPr>
      <w:r>
        <w:rPr>
          <w:i w:val="0"/>
          <w:snapToGrid w:val="0"/>
          <w:lang w:val="en-GB"/>
        </w:rPr>
        <w:t xml:space="preserve">The PBAC considered that </w:t>
      </w:r>
      <w:proofErr w:type="spellStart"/>
      <w:r w:rsidRPr="00DE6BF0">
        <w:rPr>
          <w:i w:val="0"/>
        </w:rPr>
        <w:t>Dysport</w:t>
      </w:r>
      <w:proofErr w:type="spellEnd"/>
      <w:r w:rsidRPr="00DE6BF0">
        <w:rPr>
          <w:i w:val="0"/>
        </w:rPr>
        <w:t>®</w:t>
      </w:r>
      <w:r>
        <w:rPr>
          <w:i w:val="0"/>
        </w:rPr>
        <w:t xml:space="preserve"> was the appropriate comparator.</w:t>
      </w:r>
    </w:p>
    <w:p w14:paraId="6D1D4A2D" w14:textId="4D2A7B06" w:rsidR="00DE6BF0" w:rsidRPr="00B64004" w:rsidRDefault="00DE6BF0" w:rsidP="00B64004">
      <w:pPr>
        <w:pStyle w:val="Bodytextitalics"/>
        <w:jc w:val="both"/>
        <w:rPr>
          <w:snapToGrid w:val="0"/>
          <w:lang w:val="en-GB"/>
        </w:rPr>
      </w:pPr>
      <w:r w:rsidRPr="00284CF1">
        <w:rPr>
          <w:i w:val="0"/>
        </w:rPr>
        <w:t xml:space="preserve">The PBAC noted that the basis of the minor submission was </w:t>
      </w:r>
      <w:r w:rsidR="007E1E89" w:rsidRPr="00284CF1">
        <w:rPr>
          <w:i w:val="0"/>
        </w:rPr>
        <w:t xml:space="preserve">a naïve comparison between </w:t>
      </w:r>
      <w:proofErr w:type="spellStart"/>
      <w:r w:rsidR="007E1E89" w:rsidRPr="00284CF1">
        <w:rPr>
          <w:i w:val="0"/>
        </w:rPr>
        <w:t>Xeomin</w:t>
      </w:r>
      <w:proofErr w:type="spellEnd"/>
      <w:r w:rsidR="007E1E89" w:rsidRPr="00284CF1">
        <w:rPr>
          <w:i w:val="0"/>
        </w:rPr>
        <w:t xml:space="preserve">® and </w:t>
      </w:r>
      <w:proofErr w:type="spellStart"/>
      <w:r w:rsidR="007E1E89" w:rsidRPr="00284CF1">
        <w:rPr>
          <w:i w:val="0"/>
        </w:rPr>
        <w:t>Dysport</w:t>
      </w:r>
      <w:proofErr w:type="spellEnd"/>
      <w:r w:rsidR="007E1E89" w:rsidRPr="00284CF1">
        <w:rPr>
          <w:i w:val="0"/>
        </w:rPr>
        <w:t xml:space="preserve">®. A </w:t>
      </w:r>
      <w:r w:rsidR="007E1E89" w:rsidRPr="00A504F7">
        <w:t xml:space="preserve">post-hoc </w:t>
      </w:r>
      <w:r w:rsidR="007E1E89" w:rsidRPr="00284CF1">
        <w:rPr>
          <w:i w:val="0"/>
        </w:rPr>
        <w:t xml:space="preserve">analysis of individual patient data from the TOWER study were compared to the results from Study 145. The PBAC </w:t>
      </w:r>
      <w:r w:rsidR="00284CF1" w:rsidRPr="00284CF1">
        <w:rPr>
          <w:i w:val="0"/>
        </w:rPr>
        <w:t>considered the evidence was of low quality</w:t>
      </w:r>
      <w:r w:rsidR="00B67E1E">
        <w:rPr>
          <w:i w:val="0"/>
        </w:rPr>
        <w:t xml:space="preserve">, </w:t>
      </w:r>
      <w:r w:rsidR="00284CF1" w:rsidRPr="00284CF1">
        <w:rPr>
          <w:i w:val="0"/>
        </w:rPr>
        <w:t>not</w:t>
      </w:r>
      <w:r w:rsidR="00B67E1E">
        <w:rPr>
          <w:i w:val="0"/>
        </w:rPr>
        <w:t>ing</w:t>
      </w:r>
      <w:r w:rsidR="00284CF1" w:rsidRPr="00284CF1">
        <w:rPr>
          <w:i w:val="0"/>
        </w:rPr>
        <w:t xml:space="preserve"> the different measuring scores and small patient numbers with aetiologies other than stroke in both trials. The PBAC noted that it had previously considered that despite lack of clinical trials in aetiologies other than stroke, the request to extend the listing of botulinum toxin to include acute events was reasonable and biologically plausible</w:t>
      </w:r>
      <w:r w:rsidR="00B67E1E">
        <w:rPr>
          <w:i w:val="0"/>
        </w:rPr>
        <w:t xml:space="preserve"> </w:t>
      </w:r>
      <w:r w:rsidR="00B67E1E" w:rsidRPr="00C81663">
        <w:rPr>
          <w:i w:val="0"/>
        </w:rPr>
        <w:t>(paragraph 5.2, Botox</w:t>
      </w:r>
      <w:r w:rsidR="00B67E1E" w:rsidRPr="00C81663">
        <w:rPr>
          <w:rFonts w:cstheme="minorHAnsi"/>
          <w:i w:val="0"/>
        </w:rPr>
        <w:t>®</w:t>
      </w:r>
      <w:r w:rsidR="00B67E1E" w:rsidRPr="00C81663">
        <w:rPr>
          <w:i w:val="0"/>
        </w:rPr>
        <w:t xml:space="preserve"> PSD, March 2019; paragraph 7.2, </w:t>
      </w:r>
      <w:proofErr w:type="spellStart"/>
      <w:r w:rsidR="00B67E1E" w:rsidRPr="00C81663">
        <w:rPr>
          <w:i w:val="0"/>
        </w:rPr>
        <w:t>Dysport</w:t>
      </w:r>
      <w:proofErr w:type="spellEnd"/>
      <w:r w:rsidR="00B67E1E" w:rsidRPr="00C81663">
        <w:rPr>
          <w:rFonts w:cstheme="minorHAnsi"/>
          <w:i w:val="0"/>
        </w:rPr>
        <w:t>®</w:t>
      </w:r>
      <w:r w:rsidR="00B67E1E" w:rsidRPr="00C81663">
        <w:rPr>
          <w:i w:val="0"/>
        </w:rPr>
        <w:t xml:space="preserve"> PSD, July 2019)</w:t>
      </w:r>
      <w:r w:rsidR="009F1B19">
        <w:rPr>
          <w:i w:val="0"/>
        </w:rPr>
        <w:t xml:space="preserve">. Therefore the PBAC considered that </w:t>
      </w:r>
      <w:proofErr w:type="spellStart"/>
      <w:r w:rsidR="009F1B19">
        <w:rPr>
          <w:i w:val="0"/>
        </w:rPr>
        <w:t>Xeomin</w:t>
      </w:r>
      <w:proofErr w:type="spellEnd"/>
      <w:r w:rsidR="009F1B19" w:rsidRPr="00284CF1">
        <w:rPr>
          <w:i w:val="0"/>
        </w:rPr>
        <w:t>®</w:t>
      </w:r>
      <w:r w:rsidR="009F1B19">
        <w:rPr>
          <w:i w:val="0"/>
        </w:rPr>
        <w:t xml:space="preserve"> was likely to be non-inferior in terms of comparative efficacy to </w:t>
      </w:r>
      <w:proofErr w:type="spellStart"/>
      <w:r w:rsidR="009F1B19">
        <w:rPr>
          <w:i w:val="0"/>
        </w:rPr>
        <w:t>Dysport</w:t>
      </w:r>
      <w:proofErr w:type="spellEnd"/>
      <w:r w:rsidR="009F1B19" w:rsidRPr="00284CF1">
        <w:rPr>
          <w:i w:val="0"/>
        </w:rPr>
        <w:t>®</w:t>
      </w:r>
      <w:r w:rsidR="009F1B19">
        <w:rPr>
          <w:i w:val="0"/>
        </w:rPr>
        <w:t xml:space="preserve"> in patients with focal upper limb spasticity due to an acute event.</w:t>
      </w:r>
    </w:p>
    <w:p w14:paraId="71BE771C" w14:textId="7CFE66D2" w:rsidR="00B64004" w:rsidRPr="007E1E89" w:rsidRDefault="00B64004" w:rsidP="00B64004">
      <w:pPr>
        <w:pStyle w:val="Bodytextitalics"/>
        <w:jc w:val="both"/>
        <w:rPr>
          <w:snapToGrid w:val="0"/>
          <w:lang w:val="en-GB"/>
        </w:rPr>
      </w:pPr>
      <w:r>
        <w:rPr>
          <w:i w:val="0"/>
        </w:rPr>
        <w:t xml:space="preserve">The PBAC noted that no comparative safety data was presented but considered that </w:t>
      </w:r>
      <w:proofErr w:type="spellStart"/>
      <w:r>
        <w:rPr>
          <w:i w:val="0"/>
        </w:rPr>
        <w:t>Xeomin</w:t>
      </w:r>
      <w:proofErr w:type="spellEnd"/>
      <w:r>
        <w:rPr>
          <w:rFonts w:cstheme="minorHAnsi"/>
          <w:i w:val="0"/>
        </w:rPr>
        <w:t>®</w:t>
      </w:r>
      <w:r>
        <w:rPr>
          <w:i w:val="0"/>
        </w:rPr>
        <w:t xml:space="preserve"> was likely to be non-inferior in terms of safety compared to </w:t>
      </w:r>
      <w:proofErr w:type="spellStart"/>
      <w:r>
        <w:rPr>
          <w:i w:val="0"/>
        </w:rPr>
        <w:t>Dysport</w:t>
      </w:r>
      <w:proofErr w:type="spellEnd"/>
      <w:r>
        <w:rPr>
          <w:rFonts w:cstheme="minorHAnsi"/>
          <w:i w:val="0"/>
        </w:rPr>
        <w:t>®</w:t>
      </w:r>
      <w:r>
        <w:rPr>
          <w:i w:val="0"/>
        </w:rPr>
        <w:t>.</w:t>
      </w:r>
    </w:p>
    <w:p w14:paraId="308611B9" w14:textId="41D74BD1" w:rsidR="00DE6BF0" w:rsidRPr="003542CD" w:rsidRDefault="00DE6BF0" w:rsidP="00B64004">
      <w:pPr>
        <w:pStyle w:val="Bodytextitalics"/>
        <w:jc w:val="both"/>
        <w:rPr>
          <w:snapToGrid w:val="0"/>
          <w:lang w:val="en-GB"/>
        </w:rPr>
      </w:pPr>
      <w:r>
        <w:rPr>
          <w:i w:val="0"/>
        </w:rPr>
        <w:t>The PBAC noted that the minor submission presented a cost mini</w:t>
      </w:r>
      <w:r w:rsidR="002C7E38">
        <w:rPr>
          <w:i w:val="0"/>
        </w:rPr>
        <w:t xml:space="preserve">misation analysis between </w:t>
      </w:r>
      <w:proofErr w:type="spellStart"/>
      <w:r w:rsidR="002C7E38">
        <w:rPr>
          <w:i w:val="0"/>
        </w:rPr>
        <w:t>Xeomin</w:t>
      </w:r>
      <w:proofErr w:type="spellEnd"/>
      <w:r w:rsidRPr="00DE6BF0">
        <w:rPr>
          <w:i w:val="0"/>
        </w:rPr>
        <w:t>®</w:t>
      </w:r>
      <w:r>
        <w:rPr>
          <w:i w:val="0"/>
        </w:rPr>
        <w:t xml:space="preserve"> and </w:t>
      </w:r>
      <w:proofErr w:type="spellStart"/>
      <w:r w:rsidRPr="00DE6BF0">
        <w:rPr>
          <w:i w:val="0"/>
        </w:rPr>
        <w:t>Dysport</w:t>
      </w:r>
      <w:proofErr w:type="spellEnd"/>
      <w:r w:rsidRPr="00DE6BF0">
        <w:rPr>
          <w:i w:val="0"/>
        </w:rPr>
        <w:t>®</w:t>
      </w:r>
      <w:r w:rsidR="00B64004">
        <w:rPr>
          <w:i w:val="0"/>
        </w:rPr>
        <w:t>. The PBAC noted that this analysis was</w:t>
      </w:r>
      <w:r>
        <w:rPr>
          <w:i w:val="0"/>
        </w:rPr>
        <w:t xml:space="preserve"> based on equi-effective do</w:t>
      </w:r>
      <w:r w:rsidR="00B64004">
        <w:rPr>
          <w:i w:val="0"/>
        </w:rPr>
        <w:t>s</w:t>
      </w:r>
      <w:r>
        <w:rPr>
          <w:i w:val="0"/>
        </w:rPr>
        <w:t xml:space="preserve">es and dose relativities </w:t>
      </w:r>
      <w:r w:rsidR="00B64004">
        <w:rPr>
          <w:i w:val="0"/>
        </w:rPr>
        <w:t xml:space="preserve">between </w:t>
      </w:r>
      <w:proofErr w:type="spellStart"/>
      <w:r w:rsidR="00B64004">
        <w:rPr>
          <w:i w:val="0"/>
        </w:rPr>
        <w:t>Xeomin</w:t>
      </w:r>
      <w:proofErr w:type="spellEnd"/>
      <w:r w:rsidR="00B64004">
        <w:rPr>
          <w:rFonts w:cstheme="minorHAnsi"/>
          <w:i w:val="0"/>
        </w:rPr>
        <w:t>®</w:t>
      </w:r>
      <w:r w:rsidR="00B64004">
        <w:rPr>
          <w:i w:val="0"/>
        </w:rPr>
        <w:t xml:space="preserve"> and Botox</w:t>
      </w:r>
      <w:r w:rsidR="00B64004">
        <w:rPr>
          <w:rFonts w:cstheme="minorHAnsi"/>
          <w:i w:val="0"/>
        </w:rPr>
        <w:t>®</w:t>
      </w:r>
      <w:r w:rsidR="00B64004">
        <w:rPr>
          <w:i w:val="0"/>
        </w:rPr>
        <w:t xml:space="preserve"> (i.e. </w:t>
      </w:r>
      <w:proofErr w:type="spellStart"/>
      <w:r w:rsidR="00B64004">
        <w:rPr>
          <w:i w:val="0"/>
        </w:rPr>
        <w:t>Xeomin</w:t>
      </w:r>
      <w:proofErr w:type="spellEnd"/>
      <w:r w:rsidR="00B64004">
        <w:rPr>
          <w:rFonts w:cstheme="minorHAnsi"/>
          <w:i w:val="0"/>
        </w:rPr>
        <w:t>®</w:t>
      </w:r>
      <w:r w:rsidR="00B64004">
        <w:rPr>
          <w:i w:val="0"/>
        </w:rPr>
        <w:t xml:space="preserve"> 1U = Botox</w:t>
      </w:r>
      <w:r w:rsidR="00B64004">
        <w:rPr>
          <w:rFonts w:cstheme="minorHAnsi"/>
          <w:i w:val="0"/>
        </w:rPr>
        <w:t>®</w:t>
      </w:r>
      <w:r w:rsidR="00B64004">
        <w:rPr>
          <w:i w:val="0"/>
        </w:rPr>
        <w:t xml:space="preserve"> 1U) which were </w:t>
      </w:r>
      <w:r>
        <w:rPr>
          <w:i w:val="0"/>
        </w:rPr>
        <w:t xml:space="preserve">accepted </w:t>
      </w:r>
      <w:r w:rsidR="00B64004">
        <w:rPr>
          <w:i w:val="0"/>
        </w:rPr>
        <w:t xml:space="preserve">by the PBAC </w:t>
      </w:r>
      <w:r>
        <w:rPr>
          <w:i w:val="0"/>
        </w:rPr>
        <w:t xml:space="preserve">for upper limb spasticity following a stroke in </w:t>
      </w:r>
      <w:r w:rsidR="001A1C88">
        <w:rPr>
          <w:i w:val="0"/>
        </w:rPr>
        <w:t>July 2014</w:t>
      </w:r>
      <w:r w:rsidR="00B64004">
        <w:rPr>
          <w:i w:val="0"/>
        </w:rPr>
        <w:t>.</w:t>
      </w:r>
    </w:p>
    <w:p w14:paraId="5F9418D8" w14:textId="53E6FF29" w:rsidR="001A1C88" w:rsidRDefault="001A1C88" w:rsidP="00B64004">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the equi-effective doses nominated </w:t>
      </w:r>
      <w:r w:rsidR="00D3047D">
        <w:rPr>
          <w:rFonts w:asciiTheme="minorHAnsi" w:hAnsiTheme="minorHAnsi" w:cs="Arial"/>
          <w:bCs/>
          <w:snapToGrid w:val="0"/>
          <w:lang w:val="en-GB"/>
        </w:rPr>
        <w:t>in the minor resubmission (</w:t>
      </w:r>
      <w:proofErr w:type="spellStart"/>
      <w:r w:rsidR="00D3047D">
        <w:rPr>
          <w:rFonts w:asciiTheme="minorHAnsi" w:hAnsiTheme="minorHAnsi" w:cs="Arial"/>
          <w:bCs/>
          <w:snapToGrid w:val="0"/>
          <w:lang w:val="en-GB"/>
        </w:rPr>
        <w:t>Xeomin</w:t>
      </w:r>
      <w:proofErr w:type="spellEnd"/>
      <w:r>
        <w:rPr>
          <w:rFonts w:asciiTheme="minorHAnsi" w:hAnsiTheme="minorHAnsi" w:cstheme="minorHAnsi"/>
          <w:bCs/>
          <w:snapToGrid w:val="0"/>
          <w:lang w:val="en-GB"/>
        </w:rPr>
        <w:t>®</w:t>
      </w:r>
      <w:r>
        <w:rPr>
          <w:rFonts w:asciiTheme="minorHAnsi" w:hAnsiTheme="minorHAnsi" w:cs="Arial"/>
          <w:bCs/>
          <w:snapToGrid w:val="0"/>
          <w:lang w:val="en-GB"/>
        </w:rPr>
        <w:t xml:space="preserve"> 1U = </w:t>
      </w:r>
      <w:proofErr w:type="spellStart"/>
      <w:r>
        <w:rPr>
          <w:rFonts w:asciiTheme="minorHAnsi" w:hAnsiTheme="minorHAnsi" w:cs="Arial"/>
          <w:bCs/>
          <w:snapToGrid w:val="0"/>
          <w:lang w:val="en-GB"/>
        </w:rPr>
        <w:t>Dysport</w:t>
      </w:r>
      <w:proofErr w:type="spellEnd"/>
      <w:r>
        <w:rPr>
          <w:rFonts w:asciiTheme="minorHAnsi" w:hAnsiTheme="minorHAnsi" w:cstheme="minorHAnsi"/>
          <w:bCs/>
          <w:snapToGrid w:val="0"/>
          <w:lang w:val="en-GB"/>
        </w:rPr>
        <w:t>®</w:t>
      </w:r>
      <w:r>
        <w:rPr>
          <w:rFonts w:asciiTheme="minorHAnsi" w:hAnsiTheme="minorHAnsi" w:cs="Arial"/>
          <w:bCs/>
          <w:snapToGrid w:val="0"/>
          <w:lang w:val="en-GB"/>
        </w:rPr>
        <w:t xml:space="preserve"> 4.3U) were not appropriate due to:</w:t>
      </w:r>
    </w:p>
    <w:p w14:paraId="4569BB19" w14:textId="7381ADB9" w:rsidR="003E5546" w:rsidRDefault="003E5546" w:rsidP="00B64004">
      <w:pPr>
        <w:widowControl w:val="0"/>
        <w:numPr>
          <w:ilvl w:val="1"/>
          <w:numId w:val="34"/>
        </w:numPr>
        <w:spacing w:after="120"/>
        <w:ind w:left="1077" w:hanging="357"/>
        <w:jc w:val="both"/>
        <w:rPr>
          <w:rFonts w:asciiTheme="minorHAnsi" w:hAnsiTheme="minorHAnsi" w:cs="Arial"/>
          <w:bCs/>
          <w:snapToGrid w:val="0"/>
          <w:lang w:val="en-GB"/>
        </w:rPr>
      </w:pPr>
      <w:r>
        <w:rPr>
          <w:rFonts w:asciiTheme="minorHAnsi" w:hAnsiTheme="minorHAnsi" w:cs="Arial"/>
          <w:bCs/>
          <w:snapToGrid w:val="0"/>
          <w:lang w:val="en-GB"/>
        </w:rPr>
        <w:t>t</w:t>
      </w:r>
      <w:r w:rsidR="001A1C88" w:rsidRPr="00A504F7">
        <w:rPr>
          <w:rFonts w:asciiTheme="minorHAnsi" w:hAnsiTheme="minorHAnsi" w:cs="Arial"/>
          <w:bCs/>
          <w:snapToGrid w:val="0"/>
          <w:lang w:val="en-GB"/>
        </w:rPr>
        <w:t>he lack of comparative data in upper limb spasticity following an acute event other than stroke;</w:t>
      </w:r>
      <w:r w:rsidR="00B64004">
        <w:rPr>
          <w:rFonts w:asciiTheme="minorHAnsi" w:hAnsiTheme="minorHAnsi" w:cs="Arial"/>
          <w:bCs/>
          <w:snapToGrid w:val="0"/>
          <w:lang w:val="en-GB"/>
        </w:rPr>
        <w:t xml:space="preserve"> </w:t>
      </w:r>
    </w:p>
    <w:p w14:paraId="37F2F8AB" w14:textId="139F6657" w:rsidR="003E5546" w:rsidRPr="003E5546" w:rsidRDefault="003E5546" w:rsidP="00B64004">
      <w:pPr>
        <w:widowControl w:val="0"/>
        <w:numPr>
          <w:ilvl w:val="1"/>
          <w:numId w:val="34"/>
        </w:numPr>
        <w:spacing w:after="120"/>
        <w:ind w:left="1077" w:hanging="357"/>
        <w:jc w:val="both"/>
        <w:rPr>
          <w:rFonts w:asciiTheme="minorHAnsi" w:hAnsiTheme="minorHAnsi" w:cs="Arial"/>
          <w:bCs/>
          <w:snapToGrid w:val="0"/>
          <w:lang w:val="en-GB"/>
        </w:rPr>
      </w:pPr>
      <w:r>
        <w:rPr>
          <w:rFonts w:asciiTheme="minorHAnsi" w:hAnsiTheme="minorHAnsi" w:cs="Arial"/>
          <w:bCs/>
          <w:snapToGrid w:val="0"/>
          <w:lang w:val="en-GB"/>
        </w:rPr>
        <w:t xml:space="preserve">its previous recommendation of a single price across the botulinum indications </w:t>
      </w:r>
      <w:r w:rsidRPr="00F43C09">
        <w:rPr>
          <w:rFonts w:asciiTheme="minorHAnsi" w:hAnsiTheme="minorHAnsi" w:cstheme="minorHAnsi"/>
        </w:rPr>
        <w:t xml:space="preserve">(paragraphs 5.9 and 5.10, Botox® PSD, March 2019; paragraph 7.17, </w:t>
      </w:r>
      <w:proofErr w:type="spellStart"/>
      <w:r w:rsidRPr="00F43C09">
        <w:rPr>
          <w:rFonts w:asciiTheme="minorHAnsi" w:hAnsiTheme="minorHAnsi" w:cstheme="minorHAnsi"/>
        </w:rPr>
        <w:t>Dysport</w:t>
      </w:r>
      <w:proofErr w:type="spellEnd"/>
      <w:r w:rsidRPr="00F43C09">
        <w:rPr>
          <w:rFonts w:asciiTheme="minorHAnsi" w:hAnsiTheme="minorHAnsi" w:cstheme="minorHAnsi"/>
        </w:rPr>
        <w:t>® PSD, July 2019)</w:t>
      </w:r>
      <w:r>
        <w:rPr>
          <w:rFonts w:asciiTheme="minorHAnsi" w:hAnsiTheme="minorHAnsi" w:cstheme="minorHAnsi"/>
        </w:rPr>
        <w:t>; and</w:t>
      </w:r>
    </w:p>
    <w:p w14:paraId="781877FE" w14:textId="76EF7DE6" w:rsidR="00A504F7" w:rsidRPr="00A504F7" w:rsidRDefault="003E5546" w:rsidP="00B64004">
      <w:pPr>
        <w:widowControl w:val="0"/>
        <w:numPr>
          <w:ilvl w:val="1"/>
          <w:numId w:val="34"/>
        </w:numPr>
        <w:spacing w:after="120"/>
        <w:ind w:left="1077" w:hanging="357"/>
        <w:jc w:val="both"/>
        <w:rPr>
          <w:rFonts w:asciiTheme="minorHAnsi" w:hAnsiTheme="minorHAnsi" w:cs="Arial"/>
          <w:bCs/>
          <w:snapToGrid w:val="0"/>
          <w:lang w:val="en-GB"/>
        </w:rPr>
      </w:pPr>
      <w:proofErr w:type="gramStart"/>
      <w:r>
        <w:rPr>
          <w:rFonts w:asciiTheme="minorHAnsi" w:hAnsiTheme="minorHAnsi" w:cs="Arial"/>
          <w:bCs/>
          <w:snapToGrid w:val="0"/>
          <w:lang w:val="en-GB"/>
        </w:rPr>
        <w:t>t</w:t>
      </w:r>
      <w:r w:rsidR="00B64004">
        <w:rPr>
          <w:rFonts w:asciiTheme="minorHAnsi" w:hAnsiTheme="minorHAnsi" w:cs="Arial"/>
          <w:bCs/>
          <w:snapToGrid w:val="0"/>
          <w:lang w:val="en-GB"/>
        </w:rPr>
        <w:t>he</w:t>
      </w:r>
      <w:proofErr w:type="gramEnd"/>
      <w:r w:rsidR="00B64004">
        <w:rPr>
          <w:rFonts w:asciiTheme="minorHAnsi" w:hAnsiTheme="minorHAnsi" w:cs="Arial"/>
          <w:bCs/>
          <w:snapToGrid w:val="0"/>
          <w:lang w:val="en-GB"/>
        </w:rPr>
        <w:t xml:space="preserve"> maximum dispensed quantity of </w:t>
      </w:r>
      <w:proofErr w:type="spellStart"/>
      <w:r>
        <w:rPr>
          <w:rFonts w:asciiTheme="minorHAnsi" w:hAnsiTheme="minorHAnsi" w:cs="Arial"/>
          <w:bCs/>
          <w:snapToGrid w:val="0"/>
          <w:lang w:val="en-GB"/>
        </w:rPr>
        <w:t>Xeomin</w:t>
      </w:r>
      <w:proofErr w:type="spellEnd"/>
      <w:r>
        <w:rPr>
          <w:rFonts w:asciiTheme="minorHAnsi" w:hAnsiTheme="minorHAnsi" w:cstheme="minorHAnsi"/>
          <w:bCs/>
          <w:snapToGrid w:val="0"/>
          <w:lang w:val="en-GB"/>
        </w:rPr>
        <w:t>®</w:t>
      </w:r>
      <w:r>
        <w:rPr>
          <w:rFonts w:asciiTheme="minorHAnsi" w:hAnsiTheme="minorHAnsi" w:cs="Arial"/>
          <w:bCs/>
          <w:snapToGrid w:val="0"/>
          <w:lang w:val="en-GB"/>
        </w:rPr>
        <w:t xml:space="preserve"> for upper limb spasticity was 400U. This was equivalent to the maximum dispensed quantity of Botox</w:t>
      </w:r>
      <w:r>
        <w:rPr>
          <w:rFonts w:asciiTheme="minorHAnsi" w:hAnsiTheme="minorHAnsi" w:cstheme="minorHAnsi"/>
          <w:bCs/>
          <w:snapToGrid w:val="0"/>
          <w:lang w:val="en-GB"/>
        </w:rPr>
        <w:t>®</w:t>
      </w:r>
      <w:r>
        <w:rPr>
          <w:rFonts w:asciiTheme="minorHAnsi" w:hAnsiTheme="minorHAnsi" w:cs="Arial"/>
          <w:bCs/>
          <w:snapToGrid w:val="0"/>
          <w:lang w:val="en-GB"/>
        </w:rPr>
        <w:t xml:space="preserve"> for upper limb </w:t>
      </w:r>
      <w:r>
        <w:rPr>
          <w:rFonts w:asciiTheme="minorHAnsi" w:hAnsiTheme="minorHAnsi" w:cs="Arial"/>
          <w:bCs/>
          <w:snapToGrid w:val="0"/>
          <w:lang w:val="en-GB"/>
        </w:rPr>
        <w:lastRenderedPageBreak/>
        <w:t>focal spasticity. In July 2019, in consideration of lower limb spasticity, the PBAC recommended that Botox</w:t>
      </w:r>
      <w:r>
        <w:rPr>
          <w:rFonts w:asciiTheme="minorHAnsi" w:hAnsiTheme="minorHAnsi" w:cstheme="minorHAnsi"/>
          <w:bCs/>
          <w:snapToGrid w:val="0"/>
          <w:lang w:val="en-GB"/>
        </w:rPr>
        <w:t>®</w:t>
      </w:r>
      <w:r>
        <w:rPr>
          <w:rFonts w:asciiTheme="minorHAnsi" w:hAnsiTheme="minorHAnsi" w:cs="Arial"/>
          <w:bCs/>
          <w:snapToGrid w:val="0"/>
          <w:lang w:val="en-GB"/>
        </w:rPr>
        <w:t xml:space="preserve"> 400U was equivalent to </w:t>
      </w:r>
      <w:proofErr w:type="spellStart"/>
      <w:r>
        <w:rPr>
          <w:rFonts w:asciiTheme="minorHAnsi" w:hAnsiTheme="minorHAnsi" w:cs="Arial"/>
          <w:bCs/>
          <w:snapToGrid w:val="0"/>
          <w:lang w:val="en-GB"/>
        </w:rPr>
        <w:t>Dysport</w:t>
      </w:r>
      <w:proofErr w:type="spellEnd"/>
      <w:r>
        <w:rPr>
          <w:rFonts w:asciiTheme="minorHAnsi" w:hAnsiTheme="minorHAnsi" w:cstheme="minorHAnsi"/>
          <w:bCs/>
          <w:snapToGrid w:val="0"/>
          <w:lang w:val="en-GB"/>
        </w:rPr>
        <w:t>®</w:t>
      </w:r>
      <w:r>
        <w:rPr>
          <w:rFonts w:asciiTheme="minorHAnsi" w:hAnsiTheme="minorHAnsi" w:cs="Arial"/>
          <w:bCs/>
          <w:snapToGrid w:val="0"/>
          <w:lang w:val="en-GB"/>
        </w:rPr>
        <w:t xml:space="preserve"> 1500U (i.e. Botox</w:t>
      </w:r>
      <w:r>
        <w:rPr>
          <w:rFonts w:asciiTheme="minorHAnsi" w:hAnsiTheme="minorHAnsi" w:cstheme="minorHAnsi"/>
          <w:bCs/>
          <w:snapToGrid w:val="0"/>
          <w:lang w:val="en-GB"/>
        </w:rPr>
        <w:t>®</w:t>
      </w:r>
      <w:r>
        <w:rPr>
          <w:rFonts w:asciiTheme="minorHAnsi" w:hAnsiTheme="minorHAnsi" w:cs="Arial"/>
          <w:bCs/>
          <w:snapToGrid w:val="0"/>
          <w:lang w:val="en-GB"/>
        </w:rPr>
        <w:t xml:space="preserve"> 1U = </w:t>
      </w:r>
      <w:proofErr w:type="spellStart"/>
      <w:r>
        <w:rPr>
          <w:rFonts w:asciiTheme="minorHAnsi" w:hAnsiTheme="minorHAnsi" w:cs="Arial"/>
          <w:bCs/>
          <w:snapToGrid w:val="0"/>
          <w:lang w:val="en-GB"/>
        </w:rPr>
        <w:t>Dysport</w:t>
      </w:r>
      <w:proofErr w:type="spellEnd"/>
      <w:r>
        <w:rPr>
          <w:rFonts w:asciiTheme="minorHAnsi" w:hAnsiTheme="minorHAnsi" w:cstheme="minorHAnsi"/>
          <w:bCs/>
          <w:snapToGrid w:val="0"/>
          <w:lang w:val="en-GB"/>
        </w:rPr>
        <w:t>®</w:t>
      </w:r>
      <w:r>
        <w:rPr>
          <w:rFonts w:asciiTheme="minorHAnsi" w:hAnsiTheme="minorHAnsi" w:cs="Arial"/>
          <w:bCs/>
          <w:snapToGrid w:val="0"/>
          <w:lang w:val="en-GB"/>
        </w:rPr>
        <w:t xml:space="preserve"> 3.75U).</w:t>
      </w:r>
    </w:p>
    <w:p w14:paraId="463B19F0" w14:textId="77777777" w:rsidR="001A1C88" w:rsidRDefault="001A1C88" w:rsidP="00B64004">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Therefore, the PBAC considered that the equi-effective doses were:</w:t>
      </w:r>
    </w:p>
    <w:p w14:paraId="613C7431" w14:textId="63E3D98B" w:rsidR="001A1C88" w:rsidRPr="007C43ED" w:rsidRDefault="00A504F7" w:rsidP="003E5546">
      <w:pPr>
        <w:pStyle w:val="Bodytextitalics"/>
        <w:numPr>
          <w:ilvl w:val="0"/>
          <w:numId w:val="0"/>
        </w:numPr>
        <w:ind w:left="720" w:firstLine="720"/>
        <w:jc w:val="both"/>
        <w:rPr>
          <w:i w:val="0"/>
          <w:snapToGrid w:val="0"/>
          <w:lang w:val="en-GB"/>
        </w:rPr>
      </w:pPr>
      <w:proofErr w:type="spellStart"/>
      <w:r>
        <w:rPr>
          <w:rFonts w:cs="Arial"/>
          <w:bCs/>
          <w:i w:val="0"/>
          <w:snapToGrid w:val="0"/>
          <w:lang w:val="en-GB"/>
        </w:rPr>
        <w:t>Xeomin</w:t>
      </w:r>
      <w:proofErr w:type="spellEnd"/>
      <w:r w:rsidR="001A1C88" w:rsidRPr="007C43ED">
        <w:rPr>
          <w:rFonts w:cstheme="minorHAnsi"/>
          <w:bCs/>
          <w:i w:val="0"/>
          <w:snapToGrid w:val="0"/>
          <w:lang w:val="en-GB"/>
        </w:rPr>
        <w:t>®</w:t>
      </w:r>
      <w:r w:rsidR="001A1C88" w:rsidRPr="007C43ED">
        <w:rPr>
          <w:rFonts w:cs="Arial"/>
          <w:bCs/>
          <w:i w:val="0"/>
          <w:snapToGrid w:val="0"/>
          <w:lang w:val="en-GB"/>
        </w:rPr>
        <w:t xml:space="preserve"> 1U = </w:t>
      </w:r>
      <w:proofErr w:type="spellStart"/>
      <w:r w:rsidR="001A1C88" w:rsidRPr="007C43ED">
        <w:rPr>
          <w:rFonts w:cs="Arial"/>
          <w:bCs/>
          <w:i w:val="0"/>
          <w:snapToGrid w:val="0"/>
          <w:lang w:val="en-GB"/>
        </w:rPr>
        <w:t>Dysport</w:t>
      </w:r>
      <w:proofErr w:type="spellEnd"/>
      <w:r w:rsidR="001A1C88" w:rsidRPr="007C43ED">
        <w:rPr>
          <w:rFonts w:cstheme="minorHAnsi"/>
          <w:bCs/>
          <w:i w:val="0"/>
          <w:snapToGrid w:val="0"/>
          <w:lang w:val="en-GB"/>
        </w:rPr>
        <w:t>®</w:t>
      </w:r>
      <w:r w:rsidR="001A1C88" w:rsidRPr="007C43ED">
        <w:rPr>
          <w:rFonts w:cs="Arial"/>
          <w:bCs/>
          <w:i w:val="0"/>
          <w:snapToGrid w:val="0"/>
          <w:lang w:val="en-GB"/>
        </w:rPr>
        <w:t xml:space="preserve"> 3.75U</w:t>
      </w:r>
    </w:p>
    <w:p w14:paraId="4D174AAE" w14:textId="59801129" w:rsidR="001A1C88" w:rsidRPr="001A1C88" w:rsidRDefault="009A0319" w:rsidP="00B64004">
      <w:pPr>
        <w:pStyle w:val="Bodytextitalics"/>
        <w:jc w:val="both"/>
        <w:rPr>
          <w:i w:val="0"/>
          <w:snapToGrid w:val="0"/>
          <w:lang w:val="en-GB"/>
        </w:rPr>
      </w:pPr>
      <w:r>
        <w:rPr>
          <w:i w:val="0"/>
          <w:snapToGrid w:val="0"/>
          <w:lang w:val="en-GB"/>
        </w:rPr>
        <w:t xml:space="preserve">The PBAC </w:t>
      </w:r>
      <w:r w:rsidR="001A1C88" w:rsidRPr="001A1C88">
        <w:rPr>
          <w:i w:val="0"/>
          <w:snapToGrid w:val="0"/>
          <w:lang w:val="en-GB"/>
        </w:rPr>
        <w:t>considered that the ex</w:t>
      </w:r>
      <w:r w:rsidR="00D3047D">
        <w:rPr>
          <w:i w:val="0"/>
          <w:snapToGrid w:val="0"/>
          <w:lang w:val="en-GB"/>
        </w:rPr>
        <w:t xml:space="preserve">tension of the listing for </w:t>
      </w:r>
      <w:proofErr w:type="spellStart"/>
      <w:r w:rsidR="00D3047D">
        <w:rPr>
          <w:i w:val="0"/>
          <w:snapToGrid w:val="0"/>
          <w:lang w:val="en-GB"/>
        </w:rPr>
        <w:t>Xeomin</w:t>
      </w:r>
      <w:proofErr w:type="spellEnd"/>
      <w:r w:rsidR="001A1C88" w:rsidRPr="001A1C88">
        <w:rPr>
          <w:i w:val="0"/>
          <w:snapToGrid w:val="0"/>
          <w:lang w:val="en-GB"/>
        </w:rPr>
        <w:t xml:space="preserve">® should be cost-neutral to the PBS. The PBAC noted the proposed Special Pricing Arrangement (SPA) and recommended that </w:t>
      </w:r>
      <w:proofErr w:type="spellStart"/>
      <w:r w:rsidR="00D3047D">
        <w:rPr>
          <w:i w:val="0"/>
          <w:snapToGrid w:val="0"/>
          <w:lang w:val="en-GB"/>
        </w:rPr>
        <w:t>Xeomin</w:t>
      </w:r>
      <w:proofErr w:type="spellEnd"/>
      <w:r w:rsidR="001A1C88" w:rsidRPr="001A1C88">
        <w:rPr>
          <w:i w:val="0"/>
          <w:snapToGrid w:val="0"/>
          <w:lang w:val="en-GB"/>
        </w:rPr>
        <w:t xml:space="preserve">® join the existing </w:t>
      </w:r>
      <w:proofErr w:type="spellStart"/>
      <w:r w:rsidR="001A1C88" w:rsidRPr="001A1C88">
        <w:rPr>
          <w:i w:val="0"/>
          <w:snapToGrid w:val="0"/>
          <w:lang w:val="en-GB"/>
        </w:rPr>
        <w:t>Dysport</w:t>
      </w:r>
      <w:proofErr w:type="spellEnd"/>
      <w:r w:rsidR="001A1C88" w:rsidRPr="001A1C88">
        <w:rPr>
          <w:i w:val="0"/>
          <w:snapToGrid w:val="0"/>
          <w:lang w:val="en-GB"/>
        </w:rPr>
        <w:t>® Risk Sharing Arrangement (RSA) which consists of subsidisation caps beyond which 100% rebates are applied. The PBAC considered that the RSA helped to address the uncertain clinical benefit in patients with upper limb spasticity due to an acute event other than stroke and the lack of data pertaining to the requested changes to the restrictions (i.e. removal of the time limitation for the first injection, removal of the lifetime limit and changes to the maximum number of cycles in the first and subsequent years).</w:t>
      </w:r>
    </w:p>
    <w:p w14:paraId="1CB5C220" w14:textId="6B7719E8" w:rsidR="007C43ED" w:rsidRPr="007C43ED" w:rsidRDefault="007C43ED" w:rsidP="00B64004">
      <w:pPr>
        <w:pStyle w:val="Bodytextitalics"/>
        <w:jc w:val="both"/>
        <w:rPr>
          <w:i w:val="0"/>
          <w:snapToGrid w:val="0"/>
          <w:lang w:val="en-GB"/>
        </w:rPr>
      </w:pPr>
      <w:r w:rsidRPr="007C43ED">
        <w:rPr>
          <w:i w:val="0"/>
          <w:snapToGrid w:val="0"/>
          <w:lang w:val="en-GB"/>
        </w:rPr>
        <w:t>The PBAC noted that its recommendation was on a cost-minimisation basis and</w:t>
      </w:r>
      <w:r w:rsidR="003E5546">
        <w:rPr>
          <w:i w:val="0"/>
          <w:snapToGrid w:val="0"/>
          <w:lang w:val="en-GB"/>
        </w:rPr>
        <w:t xml:space="preserve"> advised that</w:t>
      </w:r>
      <w:r w:rsidR="00D3047D">
        <w:rPr>
          <w:i w:val="0"/>
          <w:snapToGrid w:val="0"/>
          <w:lang w:val="en-GB"/>
        </w:rPr>
        <w:t xml:space="preserve"> because the </w:t>
      </w:r>
      <w:proofErr w:type="spellStart"/>
      <w:r w:rsidR="00D3047D">
        <w:rPr>
          <w:i w:val="0"/>
          <w:snapToGrid w:val="0"/>
          <w:lang w:val="en-GB"/>
        </w:rPr>
        <w:t>Xeomin</w:t>
      </w:r>
      <w:proofErr w:type="spellEnd"/>
      <w:r w:rsidRPr="007C43ED">
        <w:rPr>
          <w:i w:val="0"/>
          <w:snapToGrid w:val="0"/>
          <w:lang w:val="en-GB"/>
        </w:rPr>
        <w:t>® formulation of botulinum toxin is not expected to provide a substantial and clinically r</w:t>
      </w:r>
      <w:r w:rsidR="003E5546">
        <w:rPr>
          <w:i w:val="0"/>
          <w:snapToGrid w:val="0"/>
          <w:lang w:val="en-GB"/>
        </w:rPr>
        <w:t>elevant improvement in efficacy or reduction of toxicity</w:t>
      </w:r>
      <w:r w:rsidRPr="007C43ED">
        <w:rPr>
          <w:i w:val="0"/>
          <w:snapToGrid w:val="0"/>
          <w:lang w:val="en-GB"/>
        </w:rPr>
        <w:t xml:space="preserve"> over the </w:t>
      </w:r>
      <w:proofErr w:type="spellStart"/>
      <w:r w:rsidRPr="007C43ED">
        <w:rPr>
          <w:i w:val="0"/>
          <w:snapToGrid w:val="0"/>
          <w:lang w:val="en-GB"/>
        </w:rPr>
        <w:t>Dysport</w:t>
      </w:r>
      <w:proofErr w:type="spellEnd"/>
      <w:r w:rsidRPr="007C43ED">
        <w:rPr>
          <w:i w:val="0"/>
          <w:snapToGrid w:val="0"/>
          <w:lang w:val="en-GB"/>
        </w:rPr>
        <w:t xml:space="preserve">® formulation and not expected to address a high and urgent unmet clinical need, the criteria prescribed by the </w:t>
      </w:r>
      <w:r w:rsidRPr="007C43ED">
        <w:rPr>
          <w:snapToGrid w:val="0"/>
          <w:lang w:val="en-GB"/>
        </w:rPr>
        <w:t>National Health (Pharmaceuticals and Vaccines – Cost Recovery) Regulations 2009</w:t>
      </w:r>
      <w:r w:rsidRPr="007C43ED">
        <w:rPr>
          <w:i w:val="0"/>
          <w:snapToGrid w:val="0"/>
          <w:lang w:val="en-GB"/>
        </w:rPr>
        <w:t xml:space="preserve"> for Pricing Pathway A were not met. </w:t>
      </w:r>
    </w:p>
    <w:p w14:paraId="03E510EF" w14:textId="77777777" w:rsidR="007C43ED" w:rsidRPr="007C43ED" w:rsidRDefault="007C43ED" w:rsidP="00B64004">
      <w:pPr>
        <w:pStyle w:val="Bodytextitalics"/>
        <w:jc w:val="both"/>
        <w:rPr>
          <w:i w:val="0"/>
          <w:snapToGrid w:val="0"/>
          <w:lang w:val="en-GB"/>
        </w:rPr>
      </w:pPr>
      <w:r w:rsidRPr="007C43ED">
        <w:rPr>
          <w:i w:val="0"/>
          <w:snapToGrid w:val="0"/>
          <w:lang w:val="en-GB"/>
        </w:rPr>
        <w:t>The PBAC noted that the Early Supply Rule cannot currently be applied to items in the Botulinum Toxin Program</w:t>
      </w:r>
    </w:p>
    <w:p w14:paraId="05C742FF" w14:textId="0A097348" w:rsidR="007C43ED" w:rsidRPr="007C43ED" w:rsidRDefault="007C43ED" w:rsidP="00B64004">
      <w:pPr>
        <w:pStyle w:val="Bodytextitalics"/>
        <w:jc w:val="both"/>
        <w:rPr>
          <w:i w:val="0"/>
          <w:snapToGrid w:val="0"/>
          <w:lang w:val="en-GB"/>
        </w:rPr>
      </w:pPr>
      <w:r w:rsidRPr="007C43ED">
        <w:rPr>
          <w:i w:val="0"/>
          <w:snapToGrid w:val="0"/>
          <w:lang w:val="en-GB"/>
        </w:rPr>
        <w:t xml:space="preserve">The PBAC reaffirmed that </w:t>
      </w:r>
      <w:proofErr w:type="spellStart"/>
      <w:r w:rsidR="003542CD">
        <w:rPr>
          <w:i w:val="0"/>
          <w:snapToGrid w:val="0"/>
          <w:lang w:val="en-GB"/>
        </w:rPr>
        <w:t>Xeomin</w:t>
      </w:r>
      <w:proofErr w:type="spellEnd"/>
      <w:r w:rsidRPr="007C43ED">
        <w:rPr>
          <w:i w:val="0"/>
          <w:snapToGrid w:val="0"/>
          <w:lang w:val="en-GB"/>
        </w:rPr>
        <w:t>® remained unsuitable for prescribing by nurse practitioners.</w:t>
      </w:r>
    </w:p>
    <w:p w14:paraId="4861DD85" w14:textId="77777777" w:rsidR="007C43ED" w:rsidRPr="007C43ED" w:rsidRDefault="007C43ED" w:rsidP="00B64004">
      <w:pPr>
        <w:pStyle w:val="Bodytextitalics"/>
        <w:jc w:val="both"/>
        <w:rPr>
          <w:i w:val="0"/>
          <w:snapToGrid w:val="0"/>
          <w:lang w:val="en-GB"/>
        </w:rPr>
      </w:pPr>
      <w:r w:rsidRPr="007C43ED">
        <w:rPr>
          <w:i w:val="0"/>
          <w:snapToGrid w:val="0"/>
          <w:lang w:val="en-GB"/>
        </w:rPr>
        <w:t>The PBAC recalled that the different formulations of botulinum toxin are not currently considered equivalent for the purposes of substitution (i.e. ‘a’ flagged in the Schedule) under Section 101 (4AACD) of the National Health Act and considered this remained appropriate.</w:t>
      </w:r>
    </w:p>
    <w:p w14:paraId="6D7C0996" w14:textId="50051DB0" w:rsidR="007C43ED" w:rsidRDefault="007C43ED" w:rsidP="00B64004">
      <w:pPr>
        <w:pStyle w:val="Bodytextitalics"/>
        <w:jc w:val="both"/>
        <w:rPr>
          <w:i w:val="0"/>
          <w:snapToGrid w:val="0"/>
          <w:lang w:val="en-GB"/>
        </w:rPr>
      </w:pPr>
      <w:r w:rsidRPr="007C43ED">
        <w:rPr>
          <w:i w:val="0"/>
          <w:snapToGrid w:val="0"/>
          <w:lang w:val="en-GB"/>
        </w:rPr>
        <w:t xml:space="preserve">The PBAC has previously advised that BOTOX®, </w:t>
      </w:r>
      <w:proofErr w:type="spellStart"/>
      <w:r w:rsidRPr="007C43ED">
        <w:rPr>
          <w:i w:val="0"/>
          <w:snapToGrid w:val="0"/>
          <w:lang w:val="en-GB"/>
        </w:rPr>
        <w:t>Dysport</w:t>
      </w:r>
      <w:proofErr w:type="spellEnd"/>
      <w:r w:rsidRPr="007C43ED">
        <w:rPr>
          <w:i w:val="0"/>
          <w:snapToGrid w:val="0"/>
          <w:lang w:val="en-GB"/>
        </w:rPr>
        <w:t xml:space="preserve">® and </w:t>
      </w:r>
      <w:proofErr w:type="spellStart"/>
      <w:r w:rsidRPr="007C43ED">
        <w:rPr>
          <w:i w:val="0"/>
          <w:snapToGrid w:val="0"/>
          <w:lang w:val="en-GB"/>
        </w:rPr>
        <w:t>Xeomin</w:t>
      </w:r>
      <w:proofErr w:type="spellEnd"/>
      <w:r w:rsidRPr="007C43ED">
        <w:rPr>
          <w:i w:val="0"/>
          <w:snapToGrid w:val="0"/>
          <w:lang w:val="en-GB"/>
        </w:rPr>
        <w:t xml:space="preserve">®, should be treated as interchangeable on an individual patient basis under Section 101(3BA) of the National Health Act 1953. </w:t>
      </w:r>
    </w:p>
    <w:p w14:paraId="427F20B6" w14:textId="6160DA83" w:rsidR="001A1C88" w:rsidRPr="00D3047D" w:rsidRDefault="007C43ED" w:rsidP="00B64004">
      <w:pPr>
        <w:pStyle w:val="Bodytextitalics"/>
        <w:jc w:val="both"/>
        <w:rPr>
          <w:i w:val="0"/>
          <w:snapToGrid w:val="0"/>
          <w:lang w:val="en-GB"/>
        </w:rPr>
      </w:pPr>
      <w:r w:rsidRPr="00D3047D">
        <w:rPr>
          <w:i w:val="0"/>
          <w:snapToGrid w:val="0"/>
          <w:lang w:val="en-GB"/>
        </w:rPr>
        <w:t>The PBAC noted that this submission is not eligible for an Independent Review as it received a positive recommendation.</w:t>
      </w:r>
    </w:p>
    <w:p w14:paraId="37F0E2D1" w14:textId="77777777" w:rsidR="00C81663" w:rsidRPr="00525B39" w:rsidRDefault="00C81663" w:rsidP="00C81663">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87F4E4A" w14:textId="4F60F1DB" w:rsidR="00C81663" w:rsidRPr="00162151" w:rsidRDefault="00841785" w:rsidP="00162151">
      <w:pPr>
        <w:jc w:val="both"/>
        <w:rPr>
          <w:rFonts w:asciiTheme="minorHAnsi" w:hAnsiTheme="minorHAnsi" w:cs="Arial"/>
          <w:bCs/>
          <w:snapToGrid w:val="0"/>
          <w:lang w:val="en-GB"/>
        </w:rPr>
      </w:pPr>
      <w:r>
        <w:rPr>
          <w:rFonts w:asciiTheme="minorHAnsi" w:hAnsiTheme="minorHAnsi" w:cs="Arial"/>
          <w:bCs/>
          <w:snapToGrid w:val="0"/>
          <w:lang w:val="en-GB"/>
        </w:rPr>
        <w:t>Recommended</w:t>
      </w:r>
    </w:p>
    <w:p w14:paraId="4512E20B" w14:textId="77777777" w:rsidR="00C81663" w:rsidRPr="00525B39" w:rsidRDefault="00C81663" w:rsidP="00773AB8">
      <w:pPr>
        <w:pStyle w:val="Heading1"/>
        <w:keepNext/>
        <w:keepLines/>
        <w:widowControl/>
        <w:numPr>
          <w:ilvl w:val="0"/>
          <w:numId w:val="3"/>
        </w:numPr>
        <w:spacing w:before="240" w:after="120"/>
        <w:ind w:left="709" w:hanging="709"/>
        <w:contextualSpacing w:val="0"/>
        <w:jc w:val="left"/>
        <w:rPr>
          <w:rFonts w:asciiTheme="minorHAnsi" w:hAnsiTheme="minorHAnsi"/>
          <w:b w:val="0"/>
          <w:bCs/>
          <w:i/>
          <w:sz w:val="32"/>
          <w:lang w:val="en-GB"/>
        </w:rPr>
      </w:pPr>
      <w:r w:rsidRPr="00773AB8">
        <w:rPr>
          <w:rFonts w:asciiTheme="minorHAnsi" w:hAnsiTheme="minorHAnsi"/>
          <w:sz w:val="32"/>
          <w:szCs w:val="32"/>
        </w:rPr>
        <w:lastRenderedPageBreak/>
        <w:t>Recommended</w:t>
      </w:r>
      <w:r w:rsidRPr="00525B39">
        <w:rPr>
          <w:rFonts w:asciiTheme="minorHAnsi" w:hAnsiTheme="minorHAnsi"/>
          <w:b w:val="0"/>
          <w:bCs/>
          <w:sz w:val="32"/>
          <w:lang w:val="en-GB"/>
        </w:rPr>
        <w:t xml:space="preserve"> </w:t>
      </w:r>
      <w:r w:rsidRPr="00773AB8">
        <w:rPr>
          <w:rFonts w:asciiTheme="minorHAnsi" w:hAnsiTheme="minorHAnsi"/>
          <w:sz w:val="32"/>
          <w:szCs w:val="32"/>
        </w:rPr>
        <w:t>listing</w:t>
      </w:r>
    </w:p>
    <w:p w14:paraId="05931F7D" w14:textId="2B222864" w:rsidR="00C81663" w:rsidRPr="00772CAB" w:rsidRDefault="00C81663" w:rsidP="00772CAB">
      <w:pPr>
        <w:widowControl w:val="0"/>
        <w:numPr>
          <w:ilvl w:val="1"/>
          <w:numId w:val="1"/>
        </w:numPr>
        <w:spacing w:after="120"/>
        <w:jc w:val="both"/>
        <w:rPr>
          <w:rFonts w:asciiTheme="minorHAnsi" w:hAnsiTheme="minorHAnsi" w:cs="Arial"/>
          <w:b/>
          <w:bCs/>
          <w:snapToGrid w:val="0"/>
        </w:rPr>
      </w:pPr>
      <w:r w:rsidRPr="00772CAB">
        <w:rPr>
          <w:rFonts w:asciiTheme="minorHAnsi" w:hAnsiTheme="minorHAnsi" w:cs="Arial"/>
          <w:bCs/>
          <w:snapToGrid w:val="0"/>
        </w:rPr>
        <w:t>Amend existing listing as follows:</w:t>
      </w:r>
    </w:p>
    <w:p w14:paraId="59AA026C" w14:textId="5790CDEF" w:rsidR="00773AB8" w:rsidRDefault="00773AB8" w:rsidP="00C81663">
      <w:pPr>
        <w:widowControl w:val="0"/>
        <w:ind w:firstLine="720"/>
        <w:jc w:val="both"/>
        <w:rPr>
          <w:rFonts w:asciiTheme="minorHAnsi" w:hAnsiTheme="minorHAnsi" w:cs="Arial"/>
          <w:bCs/>
          <w:snapToGrid w:val="0"/>
        </w:rPr>
      </w:pPr>
    </w:p>
    <w:tbl>
      <w:tblPr>
        <w:tblW w:w="9498" w:type="dxa"/>
        <w:tblLayout w:type="fixed"/>
        <w:tblLook w:val="0000" w:firstRow="0" w:lastRow="0" w:firstColumn="0" w:lastColumn="0" w:noHBand="0" w:noVBand="0"/>
      </w:tblPr>
      <w:tblGrid>
        <w:gridCol w:w="1843"/>
        <w:gridCol w:w="1843"/>
        <w:gridCol w:w="1134"/>
        <w:gridCol w:w="1276"/>
        <w:gridCol w:w="992"/>
        <w:gridCol w:w="2126"/>
        <w:gridCol w:w="284"/>
      </w:tblGrid>
      <w:tr w:rsidR="00772CAB" w:rsidRPr="00E53F68" w14:paraId="2DE843BF" w14:textId="77777777" w:rsidTr="00772CAB">
        <w:trPr>
          <w:gridAfter w:val="1"/>
          <w:wAfter w:w="284" w:type="dxa"/>
          <w:cantSplit/>
          <w:trHeight w:val="471"/>
        </w:trPr>
        <w:tc>
          <w:tcPr>
            <w:tcW w:w="3686" w:type="dxa"/>
            <w:gridSpan w:val="2"/>
            <w:tcBorders>
              <w:bottom w:val="single" w:sz="4" w:space="0" w:color="auto"/>
            </w:tcBorders>
          </w:tcPr>
          <w:p w14:paraId="29B86B3D" w14:textId="77777777" w:rsidR="00772CAB" w:rsidRPr="00E53F68" w:rsidRDefault="00772CAB" w:rsidP="00D3047D">
            <w:pPr>
              <w:keepNext/>
              <w:ind w:left="-108"/>
              <w:rPr>
                <w:rFonts w:ascii="Arial Narrow" w:hAnsi="Arial Narrow" w:cs="Arial"/>
                <w:b/>
                <w:sz w:val="20"/>
                <w:szCs w:val="20"/>
              </w:rPr>
            </w:pPr>
            <w:r w:rsidRPr="00E53F68">
              <w:rPr>
                <w:rFonts w:ascii="Arial Narrow" w:hAnsi="Arial Narrow" w:cs="Arial"/>
                <w:b/>
                <w:sz w:val="20"/>
                <w:szCs w:val="20"/>
              </w:rPr>
              <w:t>Name, Restriction,</w:t>
            </w:r>
            <w:r>
              <w:rPr>
                <w:rFonts w:ascii="Arial Narrow" w:hAnsi="Arial Narrow" w:cs="Arial"/>
                <w:b/>
                <w:sz w:val="20"/>
                <w:szCs w:val="20"/>
              </w:rPr>
              <w:t xml:space="preserve"> </w:t>
            </w:r>
            <w:r w:rsidRPr="00E53F68">
              <w:rPr>
                <w:rFonts w:ascii="Arial Narrow" w:hAnsi="Arial Narrow" w:cs="Arial"/>
                <w:b/>
                <w:sz w:val="20"/>
                <w:szCs w:val="20"/>
              </w:rPr>
              <w:t>Manner of administration and form</w:t>
            </w:r>
          </w:p>
        </w:tc>
        <w:tc>
          <w:tcPr>
            <w:tcW w:w="1134" w:type="dxa"/>
            <w:tcBorders>
              <w:bottom w:val="single" w:sz="4" w:space="0" w:color="auto"/>
            </w:tcBorders>
          </w:tcPr>
          <w:p w14:paraId="7080FD96" w14:textId="2690A18B" w:rsidR="00772CAB" w:rsidRPr="00E53F68" w:rsidRDefault="00772CAB" w:rsidP="00772CAB">
            <w:pPr>
              <w:keepNext/>
              <w:ind w:left="-108"/>
              <w:jc w:val="center"/>
              <w:rPr>
                <w:rFonts w:ascii="Arial Narrow" w:hAnsi="Arial Narrow" w:cs="Arial"/>
                <w:b/>
                <w:sz w:val="20"/>
                <w:szCs w:val="20"/>
              </w:rPr>
            </w:pPr>
            <w:r w:rsidRPr="00E53F68">
              <w:rPr>
                <w:rFonts w:ascii="Arial Narrow" w:hAnsi="Arial Narrow" w:cs="Arial"/>
                <w:b/>
                <w:sz w:val="20"/>
                <w:szCs w:val="20"/>
              </w:rPr>
              <w:t>Max.</w:t>
            </w:r>
            <w:r>
              <w:rPr>
                <w:rFonts w:ascii="Arial Narrow" w:hAnsi="Arial Narrow" w:cs="Arial"/>
                <w:b/>
                <w:sz w:val="20"/>
                <w:szCs w:val="20"/>
              </w:rPr>
              <w:t xml:space="preserve"> </w:t>
            </w:r>
            <w:proofErr w:type="spellStart"/>
            <w:r w:rsidRPr="00E53F68">
              <w:rPr>
                <w:rFonts w:ascii="Arial Narrow" w:hAnsi="Arial Narrow" w:cs="Arial"/>
                <w:b/>
                <w:sz w:val="20"/>
                <w:szCs w:val="20"/>
              </w:rPr>
              <w:t>Qty</w:t>
            </w:r>
            <w:proofErr w:type="spellEnd"/>
          </w:p>
        </w:tc>
        <w:tc>
          <w:tcPr>
            <w:tcW w:w="1276" w:type="dxa"/>
            <w:tcBorders>
              <w:bottom w:val="single" w:sz="4" w:space="0" w:color="auto"/>
            </w:tcBorders>
          </w:tcPr>
          <w:p w14:paraId="212975F1" w14:textId="0E12A1B3" w:rsidR="00772CAB" w:rsidRPr="00E53F68" w:rsidRDefault="00772CAB" w:rsidP="00772CAB">
            <w:pPr>
              <w:keepNext/>
              <w:ind w:left="-108"/>
              <w:jc w:val="center"/>
              <w:rPr>
                <w:rFonts w:ascii="Arial Narrow" w:hAnsi="Arial Narrow" w:cs="Arial"/>
                <w:b/>
                <w:sz w:val="20"/>
                <w:szCs w:val="20"/>
              </w:rPr>
            </w:pPr>
            <w:r w:rsidRPr="00E53F68">
              <w:rPr>
                <w:rFonts w:ascii="Arial Narrow" w:hAnsi="Arial Narrow" w:cs="Arial"/>
                <w:b/>
                <w:sz w:val="20"/>
                <w:szCs w:val="20"/>
              </w:rPr>
              <w:t>№.of</w:t>
            </w:r>
            <w:r>
              <w:rPr>
                <w:rFonts w:ascii="Arial Narrow" w:hAnsi="Arial Narrow" w:cs="Arial"/>
                <w:b/>
                <w:sz w:val="20"/>
                <w:szCs w:val="20"/>
              </w:rPr>
              <w:t xml:space="preserve"> </w:t>
            </w:r>
            <w:proofErr w:type="spellStart"/>
            <w:r w:rsidRPr="00E53F68">
              <w:rPr>
                <w:rFonts w:ascii="Arial Narrow" w:hAnsi="Arial Narrow" w:cs="Arial"/>
                <w:b/>
                <w:sz w:val="20"/>
                <w:szCs w:val="20"/>
              </w:rPr>
              <w:t>Rpts</w:t>
            </w:r>
            <w:proofErr w:type="spellEnd"/>
          </w:p>
        </w:tc>
        <w:tc>
          <w:tcPr>
            <w:tcW w:w="3118" w:type="dxa"/>
            <w:gridSpan w:val="2"/>
            <w:tcBorders>
              <w:bottom w:val="single" w:sz="4" w:space="0" w:color="auto"/>
            </w:tcBorders>
          </w:tcPr>
          <w:p w14:paraId="4E9E6728" w14:textId="77777777" w:rsidR="00772CAB" w:rsidRPr="00E53F68" w:rsidRDefault="00772CAB" w:rsidP="00D3047D">
            <w:pPr>
              <w:keepNext/>
              <w:rPr>
                <w:rFonts w:ascii="Arial Narrow" w:hAnsi="Arial Narrow" w:cs="Arial"/>
                <w:b/>
                <w:sz w:val="20"/>
                <w:szCs w:val="20"/>
                <w:lang w:val="fr-FR"/>
              </w:rPr>
            </w:pPr>
            <w:r w:rsidRPr="00E53F68">
              <w:rPr>
                <w:rFonts w:ascii="Arial Narrow" w:hAnsi="Arial Narrow" w:cs="Arial"/>
                <w:b/>
                <w:sz w:val="20"/>
                <w:szCs w:val="20"/>
              </w:rPr>
              <w:t>Proprietary Name and Manufacturer</w:t>
            </w:r>
          </w:p>
        </w:tc>
      </w:tr>
      <w:tr w:rsidR="00772CAB" w:rsidRPr="00090EFB" w14:paraId="62C0E39B" w14:textId="77777777" w:rsidTr="00772CAB">
        <w:trPr>
          <w:cantSplit/>
          <w:trHeight w:val="577"/>
        </w:trPr>
        <w:tc>
          <w:tcPr>
            <w:tcW w:w="3686" w:type="dxa"/>
            <w:gridSpan w:val="2"/>
          </w:tcPr>
          <w:p w14:paraId="427BC489" w14:textId="77777777" w:rsidR="00772CAB" w:rsidRPr="00090EFB" w:rsidRDefault="00772CAB" w:rsidP="00D3047D">
            <w:pPr>
              <w:keepNext/>
              <w:ind w:left="-108"/>
              <w:jc w:val="both"/>
              <w:rPr>
                <w:rFonts w:ascii="Arial Narrow" w:hAnsi="Arial Narrow" w:cs="Arial"/>
                <w:smallCaps/>
                <w:sz w:val="20"/>
                <w:szCs w:val="20"/>
              </w:rPr>
            </w:pPr>
            <w:r w:rsidRPr="00090EFB">
              <w:rPr>
                <w:rFonts w:ascii="Arial Narrow" w:hAnsi="Arial Narrow" w:cs="Arial"/>
                <w:smallCaps/>
                <w:sz w:val="20"/>
                <w:szCs w:val="20"/>
              </w:rPr>
              <w:t>INCOBOTULINUMTOXINA</w:t>
            </w:r>
          </w:p>
          <w:p w14:paraId="212FA6EB" w14:textId="77777777" w:rsidR="00772CAB" w:rsidRPr="00090EFB" w:rsidRDefault="00772CAB" w:rsidP="00D3047D">
            <w:pPr>
              <w:keepNext/>
              <w:ind w:left="-108"/>
              <w:jc w:val="both"/>
              <w:rPr>
                <w:rFonts w:ascii="Arial Narrow" w:hAnsi="Arial Narrow" w:cs="Arial"/>
                <w:color w:val="FF0000"/>
                <w:sz w:val="20"/>
                <w:szCs w:val="20"/>
              </w:rPr>
            </w:pPr>
            <w:r>
              <w:rPr>
                <w:rFonts w:ascii="Arial Narrow" w:hAnsi="Arial Narrow" w:cs="Arial"/>
                <w:smallCaps/>
                <w:sz w:val="20"/>
                <w:szCs w:val="20"/>
              </w:rPr>
              <w:t xml:space="preserve">100 </w:t>
            </w:r>
            <w:r w:rsidRPr="00E53F68">
              <w:rPr>
                <w:rFonts w:ascii="Arial Narrow" w:hAnsi="Arial Narrow" w:cs="Arial"/>
                <w:sz w:val="20"/>
                <w:szCs w:val="20"/>
              </w:rPr>
              <w:t>units injection, 1 vial</w:t>
            </w:r>
          </w:p>
        </w:tc>
        <w:tc>
          <w:tcPr>
            <w:tcW w:w="1134" w:type="dxa"/>
          </w:tcPr>
          <w:p w14:paraId="3C235578" w14:textId="77777777" w:rsidR="00772CAB" w:rsidRPr="00090EFB" w:rsidRDefault="00772CAB" w:rsidP="00D3047D">
            <w:pPr>
              <w:keepNext/>
              <w:ind w:left="-108"/>
              <w:jc w:val="center"/>
              <w:rPr>
                <w:rFonts w:ascii="Arial Narrow" w:hAnsi="Arial Narrow" w:cs="Arial"/>
                <w:sz w:val="20"/>
                <w:szCs w:val="20"/>
              </w:rPr>
            </w:pPr>
            <w:r>
              <w:rPr>
                <w:rFonts w:ascii="Arial Narrow" w:hAnsi="Arial Narrow" w:cs="Arial"/>
                <w:sz w:val="20"/>
                <w:szCs w:val="20"/>
              </w:rPr>
              <w:t>4</w:t>
            </w:r>
          </w:p>
          <w:p w14:paraId="3292BD1A" w14:textId="77777777" w:rsidR="00772CAB" w:rsidRPr="00090EFB" w:rsidRDefault="00772CAB" w:rsidP="00D3047D">
            <w:pPr>
              <w:keepNext/>
              <w:ind w:left="-108"/>
              <w:jc w:val="center"/>
              <w:rPr>
                <w:rFonts w:ascii="Arial Narrow" w:hAnsi="Arial Narrow" w:cs="Arial"/>
                <w:sz w:val="20"/>
                <w:szCs w:val="20"/>
              </w:rPr>
            </w:pPr>
          </w:p>
        </w:tc>
        <w:tc>
          <w:tcPr>
            <w:tcW w:w="1276" w:type="dxa"/>
          </w:tcPr>
          <w:p w14:paraId="762C46F4" w14:textId="77777777" w:rsidR="00772CAB" w:rsidRPr="00090EFB" w:rsidRDefault="00772CAB" w:rsidP="00D3047D">
            <w:pPr>
              <w:keepNext/>
              <w:ind w:left="-108"/>
              <w:jc w:val="center"/>
              <w:rPr>
                <w:rFonts w:ascii="Arial Narrow" w:hAnsi="Arial Narrow" w:cs="Arial"/>
                <w:sz w:val="20"/>
                <w:szCs w:val="20"/>
              </w:rPr>
            </w:pPr>
            <w:r>
              <w:rPr>
                <w:rFonts w:ascii="Arial Narrow" w:hAnsi="Arial Narrow" w:cs="Arial"/>
                <w:sz w:val="20"/>
                <w:szCs w:val="20"/>
              </w:rPr>
              <w:t>0</w:t>
            </w:r>
          </w:p>
          <w:p w14:paraId="472A804F" w14:textId="77777777" w:rsidR="00772CAB" w:rsidRPr="00090EFB" w:rsidRDefault="00772CAB" w:rsidP="00D3047D">
            <w:pPr>
              <w:keepNext/>
              <w:ind w:left="-108"/>
              <w:jc w:val="both"/>
              <w:rPr>
                <w:rFonts w:ascii="Arial Narrow" w:hAnsi="Arial Narrow" w:cs="Arial"/>
                <w:sz w:val="20"/>
                <w:szCs w:val="20"/>
              </w:rPr>
            </w:pPr>
          </w:p>
        </w:tc>
        <w:tc>
          <w:tcPr>
            <w:tcW w:w="992" w:type="dxa"/>
          </w:tcPr>
          <w:p w14:paraId="448940B9" w14:textId="77777777" w:rsidR="00772CAB" w:rsidRPr="00090EFB" w:rsidRDefault="00772CAB" w:rsidP="00D3047D">
            <w:pPr>
              <w:keepNext/>
              <w:jc w:val="both"/>
              <w:rPr>
                <w:rFonts w:ascii="Arial Narrow" w:hAnsi="Arial Narrow" w:cs="Arial"/>
                <w:sz w:val="20"/>
                <w:szCs w:val="20"/>
              </w:rPr>
            </w:pPr>
            <w:proofErr w:type="spellStart"/>
            <w:r>
              <w:rPr>
                <w:rFonts w:ascii="Arial Narrow" w:hAnsi="Arial Narrow" w:cs="Arial"/>
                <w:sz w:val="20"/>
                <w:szCs w:val="20"/>
              </w:rPr>
              <w:t>Xeomin</w:t>
            </w:r>
            <w:proofErr w:type="spellEnd"/>
            <w:r w:rsidRPr="00A226D7">
              <w:rPr>
                <w:rFonts w:ascii="Arial Narrow" w:hAnsi="Arial Narrow" w:cs="Arial"/>
                <w:sz w:val="20"/>
                <w:szCs w:val="20"/>
                <w:vertAlign w:val="superscript"/>
              </w:rPr>
              <w:t>®</w:t>
            </w:r>
          </w:p>
        </w:tc>
        <w:tc>
          <w:tcPr>
            <w:tcW w:w="2410" w:type="dxa"/>
            <w:gridSpan w:val="2"/>
          </w:tcPr>
          <w:p w14:paraId="6084D3DE" w14:textId="64EB39A8" w:rsidR="00772CAB" w:rsidRPr="00090EFB" w:rsidRDefault="00772CAB" w:rsidP="00D3047D">
            <w:pPr>
              <w:keepNext/>
              <w:rPr>
                <w:rFonts w:ascii="Arial Narrow" w:hAnsi="Arial Narrow" w:cs="Arial"/>
                <w:sz w:val="20"/>
                <w:szCs w:val="20"/>
              </w:rPr>
            </w:pPr>
            <w:proofErr w:type="spellStart"/>
            <w:r>
              <w:rPr>
                <w:rFonts w:ascii="Arial Narrow" w:hAnsi="Arial Narrow" w:cs="Arial"/>
                <w:sz w:val="20"/>
                <w:szCs w:val="20"/>
              </w:rPr>
              <w:t>Merz</w:t>
            </w:r>
            <w:proofErr w:type="spellEnd"/>
            <w:r>
              <w:rPr>
                <w:rFonts w:ascii="Arial Narrow" w:hAnsi="Arial Narrow" w:cs="Arial"/>
                <w:sz w:val="20"/>
                <w:szCs w:val="20"/>
              </w:rPr>
              <w:t xml:space="preserve"> Pharmaceuticals</w:t>
            </w:r>
          </w:p>
        </w:tc>
      </w:tr>
      <w:tr w:rsidR="00773AB8" w:rsidRPr="00772CAB" w14:paraId="2E17B08E" w14:textId="77777777" w:rsidTr="00772CAB">
        <w:trPr>
          <w:gridAfter w:val="1"/>
          <w:wAfter w:w="284" w:type="dxa"/>
          <w:cantSplit/>
          <w:trHeight w:val="159"/>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CE8AA18"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Category/program</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24D22D11"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Section 100 – Botulinum Toxin Program</w:t>
            </w:r>
          </w:p>
        </w:tc>
      </w:tr>
      <w:tr w:rsidR="00773AB8" w:rsidRPr="00772CAB" w14:paraId="6DA29F8B" w14:textId="77777777" w:rsidTr="00772CAB">
        <w:trPr>
          <w:gridAfter w:val="1"/>
          <w:wAfter w:w="284" w:type="dxa"/>
          <w:cantSplit/>
          <w:trHeight w:val="22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DDD0715"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Prescriber type:</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0365A61F"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fldChar w:fldCharType="begin">
                <w:ffData>
                  <w:name w:val="Check1"/>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Dental  </w:t>
            </w:r>
            <w:r w:rsidRPr="00772CAB">
              <w:rPr>
                <w:rFonts w:ascii="Arial Narrow" w:hAnsi="Arial Narrow" w:cs="Arial"/>
                <w:sz w:val="20"/>
                <w:szCs w:val="20"/>
              </w:rPr>
              <w:fldChar w:fldCharType="begin">
                <w:ffData>
                  <w:name w:val=""/>
                  <w:enabled/>
                  <w:calcOnExit w:val="0"/>
                  <w:checkBox>
                    <w:sizeAuto/>
                    <w:default w:val="1"/>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Medical Practitioners  </w:t>
            </w:r>
            <w:r w:rsidRPr="00772CAB">
              <w:rPr>
                <w:rFonts w:ascii="Arial Narrow" w:hAnsi="Arial Narrow" w:cs="Arial"/>
                <w:sz w:val="20"/>
                <w:szCs w:val="20"/>
              </w:rPr>
              <w:fldChar w:fldCharType="begin">
                <w:ffData>
                  <w:name w:val="Check3"/>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Nurse practitioners  </w:t>
            </w:r>
            <w:r w:rsidRPr="00772CAB">
              <w:rPr>
                <w:rFonts w:ascii="Arial Narrow" w:hAnsi="Arial Narrow" w:cs="Arial"/>
                <w:sz w:val="20"/>
                <w:szCs w:val="20"/>
              </w:rPr>
              <w:fldChar w:fldCharType="begin">
                <w:ffData>
                  <w:name w:val=""/>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Optometrists </w:t>
            </w:r>
            <w:r w:rsidRPr="00772CAB">
              <w:rPr>
                <w:rFonts w:ascii="Arial Narrow" w:hAnsi="Arial Narrow" w:cs="Arial"/>
                <w:sz w:val="20"/>
                <w:szCs w:val="20"/>
              </w:rPr>
              <w:fldChar w:fldCharType="begin">
                <w:ffData>
                  <w:name w:val="Check5"/>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Midwives</w:t>
            </w:r>
          </w:p>
        </w:tc>
      </w:tr>
      <w:tr w:rsidR="00773AB8" w:rsidRPr="00772CAB" w14:paraId="19CCD192" w14:textId="77777777" w:rsidTr="00772CAB">
        <w:trPr>
          <w:gridAfter w:val="1"/>
          <w:wAfter w:w="284" w:type="dxa"/>
          <w:cantSplit/>
          <w:trHeight w:val="123"/>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2CF7EC0"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Severity:</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D3E4AEA"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Moderate to severe</w:t>
            </w:r>
          </w:p>
        </w:tc>
      </w:tr>
      <w:tr w:rsidR="00773AB8" w:rsidRPr="00772CAB" w14:paraId="29D9809D" w14:textId="77777777" w:rsidTr="00772CAB">
        <w:trPr>
          <w:gridAfter w:val="1"/>
          <w:wAfter w:w="284" w:type="dxa"/>
          <w:cantSplit/>
          <w:trHeight w:val="15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1908A5B"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Condition:</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0118A75E" w14:textId="3535698C" w:rsidR="00773AB8" w:rsidRPr="00772CAB" w:rsidRDefault="00773AB8" w:rsidP="00772CAB">
            <w:pPr>
              <w:jc w:val="both"/>
              <w:rPr>
                <w:rFonts w:ascii="Arial Narrow" w:hAnsi="Arial Narrow" w:cs="Arial"/>
                <w:sz w:val="20"/>
                <w:szCs w:val="20"/>
              </w:rPr>
            </w:pPr>
            <w:r w:rsidRPr="00772CAB">
              <w:rPr>
                <w:rFonts w:ascii="Arial Narrow" w:hAnsi="Arial Narrow" w:cs="Arial"/>
                <w:sz w:val="20"/>
                <w:szCs w:val="20"/>
              </w:rPr>
              <w:t xml:space="preserve">Spasticity of the upper limb following </w:t>
            </w:r>
            <w:r w:rsidR="00772CAB">
              <w:rPr>
                <w:rFonts w:ascii="Arial Narrow" w:hAnsi="Arial Narrow" w:cs="Arial"/>
                <w:sz w:val="20"/>
                <w:szCs w:val="20"/>
              </w:rPr>
              <w:t>an acute event</w:t>
            </w:r>
          </w:p>
        </w:tc>
      </w:tr>
      <w:tr w:rsidR="00773AB8" w:rsidRPr="00772CAB" w14:paraId="3BD4DF51" w14:textId="77777777" w:rsidTr="00772CAB">
        <w:trPr>
          <w:gridAfter w:val="1"/>
          <w:wAfter w:w="284" w:type="dxa"/>
          <w:cantSplit/>
          <w:trHeight w:val="201"/>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827DB1C"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PBS indication:</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4C0D7882" w14:textId="5033E78A" w:rsidR="00773AB8" w:rsidRPr="00772CAB" w:rsidRDefault="00773AB8" w:rsidP="00772CAB">
            <w:pPr>
              <w:jc w:val="both"/>
              <w:rPr>
                <w:rFonts w:ascii="Arial Narrow" w:hAnsi="Arial Narrow" w:cs="Arial"/>
                <w:sz w:val="20"/>
                <w:szCs w:val="20"/>
              </w:rPr>
            </w:pPr>
            <w:r w:rsidRPr="00772CAB">
              <w:rPr>
                <w:rFonts w:ascii="Arial Narrow" w:hAnsi="Arial Narrow" w:cs="Arial"/>
                <w:sz w:val="20"/>
                <w:szCs w:val="20"/>
              </w:rPr>
              <w:t xml:space="preserve">Moderate to severe spasticity of the upper limb following </w:t>
            </w:r>
            <w:r w:rsidR="00772CAB">
              <w:rPr>
                <w:rFonts w:ascii="Arial Narrow" w:hAnsi="Arial Narrow" w:cs="Arial"/>
                <w:sz w:val="20"/>
                <w:szCs w:val="20"/>
              </w:rPr>
              <w:t>an acute event</w:t>
            </w:r>
          </w:p>
        </w:tc>
      </w:tr>
      <w:tr w:rsidR="00773AB8" w:rsidRPr="00772CAB" w14:paraId="373772DB" w14:textId="77777777" w:rsidTr="00772CAB">
        <w:trPr>
          <w:gridAfter w:val="1"/>
          <w:wAfter w:w="284" w:type="dxa"/>
          <w:cantSplit/>
          <w:trHeight w:val="119"/>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087FE8A"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Restriction level:</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2C3CE55A"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fldChar w:fldCharType="begin">
                <w:ffData>
                  <w:name w:val="Check5"/>
                  <w:enabled/>
                  <w:calcOnExit w:val="0"/>
                  <w:checkBox>
                    <w:sizeAuto/>
                    <w:default w:val="1"/>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 Streamlined</w:t>
            </w:r>
          </w:p>
        </w:tc>
      </w:tr>
      <w:tr w:rsidR="00773AB8" w:rsidRPr="00772CAB" w14:paraId="1191D3FC" w14:textId="77777777" w:rsidTr="00772CAB">
        <w:trPr>
          <w:gridAfter w:val="1"/>
          <w:wAfter w:w="284" w:type="dxa"/>
          <w:cantSplit/>
          <w:trHeight w:val="36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53E0822"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Clinical criteria</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17CAF29F" w14:textId="4E2F7A00"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The condition must be moderate to severe spasticity of the upper limb/s following an acute event defined as a Modified Ashworth Scale rating of 3 or more,</w:t>
            </w:r>
          </w:p>
          <w:p w14:paraId="5FCA7150"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AND</w:t>
            </w:r>
          </w:p>
          <w:p w14:paraId="122C6A26"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The treatment must only be used as second line therapy when standard management has failed; OR</w:t>
            </w:r>
          </w:p>
          <w:p w14:paraId="4CF0E39C"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The treatment must only be used as an adjunct to physical therapy,</w:t>
            </w:r>
          </w:p>
          <w:p w14:paraId="5058AD2A"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AND</w:t>
            </w:r>
          </w:p>
          <w:p w14:paraId="74F807C2" w14:textId="4F6CB951"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The treatment must not continue if the patient does not respond (defined as not having had a decrease in spasticity rating greater than 1, us</w:t>
            </w:r>
            <w:r w:rsidR="00772CAB">
              <w:rPr>
                <w:rFonts w:ascii="Arial Narrow" w:hAnsi="Arial Narrow" w:cs="Arial"/>
                <w:sz w:val="20"/>
                <w:szCs w:val="20"/>
              </w:rPr>
              <w:t>ing the Modified Ashworth Scale</w:t>
            </w:r>
            <w:r w:rsidRPr="00772CAB">
              <w:rPr>
                <w:rFonts w:ascii="Arial Narrow" w:hAnsi="Arial Narrow" w:cs="Arial"/>
                <w:sz w:val="20"/>
                <w:szCs w:val="20"/>
              </w:rPr>
              <w:t>, in at least one joint) after two treatment periods (with any botulinum toxin type A),</w:t>
            </w:r>
          </w:p>
          <w:p w14:paraId="6A4EA612"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AND</w:t>
            </w:r>
          </w:p>
          <w:p w14:paraId="6645DF79"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The treatment must not exceed a maximum of 4 treatment periods (with any botulinum toxin type A) per upper limb in the first year of treatment, and 2 treatment periods (with any botulinum toxin type A) per upper limb each year thereafter,</w:t>
            </w:r>
          </w:p>
          <w:p w14:paraId="52F9C099"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AND</w:t>
            </w:r>
          </w:p>
          <w:p w14:paraId="525E9548"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Patient must not have established severe contracture in the limb to be treated</w:t>
            </w:r>
          </w:p>
        </w:tc>
      </w:tr>
      <w:tr w:rsidR="00773AB8" w:rsidRPr="00772CAB" w14:paraId="75B8F522" w14:textId="77777777" w:rsidTr="00772CAB">
        <w:trPr>
          <w:gridAfter w:val="1"/>
          <w:wAfter w:w="284" w:type="dxa"/>
          <w:cantSplit/>
          <w:trHeight w:val="197"/>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27E2272"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Population criteria</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BFC3638"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Patient must be aged 18 years or older.</w:t>
            </w:r>
          </w:p>
        </w:tc>
      </w:tr>
      <w:tr w:rsidR="00773AB8" w:rsidRPr="00772CAB" w14:paraId="1856F090" w14:textId="77777777" w:rsidTr="00772CAB">
        <w:trPr>
          <w:gridAfter w:val="1"/>
          <w:wAfter w:w="284" w:type="dxa"/>
          <w:cantSplit/>
          <w:trHeight w:val="36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3A0FDAE"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Treatment criteria</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6230DE71"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Must be treated by a neurologist; OR</w:t>
            </w:r>
          </w:p>
          <w:p w14:paraId="07D273EA"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Must be treated by an orthopaedic surgeon; OR</w:t>
            </w:r>
          </w:p>
          <w:p w14:paraId="2FB589D6" w14:textId="78C07ABD"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Must be treated by a rehabilitation specialist; OR</w:t>
            </w:r>
          </w:p>
          <w:p w14:paraId="6275A890"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Must be treated by a plastic surgeon; OR</w:t>
            </w:r>
          </w:p>
          <w:p w14:paraId="56D083A3"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Must be treated by a geriatrician.</w:t>
            </w:r>
          </w:p>
        </w:tc>
      </w:tr>
      <w:tr w:rsidR="00772CAB" w:rsidRPr="00772CAB" w14:paraId="24BAF6A5" w14:textId="77777777" w:rsidTr="00772CAB">
        <w:trPr>
          <w:gridAfter w:val="1"/>
          <w:wAfter w:w="284" w:type="dxa"/>
          <w:cantSplit/>
          <w:trHeight w:val="212"/>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124188A" w14:textId="77777777" w:rsidR="00772CAB" w:rsidRPr="00772CAB" w:rsidRDefault="00772CAB" w:rsidP="00C210EE">
            <w:pPr>
              <w:jc w:val="both"/>
              <w:rPr>
                <w:rFonts w:ascii="Arial Narrow" w:hAnsi="Arial Narrow" w:cs="Arial"/>
                <w:b/>
                <w:sz w:val="20"/>
                <w:szCs w:val="20"/>
              </w:rPr>
            </w:pPr>
            <w:r w:rsidRPr="00772CAB">
              <w:rPr>
                <w:rFonts w:ascii="Arial Narrow" w:hAnsi="Arial Narrow" w:cs="Arial"/>
                <w:b/>
                <w:sz w:val="20"/>
                <w:szCs w:val="20"/>
              </w:rPr>
              <w:t>Prescriber instructions</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20CE485E" w14:textId="77777777" w:rsidR="00772CAB" w:rsidRPr="00772CAB" w:rsidRDefault="00772CAB" w:rsidP="00C210EE">
            <w:pPr>
              <w:jc w:val="both"/>
              <w:rPr>
                <w:rFonts w:ascii="Arial Narrow" w:hAnsi="Arial Narrow" w:cs="Arial"/>
                <w:sz w:val="20"/>
                <w:szCs w:val="20"/>
              </w:rPr>
            </w:pPr>
            <w:r w:rsidRPr="00772CAB">
              <w:rPr>
                <w:rFonts w:ascii="Arial Narrow" w:hAnsi="Arial Narrow" w:cs="Arial"/>
                <w:sz w:val="20"/>
                <w:szCs w:val="20"/>
              </w:rPr>
              <w:t>Standard management includes physiotherapy and/or oral spasticity agents.</w:t>
            </w:r>
          </w:p>
        </w:tc>
      </w:tr>
      <w:tr w:rsidR="00773AB8" w:rsidRPr="00772CAB" w14:paraId="12947FA0" w14:textId="77777777" w:rsidTr="00772CAB">
        <w:trPr>
          <w:gridAfter w:val="1"/>
          <w:wAfter w:w="284" w:type="dxa"/>
          <w:cantSplit/>
          <w:trHeight w:val="36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54BE7CE" w14:textId="67263613" w:rsidR="00773AB8" w:rsidRPr="00772CAB" w:rsidRDefault="00772CAB" w:rsidP="00D3047D">
            <w:pPr>
              <w:jc w:val="both"/>
              <w:rPr>
                <w:rFonts w:ascii="Arial Narrow" w:hAnsi="Arial Narrow" w:cs="Arial"/>
                <w:b/>
                <w:sz w:val="20"/>
                <w:szCs w:val="20"/>
              </w:rPr>
            </w:pPr>
            <w:r>
              <w:rPr>
                <w:rFonts w:ascii="Arial Narrow" w:hAnsi="Arial Narrow" w:cs="Arial"/>
                <w:b/>
                <w:sz w:val="20"/>
                <w:szCs w:val="20"/>
              </w:rPr>
              <w:t>Administrative Advice</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C089E81"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The units used to express the potency of botulinum toxin preparations currently available for PBS subsidy are not equivalent.</w:t>
            </w:r>
          </w:p>
          <w:p w14:paraId="51B59E71" w14:textId="77777777" w:rsidR="00773AB8" w:rsidRPr="00772CAB" w:rsidRDefault="00773AB8" w:rsidP="00D3047D">
            <w:pPr>
              <w:jc w:val="both"/>
              <w:rPr>
                <w:rFonts w:ascii="Arial Narrow" w:hAnsi="Arial Narrow" w:cs="Arial"/>
                <w:sz w:val="20"/>
                <w:szCs w:val="20"/>
              </w:rPr>
            </w:pPr>
          </w:p>
          <w:p w14:paraId="3F8C3E40" w14:textId="6D31F2AA"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An acute event may be a clinical or external event that leads to upper motor neuron lesions resulting in spasticity for example stroke, traumatic brain injury, spinal cord injury, infection or hypoxia.</w:t>
            </w:r>
          </w:p>
          <w:p w14:paraId="023CF7FE" w14:textId="77777777" w:rsidR="00773AB8" w:rsidRPr="00772CAB" w:rsidRDefault="00773AB8" w:rsidP="00D3047D">
            <w:pPr>
              <w:jc w:val="both"/>
              <w:rPr>
                <w:rFonts w:ascii="Arial Narrow" w:hAnsi="Arial Narrow" w:cs="Arial"/>
                <w:sz w:val="20"/>
                <w:szCs w:val="20"/>
              </w:rPr>
            </w:pPr>
          </w:p>
          <w:p w14:paraId="78027D79"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Special pricing Arrangement apply.</w:t>
            </w:r>
          </w:p>
        </w:tc>
      </w:tr>
      <w:tr w:rsidR="00773AB8" w:rsidRPr="00772CAB" w14:paraId="211FB89C" w14:textId="77777777" w:rsidTr="00772CAB">
        <w:trPr>
          <w:gridAfter w:val="1"/>
          <w:wAfter w:w="284" w:type="dxa"/>
          <w:cantSplit/>
          <w:trHeight w:val="56"/>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5F0E07C"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 xml:space="preserve">Caution: </w:t>
            </w:r>
          </w:p>
        </w:tc>
        <w:tc>
          <w:tcPr>
            <w:tcW w:w="73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64E0DA33" w14:textId="77777777" w:rsidR="00773AB8" w:rsidRPr="00772CAB" w:rsidRDefault="00773AB8" w:rsidP="00D3047D">
            <w:pPr>
              <w:jc w:val="both"/>
              <w:rPr>
                <w:rFonts w:ascii="Arial Narrow" w:hAnsi="Arial Narrow" w:cs="Arial"/>
                <w:sz w:val="20"/>
                <w:szCs w:val="20"/>
              </w:rPr>
            </w:pPr>
            <w:r w:rsidRPr="00772CAB">
              <w:rPr>
                <w:rFonts w:ascii="Arial Narrow" w:hAnsi="Arial Narrow" w:cs="Arial"/>
                <w:sz w:val="20"/>
                <w:szCs w:val="20"/>
              </w:rPr>
              <w:t>Contraindications to treatment include known sensitivity to botulinum toxin.</w:t>
            </w:r>
          </w:p>
        </w:tc>
      </w:tr>
    </w:tbl>
    <w:p w14:paraId="58FA0998" w14:textId="77777777" w:rsidR="00773AB8" w:rsidRPr="00772CAB" w:rsidRDefault="00773AB8" w:rsidP="00773AB8">
      <w:pPr>
        <w:spacing w:after="120"/>
        <w:jc w:val="both"/>
        <w:rPr>
          <w:rFonts w:asciiTheme="minorHAnsi" w:eastAsiaTheme="minorHAnsi" w:hAnsiTheme="minorHAnsi" w:cstheme="minorBidi"/>
          <w:b/>
          <w:color w:val="000000" w:themeColor="text1"/>
          <w:lang w:eastAsia="en-US"/>
        </w:rPr>
      </w:pPr>
    </w:p>
    <w:tbl>
      <w:tblPr>
        <w:tblW w:w="9327" w:type="dxa"/>
        <w:tblInd w:w="-5" w:type="dxa"/>
        <w:tblLayout w:type="fixed"/>
        <w:tblLook w:val="0000" w:firstRow="0" w:lastRow="0" w:firstColumn="0" w:lastColumn="0" w:noHBand="0" w:noVBand="0"/>
      </w:tblPr>
      <w:tblGrid>
        <w:gridCol w:w="1848"/>
        <w:gridCol w:w="7479"/>
      </w:tblGrid>
      <w:tr w:rsidR="00773AB8" w:rsidRPr="00772CAB" w14:paraId="4F05A807" w14:textId="77777777" w:rsidTr="00772CAB">
        <w:trPr>
          <w:cantSplit/>
          <w:trHeight w:val="227"/>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0B4EECA8"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Category/Program:</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6DD993BD"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Section 100 – Botulinum Toxin Program</w:t>
            </w:r>
          </w:p>
        </w:tc>
      </w:tr>
      <w:tr w:rsidR="00773AB8" w:rsidRPr="00772CAB" w14:paraId="44F95E8C" w14:textId="77777777" w:rsidTr="00772CAB">
        <w:trPr>
          <w:cantSplit/>
          <w:trHeight w:val="154"/>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270C03D0"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Prescriber type:</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12FB124A"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fldChar w:fldCharType="begin">
                <w:ffData>
                  <w:name w:val="Check1"/>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Dental  </w:t>
            </w:r>
            <w:r w:rsidRPr="00772CAB">
              <w:rPr>
                <w:rFonts w:ascii="Arial Narrow" w:hAnsi="Arial Narrow" w:cs="Arial"/>
                <w:sz w:val="20"/>
                <w:szCs w:val="20"/>
              </w:rPr>
              <w:fldChar w:fldCharType="begin">
                <w:ffData>
                  <w:name w:val=""/>
                  <w:enabled/>
                  <w:calcOnExit w:val="0"/>
                  <w:checkBox>
                    <w:sizeAuto/>
                    <w:default w:val="1"/>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Medical Practitioners  </w:t>
            </w:r>
            <w:r w:rsidRPr="00772CAB">
              <w:rPr>
                <w:rFonts w:ascii="Arial Narrow" w:hAnsi="Arial Narrow" w:cs="Arial"/>
                <w:sz w:val="20"/>
                <w:szCs w:val="20"/>
              </w:rPr>
              <w:fldChar w:fldCharType="begin">
                <w:ffData>
                  <w:name w:val="Check3"/>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Nurse practitioners  </w:t>
            </w:r>
            <w:r w:rsidRPr="00772CAB">
              <w:rPr>
                <w:rFonts w:ascii="Arial Narrow" w:hAnsi="Arial Narrow" w:cs="Arial"/>
                <w:sz w:val="20"/>
                <w:szCs w:val="20"/>
              </w:rPr>
              <w:fldChar w:fldCharType="begin">
                <w:ffData>
                  <w:name w:val=""/>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 xml:space="preserve">Optometrists </w:t>
            </w:r>
            <w:r w:rsidRPr="00772CAB">
              <w:rPr>
                <w:rFonts w:ascii="Arial Narrow" w:hAnsi="Arial Narrow" w:cs="Arial"/>
                <w:sz w:val="20"/>
                <w:szCs w:val="20"/>
              </w:rPr>
              <w:fldChar w:fldCharType="begin">
                <w:ffData>
                  <w:name w:val="Check5"/>
                  <w:enabled/>
                  <w:calcOnExit w:val="0"/>
                  <w:checkBox>
                    <w:sizeAuto/>
                    <w:default w:val="0"/>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Midwives</w:t>
            </w:r>
          </w:p>
        </w:tc>
      </w:tr>
      <w:tr w:rsidR="00773AB8" w:rsidRPr="00772CAB" w14:paraId="11525CFA" w14:textId="77777777" w:rsidTr="00772CAB">
        <w:trPr>
          <w:cantSplit/>
          <w:trHeight w:val="56"/>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2DAD0D82"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Severity:</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62EBF63D"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Moderate to severe</w:t>
            </w:r>
          </w:p>
        </w:tc>
      </w:tr>
      <w:tr w:rsidR="00773AB8" w:rsidRPr="00772CAB" w14:paraId="03891A3D" w14:textId="77777777" w:rsidTr="00772CAB">
        <w:trPr>
          <w:cantSplit/>
          <w:trHeight w:val="20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1FC59BFE"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Condition:</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7AFE2973" w14:textId="77777777" w:rsidR="00773AB8" w:rsidRPr="00772CAB" w:rsidRDefault="00773AB8" w:rsidP="00D3047D">
            <w:pPr>
              <w:rPr>
                <w:rFonts w:ascii="Arial Narrow" w:hAnsi="Arial Narrow" w:cs="Arial"/>
                <w:sz w:val="20"/>
                <w:szCs w:val="20"/>
              </w:rPr>
            </w:pPr>
            <w:r w:rsidRPr="00772CAB">
              <w:rPr>
                <w:rFonts w:ascii="Arial Narrow" w:hAnsi="Arial Narrow" w:cs="Calibri"/>
                <w:sz w:val="20"/>
                <w:szCs w:val="20"/>
              </w:rPr>
              <w:t xml:space="preserve">Spasticity of the upper limb following an acute event </w:t>
            </w:r>
          </w:p>
        </w:tc>
      </w:tr>
      <w:tr w:rsidR="00773AB8" w:rsidRPr="00772CAB" w14:paraId="41F23025" w14:textId="77777777" w:rsidTr="00772CAB">
        <w:trPr>
          <w:cantSplit/>
          <w:trHeight w:val="105"/>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3DC05A92"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PBS Indication:</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175F66A9"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Moderate to severe</w:t>
            </w:r>
            <w:r w:rsidRPr="00772CAB">
              <w:rPr>
                <w:rFonts w:ascii="Arial Narrow" w:hAnsi="Arial Narrow" w:cs="Calibri"/>
                <w:sz w:val="20"/>
                <w:szCs w:val="20"/>
              </w:rPr>
              <w:t xml:space="preserve"> spasticity of the upper limb following an acute event </w:t>
            </w:r>
          </w:p>
        </w:tc>
      </w:tr>
      <w:tr w:rsidR="00773AB8" w:rsidRPr="00772CAB" w14:paraId="1884E5C5" w14:textId="77777777" w:rsidTr="00772CAB">
        <w:trPr>
          <w:cantSplit/>
          <w:trHeight w:val="15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032DD19D"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lastRenderedPageBreak/>
              <w:t>Treatment phase</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0FCF232B"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Grandfathered treatment</w:t>
            </w:r>
          </w:p>
        </w:tc>
      </w:tr>
      <w:tr w:rsidR="00773AB8" w:rsidRPr="00772CAB" w14:paraId="193976AE" w14:textId="77777777" w:rsidTr="00772CAB">
        <w:trPr>
          <w:cantSplit/>
          <w:trHeight w:val="196"/>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3D6F6313" w14:textId="77777777" w:rsidR="00773AB8" w:rsidRPr="00772CAB" w:rsidRDefault="00773AB8" w:rsidP="00D3047D">
            <w:pPr>
              <w:rPr>
                <w:rFonts w:ascii="Arial Narrow" w:hAnsi="Arial Narrow" w:cs="Arial"/>
                <w:sz w:val="20"/>
                <w:szCs w:val="20"/>
              </w:rPr>
            </w:pPr>
            <w:r w:rsidRPr="00772CAB">
              <w:rPr>
                <w:rFonts w:ascii="Arial Narrow" w:hAnsi="Arial Narrow" w:cs="Arial"/>
                <w:b/>
                <w:sz w:val="20"/>
                <w:szCs w:val="20"/>
              </w:rPr>
              <w:t>Restriction Level</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7538A5B1"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fldChar w:fldCharType="begin">
                <w:ffData>
                  <w:name w:val="Check5"/>
                  <w:enabled/>
                  <w:calcOnExit w:val="0"/>
                  <w:checkBox>
                    <w:sizeAuto/>
                    <w:default w:val="1"/>
                  </w:checkBox>
                </w:ffData>
              </w:fldChar>
            </w:r>
            <w:r w:rsidRPr="00772CAB">
              <w:rPr>
                <w:rFonts w:ascii="Arial Narrow" w:hAnsi="Arial Narrow" w:cs="Arial"/>
                <w:sz w:val="20"/>
                <w:szCs w:val="20"/>
              </w:rPr>
              <w:instrText xml:space="preserve"> FORMCHECKBOX </w:instrText>
            </w:r>
            <w:r w:rsidR="00753600">
              <w:rPr>
                <w:rFonts w:ascii="Arial Narrow" w:hAnsi="Arial Narrow" w:cs="Arial"/>
                <w:sz w:val="20"/>
                <w:szCs w:val="20"/>
              </w:rPr>
            </w:r>
            <w:r w:rsidR="00753600">
              <w:rPr>
                <w:rFonts w:ascii="Arial Narrow" w:hAnsi="Arial Narrow" w:cs="Arial"/>
                <w:sz w:val="20"/>
                <w:szCs w:val="20"/>
              </w:rPr>
              <w:fldChar w:fldCharType="separate"/>
            </w:r>
            <w:r w:rsidRPr="00772CAB">
              <w:rPr>
                <w:rFonts w:ascii="Arial Narrow" w:hAnsi="Arial Narrow" w:cs="Arial"/>
                <w:sz w:val="20"/>
                <w:szCs w:val="20"/>
              </w:rPr>
              <w:fldChar w:fldCharType="end"/>
            </w:r>
            <w:r w:rsidRPr="00772CAB">
              <w:rPr>
                <w:rFonts w:ascii="Arial Narrow" w:hAnsi="Arial Narrow" w:cs="Arial"/>
                <w:sz w:val="20"/>
                <w:szCs w:val="20"/>
              </w:rPr>
              <w:t>Streamlined</w:t>
            </w:r>
          </w:p>
        </w:tc>
      </w:tr>
      <w:tr w:rsidR="00773AB8" w:rsidRPr="00772CAB" w14:paraId="251215FA" w14:textId="77777777" w:rsidTr="00772CAB">
        <w:trPr>
          <w:cantSplit/>
          <w:trHeight w:val="4352"/>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4C8AC2F5"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Clinical criteria:</w:t>
            </w:r>
          </w:p>
          <w:p w14:paraId="0266115E" w14:textId="77777777" w:rsidR="00773AB8" w:rsidRPr="00772CAB" w:rsidRDefault="00773AB8" w:rsidP="00D3047D">
            <w:pPr>
              <w:jc w:val="both"/>
              <w:rPr>
                <w:rFonts w:ascii="Arial Narrow" w:hAnsi="Arial Narrow" w:cs="Arial"/>
                <w:b/>
                <w:sz w:val="20"/>
                <w:szCs w:val="20"/>
              </w:rPr>
            </w:pP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20B4E6E4"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Patient must have previously received non-PBS subsidised treatment with this drug for this condition prior to [PBS listing date]</w:t>
            </w:r>
          </w:p>
          <w:p w14:paraId="570A84F5"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AND</w:t>
            </w:r>
          </w:p>
          <w:p w14:paraId="742DC4EB" w14:textId="41E1CF0A" w:rsidR="00772CAB" w:rsidRDefault="00773AB8" w:rsidP="00D3047D">
            <w:pPr>
              <w:rPr>
                <w:rFonts w:ascii="Arial Narrow" w:hAnsi="Arial Narrow" w:cs="Arial"/>
                <w:sz w:val="20"/>
                <w:szCs w:val="20"/>
              </w:rPr>
            </w:pPr>
            <w:r w:rsidRPr="00772CAB">
              <w:rPr>
                <w:rFonts w:ascii="Arial Narrow" w:hAnsi="Arial Narrow" w:cs="Arial"/>
                <w:sz w:val="20"/>
                <w:szCs w:val="20"/>
              </w:rPr>
              <w:t>The condition must have been moderate to severe spasticity of the upper limb/s following an acute event, defined as a Modified Ashworth Scale rating of 3 or more prior to commenci</w:t>
            </w:r>
            <w:r w:rsidR="00772CAB">
              <w:rPr>
                <w:rFonts w:ascii="Arial Narrow" w:hAnsi="Arial Narrow" w:cs="Arial"/>
                <w:sz w:val="20"/>
                <w:szCs w:val="20"/>
              </w:rPr>
              <w:t>ng non-PBS subsidised treatment,</w:t>
            </w:r>
          </w:p>
          <w:p w14:paraId="499B8A76" w14:textId="173F585E"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AND</w:t>
            </w:r>
          </w:p>
          <w:p w14:paraId="6F1BBA70"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The treatment must only be used as second line therapy when standard management has failed; OR</w:t>
            </w:r>
          </w:p>
          <w:p w14:paraId="15CC5845"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The treatment must only be used as an adjunct to physical therapy,</w:t>
            </w:r>
          </w:p>
          <w:p w14:paraId="5B631306"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AND</w:t>
            </w:r>
          </w:p>
          <w:p w14:paraId="02DDC3B8"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The treatment must not continue if the patient does not respond (defined as not having had a decrease in spasticity rating greater than 1, using the Modified Ashworth Scale, in at least one joint) after two treatment periods (with any botulinum toxin type A)</w:t>
            </w:r>
          </w:p>
          <w:p w14:paraId="10AA2AF6"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AND</w:t>
            </w:r>
          </w:p>
          <w:p w14:paraId="6B3ECCEC"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The treatment must not exceed a maximum of 4 treatment periods (with any botulinum toxin type A) per upper limb in the first year of treatment, and 2 treatment periods (with any botulinum toxin type A) per upper limb each year thereafter.</w:t>
            </w:r>
          </w:p>
          <w:p w14:paraId="63487B5C"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AND</w:t>
            </w:r>
          </w:p>
          <w:p w14:paraId="6EB15B8D"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Patient must not have established severe contracture in the limb to be treated.</w:t>
            </w:r>
          </w:p>
        </w:tc>
      </w:tr>
      <w:tr w:rsidR="00773AB8" w:rsidRPr="00772CAB" w14:paraId="1B8691F0" w14:textId="77777777" w:rsidTr="009E4AF4">
        <w:trPr>
          <w:cantSplit/>
          <w:trHeight w:val="165"/>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41E1E512"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Population criteria:</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121DC7CC"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Patient must be aged 18 years or older.</w:t>
            </w:r>
          </w:p>
        </w:tc>
      </w:tr>
      <w:tr w:rsidR="00773AB8" w:rsidRPr="00772CAB" w14:paraId="6FA4BB65" w14:textId="77777777" w:rsidTr="00772CAB">
        <w:trPr>
          <w:cantSplit/>
          <w:trHeight w:val="36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149959D7" w14:textId="77777777" w:rsidR="00773AB8" w:rsidRPr="00772CAB" w:rsidRDefault="00773AB8" w:rsidP="00D3047D">
            <w:pPr>
              <w:rPr>
                <w:rFonts w:ascii="Arial Narrow" w:hAnsi="Arial Narrow" w:cs="Arial"/>
                <w:b/>
                <w:sz w:val="20"/>
                <w:szCs w:val="20"/>
              </w:rPr>
            </w:pPr>
            <w:r w:rsidRPr="00772CAB">
              <w:rPr>
                <w:rFonts w:ascii="Arial Narrow" w:hAnsi="Arial Narrow" w:cs="Arial"/>
                <w:b/>
                <w:sz w:val="20"/>
                <w:szCs w:val="20"/>
              </w:rPr>
              <w:t>Treatment criteria:</w:t>
            </w:r>
          </w:p>
          <w:p w14:paraId="5A1842AE" w14:textId="77777777" w:rsidR="00773AB8" w:rsidRPr="00772CAB" w:rsidRDefault="00773AB8" w:rsidP="00D3047D">
            <w:pPr>
              <w:jc w:val="both"/>
              <w:rPr>
                <w:rFonts w:ascii="Arial Narrow" w:hAnsi="Arial Narrow" w:cs="Arial"/>
                <w:b/>
                <w:sz w:val="20"/>
                <w:szCs w:val="20"/>
              </w:rPr>
            </w:pP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6FC2E22D"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Must be treated by a neurologist; OR</w:t>
            </w:r>
          </w:p>
          <w:p w14:paraId="226BD7CE"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Must be treated by an orthopaedic surgeon; OR</w:t>
            </w:r>
          </w:p>
          <w:p w14:paraId="1E42AC44"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Must be treated by a rehabilitation specialist; OR</w:t>
            </w:r>
          </w:p>
          <w:p w14:paraId="7ED7698B"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Must be treated by a plastic surgeon; OR</w:t>
            </w:r>
          </w:p>
          <w:p w14:paraId="28F8E638"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Must be treated by a geriatrician.</w:t>
            </w:r>
          </w:p>
        </w:tc>
      </w:tr>
      <w:tr w:rsidR="00773AB8" w:rsidRPr="00772CAB" w14:paraId="5FE682D7" w14:textId="77777777" w:rsidTr="009E4AF4">
        <w:trPr>
          <w:cantSplit/>
          <w:trHeight w:val="185"/>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1DB615B8"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Prescriber Instructions</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6D6BE96A" w14:textId="77777777" w:rsidR="00773AB8" w:rsidRPr="00772CAB" w:rsidRDefault="00773AB8" w:rsidP="00D3047D">
            <w:pPr>
              <w:autoSpaceDE w:val="0"/>
              <w:autoSpaceDN w:val="0"/>
              <w:adjustRightInd w:val="0"/>
              <w:rPr>
                <w:rFonts w:ascii="Arial Narrow" w:hAnsi="Arial Narrow"/>
                <w:sz w:val="20"/>
                <w:szCs w:val="20"/>
              </w:rPr>
            </w:pPr>
            <w:r w:rsidRPr="00772CAB">
              <w:rPr>
                <w:rFonts w:ascii="Arial Narrow" w:hAnsi="Arial Narrow"/>
                <w:sz w:val="20"/>
                <w:szCs w:val="20"/>
              </w:rPr>
              <w:t>Standard management includes physiotherapy and/or oral spasticity agents.</w:t>
            </w:r>
          </w:p>
        </w:tc>
      </w:tr>
      <w:tr w:rsidR="00773AB8" w:rsidRPr="00772CAB" w14:paraId="5F56AEDF" w14:textId="77777777" w:rsidTr="00772CAB">
        <w:trPr>
          <w:cantSplit/>
          <w:trHeight w:val="360"/>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29364B59"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Administrative Advice:</w:t>
            </w:r>
          </w:p>
          <w:p w14:paraId="22F5559F" w14:textId="77777777" w:rsidR="00773AB8" w:rsidRPr="00772CAB" w:rsidRDefault="00773AB8" w:rsidP="00D3047D">
            <w:pPr>
              <w:jc w:val="both"/>
              <w:rPr>
                <w:rFonts w:ascii="Arial Narrow" w:hAnsi="Arial Narrow" w:cs="Arial"/>
                <w:sz w:val="20"/>
                <w:szCs w:val="20"/>
              </w:rPr>
            </w:pP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38E288C2"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The units used to express the potency of botulinum toxin preparations currently available for PBS subsidy are not equivalent.</w:t>
            </w:r>
          </w:p>
          <w:p w14:paraId="65A545B4" w14:textId="77777777" w:rsidR="00773AB8" w:rsidRPr="00772CAB" w:rsidRDefault="00773AB8" w:rsidP="00D3047D">
            <w:pPr>
              <w:rPr>
                <w:rFonts w:ascii="Arial Narrow" w:hAnsi="Arial Narrow" w:cs="Arial"/>
                <w:sz w:val="20"/>
                <w:szCs w:val="20"/>
              </w:rPr>
            </w:pPr>
          </w:p>
          <w:p w14:paraId="106FF252" w14:textId="48C3816C"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An acute event may be a clinical or external event that leads to upper motor neuron lesions resulting in spasticity for example stroke, traumatic brain injury, spinal cord injury, infection or hypoxia.</w:t>
            </w:r>
          </w:p>
          <w:p w14:paraId="31AFE4CB" w14:textId="77777777" w:rsidR="00773AB8" w:rsidRPr="00772CAB" w:rsidRDefault="00773AB8" w:rsidP="00D3047D">
            <w:pPr>
              <w:rPr>
                <w:rFonts w:ascii="Arial Narrow" w:hAnsi="Arial Narrow" w:cs="Arial"/>
                <w:sz w:val="20"/>
                <w:szCs w:val="20"/>
              </w:rPr>
            </w:pPr>
          </w:p>
          <w:p w14:paraId="43E911A5"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Special Pricing Arrangements apply.</w:t>
            </w:r>
          </w:p>
        </w:tc>
      </w:tr>
      <w:tr w:rsidR="00773AB8" w:rsidRPr="00772CAB" w14:paraId="2A145F0C" w14:textId="77777777" w:rsidTr="00772CAB">
        <w:trPr>
          <w:cantSplit/>
          <w:trHeight w:val="56"/>
        </w:trPr>
        <w:tc>
          <w:tcPr>
            <w:tcW w:w="1848" w:type="dxa"/>
            <w:tcBorders>
              <w:top w:val="single" w:sz="4" w:space="0" w:color="auto"/>
              <w:left w:val="single" w:sz="4" w:space="0" w:color="auto"/>
              <w:bottom w:val="single" w:sz="4" w:space="0" w:color="auto"/>
              <w:right w:val="single" w:sz="4" w:space="0" w:color="auto"/>
            </w:tcBorders>
            <w:tcMar>
              <w:left w:w="28" w:type="dxa"/>
              <w:right w:w="28" w:type="dxa"/>
            </w:tcMar>
          </w:tcPr>
          <w:p w14:paraId="1B7F893D" w14:textId="77777777" w:rsidR="00773AB8" w:rsidRPr="00772CAB" w:rsidRDefault="00773AB8" w:rsidP="00D3047D">
            <w:pPr>
              <w:jc w:val="both"/>
              <w:rPr>
                <w:rFonts w:ascii="Arial Narrow" w:hAnsi="Arial Narrow" w:cs="Arial"/>
                <w:b/>
                <w:sz w:val="20"/>
                <w:szCs w:val="20"/>
              </w:rPr>
            </w:pPr>
            <w:r w:rsidRPr="00772CAB">
              <w:rPr>
                <w:rFonts w:ascii="Arial Narrow" w:hAnsi="Arial Narrow" w:cs="Arial"/>
                <w:b/>
                <w:sz w:val="20"/>
                <w:szCs w:val="20"/>
              </w:rPr>
              <w:t>Cautions:</w:t>
            </w:r>
          </w:p>
        </w:tc>
        <w:tc>
          <w:tcPr>
            <w:tcW w:w="7479" w:type="dxa"/>
            <w:tcBorders>
              <w:top w:val="single" w:sz="4" w:space="0" w:color="auto"/>
              <w:left w:val="single" w:sz="4" w:space="0" w:color="auto"/>
              <w:bottom w:val="single" w:sz="4" w:space="0" w:color="auto"/>
              <w:right w:val="single" w:sz="4" w:space="0" w:color="auto"/>
            </w:tcBorders>
            <w:tcMar>
              <w:left w:w="28" w:type="dxa"/>
              <w:right w:w="28" w:type="dxa"/>
            </w:tcMar>
          </w:tcPr>
          <w:p w14:paraId="06C0B60A" w14:textId="77777777" w:rsidR="00773AB8" w:rsidRPr="00772CAB" w:rsidRDefault="00773AB8" w:rsidP="00D3047D">
            <w:pPr>
              <w:rPr>
                <w:rFonts w:ascii="Arial Narrow" w:hAnsi="Arial Narrow" w:cs="Arial"/>
                <w:sz w:val="20"/>
                <w:szCs w:val="20"/>
              </w:rPr>
            </w:pPr>
            <w:r w:rsidRPr="00772CAB">
              <w:rPr>
                <w:rFonts w:ascii="Arial Narrow" w:hAnsi="Arial Narrow" w:cs="Arial"/>
                <w:sz w:val="20"/>
                <w:szCs w:val="20"/>
              </w:rPr>
              <w:t>Contraindications to treatment include known sensitivity to botulinum toxin.</w:t>
            </w:r>
          </w:p>
        </w:tc>
      </w:tr>
    </w:tbl>
    <w:p w14:paraId="693937D1" w14:textId="77777777" w:rsidR="00773AB8" w:rsidRDefault="00773AB8" w:rsidP="00C81663">
      <w:pPr>
        <w:widowControl w:val="0"/>
        <w:ind w:firstLine="720"/>
        <w:jc w:val="both"/>
        <w:rPr>
          <w:rFonts w:asciiTheme="minorHAnsi" w:hAnsiTheme="minorHAnsi" w:cs="Arial"/>
          <w:bCs/>
          <w:snapToGrid w:val="0"/>
        </w:rPr>
      </w:pPr>
    </w:p>
    <w:p w14:paraId="6A015D14" w14:textId="77777777" w:rsidR="002F4599" w:rsidRPr="00162151" w:rsidRDefault="002F4599" w:rsidP="002F4599">
      <w:pPr>
        <w:rPr>
          <w:rFonts w:asciiTheme="minorHAnsi" w:hAnsiTheme="minorHAnsi" w:cstheme="minorHAnsi"/>
          <w:color w:val="1F497D"/>
          <w:sz w:val="22"/>
        </w:rPr>
      </w:pPr>
      <w:r w:rsidRPr="00162151">
        <w:rPr>
          <w:rFonts w:asciiTheme="minorHAnsi" w:hAnsiTheme="minorHAnsi" w:cstheme="minorHAnsi"/>
          <w:bCs/>
          <w:i/>
          <w:iCs/>
        </w:rPr>
        <w:t>These restrictions may be subject to further review. Should there be any changes made to the restrictions the Sponsor will be informed.</w:t>
      </w:r>
    </w:p>
    <w:p w14:paraId="6FA0A870" w14:textId="77777777" w:rsidR="00C81663" w:rsidRDefault="00C81663" w:rsidP="00C81663">
      <w:pPr>
        <w:widowControl w:val="0"/>
        <w:jc w:val="both"/>
        <w:rPr>
          <w:rFonts w:asciiTheme="minorHAnsi" w:hAnsiTheme="minorHAnsi" w:cs="Arial"/>
          <w:bCs/>
          <w:snapToGrid w:val="0"/>
        </w:rPr>
      </w:pPr>
    </w:p>
    <w:p w14:paraId="1A63D5A8" w14:textId="77777777" w:rsidR="00C210EE" w:rsidRDefault="00C210EE" w:rsidP="00C210EE">
      <w:pPr>
        <w:pStyle w:val="2Sections"/>
        <w:numPr>
          <w:ilvl w:val="0"/>
          <w:numId w:val="1"/>
        </w:numPr>
        <w:rPr>
          <w:rFonts w:cstheme="minorHAnsi"/>
        </w:rPr>
      </w:pPr>
      <w:r>
        <w:t xml:space="preserve">Context for Decision </w:t>
      </w:r>
    </w:p>
    <w:p w14:paraId="735AB521" w14:textId="3F23ED5D" w:rsidR="00C210EE" w:rsidRPr="001975DF" w:rsidRDefault="001975DF" w:rsidP="001975DF">
      <w:pPr>
        <w:jc w:val="both"/>
        <w:rPr>
          <w:rFonts w:asciiTheme="minorHAnsi" w:hAnsiTheme="minorHAnsi" w:cs="Arial"/>
        </w:rPr>
      </w:pPr>
      <w:r w:rsidRPr="001975DF">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049FCDF" w14:textId="343ED586" w:rsidR="00C210EE" w:rsidRPr="00300635" w:rsidRDefault="00C210EE" w:rsidP="00300635">
      <w:pPr>
        <w:pStyle w:val="2Sections"/>
        <w:numPr>
          <w:ilvl w:val="0"/>
          <w:numId w:val="1"/>
        </w:numPr>
      </w:pPr>
      <w:r w:rsidRPr="00D53BD3">
        <w:lastRenderedPageBreak/>
        <w:t>Sponsor’s Comment</w:t>
      </w:r>
    </w:p>
    <w:p w14:paraId="1D5D8A88" w14:textId="0505A33A" w:rsidR="00BA347C" w:rsidRPr="00300635" w:rsidRDefault="00C210EE" w:rsidP="00300635">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BA347C" w:rsidRPr="00300635"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C210EE" w:rsidRDefault="00C210EE">
      <w:r>
        <w:separator/>
      </w:r>
    </w:p>
    <w:p w14:paraId="038E238C" w14:textId="77777777" w:rsidR="00C210EE" w:rsidRDefault="00C210EE"/>
  </w:endnote>
  <w:endnote w:type="continuationSeparator" w:id="0">
    <w:p w14:paraId="4AA3880E" w14:textId="77777777" w:rsidR="00C210EE" w:rsidRDefault="00C210EE">
      <w:r>
        <w:continuationSeparator/>
      </w:r>
    </w:p>
    <w:p w14:paraId="7EA76869" w14:textId="77777777" w:rsidR="00C210EE" w:rsidRDefault="00C21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10EE" w14:paraId="7AE7B59D" w14:textId="77777777" w:rsidTr="005A3173">
      <w:trPr>
        <w:trHeight w:val="151"/>
      </w:trPr>
      <w:tc>
        <w:tcPr>
          <w:tcW w:w="2250" w:type="pct"/>
          <w:tcBorders>
            <w:top w:val="nil"/>
            <w:left w:val="nil"/>
            <w:bottom w:val="single" w:sz="4" w:space="0" w:color="4F81BD"/>
            <w:right w:val="nil"/>
          </w:tcBorders>
        </w:tcPr>
        <w:p w14:paraId="67C1D142" w14:textId="77777777" w:rsidR="00C210EE" w:rsidRPr="005A3173" w:rsidRDefault="00C210E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185B349" w14:textId="77777777" w:rsidR="00C210EE" w:rsidRPr="005A3173" w:rsidRDefault="00C210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C210EE" w:rsidRPr="005A3173" w:rsidRDefault="00C210EE" w:rsidP="005A3173">
          <w:pPr>
            <w:pStyle w:val="Header"/>
            <w:spacing w:line="276" w:lineRule="auto"/>
            <w:rPr>
              <w:rFonts w:ascii="Calibri" w:eastAsia="MS Gothic" w:hAnsi="Calibri"/>
              <w:b/>
              <w:bCs/>
              <w:color w:val="4F81BD"/>
            </w:rPr>
          </w:pPr>
        </w:p>
      </w:tc>
    </w:tr>
    <w:tr w:rsidR="00C210EE" w14:paraId="09AEC201" w14:textId="77777777" w:rsidTr="005A3173">
      <w:trPr>
        <w:trHeight w:val="150"/>
      </w:trPr>
      <w:tc>
        <w:tcPr>
          <w:tcW w:w="2250" w:type="pct"/>
          <w:tcBorders>
            <w:top w:val="single" w:sz="4" w:space="0" w:color="4F81BD"/>
            <w:left w:val="nil"/>
            <w:bottom w:val="nil"/>
            <w:right w:val="nil"/>
          </w:tcBorders>
        </w:tcPr>
        <w:p w14:paraId="262F4099" w14:textId="77777777" w:rsidR="00C210EE" w:rsidRPr="005A3173" w:rsidRDefault="00C210EE" w:rsidP="005A3173">
          <w:pPr>
            <w:pStyle w:val="Header"/>
            <w:spacing w:line="276" w:lineRule="auto"/>
            <w:rPr>
              <w:rFonts w:ascii="Calibri" w:eastAsia="MS Gothic" w:hAnsi="Calibri"/>
              <w:b/>
              <w:bCs/>
              <w:color w:val="4F81BD"/>
            </w:rPr>
          </w:pPr>
        </w:p>
      </w:tc>
      <w:tc>
        <w:tcPr>
          <w:tcW w:w="0" w:type="auto"/>
          <w:vMerge/>
          <w:vAlign w:val="center"/>
          <w:hideMark/>
        </w:tcPr>
        <w:p w14:paraId="7DCDEB18" w14:textId="77777777" w:rsidR="00C210EE" w:rsidRPr="005A3173" w:rsidRDefault="00C210E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5FC0FCCA" w14:textId="77777777" w:rsidR="00C210EE" w:rsidRPr="005A3173" w:rsidRDefault="00C210EE" w:rsidP="005A3173">
          <w:pPr>
            <w:pStyle w:val="Header"/>
            <w:spacing w:line="276" w:lineRule="auto"/>
            <w:rPr>
              <w:rFonts w:ascii="Calibri" w:eastAsia="MS Gothic" w:hAnsi="Calibri"/>
              <w:b/>
              <w:bCs/>
              <w:color w:val="4F81BD"/>
            </w:rPr>
          </w:pPr>
        </w:p>
      </w:tc>
    </w:tr>
  </w:tbl>
  <w:p w14:paraId="10555411" w14:textId="77777777" w:rsidR="00C210EE" w:rsidRDefault="00C210E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C210EE" w:rsidRDefault="00C210EE">
    <w:pPr>
      <w:pStyle w:val="Footer"/>
    </w:pPr>
  </w:p>
  <w:p w14:paraId="32F5595B" w14:textId="77777777" w:rsidR="00C210EE" w:rsidRDefault="00C210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A3A9" w14:textId="77777777" w:rsidR="00C210EE" w:rsidRDefault="00C210EE">
    <w:pPr>
      <w:pStyle w:val="Footer"/>
      <w:jc w:val="center"/>
    </w:pPr>
  </w:p>
  <w:p w14:paraId="1CCD0E67" w14:textId="66C056DC" w:rsidR="00C210EE" w:rsidRPr="00C81663" w:rsidRDefault="00753600">
    <w:pPr>
      <w:pStyle w:val="Footer"/>
      <w:jc w:val="center"/>
      <w:rPr>
        <w:rFonts w:asciiTheme="minorHAnsi" w:hAnsiTheme="minorHAnsi" w:cstheme="minorHAnsi"/>
        <w:b/>
      </w:rPr>
    </w:pPr>
    <w:sdt>
      <w:sdtPr>
        <w:id w:val="493312090"/>
        <w:docPartObj>
          <w:docPartGallery w:val="Page Numbers (Bottom of Page)"/>
          <w:docPartUnique/>
        </w:docPartObj>
      </w:sdtPr>
      <w:sdtEndPr>
        <w:rPr>
          <w:rFonts w:asciiTheme="minorHAnsi" w:hAnsiTheme="minorHAnsi" w:cstheme="minorHAnsi"/>
          <w:b/>
          <w:noProof/>
        </w:rPr>
      </w:sdtEndPr>
      <w:sdtContent>
        <w:r w:rsidR="00C210EE" w:rsidRPr="00C81663">
          <w:rPr>
            <w:rFonts w:asciiTheme="minorHAnsi" w:hAnsiTheme="minorHAnsi" w:cstheme="minorHAnsi"/>
            <w:b/>
          </w:rPr>
          <w:fldChar w:fldCharType="begin"/>
        </w:r>
        <w:r w:rsidR="00C210EE" w:rsidRPr="00C81663">
          <w:rPr>
            <w:rFonts w:asciiTheme="minorHAnsi" w:hAnsiTheme="minorHAnsi" w:cstheme="minorHAnsi"/>
            <w:b/>
          </w:rPr>
          <w:instrText xml:space="preserve"> PAGE   \* MERGEFORMAT </w:instrText>
        </w:r>
        <w:r w:rsidR="00C210EE" w:rsidRPr="00C81663">
          <w:rPr>
            <w:rFonts w:asciiTheme="minorHAnsi" w:hAnsiTheme="minorHAnsi" w:cstheme="minorHAnsi"/>
            <w:b/>
          </w:rPr>
          <w:fldChar w:fldCharType="separate"/>
        </w:r>
        <w:r>
          <w:rPr>
            <w:rFonts w:asciiTheme="minorHAnsi" w:hAnsiTheme="minorHAnsi" w:cstheme="minorHAnsi"/>
            <w:b/>
            <w:noProof/>
          </w:rPr>
          <w:t>15</w:t>
        </w:r>
        <w:r w:rsidR="00C210EE" w:rsidRPr="00C81663">
          <w:rPr>
            <w:rFonts w:asciiTheme="minorHAnsi" w:hAnsiTheme="minorHAnsi" w:cstheme="minorHAnsi"/>
            <w:b/>
            <w:noProof/>
          </w:rPr>
          <w:fldChar w:fldCharType="end"/>
        </w:r>
      </w:sdtContent>
    </w:sdt>
  </w:p>
  <w:p w14:paraId="12413FC5" w14:textId="40DDECAA" w:rsidR="00C210EE" w:rsidRPr="000F3384" w:rsidRDefault="00C210EE"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C210EE" w14:paraId="031AA569" w14:textId="77777777" w:rsidTr="005A3173">
      <w:trPr>
        <w:trHeight w:val="151"/>
      </w:trPr>
      <w:tc>
        <w:tcPr>
          <w:tcW w:w="2250" w:type="pct"/>
          <w:tcBorders>
            <w:top w:val="nil"/>
            <w:left w:val="nil"/>
            <w:bottom w:val="single" w:sz="4" w:space="0" w:color="4F81BD"/>
            <w:right w:val="nil"/>
          </w:tcBorders>
        </w:tcPr>
        <w:p w14:paraId="41814DAF" w14:textId="77777777" w:rsidR="00C210EE" w:rsidRPr="005A3173" w:rsidRDefault="00C210E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88E01ED" w14:textId="77777777" w:rsidR="00C210EE" w:rsidRPr="005A3173" w:rsidRDefault="00C210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C210EE" w:rsidRPr="005A3173" w:rsidRDefault="00C210EE" w:rsidP="005A3173">
          <w:pPr>
            <w:pStyle w:val="Header"/>
            <w:spacing w:line="276" w:lineRule="auto"/>
            <w:rPr>
              <w:rFonts w:ascii="Calibri" w:eastAsia="MS Gothic" w:hAnsi="Calibri"/>
              <w:b/>
              <w:bCs/>
              <w:color w:val="4F81BD"/>
            </w:rPr>
          </w:pPr>
        </w:p>
      </w:tc>
    </w:tr>
    <w:tr w:rsidR="00C210EE" w14:paraId="1AF3C146" w14:textId="77777777" w:rsidTr="005A3173">
      <w:trPr>
        <w:trHeight w:val="150"/>
      </w:trPr>
      <w:tc>
        <w:tcPr>
          <w:tcW w:w="2250" w:type="pct"/>
          <w:tcBorders>
            <w:top w:val="single" w:sz="4" w:space="0" w:color="4F81BD"/>
            <w:left w:val="nil"/>
            <w:bottom w:val="nil"/>
            <w:right w:val="nil"/>
          </w:tcBorders>
        </w:tcPr>
        <w:p w14:paraId="30486D49" w14:textId="77777777" w:rsidR="00C210EE" w:rsidRPr="005A3173" w:rsidRDefault="00C210EE" w:rsidP="005A3173">
          <w:pPr>
            <w:pStyle w:val="Header"/>
            <w:spacing w:line="276" w:lineRule="auto"/>
            <w:rPr>
              <w:rFonts w:ascii="Calibri" w:eastAsia="MS Gothic" w:hAnsi="Calibri"/>
              <w:b/>
              <w:bCs/>
              <w:color w:val="4F81BD"/>
            </w:rPr>
          </w:pPr>
        </w:p>
      </w:tc>
      <w:tc>
        <w:tcPr>
          <w:tcW w:w="0" w:type="auto"/>
          <w:vMerge/>
          <w:vAlign w:val="center"/>
          <w:hideMark/>
        </w:tcPr>
        <w:p w14:paraId="65954F94" w14:textId="77777777" w:rsidR="00C210EE" w:rsidRPr="005A3173" w:rsidRDefault="00C210E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2C1ACB3E" w14:textId="77777777" w:rsidR="00C210EE" w:rsidRPr="005A3173" w:rsidRDefault="00C210E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10EE" w14:paraId="4C2C8FBC" w14:textId="77777777" w:rsidTr="005A3173">
      <w:trPr>
        <w:trHeight w:val="151"/>
      </w:trPr>
      <w:tc>
        <w:tcPr>
          <w:tcW w:w="2250" w:type="pct"/>
          <w:tcBorders>
            <w:top w:val="nil"/>
            <w:left w:val="nil"/>
            <w:bottom w:val="single" w:sz="4" w:space="0" w:color="4F81BD"/>
            <w:right w:val="nil"/>
          </w:tcBorders>
        </w:tcPr>
        <w:p w14:paraId="144A534E" w14:textId="77777777" w:rsidR="00C210EE" w:rsidRPr="005A3173" w:rsidRDefault="00C210E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26A85A5" w14:textId="77777777" w:rsidR="00C210EE" w:rsidRPr="005A3173" w:rsidRDefault="00C210E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C210EE" w:rsidRPr="005A3173" w:rsidRDefault="00C210EE" w:rsidP="005A3173">
          <w:pPr>
            <w:pStyle w:val="Header"/>
            <w:spacing w:line="276" w:lineRule="auto"/>
            <w:rPr>
              <w:rFonts w:ascii="Calibri" w:eastAsia="MS Gothic" w:hAnsi="Calibri"/>
              <w:b/>
              <w:bCs/>
              <w:color w:val="4F81BD"/>
            </w:rPr>
          </w:pPr>
        </w:p>
      </w:tc>
    </w:tr>
    <w:tr w:rsidR="00C210EE" w14:paraId="1EFFFA27" w14:textId="77777777" w:rsidTr="005A3173">
      <w:trPr>
        <w:trHeight w:val="150"/>
      </w:trPr>
      <w:tc>
        <w:tcPr>
          <w:tcW w:w="2250" w:type="pct"/>
          <w:tcBorders>
            <w:top w:val="single" w:sz="4" w:space="0" w:color="4F81BD"/>
            <w:left w:val="nil"/>
            <w:bottom w:val="nil"/>
            <w:right w:val="nil"/>
          </w:tcBorders>
        </w:tcPr>
        <w:p w14:paraId="6492EAAC" w14:textId="77777777" w:rsidR="00C210EE" w:rsidRPr="005A3173" w:rsidRDefault="00C210EE" w:rsidP="005A3173">
          <w:pPr>
            <w:pStyle w:val="Header"/>
            <w:spacing w:line="276" w:lineRule="auto"/>
            <w:rPr>
              <w:rFonts w:ascii="Calibri" w:eastAsia="MS Gothic" w:hAnsi="Calibri"/>
              <w:b/>
              <w:bCs/>
              <w:color w:val="4F81BD"/>
            </w:rPr>
          </w:pPr>
        </w:p>
      </w:tc>
      <w:tc>
        <w:tcPr>
          <w:tcW w:w="0" w:type="auto"/>
          <w:vMerge/>
          <w:vAlign w:val="center"/>
          <w:hideMark/>
        </w:tcPr>
        <w:p w14:paraId="7341BE58" w14:textId="77777777" w:rsidR="00C210EE" w:rsidRPr="005A3173" w:rsidRDefault="00C210E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C302B75" w14:textId="77777777" w:rsidR="00C210EE" w:rsidRPr="005A3173" w:rsidRDefault="00C210EE" w:rsidP="005A3173">
          <w:pPr>
            <w:pStyle w:val="Header"/>
            <w:spacing w:line="276" w:lineRule="auto"/>
            <w:rPr>
              <w:rFonts w:ascii="Calibri" w:eastAsia="MS Gothic" w:hAnsi="Calibri"/>
              <w:b/>
              <w:bCs/>
              <w:color w:val="4F81BD"/>
            </w:rPr>
          </w:pPr>
        </w:p>
      </w:tc>
    </w:tr>
  </w:tbl>
  <w:p w14:paraId="5D2C6B0E" w14:textId="77777777" w:rsidR="00C210EE" w:rsidRPr="007C0F57" w:rsidRDefault="00C210E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C210EE" w:rsidRPr="007C0F57" w:rsidRDefault="00C210EE" w:rsidP="007C0F57">
    <w:pPr>
      <w:pStyle w:val="Footer"/>
      <w:jc w:val="center"/>
      <w:rPr>
        <w:b/>
        <w:i/>
        <w:sz w:val="20"/>
        <w:szCs w:val="20"/>
      </w:rPr>
    </w:pPr>
    <w:r w:rsidRPr="007C0F57">
      <w:rPr>
        <w:b/>
        <w:i/>
        <w:sz w:val="20"/>
        <w:szCs w:val="20"/>
      </w:rPr>
      <w:t>Commercial-in-Confidence</w:t>
    </w:r>
  </w:p>
  <w:p w14:paraId="7123EEDA" w14:textId="77777777" w:rsidR="00C210EE" w:rsidRDefault="00C210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C210EE" w:rsidRDefault="00C210EE">
      <w:r>
        <w:separator/>
      </w:r>
    </w:p>
    <w:p w14:paraId="1F7BFAE1" w14:textId="77777777" w:rsidR="00C210EE" w:rsidRDefault="00C210EE"/>
  </w:footnote>
  <w:footnote w:type="continuationSeparator" w:id="0">
    <w:p w14:paraId="254A1251" w14:textId="77777777" w:rsidR="00C210EE" w:rsidRDefault="00C210EE">
      <w:r>
        <w:continuationSeparator/>
      </w:r>
    </w:p>
    <w:p w14:paraId="25AD7CC7" w14:textId="77777777" w:rsidR="00C210EE" w:rsidRDefault="00C210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210EE"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C210EE" w:rsidRPr="00A06225" w:rsidRDefault="00C210EE">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C210EE" w:rsidRPr="00A06225" w:rsidRDefault="00C210E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C210EE" w:rsidRPr="00A06225" w:rsidRDefault="00C210EE">
          <w:pPr>
            <w:pStyle w:val="Header"/>
            <w:spacing w:line="276" w:lineRule="auto"/>
            <w:rPr>
              <w:rFonts w:ascii="Cambria" w:eastAsia="MS Gothic" w:hAnsi="Cambria"/>
              <w:b/>
              <w:bCs/>
              <w:color w:val="4F81BD"/>
            </w:rPr>
          </w:pPr>
        </w:p>
      </w:tc>
    </w:tr>
    <w:tr w:rsidR="00C210EE"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C210EE" w:rsidRPr="00A06225" w:rsidRDefault="00C210EE">
          <w:pPr>
            <w:pStyle w:val="Header"/>
            <w:spacing w:line="276" w:lineRule="auto"/>
            <w:rPr>
              <w:rFonts w:ascii="Cambria" w:eastAsia="MS Gothic" w:hAnsi="Cambria"/>
              <w:b/>
              <w:bCs/>
              <w:color w:val="4F81BD"/>
            </w:rPr>
          </w:pPr>
        </w:p>
      </w:tc>
      <w:tc>
        <w:tcPr>
          <w:tcW w:w="0" w:type="auto"/>
          <w:vMerge/>
          <w:vAlign w:val="center"/>
          <w:hideMark/>
        </w:tcPr>
        <w:p w14:paraId="093C6CD8" w14:textId="77777777" w:rsidR="00C210EE" w:rsidRPr="00A06225" w:rsidRDefault="00C210EE">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C210EE" w:rsidRPr="00A06225" w:rsidRDefault="00C210EE">
          <w:pPr>
            <w:pStyle w:val="Header"/>
            <w:spacing w:line="276" w:lineRule="auto"/>
            <w:rPr>
              <w:rFonts w:ascii="Cambria" w:eastAsia="MS Gothic" w:hAnsi="Cambria"/>
              <w:b/>
              <w:bCs/>
              <w:color w:val="4F81BD"/>
            </w:rPr>
          </w:pPr>
        </w:p>
      </w:tc>
    </w:tr>
  </w:tbl>
  <w:p w14:paraId="359FF7DA" w14:textId="77777777" w:rsidR="00C210EE" w:rsidRDefault="00C210EE">
    <w:pPr>
      <w:pStyle w:val="Header"/>
    </w:pPr>
  </w:p>
  <w:p w14:paraId="54F42DAD" w14:textId="77777777" w:rsidR="00C210EE" w:rsidRDefault="00C210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155A" w14:textId="3D4810BC" w:rsidR="00C210EE" w:rsidRPr="00DF2235" w:rsidRDefault="00C210EE" w:rsidP="00C81663">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Pr="00DF2235">
      <w:rPr>
        <w:rFonts w:asciiTheme="minorHAnsi" w:hAnsiTheme="minorHAnsi" w:cstheme="minorHAnsi"/>
        <w:i/>
        <w:sz w:val="24"/>
        <w:szCs w:val="24"/>
      </w:rPr>
      <w:t xml:space="preserve"> – November 2019 PBAC Meeting</w:t>
    </w:r>
  </w:p>
  <w:p w14:paraId="66840D29" w14:textId="77777777" w:rsidR="00C210EE" w:rsidRPr="00C81663" w:rsidRDefault="00C210EE" w:rsidP="00C81663">
    <w:pPr>
      <w:pStyle w:val="NoSpacing"/>
      <w:jc w:val="center"/>
      <w:rPr>
        <w:rFonts w:asciiTheme="minorHAnsi" w:hAnsiTheme="minorHAnsi" w:cstheme="minorHAnsi"/>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74834"/>
    <w:multiLevelType w:val="multilevel"/>
    <w:tmpl w:val="92509B62"/>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AA487E"/>
    <w:multiLevelType w:val="multilevel"/>
    <w:tmpl w:val="92509B62"/>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BA5A73"/>
    <w:multiLevelType w:val="multilevel"/>
    <w:tmpl w:val="92509B62"/>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9A25F4"/>
    <w:multiLevelType w:val="multilevel"/>
    <w:tmpl w:val="2124B9A2"/>
    <w:styleLink w:val="SectionBii"/>
    <w:lvl w:ilvl="0">
      <w:start w:val="2"/>
      <w:numFmt w:val="upperLetter"/>
      <w:lvlText w:val="%1(ii)."/>
      <w:lvlJc w:val="left"/>
      <w:pPr>
        <w:ind w:left="1077" w:hanging="1077"/>
      </w:pPr>
      <w:rPr>
        <w:rFonts w:ascii="Arial" w:hAnsi="Arial" w:hint="default"/>
        <w:b/>
        <w:sz w:val="22"/>
      </w:rPr>
    </w:lvl>
    <w:lvl w:ilvl="1">
      <w:start w:val="1"/>
      <w:numFmt w:val="decimal"/>
      <w:lvlText w:val="%1(ii).%2."/>
      <w:lvlJc w:val="left"/>
      <w:pPr>
        <w:ind w:left="1474" w:hanging="1474"/>
      </w:pPr>
      <w:rPr>
        <w:rFonts w:ascii="Arial" w:hAnsi="Arial" w:hint="default"/>
        <w:b/>
        <w:sz w:val="22"/>
      </w:rPr>
    </w:lvl>
    <w:lvl w:ilvl="2">
      <w:start w:val="1"/>
      <w:numFmt w:val="decimal"/>
      <w:lvlText w:val="%1(ii).%2.%3."/>
      <w:lvlJc w:val="left"/>
      <w:pPr>
        <w:ind w:left="1871" w:hanging="1871"/>
      </w:pPr>
      <w:rPr>
        <w:rFonts w:ascii="Arial" w:hAnsi="Arial" w:hint="default"/>
        <w:b/>
        <w:sz w:val="22"/>
      </w:rPr>
    </w:lvl>
    <w:lvl w:ilvl="3">
      <w:start w:val="1"/>
      <w:numFmt w:val="decimal"/>
      <w:lvlText w:val="%1(ii).%2.%3.%4."/>
      <w:lvlJc w:val="left"/>
      <w:pPr>
        <w:ind w:left="2268" w:hanging="2268"/>
      </w:pPr>
      <w:rPr>
        <w:rFonts w:ascii="Arial" w:hAnsi="Arial" w:hint="default"/>
        <w:b/>
        <w:sz w:val="22"/>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0724181"/>
    <w:multiLevelType w:val="multilevel"/>
    <w:tmpl w:val="82EAE8F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574AF2"/>
    <w:multiLevelType w:val="hybridMultilevel"/>
    <w:tmpl w:val="2256A62A"/>
    <w:lvl w:ilvl="0" w:tplc="DC0694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B51C7B6E"/>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7"/>
  </w:num>
  <w:num w:numId="2">
    <w:abstractNumId w:val="0"/>
  </w:num>
  <w:num w:numId="3">
    <w:abstractNumId w:val="27"/>
  </w:num>
  <w:num w:numId="4">
    <w:abstractNumId w:val="21"/>
  </w:num>
  <w:num w:numId="5">
    <w:abstractNumId w:val="14"/>
  </w:num>
  <w:num w:numId="6">
    <w:abstractNumId w:val="17"/>
  </w:num>
  <w:num w:numId="7">
    <w:abstractNumId w:val="28"/>
  </w:num>
  <w:num w:numId="8">
    <w:abstractNumId w:val="24"/>
  </w:num>
  <w:num w:numId="9">
    <w:abstractNumId w:val="26"/>
  </w:num>
  <w:num w:numId="10">
    <w:abstractNumId w:val="16"/>
  </w:num>
  <w:num w:numId="11">
    <w:abstractNumId w:val="6"/>
  </w:num>
  <w:num w:numId="12">
    <w:abstractNumId w:val="25"/>
  </w:num>
  <w:num w:numId="13">
    <w:abstractNumId w:val="13"/>
    <w:lvlOverride w:ilvl="0">
      <w:startOverride w:val="1"/>
    </w:lvlOverride>
  </w:num>
  <w:num w:numId="14">
    <w:abstractNumId w:val="13"/>
  </w:num>
  <w:num w:numId="15">
    <w:abstractNumId w:val="13"/>
    <w:lvlOverride w:ilvl="0">
      <w:startOverride w:val="1"/>
    </w:lvlOverride>
  </w:num>
  <w:num w:numId="16">
    <w:abstractNumId w:val="15"/>
  </w:num>
  <w:num w:numId="17">
    <w:abstractNumId w:val="13"/>
    <w:lvlOverride w:ilvl="0">
      <w:startOverride w:val="4"/>
    </w:lvlOverride>
  </w:num>
  <w:num w:numId="18">
    <w:abstractNumId w:val="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3"/>
  </w:num>
  <w:num w:numId="22">
    <w:abstractNumId w:val="5"/>
  </w:num>
  <w:num w:numId="23">
    <w:abstractNumId w:val="20"/>
  </w:num>
  <w:num w:numId="24">
    <w:abstractNumId w:val="10"/>
  </w:num>
  <w:num w:numId="25">
    <w:abstractNumId w:val="12"/>
  </w:num>
  <w:num w:numId="26">
    <w:abstractNumId w:val="3"/>
  </w:num>
  <w:num w:numId="27">
    <w:abstractNumId w:val="18"/>
  </w:num>
  <w:num w:numId="28">
    <w:abstractNumId w:val="19"/>
  </w:num>
  <w:num w:numId="29">
    <w:abstractNumId w:val="4"/>
  </w:num>
  <w:num w:numId="30">
    <w:abstractNumId w:val="1"/>
  </w:num>
  <w:num w:numId="31">
    <w:abstractNumId w:val="8"/>
  </w:num>
  <w:num w:numId="32">
    <w:abstractNumId w:val="9"/>
  </w:num>
  <w:num w:numId="33">
    <w:abstractNumId w:val="7"/>
  </w:num>
  <w:num w:numId="3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6B2"/>
    <w:rsid w:val="00011A59"/>
    <w:rsid w:val="000125DC"/>
    <w:rsid w:val="000150F7"/>
    <w:rsid w:val="00016A41"/>
    <w:rsid w:val="000214D1"/>
    <w:rsid w:val="0002464A"/>
    <w:rsid w:val="0003106B"/>
    <w:rsid w:val="00034905"/>
    <w:rsid w:val="000421A1"/>
    <w:rsid w:val="0004240E"/>
    <w:rsid w:val="00045E26"/>
    <w:rsid w:val="000514B5"/>
    <w:rsid w:val="00060E64"/>
    <w:rsid w:val="0006212E"/>
    <w:rsid w:val="00066755"/>
    <w:rsid w:val="000763D5"/>
    <w:rsid w:val="00077143"/>
    <w:rsid w:val="00082169"/>
    <w:rsid w:val="00090EFB"/>
    <w:rsid w:val="000918CB"/>
    <w:rsid w:val="00091B06"/>
    <w:rsid w:val="000951C4"/>
    <w:rsid w:val="00095ADA"/>
    <w:rsid w:val="000969AD"/>
    <w:rsid w:val="000A3AA2"/>
    <w:rsid w:val="000A44B2"/>
    <w:rsid w:val="000B44C3"/>
    <w:rsid w:val="000B558D"/>
    <w:rsid w:val="000C5F95"/>
    <w:rsid w:val="000C6996"/>
    <w:rsid w:val="000D09E9"/>
    <w:rsid w:val="000D23BA"/>
    <w:rsid w:val="000E079D"/>
    <w:rsid w:val="000E681E"/>
    <w:rsid w:val="000F0003"/>
    <w:rsid w:val="000F2CE4"/>
    <w:rsid w:val="000F3384"/>
    <w:rsid w:val="000F4E6A"/>
    <w:rsid w:val="000F7354"/>
    <w:rsid w:val="00102202"/>
    <w:rsid w:val="00104227"/>
    <w:rsid w:val="001058FB"/>
    <w:rsid w:val="001107BF"/>
    <w:rsid w:val="00113649"/>
    <w:rsid w:val="0012417C"/>
    <w:rsid w:val="0012749D"/>
    <w:rsid w:val="00142395"/>
    <w:rsid w:val="00142714"/>
    <w:rsid w:val="001452ED"/>
    <w:rsid w:val="00147D84"/>
    <w:rsid w:val="001506A5"/>
    <w:rsid w:val="001549C1"/>
    <w:rsid w:val="00162151"/>
    <w:rsid w:val="00162D4E"/>
    <w:rsid w:val="00163329"/>
    <w:rsid w:val="00164623"/>
    <w:rsid w:val="001652DE"/>
    <w:rsid w:val="001659E2"/>
    <w:rsid w:val="00165B64"/>
    <w:rsid w:val="00167A46"/>
    <w:rsid w:val="00172BC1"/>
    <w:rsid w:val="00180713"/>
    <w:rsid w:val="001830CE"/>
    <w:rsid w:val="0018643B"/>
    <w:rsid w:val="00195DA7"/>
    <w:rsid w:val="00196307"/>
    <w:rsid w:val="001975DF"/>
    <w:rsid w:val="001A0C08"/>
    <w:rsid w:val="001A1C88"/>
    <w:rsid w:val="001A33EA"/>
    <w:rsid w:val="001A4C4F"/>
    <w:rsid w:val="001A76FB"/>
    <w:rsid w:val="001B017F"/>
    <w:rsid w:val="001B2BBC"/>
    <w:rsid w:val="001B3FFE"/>
    <w:rsid w:val="001B5129"/>
    <w:rsid w:val="001C0B4C"/>
    <w:rsid w:val="001C1195"/>
    <w:rsid w:val="001C1A2F"/>
    <w:rsid w:val="001C70AD"/>
    <w:rsid w:val="001D1F5F"/>
    <w:rsid w:val="001E06D2"/>
    <w:rsid w:val="001F0A4C"/>
    <w:rsid w:val="001F1850"/>
    <w:rsid w:val="001F1DD3"/>
    <w:rsid w:val="001F3189"/>
    <w:rsid w:val="00203FAC"/>
    <w:rsid w:val="0021041F"/>
    <w:rsid w:val="002106F2"/>
    <w:rsid w:val="00213CFB"/>
    <w:rsid w:val="0021553C"/>
    <w:rsid w:val="0021557B"/>
    <w:rsid w:val="00215C42"/>
    <w:rsid w:val="002174FD"/>
    <w:rsid w:val="00217862"/>
    <w:rsid w:val="00217BE1"/>
    <w:rsid w:val="00224005"/>
    <w:rsid w:val="00234252"/>
    <w:rsid w:val="00234BD7"/>
    <w:rsid w:val="00237AC6"/>
    <w:rsid w:val="00244490"/>
    <w:rsid w:val="00253499"/>
    <w:rsid w:val="002551A4"/>
    <w:rsid w:val="00257664"/>
    <w:rsid w:val="00262A98"/>
    <w:rsid w:val="00265151"/>
    <w:rsid w:val="00266509"/>
    <w:rsid w:val="00271BA1"/>
    <w:rsid w:val="002762FA"/>
    <w:rsid w:val="00277505"/>
    <w:rsid w:val="002823B6"/>
    <w:rsid w:val="00284CF1"/>
    <w:rsid w:val="00294274"/>
    <w:rsid w:val="0029458F"/>
    <w:rsid w:val="002A0E04"/>
    <w:rsid w:val="002A104C"/>
    <w:rsid w:val="002A494D"/>
    <w:rsid w:val="002A4960"/>
    <w:rsid w:val="002A5190"/>
    <w:rsid w:val="002B0AE0"/>
    <w:rsid w:val="002B1AE6"/>
    <w:rsid w:val="002B1D51"/>
    <w:rsid w:val="002B2DE8"/>
    <w:rsid w:val="002B30F8"/>
    <w:rsid w:val="002B388A"/>
    <w:rsid w:val="002B5596"/>
    <w:rsid w:val="002B7A5B"/>
    <w:rsid w:val="002C06D4"/>
    <w:rsid w:val="002C212F"/>
    <w:rsid w:val="002C6925"/>
    <w:rsid w:val="002C7485"/>
    <w:rsid w:val="002C7E38"/>
    <w:rsid w:val="002D283A"/>
    <w:rsid w:val="002D4543"/>
    <w:rsid w:val="002E0E1C"/>
    <w:rsid w:val="002E3153"/>
    <w:rsid w:val="002E5292"/>
    <w:rsid w:val="002E72CA"/>
    <w:rsid w:val="002F4599"/>
    <w:rsid w:val="002F600D"/>
    <w:rsid w:val="00300635"/>
    <w:rsid w:val="00300AD6"/>
    <w:rsid w:val="00300B1B"/>
    <w:rsid w:val="003019D0"/>
    <w:rsid w:val="003064AF"/>
    <w:rsid w:val="00317C6C"/>
    <w:rsid w:val="00320574"/>
    <w:rsid w:val="00320CD3"/>
    <w:rsid w:val="00326E79"/>
    <w:rsid w:val="003301B1"/>
    <w:rsid w:val="00331189"/>
    <w:rsid w:val="00331488"/>
    <w:rsid w:val="0033263D"/>
    <w:rsid w:val="0033518A"/>
    <w:rsid w:val="003367EF"/>
    <w:rsid w:val="00341AE4"/>
    <w:rsid w:val="003432B2"/>
    <w:rsid w:val="003476EE"/>
    <w:rsid w:val="003542CD"/>
    <w:rsid w:val="003636AA"/>
    <w:rsid w:val="00364ED9"/>
    <w:rsid w:val="00371F8F"/>
    <w:rsid w:val="003736C9"/>
    <w:rsid w:val="00384988"/>
    <w:rsid w:val="003872CF"/>
    <w:rsid w:val="0039782C"/>
    <w:rsid w:val="003A5B4A"/>
    <w:rsid w:val="003B0DB0"/>
    <w:rsid w:val="003B23C5"/>
    <w:rsid w:val="003B2A75"/>
    <w:rsid w:val="003B6124"/>
    <w:rsid w:val="003C093A"/>
    <w:rsid w:val="003C1ECF"/>
    <w:rsid w:val="003C2FB5"/>
    <w:rsid w:val="003D24C5"/>
    <w:rsid w:val="003D2F22"/>
    <w:rsid w:val="003D4AC4"/>
    <w:rsid w:val="003D63B7"/>
    <w:rsid w:val="003E468B"/>
    <w:rsid w:val="003E5546"/>
    <w:rsid w:val="003E62BD"/>
    <w:rsid w:val="003F0C3A"/>
    <w:rsid w:val="003F2441"/>
    <w:rsid w:val="003F3228"/>
    <w:rsid w:val="003F5C8C"/>
    <w:rsid w:val="003F775A"/>
    <w:rsid w:val="00400E55"/>
    <w:rsid w:val="0040128E"/>
    <w:rsid w:val="0040216B"/>
    <w:rsid w:val="004252EC"/>
    <w:rsid w:val="004269C2"/>
    <w:rsid w:val="00430D39"/>
    <w:rsid w:val="004465BD"/>
    <w:rsid w:val="00461A44"/>
    <w:rsid w:val="00466ADA"/>
    <w:rsid w:val="004702BB"/>
    <w:rsid w:val="0047494B"/>
    <w:rsid w:val="00476245"/>
    <w:rsid w:val="00477A9B"/>
    <w:rsid w:val="00483035"/>
    <w:rsid w:val="00485940"/>
    <w:rsid w:val="00487910"/>
    <w:rsid w:val="00487B5D"/>
    <w:rsid w:val="004904B9"/>
    <w:rsid w:val="00495079"/>
    <w:rsid w:val="004A0120"/>
    <w:rsid w:val="004A2484"/>
    <w:rsid w:val="004A5A85"/>
    <w:rsid w:val="004A71D1"/>
    <w:rsid w:val="004A7807"/>
    <w:rsid w:val="004A7C5B"/>
    <w:rsid w:val="004B2E98"/>
    <w:rsid w:val="004B5640"/>
    <w:rsid w:val="004C1BD7"/>
    <w:rsid w:val="004C31FE"/>
    <w:rsid w:val="004C524C"/>
    <w:rsid w:val="004C691D"/>
    <w:rsid w:val="004C6C07"/>
    <w:rsid w:val="004D4FF6"/>
    <w:rsid w:val="004E4474"/>
    <w:rsid w:val="004E692D"/>
    <w:rsid w:val="004E7D87"/>
    <w:rsid w:val="004F2553"/>
    <w:rsid w:val="00501554"/>
    <w:rsid w:val="0050293D"/>
    <w:rsid w:val="00502AFE"/>
    <w:rsid w:val="00503AD7"/>
    <w:rsid w:val="00504E0C"/>
    <w:rsid w:val="005109D4"/>
    <w:rsid w:val="00514CD7"/>
    <w:rsid w:val="00520325"/>
    <w:rsid w:val="00520D6A"/>
    <w:rsid w:val="00522DB6"/>
    <w:rsid w:val="0052792D"/>
    <w:rsid w:val="005319B2"/>
    <w:rsid w:val="00532402"/>
    <w:rsid w:val="00532AEE"/>
    <w:rsid w:val="00532C74"/>
    <w:rsid w:val="00534E2E"/>
    <w:rsid w:val="00544552"/>
    <w:rsid w:val="0055286A"/>
    <w:rsid w:val="00554518"/>
    <w:rsid w:val="00555745"/>
    <w:rsid w:val="00557D4F"/>
    <w:rsid w:val="005617D1"/>
    <w:rsid w:val="00561EEA"/>
    <w:rsid w:val="0056484E"/>
    <w:rsid w:val="00567214"/>
    <w:rsid w:val="005764CD"/>
    <w:rsid w:val="00577C4D"/>
    <w:rsid w:val="0058042B"/>
    <w:rsid w:val="00580532"/>
    <w:rsid w:val="00581932"/>
    <w:rsid w:val="00594882"/>
    <w:rsid w:val="005963BB"/>
    <w:rsid w:val="00597DE3"/>
    <w:rsid w:val="005A3173"/>
    <w:rsid w:val="005A3223"/>
    <w:rsid w:val="005A3DA3"/>
    <w:rsid w:val="005A52C4"/>
    <w:rsid w:val="005B3EF7"/>
    <w:rsid w:val="005D03AB"/>
    <w:rsid w:val="005D5017"/>
    <w:rsid w:val="005D63FA"/>
    <w:rsid w:val="005E1333"/>
    <w:rsid w:val="005E3136"/>
    <w:rsid w:val="005E507D"/>
    <w:rsid w:val="00601A91"/>
    <w:rsid w:val="00602BA3"/>
    <w:rsid w:val="006054F4"/>
    <w:rsid w:val="00605B63"/>
    <w:rsid w:val="00606EED"/>
    <w:rsid w:val="00612E34"/>
    <w:rsid w:val="00614159"/>
    <w:rsid w:val="00616C5F"/>
    <w:rsid w:val="00616DAC"/>
    <w:rsid w:val="00617C00"/>
    <w:rsid w:val="00622CB3"/>
    <w:rsid w:val="006263BF"/>
    <w:rsid w:val="0062748A"/>
    <w:rsid w:val="00630019"/>
    <w:rsid w:val="00630A2C"/>
    <w:rsid w:val="0063682E"/>
    <w:rsid w:val="00642DA8"/>
    <w:rsid w:val="006436CD"/>
    <w:rsid w:val="00651169"/>
    <w:rsid w:val="00653D69"/>
    <w:rsid w:val="006552E6"/>
    <w:rsid w:val="00657C63"/>
    <w:rsid w:val="00662D1F"/>
    <w:rsid w:val="006646FE"/>
    <w:rsid w:val="006670BE"/>
    <w:rsid w:val="00670A76"/>
    <w:rsid w:val="006711AA"/>
    <w:rsid w:val="00672B57"/>
    <w:rsid w:val="00673E93"/>
    <w:rsid w:val="00675622"/>
    <w:rsid w:val="0067747D"/>
    <w:rsid w:val="00681CA4"/>
    <w:rsid w:val="0069039D"/>
    <w:rsid w:val="006906DB"/>
    <w:rsid w:val="00691E6C"/>
    <w:rsid w:val="00693DFB"/>
    <w:rsid w:val="0069501D"/>
    <w:rsid w:val="00696129"/>
    <w:rsid w:val="00696CD9"/>
    <w:rsid w:val="00697CF2"/>
    <w:rsid w:val="006A12A5"/>
    <w:rsid w:val="006A5E20"/>
    <w:rsid w:val="006B0D94"/>
    <w:rsid w:val="006B4007"/>
    <w:rsid w:val="006B485D"/>
    <w:rsid w:val="006C334C"/>
    <w:rsid w:val="006C708E"/>
    <w:rsid w:val="006D14E7"/>
    <w:rsid w:val="006D4444"/>
    <w:rsid w:val="006D6493"/>
    <w:rsid w:val="006D6EC7"/>
    <w:rsid w:val="006E1BCD"/>
    <w:rsid w:val="006F5125"/>
    <w:rsid w:val="006F733D"/>
    <w:rsid w:val="00702918"/>
    <w:rsid w:val="00702B6F"/>
    <w:rsid w:val="00706A2F"/>
    <w:rsid w:val="0070718E"/>
    <w:rsid w:val="0071340B"/>
    <w:rsid w:val="007174BB"/>
    <w:rsid w:val="0072025D"/>
    <w:rsid w:val="0073137C"/>
    <w:rsid w:val="007344E9"/>
    <w:rsid w:val="007353D3"/>
    <w:rsid w:val="0074156B"/>
    <w:rsid w:val="00753600"/>
    <w:rsid w:val="00754E77"/>
    <w:rsid w:val="007555E8"/>
    <w:rsid w:val="0076420C"/>
    <w:rsid w:val="00771D07"/>
    <w:rsid w:val="00772CAB"/>
    <w:rsid w:val="00773AB8"/>
    <w:rsid w:val="00774E2C"/>
    <w:rsid w:val="007753C2"/>
    <w:rsid w:val="007838B8"/>
    <w:rsid w:val="007915BA"/>
    <w:rsid w:val="007B3DDC"/>
    <w:rsid w:val="007B72A6"/>
    <w:rsid w:val="007C0F57"/>
    <w:rsid w:val="007C40B6"/>
    <w:rsid w:val="007C43ED"/>
    <w:rsid w:val="007C729F"/>
    <w:rsid w:val="007E1D28"/>
    <w:rsid w:val="007E1E89"/>
    <w:rsid w:val="007E38A2"/>
    <w:rsid w:val="007F0021"/>
    <w:rsid w:val="007F2641"/>
    <w:rsid w:val="007F5DA4"/>
    <w:rsid w:val="007F7C36"/>
    <w:rsid w:val="00806796"/>
    <w:rsid w:val="00811CC0"/>
    <w:rsid w:val="00815036"/>
    <w:rsid w:val="008151D6"/>
    <w:rsid w:val="00821527"/>
    <w:rsid w:val="008268BB"/>
    <w:rsid w:val="00826F6D"/>
    <w:rsid w:val="008306F3"/>
    <w:rsid w:val="00830E40"/>
    <w:rsid w:val="00841785"/>
    <w:rsid w:val="008431CB"/>
    <w:rsid w:val="00855FD6"/>
    <w:rsid w:val="00856DDD"/>
    <w:rsid w:val="00863E68"/>
    <w:rsid w:val="008647B5"/>
    <w:rsid w:val="008676D3"/>
    <w:rsid w:val="00875DCB"/>
    <w:rsid w:val="00882085"/>
    <w:rsid w:val="00883188"/>
    <w:rsid w:val="00897D58"/>
    <w:rsid w:val="00897F22"/>
    <w:rsid w:val="008A0B39"/>
    <w:rsid w:val="008A1956"/>
    <w:rsid w:val="008A4937"/>
    <w:rsid w:val="008A50F1"/>
    <w:rsid w:val="008A59D9"/>
    <w:rsid w:val="008A6819"/>
    <w:rsid w:val="008B2EC0"/>
    <w:rsid w:val="008B2F9C"/>
    <w:rsid w:val="008B31E4"/>
    <w:rsid w:val="008B4F4B"/>
    <w:rsid w:val="008B656F"/>
    <w:rsid w:val="008D1B5C"/>
    <w:rsid w:val="008D3C82"/>
    <w:rsid w:val="008D447E"/>
    <w:rsid w:val="008D7A41"/>
    <w:rsid w:val="008E2C72"/>
    <w:rsid w:val="008E3680"/>
    <w:rsid w:val="008E5870"/>
    <w:rsid w:val="008F1434"/>
    <w:rsid w:val="008F54C3"/>
    <w:rsid w:val="008F7355"/>
    <w:rsid w:val="008F7768"/>
    <w:rsid w:val="00901576"/>
    <w:rsid w:val="009023DC"/>
    <w:rsid w:val="009067B7"/>
    <w:rsid w:val="00926560"/>
    <w:rsid w:val="00930937"/>
    <w:rsid w:val="009324A6"/>
    <w:rsid w:val="00933E6C"/>
    <w:rsid w:val="00937958"/>
    <w:rsid w:val="00941602"/>
    <w:rsid w:val="00942160"/>
    <w:rsid w:val="009472BF"/>
    <w:rsid w:val="0095146F"/>
    <w:rsid w:val="00957944"/>
    <w:rsid w:val="009602C5"/>
    <w:rsid w:val="00962223"/>
    <w:rsid w:val="00966D0D"/>
    <w:rsid w:val="009673FE"/>
    <w:rsid w:val="0096783C"/>
    <w:rsid w:val="009722B3"/>
    <w:rsid w:val="00974C21"/>
    <w:rsid w:val="00977BF3"/>
    <w:rsid w:val="009803E4"/>
    <w:rsid w:val="00980B0E"/>
    <w:rsid w:val="009836A3"/>
    <w:rsid w:val="0098517D"/>
    <w:rsid w:val="009855A8"/>
    <w:rsid w:val="009913F4"/>
    <w:rsid w:val="0099465B"/>
    <w:rsid w:val="00994844"/>
    <w:rsid w:val="009A0319"/>
    <w:rsid w:val="009A05CB"/>
    <w:rsid w:val="009A0CDD"/>
    <w:rsid w:val="009A3168"/>
    <w:rsid w:val="009A61CA"/>
    <w:rsid w:val="009B06D7"/>
    <w:rsid w:val="009B0C64"/>
    <w:rsid w:val="009B0F67"/>
    <w:rsid w:val="009B6B4A"/>
    <w:rsid w:val="009B6DC5"/>
    <w:rsid w:val="009B71DD"/>
    <w:rsid w:val="009C703C"/>
    <w:rsid w:val="009D206E"/>
    <w:rsid w:val="009D3CAA"/>
    <w:rsid w:val="009D6532"/>
    <w:rsid w:val="009D6DE6"/>
    <w:rsid w:val="009E40E1"/>
    <w:rsid w:val="009E4AF4"/>
    <w:rsid w:val="009F0EFA"/>
    <w:rsid w:val="009F1B19"/>
    <w:rsid w:val="009F4E46"/>
    <w:rsid w:val="009F5B65"/>
    <w:rsid w:val="009F5F2E"/>
    <w:rsid w:val="009F6014"/>
    <w:rsid w:val="00A06225"/>
    <w:rsid w:val="00A11ACD"/>
    <w:rsid w:val="00A128E6"/>
    <w:rsid w:val="00A144D3"/>
    <w:rsid w:val="00A226D7"/>
    <w:rsid w:val="00A229B6"/>
    <w:rsid w:val="00A22AC3"/>
    <w:rsid w:val="00A2744D"/>
    <w:rsid w:val="00A275F5"/>
    <w:rsid w:val="00A34E6C"/>
    <w:rsid w:val="00A36398"/>
    <w:rsid w:val="00A37C8D"/>
    <w:rsid w:val="00A4020E"/>
    <w:rsid w:val="00A40FB5"/>
    <w:rsid w:val="00A42826"/>
    <w:rsid w:val="00A504F7"/>
    <w:rsid w:val="00A5273B"/>
    <w:rsid w:val="00A53A9D"/>
    <w:rsid w:val="00A55FEE"/>
    <w:rsid w:val="00A62C1A"/>
    <w:rsid w:val="00A6426D"/>
    <w:rsid w:val="00A665C1"/>
    <w:rsid w:val="00A70622"/>
    <w:rsid w:val="00A70977"/>
    <w:rsid w:val="00A70D58"/>
    <w:rsid w:val="00A744F9"/>
    <w:rsid w:val="00A77613"/>
    <w:rsid w:val="00A8390C"/>
    <w:rsid w:val="00A849CA"/>
    <w:rsid w:val="00A928BD"/>
    <w:rsid w:val="00A94E83"/>
    <w:rsid w:val="00A97DE9"/>
    <w:rsid w:val="00AA12CD"/>
    <w:rsid w:val="00AA4D1C"/>
    <w:rsid w:val="00AB5856"/>
    <w:rsid w:val="00AC193C"/>
    <w:rsid w:val="00AC4DE5"/>
    <w:rsid w:val="00AC5206"/>
    <w:rsid w:val="00AD4322"/>
    <w:rsid w:val="00AE11A5"/>
    <w:rsid w:val="00AE13E2"/>
    <w:rsid w:val="00AE22D3"/>
    <w:rsid w:val="00AE5A49"/>
    <w:rsid w:val="00AF62DF"/>
    <w:rsid w:val="00AF68CC"/>
    <w:rsid w:val="00AF70D7"/>
    <w:rsid w:val="00B04ECB"/>
    <w:rsid w:val="00B06338"/>
    <w:rsid w:val="00B07CFB"/>
    <w:rsid w:val="00B07FE5"/>
    <w:rsid w:val="00B1059E"/>
    <w:rsid w:val="00B11355"/>
    <w:rsid w:val="00B1280B"/>
    <w:rsid w:val="00B158F3"/>
    <w:rsid w:val="00B167E9"/>
    <w:rsid w:val="00B170A5"/>
    <w:rsid w:val="00B176C8"/>
    <w:rsid w:val="00B205AA"/>
    <w:rsid w:val="00B22E84"/>
    <w:rsid w:val="00B233AD"/>
    <w:rsid w:val="00B23E25"/>
    <w:rsid w:val="00B25C8F"/>
    <w:rsid w:val="00B25F75"/>
    <w:rsid w:val="00B26347"/>
    <w:rsid w:val="00B26B3F"/>
    <w:rsid w:val="00B2778F"/>
    <w:rsid w:val="00B33635"/>
    <w:rsid w:val="00B43E90"/>
    <w:rsid w:val="00B467DC"/>
    <w:rsid w:val="00B5505D"/>
    <w:rsid w:val="00B56118"/>
    <w:rsid w:val="00B64004"/>
    <w:rsid w:val="00B6773F"/>
    <w:rsid w:val="00B67E1E"/>
    <w:rsid w:val="00B741A0"/>
    <w:rsid w:val="00B7554B"/>
    <w:rsid w:val="00B760FB"/>
    <w:rsid w:val="00B767AB"/>
    <w:rsid w:val="00B801BA"/>
    <w:rsid w:val="00B81EDA"/>
    <w:rsid w:val="00B84D5C"/>
    <w:rsid w:val="00BA2DA8"/>
    <w:rsid w:val="00BA347C"/>
    <w:rsid w:val="00BB6228"/>
    <w:rsid w:val="00BB69F5"/>
    <w:rsid w:val="00BB7EC3"/>
    <w:rsid w:val="00BC17C3"/>
    <w:rsid w:val="00BC4B9A"/>
    <w:rsid w:val="00BD02C3"/>
    <w:rsid w:val="00BD60CB"/>
    <w:rsid w:val="00BD784C"/>
    <w:rsid w:val="00BE020A"/>
    <w:rsid w:val="00BE21DE"/>
    <w:rsid w:val="00BF0190"/>
    <w:rsid w:val="00BF092C"/>
    <w:rsid w:val="00BF27A0"/>
    <w:rsid w:val="00BF4CB6"/>
    <w:rsid w:val="00C00DA7"/>
    <w:rsid w:val="00C059B7"/>
    <w:rsid w:val="00C12768"/>
    <w:rsid w:val="00C12D70"/>
    <w:rsid w:val="00C210EE"/>
    <w:rsid w:val="00C21B09"/>
    <w:rsid w:val="00C2673A"/>
    <w:rsid w:val="00C27B58"/>
    <w:rsid w:val="00C35996"/>
    <w:rsid w:val="00C4747E"/>
    <w:rsid w:val="00C5342C"/>
    <w:rsid w:val="00C53B2B"/>
    <w:rsid w:val="00C54193"/>
    <w:rsid w:val="00C60272"/>
    <w:rsid w:val="00C603D4"/>
    <w:rsid w:val="00C60C01"/>
    <w:rsid w:val="00C6256A"/>
    <w:rsid w:val="00C710E2"/>
    <w:rsid w:val="00C71C3F"/>
    <w:rsid w:val="00C7409E"/>
    <w:rsid w:val="00C76E76"/>
    <w:rsid w:val="00C77891"/>
    <w:rsid w:val="00C81663"/>
    <w:rsid w:val="00C863F3"/>
    <w:rsid w:val="00C91449"/>
    <w:rsid w:val="00C92D10"/>
    <w:rsid w:val="00CA1199"/>
    <w:rsid w:val="00CA48D9"/>
    <w:rsid w:val="00CB1193"/>
    <w:rsid w:val="00CB4767"/>
    <w:rsid w:val="00CB493D"/>
    <w:rsid w:val="00CC3B97"/>
    <w:rsid w:val="00CC6525"/>
    <w:rsid w:val="00CC6E2A"/>
    <w:rsid w:val="00CE10C4"/>
    <w:rsid w:val="00CE27B5"/>
    <w:rsid w:val="00CE6DAF"/>
    <w:rsid w:val="00CF410A"/>
    <w:rsid w:val="00D0321E"/>
    <w:rsid w:val="00D07A8A"/>
    <w:rsid w:val="00D13BC6"/>
    <w:rsid w:val="00D1455A"/>
    <w:rsid w:val="00D22093"/>
    <w:rsid w:val="00D3047D"/>
    <w:rsid w:val="00D31150"/>
    <w:rsid w:val="00D3138B"/>
    <w:rsid w:val="00D3280C"/>
    <w:rsid w:val="00D336C8"/>
    <w:rsid w:val="00D3406A"/>
    <w:rsid w:val="00D40149"/>
    <w:rsid w:val="00D424E4"/>
    <w:rsid w:val="00D441F1"/>
    <w:rsid w:val="00D4572C"/>
    <w:rsid w:val="00D469B2"/>
    <w:rsid w:val="00D65658"/>
    <w:rsid w:val="00D72B6F"/>
    <w:rsid w:val="00D741EB"/>
    <w:rsid w:val="00D7679C"/>
    <w:rsid w:val="00D809D7"/>
    <w:rsid w:val="00D820F3"/>
    <w:rsid w:val="00D83605"/>
    <w:rsid w:val="00D84934"/>
    <w:rsid w:val="00D86251"/>
    <w:rsid w:val="00D91271"/>
    <w:rsid w:val="00D919F5"/>
    <w:rsid w:val="00D94F03"/>
    <w:rsid w:val="00DA0D14"/>
    <w:rsid w:val="00DA1FC9"/>
    <w:rsid w:val="00DA2CB5"/>
    <w:rsid w:val="00DA4BAC"/>
    <w:rsid w:val="00DB0151"/>
    <w:rsid w:val="00DC2C3E"/>
    <w:rsid w:val="00DC4880"/>
    <w:rsid w:val="00DE6BF0"/>
    <w:rsid w:val="00DE6D27"/>
    <w:rsid w:val="00DF217D"/>
    <w:rsid w:val="00DF229E"/>
    <w:rsid w:val="00DF26A7"/>
    <w:rsid w:val="00DF3277"/>
    <w:rsid w:val="00DF7919"/>
    <w:rsid w:val="00E0207E"/>
    <w:rsid w:val="00E03912"/>
    <w:rsid w:val="00E15627"/>
    <w:rsid w:val="00E164B3"/>
    <w:rsid w:val="00E16910"/>
    <w:rsid w:val="00E24E09"/>
    <w:rsid w:val="00E27234"/>
    <w:rsid w:val="00E40977"/>
    <w:rsid w:val="00E42BDB"/>
    <w:rsid w:val="00E53F68"/>
    <w:rsid w:val="00E57EEB"/>
    <w:rsid w:val="00E62D94"/>
    <w:rsid w:val="00E64F37"/>
    <w:rsid w:val="00E65E54"/>
    <w:rsid w:val="00E661C7"/>
    <w:rsid w:val="00E67411"/>
    <w:rsid w:val="00E67589"/>
    <w:rsid w:val="00E72446"/>
    <w:rsid w:val="00E75772"/>
    <w:rsid w:val="00E80155"/>
    <w:rsid w:val="00E81E0D"/>
    <w:rsid w:val="00E81F28"/>
    <w:rsid w:val="00E848C0"/>
    <w:rsid w:val="00E91B96"/>
    <w:rsid w:val="00E93D1E"/>
    <w:rsid w:val="00E941A1"/>
    <w:rsid w:val="00E95CE3"/>
    <w:rsid w:val="00EA252F"/>
    <w:rsid w:val="00EA2825"/>
    <w:rsid w:val="00EA7EDE"/>
    <w:rsid w:val="00EB0B63"/>
    <w:rsid w:val="00EB1936"/>
    <w:rsid w:val="00EB37BE"/>
    <w:rsid w:val="00EB5088"/>
    <w:rsid w:val="00EC275E"/>
    <w:rsid w:val="00ED1644"/>
    <w:rsid w:val="00ED2593"/>
    <w:rsid w:val="00ED7D9C"/>
    <w:rsid w:val="00EF0069"/>
    <w:rsid w:val="00EF44A0"/>
    <w:rsid w:val="00EF4FED"/>
    <w:rsid w:val="00F007C6"/>
    <w:rsid w:val="00F0172E"/>
    <w:rsid w:val="00F050BD"/>
    <w:rsid w:val="00F05657"/>
    <w:rsid w:val="00F209E2"/>
    <w:rsid w:val="00F21940"/>
    <w:rsid w:val="00F25578"/>
    <w:rsid w:val="00F257B1"/>
    <w:rsid w:val="00F258E5"/>
    <w:rsid w:val="00F25B9C"/>
    <w:rsid w:val="00F26CC6"/>
    <w:rsid w:val="00F300BC"/>
    <w:rsid w:val="00F3263C"/>
    <w:rsid w:val="00F3334E"/>
    <w:rsid w:val="00F36CCB"/>
    <w:rsid w:val="00F374E5"/>
    <w:rsid w:val="00F37B93"/>
    <w:rsid w:val="00F43AF2"/>
    <w:rsid w:val="00F5007E"/>
    <w:rsid w:val="00F50959"/>
    <w:rsid w:val="00F50EC4"/>
    <w:rsid w:val="00F52232"/>
    <w:rsid w:val="00F550CF"/>
    <w:rsid w:val="00F57A6D"/>
    <w:rsid w:val="00F57B04"/>
    <w:rsid w:val="00F638CC"/>
    <w:rsid w:val="00F64C9E"/>
    <w:rsid w:val="00F64CC1"/>
    <w:rsid w:val="00F72317"/>
    <w:rsid w:val="00F80475"/>
    <w:rsid w:val="00F8247A"/>
    <w:rsid w:val="00F9332F"/>
    <w:rsid w:val="00F9629A"/>
    <w:rsid w:val="00F97EFC"/>
    <w:rsid w:val="00FA1BDD"/>
    <w:rsid w:val="00FA4DD5"/>
    <w:rsid w:val="00FA5883"/>
    <w:rsid w:val="00FA6055"/>
    <w:rsid w:val="00FB0531"/>
    <w:rsid w:val="00FB322F"/>
    <w:rsid w:val="00FB442F"/>
    <w:rsid w:val="00FC1929"/>
    <w:rsid w:val="00FC5B46"/>
    <w:rsid w:val="00FD6D8E"/>
    <w:rsid w:val="00FE0E94"/>
    <w:rsid w:val="00FE1129"/>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ASD 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Bullets Points,Styl moj,Akapit z listą1,Akapit z listą11,Table Legend,Footnote,Bullet point,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Bullets Points Char,Styl moj Char,Akapit z listą1 Char,Akapit z listą11 Char,Table Legend Char,Footnote Char,Bullet point Char,List Paragraph11 Char,Recommendation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numbering" w:customStyle="1" w:styleId="SectionBii">
    <w:name w:val="Section Bii"/>
    <w:uiPriority w:val="99"/>
    <w:rsid w:val="003636AA"/>
    <w:pPr>
      <w:numPr>
        <w:numId w:val="23"/>
      </w:numPr>
    </w:pPr>
  </w:style>
  <w:style w:type="paragraph" w:customStyle="1" w:styleId="EndNoteBibliographyTitle">
    <w:name w:val="EndNote Bibliography Title"/>
    <w:basedOn w:val="Normal"/>
    <w:link w:val="EndNoteBibliographyTitleChar"/>
    <w:rsid w:val="003636AA"/>
    <w:pPr>
      <w:spacing w:after="120" w:line="360" w:lineRule="auto"/>
      <w:jc w:val="center"/>
    </w:pPr>
    <w:rPr>
      <w:rFonts w:ascii="Calibri" w:eastAsiaTheme="minorHAnsi" w:hAnsi="Calibri" w:cs="Arial"/>
      <w:noProof/>
      <w:sz w:val="22"/>
      <w:szCs w:val="22"/>
      <w:lang w:val="en-US" w:eastAsia="en-US"/>
    </w:rPr>
  </w:style>
  <w:style w:type="character" w:customStyle="1" w:styleId="EndNoteBibliographyTitleChar">
    <w:name w:val="EndNote Bibliography Title Char"/>
    <w:basedOn w:val="ListParagraphChar"/>
    <w:link w:val="EndNoteBibliographyTitle"/>
    <w:rsid w:val="003636AA"/>
    <w:rPr>
      <w:rFonts w:ascii="Calibri" w:eastAsiaTheme="minorHAnsi" w:hAnsi="Calibri" w:cs="Arial"/>
      <w:noProof/>
      <w:snapToGrid/>
      <w:sz w:val="22"/>
      <w:szCs w:val="22"/>
      <w:lang w:val="en-US" w:eastAsia="en-US"/>
    </w:rPr>
  </w:style>
  <w:style w:type="character" w:customStyle="1" w:styleId="Small">
    <w:name w:val="Small"/>
    <w:basedOn w:val="DefaultParagraphFont"/>
    <w:uiPriority w:val="4"/>
    <w:qFormat/>
    <w:rsid w:val="00371F8F"/>
    <w:rPr>
      <w:rFonts w:ascii="Calibri" w:hAnsi="Calibri"/>
      <w:sz w:val="20"/>
    </w:rPr>
  </w:style>
  <w:style w:type="paragraph" w:customStyle="1" w:styleId="TableHeading0">
    <w:name w:val="Table Heading"/>
    <w:basedOn w:val="Normal"/>
    <w:qFormat/>
    <w:rsid w:val="00371F8F"/>
    <w:pPr>
      <w:keepNext/>
      <w:spacing w:after="60"/>
    </w:pPr>
    <w:rPr>
      <w:rFonts w:ascii="Arial Narrow" w:eastAsiaTheme="minorHAnsi" w:hAnsi="Arial Narrow" w:cstheme="minorBidi"/>
      <w:b/>
      <w:sz w:val="20"/>
      <w:szCs w:val="22"/>
      <w:lang w:eastAsia="en-US"/>
    </w:rPr>
  </w:style>
  <w:style w:type="paragraph" w:customStyle="1" w:styleId="TableNotes0">
    <w:name w:val="Table Notes"/>
    <w:basedOn w:val="Normal"/>
    <w:next w:val="Normal"/>
    <w:qFormat/>
    <w:rsid w:val="00BC17C3"/>
    <w:pPr>
      <w:keepNext/>
      <w:keepLines/>
      <w:spacing w:before="60" w:after="240"/>
      <w:contextualSpacing/>
      <w:jc w:val="both"/>
    </w:pPr>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900159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0CA5-21A8-466A-B5EE-4E6A64E6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5004</Words>
  <Characters>27221</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2020-02-18T06:06:00Z</dcterms:created>
  <dcterms:modified xsi:type="dcterms:W3CDTF">2020-02-26T03:50:00Z</dcterms:modified>
</cp:coreProperties>
</file>