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537" w:rsidRPr="007A70FB" w:rsidRDefault="006D657D" w:rsidP="0055224F">
      <w:pPr>
        <w:pStyle w:val="Title"/>
      </w:pPr>
      <w:bookmarkStart w:id="0" w:name="_Toc341702043"/>
      <w:bookmarkStart w:id="1" w:name="_Toc380742621"/>
      <w:bookmarkStart w:id="2" w:name="_Toc380746188"/>
      <w:bookmarkStart w:id="3" w:name="_Toc380746314"/>
      <w:bookmarkStart w:id="4" w:name="_Toc380746595"/>
      <w:bookmarkStart w:id="5" w:name="_Toc17101634"/>
      <w:bookmarkStart w:id="6" w:name="_Toc380746195"/>
      <w:bookmarkStart w:id="7" w:name="_Toc380746321"/>
      <w:bookmarkStart w:id="8" w:name="_Toc380746602"/>
      <w:r w:rsidRPr="007A70FB">
        <w:t>5</w:t>
      </w:r>
      <w:r w:rsidR="00375B38" w:rsidRPr="007A70FB">
        <w:t>.</w:t>
      </w:r>
      <w:r w:rsidRPr="007A70FB">
        <w:t>07</w:t>
      </w:r>
      <w:r w:rsidR="00375B38" w:rsidRPr="007A70FB">
        <w:tab/>
        <w:t>LORLATINIB,</w:t>
      </w:r>
      <w:r w:rsidR="00111DFF" w:rsidRPr="007A70FB">
        <w:br/>
        <w:t>T</w:t>
      </w:r>
      <w:r w:rsidR="00C31F0E" w:rsidRPr="007A70FB">
        <w:t>ablet</w:t>
      </w:r>
      <w:r w:rsidR="00375B38" w:rsidRPr="007A70FB">
        <w:t xml:space="preserve"> </w:t>
      </w:r>
      <w:r w:rsidR="009C2BDF" w:rsidRPr="007A70FB">
        <w:t xml:space="preserve">25 mg, </w:t>
      </w:r>
      <w:r w:rsidR="00375B38" w:rsidRPr="007A70FB">
        <w:t>100 mg,</w:t>
      </w:r>
      <w:r w:rsidR="0055224F" w:rsidRPr="007A70FB">
        <w:t> </w:t>
      </w:r>
    </w:p>
    <w:p w:rsidR="00375B38" w:rsidRPr="007A70FB" w:rsidRDefault="00375B38" w:rsidP="00C03537">
      <w:pPr>
        <w:pStyle w:val="BodyText"/>
        <w:ind w:left="720"/>
        <w:rPr>
          <w:b/>
          <w:sz w:val="36"/>
          <w:szCs w:val="36"/>
        </w:rPr>
      </w:pPr>
      <w:r w:rsidRPr="007A70FB">
        <w:rPr>
          <w:b/>
          <w:sz w:val="36"/>
          <w:szCs w:val="36"/>
        </w:rPr>
        <w:t>Lorviqua®,</w:t>
      </w:r>
      <w:r w:rsidR="0055224F" w:rsidRPr="007A70FB">
        <w:rPr>
          <w:b/>
          <w:sz w:val="36"/>
          <w:szCs w:val="36"/>
        </w:rPr>
        <w:t xml:space="preserve"> </w:t>
      </w:r>
      <w:r w:rsidR="0055224F" w:rsidRPr="007A70FB">
        <w:rPr>
          <w:b/>
          <w:sz w:val="36"/>
          <w:szCs w:val="36"/>
        </w:rPr>
        <w:br/>
      </w:r>
      <w:r w:rsidRPr="007A70FB">
        <w:rPr>
          <w:b/>
          <w:sz w:val="36"/>
          <w:szCs w:val="36"/>
        </w:rPr>
        <w:t>Pfizer Australia Pty Ltd</w:t>
      </w:r>
      <w:r w:rsidR="008B0469" w:rsidRPr="007A70FB">
        <w:rPr>
          <w:b/>
          <w:sz w:val="36"/>
          <w:szCs w:val="36"/>
        </w:rPr>
        <w:t xml:space="preserve"> </w:t>
      </w:r>
    </w:p>
    <w:p w:rsidR="007110AB" w:rsidRPr="007A70FB" w:rsidRDefault="007110AB" w:rsidP="00E84079">
      <w:pPr>
        <w:pStyle w:val="PBACHeading1"/>
        <w:spacing w:before="120" w:after="120"/>
        <w:ind w:left="720"/>
      </w:pPr>
      <w:bookmarkStart w:id="9" w:name="_Toc371170699"/>
      <w:bookmarkStart w:id="10" w:name="_Toc19707656"/>
      <w:r w:rsidRPr="007A70FB">
        <w:t>Purpose of Application</w:t>
      </w:r>
      <w:bookmarkEnd w:id="9"/>
      <w:bookmarkEnd w:id="10"/>
    </w:p>
    <w:p w:rsidR="007110AB" w:rsidRPr="007A70FB" w:rsidRDefault="007110AB" w:rsidP="00EB20CB">
      <w:pPr>
        <w:pStyle w:val="ListParagraph"/>
        <w:widowControl/>
        <w:numPr>
          <w:ilvl w:val="1"/>
          <w:numId w:val="1"/>
        </w:numPr>
        <w:spacing w:before="120" w:after="120"/>
      </w:pPr>
      <w:r w:rsidRPr="007A70FB">
        <w:t xml:space="preserve">The submission requested a Section 85 Authority Required listing for lorlatinib for the treatment of patients with metastatic (Stage IV) anaplastic lymphoma kinase (ALK)-positive non-small cell lung cancer (NSCLC), who have disease progression following treatment with a prior ALK inhibitor. </w:t>
      </w:r>
    </w:p>
    <w:p w:rsidR="007110AB" w:rsidRPr="007A70FB" w:rsidRDefault="007110AB" w:rsidP="00FE0FA7">
      <w:pPr>
        <w:pStyle w:val="ListParagraph"/>
        <w:widowControl/>
        <w:numPr>
          <w:ilvl w:val="1"/>
          <w:numId w:val="1"/>
        </w:numPr>
        <w:spacing w:before="120" w:after="120"/>
      </w:pPr>
      <w:r w:rsidRPr="007A70FB">
        <w:t xml:space="preserve">The basis for the submission was a cost-minimisation analysis (CMA) against alectinib 600 mg </w:t>
      </w:r>
      <w:r w:rsidR="00DE1AA8" w:rsidRPr="007A70FB">
        <w:t>twice daily</w:t>
      </w:r>
      <w:r w:rsidRPr="007A70FB">
        <w:t xml:space="preserve"> (</w:t>
      </w:r>
      <w:r w:rsidR="00DE1AA8" w:rsidRPr="007A70FB">
        <w:t>BID</w:t>
      </w:r>
      <w:r w:rsidRPr="007A70FB">
        <w:t xml:space="preserve">). The key components of the submission are summarised in </w:t>
      </w:r>
      <w:r w:rsidR="00B0287F" w:rsidRPr="007A70FB">
        <w:rPr>
          <w:rStyle w:val="CommentReference"/>
          <w:rFonts w:asciiTheme="minorHAnsi" w:hAnsiTheme="minorHAnsi"/>
          <w:b w:val="0"/>
          <w:sz w:val="24"/>
          <w:szCs w:val="24"/>
        </w:rPr>
        <w:t>Table</w:t>
      </w:r>
      <w:r w:rsidR="00B0287F" w:rsidRPr="007A70FB">
        <w:rPr>
          <w:rStyle w:val="CommentReference"/>
          <w:rFonts w:asciiTheme="minorHAnsi" w:hAnsiTheme="minorHAnsi"/>
          <w:sz w:val="24"/>
          <w:szCs w:val="24"/>
        </w:rPr>
        <w:t xml:space="preserve"> </w:t>
      </w:r>
      <w:r w:rsidR="00B0287F" w:rsidRPr="007A70FB">
        <w:rPr>
          <w:rFonts w:asciiTheme="minorHAnsi" w:hAnsiTheme="minorHAnsi"/>
          <w:szCs w:val="24"/>
        </w:rPr>
        <w:t>1</w:t>
      </w:r>
      <w:r w:rsidRPr="007A70FB">
        <w:rPr>
          <w:rFonts w:asciiTheme="minorHAnsi" w:hAnsiTheme="minorHAnsi"/>
          <w:szCs w:val="24"/>
        </w:rPr>
        <w:t>.</w:t>
      </w:r>
      <w:r w:rsidRPr="007A70FB">
        <w:t xml:space="preserve"> </w:t>
      </w:r>
      <w:r w:rsidRPr="007A70FB">
        <w:rPr>
          <w:iCs/>
        </w:rPr>
        <w:t xml:space="preserve">While the submission </w:t>
      </w:r>
      <w:r w:rsidR="00CB2E52" w:rsidRPr="007A70FB">
        <w:rPr>
          <w:iCs/>
        </w:rPr>
        <w:t>nominated</w:t>
      </w:r>
      <w:r w:rsidRPr="007A70FB">
        <w:rPr>
          <w:iCs/>
        </w:rPr>
        <w:t xml:space="preserve"> ceritinib as a secondary clinical comparator, it was not included in the CMA. </w:t>
      </w:r>
    </w:p>
    <w:p w:rsidR="007110AB" w:rsidRPr="007A70FB" w:rsidRDefault="007110AB" w:rsidP="00D16C57">
      <w:pPr>
        <w:keepNext/>
        <w:keepLines/>
        <w:widowControl/>
        <w:suppressLineNumbers/>
        <w:suppressAutoHyphens/>
        <w:rPr>
          <w:rStyle w:val="CommentReference"/>
          <w:rFonts w:ascii="Calibri" w:hAnsi="Calibri"/>
          <w:b w:val="0"/>
          <w:sz w:val="24"/>
          <w:szCs w:val="22"/>
        </w:rPr>
      </w:pPr>
      <w:bookmarkStart w:id="11" w:name="_Ref20493970"/>
      <w:r w:rsidRPr="007A70FB">
        <w:rPr>
          <w:rStyle w:val="CommentReference"/>
          <w:szCs w:val="20"/>
        </w:rPr>
        <w:t xml:space="preserve">Table </w:t>
      </w:r>
      <w:r w:rsidR="008267CB" w:rsidRPr="007A70FB">
        <w:rPr>
          <w:rFonts w:ascii="Arial Narrow" w:hAnsi="Arial Narrow"/>
          <w:b/>
          <w:sz w:val="20"/>
          <w:szCs w:val="20"/>
        </w:rPr>
        <w:t>1</w:t>
      </w:r>
      <w:bookmarkEnd w:id="11"/>
      <w:r w:rsidR="00191E70" w:rsidRPr="007A70FB">
        <w:rPr>
          <w:rFonts w:ascii="Arial Narrow" w:hAnsi="Arial Narrow"/>
          <w:b/>
          <w:sz w:val="20"/>
          <w:szCs w:val="20"/>
        </w:rPr>
        <w:t>:</w:t>
      </w:r>
      <w:r w:rsidRPr="007A70FB">
        <w:rPr>
          <w:rStyle w:val="CommentReference"/>
          <w:szCs w:val="20"/>
        </w:rPr>
        <w:t xml:space="preserve"> Key</w:t>
      </w:r>
      <w:r w:rsidRPr="007A70FB">
        <w:rPr>
          <w:rStyle w:val="CommentReference"/>
        </w:rPr>
        <w:t xml:space="preserve">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271"/>
        <w:gridCol w:w="7885"/>
      </w:tblGrid>
      <w:tr w:rsidR="007110AB" w:rsidRPr="007A70FB" w:rsidTr="00C45DFE">
        <w:trPr>
          <w:tblHeader/>
        </w:trPr>
        <w:tc>
          <w:tcPr>
            <w:tcW w:w="1271" w:type="dxa"/>
            <w:vAlign w:val="center"/>
          </w:tcPr>
          <w:p w:rsidR="007110AB" w:rsidRPr="007A70FB" w:rsidRDefault="007110AB" w:rsidP="00D16C57">
            <w:pPr>
              <w:pStyle w:val="Tabletext"/>
              <w:keepNext/>
              <w:keepLines/>
              <w:suppressLineNumbers/>
              <w:suppressAutoHyphens/>
              <w:rPr>
                <w:b/>
              </w:rPr>
            </w:pPr>
            <w:r w:rsidRPr="007A70FB">
              <w:rPr>
                <w:b/>
              </w:rPr>
              <w:t>Component</w:t>
            </w:r>
          </w:p>
        </w:tc>
        <w:tc>
          <w:tcPr>
            <w:tcW w:w="7885" w:type="dxa"/>
            <w:vAlign w:val="center"/>
          </w:tcPr>
          <w:p w:rsidR="007110AB" w:rsidRPr="007A70FB" w:rsidRDefault="007110AB" w:rsidP="00D16C57">
            <w:pPr>
              <w:pStyle w:val="Tabletext"/>
              <w:keepNext/>
              <w:keepLines/>
              <w:suppressLineNumbers/>
              <w:suppressAutoHyphens/>
              <w:jc w:val="center"/>
              <w:rPr>
                <w:b/>
              </w:rPr>
            </w:pPr>
            <w:r w:rsidRPr="007A70FB">
              <w:rPr>
                <w:b/>
              </w:rPr>
              <w:t>Description</w:t>
            </w:r>
          </w:p>
        </w:tc>
      </w:tr>
      <w:tr w:rsidR="007110AB" w:rsidRPr="007A70FB" w:rsidTr="00C45DFE">
        <w:tc>
          <w:tcPr>
            <w:tcW w:w="1271" w:type="dxa"/>
            <w:vAlign w:val="center"/>
          </w:tcPr>
          <w:p w:rsidR="007110AB" w:rsidRPr="007A70FB" w:rsidRDefault="007110AB" w:rsidP="00D16C57">
            <w:pPr>
              <w:pStyle w:val="Tabletext"/>
              <w:keepNext/>
              <w:keepLines/>
              <w:suppressLineNumbers/>
              <w:suppressAutoHyphens/>
            </w:pPr>
            <w:r w:rsidRPr="007A70FB">
              <w:t>Population</w:t>
            </w:r>
          </w:p>
        </w:tc>
        <w:tc>
          <w:tcPr>
            <w:tcW w:w="7885" w:type="dxa"/>
          </w:tcPr>
          <w:p w:rsidR="007110AB" w:rsidRPr="007A70FB" w:rsidRDefault="007110AB" w:rsidP="00D16C57">
            <w:pPr>
              <w:pStyle w:val="Tabletext"/>
              <w:keepNext/>
              <w:keepLines/>
              <w:suppressLineNumbers/>
              <w:suppressAutoHyphens/>
            </w:pPr>
            <w:r w:rsidRPr="007A70FB">
              <w:t>Patients with ALK-positive metastatic (Stage IV) NSCLC previously treated with one or more ALK-TKIs</w:t>
            </w:r>
          </w:p>
        </w:tc>
      </w:tr>
      <w:tr w:rsidR="007110AB" w:rsidRPr="007A70FB" w:rsidTr="00C45DFE">
        <w:tc>
          <w:tcPr>
            <w:tcW w:w="1271" w:type="dxa"/>
            <w:vAlign w:val="center"/>
          </w:tcPr>
          <w:p w:rsidR="007110AB" w:rsidRPr="007A70FB" w:rsidRDefault="007110AB" w:rsidP="00D16C57">
            <w:pPr>
              <w:pStyle w:val="Tabletext"/>
              <w:keepNext/>
              <w:keepLines/>
              <w:suppressLineNumbers/>
              <w:suppressAutoHyphens/>
            </w:pPr>
            <w:r w:rsidRPr="007A70FB">
              <w:t>Intervention</w:t>
            </w:r>
          </w:p>
        </w:tc>
        <w:tc>
          <w:tcPr>
            <w:tcW w:w="7885" w:type="dxa"/>
          </w:tcPr>
          <w:p w:rsidR="007110AB" w:rsidRPr="007A70FB" w:rsidRDefault="007110AB" w:rsidP="00D16C57">
            <w:pPr>
              <w:pStyle w:val="Tabletext"/>
              <w:keepNext/>
              <w:keepLines/>
              <w:suppressLineNumbers/>
              <w:suppressAutoHyphens/>
            </w:pPr>
            <w:r w:rsidRPr="007A70FB">
              <w:t>Lorlatinib 100 mg film-coated tablets orally QD</w:t>
            </w:r>
          </w:p>
        </w:tc>
      </w:tr>
      <w:tr w:rsidR="007110AB" w:rsidRPr="007A70FB" w:rsidTr="00C45DFE">
        <w:tc>
          <w:tcPr>
            <w:tcW w:w="1271" w:type="dxa"/>
            <w:vAlign w:val="center"/>
          </w:tcPr>
          <w:p w:rsidR="007110AB" w:rsidRPr="007A70FB" w:rsidRDefault="007110AB" w:rsidP="00D16C57">
            <w:pPr>
              <w:pStyle w:val="Tabletext"/>
              <w:keepNext/>
              <w:keepLines/>
              <w:suppressLineNumbers/>
              <w:suppressAutoHyphens/>
            </w:pPr>
            <w:r w:rsidRPr="007A70FB">
              <w:t>Comparator</w:t>
            </w:r>
          </w:p>
        </w:tc>
        <w:tc>
          <w:tcPr>
            <w:tcW w:w="7885" w:type="dxa"/>
          </w:tcPr>
          <w:p w:rsidR="007110AB" w:rsidRPr="007A70FB" w:rsidRDefault="007110AB" w:rsidP="00D16C57">
            <w:pPr>
              <w:pStyle w:val="Tabletext"/>
              <w:keepNext/>
              <w:keepLines/>
              <w:suppressLineNumbers/>
              <w:suppressAutoHyphens/>
            </w:pPr>
            <w:r w:rsidRPr="007A70FB">
              <w:t>Main: alectinib</w:t>
            </w:r>
            <w:r w:rsidRPr="007A70FB">
              <w:rPr>
                <w:vertAlign w:val="superscript"/>
              </w:rPr>
              <w:t>a</w:t>
            </w:r>
            <w:r w:rsidRPr="007A70FB">
              <w:t>; Secondary: ceritinib</w:t>
            </w:r>
            <w:r w:rsidRPr="007A70FB">
              <w:rPr>
                <w:iCs/>
                <w:vertAlign w:val="superscript"/>
              </w:rPr>
              <w:t>b</w:t>
            </w:r>
            <w:r w:rsidRPr="007A70FB">
              <w:t>; Potential near market comparator: brigatinib</w:t>
            </w:r>
            <w:r w:rsidRPr="007A70FB">
              <w:rPr>
                <w:vertAlign w:val="superscript"/>
              </w:rPr>
              <w:t>c</w:t>
            </w:r>
            <w:r w:rsidRPr="007A70FB">
              <w:rPr>
                <w:iCs/>
              </w:rPr>
              <w:t xml:space="preserve"> </w:t>
            </w:r>
          </w:p>
        </w:tc>
      </w:tr>
      <w:tr w:rsidR="007110AB" w:rsidRPr="007A70FB" w:rsidTr="00C45DFE">
        <w:tc>
          <w:tcPr>
            <w:tcW w:w="1271" w:type="dxa"/>
            <w:vAlign w:val="center"/>
          </w:tcPr>
          <w:p w:rsidR="007110AB" w:rsidRPr="007A70FB" w:rsidRDefault="007110AB" w:rsidP="00D16C57">
            <w:pPr>
              <w:pStyle w:val="Tabletext"/>
              <w:keepNext/>
              <w:keepLines/>
              <w:suppressLineNumbers/>
              <w:suppressAutoHyphens/>
            </w:pPr>
            <w:r w:rsidRPr="007A70FB">
              <w:t>Outcomes</w:t>
            </w:r>
          </w:p>
        </w:tc>
        <w:tc>
          <w:tcPr>
            <w:tcW w:w="7885" w:type="dxa"/>
          </w:tcPr>
          <w:p w:rsidR="007110AB" w:rsidRPr="007A70FB" w:rsidRDefault="007110AB" w:rsidP="00D16C57">
            <w:pPr>
              <w:pStyle w:val="Tabletext"/>
              <w:keepNext/>
              <w:keepLines/>
              <w:suppressLineNumbers/>
              <w:suppressAutoHyphens/>
            </w:pPr>
            <w:r w:rsidRPr="007A70FB">
              <w:t xml:space="preserve">Objective tumour response rates (ORR); intracranial objective response (IC-ORR); duration of response (DOR); intracranial duration of response (IC-DOR); progression-free survival (PFS); overall survival (OS); patient reported outcomes (PROs); safety </w:t>
            </w:r>
          </w:p>
        </w:tc>
      </w:tr>
      <w:tr w:rsidR="007110AB" w:rsidRPr="007A70FB" w:rsidTr="00C45DFE">
        <w:tc>
          <w:tcPr>
            <w:tcW w:w="1271" w:type="dxa"/>
            <w:vAlign w:val="center"/>
          </w:tcPr>
          <w:p w:rsidR="007110AB" w:rsidRPr="007A70FB" w:rsidRDefault="007110AB" w:rsidP="00D16C57">
            <w:pPr>
              <w:pStyle w:val="Tabletext"/>
              <w:keepNext/>
              <w:keepLines/>
              <w:suppressLineNumbers/>
              <w:suppressAutoHyphens/>
            </w:pPr>
            <w:r w:rsidRPr="007A70FB">
              <w:t>Clinical claim</w:t>
            </w:r>
            <w:r w:rsidRPr="007A70FB">
              <w:rPr>
                <w:vertAlign w:val="superscript"/>
              </w:rPr>
              <w:t>d</w:t>
            </w:r>
          </w:p>
        </w:tc>
        <w:tc>
          <w:tcPr>
            <w:tcW w:w="7885" w:type="dxa"/>
          </w:tcPr>
          <w:p w:rsidR="007110AB" w:rsidRPr="007A70FB" w:rsidRDefault="007110AB" w:rsidP="00D16C57">
            <w:pPr>
              <w:pStyle w:val="Tabletext"/>
              <w:keepNext/>
              <w:keepLines/>
              <w:suppressLineNumbers/>
              <w:suppressAutoHyphens/>
              <w:rPr>
                <w:i/>
                <w:iCs/>
              </w:rPr>
            </w:pPr>
            <w:r w:rsidRPr="007A70FB">
              <w:t>Alectinib: non-inferior efficacy and safety</w:t>
            </w:r>
            <w:r w:rsidRPr="007A70FB">
              <w:rPr>
                <w:iCs/>
              </w:rPr>
              <w:t xml:space="preserve"> </w:t>
            </w:r>
          </w:p>
        </w:tc>
      </w:tr>
    </w:tbl>
    <w:p w:rsidR="00806396" w:rsidRPr="007A70FB" w:rsidRDefault="00806396" w:rsidP="00D16C57">
      <w:pPr>
        <w:pStyle w:val="TableFooter"/>
        <w:keepNext/>
        <w:keepLines/>
        <w:widowControl/>
        <w:suppressLineNumbers/>
        <w:suppressAutoHyphens/>
      </w:pPr>
      <w:r w:rsidRPr="007A70FB">
        <w:t>QD = once a day</w:t>
      </w:r>
    </w:p>
    <w:p w:rsidR="007110AB" w:rsidRPr="007A70FB" w:rsidRDefault="007110AB" w:rsidP="00D16C57">
      <w:pPr>
        <w:pStyle w:val="TableFooter"/>
        <w:keepNext/>
        <w:keepLines/>
        <w:widowControl/>
        <w:suppressLineNumbers/>
        <w:suppressAutoHyphens/>
        <w:rPr>
          <w:iCs/>
        </w:rPr>
      </w:pPr>
      <w:r w:rsidRPr="007A70FB">
        <w:t>Source: Table 1.1.1, p4 of the submission; ceritinib TGA PI and FDA prescribing information; brigatinib FDA prescribing information</w:t>
      </w:r>
      <w:r w:rsidRPr="007A70FB">
        <w:rPr>
          <w:iCs/>
        </w:rPr>
        <w:t xml:space="preserve">. </w:t>
      </w:r>
    </w:p>
    <w:p w:rsidR="007110AB" w:rsidRPr="007A70FB" w:rsidRDefault="007110AB" w:rsidP="00D16C57">
      <w:pPr>
        <w:pStyle w:val="TableFooter"/>
        <w:keepNext/>
        <w:keepLines/>
        <w:widowControl/>
        <w:suppressLineNumbers/>
        <w:suppressAutoHyphens/>
      </w:pPr>
      <w:r w:rsidRPr="007A70FB">
        <w:t>Abbreviations: ALK = Anaplastic lymphoma kinase; FDA = Food and Drug Administration; TGA = Therapeutic Goods Administration.</w:t>
      </w:r>
    </w:p>
    <w:p w:rsidR="00806396" w:rsidRPr="007A70FB" w:rsidRDefault="009064DF" w:rsidP="00D16C57">
      <w:pPr>
        <w:pStyle w:val="TableFooter"/>
        <w:keepNext/>
        <w:keepLines/>
        <w:widowControl/>
        <w:suppressLineNumbers/>
        <w:suppressAutoHyphens/>
        <w:rPr>
          <w:iCs/>
        </w:rPr>
      </w:pPr>
      <w:r w:rsidRPr="007A70FB">
        <w:rPr>
          <w:iCs/>
        </w:rPr>
        <w:t xml:space="preserve">Notes: </w:t>
      </w:r>
    </w:p>
    <w:p w:rsidR="007110AB" w:rsidRPr="007A70FB" w:rsidRDefault="007110AB" w:rsidP="00D16C57">
      <w:pPr>
        <w:pStyle w:val="TableFooter"/>
        <w:keepNext/>
        <w:keepLines/>
        <w:widowControl/>
        <w:suppressLineNumbers/>
        <w:suppressAutoHyphens/>
        <w:rPr>
          <w:iCs/>
        </w:rPr>
      </w:pPr>
      <w:r w:rsidRPr="007A70FB">
        <w:rPr>
          <w:iCs/>
          <w:vertAlign w:val="superscript"/>
        </w:rPr>
        <w:t>a</w:t>
      </w:r>
      <w:r w:rsidRPr="007A70FB">
        <w:rPr>
          <w:iCs/>
        </w:rPr>
        <w:t xml:space="preserve"> </w:t>
      </w:r>
      <w:r w:rsidRPr="007A70FB">
        <w:t>The dose of alectinib is 600 mg capsules orally BID (total daily dose: 1,200 mg).</w:t>
      </w:r>
      <w:r w:rsidRPr="007A70FB">
        <w:rPr>
          <w:iCs/>
        </w:rPr>
        <w:t xml:space="preserve"> </w:t>
      </w:r>
    </w:p>
    <w:p w:rsidR="007110AB" w:rsidRPr="007A70FB" w:rsidRDefault="007110AB" w:rsidP="00D16C57">
      <w:pPr>
        <w:pStyle w:val="TableFooter"/>
        <w:keepNext/>
        <w:keepLines/>
        <w:widowControl/>
        <w:suppressLineNumbers/>
        <w:suppressAutoHyphens/>
      </w:pPr>
      <w:r w:rsidRPr="007A70FB">
        <w:rPr>
          <w:iCs/>
          <w:vertAlign w:val="superscript"/>
        </w:rPr>
        <w:t>b</w:t>
      </w:r>
      <w:r w:rsidRPr="007A70FB">
        <w:rPr>
          <w:iCs/>
        </w:rPr>
        <w:t xml:space="preserve"> </w:t>
      </w:r>
      <w:r w:rsidRPr="007A70FB">
        <w:t xml:space="preserve">The ceritinib PI stated (p1) that the recommended dose of ceritinib is 450 mg taken orally once daily with food at the same time each day. However, the dose of ceritinib was 750 mg in the trial evidence presented in Section 2 </w:t>
      </w:r>
      <w:r w:rsidR="009C1CAC" w:rsidRPr="007A70FB">
        <w:t xml:space="preserve">of </w:t>
      </w:r>
      <w:r w:rsidRPr="007A70FB">
        <w:t xml:space="preserve">the submission. </w:t>
      </w:r>
    </w:p>
    <w:p w:rsidR="007110AB" w:rsidRPr="007A70FB" w:rsidRDefault="007110AB" w:rsidP="00D16C57">
      <w:pPr>
        <w:pStyle w:val="TableFooter"/>
        <w:keepNext/>
        <w:keepLines/>
        <w:widowControl/>
        <w:suppressLineNumbers/>
        <w:suppressAutoHyphens/>
      </w:pPr>
      <w:r w:rsidRPr="007A70FB">
        <w:rPr>
          <w:iCs/>
          <w:vertAlign w:val="superscript"/>
        </w:rPr>
        <w:t>c</w:t>
      </w:r>
      <w:r w:rsidRPr="007A70FB">
        <w:t xml:space="preserve"> The dose of brigatinib according to the US FDA</w:t>
      </w:r>
      <w:r w:rsidRPr="007A70FB">
        <w:rPr>
          <w:iCs/>
        </w:rPr>
        <w:t xml:space="preserve"> </w:t>
      </w:r>
      <w:r w:rsidRPr="007A70FB">
        <w:t>180 mg orally QD, with a 7-day lead in at 90 mg QD (total daily dose:</w:t>
      </w:r>
      <w:r w:rsidR="00806396" w:rsidRPr="007A70FB">
        <w:t xml:space="preserve"> </w:t>
      </w:r>
      <w:r w:rsidRPr="007A70FB">
        <w:t>90 mg for first 7-days, then 180 mg).</w:t>
      </w:r>
    </w:p>
    <w:p w:rsidR="0077653A" w:rsidRPr="007A70FB" w:rsidRDefault="007110AB" w:rsidP="00D16C57">
      <w:pPr>
        <w:pStyle w:val="TableFooter"/>
        <w:keepNext/>
        <w:keepLines/>
        <w:widowControl/>
        <w:suppressLineNumbers/>
        <w:suppressAutoHyphens/>
      </w:pPr>
      <w:r w:rsidRPr="007A70FB">
        <w:rPr>
          <w:iCs/>
          <w:vertAlign w:val="superscript"/>
        </w:rPr>
        <w:t>d</w:t>
      </w:r>
      <w:r w:rsidRPr="007A70FB">
        <w:rPr>
          <w:iCs/>
        </w:rPr>
        <w:t xml:space="preserve"> </w:t>
      </w:r>
      <w:r w:rsidRPr="007A70FB">
        <w:t xml:space="preserve">The submission also claimed non-inferior efficacy and safety compared with ceritinib and brigatinib. </w:t>
      </w:r>
    </w:p>
    <w:p w:rsidR="0077653A" w:rsidRPr="007A70FB" w:rsidRDefault="0077653A">
      <w:pPr>
        <w:widowControl/>
        <w:jc w:val="left"/>
        <w:rPr>
          <w:rFonts w:ascii="Arial Narrow" w:hAnsi="Arial Narrow"/>
          <w:sz w:val="18"/>
        </w:rPr>
      </w:pPr>
      <w:r w:rsidRPr="007A70FB">
        <w:br w:type="page"/>
      </w:r>
    </w:p>
    <w:p w:rsidR="007110AB" w:rsidRPr="007A70FB" w:rsidRDefault="007110AB" w:rsidP="00386F03">
      <w:pPr>
        <w:pStyle w:val="PBACHeading1"/>
        <w:spacing w:before="120" w:after="120"/>
        <w:ind w:left="720"/>
      </w:pPr>
      <w:bookmarkStart w:id="12" w:name="_Toc371170700"/>
      <w:bookmarkStart w:id="13" w:name="_Toc19707657"/>
      <w:r w:rsidRPr="007A70FB">
        <w:lastRenderedPageBreak/>
        <w:t>Requested listing</w:t>
      </w:r>
      <w:bookmarkEnd w:id="12"/>
      <w:bookmarkEnd w:id="13"/>
    </w:p>
    <w:p w:rsidR="00F32222" w:rsidRPr="007A70FB" w:rsidRDefault="00F32222" w:rsidP="00F32222">
      <w:pPr>
        <w:pStyle w:val="ListParagraph"/>
        <w:widowControl/>
        <w:numPr>
          <w:ilvl w:val="1"/>
          <w:numId w:val="1"/>
        </w:numPr>
      </w:pPr>
      <w:r w:rsidRPr="007A70FB">
        <w:t>Suggestions and additions proposed by the Secretariat to the requested listing criteria are added in italics and suggested deletions are crossed out with strikethrough.</w:t>
      </w:r>
    </w:p>
    <w:p w:rsidR="007110AB" w:rsidRPr="007A70FB" w:rsidRDefault="00B70844" w:rsidP="00B70844">
      <w:pPr>
        <w:pStyle w:val="ListParagraph"/>
        <w:widowControl/>
        <w:numPr>
          <w:ilvl w:val="1"/>
          <w:numId w:val="1"/>
        </w:numPr>
        <w:spacing w:before="120" w:after="120"/>
        <w:rPr>
          <w:rFonts w:ascii="Arial Narrow" w:hAnsi="Arial Narrow"/>
          <w:b/>
          <w:bCs/>
          <w:sz w:val="20"/>
          <w:szCs w:val="16"/>
        </w:rPr>
      </w:pPr>
      <w:r w:rsidRPr="007A70FB">
        <w:t>The requested</w:t>
      </w:r>
      <w:r w:rsidR="007110AB" w:rsidRPr="007A70FB">
        <w:t xml:space="preserve"> listing </w:t>
      </w:r>
      <w:r w:rsidRPr="007A70FB">
        <w:t>is presented</w:t>
      </w:r>
      <w:r w:rsidR="007110AB" w:rsidRPr="007A70FB">
        <w:t xml:space="preserve"> </w:t>
      </w:r>
      <w:r w:rsidR="00806396" w:rsidRPr="007A70FB">
        <w:t>below.</w:t>
      </w:r>
    </w:p>
    <w:tbl>
      <w:tblPr>
        <w:tblW w:w="9214" w:type="dxa"/>
        <w:tblLayout w:type="fixed"/>
        <w:tblLook w:val="0000" w:firstRow="0" w:lastRow="0" w:firstColumn="0" w:lastColumn="0" w:noHBand="0" w:noVBand="0"/>
      </w:tblPr>
      <w:tblGrid>
        <w:gridCol w:w="2835"/>
        <w:gridCol w:w="426"/>
        <w:gridCol w:w="567"/>
        <w:gridCol w:w="850"/>
        <w:gridCol w:w="1701"/>
        <w:gridCol w:w="1276"/>
        <w:gridCol w:w="1559"/>
      </w:tblGrid>
      <w:tr w:rsidR="008B5FC0" w:rsidRPr="007A70FB" w:rsidTr="001524EA">
        <w:trPr>
          <w:trHeight w:val="471"/>
        </w:trPr>
        <w:tc>
          <w:tcPr>
            <w:tcW w:w="3261" w:type="dxa"/>
            <w:gridSpan w:val="2"/>
            <w:tcBorders>
              <w:bottom w:val="single" w:sz="4" w:space="0" w:color="auto"/>
            </w:tcBorders>
          </w:tcPr>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Name, Restriction,</w:t>
            </w:r>
          </w:p>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Manner of administration and form</w:t>
            </w:r>
          </w:p>
        </w:tc>
        <w:tc>
          <w:tcPr>
            <w:tcW w:w="567" w:type="dxa"/>
            <w:tcBorders>
              <w:bottom w:val="single" w:sz="4" w:space="0" w:color="auto"/>
            </w:tcBorders>
          </w:tcPr>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Max.</w:t>
            </w:r>
          </w:p>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Qty</w:t>
            </w:r>
          </w:p>
        </w:tc>
        <w:tc>
          <w:tcPr>
            <w:tcW w:w="850" w:type="dxa"/>
            <w:tcBorders>
              <w:bottom w:val="single" w:sz="4" w:space="0" w:color="auto"/>
            </w:tcBorders>
          </w:tcPr>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№.of</w:t>
            </w:r>
          </w:p>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Rpts</w:t>
            </w:r>
          </w:p>
        </w:tc>
        <w:tc>
          <w:tcPr>
            <w:tcW w:w="1701" w:type="dxa"/>
            <w:tcBorders>
              <w:bottom w:val="single" w:sz="4" w:space="0" w:color="auto"/>
            </w:tcBorders>
          </w:tcPr>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Dispensed Price for Max. Qty</w:t>
            </w:r>
          </w:p>
        </w:tc>
        <w:tc>
          <w:tcPr>
            <w:tcW w:w="2835" w:type="dxa"/>
            <w:gridSpan w:val="2"/>
            <w:tcBorders>
              <w:bottom w:val="single" w:sz="4" w:space="0" w:color="auto"/>
            </w:tcBorders>
          </w:tcPr>
          <w:p w:rsidR="008B5FC0" w:rsidRPr="007A70FB" w:rsidRDefault="008B5FC0" w:rsidP="006D4030">
            <w:pPr>
              <w:keepNext/>
              <w:rPr>
                <w:rFonts w:ascii="Arial Narrow" w:hAnsi="Arial Narrow"/>
                <w:sz w:val="20"/>
                <w:szCs w:val="20"/>
              </w:rPr>
            </w:pPr>
            <w:r w:rsidRPr="007A70FB">
              <w:rPr>
                <w:rFonts w:ascii="Arial Narrow" w:hAnsi="Arial Narrow"/>
                <w:sz w:val="20"/>
                <w:szCs w:val="20"/>
              </w:rPr>
              <w:t>Proprietary Name and Manufacturer</w:t>
            </w:r>
          </w:p>
        </w:tc>
      </w:tr>
      <w:tr w:rsidR="008B5FC0" w:rsidRPr="007A70FB" w:rsidTr="001524EA">
        <w:trPr>
          <w:trHeight w:val="577"/>
        </w:trPr>
        <w:tc>
          <w:tcPr>
            <w:tcW w:w="3261" w:type="dxa"/>
            <w:gridSpan w:val="2"/>
          </w:tcPr>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LORLATINIB</w:t>
            </w:r>
          </w:p>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25 mg tablet, 90</w:t>
            </w:r>
          </w:p>
          <w:p w:rsidR="008B5FC0" w:rsidRPr="007A70FB" w:rsidRDefault="008B5FC0" w:rsidP="006D4030">
            <w:pPr>
              <w:keepNext/>
              <w:ind w:left="-108"/>
              <w:rPr>
                <w:rFonts w:ascii="Arial Narrow" w:hAnsi="Arial Narrow"/>
                <w:sz w:val="20"/>
                <w:szCs w:val="20"/>
              </w:rPr>
            </w:pPr>
          </w:p>
          <w:p w:rsidR="008B5FC0" w:rsidRPr="007A70FB" w:rsidRDefault="008B5FC0" w:rsidP="006D4030">
            <w:pPr>
              <w:keepNext/>
              <w:ind w:left="-108"/>
              <w:rPr>
                <w:rFonts w:ascii="Arial Narrow" w:hAnsi="Arial Narrow"/>
                <w:color w:val="FF0000"/>
                <w:sz w:val="20"/>
                <w:szCs w:val="20"/>
              </w:rPr>
            </w:pPr>
            <w:r w:rsidRPr="007A70FB">
              <w:rPr>
                <w:rFonts w:ascii="Arial Narrow" w:hAnsi="Arial Narrow"/>
                <w:sz w:val="20"/>
                <w:szCs w:val="20"/>
              </w:rPr>
              <w:t>100 mg tablet, 30</w:t>
            </w:r>
          </w:p>
        </w:tc>
        <w:tc>
          <w:tcPr>
            <w:tcW w:w="567" w:type="dxa"/>
          </w:tcPr>
          <w:p w:rsidR="008B5FC0" w:rsidRPr="007A70FB" w:rsidRDefault="008B5FC0" w:rsidP="006D4030">
            <w:pPr>
              <w:keepNext/>
              <w:ind w:left="-108"/>
              <w:rPr>
                <w:rFonts w:ascii="Arial Narrow" w:hAnsi="Arial Narrow"/>
                <w:sz w:val="20"/>
                <w:szCs w:val="20"/>
              </w:rPr>
            </w:pPr>
          </w:p>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1</w:t>
            </w:r>
          </w:p>
          <w:p w:rsidR="008B5FC0" w:rsidRPr="007A70FB" w:rsidRDefault="008B5FC0" w:rsidP="006D4030">
            <w:pPr>
              <w:keepNext/>
              <w:ind w:left="-108"/>
              <w:rPr>
                <w:rFonts w:ascii="Arial Narrow" w:hAnsi="Arial Narrow"/>
                <w:sz w:val="20"/>
                <w:szCs w:val="20"/>
              </w:rPr>
            </w:pPr>
          </w:p>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1</w:t>
            </w:r>
          </w:p>
        </w:tc>
        <w:tc>
          <w:tcPr>
            <w:tcW w:w="850" w:type="dxa"/>
          </w:tcPr>
          <w:p w:rsidR="008B5FC0" w:rsidRPr="007A70FB" w:rsidRDefault="008B5FC0" w:rsidP="006D4030">
            <w:pPr>
              <w:keepNext/>
              <w:ind w:left="-108"/>
              <w:rPr>
                <w:rFonts w:ascii="Arial Narrow" w:hAnsi="Arial Narrow"/>
                <w:sz w:val="20"/>
                <w:szCs w:val="20"/>
              </w:rPr>
            </w:pPr>
          </w:p>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1</w:t>
            </w:r>
          </w:p>
          <w:p w:rsidR="008B5FC0" w:rsidRPr="007A70FB" w:rsidRDefault="008B5FC0" w:rsidP="006D4030">
            <w:pPr>
              <w:keepNext/>
              <w:ind w:left="-108"/>
              <w:rPr>
                <w:rFonts w:ascii="Arial Narrow" w:hAnsi="Arial Narrow"/>
                <w:sz w:val="20"/>
                <w:szCs w:val="20"/>
              </w:rPr>
            </w:pPr>
          </w:p>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1</w:t>
            </w:r>
          </w:p>
        </w:tc>
        <w:tc>
          <w:tcPr>
            <w:tcW w:w="1701" w:type="dxa"/>
          </w:tcPr>
          <w:p w:rsidR="008B5FC0" w:rsidRPr="007A70FB" w:rsidRDefault="008B5FC0" w:rsidP="006D4030">
            <w:pPr>
              <w:keepNext/>
              <w:ind w:left="-108"/>
              <w:rPr>
                <w:rFonts w:ascii="Arial Narrow" w:hAnsi="Arial Narrow"/>
                <w:sz w:val="20"/>
                <w:szCs w:val="20"/>
              </w:rPr>
            </w:pPr>
          </w:p>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w:t>
            </w:r>
            <w:r w:rsidR="00FF4479">
              <w:rPr>
                <w:rFonts w:ascii="Arial Narrow" w:hAnsi="Arial Narrow"/>
                <w:noProof/>
                <w:color w:val="000000"/>
                <w:sz w:val="20"/>
                <w:szCs w:val="20"/>
                <w:highlight w:val="black"/>
              </w:rPr>
              <w:t>'''''''''''''''''''''''</w:t>
            </w:r>
            <w:r w:rsidRPr="007A70FB">
              <w:rPr>
                <w:rFonts w:ascii="Arial Narrow" w:hAnsi="Arial Narrow"/>
                <w:sz w:val="20"/>
                <w:szCs w:val="20"/>
              </w:rPr>
              <w:t xml:space="preserve"> </w:t>
            </w:r>
          </w:p>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(Published)</w:t>
            </w:r>
          </w:p>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w:t>
            </w:r>
            <w:r w:rsidR="00FF4479">
              <w:rPr>
                <w:rFonts w:ascii="Arial Narrow" w:hAnsi="Arial Narrow"/>
                <w:noProof/>
                <w:color w:val="000000"/>
                <w:sz w:val="20"/>
                <w:szCs w:val="20"/>
                <w:highlight w:val="black"/>
              </w:rPr>
              <w:t>'''''''''''''''''''</w:t>
            </w:r>
          </w:p>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(Published)</w:t>
            </w:r>
          </w:p>
        </w:tc>
        <w:tc>
          <w:tcPr>
            <w:tcW w:w="1276" w:type="dxa"/>
          </w:tcPr>
          <w:p w:rsidR="008B5FC0" w:rsidRPr="007A70FB" w:rsidRDefault="008B5FC0" w:rsidP="006D4030">
            <w:pPr>
              <w:keepNext/>
              <w:rPr>
                <w:rFonts w:ascii="Arial Narrow" w:hAnsi="Arial Narrow"/>
                <w:sz w:val="20"/>
                <w:szCs w:val="20"/>
              </w:rPr>
            </w:pPr>
            <w:r w:rsidRPr="007A70FB">
              <w:rPr>
                <w:rFonts w:ascii="Arial Narrow" w:hAnsi="Arial Narrow"/>
                <w:sz w:val="20"/>
                <w:szCs w:val="20"/>
              </w:rPr>
              <w:t>Lorviqua®</w:t>
            </w:r>
          </w:p>
        </w:tc>
        <w:tc>
          <w:tcPr>
            <w:tcW w:w="1559" w:type="dxa"/>
          </w:tcPr>
          <w:p w:rsidR="008B5FC0" w:rsidRPr="007A70FB" w:rsidRDefault="008B5FC0" w:rsidP="006D4030">
            <w:pPr>
              <w:keepNext/>
              <w:rPr>
                <w:rFonts w:ascii="Arial Narrow" w:hAnsi="Arial Narrow"/>
                <w:sz w:val="20"/>
                <w:szCs w:val="20"/>
              </w:rPr>
            </w:pPr>
            <w:r w:rsidRPr="007A70FB">
              <w:rPr>
                <w:rFonts w:ascii="Arial Narrow" w:hAnsi="Arial Narrow"/>
                <w:sz w:val="20"/>
                <w:szCs w:val="20"/>
              </w:rPr>
              <w:t>Pfizer Australia Pty Ltd</w:t>
            </w:r>
          </w:p>
        </w:tc>
      </w:tr>
      <w:tr w:rsidR="008B5FC0" w:rsidRPr="007A70FB" w:rsidTr="001524EA">
        <w:trPr>
          <w:trHeight w:val="360"/>
        </w:trPr>
        <w:tc>
          <w:tcPr>
            <w:tcW w:w="9214" w:type="dxa"/>
            <w:gridSpan w:val="7"/>
            <w:tcBorders>
              <w:bottom w:val="single" w:sz="4" w:space="0" w:color="auto"/>
            </w:tcBorders>
          </w:tcPr>
          <w:p w:rsidR="008B5FC0" w:rsidRPr="007A70FB" w:rsidRDefault="008B5FC0" w:rsidP="006D4030">
            <w:pPr>
              <w:rPr>
                <w:rFonts w:ascii="Arial Narrow" w:hAnsi="Arial Narrow"/>
                <w:sz w:val="20"/>
                <w:szCs w:val="20"/>
              </w:rPr>
            </w:pPr>
          </w:p>
        </w:tc>
      </w:tr>
      <w:tr w:rsidR="008B5FC0" w:rsidRPr="007A70FB" w:rsidTr="001524EA">
        <w:trPr>
          <w:trHeight w:val="360"/>
        </w:trPr>
        <w:tc>
          <w:tcPr>
            <w:tcW w:w="2835" w:type="dxa"/>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b/>
                <w:sz w:val="20"/>
                <w:szCs w:val="20"/>
              </w:rPr>
            </w:pPr>
            <w:r w:rsidRPr="007A70FB">
              <w:rPr>
                <w:rFonts w:ascii="Arial Narrow" w:hAnsi="Arial Narrow"/>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sz w:val="20"/>
                <w:szCs w:val="20"/>
              </w:rPr>
            </w:pPr>
            <w:r w:rsidRPr="007A70FB">
              <w:rPr>
                <w:rFonts w:ascii="Arial Narrow" w:hAnsi="Arial Narrow"/>
                <w:sz w:val="20"/>
                <w:szCs w:val="20"/>
              </w:rPr>
              <w:t>GENERAL – General Schedule (Code GE)</w:t>
            </w:r>
          </w:p>
        </w:tc>
      </w:tr>
      <w:tr w:rsidR="008B5FC0" w:rsidRPr="007A70FB" w:rsidTr="001524EA">
        <w:trPr>
          <w:trHeight w:val="360"/>
        </w:trPr>
        <w:tc>
          <w:tcPr>
            <w:tcW w:w="2835" w:type="dxa"/>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b/>
                <w:sz w:val="20"/>
                <w:szCs w:val="20"/>
              </w:rPr>
            </w:pPr>
            <w:r w:rsidRPr="007A70FB">
              <w:rPr>
                <w:rFonts w:ascii="Arial Narrow" w:hAnsi="Arial Narrow"/>
                <w:b/>
                <w:sz w:val="20"/>
                <w:szCs w:val="20"/>
              </w:rPr>
              <w:t>Prescriber type:</w:t>
            </w:r>
          </w:p>
          <w:p w:rsidR="008B5FC0" w:rsidRPr="007A70FB" w:rsidRDefault="008B5FC0" w:rsidP="006D4030">
            <w:pPr>
              <w:rPr>
                <w:rFonts w:ascii="Arial Narrow" w:hAnsi="Arial Narrow"/>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sz w:val="20"/>
                <w:szCs w:val="20"/>
              </w:rPr>
            </w:pPr>
            <w:r w:rsidRPr="007A70FB">
              <w:rPr>
                <w:rFonts w:ascii="Arial Narrow" w:hAnsi="Arial Narrow"/>
                <w:sz w:val="20"/>
                <w:szCs w:val="20"/>
              </w:rPr>
              <w:fldChar w:fldCharType="begin">
                <w:ffData>
                  <w:name w:val="Check1"/>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 xml:space="preserve">Dental  </w:t>
            </w:r>
            <w:r w:rsidRPr="007A70FB">
              <w:rPr>
                <w:rFonts w:ascii="Arial Narrow" w:hAnsi="Arial Narrow"/>
                <w:sz w:val="20"/>
                <w:szCs w:val="20"/>
              </w:rPr>
              <w:fldChar w:fldCharType="begin">
                <w:ffData>
                  <w:name w:val=""/>
                  <w:enabled/>
                  <w:calcOnExit w:val="0"/>
                  <w:checkBox>
                    <w:sizeAuto/>
                    <w:default w:val="1"/>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 xml:space="preserve">Medical Practitioners  </w:t>
            </w:r>
            <w:r w:rsidRPr="007A70FB">
              <w:rPr>
                <w:rFonts w:ascii="Arial Narrow" w:hAnsi="Arial Narrow"/>
                <w:sz w:val="20"/>
                <w:szCs w:val="20"/>
              </w:rPr>
              <w:fldChar w:fldCharType="begin">
                <w:ffData>
                  <w:name w:val="Check3"/>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 xml:space="preserve">Nurse practitioners  </w:t>
            </w:r>
            <w:r w:rsidRPr="007A70FB">
              <w:rPr>
                <w:rFonts w:ascii="Arial Narrow" w:hAnsi="Arial Narrow"/>
                <w:sz w:val="20"/>
                <w:szCs w:val="20"/>
              </w:rPr>
              <w:fldChar w:fldCharType="begin">
                <w:ffData>
                  <w:name w:val=""/>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Optometrists</w:t>
            </w:r>
          </w:p>
          <w:p w:rsidR="008B5FC0" w:rsidRPr="007A70FB" w:rsidRDefault="008B5FC0" w:rsidP="006D4030">
            <w:pPr>
              <w:rPr>
                <w:rFonts w:ascii="Arial Narrow" w:hAnsi="Arial Narrow"/>
                <w:sz w:val="20"/>
                <w:szCs w:val="20"/>
              </w:rPr>
            </w:pPr>
            <w:r w:rsidRPr="007A70FB">
              <w:rPr>
                <w:rFonts w:ascii="Arial Narrow" w:hAnsi="Arial Narrow"/>
                <w:sz w:val="20"/>
                <w:szCs w:val="20"/>
              </w:rPr>
              <w:fldChar w:fldCharType="begin">
                <w:ffData>
                  <w:name w:val="Check5"/>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Midwives</w:t>
            </w:r>
          </w:p>
        </w:tc>
      </w:tr>
      <w:tr w:rsidR="008B5FC0" w:rsidRPr="007A70FB" w:rsidTr="001524EA">
        <w:trPr>
          <w:trHeight w:val="360"/>
        </w:trPr>
        <w:tc>
          <w:tcPr>
            <w:tcW w:w="2835" w:type="dxa"/>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b/>
                <w:sz w:val="20"/>
                <w:szCs w:val="20"/>
              </w:rPr>
            </w:pPr>
            <w:r w:rsidRPr="007A70FB">
              <w:rPr>
                <w:rFonts w:ascii="Arial Narrow" w:hAnsi="Arial Narrow"/>
                <w:b/>
                <w:sz w:val="20"/>
                <w:szCs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sz w:val="20"/>
                <w:szCs w:val="20"/>
              </w:rPr>
            </w:pPr>
            <w:r w:rsidRPr="007A70FB">
              <w:rPr>
                <w:rFonts w:ascii="Arial Narrow" w:hAnsi="Arial Narrow"/>
                <w:sz w:val="20"/>
                <w:szCs w:val="20"/>
              </w:rPr>
              <w:t>Stage IV (metastatic)</w:t>
            </w:r>
          </w:p>
        </w:tc>
      </w:tr>
      <w:tr w:rsidR="008B5FC0" w:rsidRPr="007A70FB" w:rsidTr="001524EA">
        <w:trPr>
          <w:trHeight w:val="360"/>
        </w:trPr>
        <w:tc>
          <w:tcPr>
            <w:tcW w:w="2835" w:type="dxa"/>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b/>
                <w:sz w:val="20"/>
                <w:szCs w:val="20"/>
              </w:rPr>
            </w:pPr>
            <w:r w:rsidRPr="007A70FB">
              <w:rPr>
                <w:rFonts w:ascii="Arial Narrow" w:hAnsi="Arial Narrow"/>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sz w:val="20"/>
                <w:szCs w:val="20"/>
              </w:rPr>
            </w:pPr>
            <w:r w:rsidRPr="007A70FB">
              <w:rPr>
                <w:rFonts w:ascii="Arial Narrow" w:hAnsi="Arial Narrow"/>
                <w:i/>
                <w:strike/>
                <w:sz w:val="20"/>
                <w:szCs w:val="20"/>
              </w:rPr>
              <w:t>N</w:t>
            </w:r>
            <w:r w:rsidRPr="007A70FB">
              <w:rPr>
                <w:rFonts w:ascii="Arial Narrow" w:hAnsi="Arial Narrow"/>
                <w:i/>
                <w:sz w:val="20"/>
                <w:szCs w:val="20"/>
              </w:rPr>
              <w:t>n</w:t>
            </w:r>
            <w:r w:rsidRPr="007A70FB">
              <w:rPr>
                <w:rFonts w:ascii="Arial Narrow" w:hAnsi="Arial Narrow"/>
                <w:sz w:val="20"/>
                <w:szCs w:val="20"/>
              </w:rPr>
              <w:t>on-small cell lung cancer (NSCLC)</w:t>
            </w:r>
          </w:p>
        </w:tc>
      </w:tr>
      <w:tr w:rsidR="008B5FC0" w:rsidRPr="007A70FB" w:rsidTr="001524EA">
        <w:trPr>
          <w:trHeight w:val="369"/>
        </w:trPr>
        <w:tc>
          <w:tcPr>
            <w:tcW w:w="2835" w:type="dxa"/>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b/>
                <w:sz w:val="20"/>
                <w:szCs w:val="20"/>
              </w:rPr>
            </w:pPr>
            <w:r w:rsidRPr="007A70FB">
              <w:rPr>
                <w:rFonts w:ascii="Arial Narrow" w:hAnsi="Arial Narrow"/>
                <w:b/>
                <w:sz w:val="20"/>
                <w:szCs w:val="20"/>
              </w:rPr>
              <w:t>PBS Indication:</w:t>
            </w:r>
          </w:p>
          <w:p w:rsidR="008B5FC0" w:rsidRPr="007A70FB" w:rsidRDefault="008B5FC0" w:rsidP="006D4030">
            <w:pPr>
              <w:rPr>
                <w:rFonts w:ascii="Arial Narrow" w:hAnsi="Arial Narrow"/>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sz w:val="20"/>
                <w:szCs w:val="20"/>
              </w:rPr>
            </w:pPr>
            <w:r w:rsidRPr="007A70FB">
              <w:rPr>
                <w:rFonts w:ascii="Arial Narrow" w:hAnsi="Arial Narrow"/>
                <w:sz w:val="20"/>
                <w:szCs w:val="20"/>
              </w:rPr>
              <w:t>Stage IV (metastatic) non-small cell lung cancer (NSCLC)</w:t>
            </w:r>
          </w:p>
        </w:tc>
      </w:tr>
      <w:tr w:rsidR="008B5FC0" w:rsidRPr="007A70FB" w:rsidTr="001524EA">
        <w:trPr>
          <w:trHeight w:val="360"/>
        </w:trPr>
        <w:tc>
          <w:tcPr>
            <w:tcW w:w="2835" w:type="dxa"/>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b/>
                <w:sz w:val="20"/>
                <w:szCs w:val="20"/>
              </w:rPr>
            </w:pPr>
            <w:r w:rsidRPr="007A70FB">
              <w:rPr>
                <w:rFonts w:ascii="Arial Narrow" w:hAnsi="Arial Narrow"/>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sz w:val="20"/>
                <w:szCs w:val="20"/>
              </w:rPr>
            </w:pPr>
            <w:r w:rsidRPr="007A70FB">
              <w:rPr>
                <w:rFonts w:ascii="Arial Narrow" w:hAnsi="Arial Narrow"/>
                <w:sz w:val="20"/>
                <w:szCs w:val="20"/>
              </w:rPr>
              <w:t>Initial treatment</w:t>
            </w:r>
          </w:p>
        </w:tc>
      </w:tr>
      <w:tr w:rsidR="008B5FC0" w:rsidRPr="007A70FB" w:rsidTr="001524EA">
        <w:trPr>
          <w:trHeight w:val="360"/>
        </w:trPr>
        <w:tc>
          <w:tcPr>
            <w:tcW w:w="2835" w:type="dxa"/>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b/>
                <w:sz w:val="20"/>
                <w:szCs w:val="20"/>
              </w:rPr>
            </w:pPr>
            <w:r w:rsidRPr="007A70FB">
              <w:rPr>
                <w:rFonts w:ascii="Arial Narrow" w:hAnsi="Arial Narrow"/>
                <w:b/>
                <w:sz w:val="20"/>
                <w:szCs w:val="20"/>
              </w:rPr>
              <w:t>Restriction Level / Method:</w:t>
            </w:r>
          </w:p>
          <w:p w:rsidR="008B5FC0" w:rsidRPr="007A70FB" w:rsidRDefault="008B5FC0" w:rsidP="006D4030">
            <w:pPr>
              <w:rPr>
                <w:rFonts w:ascii="Arial Narrow" w:hAnsi="Arial Narrow"/>
                <w:i/>
                <w:sz w:val="20"/>
                <w:szCs w:val="20"/>
              </w:rPr>
            </w:pPr>
          </w:p>
          <w:p w:rsidR="008B5FC0" w:rsidRPr="007A70FB" w:rsidRDefault="008B5FC0" w:rsidP="006D4030">
            <w:pPr>
              <w:rPr>
                <w:rFonts w:ascii="Arial Narrow" w:hAnsi="Arial Narrow"/>
                <w:i/>
                <w:sz w:val="20"/>
                <w:szCs w:val="20"/>
              </w:rPr>
            </w:pPr>
          </w:p>
          <w:p w:rsidR="008B5FC0" w:rsidRPr="007A70FB" w:rsidRDefault="008B5FC0" w:rsidP="006D4030">
            <w:pPr>
              <w:rPr>
                <w:rFonts w:ascii="Arial Narrow" w:hAnsi="Arial Narrow"/>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sz w:val="20"/>
                <w:szCs w:val="20"/>
              </w:rPr>
            </w:pPr>
            <w:r w:rsidRPr="007A70FB">
              <w:rPr>
                <w:rFonts w:ascii="Arial Narrow" w:hAnsi="Arial Narrow"/>
                <w:sz w:val="20"/>
                <w:szCs w:val="20"/>
              </w:rPr>
              <w:fldChar w:fldCharType="begin">
                <w:ffData>
                  <w:name w:val="Check1"/>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Restricted benefit</w:t>
            </w:r>
          </w:p>
          <w:p w:rsidR="008B5FC0" w:rsidRPr="007A70FB" w:rsidRDefault="008B5FC0" w:rsidP="006D4030">
            <w:pPr>
              <w:rPr>
                <w:rFonts w:ascii="Arial Narrow" w:hAnsi="Arial Narrow"/>
                <w:sz w:val="20"/>
                <w:szCs w:val="20"/>
              </w:rPr>
            </w:pPr>
            <w:r w:rsidRPr="007A70FB">
              <w:rPr>
                <w:rFonts w:ascii="Arial Narrow" w:hAnsi="Arial Narrow"/>
                <w:sz w:val="20"/>
                <w:szCs w:val="20"/>
              </w:rPr>
              <w:fldChar w:fldCharType="begin">
                <w:ffData>
                  <w:name w:val=""/>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Authority Required – In Writing</w:t>
            </w:r>
          </w:p>
          <w:p w:rsidR="008B5FC0" w:rsidRPr="007A70FB" w:rsidRDefault="008B5FC0" w:rsidP="006D4030">
            <w:pPr>
              <w:rPr>
                <w:rFonts w:ascii="Arial Narrow" w:hAnsi="Arial Narrow"/>
                <w:sz w:val="20"/>
                <w:szCs w:val="20"/>
              </w:rPr>
            </w:pPr>
            <w:r w:rsidRPr="007A70FB">
              <w:rPr>
                <w:rFonts w:ascii="Arial Narrow" w:hAnsi="Arial Narrow"/>
                <w:sz w:val="20"/>
                <w:szCs w:val="20"/>
              </w:rPr>
              <w:fldChar w:fldCharType="begin">
                <w:ffData>
                  <w:name w:val="Check3"/>
                  <w:enabled/>
                  <w:calcOnExit w:val="0"/>
                  <w:checkBox>
                    <w:sizeAuto/>
                    <w:default w:val="1"/>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Authority Required – Telephone/Electronic/Emergency</w:t>
            </w:r>
          </w:p>
          <w:p w:rsidR="008B5FC0" w:rsidRPr="007A70FB" w:rsidRDefault="008B5FC0" w:rsidP="006D4030">
            <w:pPr>
              <w:rPr>
                <w:rFonts w:ascii="Arial Narrow" w:hAnsi="Arial Narrow"/>
                <w:sz w:val="20"/>
                <w:szCs w:val="20"/>
              </w:rPr>
            </w:pPr>
            <w:r w:rsidRPr="007A70FB">
              <w:rPr>
                <w:rFonts w:ascii="Arial Narrow" w:hAnsi="Arial Narrow"/>
                <w:sz w:val="20"/>
                <w:szCs w:val="20"/>
              </w:rPr>
              <w:fldChar w:fldCharType="begin">
                <w:ffData>
                  <w:name w:val="Check5"/>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Streamlined</w:t>
            </w:r>
          </w:p>
        </w:tc>
      </w:tr>
      <w:tr w:rsidR="008B5FC0" w:rsidRPr="007A70FB" w:rsidTr="001524EA">
        <w:trPr>
          <w:trHeight w:val="360"/>
        </w:trPr>
        <w:tc>
          <w:tcPr>
            <w:tcW w:w="2835" w:type="dxa"/>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b/>
                <w:sz w:val="20"/>
                <w:szCs w:val="20"/>
              </w:rPr>
            </w:pPr>
            <w:r w:rsidRPr="007A70FB">
              <w:rPr>
                <w:rFonts w:ascii="Arial Narrow" w:hAnsi="Arial Narrow"/>
                <w:b/>
                <w:sz w:val="20"/>
                <w:szCs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sz w:val="20"/>
                <w:szCs w:val="20"/>
              </w:rPr>
            </w:pPr>
            <w:r w:rsidRPr="007A70FB">
              <w:rPr>
                <w:rFonts w:ascii="Arial Narrow" w:hAnsi="Arial Narrow"/>
                <w:strike/>
                <w:sz w:val="20"/>
                <w:szCs w:val="20"/>
              </w:rPr>
              <w:t>Must be treated by a medical practitioner</w:t>
            </w:r>
          </w:p>
        </w:tc>
      </w:tr>
      <w:tr w:rsidR="008B5FC0" w:rsidRPr="007A70FB" w:rsidTr="001524EA">
        <w:trPr>
          <w:trHeight w:val="657"/>
        </w:trPr>
        <w:tc>
          <w:tcPr>
            <w:tcW w:w="2835" w:type="dxa"/>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b/>
                <w:sz w:val="20"/>
                <w:szCs w:val="20"/>
              </w:rPr>
            </w:pPr>
            <w:r w:rsidRPr="007A70FB">
              <w:rPr>
                <w:rFonts w:ascii="Arial Narrow" w:hAnsi="Arial Narrow"/>
                <w:b/>
                <w:sz w:val="20"/>
                <w:szCs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sz w:val="20"/>
                <w:szCs w:val="20"/>
              </w:rPr>
            </w:pPr>
            <w:r w:rsidRPr="007A70FB">
              <w:rPr>
                <w:rFonts w:ascii="Arial Narrow" w:hAnsi="Arial Narrow"/>
                <w:sz w:val="20"/>
                <w:szCs w:val="20"/>
              </w:rPr>
              <w:t xml:space="preserve">The treatment must be as monotherapy, </w:t>
            </w:r>
          </w:p>
          <w:p w:rsidR="008B5FC0" w:rsidRPr="007A70FB" w:rsidRDefault="008B5FC0" w:rsidP="006D4030">
            <w:pPr>
              <w:rPr>
                <w:rFonts w:ascii="Arial Narrow" w:hAnsi="Arial Narrow"/>
                <w:sz w:val="20"/>
                <w:szCs w:val="20"/>
              </w:rPr>
            </w:pPr>
            <w:r w:rsidRPr="007A70FB">
              <w:rPr>
                <w:rFonts w:ascii="Arial Narrow" w:hAnsi="Arial Narrow"/>
                <w:sz w:val="20"/>
                <w:szCs w:val="20"/>
              </w:rPr>
              <w:t>AND</w:t>
            </w:r>
          </w:p>
          <w:p w:rsidR="008B5FC0" w:rsidRPr="007A70FB" w:rsidRDefault="008B5FC0" w:rsidP="006D4030">
            <w:pPr>
              <w:rPr>
                <w:rFonts w:ascii="Arial Narrow" w:hAnsi="Arial Narrow"/>
                <w:sz w:val="20"/>
                <w:szCs w:val="20"/>
              </w:rPr>
            </w:pPr>
          </w:p>
          <w:p w:rsidR="008B5FC0" w:rsidRPr="007A70FB" w:rsidRDefault="008B5FC0" w:rsidP="006D4030">
            <w:pPr>
              <w:rPr>
                <w:rFonts w:ascii="Arial Narrow" w:hAnsi="Arial Narrow"/>
                <w:i/>
                <w:sz w:val="20"/>
                <w:szCs w:val="20"/>
              </w:rPr>
            </w:pPr>
            <w:r w:rsidRPr="007A70FB">
              <w:rPr>
                <w:rFonts w:ascii="Arial Narrow" w:hAnsi="Arial Narrow"/>
                <w:i/>
                <w:sz w:val="20"/>
                <w:szCs w:val="20"/>
              </w:rPr>
              <w:t>The patient must have evidence of an anaplastic lymphoma kinase</w:t>
            </w:r>
            <w:r w:rsidRPr="007A70FB">
              <w:rPr>
                <w:rFonts w:ascii="Arial Narrow" w:hAnsi="Arial Narrow"/>
                <w:sz w:val="20"/>
                <w:szCs w:val="20"/>
              </w:rPr>
              <w:t xml:space="preserve"> (</w:t>
            </w:r>
            <w:r w:rsidRPr="007A70FB">
              <w:rPr>
                <w:rFonts w:ascii="Arial Narrow" w:hAnsi="Arial Narrow"/>
                <w:i/>
                <w:sz w:val="20"/>
                <w:szCs w:val="20"/>
              </w:rPr>
              <w:t>ALK) gene rearrangement,</w:t>
            </w:r>
          </w:p>
          <w:p w:rsidR="008B5FC0" w:rsidRPr="007A70FB" w:rsidRDefault="008B5FC0" w:rsidP="006D4030">
            <w:pPr>
              <w:rPr>
                <w:rFonts w:ascii="Arial Narrow" w:hAnsi="Arial Narrow"/>
                <w:i/>
                <w:sz w:val="20"/>
                <w:szCs w:val="20"/>
              </w:rPr>
            </w:pPr>
            <w:r w:rsidRPr="007A70FB">
              <w:rPr>
                <w:rFonts w:ascii="Arial Narrow" w:hAnsi="Arial Narrow"/>
                <w:i/>
                <w:sz w:val="20"/>
                <w:szCs w:val="20"/>
              </w:rPr>
              <w:t>AND</w:t>
            </w:r>
          </w:p>
          <w:p w:rsidR="008B5FC0" w:rsidRPr="007A70FB" w:rsidRDefault="008B5FC0" w:rsidP="006D4030">
            <w:pPr>
              <w:rPr>
                <w:rFonts w:ascii="Arial Narrow" w:hAnsi="Arial Narrow"/>
                <w:i/>
                <w:sz w:val="20"/>
                <w:szCs w:val="20"/>
              </w:rPr>
            </w:pPr>
          </w:p>
          <w:p w:rsidR="008B5FC0" w:rsidRPr="007A70FB" w:rsidRDefault="008B5FC0" w:rsidP="006D4030">
            <w:pPr>
              <w:rPr>
                <w:rFonts w:ascii="Arial Narrow" w:hAnsi="Arial Narrow"/>
                <w:sz w:val="20"/>
                <w:szCs w:val="20"/>
              </w:rPr>
            </w:pPr>
            <w:r w:rsidRPr="007A70FB">
              <w:rPr>
                <w:rFonts w:ascii="Arial Narrow" w:hAnsi="Arial Narrow"/>
                <w:sz w:val="20"/>
                <w:szCs w:val="20"/>
              </w:rPr>
              <w:t xml:space="preserve">The condition must be non-squamous type non-small cell lung cancer (NSCLC) or not otherwise specified type NSCLC, </w:t>
            </w:r>
          </w:p>
          <w:p w:rsidR="008B5FC0" w:rsidRPr="007A70FB" w:rsidRDefault="008B5FC0" w:rsidP="006D4030">
            <w:pPr>
              <w:rPr>
                <w:rFonts w:ascii="Arial Narrow" w:hAnsi="Arial Narrow"/>
                <w:sz w:val="20"/>
                <w:szCs w:val="20"/>
              </w:rPr>
            </w:pPr>
            <w:r w:rsidRPr="007A70FB">
              <w:rPr>
                <w:rFonts w:ascii="Arial Narrow" w:hAnsi="Arial Narrow"/>
                <w:sz w:val="20"/>
                <w:szCs w:val="20"/>
              </w:rPr>
              <w:t xml:space="preserve">AND </w:t>
            </w:r>
          </w:p>
          <w:p w:rsidR="008B5FC0" w:rsidRPr="007A70FB" w:rsidRDefault="008B5FC0" w:rsidP="006D4030">
            <w:pPr>
              <w:rPr>
                <w:rFonts w:ascii="Arial Narrow" w:hAnsi="Arial Narrow"/>
                <w:sz w:val="20"/>
                <w:szCs w:val="20"/>
              </w:rPr>
            </w:pPr>
          </w:p>
          <w:p w:rsidR="008B5FC0" w:rsidRPr="007A70FB" w:rsidRDefault="008B5FC0" w:rsidP="006D4030">
            <w:pPr>
              <w:rPr>
                <w:rFonts w:ascii="Arial Narrow" w:hAnsi="Arial Narrow"/>
                <w:sz w:val="20"/>
                <w:szCs w:val="20"/>
              </w:rPr>
            </w:pPr>
            <w:r w:rsidRPr="007A70FB">
              <w:rPr>
                <w:rFonts w:ascii="Arial Narrow" w:hAnsi="Arial Narrow"/>
                <w:sz w:val="20"/>
                <w:szCs w:val="20"/>
              </w:rPr>
              <w:t>Patient must have a WHO performance status of 2 or less,</w:t>
            </w:r>
          </w:p>
          <w:p w:rsidR="008B5FC0" w:rsidRPr="007A70FB" w:rsidRDefault="008B5FC0" w:rsidP="006D4030">
            <w:pPr>
              <w:rPr>
                <w:rFonts w:ascii="Arial Narrow" w:hAnsi="Arial Narrow"/>
                <w:sz w:val="20"/>
                <w:szCs w:val="20"/>
              </w:rPr>
            </w:pPr>
            <w:r w:rsidRPr="007A70FB">
              <w:rPr>
                <w:rFonts w:ascii="Arial Narrow" w:hAnsi="Arial Narrow"/>
                <w:sz w:val="20"/>
                <w:szCs w:val="20"/>
              </w:rPr>
              <w:t xml:space="preserve">AND </w:t>
            </w:r>
          </w:p>
          <w:p w:rsidR="008B5FC0" w:rsidRPr="007A70FB" w:rsidRDefault="008B5FC0" w:rsidP="006D4030">
            <w:pPr>
              <w:rPr>
                <w:rFonts w:ascii="Arial Narrow" w:hAnsi="Arial Narrow"/>
                <w:sz w:val="20"/>
                <w:szCs w:val="20"/>
              </w:rPr>
            </w:pPr>
          </w:p>
          <w:p w:rsidR="008B5FC0" w:rsidRPr="008B3318" w:rsidRDefault="008B5FC0" w:rsidP="001C0B32">
            <w:pPr>
              <w:rPr>
                <w:rFonts w:ascii="Arial Narrow" w:hAnsi="Arial Narrow"/>
                <w:strike/>
                <w:sz w:val="20"/>
                <w:szCs w:val="20"/>
              </w:rPr>
            </w:pPr>
            <w:r w:rsidRPr="008B3318">
              <w:rPr>
                <w:rFonts w:ascii="Arial Narrow" w:hAnsi="Arial Narrow"/>
                <w:strike/>
                <w:sz w:val="20"/>
                <w:szCs w:val="20"/>
              </w:rPr>
              <w:t>The condition must have progressed following treatment with a prior ALK</w:t>
            </w:r>
            <w:r w:rsidRPr="008B3318">
              <w:rPr>
                <w:rFonts w:ascii="Arial Narrow" w:hAnsi="Arial Narrow"/>
                <w:i/>
                <w:strike/>
                <w:sz w:val="20"/>
                <w:szCs w:val="20"/>
              </w:rPr>
              <w:t xml:space="preserve"> </w:t>
            </w:r>
            <w:r w:rsidRPr="008B3318">
              <w:rPr>
                <w:rFonts w:ascii="Arial Narrow" w:hAnsi="Arial Narrow"/>
                <w:strike/>
                <w:sz w:val="20"/>
                <w:szCs w:val="20"/>
              </w:rPr>
              <w:t>inhibitor</w:t>
            </w:r>
            <w:r w:rsidR="00E462E1" w:rsidRPr="008B3318">
              <w:rPr>
                <w:rFonts w:ascii="Arial Narrow" w:hAnsi="Arial Narrow"/>
                <w:strike/>
                <w:sz w:val="20"/>
                <w:szCs w:val="20"/>
              </w:rPr>
              <w:t xml:space="preserve"> </w:t>
            </w:r>
            <w:r w:rsidR="00C63645" w:rsidRPr="008B3318">
              <w:rPr>
                <w:rFonts w:ascii="Arial Narrow" w:hAnsi="Arial Narrow"/>
                <w:i/>
                <w:iCs/>
                <w:strike/>
                <w:sz w:val="20"/>
                <w:szCs w:val="20"/>
              </w:rPr>
              <w:t>crizotinib and at least one other ALK inhibitor</w:t>
            </w:r>
            <w:r w:rsidR="008B3318" w:rsidRPr="008B3318">
              <w:rPr>
                <w:rFonts w:ascii="Arial Narrow" w:hAnsi="Arial Narrow"/>
                <w:strike/>
                <w:sz w:val="20"/>
                <w:szCs w:val="20"/>
              </w:rPr>
              <w:t>; OR</w:t>
            </w:r>
          </w:p>
          <w:p w:rsidR="00C63645" w:rsidRPr="007A70FB" w:rsidRDefault="00C63645" w:rsidP="001C0B32">
            <w:pPr>
              <w:rPr>
                <w:rFonts w:ascii="Arial Narrow" w:hAnsi="Arial Narrow"/>
                <w:i/>
                <w:iCs/>
                <w:sz w:val="20"/>
                <w:szCs w:val="20"/>
              </w:rPr>
            </w:pPr>
            <w:r w:rsidRPr="007A70FB">
              <w:rPr>
                <w:rFonts w:ascii="Arial Narrow" w:hAnsi="Arial Narrow"/>
                <w:i/>
                <w:iCs/>
                <w:sz w:val="20"/>
                <w:szCs w:val="20"/>
              </w:rPr>
              <w:t>The condition must have progressed following treatment with an ALK inhibitor other than crizotinib</w:t>
            </w:r>
            <w:r w:rsidR="008B3318">
              <w:rPr>
                <w:rFonts w:ascii="Arial Narrow" w:hAnsi="Arial Narrow"/>
                <w:i/>
                <w:iCs/>
                <w:sz w:val="20"/>
                <w:szCs w:val="20"/>
              </w:rPr>
              <w:t>;OR</w:t>
            </w:r>
          </w:p>
          <w:p w:rsidR="00C63645" w:rsidRPr="007A70FB" w:rsidRDefault="00C63645" w:rsidP="001C0B32">
            <w:pPr>
              <w:rPr>
                <w:rFonts w:ascii="Arial Narrow" w:hAnsi="Arial Narrow"/>
                <w:i/>
                <w:iCs/>
                <w:sz w:val="20"/>
                <w:szCs w:val="20"/>
              </w:rPr>
            </w:pPr>
          </w:p>
          <w:p w:rsidR="008B5FC0" w:rsidRPr="007A70FB" w:rsidRDefault="008B5FC0" w:rsidP="001C0B32">
            <w:pPr>
              <w:rPr>
                <w:rFonts w:ascii="Arial Narrow" w:hAnsi="Arial Narrow"/>
                <w:sz w:val="20"/>
                <w:szCs w:val="20"/>
              </w:rPr>
            </w:pPr>
            <w:r w:rsidRPr="007A70FB">
              <w:rPr>
                <w:rFonts w:ascii="Arial Narrow" w:hAnsi="Arial Narrow"/>
                <w:sz w:val="20"/>
                <w:szCs w:val="20"/>
              </w:rPr>
              <w:t xml:space="preserve">Patient must have developed intolerance to a prior ALK </w:t>
            </w:r>
            <w:r w:rsidR="0003100F">
              <w:rPr>
                <w:rFonts w:ascii="Arial Narrow" w:hAnsi="Arial Narrow"/>
                <w:sz w:val="20"/>
                <w:szCs w:val="20"/>
              </w:rPr>
              <w:t>i</w:t>
            </w:r>
            <w:r w:rsidRPr="007A70FB">
              <w:rPr>
                <w:rFonts w:ascii="Arial Narrow" w:hAnsi="Arial Narrow"/>
                <w:sz w:val="20"/>
                <w:szCs w:val="20"/>
              </w:rPr>
              <w:t>nhibitor</w:t>
            </w:r>
            <w:r w:rsidRPr="007A70FB">
              <w:rPr>
                <w:rFonts w:ascii="Arial Narrow" w:hAnsi="Arial Narrow"/>
                <w:i/>
                <w:iCs/>
                <w:sz w:val="20"/>
                <w:szCs w:val="20"/>
              </w:rPr>
              <w:t xml:space="preserve"> </w:t>
            </w:r>
            <w:r w:rsidRPr="007A70FB">
              <w:rPr>
                <w:rFonts w:ascii="Arial Narrow" w:hAnsi="Arial Narrow"/>
                <w:sz w:val="20"/>
                <w:szCs w:val="20"/>
              </w:rPr>
              <w:t>of a severity necessitating permanent treatment withdrawal.</w:t>
            </w:r>
          </w:p>
        </w:tc>
      </w:tr>
      <w:tr w:rsidR="008B5FC0" w:rsidRPr="007A70FB" w:rsidTr="001524EA">
        <w:trPr>
          <w:trHeight w:val="489"/>
        </w:trPr>
        <w:tc>
          <w:tcPr>
            <w:tcW w:w="2835" w:type="dxa"/>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sz w:val="20"/>
                <w:szCs w:val="20"/>
              </w:rPr>
            </w:pPr>
            <w:r w:rsidRPr="007A70FB">
              <w:rPr>
                <w:rFonts w:ascii="Arial Narrow" w:hAnsi="Arial Narrow"/>
                <w:b/>
                <w:sz w:val="20"/>
                <w:szCs w:val="20"/>
              </w:rPr>
              <w:lastRenderedPageBreak/>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sz w:val="20"/>
                <w:szCs w:val="20"/>
              </w:rPr>
            </w:pPr>
            <w:r w:rsidRPr="007A70FB">
              <w:rPr>
                <w:rFonts w:ascii="Arial Narrow" w:hAnsi="Arial Narrow"/>
                <w:strike/>
                <w:sz w:val="20"/>
                <w:szCs w:val="20"/>
              </w:rPr>
              <w:t xml:space="preserve">Patient must have prior evidence of an anaplastic lymphoma kinase (ALK) gene rearrangement in tumour material, defined as ≥ 15% positive cells by fluorescence in situ hybridisation (FISH) testing. </w:t>
            </w:r>
          </w:p>
        </w:tc>
      </w:tr>
      <w:tr w:rsidR="008B5FC0" w:rsidRPr="007A70FB" w:rsidTr="001524EA">
        <w:trPr>
          <w:trHeight w:val="360"/>
        </w:trPr>
        <w:tc>
          <w:tcPr>
            <w:tcW w:w="2835" w:type="dxa"/>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b/>
                <w:sz w:val="20"/>
                <w:szCs w:val="20"/>
              </w:rPr>
            </w:pPr>
            <w:r w:rsidRPr="007A70FB">
              <w:rPr>
                <w:rFonts w:ascii="Arial Narrow" w:hAnsi="Arial Narrow"/>
                <w:b/>
                <w:sz w:val="20"/>
                <w:szCs w:val="20"/>
              </w:rPr>
              <w:t>Administrative Advice:</w:t>
            </w:r>
          </w:p>
          <w:p w:rsidR="008B5FC0" w:rsidRPr="007A70FB" w:rsidRDefault="008B5FC0" w:rsidP="006D4030">
            <w:pPr>
              <w:rPr>
                <w:rFonts w:ascii="Arial Narrow" w:hAnsi="Arial Narrow"/>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sz w:val="20"/>
                <w:szCs w:val="20"/>
              </w:rPr>
            </w:pPr>
            <w:r w:rsidRPr="007A70FB">
              <w:rPr>
                <w:rFonts w:ascii="Arial Narrow" w:hAnsi="Arial Narrow"/>
                <w:sz w:val="20"/>
                <w:szCs w:val="20"/>
              </w:rPr>
              <w:t>No increase in the maximum quantity or number of units may be authorised.</w:t>
            </w:r>
          </w:p>
          <w:p w:rsidR="008B5FC0" w:rsidRPr="007A70FB" w:rsidRDefault="008B5FC0" w:rsidP="006D4030">
            <w:pPr>
              <w:rPr>
                <w:rFonts w:ascii="Arial Narrow" w:hAnsi="Arial Narrow"/>
                <w:sz w:val="20"/>
                <w:szCs w:val="20"/>
              </w:rPr>
            </w:pPr>
          </w:p>
          <w:p w:rsidR="008B5FC0" w:rsidRPr="007A70FB" w:rsidRDefault="008B5FC0" w:rsidP="006D4030">
            <w:pPr>
              <w:rPr>
                <w:rFonts w:ascii="Arial Narrow" w:hAnsi="Arial Narrow"/>
                <w:sz w:val="20"/>
                <w:szCs w:val="20"/>
              </w:rPr>
            </w:pPr>
            <w:r w:rsidRPr="007A70FB">
              <w:rPr>
                <w:rFonts w:ascii="Arial Narrow" w:hAnsi="Arial Narrow"/>
                <w:sz w:val="20"/>
                <w:szCs w:val="20"/>
              </w:rPr>
              <w:t xml:space="preserve">No increase in the maximum number of repeats may be authorised. </w:t>
            </w:r>
          </w:p>
          <w:p w:rsidR="008B5FC0" w:rsidRPr="007A70FB" w:rsidRDefault="008B5FC0" w:rsidP="006D4030">
            <w:pPr>
              <w:rPr>
                <w:rFonts w:ascii="Arial Narrow" w:hAnsi="Arial Narrow"/>
                <w:sz w:val="20"/>
                <w:szCs w:val="20"/>
              </w:rPr>
            </w:pPr>
          </w:p>
          <w:p w:rsidR="008B5FC0" w:rsidRPr="007A70FB" w:rsidRDefault="008B5FC0" w:rsidP="006D4030">
            <w:pPr>
              <w:rPr>
                <w:rFonts w:ascii="Arial Narrow" w:hAnsi="Arial Narrow"/>
                <w:sz w:val="20"/>
                <w:szCs w:val="20"/>
              </w:rPr>
            </w:pPr>
            <w:r w:rsidRPr="007A70FB">
              <w:rPr>
                <w:rFonts w:ascii="Arial Narrow" w:hAnsi="Arial Narrow"/>
                <w:sz w:val="20"/>
                <w:szCs w:val="20"/>
              </w:rPr>
              <w:t xml:space="preserve">Special Pricing Arrangements apply. </w:t>
            </w:r>
          </w:p>
        </w:tc>
      </w:tr>
    </w:tbl>
    <w:p w:rsidR="00F32222" w:rsidRPr="007A70FB" w:rsidRDefault="00F32222" w:rsidP="00F32222">
      <w:pPr>
        <w:pStyle w:val="ListParagraph"/>
        <w:widowControl/>
        <w:spacing w:before="120" w:after="120"/>
      </w:pPr>
    </w:p>
    <w:tbl>
      <w:tblPr>
        <w:tblW w:w="9214" w:type="dxa"/>
        <w:tblLayout w:type="fixed"/>
        <w:tblLook w:val="0000" w:firstRow="0" w:lastRow="0" w:firstColumn="0" w:lastColumn="0" w:noHBand="0" w:noVBand="0"/>
      </w:tblPr>
      <w:tblGrid>
        <w:gridCol w:w="2835"/>
        <w:gridCol w:w="426"/>
        <w:gridCol w:w="567"/>
        <w:gridCol w:w="850"/>
        <w:gridCol w:w="1701"/>
        <w:gridCol w:w="1276"/>
        <w:gridCol w:w="1559"/>
      </w:tblGrid>
      <w:tr w:rsidR="008B5FC0" w:rsidRPr="007A70FB" w:rsidTr="006D4030">
        <w:trPr>
          <w:cantSplit/>
          <w:trHeight w:val="170"/>
        </w:trPr>
        <w:tc>
          <w:tcPr>
            <w:tcW w:w="3261" w:type="dxa"/>
            <w:gridSpan w:val="2"/>
            <w:tcBorders>
              <w:bottom w:val="single" w:sz="4" w:space="0" w:color="auto"/>
            </w:tcBorders>
          </w:tcPr>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Name, Restriction,</w:t>
            </w:r>
          </w:p>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Manner of administration and form</w:t>
            </w:r>
          </w:p>
        </w:tc>
        <w:tc>
          <w:tcPr>
            <w:tcW w:w="567" w:type="dxa"/>
            <w:tcBorders>
              <w:bottom w:val="single" w:sz="4" w:space="0" w:color="auto"/>
            </w:tcBorders>
          </w:tcPr>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Max.</w:t>
            </w:r>
          </w:p>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Qty</w:t>
            </w:r>
          </w:p>
        </w:tc>
        <w:tc>
          <w:tcPr>
            <w:tcW w:w="850" w:type="dxa"/>
            <w:tcBorders>
              <w:bottom w:val="single" w:sz="4" w:space="0" w:color="auto"/>
            </w:tcBorders>
          </w:tcPr>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№.of</w:t>
            </w:r>
          </w:p>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Rpts</w:t>
            </w:r>
          </w:p>
        </w:tc>
        <w:tc>
          <w:tcPr>
            <w:tcW w:w="1701" w:type="dxa"/>
            <w:tcBorders>
              <w:bottom w:val="single" w:sz="4" w:space="0" w:color="auto"/>
            </w:tcBorders>
          </w:tcPr>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Dispensed Price for Max. Qty</w:t>
            </w:r>
          </w:p>
        </w:tc>
        <w:tc>
          <w:tcPr>
            <w:tcW w:w="2835" w:type="dxa"/>
            <w:gridSpan w:val="2"/>
            <w:tcBorders>
              <w:bottom w:val="single" w:sz="4" w:space="0" w:color="auto"/>
            </w:tcBorders>
          </w:tcPr>
          <w:p w:rsidR="008B5FC0" w:rsidRPr="007A70FB" w:rsidRDefault="008B5FC0" w:rsidP="006D4030">
            <w:pPr>
              <w:keepNext/>
              <w:rPr>
                <w:rFonts w:ascii="Arial Narrow" w:hAnsi="Arial Narrow"/>
                <w:sz w:val="20"/>
                <w:szCs w:val="20"/>
              </w:rPr>
            </w:pPr>
            <w:r w:rsidRPr="007A70FB">
              <w:rPr>
                <w:rFonts w:ascii="Arial Narrow" w:hAnsi="Arial Narrow"/>
                <w:sz w:val="20"/>
                <w:szCs w:val="20"/>
              </w:rPr>
              <w:t>Proprietary Name and Manufacturer</w:t>
            </w:r>
          </w:p>
        </w:tc>
      </w:tr>
      <w:tr w:rsidR="008B5FC0" w:rsidRPr="007A70FB" w:rsidTr="006D4030">
        <w:trPr>
          <w:cantSplit/>
          <w:trHeight w:val="170"/>
        </w:trPr>
        <w:tc>
          <w:tcPr>
            <w:tcW w:w="3261" w:type="dxa"/>
            <w:gridSpan w:val="2"/>
          </w:tcPr>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LORLATINIB</w:t>
            </w:r>
          </w:p>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25 mg tablet, 90</w:t>
            </w:r>
          </w:p>
          <w:p w:rsidR="008B5FC0" w:rsidRPr="007A70FB" w:rsidRDefault="008B5FC0" w:rsidP="006D4030">
            <w:pPr>
              <w:keepNext/>
              <w:ind w:left="-108"/>
              <w:rPr>
                <w:rFonts w:ascii="Arial Narrow" w:hAnsi="Arial Narrow"/>
                <w:sz w:val="20"/>
                <w:szCs w:val="20"/>
              </w:rPr>
            </w:pPr>
          </w:p>
          <w:p w:rsidR="008B5FC0" w:rsidRPr="007A70FB" w:rsidRDefault="008B5FC0" w:rsidP="006D4030">
            <w:pPr>
              <w:keepNext/>
              <w:ind w:left="-108"/>
              <w:rPr>
                <w:rFonts w:ascii="Arial Narrow" w:hAnsi="Arial Narrow"/>
                <w:color w:val="FF0000"/>
                <w:sz w:val="20"/>
                <w:szCs w:val="20"/>
              </w:rPr>
            </w:pPr>
            <w:r w:rsidRPr="007A70FB">
              <w:rPr>
                <w:rFonts w:ascii="Arial Narrow" w:hAnsi="Arial Narrow"/>
                <w:sz w:val="20"/>
                <w:szCs w:val="20"/>
              </w:rPr>
              <w:t>100 mg tablet, 30</w:t>
            </w:r>
          </w:p>
        </w:tc>
        <w:tc>
          <w:tcPr>
            <w:tcW w:w="567" w:type="dxa"/>
          </w:tcPr>
          <w:p w:rsidR="008B5FC0" w:rsidRPr="007A70FB" w:rsidRDefault="008B5FC0" w:rsidP="006D4030">
            <w:pPr>
              <w:keepNext/>
              <w:ind w:left="-108"/>
              <w:rPr>
                <w:rFonts w:ascii="Arial Narrow" w:hAnsi="Arial Narrow"/>
                <w:sz w:val="20"/>
                <w:szCs w:val="20"/>
              </w:rPr>
            </w:pPr>
          </w:p>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1</w:t>
            </w:r>
          </w:p>
          <w:p w:rsidR="008B5FC0" w:rsidRPr="007A70FB" w:rsidRDefault="008B5FC0" w:rsidP="006D4030">
            <w:pPr>
              <w:keepNext/>
              <w:ind w:left="-108"/>
              <w:rPr>
                <w:rFonts w:ascii="Arial Narrow" w:hAnsi="Arial Narrow"/>
                <w:sz w:val="20"/>
                <w:szCs w:val="20"/>
              </w:rPr>
            </w:pPr>
          </w:p>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1</w:t>
            </w:r>
          </w:p>
        </w:tc>
        <w:tc>
          <w:tcPr>
            <w:tcW w:w="850" w:type="dxa"/>
          </w:tcPr>
          <w:p w:rsidR="008B5FC0" w:rsidRPr="007A70FB" w:rsidRDefault="008B5FC0" w:rsidP="006D4030">
            <w:pPr>
              <w:keepNext/>
              <w:ind w:left="-108"/>
              <w:rPr>
                <w:rFonts w:ascii="Arial Narrow" w:hAnsi="Arial Narrow"/>
                <w:sz w:val="20"/>
                <w:szCs w:val="20"/>
              </w:rPr>
            </w:pPr>
          </w:p>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1</w:t>
            </w:r>
          </w:p>
          <w:p w:rsidR="008B5FC0" w:rsidRPr="007A70FB" w:rsidRDefault="008B5FC0" w:rsidP="006D4030">
            <w:pPr>
              <w:keepNext/>
              <w:ind w:left="-108"/>
              <w:rPr>
                <w:rFonts w:ascii="Arial Narrow" w:hAnsi="Arial Narrow"/>
                <w:sz w:val="20"/>
                <w:szCs w:val="20"/>
              </w:rPr>
            </w:pPr>
          </w:p>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1</w:t>
            </w:r>
          </w:p>
        </w:tc>
        <w:tc>
          <w:tcPr>
            <w:tcW w:w="1701" w:type="dxa"/>
          </w:tcPr>
          <w:p w:rsidR="008B5FC0" w:rsidRPr="007A70FB" w:rsidRDefault="008B5FC0" w:rsidP="006D4030">
            <w:pPr>
              <w:keepNext/>
              <w:ind w:left="-108"/>
              <w:rPr>
                <w:rFonts w:ascii="Arial Narrow" w:hAnsi="Arial Narrow"/>
                <w:sz w:val="20"/>
                <w:szCs w:val="20"/>
              </w:rPr>
            </w:pPr>
          </w:p>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w:t>
            </w:r>
            <w:r w:rsidR="00FF4479">
              <w:rPr>
                <w:rFonts w:ascii="Arial Narrow" w:hAnsi="Arial Narrow"/>
                <w:noProof/>
                <w:color w:val="000000"/>
                <w:sz w:val="20"/>
                <w:szCs w:val="20"/>
                <w:highlight w:val="black"/>
              </w:rPr>
              <w:t>''''''''''''''''''''</w:t>
            </w:r>
            <w:r w:rsidRPr="007A70FB">
              <w:rPr>
                <w:rFonts w:ascii="Arial Narrow" w:hAnsi="Arial Narrow"/>
                <w:sz w:val="20"/>
                <w:szCs w:val="20"/>
              </w:rPr>
              <w:t xml:space="preserve"> </w:t>
            </w:r>
          </w:p>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(Published)</w:t>
            </w:r>
          </w:p>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w:t>
            </w:r>
            <w:r w:rsidR="00FF4479">
              <w:rPr>
                <w:rFonts w:ascii="Arial Narrow" w:hAnsi="Arial Narrow"/>
                <w:noProof/>
                <w:color w:val="000000"/>
                <w:sz w:val="20"/>
                <w:szCs w:val="20"/>
                <w:highlight w:val="black"/>
              </w:rPr>
              <w:t>'''''''''''''''''''''</w:t>
            </w:r>
          </w:p>
          <w:p w:rsidR="008B5FC0" w:rsidRPr="007A70FB" w:rsidRDefault="008B5FC0" w:rsidP="006D4030">
            <w:pPr>
              <w:keepNext/>
              <w:ind w:left="-108"/>
              <w:rPr>
                <w:rFonts w:ascii="Arial Narrow" w:hAnsi="Arial Narrow"/>
                <w:sz w:val="20"/>
                <w:szCs w:val="20"/>
              </w:rPr>
            </w:pPr>
            <w:r w:rsidRPr="007A70FB">
              <w:rPr>
                <w:rFonts w:ascii="Arial Narrow" w:hAnsi="Arial Narrow"/>
                <w:sz w:val="20"/>
                <w:szCs w:val="20"/>
              </w:rPr>
              <w:t>(Published)</w:t>
            </w:r>
          </w:p>
        </w:tc>
        <w:tc>
          <w:tcPr>
            <w:tcW w:w="1276" w:type="dxa"/>
          </w:tcPr>
          <w:p w:rsidR="008B5FC0" w:rsidRPr="007A70FB" w:rsidRDefault="008B5FC0" w:rsidP="006D4030">
            <w:pPr>
              <w:keepNext/>
              <w:rPr>
                <w:rFonts w:ascii="Arial Narrow" w:hAnsi="Arial Narrow"/>
                <w:sz w:val="20"/>
                <w:szCs w:val="20"/>
              </w:rPr>
            </w:pPr>
            <w:r w:rsidRPr="007A70FB">
              <w:rPr>
                <w:rFonts w:ascii="Arial Narrow" w:hAnsi="Arial Narrow"/>
                <w:sz w:val="20"/>
                <w:szCs w:val="20"/>
              </w:rPr>
              <w:t>Lorviqua®</w:t>
            </w:r>
          </w:p>
        </w:tc>
        <w:tc>
          <w:tcPr>
            <w:tcW w:w="1559" w:type="dxa"/>
          </w:tcPr>
          <w:p w:rsidR="008B5FC0" w:rsidRPr="007A70FB" w:rsidRDefault="008B5FC0" w:rsidP="006D4030">
            <w:pPr>
              <w:keepNext/>
              <w:rPr>
                <w:rFonts w:ascii="Arial Narrow" w:hAnsi="Arial Narrow"/>
                <w:sz w:val="20"/>
                <w:szCs w:val="20"/>
              </w:rPr>
            </w:pPr>
            <w:r w:rsidRPr="007A70FB">
              <w:rPr>
                <w:rFonts w:ascii="Arial Narrow" w:hAnsi="Arial Narrow"/>
                <w:sz w:val="20"/>
                <w:szCs w:val="20"/>
              </w:rPr>
              <w:t>Pfizer Australia Pty Ltd</w:t>
            </w:r>
          </w:p>
        </w:tc>
      </w:tr>
      <w:tr w:rsidR="008B5FC0" w:rsidRPr="007A70FB" w:rsidTr="006D4030">
        <w:trPr>
          <w:cantSplit/>
          <w:trHeight w:val="170"/>
        </w:trPr>
        <w:tc>
          <w:tcPr>
            <w:tcW w:w="9214" w:type="dxa"/>
            <w:gridSpan w:val="7"/>
            <w:tcBorders>
              <w:bottom w:val="single" w:sz="4" w:space="0" w:color="auto"/>
            </w:tcBorders>
          </w:tcPr>
          <w:p w:rsidR="008B5FC0" w:rsidRPr="007A70FB" w:rsidRDefault="008B5FC0" w:rsidP="006D4030">
            <w:pPr>
              <w:rPr>
                <w:rFonts w:ascii="Arial Narrow" w:hAnsi="Arial Narrow"/>
                <w:sz w:val="20"/>
                <w:szCs w:val="20"/>
              </w:rPr>
            </w:pPr>
          </w:p>
        </w:tc>
      </w:tr>
      <w:tr w:rsidR="008B5FC0" w:rsidRPr="007A70FB" w:rsidTr="006D4030">
        <w:trPr>
          <w:cantSplit/>
          <w:trHeight w:val="170"/>
        </w:trPr>
        <w:tc>
          <w:tcPr>
            <w:tcW w:w="2835" w:type="dxa"/>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b/>
                <w:sz w:val="20"/>
                <w:szCs w:val="20"/>
              </w:rPr>
            </w:pPr>
            <w:r w:rsidRPr="007A70FB">
              <w:rPr>
                <w:rFonts w:ascii="Arial Narrow" w:hAnsi="Arial Narrow"/>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sz w:val="20"/>
                <w:szCs w:val="20"/>
              </w:rPr>
            </w:pPr>
            <w:r w:rsidRPr="007A70FB">
              <w:rPr>
                <w:rFonts w:ascii="Arial Narrow" w:hAnsi="Arial Narrow"/>
                <w:sz w:val="20"/>
                <w:szCs w:val="20"/>
              </w:rPr>
              <w:t>GENERAL – General Schedule (Code GE)</w:t>
            </w:r>
          </w:p>
        </w:tc>
      </w:tr>
      <w:tr w:rsidR="008B5FC0" w:rsidRPr="007A70FB" w:rsidTr="006D4030">
        <w:trPr>
          <w:cantSplit/>
          <w:trHeight w:val="170"/>
        </w:trPr>
        <w:tc>
          <w:tcPr>
            <w:tcW w:w="2835" w:type="dxa"/>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b/>
                <w:sz w:val="20"/>
                <w:szCs w:val="20"/>
              </w:rPr>
            </w:pPr>
            <w:r w:rsidRPr="007A70FB">
              <w:rPr>
                <w:rFonts w:ascii="Arial Narrow" w:hAnsi="Arial Narrow"/>
                <w:b/>
                <w:sz w:val="20"/>
                <w:szCs w:val="20"/>
              </w:rPr>
              <w:t>Prescriber type:</w:t>
            </w:r>
          </w:p>
          <w:p w:rsidR="008B5FC0" w:rsidRPr="007A70FB" w:rsidRDefault="008B5FC0" w:rsidP="006D4030">
            <w:pPr>
              <w:rPr>
                <w:rFonts w:ascii="Arial Narrow" w:hAnsi="Arial Narrow"/>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sz w:val="20"/>
                <w:szCs w:val="20"/>
              </w:rPr>
            </w:pPr>
            <w:r w:rsidRPr="007A70FB">
              <w:rPr>
                <w:rFonts w:ascii="Arial Narrow" w:hAnsi="Arial Narrow"/>
                <w:sz w:val="20"/>
                <w:szCs w:val="20"/>
              </w:rPr>
              <w:fldChar w:fldCharType="begin">
                <w:ffData>
                  <w:name w:val="Check1"/>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 xml:space="preserve">Dental  </w:t>
            </w:r>
            <w:r w:rsidRPr="007A70FB">
              <w:rPr>
                <w:rFonts w:ascii="Arial Narrow" w:hAnsi="Arial Narrow"/>
                <w:sz w:val="20"/>
                <w:szCs w:val="20"/>
              </w:rPr>
              <w:fldChar w:fldCharType="begin">
                <w:ffData>
                  <w:name w:val=""/>
                  <w:enabled/>
                  <w:calcOnExit w:val="0"/>
                  <w:checkBox>
                    <w:sizeAuto/>
                    <w:default w:val="1"/>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 xml:space="preserve">Medical Practitioners  </w:t>
            </w:r>
            <w:r w:rsidRPr="007A70FB">
              <w:rPr>
                <w:rFonts w:ascii="Arial Narrow" w:hAnsi="Arial Narrow"/>
                <w:sz w:val="20"/>
                <w:szCs w:val="20"/>
              </w:rPr>
              <w:fldChar w:fldCharType="begin">
                <w:ffData>
                  <w:name w:val="Check3"/>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 xml:space="preserve">Nurse practitioners  </w:t>
            </w:r>
            <w:r w:rsidRPr="007A70FB">
              <w:rPr>
                <w:rFonts w:ascii="Arial Narrow" w:hAnsi="Arial Narrow"/>
                <w:sz w:val="20"/>
                <w:szCs w:val="20"/>
              </w:rPr>
              <w:fldChar w:fldCharType="begin">
                <w:ffData>
                  <w:name w:val=""/>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Optometrists</w:t>
            </w:r>
          </w:p>
          <w:p w:rsidR="008B5FC0" w:rsidRPr="007A70FB" w:rsidRDefault="008B5FC0" w:rsidP="006D4030">
            <w:pPr>
              <w:rPr>
                <w:rFonts w:ascii="Arial Narrow" w:hAnsi="Arial Narrow"/>
                <w:sz w:val="20"/>
                <w:szCs w:val="20"/>
              </w:rPr>
            </w:pPr>
            <w:r w:rsidRPr="007A70FB">
              <w:rPr>
                <w:rFonts w:ascii="Arial Narrow" w:hAnsi="Arial Narrow"/>
                <w:sz w:val="20"/>
                <w:szCs w:val="20"/>
              </w:rPr>
              <w:fldChar w:fldCharType="begin">
                <w:ffData>
                  <w:name w:val="Check5"/>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Midwives</w:t>
            </w:r>
          </w:p>
        </w:tc>
      </w:tr>
      <w:tr w:rsidR="008B5FC0" w:rsidRPr="007A70FB" w:rsidTr="006D4030">
        <w:trPr>
          <w:cantSplit/>
          <w:trHeight w:val="170"/>
        </w:trPr>
        <w:tc>
          <w:tcPr>
            <w:tcW w:w="2835" w:type="dxa"/>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b/>
                <w:sz w:val="20"/>
                <w:szCs w:val="20"/>
              </w:rPr>
            </w:pPr>
            <w:r w:rsidRPr="007A70FB">
              <w:rPr>
                <w:rFonts w:ascii="Arial Narrow" w:hAnsi="Arial Narrow"/>
                <w:b/>
                <w:sz w:val="20"/>
                <w:szCs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sz w:val="20"/>
                <w:szCs w:val="20"/>
              </w:rPr>
            </w:pPr>
            <w:r w:rsidRPr="007A70FB">
              <w:rPr>
                <w:rFonts w:ascii="Arial Narrow" w:hAnsi="Arial Narrow"/>
                <w:sz w:val="20"/>
                <w:szCs w:val="20"/>
              </w:rPr>
              <w:t>Stage IV (metastatic)</w:t>
            </w:r>
          </w:p>
        </w:tc>
      </w:tr>
      <w:tr w:rsidR="008B5FC0" w:rsidRPr="007A70FB" w:rsidTr="006D4030">
        <w:trPr>
          <w:cantSplit/>
          <w:trHeight w:val="170"/>
        </w:trPr>
        <w:tc>
          <w:tcPr>
            <w:tcW w:w="2835" w:type="dxa"/>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b/>
                <w:sz w:val="20"/>
                <w:szCs w:val="20"/>
              </w:rPr>
            </w:pPr>
            <w:r w:rsidRPr="007A70FB">
              <w:rPr>
                <w:rFonts w:ascii="Arial Narrow" w:hAnsi="Arial Narrow"/>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sz w:val="20"/>
                <w:szCs w:val="20"/>
              </w:rPr>
            </w:pPr>
            <w:r w:rsidRPr="007A70FB">
              <w:rPr>
                <w:rFonts w:ascii="Arial Narrow" w:hAnsi="Arial Narrow"/>
                <w:i/>
                <w:strike/>
                <w:sz w:val="20"/>
                <w:szCs w:val="20"/>
              </w:rPr>
              <w:t>N</w:t>
            </w:r>
            <w:r w:rsidRPr="007A70FB">
              <w:rPr>
                <w:rFonts w:ascii="Arial Narrow" w:hAnsi="Arial Narrow"/>
                <w:i/>
                <w:sz w:val="20"/>
                <w:szCs w:val="20"/>
              </w:rPr>
              <w:t>n</w:t>
            </w:r>
            <w:r w:rsidRPr="007A70FB">
              <w:rPr>
                <w:rFonts w:ascii="Arial Narrow" w:hAnsi="Arial Narrow"/>
                <w:sz w:val="20"/>
                <w:szCs w:val="20"/>
              </w:rPr>
              <w:t>on-small cell lung cancer (NSCLC)</w:t>
            </w:r>
          </w:p>
        </w:tc>
      </w:tr>
      <w:tr w:rsidR="008B5FC0" w:rsidRPr="007A70FB" w:rsidTr="006D4030">
        <w:trPr>
          <w:cantSplit/>
          <w:trHeight w:val="170"/>
        </w:trPr>
        <w:tc>
          <w:tcPr>
            <w:tcW w:w="2835" w:type="dxa"/>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i/>
                <w:sz w:val="20"/>
                <w:szCs w:val="20"/>
              </w:rPr>
            </w:pPr>
            <w:r w:rsidRPr="007A70FB">
              <w:rPr>
                <w:rFonts w:ascii="Arial Narrow" w:hAnsi="Arial Narrow"/>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sz w:val="20"/>
                <w:szCs w:val="20"/>
              </w:rPr>
            </w:pPr>
            <w:r w:rsidRPr="007A70FB">
              <w:rPr>
                <w:rFonts w:ascii="Arial Narrow" w:hAnsi="Arial Narrow"/>
                <w:sz w:val="20"/>
                <w:szCs w:val="20"/>
              </w:rPr>
              <w:t>Stage IV (metastatic) non-small cell lung cancer (NSCLC)</w:t>
            </w:r>
          </w:p>
        </w:tc>
      </w:tr>
      <w:tr w:rsidR="008B5FC0" w:rsidRPr="007A70FB" w:rsidTr="006D4030">
        <w:trPr>
          <w:cantSplit/>
          <w:trHeight w:val="170"/>
        </w:trPr>
        <w:tc>
          <w:tcPr>
            <w:tcW w:w="2835" w:type="dxa"/>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b/>
                <w:sz w:val="20"/>
                <w:szCs w:val="20"/>
              </w:rPr>
            </w:pPr>
            <w:r w:rsidRPr="007A70FB">
              <w:rPr>
                <w:rFonts w:ascii="Arial Narrow" w:hAnsi="Arial Narrow"/>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sz w:val="20"/>
                <w:szCs w:val="20"/>
              </w:rPr>
            </w:pPr>
            <w:r w:rsidRPr="007A70FB">
              <w:rPr>
                <w:rFonts w:ascii="Arial Narrow" w:hAnsi="Arial Narrow"/>
                <w:sz w:val="20"/>
                <w:szCs w:val="20"/>
              </w:rPr>
              <w:t>Continuing treatment</w:t>
            </w:r>
          </w:p>
        </w:tc>
      </w:tr>
      <w:tr w:rsidR="008B5FC0" w:rsidRPr="007A70FB" w:rsidTr="006D4030">
        <w:trPr>
          <w:cantSplit/>
          <w:trHeight w:val="170"/>
        </w:trPr>
        <w:tc>
          <w:tcPr>
            <w:tcW w:w="2835" w:type="dxa"/>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b/>
                <w:sz w:val="20"/>
                <w:szCs w:val="20"/>
              </w:rPr>
            </w:pPr>
            <w:r w:rsidRPr="007A70FB">
              <w:rPr>
                <w:rFonts w:ascii="Arial Narrow" w:hAnsi="Arial Narrow"/>
                <w:b/>
                <w:sz w:val="20"/>
                <w:szCs w:val="20"/>
              </w:rPr>
              <w:t>Restriction Level / Method:</w:t>
            </w:r>
          </w:p>
          <w:p w:rsidR="008B5FC0" w:rsidRPr="007A70FB" w:rsidRDefault="008B5FC0" w:rsidP="006D4030">
            <w:pPr>
              <w:rPr>
                <w:rFonts w:ascii="Arial Narrow" w:hAnsi="Arial Narrow"/>
                <w:i/>
                <w:sz w:val="20"/>
                <w:szCs w:val="20"/>
              </w:rPr>
            </w:pPr>
          </w:p>
          <w:p w:rsidR="008B5FC0" w:rsidRPr="007A70FB" w:rsidRDefault="008B5FC0" w:rsidP="006D4030">
            <w:pPr>
              <w:rPr>
                <w:rFonts w:ascii="Arial Narrow" w:hAnsi="Arial Narrow"/>
                <w:i/>
                <w:sz w:val="20"/>
                <w:szCs w:val="20"/>
              </w:rPr>
            </w:pPr>
          </w:p>
          <w:p w:rsidR="008B5FC0" w:rsidRPr="007A70FB" w:rsidRDefault="008B5FC0" w:rsidP="006D4030">
            <w:pPr>
              <w:rPr>
                <w:rFonts w:ascii="Arial Narrow" w:hAnsi="Arial Narrow"/>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sz w:val="20"/>
                <w:szCs w:val="20"/>
              </w:rPr>
            </w:pPr>
            <w:r w:rsidRPr="007A70FB">
              <w:rPr>
                <w:rFonts w:ascii="Arial Narrow" w:hAnsi="Arial Narrow"/>
                <w:sz w:val="20"/>
                <w:szCs w:val="20"/>
              </w:rPr>
              <w:fldChar w:fldCharType="begin">
                <w:ffData>
                  <w:name w:val="Check1"/>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Restricted benefit</w:t>
            </w:r>
          </w:p>
          <w:p w:rsidR="008B5FC0" w:rsidRPr="007A70FB" w:rsidRDefault="008B5FC0" w:rsidP="006D4030">
            <w:pPr>
              <w:rPr>
                <w:rFonts w:ascii="Arial Narrow" w:hAnsi="Arial Narrow"/>
                <w:sz w:val="20"/>
                <w:szCs w:val="20"/>
              </w:rPr>
            </w:pPr>
            <w:r w:rsidRPr="007A70FB">
              <w:rPr>
                <w:rFonts w:ascii="Arial Narrow" w:hAnsi="Arial Narrow"/>
                <w:sz w:val="20"/>
                <w:szCs w:val="20"/>
              </w:rPr>
              <w:fldChar w:fldCharType="begin">
                <w:ffData>
                  <w:name w:val=""/>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Authority Required – In Writing</w:t>
            </w:r>
          </w:p>
          <w:p w:rsidR="008B5FC0" w:rsidRPr="007A70FB" w:rsidRDefault="008B5FC0" w:rsidP="006D4030">
            <w:pPr>
              <w:rPr>
                <w:rFonts w:ascii="Arial Narrow" w:hAnsi="Arial Narrow"/>
                <w:sz w:val="20"/>
                <w:szCs w:val="20"/>
              </w:rPr>
            </w:pPr>
            <w:r w:rsidRPr="007A70FB">
              <w:rPr>
                <w:rFonts w:ascii="Arial Narrow" w:hAnsi="Arial Narrow"/>
                <w:sz w:val="20"/>
                <w:szCs w:val="20"/>
              </w:rPr>
              <w:fldChar w:fldCharType="begin">
                <w:ffData>
                  <w:name w:val="Check3"/>
                  <w:enabled/>
                  <w:calcOnExit w:val="0"/>
                  <w:checkBox>
                    <w:sizeAuto/>
                    <w:default w:val="1"/>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Authority Required – Telephone/Electronic/Emergency</w:t>
            </w:r>
          </w:p>
          <w:p w:rsidR="008B5FC0" w:rsidRPr="007A70FB" w:rsidRDefault="008B5FC0" w:rsidP="006D4030">
            <w:pPr>
              <w:rPr>
                <w:rFonts w:ascii="Arial Narrow" w:hAnsi="Arial Narrow"/>
                <w:sz w:val="20"/>
                <w:szCs w:val="20"/>
              </w:rPr>
            </w:pPr>
            <w:r w:rsidRPr="007A70FB">
              <w:rPr>
                <w:rFonts w:ascii="Arial Narrow" w:hAnsi="Arial Narrow"/>
                <w:sz w:val="20"/>
                <w:szCs w:val="20"/>
              </w:rPr>
              <w:fldChar w:fldCharType="begin">
                <w:ffData>
                  <w:name w:val="Check5"/>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Streamlined</w:t>
            </w:r>
          </w:p>
        </w:tc>
      </w:tr>
      <w:tr w:rsidR="008B5FC0" w:rsidRPr="007A70FB" w:rsidTr="006D4030">
        <w:trPr>
          <w:cantSplit/>
          <w:trHeight w:val="170"/>
        </w:trPr>
        <w:tc>
          <w:tcPr>
            <w:tcW w:w="2835" w:type="dxa"/>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b/>
                <w:sz w:val="20"/>
                <w:szCs w:val="20"/>
              </w:rPr>
            </w:pPr>
            <w:r w:rsidRPr="007A70FB">
              <w:rPr>
                <w:rFonts w:ascii="Arial Narrow" w:hAnsi="Arial Narrow"/>
                <w:b/>
                <w:sz w:val="20"/>
                <w:szCs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sz w:val="20"/>
                <w:szCs w:val="20"/>
              </w:rPr>
            </w:pPr>
            <w:r w:rsidRPr="007A70FB">
              <w:rPr>
                <w:rFonts w:ascii="Arial Narrow" w:hAnsi="Arial Narrow"/>
                <w:strike/>
                <w:sz w:val="20"/>
                <w:szCs w:val="20"/>
              </w:rPr>
              <w:t>Must be treated by a medical practitioner</w:t>
            </w:r>
          </w:p>
        </w:tc>
      </w:tr>
      <w:tr w:rsidR="008B5FC0" w:rsidRPr="007A70FB" w:rsidTr="006D4030">
        <w:trPr>
          <w:cantSplit/>
          <w:trHeight w:val="170"/>
        </w:trPr>
        <w:tc>
          <w:tcPr>
            <w:tcW w:w="2835" w:type="dxa"/>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b/>
                <w:sz w:val="20"/>
                <w:szCs w:val="20"/>
              </w:rPr>
            </w:pPr>
            <w:r w:rsidRPr="007A70FB">
              <w:rPr>
                <w:rFonts w:ascii="Arial Narrow" w:hAnsi="Arial Narrow"/>
                <w:b/>
                <w:sz w:val="20"/>
                <w:szCs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sz w:val="20"/>
                <w:szCs w:val="20"/>
              </w:rPr>
            </w:pPr>
            <w:r w:rsidRPr="007A70FB">
              <w:rPr>
                <w:rFonts w:ascii="Arial Narrow" w:hAnsi="Arial Narrow"/>
                <w:sz w:val="20"/>
                <w:szCs w:val="20"/>
              </w:rPr>
              <w:t xml:space="preserve">The treatment must be as monotherapy, </w:t>
            </w:r>
          </w:p>
          <w:p w:rsidR="008B5FC0" w:rsidRPr="007A70FB" w:rsidRDefault="008B5FC0" w:rsidP="006D4030">
            <w:pPr>
              <w:rPr>
                <w:rFonts w:ascii="Arial Narrow" w:hAnsi="Arial Narrow"/>
                <w:sz w:val="20"/>
                <w:szCs w:val="20"/>
              </w:rPr>
            </w:pPr>
            <w:r w:rsidRPr="007A70FB">
              <w:rPr>
                <w:rFonts w:ascii="Arial Narrow" w:hAnsi="Arial Narrow"/>
                <w:sz w:val="20"/>
                <w:szCs w:val="20"/>
              </w:rPr>
              <w:t xml:space="preserve">AND </w:t>
            </w:r>
          </w:p>
          <w:p w:rsidR="008B5FC0" w:rsidRPr="007A70FB" w:rsidRDefault="008B5FC0" w:rsidP="006D4030">
            <w:pPr>
              <w:rPr>
                <w:rFonts w:ascii="Arial Narrow" w:hAnsi="Arial Narrow"/>
                <w:sz w:val="20"/>
                <w:szCs w:val="20"/>
              </w:rPr>
            </w:pPr>
            <w:r w:rsidRPr="007A70FB">
              <w:rPr>
                <w:rFonts w:ascii="Arial Narrow" w:hAnsi="Arial Narrow"/>
                <w:sz w:val="20"/>
                <w:szCs w:val="20"/>
              </w:rPr>
              <w:t xml:space="preserve">Patient must have previously received PBS-subsidised treatment with this drug for this condition, </w:t>
            </w:r>
          </w:p>
          <w:p w:rsidR="008B5FC0" w:rsidRPr="007A70FB" w:rsidRDefault="008B5FC0" w:rsidP="006D4030">
            <w:pPr>
              <w:rPr>
                <w:rFonts w:ascii="Arial Narrow" w:hAnsi="Arial Narrow"/>
                <w:sz w:val="20"/>
                <w:szCs w:val="20"/>
              </w:rPr>
            </w:pPr>
            <w:r w:rsidRPr="007A70FB">
              <w:rPr>
                <w:rFonts w:ascii="Arial Narrow" w:hAnsi="Arial Narrow"/>
                <w:sz w:val="20"/>
                <w:szCs w:val="20"/>
              </w:rPr>
              <w:t>AND</w:t>
            </w:r>
          </w:p>
          <w:p w:rsidR="008B5FC0" w:rsidRPr="007A70FB" w:rsidRDefault="008B5FC0" w:rsidP="006D4030">
            <w:pPr>
              <w:rPr>
                <w:rFonts w:ascii="Arial Narrow" w:hAnsi="Arial Narrow"/>
                <w:sz w:val="20"/>
                <w:szCs w:val="20"/>
              </w:rPr>
            </w:pPr>
            <w:r w:rsidRPr="007A70FB">
              <w:rPr>
                <w:rFonts w:ascii="Arial Narrow" w:hAnsi="Arial Narrow"/>
                <w:strike/>
                <w:sz w:val="20"/>
                <w:szCs w:val="20"/>
              </w:rPr>
              <w:t>Patient must not have progressive disease.</w:t>
            </w:r>
            <w:r w:rsidRPr="007A70FB">
              <w:rPr>
                <w:rFonts w:ascii="Arial Narrow" w:hAnsi="Arial Narrow"/>
                <w:sz w:val="20"/>
                <w:szCs w:val="20"/>
              </w:rPr>
              <w:t xml:space="preserve"> </w:t>
            </w:r>
            <w:r w:rsidRPr="007A70FB">
              <w:rPr>
                <w:rFonts w:ascii="Arial Narrow" w:hAnsi="Arial Narrow"/>
                <w:i/>
                <w:iCs/>
                <w:sz w:val="20"/>
                <w:szCs w:val="20"/>
              </w:rPr>
              <w:t>Patient must not develop disease progression while receiving PBS-subsidised treatment with this drug for this condition</w:t>
            </w:r>
            <w:r w:rsidRPr="007A70FB">
              <w:rPr>
                <w:rFonts w:ascii="Arial Narrow" w:hAnsi="Arial Narrow"/>
                <w:sz w:val="20"/>
                <w:szCs w:val="20"/>
              </w:rPr>
              <w:t xml:space="preserve">. </w:t>
            </w:r>
          </w:p>
        </w:tc>
      </w:tr>
      <w:tr w:rsidR="008B5FC0" w:rsidRPr="007A70FB" w:rsidTr="006D4030">
        <w:trPr>
          <w:cantSplit/>
          <w:trHeight w:val="170"/>
        </w:trPr>
        <w:tc>
          <w:tcPr>
            <w:tcW w:w="2835" w:type="dxa"/>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b/>
                <w:sz w:val="20"/>
                <w:szCs w:val="20"/>
              </w:rPr>
            </w:pPr>
            <w:r w:rsidRPr="007A70FB">
              <w:rPr>
                <w:rFonts w:ascii="Arial Narrow" w:hAnsi="Arial Narrow"/>
                <w:b/>
                <w:sz w:val="20"/>
                <w:szCs w:val="20"/>
              </w:rPr>
              <w:t>Administrative Advice:</w:t>
            </w:r>
          </w:p>
          <w:p w:rsidR="008B5FC0" w:rsidRPr="007A70FB" w:rsidRDefault="008B5FC0" w:rsidP="006D4030">
            <w:pPr>
              <w:rPr>
                <w:rFonts w:ascii="Arial Narrow" w:hAnsi="Arial Narrow"/>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8B5FC0" w:rsidRPr="007A70FB" w:rsidRDefault="008B5FC0" w:rsidP="006D4030">
            <w:pPr>
              <w:rPr>
                <w:rFonts w:ascii="Arial Narrow" w:hAnsi="Arial Narrow"/>
                <w:sz w:val="20"/>
                <w:szCs w:val="20"/>
              </w:rPr>
            </w:pPr>
            <w:r w:rsidRPr="007A70FB">
              <w:rPr>
                <w:rFonts w:ascii="Arial Narrow" w:hAnsi="Arial Narrow"/>
                <w:sz w:val="20"/>
                <w:szCs w:val="20"/>
              </w:rPr>
              <w:t>No increase in the maximum quantity or number of units may be authorised.</w:t>
            </w:r>
          </w:p>
          <w:p w:rsidR="008B5FC0" w:rsidRPr="007A70FB" w:rsidRDefault="008B5FC0" w:rsidP="006D4030">
            <w:pPr>
              <w:rPr>
                <w:rFonts w:ascii="Arial Narrow" w:hAnsi="Arial Narrow"/>
                <w:sz w:val="20"/>
                <w:szCs w:val="20"/>
              </w:rPr>
            </w:pPr>
          </w:p>
          <w:p w:rsidR="008B5FC0" w:rsidRPr="007A70FB" w:rsidRDefault="008B5FC0" w:rsidP="006D4030">
            <w:pPr>
              <w:rPr>
                <w:rFonts w:ascii="Arial Narrow" w:hAnsi="Arial Narrow"/>
                <w:sz w:val="20"/>
                <w:szCs w:val="20"/>
              </w:rPr>
            </w:pPr>
            <w:r w:rsidRPr="007A70FB">
              <w:rPr>
                <w:rFonts w:ascii="Arial Narrow" w:hAnsi="Arial Narrow"/>
                <w:sz w:val="20"/>
                <w:szCs w:val="20"/>
              </w:rPr>
              <w:t xml:space="preserve">No increase in the maximum number of repeats may be authorised. </w:t>
            </w:r>
          </w:p>
          <w:p w:rsidR="008B5FC0" w:rsidRPr="007A70FB" w:rsidRDefault="008B5FC0" w:rsidP="006D4030">
            <w:pPr>
              <w:rPr>
                <w:rFonts w:ascii="Arial Narrow" w:hAnsi="Arial Narrow"/>
                <w:sz w:val="20"/>
                <w:szCs w:val="20"/>
              </w:rPr>
            </w:pPr>
          </w:p>
          <w:p w:rsidR="008B5FC0" w:rsidRPr="007A70FB" w:rsidRDefault="008B5FC0" w:rsidP="006D4030">
            <w:pPr>
              <w:rPr>
                <w:rFonts w:ascii="Arial Narrow" w:hAnsi="Arial Narrow"/>
                <w:sz w:val="20"/>
                <w:szCs w:val="20"/>
              </w:rPr>
            </w:pPr>
            <w:r w:rsidRPr="007A70FB">
              <w:rPr>
                <w:rFonts w:ascii="Arial Narrow" w:hAnsi="Arial Narrow"/>
                <w:sz w:val="20"/>
                <w:szCs w:val="20"/>
              </w:rPr>
              <w:t xml:space="preserve">Special Pricing Arrangements apply. </w:t>
            </w:r>
          </w:p>
        </w:tc>
      </w:tr>
    </w:tbl>
    <w:p w:rsidR="007110AB" w:rsidRPr="007A70FB" w:rsidRDefault="007110AB" w:rsidP="000A546D">
      <w:pPr>
        <w:pStyle w:val="ListParagraph"/>
        <w:widowControl/>
        <w:numPr>
          <w:ilvl w:val="1"/>
          <w:numId w:val="1"/>
        </w:numPr>
        <w:spacing w:before="120" w:after="120"/>
      </w:pPr>
      <w:r w:rsidRPr="007A70FB">
        <w:t xml:space="preserve">The submission proposed </w:t>
      </w:r>
      <w:r w:rsidR="00806396" w:rsidRPr="007A70FB">
        <w:t xml:space="preserve">that </w:t>
      </w:r>
      <w:r w:rsidRPr="007A70FB">
        <w:t>a special pricing arrangement (SPA) apply to lorlatinib</w:t>
      </w:r>
      <w:r w:rsidR="000A546D" w:rsidRPr="007A70FB">
        <w:t>,</w:t>
      </w:r>
      <w:r w:rsidRPr="007A70FB">
        <w:t xml:space="preserve"> </w:t>
      </w:r>
      <w:r w:rsidR="000A546D" w:rsidRPr="007A70FB">
        <w:t xml:space="preserve">as the proposed comparators are subject to SPAs. </w:t>
      </w:r>
    </w:p>
    <w:p w:rsidR="002376A8" w:rsidRPr="007A70FB" w:rsidRDefault="002376A8" w:rsidP="007A5A9F">
      <w:pPr>
        <w:pStyle w:val="ListParagraph"/>
        <w:widowControl/>
        <w:numPr>
          <w:ilvl w:val="1"/>
          <w:numId w:val="1"/>
        </w:numPr>
        <w:spacing w:before="120" w:after="120"/>
      </w:pPr>
      <w:r w:rsidRPr="007A70FB">
        <w:t xml:space="preserve">The PBS listings for crizotinib, alectinib and ceritinib are line-agnostic (not restricted to a line of therapy), </w:t>
      </w:r>
      <w:r w:rsidR="00C474E4" w:rsidRPr="007A70FB">
        <w:t>whereas the requested</w:t>
      </w:r>
      <w:r w:rsidRPr="007A70FB">
        <w:t xml:space="preserve"> listing for lorlatinib was for patients who have progressed on treatment with a</w:t>
      </w:r>
      <w:r w:rsidR="00094E72" w:rsidRPr="007A70FB">
        <w:t>n</w:t>
      </w:r>
      <w:r w:rsidRPr="007A70FB">
        <w:t xml:space="preserve"> ALK-Tyrosine Kinase Inhibitor (TKI). However, </w:t>
      </w:r>
      <w:r w:rsidR="00D12009" w:rsidRPr="007A70FB">
        <w:t xml:space="preserve">the PBAC noted that </w:t>
      </w:r>
      <w:r w:rsidRPr="007A70FB">
        <w:t>the</w:t>
      </w:r>
      <w:r w:rsidR="00C474E4" w:rsidRPr="007A70FB">
        <w:t xml:space="preserve"> requested</w:t>
      </w:r>
      <w:r w:rsidRPr="007A70FB">
        <w:t xml:space="preserve"> PBS restriction for lorlatinib would </w:t>
      </w:r>
      <w:r w:rsidR="002A7E07" w:rsidRPr="007A70FB">
        <w:t>allow</w:t>
      </w:r>
      <w:r w:rsidRPr="007A70FB">
        <w:t xml:space="preserve"> its use </w:t>
      </w:r>
      <w:r w:rsidR="00A07EBA" w:rsidRPr="007A70FB">
        <w:t xml:space="preserve">as </w:t>
      </w:r>
      <w:r w:rsidRPr="007A70FB">
        <w:t xml:space="preserve">second-line </w:t>
      </w:r>
      <w:r w:rsidR="00A07EBA" w:rsidRPr="007A70FB">
        <w:t xml:space="preserve">therapy </w:t>
      </w:r>
      <w:r w:rsidR="00204C57" w:rsidRPr="007A70FB">
        <w:t xml:space="preserve">post </w:t>
      </w:r>
      <w:r w:rsidRPr="007A70FB">
        <w:t xml:space="preserve">crizotinib, which </w:t>
      </w:r>
      <w:r w:rsidR="00C13B78" w:rsidRPr="007A70FB">
        <w:t xml:space="preserve">is broader than the proposed TGA </w:t>
      </w:r>
      <w:r w:rsidR="00C13B78" w:rsidRPr="007A70FB">
        <w:lastRenderedPageBreak/>
        <w:t>indication</w:t>
      </w:r>
      <w:r w:rsidR="00204C57" w:rsidRPr="007A70FB">
        <w:t>,</w:t>
      </w:r>
      <w:r w:rsidR="00C13B78" w:rsidRPr="007A70FB">
        <w:t xml:space="preserve"> </w:t>
      </w:r>
      <w:r w:rsidR="00DD71A8" w:rsidRPr="007A70FB">
        <w:t xml:space="preserve">based on the single </w:t>
      </w:r>
      <w:r w:rsidR="00E0147B" w:rsidRPr="007A70FB">
        <w:t xml:space="preserve">arm phase 1/2 Study B7461001 </w:t>
      </w:r>
      <w:r w:rsidR="00DC3010" w:rsidRPr="007A70FB">
        <w:t xml:space="preserve">(study 1001 </w:t>
      </w:r>
      <w:r w:rsidR="00945834" w:rsidRPr="007A70FB">
        <w:t xml:space="preserve">from </w:t>
      </w:r>
      <w:r w:rsidR="00DC3010" w:rsidRPr="007A70FB">
        <w:t>herein)</w:t>
      </w:r>
      <w:r w:rsidR="00204C57" w:rsidRPr="007A70FB">
        <w:t xml:space="preserve">. </w:t>
      </w:r>
    </w:p>
    <w:p w:rsidR="0081530E" w:rsidRPr="007A70FB" w:rsidRDefault="00A03B75" w:rsidP="009A2AA7">
      <w:pPr>
        <w:pStyle w:val="ListParagraph"/>
        <w:widowControl/>
        <w:numPr>
          <w:ilvl w:val="1"/>
          <w:numId w:val="1"/>
        </w:numPr>
        <w:spacing w:before="120" w:after="120"/>
        <w:rPr>
          <w:rFonts w:eastAsia="Calibri"/>
        </w:rPr>
      </w:pPr>
      <w:r w:rsidRPr="007A70FB">
        <w:t>It was unclear how the criterion that a “Patient must have developed intolerance to a prior ALK inhibitor of a severity necessitating permanent treatment withdrawal”</w:t>
      </w:r>
      <w:r w:rsidRPr="007A70FB" w:rsidDel="00293EC5">
        <w:t xml:space="preserve"> </w:t>
      </w:r>
      <w:r w:rsidRPr="007A70FB">
        <w:t>would be met</w:t>
      </w:r>
      <w:r w:rsidR="00C147A1" w:rsidRPr="007A70FB">
        <w:t>. L</w:t>
      </w:r>
      <w:r w:rsidRPr="007A70FB">
        <w:t xml:space="preserve">orlatinib is a pharmacological analogue of its nominated main comparator (alectinib); hence, access based on prior intolerance would be expected to be limited. </w:t>
      </w:r>
      <w:r w:rsidR="006536D0" w:rsidRPr="007A70FB">
        <w:t xml:space="preserve">However, </w:t>
      </w:r>
      <w:r w:rsidR="00361A9A">
        <w:t>t</w:t>
      </w:r>
      <w:r w:rsidR="008607EC" w:rsidRPr="007A70FB">
        <w:t xml:space="preserve">he Pre-Sub-Committee-Response (PSCR) argued that lorlatinib should be made available to the minority of patients who may be affected, given the differences in pharmacological action </w:t>
      </w:r>
      <w:r w:rsidR="000F21C5" w:rsidRPr="007A70FB">
        <w:t>and safety profile to other ALK-</w:t>
      </w:r>
      <w:r w:rsidR="008607EC" w:rsidRPr="007A70FB">
        <w:t>TKIs</w:t>
      </w:r>
      <w:r w:rsidR="00C147A1" w:rsidRPr="007A70FB">
        <w:t>,</w:t>
      </w:r>
      <w:r w:rsidR="008607EC" w:rsidRPr="007A70FB">
        <w:t xml:space="preserve"> </w:t>
      </w:r>
      <w:r w:rsidR="00C147A1" w:rsidRPr="007A70FB">
        <w:t>and the rates of discontinuation due to adverse events seen in trials for those drugs.</w:t>
      </w:r>
    </w:p>
    <w:p w:rsidR="00264431" w:rsidRPr="007A70FB" w:rsidRDefault="007110AB" w:rsidP="00253590">
      <w:pPr>
        <w:pStyle w:val="ListParagraph"/>
        <w:widowControl/>
        <w:numPr>
          <w:ilvl w:val="1"/>
          <w:numId w:val="1"/>
        </w:numPr>
        <w:spacing w:before="120" w:after="120"/>
      </w:pPr>
      <w:r w:rsidRPr="007A70FB">
        <w:t xml:space="preserve">The proposed listing </w:t>
      </w:r>
      <w:r w:rsidR="000C4360" w:rsidRPr="007A70FB">
        <w:t xml:space="preserve">for lorlatinib </w:t>
      </w:r>
      <w:r w:rsidRPr="007A70FB">
        <w:t>require</w:t>
      </w:r>
      <w:r w:rsidR="006B5AB1" w:rsidRPr="007A70FB">
        <w:t>d</w:t>
      </w:r>
      <w:r w:rsidRPr="007A70FB">
        <w:t xml:space="preserve"> prior evidence of ALK gene rearrangement by fluorescence in situ hybridisation (FISH) testing, in order to access </w:t>
      </w:r>
      <w:r w:rsidR="00B9755D" w:rsidRPr="007A70FB">
        <w:t xml:space="preserve">PBS-subsidised </w:t>
      </w:r>
      <w:r w:rsidRPr="007A70FB">
        <w:t>treatment. Currently, FISH testing for ALK status is funded by the Medicare Benefits Scheme (MBS) under Item 73341</w:t>
      </w:r>
      <w:r w:rsidR="00187714" w:rsidRPr="007A70FB">
        <w:t>,</w:t>
      </w:r>
      <w:r w:rsidRPr="007A70FB">
        <w:t xml:space="preserve"> for access to crizotinib, ceritinib or alectinib under the PBS. </w:t>
      </w:r>
    </w:p>
    <w:p w:rsidR="009A2AA7" w:rsidRPr="007A70FB" w:rsidRDefault="009A2AA7" w:rsidP="00554D90">
      <w:pPr>
        <w:pStyle w:val="ListParagraph"/>
        <w:widowControl/>
        <w:numPr>
          <w:ilvl w:val="1"/>
          <w:numId w:val="1"/>
        </w:numPr>
        <w:spacing w:before="120" w:after="120"/>
        <w:rPr>
          <w:iCs/>
        </w:rPr>
      </w:pPr>
      <w:r w:rsidRPr="007A70FB">
        <w:rPr>
          <w:rFonts w:asciiTheme="minorHAnsi" w:hAnsiTheme="minorHAnsi" w:cstheme="minorHAnsi"/>
          <w:bCs/>
          <w:iCs/>
        </w:rPr>
        <w:t xml:space="preserve">The submission requested grandfathering for an </w:t>
      </w:r>
      <w:r w:rsidRPr="00A66621">
        <w:rPr>
          <w:rFonts w:asciiTheme="minorHAnsi" w:hAnsiTheme="minorHAnsi" w:cstheme="minorHAnsi"/>
          <w:bCs/>
          <w:iCs/>
        </w:rPr>
        <w:t xml:space="preserve">estimated </w:t>
      </w:r>
      <w:r w:rsidR="00A66621">
        <w:rPr>
          <w:rFonts w:asciiTheme="minorHAnsi" w:hAnsiTheme="minorHAnsi" w:cstheme="minorHAnsi"/>
          <w:bCs/>
          <w:iCs/>
        </w:rPr>
        <w:t xml:space="preserve">less than 10,000 </w:t>
      </w:r>
      <w:r w:rsidRPr="00A66621">
        <w:rPr>
          <w:rFonts w:asciiTheme="minorHAnsi" w:hAnsiTheme="minorHAnsi" w:cstheme="minorHAnsi"/>
          <w:bCs/>
          <w:iCs/>
        </w:rPr>
        <w:t>patients</w:t>
      </w:r>
      <w:r w:rsidRPr="007A70FB">
        <w:rPr>
          <w:rFonts w:asciiTheme="minorHAnsi" w:hAnsiTheme="minorHAnsi" w:cstheme="minorHAnsi"/>
          <w:bCs/>
          <w:iCs/>
        </w:rPr>
        <w:t xml:space="preserve"> receiving compassionate supply at the time of submission. </w:t>
      </w:r>
    </w:p>
    <w:p w:rsidR="00BA5880" w:rsidRPr="007A70FB" w:rsidRDefault="00BA5880" w:rsidP="00BA5880">
      <w:pPr>
        <w:pStyle w:val="ListParagraph"/>
        <w:widowControl/>
        <w:spacing w:before="120" w:after="120"/>
        <w:rPr>
          <w:i/>
        </w:rPr>
      </w:pPr>
      <w:r w:rsidRPr="007A70FB">
        <w:rPr>
          <w:i/>
        </w:rPr>
        <w:t>For more detail on PBAC’s view, see section 7 PBAC outcome.</w:t>
      </w:r>
    </w:p>
    <w:p w:rsidR="007110AB" w:rsidRPr="00386F03" w:rsidRDefault="007110AB" w:rsidP="00386F03">
      <w:pPr>
        <w:pStyle w:val="PBACHeading1"/>
        <w:spacing w:before="120" w:after="120"/>
        <w:ind w:left="720"/>
      </w:pPr>
      <w:bookmarkStart w:id="14" w:name="_Toc371170701"/>
      <w:bookmarkStart w:id="15" w:name="_Toc19707658"/>
      <w:r w:rsidRPr="007A70FB">
        <w:t>Background</w:t>
      </w:r>
      <w:bookmarkEnd w:id="14"/>
      <w:bookmarkEnd w:id="15"/>
    </w:p>
    <w:p w:rsidR="007110AB" w:rsidRPr="007A70FB" w:rsidRDefault="007110AB" w:rsidP="007C70FD">
      <w:pPr>
        <w:pStyle w:val="Heading2"/>
        <w:keepNext/>
        <w:keepLines/>
        <w:widowControl/>
        <w:spacing w:after="120"/>
      </w:pPr>
      <w:r w:rsidRPr="007A70FB">
        <w:t>Registration status</w:t>
      </w:r>
    </w:p>
    <w:p w:rsidR="007110AB" w:rsidRPr="007A70FB" w:rsidRDefault="00A20355" w:rsidP="006D4030">
      <w:pPr>
        <w:pStyle w:val="ListParagraph"/>
        <w:widowControl/>
        <w:numPr>
          <w:ilvl w:val="1"/>
          <w:numId w:val="1"/>
        </w:numPr>
        <w:spacing w:before="120" w:after="120"/>
        <w:rPr>
          <w:rFonts w:asciiTheme="minorHAnsi" w:hAnsiTheme="minorHAnsi" w:cstheme="minorHAnsi"/>
          <w:bCs/>
          <w:szCs w:val="24"/>
        </w:rPr>
      </w:pPr>
      <w:r w:rsidRPr="007A70FB">
        <w:rPr>
          <w:rFonts w:asciiTheme="minorHAnsi" w:eastAsia="Calibri" w:hAnsiTheme="minorHAnsi" w:cstheme="minorHAnsi"/>
          <w:bCs/>
          <w:szCs w:val="24"/>
        </w:rPr>
        <w:t>The submission was made u</w:t>
      </w:r>
      <w:r w:rsidR="00D00D74" w:rsidRPr="007A70FB">
        <w:rPr>
          <w:rFonts w:asciiTheme="minorHAnsi" w:eastAsia="Calibri" w:hAnsiTheme="minorHAnsi" w:cstheme="minorHAnsi"/>
          <w:bCs/>
          <w:szCs w:val="24"/>
        </w:rPr>
        <w:t>nder TGA/PBAC Parallel Process. At the time of PBAC consideration, t</w:t>
      </w:r>
      <w:r w:rsidR="000565CD" w:rsidRPr="007A70FB">
        <w:rPr>
          <w:rFonts w:asciiTheme="minorHAnsi" w:eastAsia="Calibri" w:hAnsiTheme="minorHAnsi" w:cstheme="minorHAnsi"/>
          <w:bCs/>
          <w:szCs w:val="24"/>
        </w:rPr>
        <w:t xml:space="preserve">he TGA delegate’s summary was </w:t>
      </w:r>
      <w:r w:rsidR="00D00D74" w:rsidRPr="007A70FB">
        <w:rPr>
          <w:rFonts w:asciiTheme="minorHAnsi" w:eastAsia="Calibri" w:hAnsiTheme="minorHAnsi" w:cstheme="minorHAnsi"/>
          <w:bCs/>
          <w:szCs w:val="24"/>
        </w:rPr>
        <w:t xml:space="preserve">available. </w:t>
      </w:r>
      <w:r w:rsidR="006D4030" w:rsidRPr="007A70FB">
        <w:rPr>
          <w:rFonts w:asciiTheme="minorHAnsi" w:eastAsia="Calibri" w:hAnsiTheme="minorHAnsi" w:cstheme="minorHAnsi"/>
          <w:bCs/>
          <w:szCs w:val="24"/>
        </w:rPr>
        <w:t xml:space="preserve">The TGA delegate proposed </w:t>
      </w:r>
      <w:r w:rsidR="00160610" w:rsidRPr="007A70FB">
        <w:rPr>
          <w:rFonts w:asciiTheme="minorHAnsi" w:eastAsia="Calibri" w:hAnsiTheme="minorHAnsi" w:cstheme="minorHAnsi"/>
          <w:bCs/>
          <w:szCs w:val="24"/>
        </w:rPr>
        <w:t xml:space="preserve">provisional approval, with an </w:t>
      </w:r>
      <w:r w:rsidR="006D4030" w:rsidRPr="007A70FB">
        <w:rPr>
          <w:rFonts w:asciiTheme="minorHAnsi" w:eastAsia="Calibri" w:hAnsiTheme="minorHAnsi" w:cstheme="minorHAnsi"/>
          <w:bCs/>
          <w:szCs w:val="24"/>
        </w:rPr>
        <w:t>indica</w:t>
      </w:r>
      <w:r w:rsidR="00CC0390" w:rsidRPr="007A70FB">
        <w:rPr>
          <w:rFonts w:asciiTheme="minorHAnsi" w:eastAsia="Calibri" w:hAnsiTheme="minorHAnsi" w:cstheme="minorHAnsi"/>
          <w:bCs/>
          <w:szCs w:val="24"/>
        </w:rPr>
        <w:t xml:space="preserve">tion </w:t>
      </w:r>
      <w:r w:rsidR="006D4030" w:rsidRPr="007A70FB">
        <w:rPr>
          <w:rFonts w:asciiTheme="minorHAnsi" w:eastAsia="Calibri" w:hAnsiTheme="minorHAnsi" w:cstheme="minorHAnsi"/>
          <w:bCs/>
          <w:szCs w:val="24"/>
        </w:rPr>
        <w:t>for the</w:t>
      </w:r>
      <w:r w:rsidR="000F21C5" w:rsidRPr="007A70FB">
        <w:rPr>
          <w:rFonts w:asciiTheme="minorHAnsi" w:eastAsia="Calibri" w:hAnsiTheme="minorHAnsi" w:cstheme="minorHAnsi"/>
          <w:bCs/>
          <w:szCs w:val="24"/>
        </w:rPr>
        <w:t xml:space="preserve"> treatment of patients with ALK-</w:t>
      </w:r>
      <w:r w:rsidR="006D4030" w:rsidRPr="007A70FB">
        <w:rPr>
          <w:rFonts w:asciiTheme="minorHAnsi" w:eastAsia="Calibri" w:hAnsiTheme="minorHAnsi" w:cstheme="minorHAnsi"/>
          <w:bCs/>
          <w:szCs w:val="24"/>
        </w:rPr>
        <w:t xml:space="preserve">positive advanced NSCLC whose </w:t>
      </w:r>
      <w:r w:rsidR="00160610" w:rsidRPr="007A70FB">
        <w:rPr>
          <w:rFonts w:asciiTheme="minorHAnsi" w:eastAsia="Calibri" w:hAnsiTheme="minorHAnsi" w:cstheme="minorHAnsi"/>
          <w:bCs/>
          <w:szCs w:val="24"/>
        </w:rPr>
        <w:t xml:space="preserve">disease </w:t>
      </w:r>
      <w:r w:rsidR="006D4030" w:rsidRPr="007A70FB">
        <w:rPr>
          <w:rFonts w:asciiTheme="minorHAnsi" w:eastAsia="Calibri" w:hAnsiTheme="minorHAnsi" w:cstheme="minorHAnsi"/>
          <w:bCs/>
          <w:szCs w:val="24"/>
        </w:rPr>
        <w:t>has progressed on</w:t>
      </w:r>
      <w:r w:rsidR="006D4030" w:rsidRPr="007A70FB">
        <w:rPr>
          <w:rFonts w:asciiTheme="minorHAnsi" w:hAnsiTheme="minorHAnsi" w:cstheme="minorHAnsi"/>
          <w:bCs/>
          <w:iCs/>
          <w:szCs w:val="24"/>
        </w:rPr>
        <w:t>:</w:t>
      </w:r>
    </w:p>
    <w:p w:rsidR="006D4030" w:rsidRPr="007A70FB" w:rsidRDefault="006D4030" w:rsidP="006D4030">
      <w:pPr>
        <w:pStyle w:val="ListParagraph"/>
        <w:widowControl/>
        <w:numPr>
          <w:ilvl w:val="1"/>
          <w:numId w:val="15"/>
        </w:numPr>
        <w:spacing w:before="120" w:after="120"/>
        <w:rPr>
          <w:rFonts w:asciiTheme="minorHAnsi" w:hAnsiTheme="minorHAnsi" w:cstheme="minorHAnsi"/>
          <w:bCs/>
          <w:szCs w:val="24"/>
        </w:rPr>
      </w:pPr>
      <w:r w:rsidRPr="007A70FB">
        <w:rPr>
          <w:rFonts w:asciiTheme="minorHAnsi" w:hAnsiTheme="minorHAnsi" w:cstheme="minorHAnsi"/>
          <w:bCs/>
          <w:szCs w:val="24"/>
        </w:rPr>
        <w:t xml:space="preserve">crizotinib and at </w:t>
      </w:r>
      <w:r w:rsidR="00587DBC" w:rsidRPr="007A70FB">
        <w:rPr>
          <w:rFonts w:asciiTheme="minorHAnsi" w:hAnsiTheme="minorHAnsi" w:cstheme="minorHAnsi"/>
          <w:bCs/>
          <w:szCs w:val="24"/>
        </w:rPr>
        <w:t>least</w:t>
      </w:r>
      <w:r w:rsidRPr="007A70FB">
        <w:rPr>
          <w:rFonts w:asciiTheme="minorHAnsi" w:hAnsiTheme="minorHAnsi" w:cstheme="minorHAnsi"/>
          <w:bCs/>
          <w:szCs w:val="24"/>
        </w:rPr>
        <w:t xml:space="preserve"> one other ALK inhibitor; or </w:t>
      </w:r>
    </w:p>
    <w:p w:rsidR="006D4030" w:rsidRPr="007A70FB" w:rsidRDefault="006D4030" w:rsidP="006D4030">
      <w:pPr>
        <w:pStyle w:val="ListParagraph"/>
        <w:widowControl/>
        <w:numPr>
          <w:ilvl w:val="1"/>
          <w:numId w:val="15"/>
        </w:numPr>
        <w:spacing w:before="120" w:after="120"/>
        <w:rPr>
          <w:rFonts w:asciiTheme="minorHAnsi" w:hAnsiTheme="minorHAnsi" w:cstheme="minorHAnsi"/>
          <w:bCs/>
          <w:szCs w:val="24"/>
        </w:rPr>
      </w:pPr>
      <w:r w:rsidRPr="007A70FB">
        <w:rPr>
          <w:rFonts w:asciiTheme="minorHAnsi" w:hAnsiTheme="minorHAnsi" w:cstheme="minorHAnsi"/>
          <w:bCs/>
          <w:szCs w:val="24"/>
        </w:rPr>
        <w:t xml:space="preserve">alectinib as the first ALK inhibitor therapy; or </w:t>
      </w:r>
    </w:p>
    <w:p w:rsidR="006D4030" w:rsidRPr="007A70FB" w:rsidRDefault="006D4030" w:rsidP="006D4030">
      <w:pPr>
        <w:pStyle w:val="ListParagraph"/>
        <w:widowControl/>
        <w:numPr>
          <w:ilvl w:val="1"/>
          <w:numId w:val="15"/>
        </w:numPr>
        <w:spacing w:before="120" w:after="120"/>
        <w:rPr>
          <w:rFonts w:asciiTheme="minorHAnsi" w:hAnsiTheme="minorHAnsi" w:cstheme="minorHAnsi"/>
          <w:bCs/>
          <w:szCs w:val="24"/>
        </w:rPr>
      </w:pPr>
      <w:r w:rsidRPr="007A70FB">
        <w:rPr>
          <w:rFonts w:asciiTheme="minorHAnsi" w:hAnsiTheme="minorHAnsi" w:cstheme="minorHAnsi"/>
          <w:bCs/>
          <w:szCs w:val="24"/>
        </w:rPr>
        <w:t xml:space="preserve">ceritinib as the first ALK </w:t>
      </w:r>
      <w:r w:rsidR="00587DBC" w:rsidRPr="007A70FB">
        <w:rPr>
          <w:rFonts w:asciiTheme="minorHAnsi" w:hAnsiTheme="minorHAnsi" w:cstheme="minorHAnsi"/>
          <w:bCs/>
          <w:szCs w:val="24"/>
        </w:rPr>
        <w:t>inhibitor</w:t>
      </w:r>
      <w:r w:rsidRPr="007A70FB">
        <w:rPr>
          <w:rFonts w:asciiTheme="minorHAnsi" w:hAnsiTheme="minorHAnsi" w:cstheme="minorHAnsi"/>
          <w:bCs/>
          <w:szCs w:val="24"/>
        </w:rPr>
        <w:t xml:space="preserve"> therapy. </w:t>
      </w:r>
    </w:p>
    <w:p w:rsidR="007110AB" w:rsidRPr="007A70FB" w:rsidRDefault="00E4011B" w:rsidP="00D77D7B">
      <w:pPr>
        <w:pStyle w:val="ListParagraph"/>
        <w:widowControl/>
        <w:numPr>
          <w:ilvl w:val="1"/>
          <w:numId w:val="1"/>
        </w:numPr>
        <w:spacing w:before="120" w:after="120"/>
      </w:pPr>
      <w:r w:rsidRPr="007A70FB">
        <w:t xml:space="preserve">The TGA delegate’s decision to approve this indication has been made on the basis of tumour </w:t>
      </w:r>
      <w:r w:rsidR="00587DBC" w:rsidRPr="007A70FB">
        <w:t>response</w:t>
      </w:r>
      <w:r w:rsidRPr="007A70FB">
        <w:t xml:space="preserve"> rate and duration of response in the</w:t>
      </w:r>
      <w:r w:rsidR="00A205DE" w:rsidRPr="007A70FB">
        <w:t xml:space="preserve"> single </w:t>
      </w:r>
      <w:r w:rsidRPr="007A70FB">
        <w:t xml:space="preserve">arm </w:t>
      </w:r>
      <w:r w:rsidR="00A205DE" w:rsidRPr="007A70FB">
        <w:t xml:space="preserve">phase 1/2 </w:t>
      </w:r>
      <w:r w:rsidRPr="007A70FB">
        <w:t>study (Study 1001)</w:t>
      </w:r>
      <w:r w:rsidR="00D77D7B" w:rsidRPr="007A70FB">
        <w:t xml:space="preserve">, and </w:t>
      </w:r>
      <w:r w:rsidRPr="007A70FB">
        <w:t xml:space="preserve">noted that continued approval of this indication </w:t>
      </w:r>
      <w:r w:rsidR="00C16727" w:rsidRPr="007A70FB">
        <w:t xml:space="preserve">is contingent on clinical benefit </w:t>
      </w:r>
      <w:r w:rsidR="007110AB" w:rsidRPr="007A70FB">
        <w:t xml:space="preserve">in a confirmatory </w:t>
      </w:r>
      <w:r w:rsidR="007110AB" w:rsidRPr="00A66621">
        <w:t xml:space="preserve">study, CROWN (i.e. Study B7461006), where results are expected in </w:t>
      </w:r>
      <w:r w:rsidR="00FF4479">
        <w:rPr>
          <w:noProof/>
          <w:color w:val="000000"/>
          <w:highlight w:val="black"/>
        </w:rPr>
        <w:t>'''''''''</w:t>
      </w:r>
      <w:r w:rsidR="00AF2E1B" w:rsidRPr="00A66621">
        <w:t>,</w:t>
      </w:r>
      <w:r w:rsidR="00C16727" w:rsidRPr="00A66621">
        <w:t xml:space="preserve"> and to </w:t>
      </w:r>
      <w:r w:rsidR="00AF2E1B" w:rsidRPr="00A66621">
        <w:t xml:space="preserve">be assessed by the TGA in </w:t>
      </w:r>
      <w:r w:rsidR="00FF4479">
        <w:rPr>
          <w:noProof/>
          <w:color w:val="000000"/>
          <w:highlight w:val="black"/>
        </w:rPr>
        <w:t>''''''''''</w:t>
      </w:r>
      <w:r w:rsidR="00C16727" w:rsidRPr="00A66621">
        <w:t>.</w:t>
      </w:r>
      <w:r w:rsidR="007110AB" w:rsidRPr="00A66621">
        <w:t xml:space="preserve"> An additional</w:t>
      </w:r>
      <w:r w:rsidR="007110AB" w:rsidRPr="007A70FB">
        <w:t xml:space="preserve"> prospective single arm study of patients who have progressed after treatment with alectinib or ceritinib was requested by the </w:t>
      </w:r>
      <w:r w:rsidR="002B5A5D" w:rsidRPr="007A70FB">
        <w:t>European Medicines Agency (</w:t>
      </w:r>
      <w:r w:rsidR="007110AB" w:rsidRPr="007A70FB">
        <w:t>EMA</w:t>
      </w:r>
      <w:r w:rsidR="002B5A5D" w:rsidRPr="007A70FB">
        <w:t>)</w:t>
      </w:r>
      <w:r w:rsidR="007110AB" w:rsidRPr="007A70FB">
        <w:t>, where results are expected in June 2024.</w:t>
      </w:r>
    </w:p>
    <w:p w:rsidR="007110AB" w:rsidRPr="007A70FB" w:rsidRDefault="007110AB" w:rsidP="00A205DE">
      <w:pPr>
        <w:pStyle w:val="ListParagraph"/>
        <w:widowControl/>
        <w:numPr>
          <w:ilvl w:val="1"/>
          <w:numId w:val="1"/>
        </w:numPr>
        <w:spacing w:before="120" w:after="120"/>
        <w:rPr>
          <w:rFonts w:asciiTheme="minorHAnsi" w:hAnsiTheme="minorHAnsi" w:cstheme="minorHAnsi"/>
          <w:iCs/>
        </w:rPr>
      </w:pPr>
      <w:r w:rsidRPr="007A70FB">
        <w:t xml:space="preserve">The confirmatory trial, </w:t>
      </w:r>
      <w:r w:rsidR="00E44284" w:rsidRPr="007A70FB">
        <w:t xml:space="preserve">the Phase </w:t>
      </w:r>
      <w:r w:rsidR="00DA5803" w:rsidRPr="007A70FB">
        <w:rPr>
          <w:rFonts w:asciiTheme="minorHAnsi" w:hAnsiTheme="minorHAnsi" w:cstheme="minorHAnsi"/>
        </w:rPr>
        <w:t>III</w:t>
      </w:r>
      <w:r w:rsidR="00E44284" w:rsidRPr="007A70FB">
        <w:t xml:space="preserve"> </w:t>
      </w:r>
      <w:r w:rsidRPr="007A70FB">
        <w:t xml:space="preserve">CROWN </w:t>
      </w:r>
      <w:r w:rsidR="00B0400A" w:rsidRPr="007A70FB">
        <w:t xml:space="preserve">of lorlatinib </w:t>
      </w:r>
      <w:r w:rsidR="00166ED9" w:rsidRPr="007A70FB">
        <w:t>compared with</w:t>
      </w:r>
      <w:r w:rsidR="00B0400A" w:rsidRPr="007A70FB">
        <w:t xml:space="preserve"> crizotinib </w:t>
      </w:r>
      <w:r w:rsidRPr="007A70FB">
        <w:t>is being conducted in the first-line setting, which is not consistent with the request</w:t>
      </w:r>
      <w:r w:rsidR="00E75B2D" w:rsidRPr="007A70FB">
        <w:t>ed</w:t>
      </w:r>
      <w:r w:rsidRPr="007A70FB">
        <w:t xml:space="preserve"> </w:t>
      </w:r>
      <w:r w:rsidRPr="007A70FB">
        <w:lastRenderedPageBreak/>
        <w:t>listing (second-line and subsequent-line settings) being sought in this submission.</w:t>
      </w:r>
      <w:r w:rsidR="00DA5803" w:rsidRPr="007A70FB">
        <w:t xml:space="preserve"> </w:t>
      </w:r>
      <w:r w:rsidR="003974CF" w:rsidRPr="007A70FB">
        <w:rPr>
          <w:iCs/>
        </w:rPr>
        <w:t>The</w:t>
      </w:r>
      <w:r w:rsidR="00A91F5F" w:rsidRPr="007A70FB">
        <w:rPr>
          <w:iCs/>
        </w:rPr>
        <w:t xml:space="preserve"> </w:t>
      </w:r>
      <w:r w:rsidR="00A67B06" w:rsidRPr="00607FF1">
        <w:rPr>
          <w:rFonts w:asciiTheme="minorHAnsi" w:hAnsiTheme="minorHAnsi" w:cstheme="minorHAnsi"/>
          <w:szCs w:val="24"/>
        </w:rPr>
        <w:t xml:space="preserve">Economics Sub-Committee </w:t>
      </w:r>
      <w:r w:rsidR="00A67B06">
        <w:rPr>
          <w:rFonts w:asciiTheme="minorHAnsi" w:hAnsiTheme="minorHAnsi" w:cstheme="minorHAnsi"/>
          <w:szCs w:val="24"/>
        </w:rPr>
        <w:t>(</w:t>
      </w:r>
      <w:r w:rsidR="003974CF" w:rsidRPr="007A70FB">
        <w:rPr>
          <w:iCs/>
        </w:rPr>
        <w:t>ESC</w:t>
      </w:r>
      <w:r w:rsidR="00A67B06">
        <w:rPr>
          <w:iCs/>
        </w:rPr>
        <w:t>)</w:t>
      </w:r>
      <w:r w:rsidR="003974CF" w:rsidRPr="007A70FB">
        <w:rPr>
          <w:iCs/>
        </w:rPr>
        <w:t xml:space="preserve"> considered that </w:t>
      </w:r>
      <w:r w:rsidR="000657B4" w:rsidRPr="007A70FB">
        <w:rPr>
          <w:rFonts w:asciiTheme="minorHAnsi" w:hAnsiTheme="minorHAnsi" w:cstheme="minorHAnsi"/>
          <w:iCs/>
        </w:rPr>
        <w:t xml:space="preserve">the </w:t>
      </w:r>
      <w:r w:rsidR="003974CF" w:rsidRPr="007A70FB">
        <w:rPr>
          <w:rFonts w:asciiTheme="minorHAnsi" w:hAnsiTheme="minorHAnsi" w:cstheme="minorHAnsi"/>
          <w:iCs/>
        </w:rPr>
        <w:t xml:space="preserve">applicability of the </w:t>
      </w:r>
      <w:r w:rsidR="00DA5803" w:rsidRPr="007A70FB">
        <w:rPr>
          <w:rFonts w:asciiTheme="minorHAnsi" w:hAnsiTheme="minorHAnsi" w:cstheme="minorHAnsi"/>
          <w:iCs/>
        </w:rPr>
        <w:t>CROWN</w:t>
      </w:r>
      <w:r w:rsidR="005D647B" w:rsidRPr="007A70FB">
        <w:rPr>
          <w:rFonts w:asciiTheme="minorHAnsi" w:hAnsiTheme="minorHAnsi" w:cstheme="minorHAnsi"/>
          <w:iCs/>
        </w:rPr>
        <w:t xml:space="preserve"> Phase III</w:t>
      </w:r>
      <w:r w:rsidR="00DA5803" w:rsidRPr="007A70FB">
        <w:rPr>
          <w:rFonts w:asciiTheme="minorHAnsi" w:hAnsiTheme="minorHAnsi" w:cstheme="minorHAnsi"/>
          <w:iCs/>
        </w:rPr>
        <w:t xml:space="preserve"> </w:t>
      </w:r>
      <w:r w:rsidR="000A6146" w:rsidRPr="007A70FB">
        <w:rPr>
          <w:rFonts w:asciiTheme="minorHAnsi" w:hAnsiTheme="minorHAnsi" w:cstheme="minorHAnsi"/>
          <w:iCs/>
        </w:rPr>
        <w:t>results</w:t>
      </w:r>
      <w:r w:rsidR="000657B4" w:rsidRPr="007A70FB">
        <w:rPr>
          <w:rFonts w:asciiTheme="minorHAnsi" w:hAnsiTheme="minorHAnsi" w:cstheme="minorHAnsi"/>
          <w:iCs/>
        </w:rPr>
        <w:t xml:space="preserve"> </w:t>
      </w:r>
      <w:r w:rsidR="003974CF" w:rsidRPr="007A70FB">
        <w:rPr>
          <w:rFonts w:asciiTheme="minorHAnsi" w:hAnsiTheme="minorHAnsi" w:cstheme="minorHAnsi"/>
          <w:iCs/>
        </w:rPr>
        <w:t xml:space="preserve">was </w:t>
      </w:r>
      <w:r w:rsidR="00B71833">
        <w:rPr>
          <w:rFonts w:asciiTheme="minorHAnsi" w:hAnsiTheme="minorHAnsi" w:cstheme="minorHAnsi"/>
          <w:iCs/>
        </w:rPr>
        <w:t xml:space="preserve">not really a confirmatory trial (being used in </w:t>
      </w:r>
      <w:r w:rsidR="00FC393F">
        <w:rPr>
          <w:rFonts w:asciiTheme="minorHAnsi" w:hAnsiTheme="minorHAnsi" w:cstheme="minorHAnsi"/>
          <w:iCs/>
        </w:rPr>
        <w:t xml:space="preserve">the </w:t>
      </w:r>
      <w:r w:rsidR="00B71833">
        <w:rPr>
          <w:rFonts w:asciiTheme="minorHAnsi" w:hAnsiTheme="minorHAnsi" w:cstheme="minorHAnsi"/>
          <w:iCs/>
        </w:rPr>
        <w:t xml:space="preserve">first-line, rather than </w:t>
      </w:r>
      <w:r w:rsidR="00FC393F">
        <w:rPr>
          <w:rFonts w:asciiTheme="minorHAnsi" w:hAnsiTheme="minorHAnsi" w:cstheme="minorHAnsi"/>
          <w:iCs/>
        </w:rPr>
        <w:t xml:space="preserve">the </w:t>
      </w:r>
      <w:r w:rsidR="00B71833">
        <w:rPr>
          <w:rFonts w:asciiTheme="minorHAnsi" w:hAnsiTheme="minorHAnsi" w:cstheme="minorHAnsi"/>
          <w:iCs/>
        </w:rPr>
        <w:t xml:space="preserve">second-line setting) and was </w:t>
      </w:r>
      <w:r w:rsidR="003974CF" w:rsidRPr="007A70FB">
        <w:rPr>
          <w:rFonts w:asciiTheme="minorHAnsi" w:hAnsiTheme="minorHAnsi" w:cstheme="minorHAnsi"/>
          <w:iCs/>
        </w:rPr>
        <w:t>further</w:t>
      </w:r>
      <w:r w:rsidR="00811307" w:rsidRPr="007A70FB">
        <w:rPr>
          <w:rFonts w:asciiTheme="minorHAnsi" w:hAnsiTheme="minorHAnsi" w:cstheme="minorHAnsi"/>
          <w:iCs/>
        </w:rPr>
        <w:t xml:space="preserve"> limited </w:t>
      </w:r>
      <w:r w:rsidR="003974CF" w:rsidRPr="007A70FB">
        <w:rPr>
          <w:rFonts w:asciiTheme="minorHAnsi" w:hAnsiTheme="minorHAnsi" w:cstheme="minorHAnsi"/>
          <w:iCs/>
        </w:rPr>
        <w:t xml:space="preserve">by the fact that </w:t>
      </w:r>
      <w:r w:rsidR="00C314B7" w:rsidRPr="007A70FB">
        <w:rPr>
          <w:rFonts w:asciiTheme="minorHAnsi" w:hAnsiTheme="minorHAnsi" w:cstheme="minorHAnsi"/>
          <w:iCs/>
        </w:rPr>
        <w:t xml:space="preserve">alectinib has become the current </w:t>
      </w:r>
      <w:r w:rsidR="001B4C0D" w:rsidRPr="007A70FB">
        <w:rPr>
          <w:rFonts w:asciiTheme="minorHAnsi" w:hAnsiTheme="minorHAnsi" w:cstheme="minorHAnsi"/>
          <w:iCs/>
        </w:rPr>
        <w:t xml:space="preserve">guideline recommended </w:t>
      </w:r>
      <w:r w:rsidR="00C314B7" w:rsidRPr="007A70FB">
        <w:rPr>
          <w:rFonts w:asciiTheme="minorHAnsi" w:hAnsiTheme="minorHAnsi" w:cstheme="minorHAnsi"/>
          <w:iCs/>
        </w:rPr>
        <w:t>standard of care in the first</w:t>
      </w:r>
      <w:r w:rsidR="0085347C" w:rsidRPr="007A70FB">
        <w:rPr>
          <w:rFonts w:asciiTheme="minorHAnsi" w:hAnsiTheme="minorHAnsi" w:cstheme="minorHAnsi"/>
          <w:iCs/>
        </w:rPr>
        <w:t>-</w:t>
      </w:r>
      <w:r w:rsidR="00C314B7" w:rsidRPr="007A70FB">
        <w:rPr>
          <w:rFonts w:asciiTheme="minorHAnsi" w:hAnsiTheme="minorHAnsi" w:cstheme="minorHAnsi"/>
          <w:iCs/>
        </w:rPr>
        <w:t>line setting</w:t>
      </w:r>
      <w:r w:rsidR="007D1CFE" w:rsidRPr="007A70FB">
        <w:rPr>
          <w:rFonts w:asciiTheme="minorHAnsi" w:hAnsiTheme="minorHAnsi" w:cstheme="minorHAnsi"/>
          <w:iCs/>
        </w:rPr>
        <w:t xml:space="preserve">. </w:t>
      </w:r>
      <w:r w:rsidR="000A6146" w:rsidRPr="007A70FB">
        <w:rPr>
          <w:rFonts w:asciiTheme="minorHAnsi" w:hAnsiTheme="minorHAnsi" w:cstheme="minorHAnsi"/>
          <w:iCs/>
        </w:rPr>
        <w:t xml:space="preserve">Nonetheless, the ESC considered that the results would be </w:t>
      </w:r>
      <w:r w:rsidR="00A91F5F" w:rsidRPr="007A70FB">
        <w:rPr>
          <w:rFonts w:asciiTheme="minorHAnsi" w:hAnsiTheme="minorHAnsi" w:cstheme="minorHAnsi"/>
          <w:iCs/>
        </w:rPr>
        <w:t xml:space="preserve">informative </w:t>
      </w:r>
      <w:r w:rsidR="00A205DE" w:rsidRPr="007A70FB">
        <w:rPr>
          <w:rFonts w:asciiTheme="minorHAnsi" w:hAnsiTheme="minorHAnsi" w:cstheme="minorHAnsi"/>
          <w:iCs/>
        </w:rPr>
        <w:t>(</w:t>
      </w:r>
      <w:r w:rsidR="00A91F5F" w:rsidRPr="007A70FB">
        <w:rPr>
          <w:rFonts w:asciiTheme="minorHAnsi" w:hAnsiTheme="minorHAnsi" w:cstheme="minorHAnsi"/>
          <w:iCs/>
        </w:rPr>
        <w:t>t</w:t>
      </w:r>
      <w:r w:rsidR="000A6146" w:rsidRPr="007A70FB">
        <w:rPr>
          <w:rFonts w:asciiTheme="minorHAnsi" w:hAnsiTheme="minorHAnsi" w:cstheme="minorHAnsi"/>
          <w:iCs/>
        </w:rPr>
        <w:t xml:space="preserve">he TGA delegate noted that the study design will allow indirect comparison </w:t>
      </w:r>
      <w:r w:rsidR="00D12E28" w:rsidRPr="007A70FB">
        <w:rPr>
          <w:rFonts w:asciiTheme="minorHAnsi" w:hAnsiTheme="minorHAnsi" w:cstheme="minorHAnsi"/>
          <w:iCs/>
        </w:rPr>
        <w:t>of lorlatinib against other ALK-</w:t>
      </w:r>
      <w:r w:rsidR="000A6146" w:rsidRPr="007A70FB">
        <w:rPr>
          <w:rFonts w:asciiTheme="minorHAnsi" w:hAnsiTheme="minorHAnsi" w:cstheme="minorHAnsi"/>
          <w:iCs/>
        </w:rPr>
        <w:t>TKIs through cross-trial analyses</w:t>
      </w:r>
      <w:r w:rsidR="00A205DE" w:rsidRPr="007A70FB">
        <w:rPr>
          <w:rFonts w:asciiTheme="minorHAnsi" w:hAnsiTheme="minorHAnsi" w:cstheme="minorHAnsi"/>
          <w:iCs/>
        </w:rPr>
        <w:t>)</w:t>
      </w:r>
      <w:r w:rsidR="00F30E3B" w:rsidRPr="007A70FB">
        <w:rPr>
          <w:rFonts w:asciiTheme="minorHAnsi" w:hAnsiTheme="minorHAnsi" w:cstheme="minorHAnsi"/>
          <w:iCs/>
        </w:rPr>
        <w:t>.</w:t>
      </w:r>
    </w:p>
    <w:p w:rsidR="005F1404" w:rsidRDefault="005F1404" w:rsidP="005F1404">
      <w:pPr>
        <w:pStyle w:val="Heading2"/>
        <w:widowControl/>
        <w:spacing w:after="120"/>
      </w:pPr>
      <w:r w:rsidRPr="007A70FB">
        <w:t>Previous PBAC consideration</w:t>
      </w:r>
    </w:p>
    <w:p w:rsidR="007110AB" w:rsidRPr="007A70FB" w:rsidRDefault="007110AB" w:rsidP="00FE0FA7">
      <w:pPr>
        <w:pStyle w:val="ListParagraph"/>
        <w:widowControl/>
        <w:numPr>
          <w:ilvl w:val="1"/>
          <w:numId w:val="1"/>
        </w:numPr>
        <w:spacing w:before="120" w:after="120"/>
      </w:pPr>
      <w:r w:rsidRPr="007A70FB">
        <w:t xml:space="preserve">A summary of the evidence submitted for the listing of ALK-TKIs on the PBS is provided in </w:t>
      </w:r>
      <w:r w:rsidR="00496001" w:rsidRPr="007A70FB">
        <w:t>the table below.</w:t>
      </w:r>
    </w:p>
    <w:p w:rsidR="007110AB" w:rsidRPr="007A70FB" w:rsidRDefault="007110AB" w:rsidP="000345C6">
      <w:pPr>
        <w:keepNext/>
        <w:keepLines/>
        <w:widowControl/>
        <w:rPr>
          <w:rStyle w:val="CommentReference"/>
        </w:rPr>
      </w:pPr>
      <w:r w:rsidRPr="007A70FB">
        <w:rPr>
          <w:rStyle w:val="CommentReference"/>
          <w:szCs w:val="20"/>
        </w:rPr>
        <w:t xml:space="preserve">Table </w:t>
      </w:r>
      <w:r w:rsidR="008267CB" w:rsidRPr="007A70FB">
        <w:rPr>
          <w:rFonts w:ascii="Arial Narrow" w:hAnsi="Arial Narrow"/>
          <w:b/>
          <w:sz w:val="20"/>
          <w:szCs w:val="20"/>
        </w:rPr>
        <w:t>2</w:t>
      </w:r>
      <w:r w:rsidR="00C2706B" w:rsidRPr="007A70FB">
        <w:rPr>
          <w:rFonts w:ascii="Arial Narrow" w:hAnsi="Arial Narrow"/>
          <w:b/>
          <w:sz w:val="20"/>
          <w:szCs w:val="20"/>
        </w:rPr>
        <w:t xml:space="preserve">: </w:t>
      </w:r>
      <w:r w:rsidRPr="007A70FB">
        <w:rPr>
          <w:rStyle w:val="CommentReference"/>
          <w:szCs w:val="20"/>
        </w:rPr>
        <w:t>Summary of evidence</w:t>
      </w:r>
      <w:r w:rsidRPr="007A70FB">
        <w:rPr>
          <w:rStyle w:val="CommentReference"/>
        </w:rPr>
        <w:t xml:space="preserve"> submitted for ALK positive NSCLC </w:t>
      </w:r>
    </w:p>
    <w:tbl>
      <w:tblPr>
        <w:tblStyle w:val="TableGrid"/>
        <w:tblW w:w="5000" w:type="pct"/>
        <w:tblLook w:val="04A0" w:firstRow="1" w:lastRow="0" w:firstColumn="1" w:lastColumn="0" w:noHBand="0" w:noVBand="1"/>
        <w:tblCaption w:val="Table 3: Summary of evidence submitted for ALK positive NSCLC "/>
      </w:tblPr>
      <w:tblGrid>
        <w:gridCol w:w="1354"/>
        <w:gridCol w:w="1533"/>
        <w:gridCol w:w="1533"/>
        <w:gridCol w:w="1533"/>
        <w:gridCol w:w="1533"/>
        <w:gridCol w:w="1531"/>
      </w:tblGrid>
      <w:tr w:rsidR="007110AB" w:rsidRPr="007A70FB" w:rsidTr="00496001">
        <w:trPr>
          <w:trHeight w:val="20"/>
          <w:tblHeader/>
        </w:trPr>
        <w:tc>
          <w:tcPr>
            <w:tcW w:w="751" w:type="pct"/>
            <w:hideMark/>
          </w:tcPr>
          <w:p w:rsidR="007110AB" w:rsidRPr="007A70FB" w:rsidRDefault="007110AB" w:rsidP="000345C6">
            <w:pPr>
              <w:keepNext/>
              <w:keepLines/>
              <w:widowControl/>
              <w:rPr>
                <w:rFonts w:ascii="Arial Narrow" w:hAnsi="Arial Narrow"/>
                <w:sz w:val="20"/>
                <w:szCs w:val="20"/>
              </w:rPr>
            </w:pPr>
            <w:r w:rsidRPr="007A70FB">
              <w:rPr>
                <w:rFonts w:ascii="Arial Narrow" w:hAnsi="Arial Narrow"/>
                <w:sz w:val="20"/>
                <w:szCs w:val="20"/>
              </w:rPr>
              <w:t> </w:t>
            </w:r>
          </w:p>
        </w:tc>
        <w:tc>
          <w:tcPr>
            <w:tcW w:w="850" w:type="pct"/>
            <w:vAlign w:val="center"/>
            <w:hideMark/>
          </w:tcPr>
          <w:p w:rsidR="007110AB" w:rsidRPr="007A70FB" w:rsidRDefault="007110AB" w:rsidP="00496001">
            <w:pPr>
              <w:keepNext/>
              <w:keepLines/>
              <w:widowControl/>
              <w:jc w:val="center"/>
              <w:rPr>
                <w:rFonts w:ascii="Arial Narrow" w:hAnsi="Arial Narrow"/>
                <w:sz w:val="20"/>
                <w:szCs w:val="20"/>
              </w:rPr>
            </w:pPr>
            <w:r w:rsidRPr="007A70FB">
              <w:rPr>
                <w:rFonts w:ascii="Arial Narrow" w:hAnsi="Arial Narrow"/>
                <w:b/>
                <w:bCs/>
                <w:sz w:val="20"/>
                <w:szCs w:val="20"/>
              </w:rPr>
              <w:t xml:space="preserve">Crizotinib </w:t>
            </w:r>
            <w:r w:rsidRPr="007A70FB">
              <w:rPr>
                <w:rFonts w:ascii="Arial Narrow" w:hAnsi="Arial Narrow"/>
                <w:b/>
                <w:bCs/>
                <w:sz w:val="20"/>
                <w:szCs w:val="20"/>
              </w:rPr>
              <w:br/>
              <w:t>(Nov 2014)</w:t>
            </w:r>
          </w:p>
        </w:tc>
        <w:tc>
          <w:tcPr>
            <w:tcW w:w="850" w:type="pct"/>
            <w:vAlign w:val="center"/>
            <w:hideMark/>
          </w:tcPr>
          <w:p w:rsidR="007110AB" w:rsidRPr="007A70FB" w:rsidRDefault="007110AB" w:rsidP="00496001">
            <w:pPr>
              <w:keepNext/>
              <w:keepLines/>
              <w:widowControl/>
              <w:jc w:val="center"/>
              <w:rPr>
                <w:rFonts w:ascii="Arial Narrow" w:hAnsi="Arial Narrow"/>
                <w:sz w:val="20"/>
                <w:szCs w:val="20"/>
              </w:rPr>
            </w:pPr>
            <w:r w:rsidRPr="007A70FB">
              <w:rPr>
                <w:rFonts w:ascii="Arial Narrow" w:hAnsi="Arial Narrow"/>
                <w:b/>
                <w:bCs/>
                <w:sz w:val="20"/>
                <w:szCs w:val="20"/>
              </w:rPr>
              <w:t xml:space="preserve">Ceritinib </w:t>
            </w:r>
            <w:r w:rsidRPr="007A70FB">
              <w:rPr>
                <w:rFonts w:ascii="Arial Narrow" w:hAnsi="Arial Narrow"/>
                <w:b/>
                <w:bCs/>
                <w:sz w:val="20"/>
                <w:szCs w:val="20"/>
              </w:rPr>
              <w:br/>
              <w:t>(Nov 2016)</w:t>
            </w:r>
          </w:p>
        </w:tc>
        <w:tc>
          <w:tcPr>
            <w:tcW w:w="850" w:type="pct"/>
            <w:vAlign w:val="center"/>
            <w:hideMark/>
          </w:tcPr>
          <w:p w:rsidR="007110AB" w:rsidRPr="007A70FB" w:rsidRDefault="007110AB" w:rsidP="00496001">
            <w:pPr>
              <w:keepNext/>
              <w:keepLines/>
              <w:widowControl/>
              <w:jc w:val="center"/>
              <w:rPr>
                <w:rFonts w:ascii="Arial Narrow" w:hAnsi="Arial Narrow"/>
                <w:sz w:val="20"/>
                <w:szCs w:val="20"/>
              </w:rPr>
            </w:pPr>
            <w:r w:rsidRPr="007A70FB">
              <w:rPr>
                <w:rFonts w:ascii="Arial Narrow" w:hAnsi="Arial Narrow"/>
                <w:b/>
                <w:bCs/>
                <w:sz w:val="20"/>
                <w:szCs w:val="20"/>
              </w:rPr>
              <w:t xml:space="preserve">Alectinib </w:t>
            </w:r>
            <w:r w:rsidRPr="007A70FB">
              <w:rPr>
                <w:rFonts w:ascii="Arial Narrow" w:hAnsi="Arial Narrow"/>
                <w:b/>
                <w:bCs/>
                <w:sz w:val="20"/>
                <w:szCs w:val="20"/>
              </w:rPr>
              <w:br/>
              <w:t>(Jul 2017)</w:t>
            </w:r>
          </w:p>
        </w:tc>
        <w:tc>
          <w:tcPr>
            <w:tcW w:w="850" w:type="pct"/>
            <w:vAlign w:val="center"/>
            <w:hideMark/>
          </w:tcPr>
          <w:p w:rsidR="007110AB" w:rsidRPr="007A70FB" w:rsidRDefault="007110AB" w:rsidP="00496001">
            <w:pPr>
              <w:keepNext/>
              <w:keepLines/>
              <w:widowControl/>
              <w:jc w:val="center"/>
              <w:rPr>
                <w:rFonts w:ascii="Arial Narrow" w:hAnsi="Arial Narrow"/>
                <w:sz w:val="20"/>
                <w:szCs w:val="20"/>
              </w:rPr>
            </w:pPr>
            <w:r w:rsidRPr="007A70FB">
              <w:rPr>
                <w:rFonts w:ascii="Arial Narrow" w:hAnsi="Arial Narrow"/>
                <w:b/>
                <w:bCs/>
                <w:sz w:val="20"/>
                <w:szCs w:val="20"/>
              </w:rPr>
              <w:t xml:space="preserve">Brigatinib </w:t>
            </w:r>
            <w:r w:rsidRPr="007A70FB">
              <w:rPr>
                <w:rFonts w:ascii="Arial Narrow" w:hAnsi="Arial Narrow"/>
                <w:b/>
                <w:bCs/>
                <w:sz w:val="20"/>
                <w:szCs w:val="20"/>
              </w:rPr>
              <w:br/>
              <w:t>(Nov 2019)</w:t>
            </w:r>
          </w:p>
        </w:tc>
        <w:tc>
          <w:tcPr>
            <w:tcW w:w="849" w:type="pct"/>
            <w:vAlign w:val="center"/>
            <w:hideMark/>
          </w:tcPr>
          <w:p w:rsidR="007110AB" w:rsidRPr="007A70FB" w:rsidRDefault="007110AB" w:rsidP="00496001">
            <w:pPr>
              <w:keepNext/>
              <w:keepLines/>
              <w:widowControl/>
              <w:jc w:val="center"/>
              <w:rPr>
                <w:rFonts w:ascii="Arial Narrow" w:hAnsi="Arial Narrow"/>
                <w:sz w:val="20"/>
                <w:szCs w:val="20"/>
              </w:rPr>
            </w:pPr>
            <w:r w:rsidRPr="007A70FB">
              <w:rPr>
                <w:rFonts w:ascii="Arial Narrow" w:hAnsi="Arial Narrow"/>
                <w:b/>
                <w:bCs/>
                <w:sz w:val="20"/>
                <w:szCs w:val="20"/>
              </w:rPr>
              <w:t>Lorlatinib (Nov2019)</w:t>
            </w:r>
          </w:p>
        </w:tc>
      </w:tr>
      <w:tr w:rsidR="007110AB" w:rsidRPr="007A70FB" w:rsidTr="00496001">
        <w:trPr>
          <w:trHeight w:val="20"/>
        </w:trPr>
        <w:tc>
          <w:tcPr>
            <w:tcW w:w="751" w:type="pct"/>
            <w:hideMark/>
          </w:tcPr>
          <w:p w:rsidR="007110AB" w:rsidRPr="007A70FB" w:rsidRDefault="007110AB" w:rsidP="000345C6">
            <w:pPr>
              <w:keepNext/>
              <w:keepLines/>
              <w:widowControl/>
              <w:rPr>
                <w:rFonts w:ascii="Arial Narrow" w:hAnsi="Arial Narrow"/>
                <w:b/>
                <w:bCs/>
                <w:sz w:val="20"/>
                <w:szCs w:val="20"/>
              </w:rPr>
            </w:pPr>
            <w:r w:rsidRPr="007A70FB">
              <w:rPr>
                <w:rFonts w:ascii="Arial Narrow" w:hAnsi="Arial Narrow"/>
                <w:b/>
                <w:bCs/>
                <w:sz w:val="20"/>
                <w:szCs w:val="20"/>
              </w:rPr>
              <w:t>Requested PBS restriction</w:t>
            </w:r>
          </w:p>
        </w:tc>
        <w:tc>
          <w:tcPr>
            <w:tcW w:w="850" w:type="pct"/>
            <w:vAlign w:val="center"/>
            <w:hideMark/>
          </w:tcPr>
          <w:p w:rsidR="007110AB" w:rsidRPr="007A70FB" w:rsidRDefault="007110AB" w:rsidP="00496001">
            <w:pPr>
              <w:keepNext/>
              <w:keepLines/>
              <w:widowControl/>
              <w:jc w:val="center"/>
              <w:rPr>
                <w:rFonts w:ascii="Arial Narrow" w:hAnsi="Arial Narrow"/>
                <w:sz w:val="20"/>
                <w:szCs w:val="20"/>
              </w:rPr>
            </w:pPr>
            <w:r w:rsidRPr="007A70FB">
              <w:rPr>
                <w:rFonts w:ascii="Arial Narrow" w:hAnsi="Arial Narrow"/>
                <w:sz w:val="20"/>
                <w:szCs w:val="20"/>
              </w:rPr>
              <w:t>2</w:t>
            </w:r>
            <w:r w:rsidRPr="007A70FB">
              <w:rPr>
                <w:rFonts w:ascii="Arial Narrow" w:hAnsi="Arial Narrow"/>
                <w:sz w:val="20"/>
                <w:szCs w:val="20"/>
                <w:vertAlign w:val="superscript"/>
              </w:rPr>
              <w:t>nd</w:t>
            </w:r>
            <w:r w:rsidRPr="007A70FB">
              <w:rPr>
                <w:rFonts w:ascii="Arial Narrow" w:hAnsi="Arial Narrow"/>
                <w:sz w:val="20"/>
                <w:szCs w:val="20"/>
              </w:rPr>
              <w:t xml:space="preserve"> line (after platinum)</w:t>
            </w:r>
          </w:p>
        </w:tc>
        <w:tc>
          <w:tcPr>
            <w:tcW w:w="850" w:type="pct"/>
            <w:vAlign w:val="center"/>
            <w:hideMark/>
          </w:tcPr>
          <w:p w:rsidR="007110AB" w:rsidRPr="007A70FB" w:rsidRDefault="007110AB" w:rsidP="00496001">
            <w:pPr>
              <w:keepNext/>
              <w:keepLines/>
              <w:widowControl/>
              <w:jc w:val="center"/>
              <w:rPr>
                <w:rFonts w:ascii="Arial Narrow" w:hAnsi="Arial Narrow"/>
                <w:sz w:val="20"/>
                <w:szCs w:val="20"/>
              </w:rPr>
            </w:pPr>
            <w:r w:rsidRPr="007A70FB">
              <w:rPr>
                <w:rFonts w:ascii="Arial Narrow" w:hAnsi="Arial Narrow"/>
                <w:sz w:val="20"/>
                <w:szCs w:val="20"/>
              </w:rPr>
              <w:t>2</w:t>
            </w:r>
            <w:r w:rsidRPr="007A70FB">
              <w:rPr>
                <w:rFonts w:ascii="Arial Narrow" w:hAnsi="Arial Narrow"/>
                <w:sz w:val="20"/>
                <w:szCs w:val="20"/>
                <w:vertAlign w:val="superscript"/>
              </w:rPr>
              <w:t>nd</w:t>
            </w:r>
            <w:r w:rsidRPr="007A70FB">
              <w:rPr>
                <w:rFonts w:ascii="Arial Narrow" w:hAnsi="Arial Narrow"/>
                <w:sz w:val="20"/>
                <w:szCs w:val="20"/>
              </w:rPr>
              <w:t xml:space="preserve"> line (after TKI i.e. crizotinib)</w:t>
            </w:r>
          </w:p>
        </w:tc>
        <w:tc>
          <w:tcPr>
            <w:tcW w:w="850" w:type="pct"/>
            <w:vAlign w:val="center"/>
            <w:hideMark/>
          </w:tcPr>
          <w:p w:rsidR="007110AB" w:rsidRPr="007A70FB" w:rsidRDefault="007110AB" w:rsidP="00496001">
            <w:pPr>
              <w:keepNext/>
              <w:keepLines/>
              <w:widowControl/>
              <w:jc w:val="center"/>
              <w:rPr>
                <w:rFonts w:ascii="Arial Narrow" w:hAnsi="Arial Narrow"/>
                <w:sz w:val="20"/>
                <w:szCs w:val="20"/>
              </w:rPr>
            </w:pPr>
            <w:r w:rsidRPr="007A70FB">
              <w:rPr>
                <w:rFonts w:ascii="Arial Narrow" w:hAnsi="Arial Narrow"/>
                <w:sz w:val="20"/>
                <w:szCs w:val="20"/>
              </w:rPr>
              <w:t>2</w:t>
            </w:r>
            <w:r w:rsidRPr="007A70FB">
              <w:rPr>
                <w:rFonts w:ascii="Arial Narrow" w:hAnsi="Arial Narrow"/>
                <w:sz w:val="20"/>
                <w:szCs w:val="20"/>
                <w:vertAlign w:val="superscript"/>
              </w:rPr>
              <w:t>nd</w:t>
            </w:r>
            <w:r w:rsidRPr="007A70FB">
              <w:rPr>
                <w:rFonts w:ascii="Arial Narrow" w:hAnsi="Arial Narrow"/>
                <w:sz w:val="20"/>
                <w:szCs w:val="20"/>
              </w:rPr>
              <w:t xml:space="preserve"> line (after TKI i.e. crizotinib, ceritinib)</w:t>
            </w:r>
          </w:p>
        </w:tc>
        <w:tc>
          <w:tcPr>
            <w:tcW w:w="850" w:type="pct"/>
            <w:shd w:val="clear" w:color="auto" w:fill="auto"/>
            <w:vAlign w:val="center"/>
            <w:hideMark/>
          </w:tcPr>
          <w:p w:rsidR="007110AB" w:rsidRPr="007A70FB" w:rsidRDefault="006C66D9" w:rsidP="00496001">
            <w:pPr>
              <w:keepNext/>
              <w:keepLines/>
              <w:widowControl/>
              <w:jc w:val="center"/>
              <w:rPr>
                <w:rFonts w:ascii="Arial Narrow" w:hAnsi="Arial Narrow"/>
                <w:sz w:val="20"/>
                <w:szCs w:val="20"/>
              </w:rPr>
            </w:pPr>
            <w:r w:rsidRPr="007A70FB">
              <w:rPr>
                <w:rFonts w:ascii="Arial Narrow" w:hAnsi="Arial Narrow"/>
                <w:sz w:val="20"/>
                <w:szCs w:val="20"/>
              </w:rPr>
              <w:t>Locally advanced or metastatic ALK positive NSCLC.</w:t>
            </w:r>
          </w:p>
        </w:tc>
        <w:tc>
          <w:tcPr>
            <w:tcW w:w="849" w:type="pct"/>
            <w:vAlign w:val="center"/>
            <w:hideMark/>
          </w:tcPr>
          <w:p w:rsidR="007110AB" w:rsidRPr="007A70FB" w:rsidRDefault="007110AB" w:rsidP="00496001">
            <w:pPr>
              <w:keepNext/>
              <w:keepLines/>
              <w:widowControl/>
              <w:jc w:val="center"/>
              <w:rPr>
                <w:rFonts w:ascii="Arial Narrow" w:hAnsi="Arial Narrow"/>
                <w:sz w:val="20"/>
                <w:szCs w:val="20"/>
              </w:rPr>
            </w:pPr>
            <w:r w:rsidRPr="007A70FB">
              <w:rPr>
                <w:rFonts w:ascii="Arial Narrow" w:hAnsi="Arial Narrow"/>
                <w:sz w:val="20"/>
                <w:szCs w:val="20"/>
              </w:rPr>
              <w:t>2</w:t>
            </w:r>
            <w:r w:rsidRPr="007A70FB">
              <w:rPr>
                <w:rFonts w:ascii="Arial Narrow" w:hAnsi="Arial Narrow"/>
                <w:sz w:val="20"/>
                <w:szCs w:val="20"/>
                <w:vertAlign w:val="superscript"/>
              </w:rPr>
              <w:t xml:space="preserve">nd </w:t>
            </w:r>
            <w:r w:rsidRPr="007A70FB">
              <w:rPr>
                <w:rFonts w:ascii="Arial Narrow" w:hAnsi="Arial Narrow"/>
                <w:sz w:val="20"/>
                <w:szCs w:val="20"/>
              </w:rPr>
              <w:t>line and subsequent line.</w:t>
            </w:r>
          </w:p>
        </w:tc>
      </w:tr>
      <w:tr w:rsidR="007110AB" w:rsidRPr="007A70FB" w:rsidTr="00496001">
        <w:trPr>
          <w:trHeight w:val="20"/>
        </w:trPr>
        <w:tc>
          <w:tcPr>
            <w:tcW w:w="751" w:type="pct"/>
            <w:hideMark/>
          </w:tcPr>
          <w:p w:rsidR="007110AB" w:rsidRPr="007A70FB" w:rsidRDefault="007110AB" w:rsidP="000345C6">
            <w:pPr>
              <w:keepNext/>
              <w:keepLines/>
              <w:widowControl/>
              <w:rPr>
                <w:rFonts w:ascii="Arial Narrow" w:hAnsi="Arial Narrow"/>
                <w:b/>
                <w:bCs/>
                <w:sz w:val="20"/>
                <w:szCs w:val="20"/>
              </w:rPr>
            </w:pPr>
            <w:r w:rsidRPr="007A70FB">
              <w:rPr>
                <w:rFonts w:ascii="Arial Narrow" w:hAnsi="Arial Narrow"/>
                <w:b/>
                <w:bCs/>
                <w:sz w:val="20"/>
                <w:szCs w:val="20"/>
              </w:rPr>
              <w:t xml:space="preserve">TGA approval at time of submission </w:t>
            </w:r>
          </w:p>
        </w:tc>
        <w:tc>
          <w:tcPr>
            <w:tcW w:w="850" w:type="pct"/>
            <w:vAlign w:val="center"/>
            <w:hideMark/>
          </w:tcPr>
          <w:p w:rsidR="007110AB" w:rsidRPr="007A70FB" w:rsidRDefault="007110AB" w:rsidP="00496001">
            <w:pPr>
              <w:keepNext/>
              <w:keepLines/>
              <w:widowControl/>
              <w:jc w:val="center"/>
              <w:rPr>
                <w:rFonts w:ascii="Arial Narrow" w:hAnsi="Arial Narrow"/>
                <w:sz w:val="20"/>
                <w:szCs w:val="20"/>
              </w:rPr>
            </w:pPr>
            <w:r w:rsidRPr="007A70FB">
              <w:rPr>
                <w:rFonts w:ascii="Arial Narrow" w:hAnsi="Arial Narrow"/>
                <w:sz w:val="20"/>
                <w:szCs w:val="20"/>
              </w:rPr>
              <w:t>No restriction on line of therapy.</w:t>
            </w:r>
          </w:p>
        </w:tc>
        <w:tc>
          <w:tcPr>
            <w:tcW w:w="850" w:type="pct"/>
            <w:vAlign w:val="center"/>
            <w:hideMark/>
          </w:tcPr>
          <w:p w:rsidR="007110AB" w:rsidRPr="007A70FB" w:rsidRDefault="007110AB" w:rsidP="00496001">
            <w:pPr>
              <w:keepNext/>
              <w:keepLines/>
              <w:widowControl/>
              <w:jc w:val="center"/>
              <w:rPr>
                <w:rFonts w:ascii="Arial Narrow" w:hAnsi="Arial Narrow"/>
                <w:sz w:val="20"/>
                <w:szCs w:val="20"/>
              </w:rPr>
            </w:pPr>
            <w:r w:rsidRPr="007A70FB">
              <w:rPr>
                <w:rFonts w:ascii="Arial Narrow" w:hAnsi="Arial Narrow"/>
                <w:sz w:val="20"/>
                <w:szCs w:val="20"/>
              </w:rPr>
              <w:t>2</w:t>
            </w:r>
            <w:r w:rsidRPr="007A70FB">
              <w:rPr>
                <w:rFonts w:ascii="Arial Narrow" w:hAnsi="Arial Narrow"/>
                <w:sz w:val="20"/>
                <w:szCs w:val="20"/>
                <w:vertAlign w:val="superscript"/>
              </w:rPr>
              <w:t>nd</w:t>
            </w:r>
            <w:r w:rsidRPr="007A70FB">
              <w:rPr>
                <w:rFonts w:ascii="Arial Narrow" w:hAnsi="Arial Narrow"/>
                <w:sz w:val="20"/>
                <w:szCs w:val="20"/>
              </w:rPr>
              <w:t xml:space="preserve"> line</w:t>
            </w:r>
          </w:p>
        </w:tc>
        <w:tc>
          <w:tcPr>
            <w:tcW w:w="850" w:type="pct"/>
            <w:vAlign w:val="center"/>
            <w:hideMark/>
          </w:tcPr>
          <w:p w:rsidR="007110AB" w:rsidRPr="007A70FB" w:rsidRDefault="007110AB" w:rsidP="00496001">
            <w:pPr>
              <w:keepNext/>
              <w:keepLines/>
              <w:widowControl/>
              <w:jc w:val="center"/>
              <w:rPr>
                <w:rFonts w:ascii="Arial Narrow" w:hAnsi="Arial Narrow"/>
                <w:sz w:val="20"/>
                <w:szCs w:val="20"/>
              </w:rPr>
            </w:pPr>
            <w:r w:rsidRPr="007A70FB">
              <w:rPr>
                <w:rFonts w:ascii="Arial Narrow" w:hAnsi="Arial Narrow"/>
                <w:sz w:val="20"/>
                <w:szCs w:val="20"/>
              </w:rPr>
              <w:t>2</w:t>
            </w:r>
            <w:r w:rsidRPr="007A70FB">
              <w:rPr>
                <w:rFonts w:ascii="Arial Narrow" w:hAnsi="Arial Narrow"/>
                <w:sz w:val="20"/>
                <w:szCs w:val="20"/>
                <w:vertAlign w:val="superscript"/>
              </w:rPr>
              <w:t>nd</w:t>
            </w:r>
            <w:r w:rsidRPr="007A70FB">
              <w:rPr>
                <w:rFonts w:ascii="Arial Narrow" w:hAnsi="Arial Narrow"/>
                <w:sz w:val="20"/>
                <w:szCs w:val="20"/>
              </w:rPr>
              <w:t xml:space="preserve"> line</w:t>
            </w:r>
          </w:p>
        </w:tc>
        <w:tc>
          <w:tcPr>
            <w:tcW w:w="850" w:type="pct"/>
            <w:shd w:val="clear" w:color="auto" w:fill="auto"/>
            <w:vAlign w:val="center"/>
            <w:hideMark/>
          </w:tcPr>
          <w:p w:rsidR="007110AB" w:rsidRPr="007A70FB" w:rsidRDefault="007110AB" w:rsidP="00496001">
            <w:pPr>
              <w:keepNext/>
              <w:keepLines/>
              <w:widowControl/>
              <w:jc w:val="center"/>
              <w:rPr>
                <w:rFonts w:ascii="Arial Narrow" w:hAnsi="Arial Narrow"/>
                <w:sz w:val="20"/>
                <w:szCs w:val="20"/>
              </w:rPr>
            </w:pPr>
            <w:r w:rsidRPr="007A70FB">
              <w:rPr>
                <w:rFonts w:ascii="Arial Narrow" w:hAnsi="Arial Narrow"/>
                <w:sz w:val="20"/>
                <w:szCs w:val="20"/>
              </w:rPr>
              <w:t>2</w:t>
            </w:r>
            <w:r w:rsidRPr="007A70FB">
              <w:rPr>
                <w:rFonts w:ascii="Arial Narrow" w:hAnsi="Arial Narrow"/>
                <w:sz w:val="20"/>
                <w:szCs w:val="20"/>
                <w:vertAlign w:val="superscript"/>
              </w:rPr>
              <w:t>nd</w:t>
            </w:r>
            <w:r w:rsidRPr="007A70FB">
              <w:rPr>
                <w:rFonts w:ascii="Arial Narrow" w:hAnsi="Arial Narrow"/>
                <w:sz w:val="20"/>
                <w:szCs w:val="20"/>
              </w:rPr>
              <w:t xml:space="preserve"> line</w:t>
            </w:r>
          </w:p>
        </w:tc>
        <w:tc>
          <w:tcPr>
            <w:tcW w:w="849" w:type="pct"/>
            <w:vAlign w:val="center"/>
            <w:hideMark/>
          </w:tcPr>
          <w:p w:rsidR="007110AB" w:rsidRPr="007A70FB" w:rsidRDefault="007110AB" w:rsidP="00496001">
            <w:pPr>
              <w:keepNext/>
              <w:keepLines/>
              <w:widowControl/>
              <w:jc w:val="center"/>
              <w:rPr>
                <w:rFonts w:ascii="Arial Narrow" w:hAnsi="Arial Narrow"/>
                <w:sz w:val="20"/>
                <w:szCs w:val="20"/>
              </w:rPr>
            </w:pPr>
            <w:r w:rsidRPr="007A70FB">
              <w:rPr>
                <w:rFonts w:ascii="Arial Narrow" w:hAnsi="Arial Narrow"/>
                <w:sz w:val="20"/>
                <w:szCs w:val="20"/>
              </w:rPr>
              <w:t>2</w:t>
            </w:r>
            <w:r w:rsidRPr="007A70FB">
              <w:rPr>
                <w:rFonts w:ascii="Arial Narrow" w:hAnsi="Arial Narrow"/>
                <w:sz w:val="20"/>
                <w:szCs w:val="20"/>
                <w:vertAlign w:val="superscript"/>
              </w:rPr>
              <w:t>nd</w:t>
            </w:r>
            <w:r w:rsidRPr="007A70FB">
              <w:rPr>
                <w:rFonts w:ascii="Arial Narrow" w:hAnsi="Arial Narrow"/>
                <w:sz w:val="20"/>
                <w:szCs w:val="20"/>
              </w:rPr>
              <w:t xml:space="preserve"> line (</w:t>
            </w:r>
            <w:r w:rsidR="00D329C7" w:rsidRPr="007A70FB">
              <w:rPr>
                <w:rFonts w:ascii="Arial Narrow" w:hAnsi="Arial Narrow"/>
                <w:sz w:val="20"/>
                <w:szCs w:val="20"/>
              </w:rPr>
              <w:t xml:space="preserve">under the TGA </w:t>
            </w:r>
            <w:r w:rsidRPr="007A70FB">
              <w:rPr>
                <w:rFonts w:ascii="Arial Narrow" w:hAnsi="Arial Narrow"/>
                <w:sz w:val="20"/>
                <w:szCs w:val="20"/>
              </w:rPr>
              <w:t>provisional</w:t>
            </w:r>
            <w:r w:rsidR="00592A10" w:rsidRPr="007A70FB">
              <w:rPr>
                <w:rFonts w:ascii="Arial Narrow" w:hAnsi="Arial Narrow"/>
                <w:sz w:val="20"/>
                <w:szCs w:val="20"/>
              </w:rPr>
              <w:t xml:space="preserve"> </w:t>
            </w:r>
            <w:r w:rsidR="00D329C7" w:rsidRPr="007A70FB">
              <w:rPr>
                <w:rFonts w:ascii="Arial Narrow" w:hAnsi="Arial Narrow"/>
                <w:sz w:val="20"/>
                <w:szCs w:val="20"/>
              </w:rPr>
              <w:t>pathway</w:t>
            </w:r>
            <w:r w:rsidRPr="007A70FB">
              <w:rPr>
                <w:rFonts w:ascii="Arial Narrow" w:hAnsi="Arial Narrow"/>
                <w:sz w:val="20"/>
                <w:szCs w:val="20"/>
              </w:rPr>
              <w:t>)</w:t>
            </w:r>
          </w:p>
        </w:tc>
      </w:tr>
      <w:tr w:rsidR="007110AB" w:rsidRPr="007A70FB" w:rsidTr="00496001">
        <w:trPr>
          <w:trHeight w:val="20"/>
        </w:trPr>
        <w:tc>
          <w:tcPr>
            <w:tcW w:w="751" w:type="pct"/>
            <w:hideMark/>
          </w:tcPr>
          <w:p w:rsidR="007110AB" w:rsidRPr="007A70FB" w:rsidRDefault="007110AB" w:rsidP="000345C6">
            <w:pPr>
              <w:keepNext/>
              <w:keepLines/>
              <w:widowControl/>
              <w:rPr>
                <w:rFonts w:ascii="Arial Narrow" w:hAnsi="Arial Narrow"/>
                <w:b/>
                <w:bCs/>
                <w:sz w:val="20"/>
                <w:szCs w:val="20"/>
              </w:rPr>
            </w:pPr>
            <w:r w:rsidRPr="007A70FB">
              <w:rPr>
                <w:rFonts w:ascii="Arial Narrow" w:hAnsi="Arial Narrow"/>
                <w:b/>
                <w:bCs/>
                <w:sz w:val="20"/>
                <w:szCs w:val="20"/>
              </w:rPr>
              <w:t>Evidence presented to PBAC</w:t>
            </w:r>
          </w:p>
        </w:tc>
        <w:tc>
          <w:tcPr>
            <w:tcW w:w="850" w:type="pct"/>
            <w:vAlign w:val="center"/>
            <w:hideMark/>
          </w:tcPr>
          <w:p w:rsidR="007110AB" w:rsidRPr="007A70FB" w:rsidRDefault="007110AB" w:rsidP="00496001">
            <w:pPr>
              <w:keepNext/>
              <w:keepLines/>
              <w:widowControl/>
              <w:jc w:val="center"/>
              <w:rPr>
                <w:rFonts w:ascii="Arial Narrow" w:hAnsi="Arial Narrow"/>
                <w:sz w:val="20"/>
                <w:szCs w:val="20"/>
              </w:rPr>
            </w:pPr>
            <w:r w:rsidRPr="007A70FB">
              <w:rPr>
                <w:rFonts w:ascii="Arial Narrow" w:hAnsi="Arial Narrow"/>
                <w:sz w:val="20"/>
                <w:szCs w:val="20"/>
              </w:rPr>
              <w:t>2</w:t>
            </w:r>
            <w:r w:rsidRPr="007A70FB">
              <w:rPr>
                <w:rFonts w:ascii="Arial Narrow" w:hAnsi="Arial Narrow"/>
                <w:sz w:val="20"/>
                <w:szCs w:val="20"/>
                <w:vertAlign w:val="superscript"/>
              </w:rPr>
              <w:t>nd</w:t>
            </w:r>
            <w:r w:rsidRPr="007A70FB">
              <w:rPr>
                <w:rFonts w:ascii="Arial Narrow" w:hAnsi="Arial Narrow"/>
                <w:sz w:val="20"/>
                <w:szCs w:val="20"/>
              </w:rPr>
              <w:t xml:space="preserve"> line (after platinum) (RCT)</w:t>
            </w:r>
          </w:p>
        </w:tc>
        <w:tc>
          <w:tcPr>
            <w:tcW w:w="850" w:type="pct"/>
            <w:vAlign w:val="center"/>
            <w:hideMark/>
          </w:tcPr>
          <w:p w:rsidR="007110AB" w:rsidRPr="007A70FB" w:rsidRDefault="007110AB" w:rsidP="00496001">
            <w:pPr>
              <w:keepNext/>
              <w:keepLines/>
              <w:widowControl/>
              <w:jc w:val="center"/>
              <w:rPr>
                <w:rFonts w:ascii="Arial Narrow" w:hAnsi="Arial Narrow"/>
                <w:sz w:val="20"/>
                <w:szCs w:val="20"/>
              </w:rPr>
            </w:pPr>
            <w:r w:rsidRPr="007A70FB">
              <w:rPr>
                <w:rFonts w:ascii="Arial Narrow" w:hAnsi="Arial Narrow"/>
                <w:sz w:val="20"/>
                <w:szCs w:val="20"/>
              </w:rPr>
              <w:t>2</w:t>
            </w:r>
            <w:r w:rsidRPr="007A70FB">
              <w:rPr>
                <w:rFonts w:ascii="Arial Narrow" w:hAnsi="Arial Narrow"/>
                <w:sz w:val="20"/>
                <w:szCs w:val="20"/>
                <w:vertAlign w:val="superscript"/>
              </w:rPr>
              <w:t>nd</w:t>
            </w:r>
            <w:r w:rsidRPr="007A70FB">
              <w:rPr>
                <w:rFonts w:ascii="Arial Narrow" w:hAnsi="Arial Narrow"/>
                <w:sz w:val="20"/>
                <w:szCs w:val="20"/>
              </w:rPr>
              <w:t xml:space="preserve"> line (RCT)</w:t>
            </w:r>
          </w:p>
        </w:tc>
        <w:tc>
          <w:tcPr>
            <w:tcW w:w="850" w:type="pct"/>
            <w:vAlign w:val="center"/>
            <w:hideMark/>
          </w:tcPr>
          <w:p w:rsidR="007A5A9F" w:rsidRPr="007A70FB" w:rsidRDefault="007110AB" w:rsidP="00496001">
            <w:pPr>
              <w:keepNext/>
              <w:keepLines/>
              <w:widowControl/>
              <w:jc w:val="center"/>
              <w:rPr>
                <w:rFonts w:ascii="Arial Narrow" w:hAnsi="Arial Narrow"/>
                <w:sz w:val="20"/>
                <w:szCs w:val="20"/>
              </w:rPr>
            </w:pPr>
            <w:r w:rsidRPr="007A70FB">
              <w:rPr>
                <w:rFonts w:ascii="Arial Narrow" w:hAnsi="Arial Narrow"/>
                <w:sz w:val="20"/>
                <w:szCs w:val="20"/>
              </w:rPr>
              <w:t>2</w:t>
            </w:r>
            <w:r w:rsidRPr="007A70FB">
              <w:rPr>
                <w:rFonts w:ascii="Arial Narrow" w:hAnsi="Arial Narrow"/>
                <w:sz w:val="20"/>
                <w:szCs w:val="20"/>
                <w:vertAlign w:val="superscript"/>
              </w:rPr>
              <w:t>nd</w:t>
            </w:r>
            <w:r w:rsidRPr="007A70FB">
              <w:rPr>
                <w:rFonts w:ascii="Arial Narrow" w:hAnsi="Arial Narrow"/>
                <w:sz w:val="20"/>
                <w:szCs w:val="20"/>
              </w:rPr>
              <w:t xml:space="preserve"> line </w:t>
            </w:r>
          </w:p>
          <w:p w:rsidR="007110AB" w:rsidRPr="007A70FB" w:rsidRDefault="007110AB" w:rsidP="00496001">
            <w:pPr>
              <w:keepNext/>
              <w:keepLines/>
              <w:widowControl/>
              <w:jc w:val="center"/>
              <w:rPr>
                <w:rFonts w:ascii="Arial Narrow" w:hAnsi="Arial Narrow"/>
                <w:sz w:val="20"/>
                <w:szCs w:val="20"/>
              </w:rPr>
            </w:pPr>
            <w:r w:rsidRPr="007A70FB">
              <w:rPr>
                <w:rFonts w:ascii="Arial Narrow" w:hAnsi="Arial Narrow"/>
                <w:sz w:val="20"/>
                <w:szCs w:val="20"/>
              </w:rPr>
              <w:t>(single arm)</w:t>
            </w:r>
          </w:p>
        </w:tc>
        <w:tc>
          <w:tcPr>
            <w:tcW w:w="850" w:type="pct"/>
            <w:shd w:val="clear" w:color="auto" w:fill="auto"/>
            <w:vAlign w:val="center"/>
            <w:hideMark/>
          </w:tcPr>
          <w:p w:rsidR="004836D6" w:rsidRPr="00EE527E" w:rsidRDefault="00EE527E" w:rsidP="004836D6">
            <w:pPr>
              <w:pStyle w:val="Tabletext"/>
              <w:ind w:left="-67" w:right="-71"/>
              <w:jc w:val="center"/>
              <w:rPr>
                <w:iCs/>
                <w:snapToGrid w:val="0"/>
                <w:highlight w:val="black"/>
              </w:rPr>
            </w:pPr>
            <w:r>
              <w:rPr>
                <w:iCs/>
                <w:noProof/>
                <w:snapToGrid w:val="0"/>
                <w:color w:val="000000"/>
                <w:highlight w:val="black"/>
              </w:rPr>
              <w:t>'''''''' '''''''' ''''''''''''''''</w:t>
            </w:r>
          </w:p>
          <w:p w:rsidR="007110AB" w:rsidRPr="00EE527E" w:rsidRDefault="00EE527E" w:rsidP="004836D6">
            <w:pPr>
              <w:pStyle w:val="Tabletext"/>
              <w:ind w:left="-67" w:right="-71"/>
              <w:jc w:val="center"/>
              <w:rPr>
                <w:iCs/>
                <w:snapToGrid w:val="0"/>
                <w:highlight w:val="black"/>
              </w:rPr>
            </w:pPr>
            <w:r>
              <w:rPr>
                <w:iCs/>
                <w:noProof/>
                <w:snapToGrid w:val="0"/>
                <w:color w:val="000000"/>
                <w:highlight w:val="black"/>
              </w:rPr>
              <w:t>''''''''' '''''''' '''''''''''''''' ''''''''''</w:t>
            </w:r>
          </w:p>
        </w:tc>
        <w:tc>
          <w:tcPr>
            <w:tcW w:w="849" w:type="pct"/>
            <w:vAlign w:val="center"/>
            <w:hideMark/>
          </w:tcPr>
          <w:p w:rsidR="007110AB" w:rsidRPr="007A70FB" w:rsidRDefault="007110AB" w:rsidP="00496001">
            <w:pPr>
              <w:keepNext/>
              <w:keepLines/>
              <w:widowControl/>
              <w:jc w:val="center"/>
              <w:rPr>
                <w:rFonts w:ascii="Arial Narrow" w:hAnsi="Arial Narrow"/>
                <w:sz w:val="20"/>
                <w:szCs w:val="20"/>
              </w:rPr>
            </w:pPr>
            <w:r w:rsidRPr="007A70FB">
              <w:rPr>
                <w:rFonts w:ascii="Arial Narrow" w:hAnsi="Arial Narrow"/>
                <w:sz w:val="20"/>
                <w:szCs w:val="20"/>
              </w:rPr>
              <w:t>2</w:t>
            </w:r>
            <w:r w:rsidRPr="007A70FB">
              <w:rPr>
                <w:rFonts w:ascii="Arial Narrow" w:hAnsi="Arial Narrow"/>
                <w:sz w:val="20"/>
                <w:szCs w:val="20"/>
                <w:vertAlign w:val="superscript"/>
              </w:rPr>
              <w:t xml:space="preserve">nd </w:t>
            </w:r>
            <w:r w:rsidRPr="007A70FB">
              <w:rPr>
                <w:rFonts w:ascii="Arial Narrow" w:hAnsi="Arial Narrow"/>
                <w:sz w:val="20"/>
                <w:szCs w:val="20"/>
              </w:rPr>
              <w:t>line and subsequent line (single arm)</w:t>
            </w:r>
          </w:p>
        </w:tc>
      </w:tr>
      <w:tr w:rsidR="007110AB" w:rsidRPr="007A70FB" w:rsidTr="00496001">
        <w:trPr>
          <w:trHeight w:val="20"/>
        </w:trPr>
        <w:tc>
          <w:tcPr>
            <w:tcW w:w="751" w:type="pct"/>
            <w:hideMark/>
          </w:tcPr>
          <w:p w:rsidR="007110AB" w:rsidRPr="007A70FB" w:rsidRDefault="007110AB" w:rsidP="000345C6">
            <w:pPr>
              <w:keepNext/>
              <w:keepLines/>
              <w:widowControl/>
              <w:rPr>
                <w:rFonts w:ascii="Arial Narrow" w:hAnsi="Arial Narrow"/>
                <w:b/>
                <w:bCs/>
                <w:sz w:val="20"/>
                <w:szCs w:val="20"/>
              </w:rPr>
            </w:pPr>
            <w:r w:rsidRPr="007A70FB">
              <w:rPr>
                <w:rFonts w:ascii="Arial Narrow" w:hAnsi="Arial Narrow"/>
                <w:b/>
                <w:bCs/>
                <w:sz w:val="20"/>
                <w:szCs w:val="20"/>
              </w:rPr>
              <w:t>PBAC decision</w:t>
            </w:r>
          </w:p>
        </w:tc>
        <w:tc>
          <w:tcPr>
            <w:tcW w:w="850" w:type="pct"/>
            <w:vAlign w:val="center"/>
            <w:hideMark/>
          </w:tcPr>
          <w:p w:rsidR="007110AB" w:rsidRPr="007A70FB" w:rsidRDefault="007110AB" w:rsidP="00496001">
            <w:pPr>
              <w:keepNext/>
              <w:keepLines/>
              <w:widowControl/>
              <w:jc w:val="center"/>
              <w:rPr>
                <w:rFonts w:ascii="Arial Narrow" w:hAnsi="Arial Narrow"/>
                <w:sz w:val="20"/>
                <w:szCs w:val="20"/>
              </w:rPr>
            </w:pPr>
            <w:r w:rsidRPr="007A70FB">
              <w:rPr>
                <w:rFonts w:ascii="Arial Narrow" w:hAnsi="Arial Narrow"/>
                <w:sz w:val="20"/>
                <w:szCs w:val="20"/>
              </w:rPr>
              <w:t>No restriction on line of therapy</w:t>
            </w:r>
          </w:p>
        </w:tc>
        <w:tc>
          <w:tcPr>
            <w:tcW w:w="850" w:type="pct"/>
            <w:vAlign w:val="center"/>
            <w:hideMark/>
          </w:tcPr>
          <w:p w:rsidR="007110AB" w:rsidRPr="007A70FB" w:rsidRDefault="007110AB" w:rsidP="00496001">
            <w:pPr>
              <w:keepNext/>
              <w:keepLines/>
              <w:widowControl/>
              <w:jc w:val="center"/>
              <w:rPr>
                <w:rFonts w:ascii="Arial Narrow" w:hAnsi="Arial Narrow"/>
                <w:sz w:val="20"/>
                <w:szCs w:val="20"/>
              </w:rPr>
            </w:pPr>
            <w:r w:rsidRPr="007A70FB">
              <w:rPr>
                <w:rFonts w:ascii="Arial Narrow" w:hAnsi="Arial Narrow"/>
                <w:sz w:val="20"/>
                <w:szCs w:val="20"/>
              </w:rPr>
              <w:t>No restriction on line of therapy</w:t>
            </w:r>
          </w:p>
        </w:tc>
        <w:tc>
          <w:tcPr>
            <w:tcW w:w="850" w:type="pct"/>
            <w:vAlign w:val="center"/>
            <w:hideMark/>
          </w:tcPr>
          <w:p w:rsidR="007110AB" w:rsidRPr="007A70FB" w:rsidRDefault="007110AB" w:rsidP="00496001">
            <w:pPr>
              <w:keepNext/>
              <w:keepLines/>
              <w:widowControl/>
              <w:jc w:val="center"/>
              <w:rPr>
                <w:rFonts w:ascii="Arial Narrow" w:hAnsi="Arial Narrow"/>
                <w:sz w:val="20"/>
                <w:szCs w:val="20"/>
              </w:rPr>
            </w:pPr>
            <w:r w:rsidRPr="007A70FB">
              <w:rPr>
                <w:rFonts w:ascii="Arial Narrow" w:hAnsi="Arial Narrow"/>
                <w:sz w:val="20"/>
                <w:szCs w:val="20"/>
              </w:rPr>
              <w:t>No restriction on line of therapy</w:t>
            </w:r>
          </w:p>
        </w:tc>
        <w:tc>
          <w:tcPr>
            <w:tcW w:w="850" w:type="pct"/>
            <w:shd w:val="clear" w:color="auto" w:fill="auto"/>
            <w:vAlign w:val="center"/>
            <w:hideMark/>
          </w:tcPr>
          <w:p w:rsidR="007110AB" w:rsidRPr="007A70FB" w:rsidRDefault="007110AB" w:rsidP="00496001">
            <w:pPr>
              <w:keepNext/>
              <w:keepLines/>
              <w:widowControl/>
              <w:jc w:val="center"/>
              <w:rPr>
                <w:rFonts w:ascii="Arial Narrow" w:hAnsi="Arial Narrow"/>
                <w:sz w:val="20"/>
                <w:szCs w:val="20"/>
              </w:rPr>
            </w:pPr>
            <w:r w:rsidRPr="007A70FB">
              <w:rPr>
                <w:rFonts w:ascii="Arial Narrow" w:hAnsi="Arial Narrow"/>
                <w:sz w:val="20"/>
                <w:szCs w:val="20"/>
              </w:rPr>
              <w:t>NA</w:t>
            </w:r>
          </w:p>
        </w:tc>
        <w:tc>
          <w:tcPr>
            <w:tcW w:w="849" w:type="pct"/>
            <w:vAlign w:val="center"/>
            <w:hideMark/>
          </w:tcPr>
          <w:p w:rsidR="007110AB" w:rsidRPr="007A70FB" w:rsidRDefault="007110AB" w:rsidP="00496001">
            <w:pPr>
              <w:keepNext/>
              <w:keepLines/>
              <w:widowControl/>
              <w:jc w:val="center"/>
              <w:rPr>
                <w:rFonts w:ascii="Arial Narrow" w:hAnsi="Arial Narrow"/>
                <w:sz w:val="20"/>
                <w:szCs w:val="20"/>
              </w:rPr>
            </w:pPr>
            <w:r w:rsidRPr="007A70FB">
              <w:rPr>
                <w:rFonts w:ascii="Arial Narrow" w:hAnsi="Arial Narrow"/>
                <w:sz w:val="20"/>
                <w:szCs w:val="20"/>
              </w:rPr>
              <w:t>NA</w:t>
            </w:r>
          </w:p>
        </w:tc>
      </w:tr>
    </w:tbl>
    <w:p w:rsidR="00C014D2" w:rsidRPr="007A70FB" w:rsidRDefault="00C014D2" w:rsidP="000345C6">
      <w:pPr>
        <w:pStyle w:val="TableFooter"/>
        <w:keepNext/>
        <w:keepLines/>
        <w:widowControl/>
      </w:pPr>
      <w:r w:rsidRPr="007A70FB">
        <w:t xml:space="preserve">Source: compiled during the evaluation. </w:t>
      </w:r>
    </w:p>
    <w:p w:rsidR="007110AB" w:rsidRPr="007A70FB" w:rsidRDefault="007110AB" w:rsidP="004836D6">
      <w:pPr>
        <w:pStyle w:val="TableFooter"/>
        <w:keepNext/>
        <w:keepLines/>
        <w:widowControl/>
      </w:pPr>
      <w:r w:rsidRPr="007A70FB">
        <w:t xml:space="preserve">Abbreviations: ALK = </w:t>
      </w:r>
      <w:r w:rsidR="003E04BF" w:rsidRPr="007A70FB">
        <w:t>anaplastic lymphoma kinase</w:t>
      </w:r>
      <w:r w:rsidRPr="007A70FB">
        <w:t>;</w:t>
      </w:r>
      <w:r w:rsidR="007D6CCC" w:rsidRPr="007A70FB">
        <w:t xml:space="preserve"> </w:t>
      </w:r>
      <w:r w:rsidRPr="007A70FB">
        <w:t xml:space="preserve">TKI = tyrosine kinase inhibitor; NA = not applicable; NSCLC = </w:t>
      </w:r>
      <w:r w:rsidR="00785840" w:rsidRPr="007A70FB">
        <w:t>non-</w:t>
      </w:r>
      <w:r w:rsidRPr="007A70FB">
        <w:t xml:space="preserve">small cell lung cancer; ITC = indirect treatment comparison; RCT = randomised controlled trials; TGA = Therapeutics Good </w:t>
      </w:r>
      <w:r w:rsidR="006437BB" w:rsidRPr="007A70FB">
        <w:t>Administration</w:t>
      </w:r>
      <w:r w:rsidRPr="007A70FB">
        <w:t>; PBAC = Pharmaceutical Benefits Advisory Committee</w:t>
      </w:r>
      <w:r w:rsidR="007A70FB">
        <w:t xml:space="preserve">. </w:t>
      </w:r>
    </w:p>
    <w:p w:rsidR="00BF1F6E" w:rsidRPr="007A70FB" w:rsidRDefault="00BF1F6E" w:rsidP="00BF1F6E">
      <w:pPr>
        <w:pStyle w:val="ListParagraph"/>
        <w:widowControl/>
        <w:spacing w:before="120" w:after="120"/>
        <w:rPr>
          <w:i/>
        </w:rPr>
      </w:pPr>
      <w:r w:rsidRPr="007A70FB">
        <w:rPr>
          <w:i/>
        </w:rPr>
        <w:t>For more detail on PBAC’s view, see section 7 PBAC outcome.</w:t>
      </w:r>
    </w:p>
    <w:p w:rsidR="007110AB" w:rsidRPr="007A70FB" w:rsidRDefault="007110AB" w:rsidP="00386F03">
      <w:pPr>
        <w:pStyle w:val="PBACHeading1"/>
        <w:spacing w:before="120" w:after="120"/>
        <w:ind w:left="720"/>
      </w:pPr>
      <w:bookmarkStart w:id="16" w:name="_Toc371170702"/>
      <w:bookmarkStart w:id="17" w:name="_Toc19707659"/>
      <w:r w:rsidRPr="007A70FB">
        <w:t>Population and disease</w:t>
      </w:r>
      <w:bookmarkEnd w:id="16"/>
      <w:bookmarkEnd w:id="17"/>
    </w:p>
    <w:p w:rsidR="007110AB" w:rsidRPr="007A70FB" w:rsidRDefault="007110AB" w:rsidP="00FE0FA7">
      <w:pPr>
        <w:pStyle w:val="ListParagraph"/>
        <w:widowControl/>
        <w:numPr>
          <w:ilvl w:val="1"/>
          <w:numId w:val="1"/>
        </w:numPr>
        <w:tabs>
          <w:tab w:val="left" w:pos="3828"/>
        </w:tabs>
        <w:spacing w:before="120" w:after="120"/>
      </w:pPr>
      <w:r w:rsidRPr="007A70FB">
        <w:t>ALK rearrangements are found in approximately 3-5% of cases of advanced NSCLC and are a distinct molecular subtype of lung cancer. Brain metastases are common in patients with ALK-positive metastatic NSCLC. Central nervous system (CNS) metastases are associated with a reduction in quality of life and reduced life expectancy compared with other metastatic sites, and treatments required for CNS disease control (corticosteroids, surgery, and radiation) are associated with considerable morbidity.</w:t>
      </w:r>
    </w:p>
    <w:p w:rsidR="007110AB" w:rsidRDefault="007110AB" w:rsidP="00FE0FA7">
      <w:pPr>
        <w:pStyle w:val="ListParagraph"/>
        <w:widowControl/>
        <w:numPr>
          <w:ilvl w:val="1"/>
          <w:numId w:val="1"/>
        </w:numPr>
        <w:spacing w:before="120" w:after="120"/>
      </w:pPr>
      <w:r w:rsidRPr="007A70FB">
        <w:t xml:space="preserve">Most patients who are ALK-positive initially respond to ALK inhibitors, but ultimately experience disease progression within one to two years, </w:t>
      </w:r>
      <w:r w:rsidR="006437BB" w:rsidRPr="007A70FB">
        <w:rPr>
          <w:iCs/>
        </w:rPr>
        <w:t>potentially</w:t>
      </w:r>
      <w:r w:rsidRPr="007A70FB">
        <w:rPr>
          <w:iCs/>
        </w:rPr>
        <w:t xml:space="preserve"> </w:t>
      </w:r>
      <w:r w:rsidRPr="007A70FB">
        <w:t xml:space="preserve">due to secondary ALK mutations (Gainor et al., 2016). The use of each ALK inhibitor is associated with the development of a distinct spectrum of ALK resistance mutations, most of which </w:t>
      </w:r>
      <w:r w:rsidRPr="007A70FB">
        <w:lastRenderedPageBreak/>
        <w:t xml:space="preserve">are difficult to treat and are more common after treatment with second-generation ALK inhibitors (Fontana et al., 2015; Gainor et al., 2016). </w:t>
      </w:r>
    </w:p>
    <w:p w:rsidR="00F33C65" w:rsidRPr="00C31BF8" w:rsidRDefault="00F33C65" w:rsidP="00F33C65">
      <w:pPr>
        <w:pStyle w:val="ListParagraph"/>
        <w:widowControl/>
        <w:numPr>
          <w:ilvl w:val="1"/>
          <w:numId w:val="1"/>
        </w:numPr>
        <w:spacing w:before="120" w:after="120"/>
      </w:pPr>
      <w:r w:rsidRPr="00C31BF8">
        <w:rPr>
          <w:iCs/>
        </w:rPr>
        <w:t xml:space="preserve">Lorlatinib is a selective, brain penetrant, third-generation tyrosine kinase inhibitor that targets ALK and ROS1. Lorlatinib was developed to address mechanisms of resistance following previous treatment with ALK inhibitor. The NCCN clinical practice guidelines (version 4, 2019) and ESMO guidelines (Planchard et al 2019) recommended lorlatinib be used after alectinib, ceritinib or brigatinib as </w:t>
      </w:r>
      <w:r w:rsidR="00CA4C6D" w:rsidRPr="00C31BF8">
        <w:rPr>
          <w:iCs/>
        </w:rPr>
        <w:t>second</w:t>
      </w:r>
      <w:r w:rsidRPr="00C31BF8">
        <w:rPr>
          <w:iCs/>
        </w:rPr>
        <w:t xml:space="preserve">-line therapy or after crizotinib as first-line and at least one second-generation </w:t>
      </w:r>
      <w:r w:rsidR="00542FD7" w:rsidRPr="00C31BF8">
        <w:rPr>
          <w:iCs/>
        </w:rPr>
        <w:t>ALK-</w:t>
      </w:r>
      <w:r w:rsidRPr="00C31BF8">
        <w:rPr>
          <w:iCs/>
        </w:rPr>
        <w:t xml:space="preserve">TKI as second-line in the clinical management algorithm.  </w:t>
      </w:r>
    </w:p>
    <w:p w:rsidR="00FF5B72" w:rsidRDefault="00FF5B72" w:rsidP="008A4420">
      <w:pPr>
        <w:pStyle w:val="ListParagraph"/>
        <w:widowControl/>
        <w:numPr>
          <w:ilvl w:val="1"/>
          <w:numId w:val="1"/>
        </w:numPr>
        <w:spacing w:before="120" w:after="120"/>
        <w:rPr>
          <w:iCs/>
        </w:rPr>
      </w:pPr>
      <w:r w:rsidRPr="007A70FB">
        <w:rPr>
          <w:iCs/>
        </w:rPr>
        <w:t xml:space="preserve">The submission argued that there is an urgent need for additional targeted treatments with broader mutational coverage and CNS penetration, given the lack of clinical trial evidence for currently available ALK-TKIs following disease progression on a second-generation ALK-TKI. </w:t>
      </w:r>
      <w:r w:rsidR="00FB2806" w:rsidRPr="007A70FB">
        <w:rPr>
          <w:iCs/>
        </w:rPr>
        <w:t xml:space="preserve">The ESC </w:t>
      </w:r>
      <w:r w:rsidR="00361A9A">
        <w:rPr>
          <w:iCs/>
        </w:rPr>
        <w:t>considered</w:t>
      </w:r>
      <w:r w:rsidR="00361A9A" w:rsidRPr="007A70FB">
        <w:rPr>
          <w:iCs/>
        </w:rPr>
        <w:t xml:space="preserve"> </w:t>
      </w:r>
      <w:r w:rsidR="00FB2806" w:rsidRPr="007A70FB">
        <w:rPr>
          <w:iCs/>
        </w:rPr>
        <w:t xml:space="preserve">that </w:t>
      </w:r>
      <w:r w:rsidR="00BE73D4" w:rsidRPr="007A70FB">
        <w:rPr>
          <w:iCs/>
        </w:rPr>
        <w:t>clinical efficacy</w:t>
      </w:r>
      <w:r w:rsidR="008147D6" w:rsidRPr="007A70FB">
        <w:rPr>
          <w:iCs/>
        </w:rPr>
        <w:t xml:space="preserve"> </w:t>
      </w:r>
      <w:r w:rsidR="00BE73D4" w:rsidRPr="007A70FB">
        <w:rPr>
          <w:iCs/>
        </w:rPr>
        <w:t xml:space="preserve">of lorlatinib </w:t>
      </w:r>
      <w:r w:rsidR="008147D6" w:rsidRPr="007A70FB">
        <w:rPr>
          <w:iCs/>
        </w:rPr>
        <w:t>against</w:t>
      </w:r>
      <w:r w:rsidR="00BE73D4" w:rsidRPr="007A70FB">
        <w:rPr>
          <w:iCs/>
        </w:rPr>
        <w:t xml:space="preserve"> ALK resistance mutations</w:t>
      </w:r>
      <w:r w:rsidR="008147D6" w:rsidRPr="007A70FB">
        <w:rPr>
          <w:iCs/>
        </w:rPr>
        <w:t xml:space="preserve"> was not adequately </w:t>
      </w:r>
      <w:r w:rsidR="008A4420" w:rsidRPr="007A70FB">
        <w:rPr>
          <w:iCs/>
        </w:rPr>
        <w:t xml:space="preserve">supported by evidence </w:t>
      </w:r>
      <w:r w:rsidR="008147D6" w:rsidRPr="007A70FB">
        <w:rPr>
          <w:iCs/>
        </w:rPr>
        <w:t xml:space="preserve">in the submission. </w:t>
      </w:r>
    </w:p>
    <w:p w:rsidR="00B5362D" w:rsidRPr="00CD06A4" w:rsidRDefault="00431AB8" w:rsidP="00CD06A4">
      <w:pPr>
        <w:pStyle w:val="ListParagraph"/>
        <w:widowControl/>
        <w:spacing w:before="120" w:after="120"/>
        <w:rPr>
          <w:i/>
        </w:rPr>
      </w:pPr>
      <w:r w:rsidRPr="007A70FB">
        <w:rPr>
          <w:i/>
        </w:rPr>
        <w:t>For more detail on PBAC’s view, see section 7 PBAC outcome.</w:t>
      </w:r>
    </w:p>
    <w:p w:rsidR="007110AB" w:rsidRPr="007A70FB" w:rsidRDefault="007110AB" w:rsidP="00386F03">
      <w:pPr>
        <w:pStyle w:val="PBACHeading1"/>
        <w:spacing w:before="120" w:after="120"/>
        <w:ind w:left="720"/>
      </w:pPr>
      <w:bookmarkStart w:id="18" w:name="_Toc371170703"/>
      <w:bookmarkStart w:id="19" w:name="_Toc19707660"/>
      <w:r w:rsidRPr="007A70FB">
        <w:t>Comparator</w:t>
      </w:r>
      <w:bookmarkEnd w:id="18"/>
      <w:bookmarkEnd w:id="19"/>
    </w:p>
    <w:p w:rsidR="000E4089" w:rsidRPr="00310B91" w:rsidRDefault="007110AB" w:rsidP="00285145">
      <w:pPr>
        <w:pStyle w:val="ListParagraph"/>
        <w:widowControl/>
        <w:numPr>
          <w:ilvl w:val="1"/>
          <w:numId w:val="1"/>
        </w:numPr>
        <w:spacing w:before="120" w:after="120"/>
        <w:rPr>
          <w:i/>
        </w:rPr>
      </w:pPr>
      <w:r w:rsidRPr="007A70FB">
        <w:t>The submission nominated alectinib as the main comparator, ceritinib as a secondary comparato</w:t>
      </w:r>
      <w:r w:rsidR="00E958CC" w:rsidRPr="007A70FB">
        <w:t>r, and brigatinib as a near market</w:t>
      </w:r>
      <w:r w:rsidRPr="007A70FB">
        <w:t xml:space="preserve"> comparator.</w:t>
      </w:r>
      <w:r w:rsidR="005A2F83">
        <w:t xml:space="preserve"> </w:t>
      </w:r>
      <w:r w:rsidRPr="007A70FB">
        <w:t xml:space="preserve">The nomination of comparators </w:t>
      </w:r>
      <w:r w:rsidR="00DF6237" w:rsidRPr="007A70FB">
        <w:t>was</w:t>
      </w:r>
      <w:r w:rsidRPr="007A70FB">
        <w:t xml:space="preserve"> based </w:t>
      </w:r>
      <w:r w:rsidR="006C66D9" w:rsidRPr="007A70FB">
        <w:t xml:space="preserve">on </w:t>
      </w:r>
      <w:r w:rsidRPr="007A70FB">
        <w:t>pharmacological class, and lor</w:t>
      </w:r>
      <w:r w:rsidR="005330F7" w:rsidRPr="007A70FB">
        <w:t>l</w:t>
      </w:r>
      <w:r w:rsidRPr="007A70FB">
        <w:t xml:space="preserve">atinib </w:t>
      </w:r>
      <w:r w:rsidR="00362B2C" w:rsidRPr="007A70FB">
        <w:t>was</w:t>
      </w:r>
      <w:r w:rsidRPr="007A70FB">
        <w:t xml:space="preserve"> expected to substitute for alectinib and ceritinib</w:t>
      </w:r>
      <w:r w:rsidR="00710D6E" w:rsidRPr="007A70FB">
        <w:t xml:space="preserve"> under</w:t>
      </w:r>
      <w:r w:rsidR="00EE3C17" w:rsidRPr="007A70FB">
        <w:t xml:space="preserve"> the PBS</w:t>
      </w:r>
      <w:r w:rsidRPr="007A70FB">
        <w:t>.</w:t>
      </w:r>
    </w:p>
    <w:p w:rsidR="001B1D25" w:rsidRPr="00310B91" w:rsidRDefault="00095818" w:rsidP="0001797D">
      <w:pPr>
        <w:pStyle w:val="ListParagraph"/>
        <w:widowControl/>
        <w:numPr>
          <w:ilvl w:val="1"/>
          <w:numId w:val="1"/>
        </w:numPr>
        <w:spacing w:before="120" w:after="120"/>
        <w:rPr>
          <w:i/>
        </w:rPr>
      </w:pPr>
      <w:r>
        <w:t>A</w:t>
      </w:r>
      <w:r w:rsidR="00905F5D" w:rsidRPr="00905F5D">
        <w:t xml:space="preserve">lectinib </w:t>
      </w:r>
      <w:r>
        <w:t>is considered to be</w:t>
      </w:r>
      <w:r w:rsidR="005A2F83" w:rsidRPr="00905F5D">
        <w:t xml:space="preserve"> the preferred TKI </w:t>
      </w:r>
      <w:r w:rsidR="00905F5D" w:rsidRPr="00905F5D">
        <w:t xml:space="preserve">as first-line therapy </w:t>
      </w:r>
      <w:r w:rsidR="005A2F83" w:rsidRPr="00905F5D">
        <w:t>in clinical guidelines and the PBS statistics su</w:t>
      </w:r>
      <w:r w:rsidR="00905F5D" w:rsidRPr="00905F5D">
        <w:t xml:space="preserve">ggested </w:t>
      </w:r>
      <w:r w:rsidR="005A2F83" w:rsidRPr="00905F5D">
        <w:t xml:space="preserve">alectinib </w:t>
      </w:r>
      <w:r w:rsidR="00905F5D" w:rsidRPr="00905F5D">
        <w:t xml:space="preserve">was the therapy used most in </w:t>
      </w:r>
      <w:r w:rsidR="0085339C">
        <w:t xml:space="preserve">both </w:t>
      </w:r>
      <w:r w:rsidR="00905F5D" w:rsidRPr="00905F5D">
        <w:t>the first-line</w:t>
      </w:r>
      <w:r w:rsidR="0085339C">
        <w:t xml:space="preserve"> and post crizotinib</w:t>
      </w:r>
      <w:r w:rsidR="00905F5D" w:rsidRPr="00905F5D">
        <w:t xml:space="preserve"> setting</w:t>
      </w:r>
      <w:r w:rsidR="0085339C">
        <w:t>s</w:t>
      </w:r>
      <w:r w:rsidR="00310B91">
        <w:t xml:space="preserve">. </w:t>
      </w:r>
      <w:r w:rsidR="00DD292A">
        <w:t>Therefore, l</w:t>
      </w:r>
      <w:r w:rsidR="00BB2EE8">
        <w:t>orlatinib</w:t>
      </w:r>
      <w:r w:rsidR="00DD292A">
        <w:t xml:space="preserve"> </w:t>
      </w:r>
      <w:r w:rsidR="000948A3">
        <w:t xml:space="preserve">would most likely </w:t>
      </w:r>
      <w:r w:rsidR="0037474B">
        <w:t xml:space="preserve">be </w:t>
      </w:r>
      <w:r w:rsidR="00BB2EE8">
        <w:t xml:space="preserve">used </w:t>
      </w:r>
      <w:r w:rsidR="00BB2EE8" w:rsidRPr="00863A4D">
        <w:t>following progression on eithe</w:t>
      </w:r>
      <w:r w:rsidR="00BB2EE8">
        <w:t>r first-line or second-line alectinib g</w:t>
      </w:r>
      <w:r w:rsidR="001B1D25">
        <w:t xml:space="preserve">iven the </w:t>
      </w:r>
      <w:r w:rsidR="00BB2EE8">
        <w:t xml:space="preserve">clinical management algorithm for current practice and the intended use of </w:t>
      </w:r>
      <w:r w:rsidR="001B1D25">
        <w:t>lorlatinib</w:t>
      </w:r>
      <w:r w:rsidR="00BB2EE8">
        <w:t xml:space="preserve">. </w:t>
      </w:r>
    </w:p>
    <w:p w:rsidR="00C948FC" w:rsidRPr="00C948FC" w:rsidRDefault="00741DAD" w:rsidP="00AF375B">
      <w:pPr>
        <w:pStyle w:val="ListParagraph"/>
        <w:widowControl/>
        <w:numPr>
          <w:ilvl w:val="1"/>
          <w:numId w:val="1"/>
        </w:numPr>
        <w:spacing w:before="120" w:after="120"/>
      </w:pPr>
      <w:r w:rsidRPr="007A70FB">
        <w:t>The PSCR argued that current clinician preference is for patients who have progressed on alectinib to seek compassionate access to lorlatinib.</w:t>
      </w:r>
      <w:r w:rsidR="00C948FC">
        <w:t xml:space="preserve"> </w:t>
      </w:r>
      <w:r w:rsidR="00C948FC" w:rsidRPr="007A70FB">
        <w:t xml:space="preserve">The PSCR </w:t>
      </w:r>
      <w:r w:rsidR="00C948FC">
        <w:t xml:space="preserve">also </w:t>
      </w:r>
      <w:r w:rsidR="00C948FC" w:rsidRPr="007A70FB">
        <w:t>reiterated that there is a lack of clinical trial evidence for use of chemotherapy in this specific population and treatment setting (ALK-positive NSCLC patients previously treated with an ALK-TKI)</w:t>
      </w:r>
      <w:r w:rsidR="00C948FC">
        <w:t>.</w:t>
      </w:r>
    </w:p>
    <w:p w:rsidR="00902070" w:rsidRPr="002102F8" w:rsidRDefault="002D3E8B" w:rsidP="00FC393F">
      <w:pPr>
        <w:pStyle w:val="ListParagraph"/>
        <w:widowControl/>
        <w:numPr>
          <w:ilvl w:val="1"/>
          <w:numId w:val="1"/>
        </w:numPr>
        <w:spacing w:before="120" w:after="120"/>
        <w:rPr>
          <w:i/>
        </w:rPr>
      </w:pPr>
      <w:r>
        <w:t>T</w:t>
      </w:r>
      <w:r w:rsidR="002D3EC9">
        <w:t xml:space="preserve">he ESC </w:t>
      </w:r>
      <w:r w:rsidR="00144141">
        <w:t xml:space="preserve">noted </w:t>
      </w:r>
      <w:r w:rsidR="002D3EC9">
        <w:t>that a</w:t>
      </w:r>
      <w:r w:rsidR="002D3EC9" w:rsidRPr="007E1812">
        <w:t xml:space="preserve">lectinib has become established as the standard of care among both TKI naïve and </w:t>
      </w:r>
      <w:r w:rsidR="002D3EC9">
        <w:t xml:space="preserve">crizotinib refractory patients and </w:t>
      </w:r>
      <w:r w:rsidR="002D3EC9" w:rsidRPr="007A70FB">
        <w:t>the rapid uptake of alectinib since its PBS listing, and decline of ceritinib in the same period.</w:t>
      </w:r>
      <w:r w:rsidR="002D3EC9">
        <w:t xml:space="preserve"> </w:t>
      </w:r>
      <w:r w:rsidR="004C5C71" w:rsidRPr="002102F8">
        <w:rPr>
          <w:iCs/>
        </w:rPr>
        <w:t xml:space="preserve">The ESC recalled that alectinib was recommended on a cost-minimisation basis compared with ceritinib 750 mg and noted that the ceritinib dosing has been subsequently revised to 450 mg, based on pharmacokinetic data. </w:t>
      </w:r>
      <w:r w:rsidR="00CA4C6D">
        <w:rPr>
          <w:iCs/>
        </w:rPr>
        <w:t>Accordingly</w:t>
      </w:r>
      <w:r w:rsidR="00B507B6">
        <w:rPr>
          <w:iCs/>
        </w:rPr>
        <w:t xml:space="preserve">, </w:t>
      </w:r>
      <w:r w:rsidR="004C5C71" w:rsidRPr="002102F8">
        <w:rPr>
          <w:iCs/>
        </w:rPr>
        <w:t xml:space="preserve">the use of ceritinib at a dose of 450 mg is less costly than alectinib. </w:t>
      </w:r>
    </w:p>
    <w:p w:rsidR="00A80582" w:rsidRPr="00B507B6" w:rsidRDefault="00390BE2" w:rsidP="00B507B6">
      <w:pPr>
        <w:pStyle w:val="ListParagraph"/>
        <w:widowControl/>
        <w:numPr>
          <w:ilvl w:val="1"/>
          <w:numId w:val="1"/>
        </w:numPr>
        <w:spacing w:before="120" w:after="120"/>
        <w:rPr>
          <w:i/>
        </w:rPr>
      </w:pPr>
      <w:r>
        <w:lastRenderedPageBreak/>
        <w:t xml:space="preserve">The ESC considered that </w:t>
      </w:r>
      <w:r w:rsidRPr="007A70FB">
        <w:rPr>
          <w:iCs/>
        </w:rPr>
        <w:t>lorlatinib would replace chemotherapy or displace it to a later line of treatment</w:t>
      </w:r>
      <w:r>
        <w:rPr>
          <w:iCs/>
        </w:rPr>
        <w:t xml:space="preserve"> given t</w:t>
      </w:r>
      <w:r w:rsidRPr="007A70FB">
        <w:rPr>
          <w:iCs/>
        </w:rPr>
        <w:t xml:space="preserve">he proposed listing includes </w:t>
      </w:r>
      <w:r w:rsidR="00C92991">
        <w:rPr>
          <w:iCs/>
        </w:rPr>
        <w:t>second</w:t>
      </w:r>
      <w:r w:rsidR="00C92991" w:rsidRPr="007A70FB">
        <w:rPr>
          <w:iCs/>
        </w:rPr>
        <w:t xml:space="preserve"> </w:t>
      </w:r>
      <w:r w:rsidRPr="007A70FB">
        <w:rPr>
          <w:iCs/>
        </w:rPr>
        <w:t>or later-line access of treatment</w:t>
      </w:r>
      <w:r w:rsidR="00B507B6">
        <w:rPr>
          <w:iCs/>
        </w:rPr>
        <w:t>.</w:t>
      </w:r>
      <w:r>
        <w:rPr>
          <w:iCs/>
        </w:rPr>
        <w:t xml:space="preserve"> </w:t>
      </w:r>
      <w:r w:rsidR="00B507B6">
        <w:rPr>
          <w:iCs/>
        </w:rPr>
        <w:t xml:space="preserve">However, </w:t>
      </w:r>
      <w:r w:rsidR="00B507B6">
        <w:t>t</w:t>
      </w:r>
      <w:r w:rsidR="00B507B6" w:rsidRPr="007A70FB">
        <w:t xml:space="preserve">he ESC </w:t>
      </w:r>
      <w:r w:rsidR="00965D84">
        <w:t>c</w:t>
      </w:r>
      <w:r w:rsidR="00B507B6" w:rsidRPr="007A70FB">
        <w:t>onsidered that use of chemotherapy in this setting would be relatively low, given poor survival outcomes at this late stage of disease.</w:t>
      </w:r>
    </w:p>
    <w:p w:rsidR="00B507B6" w:rsidRPr="00B507B6" w:rsidRDefault="00B507B6" w:rsidP="00B507B6">
      <w:pPr>
        <w:pStyle w:val="ListParagraph"/>
        <w:widowControl/>
        <w:numPr>
          <w:ilvl w:val="1"/>
          <w:numId w:val="1"/>
        </w:numPr>
        <w:spacing w:before="120" w:after="120"/>
        <w:rPr>
          <w:i/>
        </w:rPr>
      </w:pPr>
      <w:r w:rsidRPr="007A70FB">
        <w:rPr>
          <w:iCs/>
        </w:rPr>
        <w:t xml:space="preserve">The ESC </w:t>
      </w:r>
      <w:r>
        <w:rPr>
          <w:iCs/>
        </w:rPr>
        <w:t xml:space="preserve">agreed </w:t>
      </w:r>
      <w:r w:rsidRPr="007A70FB">
        <w:rPr>
          <w:iCs/>
        </w:rPr>
        <w:t>that brigatinib would likely be an appropriate near market comparator for lorlatinib.</w:t>
      </w:r>
    </w:p>
    <w:p w:rsidR="00C948FC" w:rsidRPr="00443B72" w:rsidRDefault="00A80582" w:rsidP="00965D84">
      <w:pPr>
        <w:pStyle w:val="ListParagraph"/>
        <w:widowControl/>
        <w:numPr>
          <w:ilvl w:val="1"/>
          <w:numId w:val="1"/>
        </w:numPr>
        <w:spacing w:before="120" w:after="120"/>
        <w:rPr>
          <w:i/>
        </w:rPr>
      </w:pPr>
      <w:r>
        <w:t>T</w:t>
      </w:r>
      <w:r w:rsidR="00C948FC">
        <w:t>he PBAC recalled that c</w:t>
      </w:r>
      <w:r w:rsidR="00C948FC" w:rsidRPr="006B5E81">
        <w:t>er</w:t>
      </w:r>
      <w:r>
        <w:t>i</w:t>
      </w:r>
      <w:r w:rsidR="00C948FC" w:rsidRPr="006B5E81">
        <w:t xml:space="preserve">tinib </w:t>
      </w:r>
      <w:r>
        <w:t xml:space="preserve">was </w:t>
      </w:r>
      <w:r w:rsidR="00175E0F">
        <w:t xml:space="preserve">listed </w:t>
      </w:r>
      <w:r w:rsidR="00C948FC" w:rsidRPr="006B5E81">
        <w:t xml:space="preserve">on a cost-minimisation basis against platinum chemotherapy followed by pemetrexed maintenance therapy (ceritinib </w:t>
      </w:r>
      <w:r w:rsidR="00E70DC9">
        <w:t>Public Summary D</w:t>
      </w:r>
      <w:r w:rsidR="002D46D9">
        <w:t>ocument (</w:t>
      </w:r>
      <w:r w:rsidR="00C948FC" w:rsidRPr="006B5E81">
        <w:t>PSD</w:t>
      </w:r>
      <w:r w:rsidR="002D46D9">
        <w:t>)</w:t>
      </w:r>
      <w:r w:rsidR="00C948FC" w:rsidRPr="006B5E81">
        <w:t xml:space="preserve">, Nov </w:t>
      </w:r>
      <w:r w:rsidR="00C948FC">
        <w:t>2016)</w:t>
      </w:r>
      <w:r w:rsidR="00C948FC" w:rsidRPr="006B5E81">
        <w:t xml:space="preserve"> and</w:t>
      </w:r>
      <w:r w:rsidR="00C948FC">
        <w:t xml:space="preserve"> a</w:t>
      </w:r>
      <w:r w:rsidR="00C948FC" w:rsidRPr="006B5E81">
        <w:t>lectinib on a cost-minimisation basis against ceritinib (alectinib PSD, July 2017).</w:t>
      </w:r>
      <w:r w:rsidR="00C948FC">
        <w:t xml:space="preserve"> </w:t>
      </w:r>
    </w:p>
    <w:p w:rsidR="00B507B6" w:rsidRPr="00B507B6" w:rsidRDefault="00B507B6" w:rsidP="00B507B6">
      <w:pPr>
        <w:pStyle w:val="ListParagraph"/>
        <w:widowControl/>
        <w:numPr>
          <w:ilvl w:val="1"/>
          <w:numId w:val="1"/>
        </w:numPr>
        <w:spacing w:before="120" w:after="120"/>
        <w:rPr>
          <w:i/>
        </w:rPr>
      </w:pPr>
      <w:r w:rsidRPr="00B507B6">
        <w:t xml:space="preserve">The PBAC considered the possibility of ceritinib as a comparator and acknowledged the change in recommended dose of ceritinib to 450 mg daily (noting that the efficacy data for ceritinib </w:t>
      </w:r>
      <w:r w:rsidR="00FC393F">
        <w:t>are</w:t>
      </w:r>
      <w:r w:rsidRPr="00B507B6">
        <w:t xml:space="preserve"> at the 750 mg dose).  </w:t>
      </w:r>
      <w:r w:rsidRPr="00B507B6">
        <w:rPr>
          <w:iCs/>
        </w:rPr>
        <w:t>The Secretariat further examined the utilisation and the average daily dose for ceritinib based on PBS administrative claims data. The market share summary for the most recent 12 months at the time of analysis (1 October 2018 to 30 September 2019) showed the number of scripts of ceritinib comprising 3.3% (n=104) of the total scripts for ALK inhibitors (n=3163) in NSCLC. Since its first listing on the PBS, the median daily dose of ceritinib has been 750 mg (mean daily dose of 786.2 mg).</w:t>
      </w:r>
    </w:p>
    <w:p w:rsidR="00B507B6" w:rsidRPr="00BB577B" w:rsidRDefault="00B507B6" w:rsidP="00B507B6">
      <w:pPr>
        <w:pStyle w:val="ListParagraph"/>
        <w:widowControl/>
        <w:numPr>
          <w:ilvl w:val="1"/>
          <w:numId w:val="1"/>
        </w:numPr>
        <w:spacing w:before="120" w:after="120"/>
        <w:rPr>
          <w:i/>
        </w:rPr>
      </w:pPr>
      <w:r>
        <w:t xml:space="preserve">The PBAC also considered chemotherapy as a potential comparator, and noted the view put forward by </w:t>
      </w:r>
      <w:r w:rsidR="00965D84">
        <w:t xml:space="preserve">the </w:t>
      </w:r>
      <w:r>
        <w:t>ESC that use of chemotherapy in this setting would be low.</w:t>
      </w:r>
    </w:p>
    <w:p w:rsidR="00B507B6" w:rsidRPr="00965D84" w:rsidRDefault="00B507B6" w:rsidP="00965D84">
      <w:pPr>
        <w:pStyle w:val="ListParagraph"/>
        <w:widowControl/>
        <w:numPr>
          <w:ilvl w:val="1"/>
          <w:numId w:val="1"/>
        </w:numPr>
        <w:spacing w:before="120" w:after="120"/>
        <w:rPr>
          <w:iCs/>
        </w:rPr>
      </w:pPr>
      <w:r>
        <w:t>The PBAC reviewed the settings where lorlatinib is likely to be used, i.e. following treatment with an ALK inhibitor other than crizotinib (typically alectinib); and following treatment with crizotinib and another ALK inhibitor (again typically alectinib). In both settings, potential comparators would include available ALK inhibitors that had not yet been used (such as ceritinib) and also regimens involving chemotherapy. That is, the PBAC considered that lorlatinib would generally not be used instead of alectinib, but after it. The PBAC also noted distinct limitations in clinical data about ALK inhibitors post-alectinib.  On balance, the PBAC took a pragmatic view that the cost-effectiveness of lorlatinib could be informed by a comparison with alectinib.</w:t>
      </w:r>
    </w:p>
    <w:p w:rsidR="00471D9A" w:rsidRPr="007A70FB" w:rsidRDefault="00471D9A" w:rsidP="00471D9A">
      <w:pPr>
        <w:pStyle w:val="BodyText"/>
        <w:ind w:left="720"/>
        <w:rPr>
          <w:i/>
          <w:iCs/>
        </w:rPr>
      </w:pPr>
      <w:r w:rsidRPr="007A70FB">
        <w:rPr>
          <w:i/>
          <w:iCs/>
        </w:rPr>
        <w:t>For more detail on PBAC’s view, see section 7 PBAC outcome.</w:t>
      </w:r>
    </w:p>
    <w:p w:rsidR="007110AB" w:rsidRPr="007A70FB" w:rsidRDefault="007110AB" w:rsidP="00386F03">
      <w:pPr>
        <w:pStyle w:val="PBACHeading1"/>
        <w:spacing w:before="120" w:after="120"/>
        <w:ind w:left="720"/>
      </w:pPr>
      <w:bookmarkStart w:id="20" w:name="_Toc371170704"/>
      <w:bookmarkStart w:id="21" w:name="_Toc19707661"/>
      <w:r w:rsidRPr="007A70FB">
        <w:t>Consideration of the evidence</w:t>
      </w:r>
      <w:bookmarkEnd w:id="20"/>
      <w:bookmarkEnd w:id="21"/>
    </w:p>
    <w:p w:rsidR="00BA5249" w:rsidRPr="007A70FB" w:rsidRDefault="00BA5249" w:rsidP="007E3495">
      <w:pPr>
        <w:pStyle w:val="Heading2"/>
        <w:keepNext/>
        <w:widowControl/>
        <w:spacing w:before="120" w:after="120"/>
      </w:pPr>
      <w:r w:rsidRPr="007A70FB">
        <w:t>Sponsor hearing</w:t>
      </w:r>
    </w:p>
    <w:p w:rsidR="00550EC2" w:rsidRPr="007A70FB" w:rsidRDefault="00BA5249" w:rsidP="00E21875">
      <w:pPr>
        <w:pStyle w:val="ListParagraph"/>
        <w:widowControl/>
        <w:numPr>
          <w:ilvl w:val="1"/>
          <w:numId w:val="1"/>
        </w:numPr>
        <w:spacing w:before="120" w:after="120"/>
      </w:pPr>
      <w:r w:rsidRPr="007A70FB">
        <w:t>The sponsor requested a hearing for this item</w:t>
      </w:r>
      <w:r w:rsidR="007A70FB">
        <w:t xml:space="preserve">. </w:t>
      </w:r>
      <w:r w:rsidRPr="007A70FB">
        <w:t xml:space="preserve">The clinician </w:t>
      </w:r>
      <w:r w:rsidR="00343D4B">
        <w:t>emphasi</w:t>
      </w:r>
      <w:r w:rsidR="00592BA2">
        <w:t>s</w:t>
      </w:r>
      <w:r w:rsidR="00343D4B">
        <w:t>ed</w:t>
      </w:r>
      <w:r w:rsidR="00343D4B" w:rsidRPr="007A70FB">
        <w:t xml:space="preserve"> </w:t>
      </w:r>
      <w:r w:rsidR="008059FE" w:rsidRPr="007A70FB">
        <w:t xml:space="preserve">that lorlatinib addresses an unmet clinical need in the treatment of ALK-positive NSCLC, offering </w:t>
      </w:r>
      <w:r w:rsidR="00E21875" w:rsidRPr="007A70FB">
        <w:t>high brain permeabi</w:t>
      </w:r>
      <w:r w:rsidR="005777E1" w:rsidRPr="007A70FB">
        <w:t>lity in targeting CNS metastases and</w:t>
      </w:r>
      <w:r w:rsidR="002849D5" w:rsidRPr="007A70FB">
        <w:t xml:space="preserve"> </w:t>
      </w:r>
      <w:r w:rsidR="00E21875" w:rsidRPr="007A70FB">
        <w:t xml:space="preserve">activity against </w:t>
      </w:r>
      <w:r w:rsidR="0001352F" w:rsidRPr="007A70FB">
        <w:t>secondary</w:t>
      </w:r>
      <w:r w:rsidR="00E21875" w:rsidRPr="007A70FB">
        <w:t xml:space="preserve"> </w:t>
      </w:r>
      <w:r w:rsidR="008059FE" w:rsidRPr="007A70FB">
        <w:t>ALK  mutations</w:t>
      </w:r>
      <w:r w:rsidR="002849D5" w:rsidRPr="007A70FB">
        <w:t>, where almost all patients relapse due to drug resistance</w:t>
      </w:r>
      <w:r w:rsidR="008059FE" w:rsidRPr="007A70FB">
        <w:t>.</w:t>
      </w:r>
      <w:r w:rsidR="002849D5" w:rsidRPr="007A70FB">
        <w:t xml:space="preserve"> </w:t>
      </w:r>
      <w:r w:rsidR="004058C6" w:rsidRPr="007A70FB">
        <w:t xml:space="preserve">In response to a </w:t>
      </w:r>
      <w:r w:rsidR="004058C6" w:rsidRPr="007A70FB">
        <w:lastRenderedPageBreak/>
        <w:t>question from the Committee about the sequencing of ALK inhibitors, t</w:t>
      </w:r>
      <w:r w:rsidR="002849D5" w:rsidRPr="007A70FB">
        <w:t>he clinician highlighted that recent evidence support</w:t>
      </w:r>
      <w:r w:rsidR="00EB36B8" w:rsidRPr="007A70FB">
        <w:t>s</w:t>
      </w:r>
      <w:r w:rsidR="002849D5" w:rsidRPr="007A70FB">
        <w:t xml:space="preserve"> the paradigm of treatment with ALK-TKIs until patients become refractory to ALK targe</w:t>
      </w:r>
      <w:r w:rsidR="00587DBC" w:rsidRPr="007A70FB">
        <w:t>te</w:t>
      </w:r>
      <w:r w:rsidR="002849D5" w:rsidRPr="007A70FB">
        <w:t xml:space="preserve">d treatment as patients with TKI resistance may still respond to other TKI </w:t>
      </w:r>
      <w:r w:rsidR="00587DBC" w:rsidRPr="007A70FB">
        <w:t>therapy</w:t>
      </w:r>
      <w:r w:rsidR="002849D5" w:rsidRPr="007A70FB">
        <w:t xml:space="preserve">. </w:t>
      </w:r>
      <w:r w:rsidR="004058C6" w:rsidRPr="007A70FB">
        <w:t>Further,</w:t>
      </w:r>
      <w:r w:rsidR="00C457B8" w:rsidRPr="007A70FB">
        <w:t xml:space="preserve"> the clinician</w:t>
      </w:r>
      <w:r w:rsidR="004058C6" w:rsidRPr="007A70FB">
        <w:t xml:space="preserve"> noted that</w:t>
      </w:r>
      <w:r w:rsidR="004551AD" w:rsidRPr="007A70FB">
        <w:t xml:space="preserve"> </w:t>
      </w:r>
      <w:r w:rsidR="004260C8" w:rsidRPr="007A70FB">
        <w:t xml:space="preserve">a </w:t>
      </w:r>
      <w:r w:rsidR="004418CA" w:rsidRPr="007A70FB">
        <w:t xml:space="preserve">lower incidence of </w:t>
      </w:r>
      <w:r w:rsidR="00FC70C6" w:rsidRPr="007A70FB">
        <w:t xml:space="preserve">serious </w:t>
      </w:r>
      <w:r w:rsidR="004418CA" w:rsidRPr="007A70FB">
        <w:t>adverse events</w:t>
      </w:r>
      <w:r w:rsidR="004551AD" w:rsidRPr="007A70FB">
        <w:t xml:space="preserve"> was observed </w:t>
      </w:r>
      <w:r w:rsidR="004260C8" w:rsidRPr="007A70FB">
        <w:t>with</w:t>
      </w:r>
      <w:r w:rsidR="004551AD" w:rsidRPr="007A70FB">
        <w:t xml:space="preserve"> lorlatinib</w:t>
      </w:r>
      <w:r w:rsidR="004418CA" w:rsidRPr="007A70FB">
        <w:t xml:space="preserve"> </w:t>
      </w:r>
      <w:r w:rsidR="004551AD" w:rsidRPr="007A70FB">
        <w:t xml:space="preserve">use </w:t>
      </w:r>
      <w:r w:rsidR="004418CA" w:rsidRPr="007A70FB">
        <w:t>in practice</w:t>
      </w:r>
      <w:r w:rsidR="00D44BF4" w:rsidRPr="007A70FB">
        <w:t xml:space="preserve">, with </w:t>
      </w:r>
      <w:r w:rsidR="004260C8" w:rsidRPr="007A70FB">
        <w:t xml:space="preserve">a </w:t>
      </w:r>
      <w:r w:rsidR="0050442F" w:rsidRPr="007A70FB">
        <w:t>manageable</w:t>
      </w:r>
      <w:r w:rsidR="004260C8" w:rsidRPr="007A70FB">
        <w:t xml:space="preserve"> toxicity profile including</w:t>
      </w:r>
      <w:r w:rsidR="00D44BF4" w:rsidRPr="007A70FB">
        <w:t xml:space="preserve"> </w:t>
      </w:r>
      <w:r w:rsidR="004418CA" w:rsidRPr="007A70FB">
        <w:t>hypercholesterolaemia</w:t>
      </w:r>
      <w:r w:rsidR="00D44BF4" w:rsidRPr="007A70FB">
        <w:t xml:space="preserve">, </w:t>
      </w:r>
      <w:r w:rsidR="00550EC2" w:rsidRPr="007A70FB">
        <w:t>hypertriglyceridemia</w:t>
      </w:r>
      <w:r w:rsidR="004418CA" w:rsidRPr="007A70FB">
        <w:t xml:space="preserve"> and</w:t>
      </w:r>
      <w:r w:rsidR="00D44BF4" w:rsidRPr="007A70FB">
        <w:t xml:space="preserve"> oedema</w:t>
      </w:r>
      <w:r w:rsidR="004260C8" w:rsidRPr="007A70FB">
        <w:t xml:space="preserve">; the clinician reported </w:t>
      </w:r>
      <w:r w:rsidR="000E6FBB" w:rsidRPr="007A70FB">
        <w:t xml:space="preserve">no </w:t>
      </w:r>
      <w:r w:rsidR="004260C8" w:rsidRPr="007A70FB">
        <w:t xml:space="preserve">concern with </w:t>
      </w:r>
      <w:r w:rsidR="000E6FBB" w:rsidRPr="007A70FB">
        <w:t xml:space="preserve">cognitive </w:t>
      </w:r>
      <w:r w:rsidR="004260C8" w:rsidRPr="007A70FB">
        <w:t xml:space="preserve">adverse </w:t>
      </w:r>
      <w:r w:rsidR="00587DBC" w:rsidRPr="007A70FB">
        <w:t>effects</w:t>
      </w:r>
      <w:r w:rsidR="007A70FB">
        <w:t xml:space="preserve">. </w:t>
      </w:r>
    </w:p>
    <w:p w:rsidR="00407B19" w:rsidRPr="007A70FB" w:rsidRDefault="00407B19" w:rsidP="00407B19">
      <w:pPr>
        <w:pStyle w:val="Heading2"/>
        <w:widowControl/>
        <w:spacing w:before="120" w:after="120"/>
      </w:pPr>
      <w:r w:rsidRPr="007A70FB">
        <w:t>Consumer comments</w:t>
      </w:r>
    </w:p>
    <w:p w:rsidR="00BA1A0D" w:rsidRPr="007A70FB" w:rsidRDefault="00BA1A0D" w:rsidP="003D0412">
      <w:pPr>
        <w:pStyle w:val="ListParagraph"/>
        <w:widowControl/>
        <w:numPr>
          <w:ilvl w:val="1"/>
          <w:numId w:val="1"/>
        </w:numPr>
        <w:spacing w:before="120" w:after="120"/>
      </w:pPr>
      <w:r w:rsidRPr="007A70FB">
        <w:t>The PBAC noted and welcom</w:t>
      </w:r>
      <w:r w:rsidR="00893654" w:rsidRPr="007A70FB">
        <w:t>ed the input from individuals (118) and organisations (4</w:t>
      </w:r>
      <w:r w:rsidRPr="007A70FB">
        <w:t>) via the Consumer Comments facility on the PBS website</w:t>
      </w:r>
      <w:r w:rsidR="007A70FB">
        <w:t xml:space="preserve">. </w:t>
      </w:r>
      <w:r w:rsidRPr="007A70FB">
        <w:t xml:space="preserve">The comments </w:t>
      </w:r>
      <w:r w:rsidR="003A44BA" w:rsidRPr="007A70FB">
        <w:t xml:space="preserve">highlighted </w:t>
      </w:r>
      <w:r w:rsidR="00FD0C90" w:rsidRPr="007A70FB">
        <w:t xml:space="preserve">the </w:t>
      </w:r>
      <w:r w:rsidR="003A44BA" w:rsidRPr="007A70FB">
        <w:t xml:space="preserve">need for </w:t>
      </w:r>
      <w:r w:rsidR="00FD0C90" w:rsidRPr="007A70FB">
        <w:t xml:space="preserve">additional </w:t>
      </w:r>
      <w:r w:rsidR="003A44BA" w:rsidRPr="007A70FB">
        <w:t>treatment options post alectinib</w:t>
      </w:r>
      <w:r w:rsidR="00607883" w:rsidRPr="007A70FB">
        <w:t xml:space="preserve"> to be on the PBS</w:t>
      </w:r>
      <w:r w:rsidR="00FD0C90" w:rsidRPr="007A70FB">
        <w:t xml:space="preserve">, </w:t>
      </w:r>
      <w:r w:rsidR="00607883" w:rsidRPr="007A70FB">
        <w:t>and</w:t>
      </w:r>
      <w:r w:rsidR="003A44BA" w:rsidRPr="007A70FB">
        <w:t xml:space="preserve"> </w:t>
      </w:r>
      <w:r w:rsidRPr="007A70FB">
        <w:t xml:space="preserve">described a range of benefits of treatment with </w:t>
      </w:r>
      <w:r w:rsidR="009900D5" w:rsidRPr="007A70FB">
        <w:t>lorlatinib</w:t>
      </w:r>
      <w:r w:rsidRPr="007A70FB">
        <w:t xml:space="preserve"> in</w:t>
      </w:r>
      <w:r w:rsidR="00E96DB1" w:rsidRPr="007A70FB">
        <w:t>cluding improved quality of life</w:t>
      </w:r>
      <w:r w:rsidR="005F4961" w:rsidRPr="007A70FB">
        <w:t>, acceptable safety profile</w:t>
      </w:r>
      <w:r w:rsidR="00E96DB1" w:rsidRPr="007A70FB">
        <w:t xml:space="preserve">, delaying the initiation of </w:t>
      </w:r>
      <w:r w:rsidR="00FD0C90" w:rsidRPr="007A70FB">
        <w:t xml:space="preserve">chemotherapy and </w:t>
      </w:r>
      <w:r w:rsidR="00990BDB" w:rsidRPr="007A70FB">
        <w:t>a longer overall survival</w:t>
      </w:r>
      <w:r w:rsidR="007A70FB">
        <w:t xml:space="preserve">. </w:t>
      </w:r>
    </w:p>
    <w:p w:rsidR="00BA1A0D" w:rsidRPr="007A70FB" w:rsidRDefault="00BA1A0D" w:rsidP="006112F1">
      <w:pPr>
        <w:pStyle w:val="ListParagraph"/>
        <w:widowControl/>
        <w:numPr>
          <w:ilvl w:val="1"/>
          <w:numId w:val="1"/>
        </w:numPr>
        <w:spacing w:before="120" w:after="120"/>
      </w:pPr>
      <w:r w:rsidRPr="007A70FB">
        <w:rPr>
          <w:rFonts w:asciiTheme="minorHAnsi" w:hAnsiTheme="minorHAnsi"/>
          <w:bCs/>
        </w:rPr>
        <w:t xml:space="preserve">The PBAC noted the advice received from </w:t>
      </w:r>
      <w:r w:rsidR="00510740" w:rsidRPr="007A70FB">
        <w:rPr>
          <w:rFonts w:asciiTheme="minorHAnsi" w:hAnsiTheme="minorHAnsi"/>
          <w:bCs/>
        </w:rPr>
        <w:t>Lung Foundation Australia</w:t>
      </w:r>
      <w:r w:rsidR="00F909CF" w:rsidRPr="007A70FB">
        <w:rPr>
          <w:rFonts w:asciiTheme="minorHAnsi" w:hAnsiTheme="minorHAnsi"/>
          <w:bCs/>
        </w:rPr>
        <w:t xml:space="preserve">, Rare Cancers Australia, </w:t>
      </w:r>
      <w:r w:rsidR="00916830" w:rsidRPr="007A70FB">
        <w:rPr>
          <w:rFonts w:asciiTheme="minorHAnsi" w:hAnsiTheme="minorHAnsi"/>
          <w:bCs/>
        </w:rPr>
        <w:t>and Centre</w:t>
      </w:r>
      <w:r w:rsidR="00F909CF" w:rsidRPr="007A70FB">
        <w:rPr>
          <w:rFonts w:asciiTheme="minorHAnsi" w:hAnsiTheme="minorHAnsi"/>
          <w:bCs/>
        </w:rPr>
        <w:t xml:space="preserve"> for Community-Driven Research </w:t>
      </w:r>
      <w:r w:rsidR="00510740" w:rsidRPr="007A70FB">
        <w:rPr>
          <w:rFonts w:asciiTheme="minorHAnsi" w:hAnsiTheme="minorHAnsi"/>
          <w:bCs/>
        </w:rPr>
        <w:t xml:space="preserve">supported </w:t>
      </w:r>
      <w:r w:rsidR="006112F1" w:rsidRPr="007A70FB">
        <w:rPr>
          <w:rFonts w:asciiTheme="minorHAnsi" w:hAnsiTheme="minorHAnsi"/>
          <w:bCs/>
        </w:rPr>
        <w:t xml:space="preserve">the PBS listing of lorlatinib that would likely provide clinically meaningful PFS and quality of life for patients with ALK-positive NSCLC. </w:t>
      </w:r>
    </w:p>
    <w:p w:rsidR="00BA1A0D" w:rsidRPr="007A70FB" w:rsidRDefault="00F12A5D" w:rsidP="00015E86">
      <w:pPr>
        <w:pStyle w:val="ListParagraph"/>
        <w:widowControl/>
        <w:numPr>
          <w:ilvl w:val="1"/>
          <w:numId w:val="1"/>
        </w:numPr>
        <w:spacing w:before="120" w:after="120"/>
        <w:rPr>
          <w:rFonts w:asciiTheme="minorHAnsi" w:hAnsiTheme="minorHAnsi"/>
          <w:bCs/>
        </w:rPr>
      </w:pPr>
      <w:r w:rsidRPr="007A70FB">
        <w:rPr>
          <w:rFonts w:asciiTheme="minorHAnsi" w:hAnsiTheme="minorHAnsi"/>
          <w:bCs/>
        </w:rPr>
        <w:t xml:space="preserve">The Medical Oncology Group of Australia (MOGA) also expressed its strong support for the lorlatinib submission, categorising it as one of the therapies of “high priority for PBS listing” </w:t>
      </w:r>
      <w:r w:rsidR="003F5711" w:rsidRPr="007A70FB">
        <w:rPr>
          <w:rFonts w:asciiTheme="minorHAnsi" w:hAnsiTheme="minorHAnsi"/>
          <w:bCs/>
        </w:rPr>
        <w:t>based on the pivotal evidence from</w:t>
      </w:r>
      <w:r w:rsidR="00722A1C" w:rsidRPr="007A70FB">
        <w:rPr>
          <w:rFonts w:asciiTheme="minorHAnsi" w:hAnsiTheme="minorHAnsi"/>
          <w:bCs/>
        </w:rPr>
        <w:t xml:space="preserve"> Study 1001</w:t>
      </w:r>
      <w:r w:rsidR="001E5301" w:rsidRPr="007A70FB">
        <w:rPr>
          <w:rFonts w:asciiTheme="minorHAnsi" w:hAnsiTheme="minorHAnsi"/>
          <w:bCs/>
        </w:rPr>
        <w:t xml:space="preserve"> (</w:t>
      </w:r>
      <w:r w:rsidRPr="007A70FB">
        <w:rPr>
          <w:rFonts w:asciiTheme="minorHAnsi" w:hAnsiTheme="minorHAnsi"/>
          <w:bCs/>
        </w:rPr>
        <w:t>Solomon et al</w:t>
      </w:r>
      <w:r w:rsidR="00EE0645" w:rsidRPr="007A70FB">
        <w:rPr>
          <w:rStyle w:val="FootnoteReference"/>
          <w:rFonts w:asciiTheme="minorHAnsi" w:hAnsiTheme="minorHAnsi"/>
          <w:bCs/>
        </w:rPr>
        <w:footnoteReference w:id="2"/>
      </w:r>
      <w:r w:rsidR="001E5301" w:rsidRPr="007A70FB">
        <w:rPr>
          <w:rFonts w:asciiTheme="minorHAnsi" w:hAnsiTheme="minorHAnsi"/>
          <w:bCs/>
        </w:rPr>
        <w:t>)</w:t>
      </w:r>
      <w:r w:rsidRPr="007A70FB">
        <w:rPr>
          <w:rFonts w:asciiTheme="minorHAnsi" w:hAnsiTheme="minorHAnsi"/>
          <w:bCs/>
        </w:rPr>
        <w:t>. The PBAC</w:t>
      </w:r>
      <w:r w:rsidR="00015E86" w:rsidRPr="007A70FB">
        <w:rPr>
          <w:rFonts w:asciiTheme="minorHAnsi" w:hAnsiTheme="minorHAnsi"/>
          <w:bCs/>
        </w:rPr>
        <w:t xml:space="preserve"> noted that the MOGA presented the</w:t>
      </w:r>
      <w:r w:rsidRPr="007A70FB">
        <w:rPr>
          <w:rFonts w:asciiTheme="minorHAnsi" w:hAnsiTheme="minorHAnsi"/>
          <w:bCs/>
        </w:rPr>
        <w:t xml:space="preserve"> European Society for Medical Oncology Magnitude of Clinical Benefit Scale</w:t>
      </w:r>
      <w:r w:rsidR="00EE0645" w:rsidRPr="007A70FB">
        <w:rPr>
          <w:rStyle w:val="FootnoteReference"/>
          <w:rFonts w:asciiTheme="minorHAnsi" w:hAnsiTheme="minorHAnsi"/>
          <w:bCs/>
        </w:rPr>
        <w:footnoteReference w:id="3"/>
      </w:r>
      <w:r w:rsidRPr="007A70FB">
        <w:rPr>
          <w:rFonts w:asciiTheme="minorHAnsi" w:hAnsiTheme="minorHAnsi"/>
          <w:bCs/>
        </w:rPr>
        <w:t xml:space="preserve"> (ESMO-MCBS) for lorlatinib, which was limited to 3</w:t>
      </w:r>
      <w:r w:rsidRPr="007A70FB">
        <w:rPr>
          <w:rFonts w:asciiTheme="minorHAnsi" w:hAnsiTheme="minorHAnsi"/>
          <w:bCs/>
          <w:vertAlign w:val="superscript"/>
        </w:rPr>
        <w:t>vii</w:t>
      </w:r>
      <w:r w:rsidR="00B172DE" w:rsidRPr="007A70FB">
        <w:rPr>
          <w:rStyle w:val="FootnoteReference"/>
          <w:rFonts w:asciiTheme="minorHAnsi" w:hAnsiTheme="minorHAnsi"/>
          <w:bCs/>
        </w:rPr>
        <w:footnoteReference w:id="4"/>
      </w:r>
      <w:r w:rsidR="00914FBB">
        <w:rPr>
          <w:rFonts w:asciiTheme="minorHAnsi" w:hAnsiTheme="minorHAnsi"/>
          <w:bCs/>
        </w:rPr>
        <w:t xml:space="preserve"> </w:t>
      </w:r>
      <w:r w:rsidRPr="007A70FB">
        <w:rPr>
          <w:rFonts w:asciiTheme="minorHAnsi" w:hAnsiTheme="minorHAnsi"/>
          <w:bCs/>
        </w:rPr>
        <w:t>(out of a maximum of 5, where 5 and 4 represent the grades with substantial improvement)</w:t>
      </w:r>
      <w:r w:rsidR="00015E86" w:rsidRPr="007A70FB">
        <w:rPr>
          <w:rFonts w:asciiTheme="minorHAnsi" w:hAnsiTheme="minorHAnsi"/>
          <w:bCs/>
        </w:rPr>
        <w:t xml:space="preserve">. </w:t>
      </w:r>
    </w:p>
    <w:p w:rsidR="007110AB" w:rsidRPr="007A70FB" w:rsidRDefault="007110AB" w:rsidP="000345C6">
      <w:pPr>
        <w:pStyle w:val="Heading2"/>
        <w:widowControl/>
        <w:spacing w:before="120" w:after="120"/>
      </w:pPr>
      <w:bookmarkStart w:id="22" w:name="_Toc371170705"/>
      <w:bookmarkStart w:id="23" w:name="_Toc19707662"/>
      <w:r w:rsidRPr="007A70FB">
        <w:t>Clinical trials</w:t>
      </w:r>
      <w:bookmarkEnd w:id="22"/>
      <w:bookmarkEnd w:id="23"/>
    </w:p>
    <w:p w:rsidR="007110AB" w:rsidRPr="007A70FB" w:rsidRDefault="007110AB" w:rsidP="00FE0FA7">
      <w:pPr>
        <w:pStyle w:val="ListParagraph"/>
        <w:widowControl/>
        <w:numPr>
          <w:ilvl w:val="1"/>
          <w:numId w:val="1"/>
        </w:numPr>
        <w:spacing w:before="120" w:after="120"/>
      </w:pPr>
      <w:r w:rsidRPr="007A70FB">
        <w:t xml:space="preserve">The submission was based on a naïve comparison of ten studies: </w:t>
      </w:r>
    </w:p>
    <w:p w:rsidR="007110AB" w:rsidRPr="007A70FB" w:rsidRDefault="007110AB" w:rsidP="00FE0FA7">
      <w:pPr>
        <w:pStyle w:val="ListParagraph"/>
        <w:widowControl/>
        <w:numPr>
          <w:ilvl w:val="2"/>
          <w:numId w:val="9"/>
        </w:numPr>
        <w:spacing w:before="120" w:after="120"/>
        <w:ind w:left="1418"/>
      </w:pPr>
      <w:r w:rsidRPr="007A70FB">
        <w:t xml:space="preserve">Lorlatinib: one single arm study (Study 1001, subgroups: EXP-2 to EXP-5, N=198); </w:t>
      </w:r>
    </w:p>
    <w:p w:rsidR="007110AB" w:rsidRPr="007A70FB" w:rsidRDefault="007110AB" w:rsidP="00FE0FA7">
      <w:pPr>
        <w:pStyle w:val="ListParagraph"/>
        <w:widowControl/>
        <w:numPr>
          <w:ilvl w:val="2"/>
          <w:numId w:val="9"/>
        </w:numPr>
        <w:spacing w:before="120" w:after="120"/>
        <w:ind w:left="1418"/>
      </w:pPr>
      <w:r w:rsidRPr="007A70FB">
        <w:t xml:space="preserve">Alectinib: two single arm studies (NP28761, N=87 and NP28673, N=138) and one single arm from an RCT compared with chemotherapy (ALUR, alectinib arm, N=72); </w:t>
      </w:r>
    </w:p>
    <w:p w:rsidR="007110AB" w:rsidRPr="007A70FB" w:rsidRDefault="007110AB" w:rsidP="00FE0FA7">
      <w:pPr>
        <w:pStyle w:val="ListParagraph"/>
        <w:widowControl/>
        <w:numPr>
          <w:ilvl w:val="2"/>
          <w:numId w:val="9"/>
        </w:numPr>
        <w:spacing w:before="120" w:after="120"/>
        <w:ind w:left="1418"/>
      </w:pPr>
      <w:r w:rsidRPr="007A70FB">
        <w:lastRenderedPageBreak/>
        <w:t>Ceritinib: three single arm studies (ASCEND-1, N=163, ASCEND-2, N=140 and ASCEND-9, N=20) and one single arm from an RCT compared with chemotherapy (ASCEND-5, ceritinib arm, N=115); and</w:t>
      </w:r>
    </w:p>
    <w:p w:rsidR="007110AB" w:rsidRPr="007A70FB" w:rsidRDefault="007110AB" w:rsidP="00FE0FA7">
      <w:pPr>
        <w:pStyle w:val="ListParagraph"/>
        <w:widowControl/>
        <w:numPr>
          <w:ilvl w:val="2"/>
          <w:numId w:val="9"/>
        </w:numPr>
        <w:spacing w:before="120" w:after="120"/>
        <w:ind w:left="1418"/>
      </w:pPr>
      <w:r w:rsidRPr="007A70FB">
        <w:t xml:space="preserve">Brigatinib: two single arm studies (Gettinger 2016, subgroup, N=79; ALTA, N=222). </w:t>
      </w:r>
    </w:p>
    <w:p w:rsidR="007110AB" w:rsidRPr="007A70FB" w:rsidRDefault="007110AB" w:rsidP="00FE0FA7">
      <w:pPr>
        <w:pStyle w:val="ListParagraph"/>
        <w:widowControl/>
        <w:numPr>
          <w:ilvl w:val="1"/>
          <w:numId w:val="1"/>
        </w:numPr>
        <w:spacing w:before="120" w:after="120"/>
      </w:pPr>
      <w:r w:rsidRPr="007A70FB">
        <w:t>All studies enrolled patients with locally advanced (Stage IIIB) or metastatic (Stage IV) ALK-positive NSCLC previously treated with an ALK-TKI.</w:t>
      </w:r>
      <w:r w:rsidRPr="007A70FB">
        <w:rPr>
          <w:color w:val="3366FF"/>
        </w:rPr>
        <w:t xml:space="preserve"> </w:t>
      </w:r>
    </w:p>
    <w:p w:rsidR="007110AB" w:rsidRPr="007A70FB" w:rsidRDefault="007110AB" w:rsidP="00E70DC9">
      <w:pPr>
        <w:pStyle w:val="ListParagraph"/>
        <w:widowControl/>
        <w:numPr>
          <w:ilvl w:val="1"/>
          <w:numId w:val="1"/>
        </w:numPr>
        <w:spacing w:before="120" w:after="120"/>
      </w:pPr>
      <w:r w:rsidRPr="007A70FB">
        <w:rPr>
          <w:iCs/>
        </w:rPr>
        <w:t>The pivotal studies for alectinib reviewed by the PBAC were</w:t>
      </w:r>
      <w:r w:rsidRPr="007A70FB">
        <w:t xml:space="preserve"> </w:t>
      </w:r>
      <w:r w:rsidRPr="007A70FB">
        <w:rPr>
          <w:iCs/>
        </w:rPr>
        <w:t>NP28761 and NP28673 (alectinib PSD, July 2017). At the time of PBAC review in July 2017, results for the Phase</w:t>
      </w:r>
      <w:r w:rsidR="00454958" w:rsidRPr="007A70FB">
        <w:rPr>
          <w:iCs/>
        </w:rPr>
        <w:t> </w:t>
      </w:r>
      <w:r w:rsidRPr="007A70FB">
        <w:rPr>
          <w:iCs/>
        </w:rPr>
        <w:t>III RCT, ALUR were unpublished, and only available via a media statement released by the sponsor (</w:t>
      </w:r>
      <w:r w:rsidR="00B755AB" w:rsidRPr="007A70FB">
        <w:rPr>
          <w:iCs/>
        </w:rPr>
        <w:t xml:space="preserve">paragraph 6.6, </w:t>
      </w:r>
      <w:r w:rsidRPr="007A70FB">
        <w:rPr>
          <w:iCs/>
        </w:rPr>
        <w:t xml:space="preserve">alectinib PSD, July 2017). Data for ALUR were not considered in the PBAC’s </w:t>
      </w:r>
      <w:r w:rsidR="006437BB" w:rsidRPr="007A70FB">
        <w:rPr>
          <w:iCs/>
        </w:rPr>
        <w:t>deliberations,</w:t>
      </w:r>
      <w:r w:rsidRPr="007A70FB">
        <w:rPr>
          <w:iCs/>
        </w:rPr>
        <w:t xml:space="preserve"> as the data were not independently evaluated (</w:t>
      </w:r>
      <w:r w:rsidR="00B755AB" w:rsidRPr="007A70FB">
        <w:rPr>
          <w:iCs/>
        </w:rPr>
        <w:t xml:space="preserve">paragraph 7.8, </w:t>
      </w:r>
      <w:r w:rsidRPr="007A70FB">
        <w:rPr>
          <w:iCs/>
        </w:rPr>
        <w:t>alectinib PSD, July 2017). The pivotal study for ceritinib was a Phase III RCT, ASCEND-5. Single arm trials of ceritinib, ASCEND-1 and ASCEND-2 were reviewed as part of the evaluation for alectinib (</w:t>
      </w:r>
      <w:r w:rsidR="00B755AB" w:rsidRPr="007A70FB">
        <w:rPr>
          <w:iCs/>
        </w:rPr>
        <w:t xml:space="preserve">paragraph 6.8, </w:t>
      </w:r>
      <w:r w:rsidRPr="007A70FB">
        <w:rPr>
          <w:iCs/>
        </w:rPr>
        <w:t xml:space="preserve">alectinib PSD, July 2017). The PBAC has not reviewed ASCEND-9 as this study was </w:t>
      </w:r>
      <w:r w:rsidR="002C763C" w:rsidRPr="007A70FB">
        <w:rPr>
          <w:iCs/>
        </w:rPr>
        <w:t xml:space="preserve">not available at the time of PBAC consideration for alectinib </w:t>
      </w:r>
      <w:r w:rsidRPr="007A70FB">
        <w:rPr>
          <w:iCs/>
        </w:rPr>
        <w:t>(Hida 2018).</w:t>
      </w:r>
    </w:p>
    <w:p w:rsidR="004524E8" w:rsidRPr="003A6481" w:rsidRDefault="007110AB" w:rsidP="003A6481">
      <w:pPr>
        <w:pStyle w:val="ListParagraph"/>
        <w:widowControl/>
        <w:numPr>
          <w:ilvl w:val="1"/>
          <w:numId w:val="1"/>
        </w:numPr>
        <w:spacing w:before="120" w:after="120"/>
        <w:rPr>
          <w:rFonts w:cs="Calibri"/>
          <w:snapToGrid/>
          <w:szCs w:val="24"/>
          <w:lang w:eastAsia="en-AU"/>
        </w:rPr>
      </w:pPr>
      <w:r w:rsidRPr="007A70FB">
        <w:rPr>
          <w:rFonts w:cs="Calibri"/>
          <w:snapToGrid/>
          <w:szCs w:val="24"/>
          <w:lang w:eastAsia="en-AU"/>
        </w:rPr>
        <w:t xml:space="preserve">Details of the trials presented in the submission are provided in the </w:t>
      </w:r>
      <w:r w:rsidR="00191E70" w:rsidRPr="007A70FB">
        <w:rPr>
          <w:rFonts w:cs="Calibri"/>
          <w:snapToGrid/>
          <w:szCs w:val="24"/>
          <w:lang w:eastAsia="en-AU"/>
        </w:rPr>
        <w:t>table</w:t>
      </w:r>
      <w:r w:rsidR="003A6481">
        <w:rPr>
          <w:rFonts w:cs="Calibri"/>
          <w:snapToGrid/>
          <w:szCs w:val="24"/>
          <w:lang w:eastAsia="en-AU"/>
        </w:rPr>
        <w:t xml:space="preserve"> below.</w:t>
      </w:r>
    </w:p>
    <w:p w:rsidR="004524E8" w:rsidRPr="007A70FB" w:rsidRDefault="004524E8">
      <w:pPr>
        <w:widowControl/>
        <w:jc w:val="left"/>
        <w:rPr>
          <w:rFonts w:cs="Calibri"/>
          <w:snapToGrid/>
          <w:szCs w:val="24"/>
          <w:lang w:eastAsia="en-AU"/>
        </w:rPr>
      </w:pPr>
      <w:r w:rsidRPr="007A70FB">
        <w:rPr>
          <w:rFonts w:cs="Calibri"/>
          <w:snapToGrid/>
          <w:szCs w:val="24"/>
          <w:lang w:eastAsia="en-AU"/>
        </w:rPr>
        <w:br w:type="page"/>
      </w:r>
    </w:p>
    <w:p w:rsidR="007110AB" w:rsidRPr="007A70FB" w:rsidRDefault="007110AB" w:rsidP="008A0A31">
      <w:pPr>
        <w:pStyle w:val="Caption"/>
        <w:spacing w:after="0"/>
        <w:rPr>
          <w:rStyle w:val="CommentReference"/>
          <w:b/>
        </w:rPr>
      </w:pPr>
      <w:r w:rsidRPr="007A70FB">
        <w:rPr>
          <w:rStyle w:val="CommentReference"/>
          <w:b/>
        </w:rPr>
        <w:lastRenderedPageBreak/>
        <w:t xml:space="preserve">Table </w:t>
      </w:r>
      <w:r w:rsidR="008267CB" w:rsidRPr="007A70FB">
        <w:rPr>
          <w:rStyle w:val="CommentReference"/>
          <w:b/>
        </w:rPr>
        <w:t>3</w:t>
      </w:r>
      <w:r w:rsidRPr="007A70FB">
        <w:rPr>
          <w:rStyle w:val="CommentReference"/>
          <w:b/>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70"/>
        <w:gridCol w:w="4479"/>
        <w:gridCol w:w="3068"/>
      </w:tblGrid>
      <w:tr w:rsidR="007110AB" w:rsidRPr="007A70FB" w:rsidTr="00C45DFE">
        <w:trPr>
          <w:tblHeader/>
        </w:trPr>
        <w:tc>
          <w:tcPr>
            <w:tcW w:w="815" w:type="pct"/>
            <w:tcBorders>
              <w:bottom w:val="single" w:sz="4" w:space="0" w:color="auto"/>
            </w:tcBorders>
          </w:tcPr>
          <w:p w:rsidR="007110AB" w:rsidRPr="007A70FB" w:rsidRDefault="007110AB" w:rsidP="00903E55">
            <w:pPr>
              <w:pStyle w:val="Tabletext"/>
              <w:rPr>
                <w:b/>
              </w:rPr>
            </w:pPr>
            <w:r w:rsidRPr="007A70FB">
              <w:rPr>
                <w:b/>
              </w:rPr>
              <w:t>Trial ID</w:t>
            </w:r>
          </w:p>
        </w:tc>
        <w:tc>
          <w:tcPr>
            <w:tcW w:w="2484" w:type="pct"/>
            <w:tcBorders>
              <w:bottom w:val="single" w:sz="4" w:space="0" w:color="auto"/>
            </w:tcBorders>
          </w:tcPr>
          <w:p w:rsidR="007110AB" w:rsidRPr="007A70FB" w:rsidRDefault="007110AB" w:rsidP="00513533">
            <w:pPr>
              <w:pStyle w:val="Tabletext"/>
              <w:jc w:val="center"/>
              <w:rPr>
                <w:b/>
              </w:rPr>
            </w:pPr>
            <w:r w:rsidRPr="007A70FB">
              <w:rPr>
                <w:b/>
              </w:rPr>
              <w:t>Protocol title/ Publication title</w:t>
            </w:r>
          </w:p>
        </w:tc>
        <w:tc>
          <w:tcPr>
            <w:tcW w:w="1701" w:type="pct"/>
            <w:tcBorders>
              <w:bottom w:val="single" w:sz="4" w:space="0" w:color="auto"/>
            </w:tcBorders>
          </w:tcPr>
          <w:p w:rsidR="007110AB" w:rsidRPr="007A70FB" w:rsidRDefault="007110AB" w:rsidP="00513533">
            <w:pPr>
              <w:pStyle w:val="Tabletext"/>
              <w:jc w:val="center"/>
              <w:rPr>
                <w:b/>
              </w:rPr>
            </w:pPr>
            <w:r w:rsidRPr="007A70FB">
              <w:rPr>
                <w:b/>
              </w:rPr>
              <w:t>Publication citation</w:t>
            </w:r>
          </w:p>
        </w:tc>
      </w:tr>
      <w:tr w:rsidR="007110AB" w:rsidRPr="007A70FB" w:rsidTr="00C45DFE">
        <w:tc>
          <w:tcPr>
            <w:tcW w:w="815" w:type="pct"/>
            <w:tcBorders>
              <w:bottom w:val="single" w:sz="4" w:space="0" w:color="auto"/>
              <w:right w:val="nil"/>
            </w:tcBorders>
          </w:tcPr>
          <w:p w:rsidR="007110AB" w:rsidRPr="007A70FB" w:rsidRDefault="007110AB" w:rsidP="00903E55">
            <w:pPr>
              <w:pStyle w:val="Tabletext"/>
              <w:rPr>
                <w:b/>
              </w:rPr>
            </w:pPr>
            <w:r w:rsidRPr="007A70FB">
              <w:rPr>
                <w:b/>
              </w:rPr>
              <w:t>Lorlatinib studies</w:t>
            </w:r>
          </w:p>
        </w:tc>
        <w:tc>
          <w:tcPr>
            <w:tcW w:w="2484" w:type="pct"/>
            <w:tcBorders>
              <w:left w:val="nil"/>
              <w:bottom w:val="single" w:sz="4" w:space="0" w:color="auto"/>
              <w:right w:val="nil"/>
            </w:tcBorders>
          </w:tcPr>
          <w:p w:rsidR="007110AB" w:rsidRPr="007A70FB" w:rsidRDefault="007110AB" w:rsidP="00903E55">
            <w:pPr>
              <w:pStyle w:val="Tabletext"/>
              <w:rPr>
                <w:szCs w:val="18"/>
              </w:rPr>
            </w:pPr>
          </w:p>
        </w:tc>
        <w:tc>
          <w:tcPr>
            <w:tcW w:w="1701" w:type="pct"/>
            <w:tcBorders>
              <w:left w:val="nil"/>
              <w:bottom w:val="single" w:sz="4" w:space="0" w:color="auto"/>
            </w:tcBorders>
          </w:tcPr>
          <w:p w:rsidR="007110AB" w:rsidRPr="007A70FB" w:rsidRDefault="007110AB" w:rsidP="00903E55">
            <w:pPr>
              <w:pStyle w:val="Tabletext"/>
              <w:rPr>
                <w:rFonts w:ascii="Times" w:hAnsi="Times"/>
              </w:rPr>
            </w:pPr>
          </w:p>
        </w:tc>
      </w:tr>
      <w:tr w:rsidR="007110AB" w:rsidRPr="007A70FB" w:rsidTr="00C45DFE">
        <w:tc>
          <w:tcPr>
            <w:tcW w:w="815" w:type="pct"/>
            <w:tcBorders>
              <w:top w:val="single" w:sz="4" w:space="0" w:color="auto"/>
              <w:bottom w:val="nil"/>
            </w:tcBorders>
          </w:tcPr>
          <w:p w:rsidR="007110AB" w:rsidRPr="007A70FB" w:rsidRDefault="007110AB" w:rsidP="00903E55">
            <w:pPr>
              <w:pStyle w:val="Tabletext"/>
            </w:pPr>
            <w:r w:rsidRPr="007A70FB">
              <w:t>Study 1001</w:t>
            </w:r>
          </w:p>
        </w:tc>
        <w:tc>
          <w:tcPr>
            <w:tcW w:w="2484" w:type="pct"/>
            <w:tcBorders>
              <w:top w:val="single" w:sz="4" w:space="0" w:color="auto"/>
              <w:bottom w:val="nil"/>
            </w:tcBorders>
          </w:tcPr>
          <w:p w:rsidR="007110AB" w:rsidRPr="007A70FB" w:rsidRDefault="007110AB" w:rsidP="00903E55">
            <w:pPr>
              <w:pStyle w:val="Tabletext"/>
              <w:rPr>
                <w:szCs w:val="18"/>
              </w:rPr>
            </w:pPr>
            <w:r w:rsidRPr="007A70FB">
              <w:rPr>
                <w:szCs w:val="18"/>
              </w:rPr>
              <w:t xml:space="preserve">Phase 1/2 Study of PF-06463922 (an ALK/ROS-1 Tyrosine Kinase Inhibitor) in Patients with Advanced Non-Small Cell Lung Cancer Harbouring Specific Molecular Alterations. </w:t>
            </w:r>
          </w:p>
          <w:p w:rsidR="007110AB" w:rsidRPr="007A70FB" w:rsidRDefault="007110AB" w:rsidP="00903E55">
            <w:pPr>
              <w:pStyle w:val="Tabletext"/>
              <w:rPr>
                <w:szCs w:val="18"/>
              </w:rPr>
            </w:pPr>
            <w:r w:rsidRPr="007A70FB">
              <w:rPr>
                <w:szCs w:val="18"/>
              </w:rPr>
              <w:t>Protocol number: B7461001.</w:t>
            </w:r>
          </w:p>
          <w:p w:rsidR="007110AB" w:rsidRPr="007A70FB" w:rsidRDefault="007110AB" w:rsidP="00903E55">
            <w:pPr>
              <w:pStyle w:val="Tabletext"/>
              <w:rPr>
                <w:szCs w:val="18"/>
              </w:rPr>
            </w:pPr>
            <w:r w:rsidRPr="007A70FB">
              <w:rPr>
                <w:szCs w:val="18"/>
              </w:rPr>
              <w:t>Interim Clinical Study Report, data cut-off: 15 March 2017.</w:t>
            </w:r>
          </w:p>
        </w:tc>
        <w:tc>
          <w:tcPr>
            <w:tcW w:w="1701" w:type="pct"/>
            <w:tcBorders>
              <w:top w:val="single" w:sz="4" w:space="0" w:color="auto"/>
              <w:bottom w:val="nil"/>
            </w:tcBorders>
          </w:tcPr>
          <w:p w:rsidR="007110AB" w:rsidRPr="007A70FB" w:rsidRDefault="007110AB" w:rsidP="00903E55">
            <w:pPr>
              <w:pStyle w:val="Tabletext"/>
            </w:pPr>
            <w:r w:rsidRPr="007A70FB">
              <w:t>22 November 2017</w:t>
            </w:r>
          </w:p>
        </w:tc>
      </w:tr>
      <w:tr w:rsidR="007110AB" w:rsidRPr="007A70FB" w:rsidTr="00C45DFE">
        <w:tc>
          <w:tcPr>
            <w:tcW w:w="815" w:type="pct"/>
            <w:tcBorders>
              <w:top w:val="nil"/>
              <w:bottom w:val="nil"/>
            </w:tcBorders>
          </w:tcPr>
          <w:p w:rsidR="007110AB" w:rsidRPr="007A70FB" w:rsidRDefault="007110AB" w:rsidP="00903E55">
            <w:pPr>
              <w:pStyle w:val="Tabletext"/>
            </w:pPr>
          </w:p>
        </w:tc>
        <w:tc>
          <w:tcPr>
            <w:tcW w:w="2484" w:type="pct"/>
            <w:tcBorders>
              <w:top w:val="nil"/>
              <w:bottom w:val="nil"/>
            </w:tcBorders>
          </w:tcPr>
          <w:p w:rsidR="007110AB" w:rsidRPr="007A70FB" w:rsidRDefault="007110AB" w:rsidP="00903E55">
            <w:pPr>
              <w:pStyle w:val="Tabletext"/>
              <w:rPr>
                <w:szCs w:val="18"/>
                <w:lang w:eastAsia="en-AU"/>
              </w:rPr>
            </w:pPr>
            <w:r w:rsidRPr="007A70FB">
              <w:rPr>
                <w:szCs w:val="18"/>
                <w:lang w:eastAsia="en-AU"/>
              </w:rPr>
              <w:t xml:space="preserve">Efficacy Update Report, data cut-off: 02 February 2018. </w:t>
            </w:r>
          </w:p>
        </w:tc>
        <w:tc>
          <w:tcPr>
            <w:tcW w:w="1701" w:type="pct"/>
            <w:tcBorders>
              <w:top w:val="nil"/>
              <w:bottom w:val="nil"/>
            </w:tcBorders>
          </w:tcPr>
          <w:p w:rsidR="007110AB" w:rsidRPr="007A70FB" w:rsidRDefault="007110AB" w:rsidP="00903E55">
            <w:pPr>
              <w:pStyle w:val="Tabletext"/>
              <w:rPr>
                <w:szCs w:val="18"/>
                <w:lang w:eastAsia="en-AU"/>
              </w:rPr>
            </w:pPr>
            <w:r w:rsidRPr="007A70FB">
              <w:rPr>
                <w:szCs w:val="18"/>
                <w:lang w:eastAsia="en-AU"/>
              </w:rPr>
              <w:t>18 July 2018</w:t>
            </w:r>
          </w:p>
        </w:tc>
      </w:tr>
      <w:tr w:rsidR="007110AB" w:rsidRPr="007A70FB" w:rsidTr="00C45DFE">
        <w:tc>
          <w:tcPr>
            <w:tcW w:w="815" w:type="pct"/>
            <w:tcBorders>
              <w:top w:val="nil"/>
              <w:bottom w:val="nil"/>
            </w:tcBorders>
          </w:tcPr>
          <w:p w:rsidR="007110AB" w:rsidRPr="007A70FB" w:rsidRDefault="007110AB" w:rsidP="00903E55">
            <w:pPr>
              <w:pStyle w:val="Tabletext"/>
            </w:pPr>
          </w:p>
        </w:tc>
        <w:tc>
          <w:tcPr>
            <w:tcW w:w="2484" w:type="pct"/>
            <w:tcBorders>
              <w:top w:val="nil"/>
              <w:bottom w:val="single" w:sz="4" w:space="0" w:color="auto"/>
            </w:tcBorders>
          </w:tcPr>
          <w:p w:rsidR="007110AB" w:rsidRPr="007A70FB" w:rsidRDefault="007110AB" w:rsidP="00903E55">
            <w:pPr>
              <w:pStyle w:val="Tabletext"/>
              <w:rPr>
                <w:szCs w:val="18"/>
                <w:lang w:eastAsia="en-AU"/>
              </w:rPr>
            </w:pPr>
            <w:r w:rsidRPr="007A70FB">
              <w:rPr>
                <w:szCs w:val="18"/>
                <w:lang w:eastAsia="en-AU"/>
              </w:rPr>
              <w:t xml:space="preserve">120-day Safety Update Report. </w:t>
            </w:r>
          </w:p>
        </w:tc>
        <w:tc>
          <w:tcPr>
            <w:tcW w:w="1701" w:type="pct"/>
            <w:tcBorders>
              <w:top w:val="nil"/>
              <w:bottom w:val="single" w:sz="4" w:space="0" w:color="auto"/>
            </w:tcBorders>
          </w:tcPr>
          <w:p w:rsidR="007110AB" w:rsidRPr="007A70FB" w:rsidRDefault="007110AB" w:rsidP="00903E55">
            <w:pPr>
              <w:pStyle w:val="Tabletext"/>
              <w:rPr>
                <w:szCs w:val="18"/>
                <w:lang w:eastAsia="en-AU"/>
              </w:rPr>
            </w:pPr>
            <w:r w:rsidRPr="007A70FB">
              <w:rPr>
                <w:szCs w:val="18"/>
                <w:lang w:eastAsia="en-AU"/>
              </w:rPr>
              <w:t>08 March 2018</w:t>
            </w:r>
          </w:p>
        </w:tc>
      </w:tr>
      <w:tr w:rsidR="007110AB" w:rsidRPr="007A70FB" w:rsidTr="00C45DFE">
        <w:tc>
          <w:tcPr>
            <w:tcW w:w="815" w:type="pct"/>
            <w:tcBorders>
              <w:top w:val="nil"/>
              <w:bottom w:val="nil"/>
            </w:tcBorders>
          </w:tcPr>
          <w:p w:rsidR="007110AB" w:rsidRPr="007A70FB" w:rsidRDefault="007110AB" w:rsidP="00903E55">
            <w:pPr>
              <w:pStyle w:val="Tabletext"/>
            </w:pPr>
          </w:p>
        </w:tc>
        <w:tc>
          <w:tcPr>
            <w:tcW w:w="2484" w:type="pct"/>
            <w:tcBorders>
              <w:top w:val="single" w:sz="4" w:space="0" w:color="auto"/>
              <w:bottom w:val="single" w:sz="4" w:space="0" w:color="auto"/>
            </w:tcBorders>
          </w:tcPr>
          <w:p w:rsidR="007110AB" w:rsidRPr="007A70FB" w:rsidRDefault="007110AB" w:rsidP="00903E55">
            <w:pPr>
              <w:pStyle w:val="Tabletext"/>
              <w:rPr>
                <w:szCs w:val="18"/>
                <w:lang w:eastAsia="en-AU"/>
              </w:rPr>
            </w:pPr>
            <w:r w:rsidRPr="007A70FB">
              <w:rPr>
                <w:szCs w:val="18"/>
                <w:lang w:eastAsia="en-AU"/>
              </w:rPr>
              <w:t xml:space="preserve">Solomon BJ, Besse B, Bauer TM, et al. Lorlatinib in patients with ALK-positive non-small-cell lung cancer: results from a global phase 2 study. </w:t>
            </w:r>
          </w:p>
        </w:tc>
        <w:tc>
          <w:tcPr>
            <w:tcW w:w="1701" w:type="pct"/>
            <w:tcBorders>
              <w:top w:val="single" w:sz="4" w:space="0" w:color="auto"/>
              <w:bottom w:val="single" w:sz="4" w:space="0" w:color="auto"/>
            </w:tcBorders>
          </w:tcPr>
          <w:p w:rsidR="007110AB" w:rsidRPr="007A70FB" w:rsidRDefault="007110AB" w:rsidP="002227AE">
            <w:pPr>
              <w:pStyle w:val="Tabletext"/>
              <w:rPr>
                <w:szCs w:val="18"/>
                <w:lang w:eastAsia="en-AU"/>
              </w:rPr>
            </w:pPr>
            <w:r w:rsidRPr="007A70FB">
              <w:rPr>
                <w:i/>
                <w:iCs/>
                <w:szCs w:val="18"/>
                <w:lang w:eastAsia="en-AU"/>
              </w:rPr>
              <w:t>Lancet Oncology</w:t>
            </w:r>
            <w:r w:rsidRPr="007A70FB">
              <w:rPr>
                <w:iCs/>
                <w:szCs w:val="18"/>
                <w:lang w:eastAsia="en-AU"/>
              </w:rPr>
              <w:t xml:space="preserve"> 2018;</w:t>
            </w:r>
            <w:r w:rsidRPr="007A70FB">
              <w:rPr>
                <w:szCs w:val="18"/>
                <w:lang w:eastAsia="en-AU"/>
              </w:rPr>
              <w:t xml:space="preserve"> 19(12): 1654–1667.</w:t>
            </w:r>
          </w:p>
        </w:tc>
      </w:tr>
      <w:tr w:rsidR="007110AB" w:rsidRPr="007A70FB" w:rsidTr="00C45DFE">
        <w:tc>
          <w:tcPr>
            <w:tcW w:w="815" w:type="pct"/>
            <w:tcBorders>
              <w:top w:val="nil"/>
              <w:bottom w:val="nil"/>
            </w:tcBorders>
          </w:tcPr>
          <w:p w:rsidR="007110AB" w:rsidRPr="007A70FB" w:rsidRDefault="007110AB" w:rsidP="00903E55">
            <w:pPr>
              <w:pStyle w:val="Tabletext"/>
            </w:pPr>
          </w:p>
        </w:tc>
        <w:tc>
          <w:tcPr>
            <w:tcW w:w="2484" w:type="pct"/>
            <w:tcBorders>
              <w:top w:val="single" w:sz="4" w:space="0" w:color="auto"/>
              <w:bottom w:val="single" w:sz="4" w:space="0" w:color="auto"/>
            </w:tcBorders>
          </w:tcPr>
          <w:p w:rsidR="007110AB" w:rsidRPr="007A70FB" w:rsidRDefault="007110AB" w:rsidP="00903E55">
            <w:pPr>
              <w:pStyle w:val="Tabletext"/>
              <w:rPr>
                <w:szCs w:val="18"/>
                <w:lang w:eastAsia="en-AU"/>
              </w:rPr>
            </w:pPr>
            <w:r w:rsidRPr="007A70FB">
              <w:rPr>
                <w:szCs w:val="18"/>
                <w:lang w:eastAsia="en-AU"/>
              </w:rPr>
              <w:t xml:space="preserve">Shaw A, Felip E, Bauer T, et al. Lorlatinib in ALK- or ROS1-rearranged non-small cell lung cancer: an international, multicenter, open-label phase 1 trial. </w:t>
            </w:r>
          </w:p>
        </w:tc>
        <w:tc>
          <w:tcPr>
            <w:tcW w:w="1701" w:type="pct"/>
            <w:tcBorders>
              <w:top w:val="single" w:sz="4" w:space="0" w:color="auto"/>
              <w:bottom w:val="single" w:sz="4" w:space="0" w:color="auto"/>
            </w:tcBorders>
          </w:tcPr>
          <w:p w:rsidR="007110AB" w:rsidRPr="007A70FB" w:rsidRDefault="007110AB" w:rsidP="00903E55">
            <w:pPr>
              <w:pStyle w:val="Tabletext"/>
              <w:rPr>
                <w:szCs w:val="18"/>
                <w:lang w:eastAsia="en-AU"/>
              </w:rPr>
            </w:pPr>
            <w:r w:rsidRPr="007A70FB">
              <w:rPr>
                <w:i/>
                <w:iCs/>
                <w:szCs w:val="18"/>
                <w:lang w:eastAsia="en-AU"/>
              </w:rPr>
              <w:t>Lancet Oncology</w:t>
            </w:r>
            <w:r w:rsidRPr="007A70FB">
              <w:rPr>
                <w:iCs/>
                <w:szCs w:val="18"/>
                <w:lang w:eastAsia="en-AU"/>
              </w:rPr>
              <w:t xml:space="preserve"> </w:t>
            </w:r>
            <w:r w:rsidRPr="007A70FB">
              <w:rPr>
                <w:szCs w:val="18"/>
                <w:lang w:eastAsia="en-AU"/>
              </w:rPr>
              <w:t>2017; 18(12): 1590–1599.</w:t>
            </w:r>
          </w:p>
        </w:tc>
      </w:tr>
      <w:tr w:rsidR="007110AB" w:rsidRPr="007A70FB" w:rsidTr="00C45DFE">
        <w:tc>
          <w:tcPr>
            <w:tcW w:w="815" w:type="pct"/>
            <w:tcBorders>
              <w:top w:val="nil"/>
              <w:bottom w:val="nil"/>
            </w:tcBorders>
          </w:tcPr>
          <w:p w:rsidR="007110AB" w:rsidRPr="007A70FB" w:rsidRDefault="007110AB" w:rsidP="00903E55">
            <w:pPr>
              <w:pStyle w:val="Tabletext"/>
            </w:pPr>
          </w:p>
        </w:tc>
        <w:tc>
          <w:tcPr>
            <w:tcW w:w="2484" w:type="pct"/>
            <w:tcBorders>
              <w:top w:val="single" w:sz="4" w:space="0" w:color="auto"/>
              <w:bottom w:val="single" w:sz="4" w:space="0" w:color="auto"/>
            </w:tcBorders>
          </w:tcPr>
          <w:p w:rsidR="007110AB" w:rsidRPr="007A70FB" w:rsidRDefault="007110AB" w:rsidP="00903E55">
            <w:pPr>
              <w:pStyle w:val="Tabletext"/>
              <w:rPr>
                <w:szCs w:val="18"/>
                <w:lang w:eastAsia="en-AU"/>
              </w:rPr>
            </w:pPr>
            <w:r w:rsidRPr="007A70FB">
              <w:rPr>
                <w:szCs w:val="18"/>
                <w:lang w:eastAsia="en-AU"/>
              </w:rPr>
              <w:t xml:space="preserve">Bauer T., Shaw A., Johnson M et al. Brain Penetration of Lorlatinib and Cumulative Incidence Rates for CNS and Non-CNS Progression from a Phase 1/2 Study. </w:t>
            </w:r>
          </w:p>
        </w:tc>
        <w:tc>
          <w:tcPr>
            <w:tcW w:w="1701" w:type="pct"/>
            <w:tcBorders>
              <w:top w:val="single" w:sz="4" w:space="0" w:color="auto"/>
              <w:bottom w:val="single" w:sz="4" w:space="0" w:color="auto"/>
            </w:tcBorders>
          </w:tcPr>
          <w:p w:rsidR="007110AB" w:rsidRPr="007A70FB" w:rsidRDefault="007110AB" w:rsidP="00222689">
            <w:pPr>
              <w:pStyle w:val="Tabletext"/>
              <w:rPr>
                <w:szCs w:val="18"/>
                <w:lang w:eastAsia="en-AU"/>
              </w:rPr>
            </w:pPr>
            <w:r w:rsidRPr="007A70FB">
              <w:rPr>
                <w:i/>
                <w:iCs/>
                <w:szCs w:val="18"/>
                <w:lang w:eastAsia="en-AU"/>
              </w:rPr>
              <w:t>Journal of Thoracic Oncology</w:t>
            </w:r>
            <w:r w:rsidR="002227AE" w:rsidRPr="007A70FB">
              <w:rPr>
                <w:szCs w:val="18"/>
                <w:lang w:eastAsia="en-AU"/>
              </w:rPr>
              <w:t xml:space="preserve"> 2018; </w:t>
            </w:r>
            <w:r w:rsidRPr="007A70FB">
              <w:rPr>
                <w:szCs w:val="18"/>
                <w:lang w:eastAsia="en-AU"/>
              </w:rPr>
              <w:t>Conference: IASLC 19th World Conference on Lung Cancer</w:t>
            </w:r>
            <w:r w:rsidR="002227AE" w:rsidRPr="007A70FB">
              <w:rPr>
                <w:szCs w:val="18"/>
                <w:lang w:eastAsia="en-AU"/>
              </w:rPr>
              <w:t>;</w:t>
            </w:r>
            <w:r w:rsidRPr="007A70FB">
              <w:rPr>
                <w:szCs w:val="18"/>
                <w:lang w:eastAsia="en-AU"/>
              </w:rPr>
              <w:t xml:space="preserve"> 13(10</w:t>
            </w:r>
            <w:r w:rsidR="00222689" w:rsidRPr="007A70FB">
              <w:rPr>
                <w:szCs w:val="18"/>
                <w:lang w:eastAsia="en-AU"/>
              </w:rPr>
              <w:t xml:space="preserve"> Supplement</w:t>
            </w:r>
            <w:r w:rsidR="002227AE" w:rsidRPr="007A70FB">
              <w:rPr>
                <w:szCs w:val="18"/>
                <w:lang w:eastAsia="en-AU"/>
              </w:rPr>
              <w:t xml:space="preserve">): </w:t>
            </w:r>
            <w:r w:rsidRPr="007A70FB">
              <w:rPr>
                <w:szCs w:val="18"/>
                <w:lang w:eastAsia="en-AU"/>
              </w:rPr>
              <w:t>S382</w:t>
            </w:r>
            <w:r w:rsidR="002227AE" w:rsidRPr="007A70FB">
              <w:rPr>
                <w:szCs w:val="18"/>
                <w:lang w:eastAsia="en-AU"/>
              </w:rPr>
              <w:t>–</w:t>
            </w:r>
            <w:r w:rsidRPr="007A70FB">
              <w:rPr>
                <w:szCs w:val="18"/>
                <w:lang w:eastAsia="en-AU"/>
              </w:rPr>
              <w:t>S383</w:t>
            </w:r>
            <w:r w:rsidR="002227AE" w:rsidRPr="007A70FB">
              <w:rPr>
                <w:szCs w:val="18"/>
                <w:lang w:eastAsia="en-AU"/>
              </w:rPr>
              <w:t>.</w:t>
            </w:r>
          </w:p>
        </w:tc>
      </w:tr>
      <w:tr w:rsidR="007110AB" w:rsidRPr="007A70FB" w:rsidTr="00C45DFE">
        <w:tc>
          <w:tcPr>
            <w:tcW w:w="815" w:type="pct"/>
            <w:tcBorders>
              <w:top w:val="nil"/>
              <w:bottom w:val="nil"/>
            </w:tcBorders>
          </w:tcPr>
          <w:p w:rsidR="007110AB" w:rsidRPr="007A70FB" w:rsidRDefault="007110AB" w:rsidP="00903E55">
            <w:pPr>
              <w:pStyle w:val="Tabletext"/>
            </w:pPr>
          </w:p>
        </w:tc>
        <w:tc>
          <w:tcPr>
            <w:tcW w:w="2484" w:type="pct"/>
            <w:tcBorders>
              <w:top w:val="single" w:sz="4" w:space="0" w:color="auto"/>
              <w:bottom w:val="single" w:sz="4" w:space="0" w:color="auto"/>
            </w:tcBorders>
          </w:tcPr>
          <w:p w:rsidR="007110AB" w:rsidRPr="007A70FB" w:rsidRDefault="007110AB" w:rsidP="00903E55">
            <w:pPr>
              <w:pStyle w:val="Tabletext"/>
              <w:rPr>
                <w:szCs w:val="18"/>
                <w:lang w:eastAsia="en-AU"/>
              </w:rPr>
            </w:pPr>
            <w:r w:rsidRPr="007A70FB">
              <w:rPr>
                <w:szCs w:val="18"/>
                <w:lang w:eastAsia="en-AU"/>
              </w:rPr>
              <w:t xml:space="preserve">Shaw A.T., Solomon B.J., Besse B et al. ALK Resistance Mutations and Efficacy of Lorlatinib in Advanced Anaplastic Lymphoma Kinase-Positive Non-Small-Cell Lung Cancer. </w:t>
            </w:r>
          </w:p>
        </w:tc>
        <w:tc>
          <w:tcPr>
            <w:tcW w:w="1701" w:type="pct"/>
            <w:tcBorders>
              <w:top w:val="single" w:sz="4" w:space="0" w:color="auto"/>
              <w:bottom w:val="single" w:sz="4" w:space="0" w:color="auto"/>
            </w:tcBorders>
          </w:tcPr>
          <w:p w:rsidR="007110AB" w:rsidRPr="007A70FB" w:rsidRDefault="007110AB" w:rsidP="008A0A31">
            <w:pPr>
              <w:pStyle w:val="Tabletext"/>
              <w:rPr>
                <w:szCs w:val="18"/>
                <w:lang w:eastAsia="en-AU"/>
              </w:rPr>
            </w:pPr>
            <w:r w:rsidRPr="007A70FB">
              <w:rPr>
                <w:i/>
                <w:iCs/>
                <w:szCs w:val="18"/>
                <w:lang w:eastAsia="en-AU"/>
              </w:rPr>
              <w:t xml:space="preserve">Journal of </w:t>
            </w:r>
            <w:r w:rsidR="008A0A31" w:rsidRPr="007A70FB">
              <w:rPr>
                <w:i/>
                <w:iCs/>
                <w:szCs w:val="18"/>
                <w:lang w:eastAsia="en-AU"/>
              </w:rPr>
              <w:t>C</w:t>
            </w:r>
            <w:r w:rsidRPr="007A70FB">
              <w:rPr>
                <w:i/>
                <w:iCs/>
                <w:szCs w:val="18"/>
                <w:lang w:eastAsia="en-AU"/>
              </w:rPr>
              <w:t xml:space="preserve">linical </w:t>
            </w:r>
            <w:r w:rsidR="008A0A31" w:rsidRPr="007A70FB">
              <w:rPr>
                <w:i/>
                <w:iCs/>
                <w:szCs w:val="18"/>
                <w:lang w:eastAsia="en-AU"/>
              </w:rPr>
              <w:t>O</w:t>
            </w:r>
            <w:r w:rsidRPr="007A70FB">
              <w:rPr>
                <w:i/>
                <w:iCs/>
                <w:szCs w:val="18"/>
                <w:lang w:eastAsia="en-AU"/>
              </w:rPr>
              <w:t>ncology</w:t>
            </w:r>
            <w:r w:rsidRPr="007A70FB">
              <w:rPr>
                <w:szCs w:val="18"/>
                <w:lang w:eastAsia="en-AU"/>
              </w:rPr>
              <w:t xml:space="preserve"> 2019; 37(16): 1370</w:t>
            </w:r>
            <w:r w:rsidR="002227AE" w:rsidRPr="007A70FB">
              <w:rPr>
                <w:szCs w:val="18"/>
                <w:lang w:eastAsia="en-AU"/>
              </w:rPr>
              <w:t>–</w:t>
            </w:r>
            <w:r w:rsidRPr="007A70FB">
              <w:rPr>
                <w:szCs w:val="18"/>
                <w:lang w:eastAsia="en-AU"/>
              </w:rPr>
              <w:t>1379.</w:t>
            </w:r>
          </w:p>
        </w:tc>
      </w:tr>
      <w:tr w:rsidR="007110AB" w:rsidRPr="007A70FB" w:rsidTr="00C45DFE">
        <w:tc>
          <w:tcPr>
            <w:tcW w:w="815" w:type="pct"/>
            <w:tcBorders>
              <w:bottom w:val="single" w:sz="4" w:space="0" w:color="auto"/>
              <w:right w:val="nil"/>
            </w:tcBorders>
          </w:tcPr>
          <w:p w:rsidR="007110AB" w:rsidRPr="007A70FB" w:rsidRDefault="007110AB" w:rsidP="00903E55">
            <w:pPr>
              <w:pStyle w:val="Tabletext"/>
              <w:rPr>
                <w:b/>
                <w:bCs/>
              </w:rPr>
            </w:pPr>
            <w:r w:rsidRPr="007A70FB">
              <w:rPr>
                <w:b/>
              </w:rPr>
              <w:t>Alectinib studies</w:t>
            </w:r>
          </w:p>
        </w:tc>
        <w:tc>
          <w:tcPr>
            <w:tcW w:w="2484" w:type="pct"/>
            <w:tcBorders>
              <w:top w:val="single" w:sz="4" w:space="0" w:color="auto"/>
              <w:left w:val="nil"/>
              <w:bottom w:val="single" w:sz="4" w:space="0" w:color="auto"/>
              <w:right w:val="nil"/>
            </w:tcBorders>
          </w:tcPr>
          <w:p w:rsidR="007110AB" w:rsidRPr="007A70FB" w:rsidRDefault="007110AB" w:rsidP="00903E55">
            <w:pPr>
              <w:pStyle w:val="Tabletext"/>
              <w:rPr>
                <w:b/>
                <w:bCs/>
              </w:rPr>
            </w:pPr>
          </w:p>
        </w:tc>
        <w:tc>
          <w:tcPr>
            <w:tcW w:w="1701" w:type="pct"/>
            <w:tcBorders>
              <w:top w:val="single" w:sz="4" w:space="0" w:color="auto"/>
              <w:left w:val="nil"/>
              <w:bottom w:val="single" w:sz="4" w:space="0" w:color="auto"/>
            </w:tcBorders>
          </w:tcPr>
          <w:p w:rsidR="007110AB" w:rsidRPr="007A70FB" w:rsidRDefault="007110AB" w:rsidP="00903E55">
            <w:pPr>
              <w:pStyle w:val="Tabletext"/>
              <w:rPr>
                <w:b/>
                <w:bCs/>
              </w:rPr>
            </w:pPr>
          </w:p>
        </w:tc>
      </w:tr>
      <w:tr w:rsidR="007110AB" w:rsidRPr="007A70FB" w:rsidTr="00C45DFE">
        <w:tc>
          <w:tcPr>
            <w:tcW w:w="815" w:type="pct"/>
            <w:tcBorders>
              <w:top w:val="single" w:sz="4" w:space="0" w:color="auto"/>
              <w:bottom w:val="nil"/>
            </w:tcBorders>
          </w:tcPr>
          <w:p w:rsidR="007110AB" w:rsidRPr="007A70FB" w:rsidRDefault="007110AB" w:rsidP="00903E55">
            <w:pPr>
              <w:pStyle w:val="Tabletext"/>
            </w:pPr>
            <w:r w:rsidRPr="007A70FB">
              <w:t>NP28761</w:t>
            </w:r>
          </w:p>
        </w:tc>
        <w:tc>
          <w:tcPr>
            <w:tcW w:w="2484" w:type="pct"/>
            <w:tcBorders>
              <w:top w:val="single" w:sz="4" w:space="0" w:color="auto"/>
              <w:bottom w:val="single" w:sz="4" w:space="0" w:color="auto"/>
            </w:tcBorders>
          </w:tcPr>
          <w:p w:rsidR="007110AB" w:rsidRPr="007A70FB" w:rsidRDefault="007110AB" w:rsidP="00903E55">
            <w:pPr>
              <w:pStyle w:val="Tabletext"/>
              <w:rPr>
                <w:szCs w:val="18"/>
              </w:rPr>
            </w:pPr>
            <w:r w:rsidRPr="007A70FB">
              <w:t>Shaw A, Gandhi L, Gadgeel S, et al. Alectinib in ALK-positive, crizotinib-resistant, non-small cell lung cancer: A single-group, multicentre, phase 2 trial.</w:t>
            </w:r>
          </w:p>
        </w:tc>
        <w:tc>
          <w:tcPr>
            <w:tcW w:w="1701" w:type="pct"/>
            <w:tcBorders>
              <w:top w:val="single" w:sz="4" w:space="0" w:color="auto"/>
              <w:bottom w:val="single" w:sz="4" w:space="0" w:color="auto"/>
            </w:tcBorders>
          </w:tcPr>
          <w:p w:rsidR="007110AB" w:rsidRPr="007A70FB" w:rsidRDefault="007110AB" w:rsidP="002227AE">
            <w:pPr>
              <w:pStyle w:val="Tabletext"/>
              <w:rPr>
                <w:i/>
              </w:rPr>
            </w:pPr>
            <w:r w:rsidRPr="007A70FB">
              <w:rPr>
                <w:i/>
              </w:rPr>
              <w:t>Lancet Oncology</w:t>
            </w:r>
            <w:r w:rsidRPr="007A70FB">
              <w:t xml:space="preserve"> 2016; 17(2):</w:t>
            </w:r>
            <w:r w:rsidR="002227AE" w:rsidRPr="007A70FB">
              <w:t xml:space="preserve"> </w:t>
            </w:r>
            <w:r w:rsidRPr="007A70FB">
              <w:t>234</w:t>
            </w:r>
            <w:r w:rsidR="002227AE" w:rsidRPr="007A70FB">
              <w:t>–</w:t>
            </w:r>
            <w:r w:rsidRPr="007A70FB">
              <w:t>42.</w:t>
            </w:r>
          </w:p>
        </w:tc>
      </w:tr>
      <w:tr w:rsidR="007110AB" w:rsidRPr="007A70FB" w:rsidTr="00C45DFE">
        <w:tc>
          <w:tcPr>
            <w:tcW w:w="815" w:type="pct"/>
            <w:tcBorders>
              <w:top w:val="nil"/>
              <w:bottom w:val="nil"/>
            </w:tcBorders>
          </w:tcPr>
          <w:p w:rsidR="007110AB" w:rsidRPr="007A70FB" w:rsidRDefault="007110AB" w:rsidP="00903E55">
            <w:pPr>
              <w:pStyle w:val="Tabletext"/>
            </w:pPr>
          </w:p>
        </w:tc>
        <w:tc>
          <w:tcPr>
            <w:tcW w:w="2484" w:type="pct"/>
            <w:tcBorders>
              <w:top w:val="single" w:sz="4" w:space="0" w:color="auto"/>
              <w:bottom w:val="single" w:sz="4" w:space="0" w:color="auto"/>
            </w:tcBorders>
          </w:tcPr>
          <w:p w:rsidR="007110AB" w:rsidRPr="007A70FB" w:rsidRDefault="007110AB" w:rsidP="00903E55">
            <w:pPr>
              <w:pStyle w:val="Tabletext"/>
            </w:pPr>
            <w:r w:rsidRPr="007A70FB">
              <w:t xml:space="preserve">Ou S-H., Socinski M.A., Gadgeel S. et al. Patient-reported outcomes in a phase II, North American study of alectinib in patients with ALK-positive, crizotinib resistant, non-small cell lung cancer. </w:t>
            </w:r>
          </w:p>
        </w:tc>
        <w:tc>
          <w:tcPr>
            <w:tcW w:w="1701" w:type="pct"/>
            <w:tcBorders>
              <w:top w:val="single" w:sz="4" w:space="0" w:color="auto"/>
              <w:bottom w:val="single" w:sz="4" w:space="0" w:color="auto"/>
            </w:tcBorders>
          </w:tcPr>
          <w:p w:rsidR="007110AB" w:rsidRPr="007A70FB" w:rsidRDefault="007110AB" w:rsidP="006020DE">
            <w:pPr>
              <w:pStyle w:val="Tabletext"/>
              <w:rPr>
                <w:i/>
              </w:rPr>
            </w:pPr>
            <w:r w:rsidRPr="007A70FB">
              <w:rPr>
                <w:i/>
              </w:rPr>
              <w:t>ESMO Ope</w:t>
            </w:r>
            <w:r w:rsidR="006020DE" w:rsidRPr="007A70FB">
              <w:rPr>
                <w:i/>
              </w:rPr>
              <w:t xml:space="preserve">n </w:t>
            </w:r>
            <w:r w:rsidR="006020DE" w:rsidRPr="007A70FB">
              <w:t xml:space="preserve">2018; </w:t>
            </w:r>
            <w:r w:rsidRPr="007A70FB">
              <w:t>3(5)</w:t>
            </w:r>
            <w:r w:rsidR="006020DE" w:rsidRPr="007A70FB">
              <w:t>:</w:t>
            </w:r>
            <w:r w:rsidRPr="007A70FB">
              <w:t xml:space="preserve"> </w:t>
            </w:r>
            <w:r w:rsidR="006020DE" w:rsidRPr="007A70FB">
              <w:t>doi: 10.1136/esmoopen-2018-000364</w:t>
            </w:r>
          </w:p>
        </w:tc>
      </w:tr>
      <w:tr w:rsidR="007110AB" w:rsidRPr="007A70FB" w:rsidTr="00C45DFE">
        <w:tc>
          <w:tcPr>
            <w:tcW w:w="815" w:type="pct"/>
            <w:tcBorders>
              <w:top w:val="nil"/>
              <w:bottom w:val="nil"/>
            </w:tcBorders>
          </w:tcPr>
          <w:p w:rsidR="007110AB" w:rsidRPr="007A70FB" w:rsidRDefault="007110AB" w:rsidP="00903E55">
            <w:pPr>
              <w:pStyle w:val="Tabletext"/>
            </w:pPr>
          </w:p>
        </w:tc>
        <w:tc>
          <w:tcPr>
            <w:tcW w:w="2484" w:type="pct"/>
            <w:tcBorders>
              <w:top w:val="single" w:sz="4" w:space="0" w:color="auto"/>
              <w:bottom w:val="single" w:sz="4" w:space="0" w:color="auto"/>
            </w:tcBorders>
          </w:tcPr>
          <w:p w:rsidR="007110AB" w:rsidRPr="007A70FB" w:rsidRDefault="007110AB" w:rsidP="00903E55">
            <w:pPr>
              <w:pStyle w:val="Tabletext"/>
            </w:pPr>
            <w:r w:rsidRPr="007A70FB">
              <w:t xml:space="preserve">Gadgeel S.M., Gandhi L, Riely G.J. Safety and activity of alectinib against systemic disease and brain metastases in patients with crizotinib-resistant ALK-rearranged non-small-cell lung cancer (AF-002JG): results from the dose-finding portion of a phase 1/2 study. </w:t>
            </w:r>
          </w:p>
        </w:tc>
        <w:tc>
          <w:tcPr>
            <w:tcW w:w="1701" w:type="pct"/>
            <w:tcBorders>
              <w:top w:val="single" w:sz="4" w:space="0" w:color="auto"/>
              <w:bottom w:val="single" w:sz="4" w:space="0" w:color="auto"/>
            </w:tcBorders>
          </w:tcPr>
          <w:p w:rsidR="007110AB" w:rsidRPr="007A70FB" w:rsidRDefault="007110AB" w:rsidP="00903E55">
            <w:pPr>
              <w:pStyle w:val="Tabletext"/>
              <w:rPr>
                <w:i/>
              </w:rPr>
            </w:pPr>
            <w:r w:rsidRPr="007A70FB">
              <w:rPr>
                <w:i/>
              </w:rPr>
              <w:t>Lancet Oncology</w:t>
            </w:r>
            <w:r w:rsidRPr="007A70FB">
              <w:t xml:space="preserve"> 2014; 15</w:t>
            </w:r>
            <w:r w:rsidR="006020DE" w:rsidRPr="007A70FB">
              <w:t>(10)</w:t>
            </w:r>
            <w:r w:rsidRPr="007A70FB">
              <w:t>: 1119–28.</w:t>
            </w:r>
          </w:p>
        </w:tc>
      </w:tr>
      <w:tr w:rsidR="007110AB" w:rsidRPr="007A70FB" w:rsidTr="00C45DFE">
        <w:tc>
          <w:tcPr>
            <w:tcW w:w="815" w:type="pct"/>
            <w:tcBorders>
              <w:top w:val="nil"/>
              <w:bottom w:val="nil"/>
            </w:tcBorders>
          </w:tcPr>
          <w:p w:rsidR="007110AB" w:rsidRPr="007A70FB" w:rsidRDefault="007110AB" w:rsidP="00903E55">
            <w:pPr>
              <w:pStyle w:val="Tabletext"/>
            </w:pPr>
          </w:p>
        </w:tc>
        <w:tc>
          <w:tcPr>
            <w:tcW w:w="2484" w:type="pct"/>
            <w:tcBorders>
              <w:top w:val="single" w:sz="4" w:space="0" w:color="auto"/>
              <w:bottom w:val="single" w:sz="4" w:space="0" w:color="auto"/>
            </w:tcBorders>
          </w:tcPr>
          <w:p w:rsidR="007110AB" w:rsidRPr="007A70FB" w:rsidRDefault="007110AB" w:rsidP="00903E55">
            <w:pPr>
              <w:pStyle w:val="Tabletext"/>
            </w:pPr>
            <w:r w:rsidRPr="007A70FB">
              <w:t xml:space="preserve">Camidge D.R.; Gadgeel S.; Ou S.-H. et al. Updated efficacy and safety data from the phase 2 NP28761 study of alectinib in ALK-positive non-small-cell lung cancer. </w:t>
            </w:r>
          </w:p>
        </w:tc>
        <w:tc>
          <w:tcPr>
            <w:tcW w:w="1701" w:type="pct"/>
            <w:tcBorders>
              <w:top w:val="single" w:sz="4" w:space="0" w:color="auto"/>
              <w:bottom w:val="single" w:sz="4" w:space="0" w:color="auto"/>
            </w:tcBorders>
          </w:tcPr>
          <w:p w:rsidR="007110AB" w:rsidRPr="007A70FB" w:rsidRDefault="007110AB" w:rsidP="00222689">
            <w:pPr>
              <w:pStyle w:val="Tabletext"/>
              <w:rPr>
                <w:i/>
                <w:iCs/>
              </w:rPr>
            </w:pPr>
            <w:r w:rsidRPr="007A70FB">
              <w:rPr>
                <w:i/>
                <w:iCs/>
              </w:rPr>
              <w:t>Journal of Thoracic Oncology</w:t>
            </w:r>
            <w:r w:rsidR="006020DE" w:rsidRPr="007A70FB">
              <w:rPr>
                <w:i/>
                <w:iCs/>
              </w:rPr>
              <w:t xml:space="preserve"> </w:t>
            </w:r>
            <w:r w:rsidR="006020DE" w:rsidRPr="007A70FB">
              <w:rPr>
                <w:iCs/>
              </w:rPr>
              <w:t>2017;</w:t>
            </w:r>
            <w:r w:rsidRPr="007A70FB">
              <w:rPr>
                <w:iCs/>
              </w:rPr>
              <w:t xml:space="preserve"> </w:t>
            </w:r>
            <w:r w:rsidRPr="007A70FB">
              <w:t>Conference: 17th World Conference of the International Association for the Study of Lung Cancer</w:t>
            </w:r>
            <w:r w:rsidR="006020DE" w:rsidRPr="007A70FB">
              <w:t xml:space="preserve">; </w:t>
            </w:r>
            <w:r w:rsidRPr="007A70FB">
              <w:t>12(1</w:t>
            </w:r>
            <w:r w:rsidR="00222689" w:rsidRPr="007A70FB">
              <w:t xml:space="preserve"> Supplement</w:t>
            </w:r>
            <w:r w:rsidR="006020DE" w:rsidRPr="007A70FB">
              <w:t xml:space="preserve">): </w:t>
            </w:r>
            <w:r w:rsidRPr="007A70FB">
              <w:t>S378</w:t>
            </w:r>
            <w:r w:rsidR="006020DE" w:rsidRPr="007A70FB">
              <w:t>.</w:t>
            </w:r>
          </w:p>
        </w:tc>
      </w:tr>
      <w:tr w:rsidR="007110AB" w:rsidRPr="007A70FB" w:rsidTr="00C45DFE">
        <w:tc>
          <w:tcPr>
            <w:tcW w:w="815" w:type="pct"/>
            <w:tcBorders>
              <w:top w:val="single" w:sz="4" w:space="0" w:color="auto"/>
              <w:bottom w:val="nil"/>
            </w:tcBorders>
          </w:tcPr>
          <w:p w:rsidR="007110AB" w:rsidRPr="007A70FB" w:rsidRDefault="007110AB" w:rsidP="00903E55">
            <w:pPr>
              <w:pStyle w:val="Tabletext"/>
            </w:pPr>
            <w:r w:rsidRPr="007A70FB">
              <w:t>NP28673</w:t>
            </w:r>
          </w:p>
        </w:tc>
        <w:tc>
          <w:tcPr>
            <w:tcW w:w="2484" w:type="pct"/>
            <w:tcBorders>
              <w:top w:val="single" w:sz="4" w:space="0" w:color="auto"/>
              <w:bottom w:val="nil"/>
            </w:tcBorders>
          </w:tcPr>
          <w:p w:rsidR="007110AB" w:rsidRPr="007A70FB" w:rsidRDefault="007110AB" w:rsidP="00903E55">
            <w:pPr>
              <w:pStyle w:val="Tabletext"/>
            </w:pPr>
            <w:r w:rsidRPr="007A70FB">
              <w:t>Ou S, Ahn J, Govindan R, et al. Alectinib in crizotinib-refractory ALK-rearranged non-small cell lung cancer: A phase II global study.</w:t>
            </w:r>
          </w:p>
        </w:tc>
        <w:tc>
          <w:tcPr>
            <w:tcW w:w="1701" w:type="pct"/>
            <w:tcBorders>
              <w:top w:val="single" w:sz="4" w:space="0" w:color="auto"/>
              <w:bottom w:val="nil"/>
            </w:tcBorders>
          </w:tcPr>
          <w:p w:rsidR="007110AB" w:rsidRPr="007A70FB" w:rsidRDefault="007110AB" w:rsidP="006020DE">
            <w:pPr>
              <w:pStyle w:val="Tabletext"/>
            </w:pPr>
            <w:r w:rsidRPr="007A70FB">
              <w:rPr>
                <w:i/>
                <w:iCs/>
              </w:rPr>
              <w:t>Journal of Clinical Oncology</w:t>
            </w:r>
            <w:r w:rsidRPr="007A70FB">
              <w:t xml:space="preserve"> 2016; 34(7):</w:t>
            </w:r>
            <w:r w:rsidR="006020DE" w:rsidRPr="007A70FB">
              <w:t> </w:t>
            </w:r>
            <w:r w:rsidRPr="007A70FB">
              <w:t>661</w:t>
            </w:r>
            <w:r w:rsidR="006020DE" w:rsidRPr="007A70FB">
              <w:t>–</w:t>
            </w:r>
            <w:r w:rsidRPr="007A70FB">
              <w:t>68.</w:t>
            </w:r>
          </w:p>
        </w:tc>
      </w:tr>
      <w:tr w:rsidR="007110AB" w:rsidRPr="007A70FB" w:rsidTr="00C45DFE">
        <w:tc>
          <w:tcPr>
            <w:tcW w:w="815" w:type="pct"/>
            <w:tcBorders>
              <w:top w:val="nil"/>
              <w:bottom w:val="single" w:sz="4" w:space="0" w:color="auto"/>
            </w:tcBorders>
          </w:tcPr>
          <w:p w:rsidR="007110AB" w:rsidRPr="007A70FB" w:rsidRDefault="007110AB" w:rsidP="00903E55">
            <w:pPr>
              <w:pStyle w:val="Tabletext"/>
            </w:pPr>
          </w:p>
        </w:tc>
        <w:tc>
          <w:tcPr>
            <w:tcW w:w="2484" w:type="pct"/>
            <w:tcBorders>
              <w:top w:val="single" w:sz="4" w:space="0" w:color="auto"/>
              <w:bottom w:val="nil"/>
            </w:tcBorders>
          </w:tcPr>
          <w:p w:rsidR="007110AB" w:rsidRPr="007A70FB" w:rsidRDefault="007110AB" w:rsidP="00903E55">
            <w:pPr>
              <w:pStyle w:val="Tabletext"/>
            </w:pPr>
            <w:r w:rsidRPr="007A70FB">
              <w:t xml:space="preserve">Barlesi et al. Updated efficacy and safety from the global phase II NP28673 study of alectinib in patients (pts) with previously treated ALK+ non-small-cell lung cancer (NSCLC). </w:t>
            </w:r>
          </w:p>
        </w:tc>
        <w:tc>
          <w:tcPr>
            <w:tcW w:w="1701" w:type="pct"/>
            <w:tcBorders>
              <w:top w:val="single" w:sz="4" w:space="0" w:color="auto"/>
              <w:bottom w:val="nil"/>
            </w:tcBorders>
          </w:tcPr>
          <w:p w:rsidR="007110AB" w:rsidRPr="007A70FB" w:rsidRDefault="007110AB" w:rsidP="00D67449">
            <w:pPr>
              <w:pStyle w:val="Tabletext"/>
              <w:rPr>
                <w:i/>
                <w:iCs/>
              </w:rPr>
            </w:pPr>
            <w:r w:rsidRPr="007A70FB">
              <w:rPr>
                <w:i/>
                <w:iCs/>
              </w:rPr>
              <w:t>Annals of Oncology</w:t>
            </w:r>
            <w:r w:rsidR="00D57C4B" w:rsidRPr="007A70FB">
              <w:rPr>
                <w:i/>
                <w:iCs/>
              </w:rPr>
              <w:t xml:space="preserve"> </w:t>
            </w:r>
            <w:r w:rsidR="00D67449" w:rsidRPr="007A70FB">
              <w:rPr>
                <w:iCs/>
              </w:rPr>
              <w:t xml:space="preserve">2016; </w:t>
            </w:r>
            <w:r w:rsidRPr="007A70FB">
              <w:t>27</w:t>
            </w:r>
            <w:r w:rsidR="00D67449" w:rsidRPr="007A70FB">
              <w:t xml:space="preserve"> </w:t>
            </w:r>
            <w:r w:rsidRPr="007A70FB">
              <w:t>(Supplement 6): vi416–vi454.</w:t>
            </w:r>
          </w:p>
        </w:tc>
      </w:tr>
      <w:tr w:rsidR="007110AB" w:rsidRPr="007A70FB" w:rsidTr="00C45DFE">
        <w:tc>
          <w:tcPr>
            <w:tcW w:w="815" w:type="pct"/>
            <w:tcBorders>
              <w:top w:val="single" w:sz="4" w:space="0" w:color="auto"/>
              <w:bottom w:val="nil"/>
            </w:tcBorders>
          </w:tcPr>
          <w:p w:rsidR="007110AB" w:rsidRPr="007A70FB" w:rsidRDefault="007110AB" w:rsidP="00903E55">
            <w:pPr>
              <w:pStyle w:val="Tabletext"/>
            </w:pPr>
            <w:r w:rsidRPr="007A70FB">
              <w:t>NP28761/NP28673</w:t>
            </w:r>
          </w:p>
          <w:p w:rsidR="007110AB" w:rsidRPr="007A70FB" w:rsidRDefault="007110AB" w:rsidP="00903E55">
            <w:pPr>
              <w:pStyle w:val="Tabletext"/>
            </w:pPr>
            <w:r w:rsidRPr="007A70FB">
              <w:t>Pooled study data</w:t>
            </w:r>
          </w:p>
        </w:tc>
        <w:tc>
          <w:tcPr>
            <w:tcW w:w="2484" w:type="pct"/>
            <w:tcBorders>
              <w:top w:val="single" w:sz="4" w:space="0" w:color="auto"/>
              <w:bottom w:val="nil"/>
            </w:tcBorders>
          </w:tcPr>
          <w:p w:rsidR="007110AB" w:rsidRPr="007A70FB" w:rsidRDefault="007110AB" w:rsidP="00903E55">
            <w:pPr>
              <w:pStyle w:val="Tabletext"/>
            </w:pPr>
            <w:r w:rsidRPr="007A70FB">
              <w:t xml:space="preserve">Gadgeel SM, Shaw AT, Govindan R, et al. Pooled analysis of CNS response to alectinib in two studies of pretreated patients with ALK-positive non-small-cell lung cancer. </w:t>
            </w:r>
          </w:p>
        </w:tc>
        <w:tc>
          <w:tcPr>
            <w:tcW w:w="1701" w:type="pct"/>
            <w:tcBorders>
              <w:top w:val="single" w:sz="4" w:space="0" w:color="auto"/>
              <w:bottom w:val="nil"/>
            </w:tcBorders>
          </w:tcPr>
          <w:p w:rsidR="007110AB" w:rsidRPr="007A70FB" w:rsidRDefault="007110AB" w:rsidP="00D57C4B">
            <w:pPr>
              <w:pStyle w:val="Tabletext"/>
              <w:rPr>
                <w:i/>
                <w:iCs/>
              </w:rPr>
            </w:pPr>
            <w:r w:rsidRPr="007A70FB">
              <w:rPr>
                <w:i/>
              </w:rPr>
              <w:t>J</w:t>
            </w:r>
            <w:r w:rsidR="008A0A31" w:rsidRPr="007A70FB">
              <w:rPr>
                <w:i/>
              </w:rPr>
              <w:t>ournal of</w:t>
            </w:r>
            <w:r w:rsidRPr="007A70FB">
              <w:rPr>
                <w:i/>
              </w:rPr>
              <w:t xml:space="preserve"> Clin</w:t>
            </w:r>
            <w:r w:rsidR="008A0A31" w:rsidRPr="007A70FB">
              <w:rPr>
                <w:i/>
              </w:rPr>
              <w:t>ical</w:t>
            </w:r>
            <w:r w:rsidRPr="007A70FB">
              <w:rPr>
                <w:i/>
              </w:rPr>
              <w:t xml:space="preserve"> Oncol</w:t>
            </w:r>
            <w:r w:rsidR="008A0A31" w:rsidRPr="007A70FB">
              <w:rPr>
                <w:i/>
              </w:rPr>
              <w:t>ogy</w:t>
            </w:r>
            <w:r w:rsidRPr="007A70FB">
              <w:t xml:space="preserve"> 2016; 34</w:t>
            </w:r>
            <w:r w:rsidR="00D57C4B" w:rsidRPr="007A70FB">
              <w:t>(34)</w:t>
            </w:r>
            <w:r w:rsidRPr="007A70FB">
              <w:t>:</w:t>
            </w:r>
            <w:r w:rsidR="00D57C4B" w:rsidRPr="007A70FB">
              <w:t xml:space="preserve"> </w:t>
            </w:r>
            <w:r w:rsidRPr="007A70FB">
              <w:t>4079</w:t>
            </w:r>
            <w:r w:rsidR="00D57C4B" w:rsidRPr="007A70FB">
              <w:t>–</w:t>
            </w:r>
            <w:r w:rsidRPr="007A70FB">
              <w:t>4085.</w:t>
            </w:r>
          </w:p>
        </w:tc>
      </w:tr>
      <w:tr w:rsidR="007110AB" w:rsidRPr="007A70FB" w:rsidTr="00C45DFE">
        <w:tc>
          <w:tcPr>
            <w:tcW w:w="815" w:type="pct"/>
            <w:tcBorders>
              <w:top w:val="nil"/>
              <w:bottom w:val="nil"/>
            </w:tcBorders>
          </w:tcPr>
          <w:p w:rsidR="007110AB" w:rsidRPr="007A70FB" w:rsidRDefault="007110AB" w:rsidP="00903E55">
            <w:pPr>
              <w:pStyle w:val="Tabletext"/>
            </w:pPr>
          </w:p>
        </w:tc>
        <w:tc>
          <w:tcPr>
            <w:tcW w:w="2484" w:type="pct"/>
            <w:tcBorders>
              <w:bottom w:val="single" w:sz="4" w:space="0" w:color="auto"/>
            </w:tcBorders>
          </w:tcPr>
          <w:p w:rsidR="007110AB" w:rsidRPr="007A70FB" w:rsidRDefault="007110AB" w:rsidP="00903E55">
            <w:pPr>
              <w:pStyle w:val="Tabletext"/>
            </w:pPr>
            <w:r w:rsidRPr="007A70FB">
              <w:t xml:space="preserve">Yang J, Ou S-H, MD, De Petris L, et al. Pooled Systemic Efficacy and Safety Data from the Pivotal Phase II Studies </w:t>
            </w:r>
            <w:r w:rsidRPr="007A70FB">
              <w:lastRenderedPageBreak/>
              <w:t xml:space="preserve">(NP28673 and NP28761) of Alectinib in ALK-positive Non-Small Cell Lung Cancer. </w:t>
            </w:r>
          </w:p>
        </w:tc>
        <w:tc>
          <w:tcPr>
            <w:tcW w:w="1701" w:type="pct"/>
            <w:tcBorders>
              <w:bottom w:val="single" w:sz="4" w:space="0" w:color="auto"/>
            </w:tcBorders>
          </w:tcPr>
          <w:p w:rsidR="007110AB" w:rsidRPr="007A70FB" w:rsidRDefault="007110AB" w:rsidP="0001113F">
            <w:pPr>
              <w:pStyle w:val="Tabletext"/>
            </w:pPr>
            <w:r w:rsidRPr="007A70FB">
              <w:rPr>
                <w:i/>
              </w:rPr>
              <w:lastRenderedPageBreak/>
              <w:t>Journal of Thoracic Oncology</w:t>
            </w:r>
            <w:r w:rsidRPr="007A70FB">
              <w:t xml:space="preserve"> </w:t>
            </w:r>
            <w:r w:rsidR="0001113F" w:rsidRPr="007A70FB">
              <w:t xml:space="preserve">2017; </w:t>
            </w:r>
            <w:r w:rsidRPr="007A70FB">
              <w:t>12</w:t>
            </w:r>
            <w:r w:rsidR="0001113F" w:rsidRPr="007A70FB">
              <w:t>(</w:t>
            </w:r>
            <w:r w:rsidRPr="007A70FB">
              <w:t>10</w:t>
            </w:r>
            <w:r w:rsidR="0001113F" w:rsidRPr="007A70FB">
              <w:t>)</w:t>
            </w:r>
            <w:r w:rsidRPr="007A70FB">
              <w:t>: 1552</w:t>
            </w:r>
            <w:r w:rsidR="0001113F" w:rsidRPr="007A70FB">
              <w:t>–</w:t>
            </w:r>
            <w:r w:rsidRPr="007A70FB">
              <w:t>1560.</w:t>
            </w:r>
          </w:p>
        </w:tc>
      </w:tr>
      <w:tr w:rsidR="007110AB" w:rsidRPr="007A70FB" w:rsidTr="00C45DFE">
        <w:tc>
          <w:tcPr>
            <w:tcW w:w="815" w:type="pct"/>
            <w:tcBorders>
              <w:top w:val="nil"/>
              <w:bottom w:val="nil"/>
            </w:tcBorders>
          </w:tcPr>
          <w:p w:rsidR="007110AB" w:rsidRPr="007A70FB" w:rsidRDefault="007110AB" w:rsidP="00903E55">
            <w:pPr>
              <w:pStyle w:val="Tabletext"/>
            </w:pPr>
          </w:p>
        </w:tc>
        <w:tc>
          <w:tcPr>
            <w:tcW w:w="2484" w:type="pct"/>
            <w:tcBorders>
              <w:bottom w:val="single" w:sz="4" w:space="0" w:color="auto"/>
            </w:tcBorders>
          </w:tcPr>
          <w:p w:rsidR="007110AB" w:rsidRPr="007A70FB" w:rsidRDefault="007110AB" w:rsidP="00903E55">
            <w:pPr>
              <w:pStyle w:val="Tabletext"/>
            </w:pPr>
            <w:r w:rsidRPr="007A70FB">
              <w:t xml:space="preserve">Gadgeel SM, Shaw AT, Barlesi F et al. Cumulative incidence rates for CNS and non-CNS progression in two phase II studies of alectinib in ALK-positive NSCLC. </w:t>
            </w:r>
          </w:p>
        </w:tc>
        <w:tc>
          <w:tcPr>
            <w:tcW w:w="1701" w:type="pct"/>
            <w:tcBorders>
              <w:bottom w:val="single" w:sz="4" w:space="0" w:color="auto"/>
            </w:tcBorders>
          </w:tcPr>
          <w:p w:rsidR="007110AB" w:rsidRPr="007A70FB" w:rsidRDefault="007110AB" w:rsidP="0001113F">
            <w:pPr>
              <w:pStyle w:val="Tabletext"/>
            </w:pPr>
            <w:r w:rsidRPr="007A70FB">
              <w:rPr>
                <w:i/>
              </w:rPr>
              <w:t>British Journal of Cancer</w:t>
            </w:r>
            <w:r w:rsidRPr="007A70FB">
              <w:t xml:space="preserve"> 2018</w:t>
            </w:r>
            <w:r w:rsidR="0001113F" w:rsidRPr="007A70FB">
              <w:t>;</w:t>
            </w:r>
            <w:r w:rsidRPr="007A70FB">
              <w:t xml:space="preserve"> 118</w:t>
            </w:r>
            <w:r w:rsidR="0001113F" w:rsidRPr="007A70FB">
              <w:t>(1):</w:t>
            </w:r>
            <w:r w:rsidRPr="007A70FB">
              <w:t xml:space="preserve"> 38–42.</w:t>
            </w:r>
          </w:p>
        </w:tc>
      </w:tr>
      <w:tr w:rsidR="007110AB" w:rsidRPr="007A70FB" w:rsidTr="00C45DFE">
        <w:tc>
          <w:tcPr>
            <w:tcW w:w="815" w:type="pct"/>
            <w:tcBorders>
              <w:top w:val="nil"/>
              <w:bottom w:val="nil"/>
            </w:tcBorders>
          </w:tcPr>
          <w:p w:rsidR="007110AB" w:rsidRPr="007A70FB" w:rsidRDefault="007110AB" w:rsidP="00903E55">
            <w:pPr>
              <w:pStyle w:val="Tabletext"/>
            </w:pPr>
          </w:p>
        </w:tc>
        <w:tc>
          <w:tcPr>
            <w:tcW w:w="2484" w:type="pct"/>
            <w:tcBorders>
              <w:bottom w:val="single" w:sz="4" w:space="0" w:color="auto"/>
            </w:tcBorders>
          </w:tcPr>
          <w:p w:rsidR="007110AB" w:rsidRPr="007A70FB" w:rsidRDefault="007110AB" w:rsidP="00903E55">
            <w:pPr>
              <w:pStyle w:val="Tabletext"/>
            </w:pPr>
            <w:r w:rsidRPr="007A70FB">
              <w:t xml:space="preserve">Ou S.-H., Gandhi L., Shaw A.; et al. Updated pooled analysis of CNS endpoints in two phase II studies of alectinib in ALK+ NSCLC. </w:t>
            </w:r>
          </w:p>
        </w:tc>
        <w:tc>
          <w:tcPr>
            <w:tcW w:w="1701" w:type="pct"/>
            <w:tcBorders>
              <w:bottom w:val="single" w:sz="4" w:space="0" w:color="auto"/>
            </w:tcBorders>
          </w:tcPr>
          <w:p w:rsidR="007110AB" w:rsidRPr="007A70FB" w:rsidRDefault="007110AB" w:rsidP="00222689">
            <w:pPr>
              <w:pStyle w:val="Tabletext"/>
            </w:pPr>
            <w:r w:rsidRPr="007A70FB">
              <w:rPr>
                <w:i/>
              </w:rPr>
              <w:t>Journal of Thoracic Oncology</w:t>
            </w:r>
            <w:r w:rsidR="00D10EE4" w:rsidRPr="007A70FB">
              <w:t xml:space="preserve"> 2017; </w:t>
            </w:r>
            <w:r w:rsidRPr="007A70FB">
              <w:t>Conference: 17th World Conference of the International Association for the Study of Lung Cancer</w:t>
            </w:r>
            <w:r w:rsidR="00D10EE4" w:rsidRPr="007A70FB">
              <w:t>;</w:t>
            </w:r>
            <w:r w:rsidRPr="007A70FB">
              <w:t xml:space="preserve"> 12(1</w:t>
            </w:r>
            <w:r w:rsidR="002D0E69" w:rsidRPr="007A70FB">
              <w:t> </w:t>
            </w:r>
            <w:r w:rsidR="00222689" w:rsidRPr="007A70FB">
              <w:t>Supplement</w:t>
            </w:r>
            <w:r w:rsidR="00D10EE4" w:rsidRPr="007A70FB">
              <w:t>):</w:t>
            </w:r>
            <w:r w:rsidRPr="007A70FB">
              <w:t xml:space="preserve"> S377</w:t>
            </w:r>
            <w:r w:rsidR="00D10EE4" w:rsidRPr="007A70FB">
              <w:t>.</w:t>
            </w:r>
          </w:p>
        </w:tc>
      </w:tr>
      <w:tr w:rsidR="007110AB" w:rsidRPr="007A70FB" w:rsidTr="00C45DFE">
        <w:tc>
          <w:tcPr>
            <w:tcW w:w="815" w:type="pct"/>
            <w:tcBorders>
              <w:top w:val="nil"/>
              <w:bottom w:val="single" w:sz="4" w:space="0" w:color="auto"/>
            </w:tcBorders>
          </w:tcPr>
          <w:p w:rsidR="007110AB" w:rsidRPr="007A70FB" w:rsidRDefault="007110AB" w:rsidP="00903E55">
            <w:pPr>
              <w:pStyle w:val="Tabletext"/>
            </w:pPr>
          </w:p>
        </w:tc>
        <w:tc>
          <w:tcPr>
            <w:tcW w:w="2484" w:type="pct"/>
            <w:tcBorders>
              <w:bottom w:val="single" w:sz="4" w:space="0" w:color="auto"/>
            </w:tcBorders>
          </w:tcPr>
          <w:p w:rsidR="007110AB" w:rsidRPr="007A70FB" w:rsidRDefault="007110AB" w:rsidP="00903E55">
            <w:pPr>
              <w:pStyle w:val="Tabletext"/>
            </w:pPr>
            <w:r w:rsidRPr="007A70FB">
              <w:t xml:space="preserve">Ou S.-H.I., Gandhi L., Gadgeel S.M. et al. Pooled overall survival and safety data from the pivotal phase II studies (NP28673 and NP28761) of alectinib in ALK-positive nonsmall cell lung cancer (NSCLC). </w:t>
            </w:r>
          </w:p>
        </w:tc>
        <w:tc>
          <w:tcPr>
            <w:tcW w:w="1701" w:type="pct"/>
            <w:tcBorders>
              <w:bottom w:val="single" w:sz="4" w:space="0" w:color="auto"/>
            </w:tcBorders>
          </w:tcPr>
          <w:p w:rsidR="007110AB" w:rsidRPr="007A70FB" w:rsidRDefault="007110AB" w:rsidP="00222689">
            <w:pPr>
              <w:pStyle w:val="Tabletext"/>
            </w:pPr>
            <w:r w:rsidRPr="007A70FB">
              <w:rPr>
                <w:i/>
              </w:rPr>
              <w:t>Journal of Clinical Oncology</w:t>
            </w:r>
            <w:r w:rsidR="00222689" w:rsidRPr="007A70FB">
              <w:rPr>
                <w:i/>
              </w:rPr>
              <w:t xml:space="preserve"> </w:t>
            </w:r>
            <w:r w:rsidR="00222689" w:rsidRPr="007A70FB">
              <w:t>2018;</w:t>
            </w:r>
            <w:r w:rsidRPr="007A70FB">
              <w:rPr>
                <w:i/>
              </w:rPr>
              <w:t xml:space="preserve"> </w:t>
            </w:r>
            <w:r w:rsidRPr="007A70FB">
              <w:t>Conference: 2018 Annual Meeting of the American Society of Clinical Oncology</w:t>
            </w:r>
            <w:r w:rsidR="00222689" w:rsidRPr="007A70FB">
              <w:t xml:space="preserve">; </w:t>
            </w:r>
            <w:r w:rsidRPr="007A70FB">
              <w:t>36(15 Supplement</w:t>
            </w:r>
            <w:r w:rsidR="00222689" w:rsidRPr="007A70FB">
              <w:t>): 9072</w:t>
            </w:r>
            <w:r w:rsidRPr="007A70FB">
              <w:t>.</w:t>
            </w:r>
          </w:p>
        </w:tc>
      </w:tr>
      <w:tr w:rsidR="007110AB" w:rsidRPr="007A70FB" w:rsidTr="00C45DFE">
        <w:tc>
          <w:tcPr>
            <w:tcW w:w="815" w:type="pct"/>
            <w:tcBorders>
              <w:bottom w:val="nil"/>
            </w:tcBorders>
          </w:tcPr>
          <w:p w:rsidR="007110AB" w:rsidRPr="007A70FB" w:rsidRDefault="007110AB" w:rsidP="00903E55">
            <w:pPr>
              <w:pStyle w:val="Tabletext"/>
            </w:pPr>
            <w:r w:rsidRPr="007A70FB">
              <w:t>ALUR</w:t>
            </w:r>
          </w:p>
        </w:tc>
        <w:tc>
          <w:tcPr>
            <w:tcW w:w="2484" w:type="pct"/>
            <w:tcBorders>
              <w:bottom w:val="single" w:sz="4" w:space="0" w:color="auto"/>
            </w:tcBorders>
          </w:tcPr>
          <w:p w:rsidR="007110AB" w:rsidRPr="007A70FB" w:rsidRDefault="007110AB" w:rsidP="00903E55">
            <w:pPr>
              <w:pStyle w:val="Tabletext"/>
            </w:pPr>
            <w:r w:rsidRPr="007A70FB">
              <w:t xml:space="preserve">Novello S, Mazières, J et al. Alectinib versus chemotherapy in crizotinib-pretreated anaplastic lymphoma kinase (ALK)-positive non-small cell lung cancer: results from the phase III ALUR study. </w:t>
            </w:r>
          </w:p>
        </w:tc>
        <w:tc>
          <w:tcPr>
            <w:tcW w:w="1701" w:type="pct"/>
            <w:tcBorders>
              <w:bottom w:val="single" w:sz="4" w:space="0" w:color="auto"/>
            </w:tcBorders>
          </w:tcPr>
          <w:p w:rsidR="007110AB" w:rsidRPr="007A70FB" w:rsidRDefault="007110AB" w:rsidP="00AD3221">
            <w:pPr>
              <w:pStyle w:val="Tabletext"/>
            </w:pPr>
            <w:r w:rsidRPr="007A70FB">
              <w:rPr>
                <w:i/>
                <w:iCs/>
              </w:rPr>
              <w:t>Annals of Oncology</w:t>
            </w:r>
            <w:r w:rsidRPr="007A70FB">
              <w:t xml:space="preserve"> 2018; 29</w:t>
            </w:r>
            <w:r w:rsidR="00AD3221" w:rsidRPr="007A70FB">
              <w:t>(6)</w:t>
            </w:r>
            <w:r w:rsidRPr="007A70FB">
              <w:t>:</w:t>
            </w:r>
            <w:r w:rsidR="00AD3221" w:rsidRPr="007A70FB">
              <w:t xml:space="preserve"> </w:t>
            </w:r>
            <w:r w:rsidRPr="007A70FB">
              <w:t>1409</w:t>
            </w:r>
            <w:r w:rsidR="00AD3221" w:rsidRPr="007A70FB">
              <w:t>–</w:t>
            </w:r>
            <w:r w:rsidRPr="007A70FB">
              <w:t>1416.</w:t>
            </w:r>
          </w:p>
        </w:tc>
      </w:tr>
      <w:tr w:rsidR="007110AB" w:rsidRPr="007A70FB" w:rsidTr="00C45DFE">
        <w:tc>
          <w:tcPr>
            <w:tcW w:w="815" w:type="pct"/>
            <w:tcBorders>
              <w:top w:val="nil"/>
              <w:bottom w:val="single" w:sz="4" w:space="0" w:color="auto"/>
            </w:tcBorders>
          </w:tcPr>
          <w:p w:rsidR="007110AB" w:rsidRPr="007A70FB" w:rsidRDefault="007110AB" w:rsidP="00903E55">
            <w:pPr>
              <w:pStyle w:val="Tabletext"/>
            </w:pPr>
          </w:p>
        </w:tc>
        <w:tc>
          <w:tcPr>
            <w:tcW w:w="2484" w:type="pct"/>
            <w:tcBorders>
              <w:bottom w:val="single" w:sz="4" w:space="0" w:color="auto"/>
            </w:tcBorders>
          </w:tcPr>
          <w:p w:rsidR="007110AB" w:rsidRPr="007A70FB" w:rsidRDefault="007110AB" w:rsidP="00903E55">
            <w:pPr>
              <w:pStyle w:val="Tabletext"/>
            </w:pPr>
            <w:r w:rsidRPr="007A70FB">
              <w:t xml:space="preserve">Mazieres J., Novello S., De Castro J. et al. Patient-reported outcomes and safety from the phase III ALUR study of alectinib vs chemotherapy in pre-treated ALK+ NSCLC. </w:t>
            </w:r>
          </w:p>
        </w:tc>
        <w:tc>
          <w:tcPr>
            <w:tcW w:w="1701" w:type="pct"/>
            <w:tcBorders>
              <w:bottom w:val="single" w:sz="4" w:space="0" w:color="auto"/>
            </w:tcBorders>
          </w:tcPr>
          <w:p w:rsidR="007110AB" w:rsidRPr="007A70FB" w:rsidRDefault="007110AB" w:rsidP="00820C28">
            <w:pPr>
              <w:pStyle w:val="Tabletext"/>
            </w:pPr>
            <w:r w:rsidRPr="007A70FB">
              <w:rPr>
                <w:i/>
                <w:iCs/>
              </w:rPr>
              <w:t>Journal of Thoracic Oncology</w:t>
            </w:r>
            <w:r w:rsidR="00222689" w:rsidRPr="007A70FB">
              <w:rPr>
                <w:i/>
                <w:iCs/>
              </w:rPr>
              <w:t xml:space="preserve"> </w:t>
            </w:r>
            <w:r w:rsidR="00222689" w:rsidRPr="007A70FB">
              <w:rPr>
                <w:iCs/>
              </w:rPr>
              <w:t>2017;</w:t>
            </w:r>
            <w:r w:rsidRPr="007A70FB">
              <w:t xml:space="preserve"> Conference: 18th World Conference on Lung Cancer of the International Association for the Study of Lung Cancer</w:t>
            </w:r>
            <w:r w:rsidR="00222689" w:rsidRPr="007A70FB">
              <w:t>;</w:t>
            </w:r>
            <w:r w:rsidRPr="007A70FB">
              <w:t xml:space="preserve"> 12(11 Supplement 2)</w:t>
            </w:r>
            <w:r w:rsidR="00222689" w:rsidRPr="007A70FB">
              <w:t xml:space="preserve">: </w:t>
            </w:r>
            <w:r w:rsidRPr="007A70FB">
              <w:t>S1897.</w:t>
            </w:r>
          </w:p>
        </w:tc>
      </w:tr>
      <w:tr w:rsidR="007110AB" w:rsidRPr="007A70FB" w:rsidTr="00454958">
        <w:tc>
          <w:tcPr>
            <w:tcW w:w="815" w:type="pct"/>
            <w:tcBorders>
              <w:top w:val="single" w:sz="4" w:space="0" w:color="auto"/>
              <w:bottom w:val="single" w:sz="4" w:space="0" w:color="auto"/>
              <w:right w:val="nil"/>
            </w:tcBorders>
          </w:tcPr>
          <w:p w:rsidR="007110AB" w:rsidRPr="007A70FB" w:rsidRDefault="007110AB" w:rsidP="00903E55">
            <w:pPr>
              <w:pStyle w:val="Tabletext"/>
              <w:rPr>
                <w:b/>
                <w:bCs/>
              </w:rPr>
            </w:pPr>
            <w:r w:rsidRPr="007A70FB">
              <w:rPr>
                <w:b/>
              </w:rPr>
              <w:t>Ceritinib studies</w:t>
            </w:r>
          </w:p>
        </w:tc>
        <w:tc>
          <w:tcPr>
            <w:tcW w:w="2484" w:type="pct"/>
            <w:tcBorders>
              <w:top w:val="single" w:sz="4" w:space="0" w:color="auto"/>
              <w:left w:val="nil"/>
              <w:bottom w:val="single" w:sz="4" w:space="0" w:color="auto"/>
              <w:right w:val="nil"/>
            </w:tcBorders>
          </w:tcPr>
          <w:p w:rsidR="007110AB" w:rsidRPr="007A70FB" w:rsidRDefault="007110AB" w:rsidP="00903E55">
            <w:pPr>
              <w:pStyle w:val="Tabletext"/>
              <w:rPr>
                <w:szCs w:val="18"/>
              </w:rPr>
            </w:pPr>
          </w:p>
        </w:tc>
        <w:tc>
          <w:tcPr>
            <w:tcW w:w="1701" w:type="pct"/>
            <w:tcBorders>
              <w:top w:val="single" w:sz="4" w:space="0" w:color="auto"/>
              <w:left w:val="nil"/>
              <w:bottom w:val="single" w:sz="4" w:space="0" w:color="auto"/>
            </w:tcBorders>
          </w:tcPr>
          <w:p w:rsidR="007110AB" w:rsidRPr="007A70FB" w:rsidRDefault="007110AB" w:rsidP="00903E55">
            <w:pPr>
              <w:pStyle w:val="Tabletext"/>
              <w:rPr>
                <w:szCs w:val="18"/>
              </w:rPr>
            </w:pPr>
          </w:p>
        </w:tc>
      </w:tr>
      <w:tr w:rsidR="007110AB" w:rsidRPr="007A70FB" w:rsidTr="00454958">
        <w:tc>
          <w:tcPr>
            <w:tcW w:w="815" w:type="pct"/>
            <w:tcBorders>
              <w:top w:val="single" w:sz="4" w:space="0" w:color="auto"/>
              <w:bottom w:val="nil"/>
            </w:tcBorders>
          </w:tcPr>
          <w:p w:rsidR="007110AB" w:rsidRPr="007A70FB" w:rsidRDefault="007110AB" w:rsidP="00903E55">
            <w:pPr>
              <w:pStyle w:val="Tabletext"/>
            </w:pPr>
            <w:r w:rsidRPr="007A70FB">
              <w:t>ASCEND-1</w:t>
            </w:r>
          </w:p>
        </w:tc>
        <w:tc>
          <w:tcPr>
            <w:tcW w:w="2484" w:type="pct"/>
            <w:tcBorders>
              <w:top w:val="single" w:sz="4" w:space="0" w:color="auto"/>
              <w:bottom w:val="single" w:sz="4" w:space="0" w:color="auto"/>
              <w:right w:val="single" w:sz="4" w:space="0" w:color="auto"/>
            </w:tcBorders>
          </w:tcPr>
          <w:p w:rsidR="007110AB" w:rsidRPr="007A70FB" w:rsidRDefault="007110AB" w:rsidP="00903E55">
            <w:pPr>
              <w:pStyle w:val="Tabletext"/>
              <w:rPr>
                <w:szCs w:val="18"/>
              </w:rPr>
            </w:pPr>
            <w:r w:rsidRPr="007A70FB">
              <w:t>Kim DW, Mehr R, Tan, D, et al. Activity and safety of ceritinib in patients with ALK-rearranged non-small cell lung cancer (ASCEND-1): updated results from the multicentre, open-label, phase 1 trial.</w:t>
            </w:r>
          </w:p>
        </w:tc>
        <w:tc>
          <w:tcPr>
            <w:tcW w:w="1701" w:type="pct"/>
            <w:tcBorders>
              <w:top w:val="single" w:sz="4" w:space="0" w:color="auto"/>
              <w:left w:val="single" w:sz="4" w:space="0" w:color="auto"/>
              <w:bottom w:val="single" w:sz="4" w:space="0" w:color="auto"/>
            </w:tcBorders>
          </w:tcPr>
          <w:p w:rsidR="007110AB" w:rsidRPr="007A70FB" w:rsidRDefault="007110AB" w:rsidP="00EE446C">
            <w:pPr>
              <w:pStyle w:val="Tabletext"/>
              <w:rPr>
                <w:i/>
                <w:szCs w:val="18"/>
              </w:rPr>
            </w:pPr>
            <w:r w:rsidRPr="007A70FB">
              <w:rPr>
                <w:i/>
              </w:rPr>
              <w:t>Lancet Oncology</w:t>
            </w:r>
            <w:r w:rsidRPr="007A70FB">
              <w:t xml:space="preserve"> 2016; 17</w:t>
            </w:r>
            <w:r w:rsidR="00EE446C" w:rsidRPr="007A70FB">
              <w:t>(4)</w:t>
            </w:r>
            <w:r w:rsidRPr="007A70FB">
              <w:t>:</w:t>
            </w:r>
            <w:r w:rsidR="00EE446C" w:rsidRPr="007A70FB">
              <w:t xml:space="preserve"> </w:t>
            </w:r>
            <w:r w:rsidRPr="007A70FB">
              <w:t>452</w:t>
            </w:r>
            <w:r w:rsidR="00EE446C" w:rsidRPr="007A70FB">
              <w:t>–</w:t>
            </w:r>
            <w:r w:rsidRPr="007A70FB">
              <w:t>63.</w:t>
            </w:r>
          </w:p>
        </w:tc>
      </w:tr>
      <w:tr w:rsidR="007110AB" w:rsidRPr="007A70FB" w:rsidTr="00454958">
        <w:tc>
          <w:tcPr>
            <w:tcW w:w="815" w:type="pct"/>
            <w:tcBorders>
              <w:top w:val="nil"/>
              <w:bottom w:val="nil"/>
            </w:tcBorders>
          </w:tcPr>
          <w:p w:rsidR="007110AB" w:rsidRPr="007A70FB" w:rsidRDefault="007110AB" w:rsidP="00903E55">
            <w:pPr>
              <w:pStyle w:val="Tabletext"/>
            </w:pPr>
          </w:p>
        </w:tc>
        <w:tc>
          <w:tcPr>
            <w:tcW w:w="2484" w:type="pct"/>
            <w:tcBorders>
              <w:top w:val="single" w:sz="4" w:space="0" w:color="auto"/>
              <w:bottom w:val="single" w:sz="4" w:space="0" w:color="auto"/>
              <w:right w:val="single" w:sz="4" w:space="0" w:color="auto"/>
            </w:tcBorders>
          </w:tcPr>
          <w:p w:rsidR="007110AB" w:rsidRPr="007A70FB" w:rsidRDefault="007110AB" w:rsidP="00903E55">
            <w:pPr>
              <w:pStyle w:val="Tabletext"/>
            </w:pPr>
            <w:r w:rsidRPr="007A70FB">
              <w:t xml:space="preserve">Shaw AT, Kim DW, Mehra R, et al. Ceritinib in ALK-Rearranged Non–Small-Cell Lung Cancer. </w:t>
            </w:r>
          </w:p>
        </w:tc>
        <w:tc>
          <w:tcPr>
            <w:tcW w:w="1701" w:type="pct"/>
            <w:tcBorders>
              <w:top w:val="single" w:sz="4" w:space="0" w:color="auto"/>
              <w:left w:val="single" w:sz="4" w:space="0" w:color="auto"/>
              <w:bottom w:val="single" w:sz="4" w:space="0" w:color="auto"/>
            </w:tcBorders>
          </w:tcPr>
          <w:p w:rsidR="007110AB" w:rsidRPr="007A70FB" w:rsidRDefault="008A0A31" w:rsidP="00701988">
            <w:pPr>
              <w:pStyle w:val="Tabletext"/>
              <w:rPr>
                <w:i/>
              </w:rPr>
            </w:pPr>
            <w:r w:rsidRPr="007A70FB">
              <w:rPr>
                <w:i/>
                <w:iCs/>
              </w:rPr>
              <w:t xml:space="preserve">The </w:t>
            </w:r>
            <w:r w:rsidR="007110AB" w:rsidRPr="007A70FB">
              <w:rPr>
                <w:i/>
                <w:iCs/>
              </w:rPr>
              <w:t>N</w:t>
            </w:r>
            <w:r w:rsidRPr="007A70FB">
              <w:rPr>
                <w:i/>
                <w:iCs/>
              </w:rPr>
              <w:t>ew</w:t>
            </w:r>
            <w:r w:rsidR="007110AB" w:rsidRPr="007A70FB">
              <w:rPr>
                <w:i/>
                <w:iCs/>
              </w:rPr>
              <w:t xml:space="preserve"> Engl</w:t>
            </w:r>
            <w:r w:rsidRPr="007A70FB">
              <w:rPr>
                <w:i/>
                <w:iCs/>
              </w:rPr>
              <w:t>and</w:t>
            </w:r>
            <w:r w:rsidR="007110AB" w:rsidRPr="007A70FB">
              <w:rPr>
                <w:i/>
                <w:iCs/>
              </w:rPr>
              <w:t xml:space="preserve"> J</w:t>
            </w:r>
            <w:r w:rsidRPr="007A70FB">
              <w:rPr>
                <w:i/>
                <w:iCs/>
              </w:rPr>
              <w:t>ournal of</w:t>
            </w:r>
            <w:r w:rsidR="007110AB" w:rsidRPr="007A70FB">
              <w:rPr>
                <w:i/>
                <w:iCs/>
              </w:rPr>
              <w:t xml:space="preserve"> Med</w:t>
            </w:r>
            <w:r w:rsidRPr="007A70FB">
              <w:rPr>
                <w:i/>
                <w:iCs/>
              </w:rPr>
              <w:t>icine</w:t>
            </w:r>
            <w:r w:rsidR="00701988" w:rsidRPr="007A70FB">
              <w:t xml:space="preserve"> </w:t>
            </w:r>
            <w:r w:rsidR="007110AB" w:rsidRPr="007A70FB">
              <w:t>2014; 370(13): 1189–1197.</w:t>
            </w:r>
          </w:p>
        </w:tc>
      </w:tr>
      <w:tr w:rsidR="007110AB" w:rsidRPr="007A70FB" w:rsidTr="00454958">
        <w:tc>
          <w:tcPr>
            <w:tcW w:w="815" w:type="pct"/>
            <w:tcBorders>
              <w:top w:val="nil"/>
              <w:bottom w:val="single" w:sz="4" w:space="0" w:color="auto"/>
            </w:tcBorders>
          </w:tcPr>
          <w:p w:rsidR="007110AB" w:rsidRPr="007A70FB" w:rsidRDefault="007110AB" w:rsidP="00903E55">
            <w:pPr>
              <w:pStyle w:val="Tabletext"/>
            </w:pPr>
          </w:p>
        </w:tc>
        <w:tc>
          <w:tcPr>
            <w:tcW w:w="2484" w:type="pct"/>
            <w:tcBorders>
              <w:top w:val="single" w:sz="4" w:space="0" w:color="auto"/>
              <w:bottom w:val="single" w:sz="4" w:space="0" w:color="auto"/>
              <w:right w:val="single" w:sz="4" w:space="0" w:color="auto"/>
            </w:tcBorders>
          </w:tcPr>
          <w:p w:rsidR="007110AB" w:rsidRPr="007A70FB" w:rsidRDefault="007110AB" w:rsidP="00903E55">
            <w:pPr>
              <w:pStyle w:val="Tabletext"/>
            </w:pPr>
            <w:r w:rsidRPr="007A70FB">
              <w:t xml:space="preserve">Shaw A., Kim D., Solomon B.; et al. Ceritinib in anaplastic lymphoma kinase (ALK)+NSCLC patients pretreated with only crizotinib: ASCEND-1 subgroup analysis. </w:t>
            </w:r>
          </w:p>
        </w:tc>
        <w:tc>
          <w:tcPr>
            <w:tcW w:w="1701" w:type="pct"/>
            <w:tcBorders>
              <w:top w:val="single" w:sz="4" w:space="0" w:color="auto"/>
              <w:left w:val="single" w:sz="4" w:space="0" w:color="auto"/>
              <w:bottom w:val="single" w:sz="4" w:space="0" w:color="auto"/>
            </w:tcBorders>
          </w:tcPr>
          <w:p w:rsidR="007110AB" w:rsidRPr="007A70FB" w:rsidRDefault="007110AB" w:rsidP="00820C28">
            <w:pPr>
              <w:pStyle w:val="Tabletext"/>
              <w:rPr>
                <w:i/>
              </w:rPr>
            </w:pPr>
            <w:r w:rsidRPr="007A70FB">
              <w:rPr>
                <w:i/>
                <w:iCs/>
              </w:rPr>
              <w:t>Journal of Thoracic Oncology</w:t>
            </w:r>
            <w:r w:rsidR="00820C28" w:rsidRPr="007A70FB">
              <w:rPr>
                <w:i/>
                <w:iCs/>
              </w:rPr>
              <w:t xml:space="preserve"> </w:t>
            </w:r>
            <w:r w:rsidR="00820C28" w:rsidRPr="007A70FB">
              <w:rPr>
                <w:iCs/>
              </w:rPr>
              <w:t>2017;</w:t>
            </w:r>
            <w:r w:rsidRPr="007A70FB">
              <w:rPr>
                <w:iCs/>
              </w:rPr>
              <w:t xml:space="preserve"> Conference</w:t>
            </w:r>
            <w:r w:rsidRPr="007A70FB">
              <w:t>: 18th World Conference on Lung Cancer of the International Association for the Study of Lung Cancer</w:t>
            </w:r>
            <w:r w:rsidR="00820C28" w:rsidRPr="007A70FB">
              <w:t>;</w:t>
            </w:r>
            <w:r w:rsidRPr="007A70FB">
              <w:t xml:space="preserve"> 12(11 Supplement 2)</w:t>
            </w:r>
            <w:r w:rsidR="00820C28" w:rsidRPr="007A70FB">
              <w:t xml:space="preserve">: </w:t>
            </w:r>
            <w:r w:rsidRPr="007A70FB">
              <w:t>S1896</w:t>
            </w:r>
            <w:r w:rsidR="00820C28" w:rsidRPr="007A70FB">
              <w:t>–</w:t>
            </w:r>
            <w:r w:rsidRPr="007A70FB">
              <w:t>7</w:t>
            </w:r>
            <w:r w:rsidR="00820C28" w:rsidRPr="007A70FB">
              <w:t>.</w:t>
            </w:r>
          </w:p>
        </w:tc>
      </w:tr>
      <w:tr w:rsidR="007110AB" w:rsidRPr="007A70FB" w:rsidTr="00820C28">
        <w:tc>
          <w:tcPr>
            <w:tcW w:w="815" w:type="pct"/>
            <w:tcBorders>
              <w:top w:val="single" w:sz="4" w:space="0" w:color="auto"/>
              <w:bottom w:val="single" w:sz="4" w:space="0" w:color="auto"/>
            </w:tcBorders>
          </w:tcPr>
          <w:p w:rsidR="007110AB" w:rsidRPr="007A70FB" w:rsidRDefault="007110AB" w:rsidP="00903E55">
            <w:pPr>
              <w:pStyle w:val="Tabletext"/>
            </w:pPr>
            <w:r w:rsidRPr="007A70FB">
              <w:t>ASCEND-2</w:t>
            </w:r>
          </w:p>
        </w:tc>
        <w:tc>
          <w:tcPr>
            <w:tcW w:w="2484" w:type="pct"/>
            <w:tcBorders>
              <w:top w:val="single" w:sz="4" w:space="0" w:color="auto"/>
              <w:bottom w:val="single" w:sz="4" w:space="0" w:color="auto"/>
            </w:tcBorders>
          </w:tcPr>
          <w:p w:rsidR="007110AB" w:rsidRPr="007A70FB" w:rsidRDefault="007110AB" w:rsidP="00903E55">
            <w:pPr>
              <w:pStyle w:val="Tabletext"/>
            </w:pPr>
            <w:r w:rsidRPr="007A70FB">
              <w:t>Crino L, Ahn MJ, De Marinis F, et al. Multicenter phase II study of whole-body and intracranial activity with ceritinib in patients with ALK-rearranged non–small-cell lung cancer previously treated with chemotherapy and crizotinib: results from ASCEND-2.</w:t>
            </w:r>
          </w:p>
        </w:tc>
        <w:tc>
          <w:tcPr>
            <w:tcW w:w="1701" w:type="pct"/>
            <w:tcBorders>
              <w:top w:val="single" w:sz="4" w:space="0" w:color="auto"/>
              <w:bottom w:val="single" w:sz="4" w:space="0" w:color="auto"/>
            </w:tcBorders>
          </w:tcPr>
          <w:p w:rsidR="007110AB" w:rsidRPr="007A70FB" w:rsidRDefault="007110AB" w:rsidP="00903E55">
            <w:pPr>
              <w:pStyle w:val="Tabletext"/>
              <w:rPr>
                <w:i/>
              </w:rPr>
            </w:pPr>
            <w:r w:rsidRPr="007A70FB">
              <w:rPr>
                <w:i/>
              </w:rPr>
              <w:t>Journal of Clinical Oncology</w:t>
            </w:r>
            <w:r w:rsidRPr="007A70FB">
              <w:t xml:space="preserve"> 2016; 34(24):</w:t>
            </w:r>
            <w:r w:rsidR="00701988" w:rsidRPr="007A70FB">
              <w:t xml:space="preserve"> </w:t>
            </w:r>
            <w:r w:rsidRPr="007A70FB">
              <w:t>2866-73.</w:t>
            </w:r>
          </w:p>
        </w:tc>
      </w:tr>
      <w:tr w:rsidR="007110AB" w:rsidRPr="007A70FB" w:rsidTr="00820C28">
        <w:tc>
          <w:tcPr>
            <w:tcW w:w="815" w:type="pct"/>
            <w:tcBorders>
              <w:top w:val="single" w:sz="4" w:space="0" w:color="auto"/>
              <w:bottom w:val="nil"/>
            </w:tcBorders>
          </w:tcPr>
          <w:p w:rsidR="007110AB" w:rsidRPr="007A70FB" w:rsidRDefault="007110AB" w:rsidP="00903E55">
            <w:pPr>
              <w:pStyle w:val="Tabletext"/>
            </w:pPr>
            <w:r w:rsidRPr="007A70FB">
              <w:t>ASCEND-5</w:t>
            </w:r>
          </w:p>
        </w:tc>
        <w:tc>
          <w:tcPr>
            <w:tcW w:w="2484" w:type="pct"/>
            <w:tcBorders>
              <w:top w:val="single" w:sz="4" w:space="0" w:color="auto"/>
              <w:bottom w:val="single" w:sz="4" w:space="0" w:color="auto"/>
            </w:tcBorders>
          </w:tcPr>
          <w:p w:rsidR="007110AB" w:rsidRPr="007A70FB" w:rsidRDefault="007110AB" w:rsidP="00903E55">
            <w:pPr>
              <w:pStyle w:val="Tabletext"/>
            </w:pPr>
            <w:r w:rsidRPr="007A70FB">
              <w:t xml:space="preserve">Shaw AT, Kim TM, Crinò L, et al. Ceritinib versus chemotherapy in patients with ALK-rearranged non-small-cell lung cancer previously given chemotherapy and crizotinib (ASCEND-5): a randomised, controlled, open-label, phase 3 trial. </w:t>
            </w:r>
          </w:p>
        </w:tc>
        <w:tc>
          <w:tcPr>
            <w:tcW w:w="1701" w:type="pct"/>
            <w:tcBorders>
              <w:top w:val="single" w:sz="4" w:space="0" w:color="auto"/>
              <w:bottom w:val="single" w:sz="4" w:space="0" w:color="auto"/>
            </w:tcBorders>
          </w:tcPr>
          <w:p w:rsidR="007110AB" w:rsidRPr="007A70FB" w:rsidRDefault="007110AB" w:rsidP="00903E55">
            <w:pPr>
              <w:pStyle w:val="Tabletext"/>
              <w:rPr>
                <w:i/>
                <w:szCs w:val="18"/>
              </w:rPr>
            </w:pPr>
            <w:r w:rsidRPr="007A70FB">
              <w:rPr>
                <w:i/>
                <w:iCs/>
              </w:rPr>
              <w:t>Lancet Oncol</w:t>
            </w:r>
            <w:r w:rsidR="008A0A31" w:rsidRPr="007A70FB">
              <w:rPr>
                <w:i/>
                <w:iCs/>
              </w:rPr>
              <w:t>ogy</w:t>
            </w:r>
            <w:r w:rsidRPr="007A70FB">
              <w:t xml:space="preserve"> 2017; 18</w:t>
            </w:r>
            <w:r w:rsidR="00701988" w:rsidRPr="007A70FB">
              <w:t>(7)</w:t>
            </w:r>
            <w:r w:rsidRPr="007A70FB">
              <w:t>:</w:t>
            </w:r>
            <w:r w:rsidR="00701988" w:rsidRPr="007A70FB">
              <w:t xml:space="preserve"> </w:t>
            </w:r>
            <w:r w:rsidRPr="007A70FB">
              <w:t>874-86.</w:t>
            </w:r>
          </w:p>
        </w:tc>
      </w:tr>
      <w:tr w:rsidR="007110AB" w:rsidRPr="007A70FB" w:rsidTr="00820C28">
        <w:tc>
          <w:tcPr>
            <w:tcW w:w="815" w:type="pct"/>
            <w:tcBorders>
              <w:top w:val="nil"/>
              <w:bottom w:val="nil"/>
            </w:tcBorders>
          </w:tcPr>
          <w:p w:rsidR="007110AB" w:rsidRPr="007A70FB" w:rsidRDefault="007110AB" w:rsidP="00903E55">
            <w:pPr>
              <w:pStyle w:val="Tabletext"/>
              <w:rPr>
                <w:highlight w:val="yellow"/>
              </w:rPr>
            </w:pPr>
          </w:p>
        </w:tc>
        <w:tc>
          <w:tcPr>
            <w:tcW w:w="2484" w:type="pct"/>
            <w:tcBorders>
              <w:top w:val="single" w:sz="4" w:space="0" w:color="auto"/>
              <w:bottom w:val="nil"/>
            </w:tcBorders>
          </w:tcPr>
          <w:p w:rsidR="007110AB" w:rsidRPr="007A70FB" w:rsidRDefault="007110AB" w:rsidP="00903E55">
            <w:pPr>
              <w:pStyle w:val="Tabletext"/>
              <w:rPr>
                <w:highlight w:val="yellow"/>
              </w:rPr>
            </w:pPr>
            <w:r w:rsidRPr="007A70FB">
              <w:rPr>
                <w:rFonts w:eastAsia="Arial"/>
              </w:rPr>
              <w:t xml:space="preserve">Mok T.S.K., Scagliotti G., Kim T.M. et al. Patient-reported outcomes (PROs) in ASCEND-5: A randomized, phase 3 study of ceritinib vs chemotherapy (CT) in patients (pts) with advanced anaplastic lymphoma kinase rearranged (ALK+) NSCLC previously treated with CT and crizotinib (CRZ). </w:t>
            </w:r>
          </w:p>
        </w:tc>
        <w:tc>
          <w:tcPr>
            <w:tcW w:w="1701" w:type="pct"/>
            <w:tcBorders>
              <w:top w:val="single" w:sz="4" w:space="0" w:color="auto"/>
              <w:bottom w:val="nil"/>
            </w:tcBorders>
          </w:tcPr>
          <w:p w:rsidR="007110AB" w:rsidRPr="007A70FB" w:rsidRDefault="007110AB" w:rsidP="00820C28">
            <w:pPr>
              <w:pStyle w:val="Tabletext"/>
              <w:rPr>
                <w:i/>
                <w:szCs w:val="18"/>
              </w:rPr>
            </w:pPr>
            <w:r w:rsidRPr="007A70FB">
              <w:rPr>
                <w:rFonts w:eastAsia="Arial"/>
                <w:i/>
                <w:iCs/>
              </w:rPr>
              <w:t>Annals of Oncology</w:t>
            </w:r>
            <w:r w:rsidR="00820C28" w:rsidRPr="007A70FB">
              <w:rPr>
                <w:rFonts w:eastAsia="Arial"/>
                <w:i/>
                <w:iCs/>
              </w:rPr>
              <w:t xml:space="preserve"> </w:t>
            </w:r>
            <w:r w:rsidR="00820C28" w:rsidRPr="007A70FB">
              <w:rPr>
                <w:rFonts w:eastAsia="Arial"/>
                <w:iCs/>
              </w:rPr>
              <w:t>2016;</w:t>
            </w:r>
            <w:r w:rsidRPr="007A70FB">
              <w:rPr>
                <w:rFonts w:eastAsia="Arial"/>
              </w:rPr>
              <w:t xml:space="preserve"> Conference: ESMO Asia Congress 2016</w:t>
            </w:r>
            <w:r w:rsidR="00820C28" w:rsidRPr="007A70FB">
              <w:rPr>
                <w:rFonts w:eastAsia="Arial"/>
              </w:rPr>
              <w:t>;</w:t>
            </w:r>
            <w:r w:rsidRPr="007A70FB">
              <w:rPr>
                <w:rFonts w:eastAsia="Arial"/>
              </w:rPr>
              <w:t xml:space="preserve"> 27(Supplement 9)</w:t>
            </w:r>
            <w:r w:rsidR="00820C28" w:rsidRPr="007A70FB">
              <w:rPr>
                <w:rFonts w:eastAsia="Arial"/>
              </w:rPr>
              <w:t xml:space="preserve">: </w:t>
            </w:r>
            <w:r w:rsidRPr="007A70FB">
              <w:rPr>
                <w:rFonts w:eastAsia="Arial"/>
              </w:rPr>
              <w:t>ix142-ix143</w:t>
            </w:r>
            <w:r w:rsidR="00820C28" w:rsidRPr="007A70FB">
              <w:rPr>
                <w:rFonts w:eastAsia="Arial"/>
              </w:rPr>
              <w:t>.</w:t>
            </w:r>
          </w:p>
        </w:tc>
      </w:tr>
      <w:tr w:rsidR="007110AB" w:rsidRPr="007A70FB" w:rsidTr="00C45DFE">
        <w:tc>
          <w:tcPr>
            <w:tcW w:w="815" w:type="pct"/>
            <w:tcBorders>
              <w:top w:val="single" w:sz="4" w:space="0" w:color="auto"/>
              <w:bottom w:val="single" w:sz="4" w:space="0" w:color="auto"/>
            </w:tcBorders>
          </w:tcPr>
          <w:p w:rsidR="007110AB" w:rsidRPr="007A70FB" w:rsidRDefault="007110AB" w:rsidP="00903E55">
            <w:pPr>
              <w:pStyle w:val="Tabletext"/>
            </w:pPr>
            <w:r w:rsidRPr="007A70FB">
              <w:t>ASCEND-9</w:t>
            </w:r>
          </w:p>
        </w:tc>
        <w:tc>
          <w:tcPr>
            <w:tcW w:w="2484" w:type="pct"/>
            <w:tcBorders>
              <w:top w:val="single" w:sz="4" w:space="0" w:color="auto"/>
              <w:bottom w:val="single" w:sz="4" w:space="0" w:color="auto"/>
            </w:tcBorders>
          </w:tcPr>
          <w:p w:rsidR="007110AB" w:rsidRPr="007A70FB" w:rsidRDefault="007110AB" w:rsidP="00903E55">
            <w:pPr>
              <w:pStyle w:val="Tabletext"/>
              <w:rPr>
                <w:highlight w:val="yellow"/>
              </w:rPr>
            </w:pPr>
            <w:r w:rsidRPr="007A70FB">
              <w:t xml:space="preserve">Hida T, Seto T, Horinouchi H, et al. Phase II study of ceritinib in alectinib-pretreated patients with anaplastic lymphoma </w:t>
            </w:r>
            <w:r w:rsidRPr="007A70FB">
              <w:lastRenderedPageBreak/>
              <w:t xml:space="preserve">kinase-rearranged metastatic non-small-cell lung cancer in Japan: ASCEND-9. </w:t>
            </w:r>
          </w:p>
        </w:tc>
        <w:tc>
          <w:tcPr>
            <w:tcW w:w="1701" w:type="pct"/>
            <w:tcBorders>
              <w:top w:val="single" w:sz="4" w:space="0" w:color="auto"/>
              <w:bottom w:val="single" w:sz="4" w:space="0" w:color="auto"/>
            </w:tcBorders>
          </w:tcPr>
          <w:p w:rsidR="007110AB" w:rsidRPr="007A70FB" w:rsidRDefault="007110AB" w:rsidP="00701988">
            <w:pPr>
              <w:pStyle w:val="Tabletext"/>
              <w:rPr>
                <w:i/>
                <w:highlight w:val="yellow"/>
              </w:rPr>
            </w:pPr>
            <w:r w:rsidRPr="007A70FB">
              <w:rPr>
                <w:i/>
                <w:iCs/>
              </w:rPr>
              <w:lastRenderedPageBreak/>
              <w:t>Cancer Science</w:t>
            </w:r>
            <w:r w:rsidRPr="007A70FB">
              <w:t xml:space="preserve"> 2018;</w:t>
            </w:r>
            <w:r w:rsidR="00701988" w:rsidRPr="007A70FB">
              <w:t xml:space="preserve"> </w:t>
            </w:r>
            <w:r w:rsidRPr="007A70FB">
              <w:t>109</w:t>
            </w:r>
            <w:r w:rsidR="00701988" w:rsidRPr="007A70FB">
              <w:t>(9)</w:t>
            </w:r>
            <w:r w:rsidRPr="007A70FB">
              <w:t>:</w:t>
            </w:r>
            <w:r w:rsidR="00701988" w:rsidRPr="007A70FB">
              <w:t xml:space="preserve"> </w:t>
            </w:r>
            <w:r w:rsidRPr="007A70FB">
              <w:t>2863</w:t>
            </w:r>
            <w:r w:rsidR="00701988" w:rsidRPr="007A70FB">
              <w:t>–</w:t>
            </w:r>
            <w:r w:rsidRPr="007A70FB">
              <w:t>2872.</w:t>
            </w:r>
          </w:p>
        </w:tc>
      </w:tr>
      <w:tr w:rsidR="007110AB" w:rsidRPr="007A70FB" w:rsidTr="00C45DFE">
        <w:tc>
          <w:tcPr>
            <w:tcW w:w="815" w:type="pct"/>
            <w:tcBorders>
              <w:top w:val="single" w:sz="4" w:space="0" w:color="auto"/>
              <w:bottom w:val="single" w:sz="4" w:space="0" w:color="auto"/>
              <w:right w:val="nil"/>
            </w:tcBorders>
          </w:tcPr>
          <w:p w:rsidR="007110AB" w:rsidRPr="007A70FB" w:rsidRDefault="007110AB" w:rsidP="00903E55">
            <w:pPr>
              <w:pStyle w:val="Tabletext"/>
              <w:rPr>
                <w:b/>
              </w:rPr>
            </w:pPr>
            <w:r w:rsidRPr="007A70FB">
              <w:rPr>
                <w:b/>
              </w:rPr>
              <w:t>Brigatinib studies</w:t>
            </w:r>
          </w:p>
        </w:tc>
        <w:tc>
          <w:tcPr>
            <w:tcW w:w="2484" w:type="pct"/>
            <w:tcBorders>
              <w:top w:val="single" w:sz="4" w:space="0" w:color="auto"/>
              <w:left w:val="nil"/>
              <w:bottom w:val="single" w:sz="4" w:space="0" w:color="auto"/>
              <w:right w:val="nil"/>
            </w:tcBorders>
          </w:tcPr>
          <w:p w:rsidR="007110AB" w:rsidRPr="007A70FB" w:rsidRDefault="007110AB" w:rsidP="00903E55">
            <w:pPr>
              <w:pStyle w:val="Tabletext"/>
            </w:pPr>
          </w:p>
        </w:tc>
        <w:tc>
          <w:tcPr>
            <w:tcW w:w="1701" w:type="pct"/>
            <w:tcBorders>
              <w:top w:val="single" w:sz="4" w:space="0" w:color="auto"/>
              <w:left w:val="nil"/>
              <w:bottom w:val="single" w:sz="4" w:space="0" w:color="auto"/>
            </w:tcBorders>
          </w:tcPr>
          <w:p w:rsidR="007110AB" w:rsidRPr="007A70FB" w:rsidRDefault="007110AB" w:rsidP="00903E55">
            <w:pPr>
              <w:pStyle w:val="Tabletext"/>
            </w:pPr>
          </w:p>
        </w:tc>
      </w:tr>
      <w:tr w:rsidR="007110AB" w:rsidRPr="007A70FB" w:rsidTr="00C45DFE">
        <w:tc>
          <w:tcPr>
            <w:tcW w:w="815" w:type="pct"/>
            <w:tcBorders>
              <w:top w:val="single" w:sz="4" w:space="0" w:color="auto"/>
              <w:bottom w:val="nil"/>
            </w:tcBorders>
          </w:tcPr>
          <w:p w:rsidR="007110AB" w:rsidRPr="007A70FB" w:rsidRDefault="007110AB" w:rsidP="00903E55">
            <w:pPr>
              <w:pStyle w:val="Tabletext"/>
              <w:rPr>
                <w:highlight w:val="yellow"/>
              </w:rPr>
            </w:pPr>
            <w:r w:rsidRPr="007A70FB">
              <w:t>ALTA</w:t>
            </w:r>
          </w:p>
        </w:tc>
        <w:tc>
          <w:tcPr>
            <w:tcW w:w="2484" w:type="pct"/>
            <w:tcBorders>
              <w:top w:val="nil"/>
              <w:bottom w:val="single" w:sz="4" w:space="0" w:color="auto"/>
            </w:tcBorders>
          </w:tcPr>
          <w:p w:rsidR="007110AB" w:rsidRPr="007A70FB" w:rsidRDefault="007110AB" w:rsidP="00903E55">
            <w:pPr>
              <w:pStyle w:val="Tabletext"/>
              <w:rPr>
                <w:highlight w:val="yellow"/>
              </w:rPr>
            </w:pPr>
            <w:r w:rsidRPr="007A70FB">
              <w:t xml:space="preserve">Kim DW, Tiseo M, Ahn MJ, et al. Brigatinib in patients with crizotinib-refractory anaplastic lymphoma kinase-positive-non-small-cell lung cancer: A randomized, multicentre Phase II trial. </w:t>
            </w:r>
          </w:p>
        </w:tc>
        <w:tc>
          <w:tcPr>
            <w:tcW w:w="1701" w:type="pct"/>
            <w:tcBorders>
              <w:top w:val="nil"/>
              <w:bottom w:val="single" w:sz="4" w:space="0" w:color="auto"/>
            </w:tcBorders>
          </w:tcPr>
          <w:p w:rsidR="007110AB" w:rsidRPr="007A70FB" w:rsidRDefault="007110AB" w:rsidP="00701988">
            <w:pPr>
              <w:pStyle w:val="Tabletext"/>
              <w:rPr>
                <w:i/>
                <w:highlight w:val="yellow"/>
              </w:rPr>
            </w:pPr>
            <w:r w:rsidRPr="007A70FB">
              <w:rPr>
                <w:i/>
              </w:rPr>
              <w:t>J</w:t>
            </w:r>
            <w:r w:rsidR="008A0A31" w:rsidRPr="007A70FB">
              <w:rPr>
                <w:i/>
              </w:rPr>
              <w:t>ournal</w:t>
            </w:r>
            <w:r w:rsidRPr="007A70FB">
              <w:rPr>
                <w:i/>
              </w:rPr>
              <w:t xml:space="preserve"> of Clin</w:t>
            </w:r>
            <w:r w:rsidR="008A0A31" w:rsidRPr="007A70FB">
              <w:rPr>
                <w:i/>
              </w:rPr>
              <w:t>ical</w:t>
            </w:r>
            <w:r w:rsidRPr="007A70FB">
              <w:rPr>
                <w:i/>
              </w:rPr>
              <w:t xml:space="preserve"> Oncol</w:t>
            </w:r>
            <w:r w:rsidR="008A0A31" w:rsidRPr="007A70FB">
              <w:rPr>
                <w:i/>
              </w:rPr>
              <w:t>ogy</w:t>
            </w:r>
            <w:r w:rsidRPr="007A70FB">
              <w:t xml:space="preserve"> 2017; 35</w:t>
            </w:r>
            <w:r w:rsidR="00701988" w:rsidRPr="007A70FB">
              <w:t>(22)</w:t>
            </w:r>
            <w:r w:rsidRPr="007A70FB">
              <w:t>:</w:t>
            </w:r>
            <w:r w:rsidR="00701988" w:rsidRPr="007A70FB">
              <w:t xml:space="preserve"> </w:t>
            </w:r>
            <w:r w:rsidRPr="007A70FB">
              <w:t>3490</w:t>
            </w:r>
            <w:r w:rsidR="00701988" w:rsidRPr="007A70FB">
              <w:t>–</w:t>
            </w:r>
            <w:r w:rsidRPr="007A70FB">
              <w:t>2498.</w:t>
            </w:r>
          </w:p>
        </w:tc>
      </w:tr>
      <w:tr w:rsidR="007110AB" w:rsidRPr="007A70FB" w:rsidTr="00820C28">
        <w:tc>
          <w:tcPr>
            <w:tcW w:w="815" w:type="pct"/>
            <w:tcBorders>
              <w:top w:val="nil"/>
              <w:bottom w:val="nil"/>
            </w:tcBorders>
          </w:tcPr>
          <w:p w:rsidR="007110AB" w:rsidRPr="007A70FB" w:rsidRDefault="007110AB" w:rsidP="00903E55">
            <w:pPr>
              <w:pStyle w:val="Tabletext"/>
              <w:rPr>
                <w:highlight w:val="yellow"/>
              </w:rPr>
            </w:pPr>
          </w:p>
        </w:tc>
        <w:tc>
          <w:tcPr>
            <w:tcW w:w="2484" w:type="pct"/>
            <w:tcBorders>
              <w:top w:val="nil"/>
              <w:bottom w:val="single" w:sz="4" w:space="0" w:color="auto"/>
            </w:tcBorders>
          </w:tcPr>
          <w:p w:rsidR="007110AB" w:rsidRPr="007A70FB" w:rsidRDefault="007110AB" w:rsidP="00903E55">
            <w:pPr>
              <w:pStyle w:val="Tabletext"/>
              <w:rPr>
                <w:highlight w:val="yellow"/>
              </w:rPr>
            </w:pPr>
            <w:r w:rsidRPr="007A70FB">
              <w:t xml:space="preserve">Ahn M., Camidge D.R., Tiseo M. et al. Brigatinib in crizotinib-refractory ALK+ NSCLC: Updated efficacy and safety results from ALTA, a randomized phase 2 trial. </w:t>
            </w:r>
          </w:p>
        </w:tc>
        <w:tc>
          <w:tcPr>
            <w:tcW w:w="1701" w:type="pct"/>
            <w:tcBorders>
              <w:top w:val="nil"/>
              <w:bottom w:val="single" w:sz="4" w:space="0" w:color="auto"/>
            </w:tcBorders>
            <w:shd w:val="clear" w:color="auto" w:fill="auto"/>
          </w:tcPr>
          <w:p w:rsidR="007110AB" w:rsidRPr="007A70FB" w:rsidRDefault="007110AB" w:rsidP="00820C28">
            <w:pPr>
              <w:pStyle w:val="Tabletext"/>
              <w:rPr>
                <w:i/>
              </w:rPr>
            </w:pPr>
            <w:r w:rsidRPr="007A70FB">
              <w:rPr>
                <w:i/>
                <w:iCs/>
              </w:rPr>
              <w:t>Journal of Thoracic Oncology</w:t>
            </w:r>
            <w:r w:rsidR="00820C28" w:rsidRPr="007A70FB">
              <w:rPr>
                <w:i/>
                <w:iCs/>
              </w:rPr>
              <w:t xml:space="preserve"> </w:t>
            </w:r>
            <w:r w:rsidR="00820C28" w:rsidRPr="007A70FB">
              <w:rPr>
                <w:iCs/>
              </w:rPr>
              <w:t>2017;</w:t>
            </w:r>
            <w:r w:rsidRPr="007A70FB">
              <w:t xml:space="preserve"> Conference: 18th World Conference on Lung Cancer of the International Association for the Study of Lung Cancer</w:t>
            </w:r>
            <w:r w:rsidR="00820C28" w:rsidRPr="007A70FB">
              <w:t>;</w:t>
            </w:r>
            <w:r w:rsidRPr="007A70FB">
              <w:t xml:space="preserve"> 12(11 Supplement 2)</w:t>
            </w:r>
            <w:r w:rsidR="00820C28" w:rsidRPr="007A70FB">
              <w:t xml:space="preserve">: </w:t>
            </w:r>
            <w:r w:rsidRPr="007A70FB">
              <w:t>S1755</w:t>
            </w:r>
            <w:r w:rsidR="00820C28" w:rsidRPr="007A70FB">
              <w:t>–</w:t>
            </w:r>
            <w:r w:rsidRPr="007A70FB">
              <w:t>S1756</w:t>
            </w:r>
            <w:r w:rsidR="00820C28" w:rsidRPr="007A70FB">
              <w:t>.</w:t>
            </w:r>
          </w:p>
        </w:tc>
      </w:tr>
      <w:tr w:rsidR="007110AB" w:rsidRPr="007A70FB" w:rsidTr="00820C28">
        <w:tc>
          <w:tcPr>
            <w:tcW w:w="815" w:type="pct"/>
            <w:tcBorders>
              <w:top w:val="nil"/>
              <w:bottom w:val="nil"/>
            </w:tcBorders>
          </w:tcPr>
          <w:p w:rsidR="007110AB" w:rsidRPr="007A70FB" w:rsidRDefault="007110AB" w:rsidP="00903E55">
            <w:pPr>
              <w:pStyle w:val="Tabletext"/>
              <w:rPr>
                <w:highlight w:val="yellow"/>
              </w:rPr>
            </w:pPr>
          </w:p>
        </w:tc>
        <w:tc>
          <w:tcPr>
            <w:tcW w:w="2484" w:type="pct"/>
            <w:tcBorders>
              <w:top w:val="nil"/>
              <w:bottom w:val="single" w:sz="4" w:space="0" w:color="auto"/>
            </w:tcBorders>
          </w:tcPr>
          <w:p w:rsidR="007110AB" w:rsidRPr="007A70FB" w:rsidRDefault="007110AB" w:rsidP="00903E55">
            <w:pPr>
              <w:pStyle w:val="Tabletext"/>
              <w:rPr>
                <w:highlight w:val="yellow"/>
              </w:rPr>
            </w:pPr>
            <w:r w:rsidRPr="007A70FB">
              <w:t xml:space="preserve">Camidge D.R., Ahn M., Reckamp K. et al. Hypertension with brigatinib: Experience in ALTA, a randomized phase 2 trial in crizotinib-refractory ALK+NSCLC. </w:t>
            </w:r>
          </w:p>
        </w:tc>
        <w:tc>
          <w:tcPr>
            <w:tcW w:w="1701" w:type="pct"/>
            <w:tcBorders>
              <w:top w:val="nil"/>
              <w:bottom w:val="single" w:sz="4" w:space="0" w:color="auto"/>
            </w:tcBorders>
            <w:shd w:val="clear" w:color="auto" w:fill="auto"/>
          </w:tcPr>
          <w:p w:rsidR="007110AB" w:rsidRPr="007A70FB" w:rsidRDefault="007110AB" w:rsidP="00820C28">
            <w:pPr>
              <w:pStyle w:val="Tabletext"/>
              <w:rPr>
                <w:i/>
                <w:highlight w:val="yellow"/>
              </w:rPr>
            </w:pPr>
            <w:r w:rsidRPr="007A70FB">
              <w:rPr>
                <w:i/>
                <w:iCs/>
              </w:rPr>
              <w:t>Journal of Thoracic Oncology</w:t>
            </w:r>
            <w:r w:rsidR="00820C28" w:rsidRPr="007A70FB">
              <w:rPr>
                <w:i/>
                <w:iCs/>
              </w:rPr>
              <w:t xml:space="preserve"> </w:t>
            </w:r>
            <w:r w:rsidR="00820C28" w:rsidRPr="007A70FB">
              <w:rPr>
                <w:iCs/>
              </w:rPr>
              <w:t>2017;</w:t>
            </w:r>
            <w:r w:rsidRPr="007A70FB">
              <w:t xml:space="preserve"> Conference: 18th World Conference on Lung Cancer of the International Association for the Study of Lung Cancer</w:t>
            </w:r>
            <w:r w:rsidR="00820C28" w:rsidRPr="007A70FB">
              <w:t>;</w:t>
            </w:r>
            <w:r w:rsidRPr="007A70FB">
              <w:t xml:space="preserve"> 12(11 Supplement 2)</w:t>
            </w:r>
            <w:r w:rsidR="00820C28" w:rsidRPr="007A70FB">
              <w:t>: S</w:t>
            </w:r>
            <w:r w:rsidRPr="007A70FB">
              <w:t>1893.</w:t>
            </w:r>
          </w:p>
        </w:tc>
      </w:tr>
      <w:tr w:rsidR="007110AB" w:rsidRPr="007A70FB" w:rsidTr="00C45DFE">
        <w:tc>
          <w:tcPr>
            <w:tcW w:w="815" w:type="pct"/>
            <w:tcBorders>
              <w:top w:val="nil"/>
              <w:bottom w:val="nil"/>
            </w:tcBorders>
          </w:tcPr>
          <w:p w:rsidR="007110AB" w:rsidRPr="007A70FB" w:rsidRDefault="007110AB" w:rsidP="00903E55">
            <w:pPr>
              <w:pStyle w:val="Tabletext"/>
              <w:rPr>
                <w:highlight w:val="yellow"/>
              </w:rPr>
            </w:pPr>
          </w:p>
        </w:tc>
        <w:tc>
          <w:tcPr>
            <w:tcW w:w="2484" w:type="pct"/>
            <w:tcBorders>
              <w:top w:val="nil"/>
              <w:bottom w:val="single" w:sz="4" w:space="0" w:color="auto"/>
            </w:tcBorders>
          </w:tcPr>
          <w:p w:rsidR="007110AB" w:rsidRPr="007A70FB" w:rsidRDefault="007110AB" w:rsidP="00903E55">
            <w:pPr>
              <w:pStyle w:val="Tabletext"/>
              <w:rPr>
                <w:highlight w:val="yellow"/>
              </w:rPr>
            </w:pPr>
            <w:r w:rsidRPr="007A70FB">
              <w:t xml:space="preserve">Langer CJ, Huang H, Huang J, et al. Patient-reported outcomes and quality of life in ALTA: the randomized phase 2 study of brigatinib (BRG) in advanced ALK+ non-small cell lung cancer (NSCLC). </w:t>
            </w:r>
          </w:p>
        </w:tc>
        <w:tc>
          <w:tcPr>
            <w:tcW w:w="1701" w:type="pct"/>
            <w:tcBorders>
              <w:top w:val="nil"/>
              <w:bottom w:val="single" w:sz="4" w:space="0" w:color="auto"/>
            </w:tcBorders>
          </w:tcPr>
          <w:p w:rsidR="007110AB" w:rsidRPr="007A70FB" w:rsidRDefault="007110AB" w:rsidP="00903E55">
            <w:pPr>
              <w:pStyle w:val="Tabletext"/>
              <w:rPr>
                <w:i/>
                <w:highlight w:val="yellow"/>
              </w:rPr>
            </w:pPr>
            <w:r w:rsidRPr="007A70FB">
              <w:rPr>
                <w:i/>
                <w:iCs/>
              </w:rPr>
              <w:t xml:space="preserve">Journal of </w:t>
            </w:r>
            <w:r w:rsidR="008A0A31" w:rsidRPr="007A70FB">
              <w:rPr>
                <w:i/>
                <w:iCs/>
              </w:rPr>
              <w:t>C</w:t>
            </w:r>
            <w:r w:rsidRPr="007A70FB">
              <w:rPr>
                <w:i/>
                <w:iCs/>
              </w:rPr>
              <w:t xml:space="preserve">linical </w:t>
            </w:r>
            <w:r w:rsidR="008A0A31" w:rsidRPr="007A70FB">
              <w:rPr>
                <w:i/>
                <w:iCs/>
              </w:rPr>
              <w:t>O</w:t>
            </w:r>
            <w:r w:rsidRPr="007A70FB">
              <w:rPr>
                <w:i/>
                <w:iCs/>
              </w:rPr>
              <w:t>ncology</w:t>
            </w:r>
            <w:r w:rsidR="00615C10" w:rsidRPr="007A70FB">
              <w:t xml:space="preserve"> </w:t>
            </w:r>
            <w:r w:rsidRPr="007A70FB">
              <w:t xml:space="preserve">2017, 35(15)  </w:t>
            </w:r>
          </w:p>
        </w:tc>
      </w:tr>
      <w:tr w:rsidR="007110AB" w:rsidRPr="007A70FB" w:rsidTr="00C45DFE">
        <w:tc>
          <w:tcPr>
            <w:tcW w:w="815" w:type="pct"/>
            <w:tcBorders>
              <w:top w:val="nil"/>
              <w:bottom w:val="single" w:sz="4" w:space="0" w:color="auto"/>
            </w:tcBorders>
          </w:tcPr>
          <w:p w:rsidR="007110AB" w:rsidRPr="007A70FB" w:rsidRDefault="007110AB" w:rsidP="00903E55">
            <w:pPr>
              <w:pStyle w:val="Tabletext"/>
              <w:rPr>
                <w:highlight w:val="yellow"/>
              </w:rPr>
            </w:pPr>
          </w:p>
          <w:p w:rsidR="007110AB" w:rsidRPr="007A70FB" w:rsidRDefault="007110AB" w:rsidP="00903E55">
            <w:pPr>
              <w:widowControl/>
              <w:jc w:val="center"/>
              <w:rPr>
                <w:highlight w:val="yellow"/>
              </w:rPr>
            </w:pPr>
          </w:p>
        </w:tc>
        <w:tc>
          <w:tcPr>
            <w:tcW w:w="2484" w:type="pct"/>
            <w:tcBorders>
              <w:top w:val="nil"/>
              <w:bottom w:val="single" w:sz="4" w:space="0" w:color="auto"/>
            </w:tcBorders>
          </w:tcPr>
          <w:p w:rsidR="007110AB" w:rsidRPr="007A70FB" w:rsidRDefault="007110AB" w:rsidP="00903E55">
            <w:pPr>
              <w:pStyle w:val="Tabletext"/>
              <w:rPr>
                <w:highlight w:val="yellow"/>
              </w:rPr>
            </w:pPr>
            <w:r w:rsidRPr="007A70FB">
              <w:t xml:space="preserve">Ou S.-H.I., Tiseo M., Camidge R.; et al. Intracranial efficacy of brigatinib (BRG) in patients (Pts) With crizotinib (CRZ)-refractory anaplastic lymphoma kinase (ALK)-positive non-small cell lung cancer (NSCLC) and baseline CNS metastases. </w:t>
            </w:r>
          </w:p>
        </w:tc>
        <w:tc>
          <w:tcPr>
            <w:tcW w:w="1701" w:type="pct"/>
            <w:tcBorders>
              <w:top w:val="nil"/>
              <w:bottom w:val="single" w:sz="4" w:space="0" w:color="auto"/>
            </w:tcBorders>
          </w:tcPr>
          <w:p w:rsidR="007110AB" w:rsidRPr="007A70FB" w:rsidRDefault="007110AB" w:rsidP="00227543">
            <w:pPr>
              <w:pStyle w:val="Tabletext"/>
              <w:rPr>
                <w:i/>
                <w:highlight w:val="yellow"/>
              </w:rPr>
            </w:pPr>
            <w:r w:rsidRPr="007A70FB">
              <w:rPr>
                <w:i/>
                <w:iCs/>
              </w:rPr>
              <w:t>Annals of Oncology</w:t>
            </w:r>
            <w:r w:rsidR="00227543" w:rsidRPr="007A70FB">
              <w:rPr>
                <w:i/>
                <w:iCs/>
              </w:rPr>
              <w:t xml:space="preserve"> </w:t>
            </w:r>
            <w:r w:rsidR="00227543" w:rsidRPr="007A70FB">
              <w:rPr>
                <w:iCs/>
              </w:rPr>
              <w:t>2017;</w:t>
            </w:r>
            <w:r w:rsidRPr="007A70FB">
              <w:t xml:space="preserve"> Conference: 42nd ESMO Congress</w:t>
            </w:r>
            <w:r w:rsidR="00227543" w:rsidRPr="007A70FB">
              <w:t>;</w:t>
            </w:r>
            <w:r w:rsidRPr="007A70FB">
              <w:t xml:space="preserve"> 28(Supplement 5)</w:t>
            </w:r>
            <w:r w:rsidR="00227543" w:rsidRPr="007A70FB">
              <w:t xml:space="preserve">: </w:t>
            </w:r>
            <w:r w:rsidRPr="007A70FB">
              <w:t>v480-v481</w:t>
            </w:r>
            <w:r w:rsidR="00227543" w:rsidRPr="007A70FB">
              <w:t>.</w:t>
            </w:r>
          </w:p>
        </w:tc>
      </w:tr>
      <w:tr w:rsidR="007110AB" w:rsidRPr="007A70FB" w:rsidTr="00C45DFE">
        <w:tc>
          <w:tcPr>
            <w:tcW w:w="815" w:type="pct"/>
            <w:tcBorders>
              <w:top w:val="single" w:sz="4" w:space="0" w:color="auto"/>
              <w:bottom w:val="nil"/>
            </w:tcBorders>
          </w:tcPr>
          <w:p w:rsidR="007110AB" w:rsidRPr="007A70FB" w:rsidRDefault="007110AB" w:rsidP="00903E55">
            <w:pPr>
              <w:pStyle w:val="Tabletext"/>
            </w:pPr>
            <w:r w:rsidRPr="007A70FB">
              <w:t>Gettinger 2016</w:t>
            </w:r>
          </w:p>
        </w:tc>
        <w:tc>
          <w:tcPr>
            <w:tcW w:w="2484" w:type="pct"/>
            <w:tcBorders>
              <w:top w:val="nil"/>
              <w:bottom w:val="single" w:sz="4" w:space="0" w:color="auto"/>
            </w:tcBorders>
          </w:tcPr>
          <w:p w:rsidR="007110AB" w:rsidRPr="007A70FB" w:rsidRDefault="007110AB" w:rsidP="00903E55">
            <w:pPr>
              <w:pStyle w:val="Tabletext"/>
              <w:rPr>
                <w:highlight w:val="yellow"/>
              </w:rPr>
            </w:pPr>
            <w:r w:rsidRPr="007A70FB">
              <w:t xml:space="preserve">Gettinger SN, Bazhenova LA, Langer CJ, et al. Activity and safety of brigatinb in ALK-rearranged non-small-cell lung cancer and other malignancies: a single-arm, open-label, phase 1/2 trial. </w:t>
            </w:r>
          </w:p>
        </w:tc>
        <w:tc>
          <w:tcPr>
            <w:tcW w:w="1701" w:type="pct"/>
            <w:tcBorders>
              <w:top w:val="nil"/>
              <w:bottom w:val="single" w:sz="4" w:space="0" w:color="auto"/>
            </w:tcBorders>
          </w:tcPr>
          <w:p w:rsidR="007110AB" w:rsidRPr="007A70FB" w:rsidRDefault="007110AB" w:rsidP="00615C10">
            <w:pPr>
              <w:pStyle w:val="Tabletext"/>
              <w:rPr>
                <w:i/>
                <w:highlight w:val="yellow"/>
              </w:rPr>
            </w:pPr>
            <w:r w:rsidRPr="007A70FB">
              <w:rPr>
                <w:i/>
                <w:iCs/>
              </w:rPr>
              <w:t>Lancet Oncol</w:t>
            </w:r>
            <w:r w:rsidR="008A0A31" w:rsidRPr="007A70FB">
              <w:rPr>
                <w:i/>
                <w:iCs/>
              </w:rPr>
              <w:t>ogy</w:t>
            </w:r>
            <w:r w:rsidRPr="007A70FB">
              <w:t xml:space="preserve"> 2016; 17</w:t>
            </w:r>
            <w:r w:rsidR="00615C10" w:rsidRPr="007A70FB">
              <w:t>(12)</w:t>
            </w:r>
            <w:r w:rsidRPr="007A70FB">
              <w:t>:</w:t>
            </w:r>
            <w:r w:rsidR="00615C10" w:rsidRPr="007A70FB">
              <w:t xml:space="preserve"> </w:t>
            </w:r>
            <w:r w:rsidRPr="007A70FB">
              <w:t>1683</w:t>
            </w:r>
            <w:r w:rsidR="00615C10" w:rsidRPr="007A70FB">
              <w:t>–</w:t>
            </w:r>
            <w:r w:rsidRPr="007A70FB">
              <w:t>96.</w:t>
            </w:r>
          </w:p>
        </w:tc>
      </w:tr>
      <w:tr w:rsidR="007110AB" w:rsidRPr="007A70FB" w:rsidTr="00C45DFE">
        <w:tc>
          <w:tcPr>
            <w:tcW w:w="815" w:type="pct"/>
            <w:tcBorders>
              <w:top w:val="nil"/>
              <w:bottom w:val="single" w:sz="4" w:space="0" w:color="auto"/>
            </w:tcBorders>
          </w:tcPr>
          <w:p w:rsidR="007110AB" w:rsidRPr="007A70FB" w:rsidRDefault="007110AB" w:rsidP="00903E55">
            <w:pPr>
              <w:pStyle w:val="Tabletext"/>
            </w:pPr>
          </w:p>
        </w:tc>
        <w:tc>
          <w:tcPr>
            <w:tcW w:w="2484" w:type="pct"/>
            <w:tcBorders>
              <w:top w:val="nil"/>
              <w:bottom w:val="single" w:sz="4" w:space="0" w:color="auto"/>
            </w:tcBorders>
          </w:tcPr>
          <w:p w:rsidR="007110AB" w:rsidRPr="007A70FB" w:rsidRDefault="007110AB" w:rsidP="00903E55">
            <w:pPr>
              <w:pStyle w:val="Tabletext"/>
              <w:rPr>
                <w:highlight w:val="yellow"/>
              </w:rPr>
            </w:pPr>
            <w:r w:rsidRPr="007A70FB">
              <w:t xml:space="preserve">Bazhevona et al. Brigatinib (BRG) in anaplastic lymphoma kinase (ALK)-positive non-small cell lung cancer (NSCLC): Long-term efficacy and safety results from a phase 1/2 trial. </w:t>
            </w:r>
          </w:p>
        </w:tc>
        <w:tc>
          <w:tcPr>
            <w:tcW w:w="1701" w:type="pct"/>
            <w:tcBorders>
              <w:top w:val="nil"/>
              <w:bottom w:val="single" w:sz="4" w:space="0" w:color="auto"/>
            </w:tcBorders>
          </w:tcPr>
          <w:p w:rsidR="007110AB" w:rsidRPr="007A70FB" w:rsidRDefault="007110AB" w:rsidP="00227543">
            <w:pPr>
              <w:pStyle w:val="Tabletext"/>
              <w:rPr>
                <w:i/>
                <w:highlight w:val="yellow"/>
              </w:rPr>
            </w:pPr>
            <w:r w:rsidRPr="007A70FB">
              <w:rPr>
                <w:i/>
                <w:iCs/>
              </w:rPr>
              <w:t>Annals of Oncology</w:t>
            </w:r>
            <w:r w:rsidR="00227543" w:rsidRPr="007A70FB">
              <w:rPr>
                <w:i/>
                <w:iCs/>
              </w:rPr>
              <w:t xml:space="preserve"> </w:t>
            </w:r>
            <w:r w:rsidR="00227543" w:rsidRPr="007A70FB">
              <w:rPr>
                <w:iCs/>
              </w:rPr>
              <w:t>2017;</w:t>
            </w:r>
            <w:r w:rsidRPr="007A70FB">
              <w:t xml:space="preserve"> Conference: 42nd ESMO Congress</w:t>
            </w:r>
            <w:r w:rsidR="00227543" w:rsidRPr="007A70FB">
              <w:t xml:space="preserve">; </w:t>
            </w:r>
            <w:r w:rsidRPr="007A70FB">
              <w:t>28(Supplement 5)</w:t>
            </w:r>
            <w:r w:rsidR="00227543" w:rsidRPr="007A70FB">
              <w:t xml:space="preserve">: </w:t>
            </w:r>
            <w:r w:rsidRPr="007A70FB">
              <w:t>v479-v480.</w:t>
            </w:r>
          </w:p>
        </w:tc>
      </w:tr>
      <w:tr w:rsidR="007110AB" w:rsidRPr="007A70FB" w:rsidTr="00CB5DCA">
        <w:tc>
          <w:tcPr>
            <w:tcW w:w="815" w:type="pct"/>
            <w:tcBorders>
              <w:top w:val="nil"/>
              <w:bottom w:val="single" w:sz="4" w:space="0" w:color="auto"/>
            </w:tcBorders>
          </w:tcPr>
          <w:p w:rsidR="007110AB" w:rsidRPr="007A70FB" w:rsidRDefault="00D25D44" w:rsidP="00903E55">
            <w:pPr>
              <w:pStyle w:val="Tabletext"/>
            </w:pPr>
            <w:r w:rsidRPr="007A70FB">
              <w:t>A</w:t>
            </w:r>
            <w:r w:rsidR="007110AB" w:rsidRPr="007A70FB">
              <w:t>nalyses of ALTA and Gettinger 2016</w:t>
            </w:r>
          </w:p>
        </w:tc>
        <w:tc>
          <w:tcPr>
            <w:tcW w:w="2484" w:type="pct"/>
            <w:tcBorders>
              <w:top w:val="single" w:sz="4" w:space="0" w:color="auto"/>
              <w:bottom w:val="single" w:sz="4" w:space="0" w:color="auto"/>
            </w:tcBorders>
          </w:tcPr>
          <w:p w:rsidR="007110AB" w:rsidRPr="007A70FB" w:rsidRDefault="007110AB" w:rsidP="00903E55">
            <w:pPr>
              <w:pStyle w:val="Tabletext"/>
            </w:pPr>
            <w:r w:rsidRPr="007A70FB">
              <w:t xml:space="preserve">Bazhenova L., Hodgson J.G., Langer C.J. et al. Activity of brigatinib (BRG) in crizotinib (CRZ)-resistant ALK+ NSCLC patients (pts) according to ALK plasma mutation status. </w:t>
            </w:r>
          </w:p>
        </w:tc>
        <w:tc>
          <w:tcPr>
            <w:tcW w:w="1701" w:type="pct"/>
            <w:tcBorders>
              <w:top w:val="single" w:sz="4" w:space="0" w:color="auto"/>
              <w:bottom w:val="single" w:sz="4" w:space="0" w:color="auto"/>
            </w:tcBorders>
            <w:shd w:val="clear" w:color="auto" w:fill="auto"/>
          </w:tcPr>
          <w:p w:rsidR="007110AB" w:rsidRPr="007A70FB" w:rsidRDefault="007110AB" w:rsidP="00CB5DCA">
            <w:pPr>
              <w:pStyle w:val="Tabletext"/>
              <w:rPr>
                <w:i/>
              </w:rPr>
            </w:pPr>
            <w:r w:rsidRPr="007A70FB">
              <w:rPr>
                <w:i/>
                <w:iCs/>
              </w:rPr>
              <w:t>Journal of Clinical Oncology</w:t>
            </w:r>
            <w:r w:rsidR="00CB5DCA" w:rsidRPr="007A70FB">
              <w:rPr>
                <w:i/>
                <w:iCs/>
              </w:rPr>
              <w:t xml:space="preserve"> </w:t>
            </w:r>
            <w:r w:rsidR="00CB5DCA" w:rsidRPr="007A70FB">
              <w:rPr>
                <w:iCs/>
              </w:rPr>
              <w:t>2017;</w:t>
            </w:r>
            <w:r w:rsidRPr="007A70FB">
              <w:t xml:space="preserve"> Conference: 2017 Annual Meeting of the American Society of Clinical Oncology</w:t>
            </w:r>
            <w:r w:rsidR="00CB5DCA" w:rsidRPr="007A70FB">
              <w:t xml:space="preserve">; </w:t>
            </w:r>
            <w:r w:rsidRPr="007A70FB">
              <w:t>35(15 Supplement)</w:t>
            </w:r>
            <w:r w:rsidR="00CB5DCA" w:rsidRPr="007A70FB">
              <w:t>: 9065</w:t>
            </w:r>
          </w:p>
        </w:tc>
      </w:tr>
      <w:tr w:rsidR="007110AB" w:rsidRPr="007A70FB" w:rsidTr="00CB5DCA">
        <w:tc>
          <w:tcPr>
            <w:tcW w:w="815" w:type="pct"/>
            <w:tcBorders>
              <w:top w:val="single" w:sz="4" w:space="0" w:color="auto"/>
              <w:bottom w:val="single" w:sz="4" w:space="0" w:color="auto"/>
            </w:tcBorders>
          </w:tcPr>
          <w:p w:rsidR="007110AB" w:rsidRPr="007A70FB" w:rsidRDefault="00D25D44" w:rsidP="00903E55">
            <w:pPr>
              <w:pStyle w:val="Tabletext"/>
            </w:pPr>
            <w:r w:rsidRPr="007A70FB">
              <w:t>Pooled: ALTA and Gettinger 2016</w:t>
            </w:r>
          </w:p>
        </w:tc>
        <w:tc>
          <w:tcPr>
            <w:tcW w:w="2484" w:type="pct"/>
            <w:tcBorders>
              <w:top w:val="single" w:sz="4" w:space="0" w:color="auto"/>
              <w:bottom w:val="single" w:sz="4" w:space="0" w:color="auto"/>
            </w:tcBorders>
          </w:tcPr>
          <w:p w:rsidR="007110AB" w:rsidRPr="007A70FB" w:rsidRDefault="007110AB" w:rsidP="00903E55">
            <w:pPr>
              <w:pStyle w:val="Tabletext"/>
            </w:pPr>
            <w:r w:rsidRPr="007A70FB">
              <w:t xml:space="preserve">Gettinger S., Kim D.-W., Tiseo M. et al. Brigatinib activity in patients with ALK+ NSCLC and intracranial cns metastases in two clinical trials. </w:t>
            </w:r>
          </w:p>
        </w:tc>
        <w:tc>
          <w:tcPr>
            <w:tcW w:w="1701" w:type="pct"/>
            <w:tcBorders>
              <w:top w:val="single" w:sz="4" w:space="0" w:color="auto"/>
              <w:bottom w:val="single" w:sz="4" w:space="0" w:color="auto"/>
            </w:tcBorders>
            <w:shd w:val="clear" w:color="auto" w:fill="auto"/>
          </w:tcPr>
          <w:p w:rsidR="007110AB" w:rsidRPr="007A70FB" w:rsidRDefault="007110AB" w:rsidP="00CB5DCA">
            <w:pPr>
              <w:pStyle w:val="Tabletext"/>
              <w:rPr>
                <w:i/>
              </w:rPr>
            </w:pPr>
            <w:r w:rsidRPr="007A70FB">
              <w:rPr>
                <w:i/>
                <w:iCs/>
              </w:rPr>
              <w:t>Journal of Thoracic Oncology</w:t>
            </w:r>
            <w:r w:rsidR="00CB5DCA" w:rsidRPr="007A70FB">
              <w:rPr>
                <w:i/>
                <w:iCs/>
              </w:rPr>
              <w:t xml:space="preserve"> </w:t>
            </w:r>
            <w:r w:rsidR="00CB5DCA" w:rsidRPr="007A70FB">
              <w:rPr>
                <w:iCs/>
              </w:rPr>
              <w:t>2017;</w:t>
            </w:r>
            <w:r w:rsidRPr="007A70FB">
              <w:rPr>
                <w:i/>
              </w:rPr>
              <w:t xml:space="preserve"> </w:t>
            </w:r>
            <w:r w:rsidRPr="007A70FB">
              <w:t>Conference: 17th World Conference of the International Association for the Study of Lung Cancer</w:t>
            </w:r>
            <w:r w:rsidR="00CB5DCA" w:rsidRPr="007A70FB">
              <w:t>;</w:t>
            </w:r>
            <w:r w:rsidRPr="007A70FB">
              <w:t xml:space="preserve"> 12(1 Supplement 1)</w:t>
            </w:r>
            <w:r w:rsidR="00CB5DCA" w:rsidRPr="007A70FB">
              <w:t xml:space="preserve">: </w:t>
            </w:r>
            <w:r w:rsidRPr="007A70FB">
              <w:t>S273-S274</w:t>
            </w:r>
            <w:r w:rsidR="00CB5DCA" w:rsidRPr="007A70FB">
              <w:t>.</w:t>
            </w:r>
          </w:p>
        </w:tc>
      </w:tr>
    </w:tbl>
    <w:p w:rsidR="007110AB" w:rsidRPr="007A70FB" w:rsidRDefault="007110AB" w:rsidP="00903E55">
      <w:pPr>
        <w:pStyle w:val="TableFooter"/>
        <w:widowControl/>
        <w:rPr>
          <w:sz w:val="20"/>
        </w:rPr>
      </w:pPr>
      <w:r w:rsidRPr="007A70FB">
        <w:t>Source: Table 2.2.1 pp54-57 of the submission.</w:t>
      </w:r>
    </w:p>
    <w:p w:rsidR="007110AB" w:rsidRPr="007A70FB" w:rsidRDefault="007110AB" w:rsidP="00FE0FA7">
      <w:pPr>
        <w:pStyle w:val="ListParagraph"/>
        <w:widowControl/>
        <w:numPr>
          <w:ilvl w:val="1"/>
          <w:numId w:val="1"/>
        </w:numPr>
        <w:spacing w:before="120" w:after="120"/>
      </w:pPr>
      <w:r w:rsidRPr="007A70FB">
        <w:t xml:space="preserve">The key features of the studies are summarised in the </w:t>
      </w:r>
      <w:r w:rsidR="00191E70" w:rsidRPr="007A70FB">
        <w:t>table</w:t>
      </w:r>
      <w:r w:rsidRPr="007A70FB">
        <w:t xml:space="preserve"> below</w:t>
      </w:r>
      <w:r w:rsidR="007A70FB">
        <w:t xml:space="preserve">. </w:t>
      </w:r>
    </w:p>
    <w:p w:rsidR="007110AB" w:rsidRPr="007A70FB" w:rsidRDefault="007110AB" w:rsidP="002244A1">
      <w:pPr>
        <w:pStyle w:val="Caption"/>
        <w:keepNext/>
        <w:spacing w:after="0"/>
        <w:rPr>
          <w:rStyle w:val="CommentReference"/>
          <w:b/>
        </w:rPr>
      </w:pPr>
      <w:r w:rsidRPr="007A70FB">
        <w:rPr>
          <w:rStyle w:val="CommentReference"/>
          <w:b/>
        </w:rPr>
        <w:lastRenderedPageBreak/>
        <w:t xml:space="preserve">Table </w:t>
      </w:r>
      <w:r w:rsidR="008267CB" w:rsidRPr="007A70FB">
        <w:rPr>
          <w:rStyle w:val="CommentReference"/>
          <w:b/>
        </w:rPr>
        <w:t>4</w:t>
      </w:r>
      <w:r w:rsidRPr="007A70FB">
        <w:rPr>
          <w:rStyle w:val="CommentReference"/>
          <w:b/>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5: Key features of the included evidence"/>
      </w:tblPr>
      <w:tblGrid>
        <w:gridCol w:w="924"/>
        <w:gridCol w:w="822"/>
        <w:gridCol w:w="2770"/>
        <w:gridCol w:w="723"/>
        <w:gridCol w:w="2694"/>
        <w:gridCol w:w="1084"/>
      </w:tblGrid>
      <w:tr w:rsidR="007110AB" w:rsidRPr="007A70FB" w:rsidTr="00C45DFE">
        <w:trPr>
          <w:tblHeader/>
        </w:trPr>
        <w:tc>
          <w:tcPr>
            <w:tcW w:w="512" w:type="pct"/>
            <w:tcBorders>
              <w:bottom w:val="single" w:sz="4" w:space="0" w:color="auto"/>
            </w:tcBorders>
            <w:shd w:val="clear" w:color="auto" w:fill="auto"/>
            <w:vAlign w:val="center"/>
          </w:tcPr>
          <w:p w:rsidR="007110AB" w:rsidRPr="007A70FB" w:rsidRDefault="007110AB" w:rsidP="002244A1">
            <w:pPr>
              <w:pStyle w:val="Tabletext"/>
              <w:keepNext/>
              <w:rPr>
                <w:b/>
              </w:rPr>
            </w:pPr>
            <w:r w:rsidRPr="007A70FB">
              <w:rPr>
                <w:b/>
              </w:rPr>
              <w:t>Trial</w:t>
            </w:r>
          </w:p>
        </w:tc>
        <w:tc>
          <w:tcPr>
            <w:tcW w:w="456" w:type="pct"/>
            <w:tcBorders>
              <w:bottom w:val="single" w:sz="4" w:space="0" w:color="auto"/>
            </w:tcBorders>
            <w:shd w:val="clear" w:color="auto" w:fill="auto"/>
            <w:vAlign w:val="center"/>
          </w:tcPr>
          <w:p w:rsidR="007110AB" w:rsidRPr="007A70FB" w:rsidRDefault="007110AB" w:rsidP="002244A1">
            <w:pPr>
              <w:pStyle w:val="Tabletext"/>
              <w:keepNext/>
              <w:jc w:val="center"/>
              <w:rPr>
                <w:b/>
              </w:rPr>
            </w:pPr>
            <w:r w:rsidRPr="007A70FB">
              <w:rPr>
                <w:b/>
              </w:rPr>
              <w:t>N</w:t>
            </w:r>
          </w:p>
        </w:tc>
        <w:tc>
          <w:tcPr>
            <w:tcW w:w="1535" w:type="pct"/>
            <w:tcBorders>
              <w:bottom w:val="single" w:sz="4" w:space="0" w:color="auto"/>
            </w:tcBorders>
            <w:shd w:val="clear" w:color="auto" w:fill="auto"/>
            <w:vAlign w:val="center"/>
          </w:tcPr>
          <w:p w:rsidR="007110AB" w:rsidRPr="007A70FB" w:rsidRDefault="007110AB" w:rsidP="002244A1">
            <w:pPr>
              <w:pStyle w:val="Tabletext"/>
              <w:keepNext/>
              <w:jc w:val="center"/>
              <w:rPr>
                <w:b/>
              </w:rPr>
            </w:pPr>
            <w:r w:rsidRPr="007A70FB">
              <w:rPr>
                <w:b/>
              </w:rPr>
              <w:t>Design/ duration</w:t>
            </w:r>
          </w:p>
        </w:tc>
        <w:tc>
          <w:tcPr>
            <w:tcW w:w="401" w:type="pct"/>
            <w:tcBorders>
              <w:bottom w:val="single" w:sz="4" w:space="0" w:color="auto"/>
            </w:tcBorders>
            <w:shd w:val="clear" w:color="auto" w:fill="auto"/>
            <w:vAlign w:val="center"/>
          </w:tcPr>
          <w:p w:rsidR="007110AB" w:rsidRPr="007A70FB" w:rsidRDefault="007110AB" w:rsidP="002244A1">
            <w:pPr>
              <w:pStyle w:val="Tabletext"/>
              <w:keepNext/>
              <w:jc w:val="center"/>
              <w:rPr>
                <w:b/>
              </w:rPr>
            </w:pPr>
            <w:r w:rsidRPr="007A70FB">
              <w:rPr>
                <w:b/>
              </w:rPr>
              <w:t>Risk of bias</w:t>
            </w:r>
          </w:p>
        </w:tc>
        <w:tc>
          <w:tcPr>
            <w:tcW w:w="1493" w:type="pct"/>
            <w:tcBorders>
              <w:bottom w:val="single" w:sz="4" w:space="0" w:color="auto"/>
            </w:tcBorders>
            <w:shd w:val="clear" w:color="auto" w:fill="auto"/>
            <w:vAlign w:val="center"/>
          </w:tcPr>
          <w:p w:rsidR="007110AB" w:rsidRPr="007A70FB" w:rsidRDefault="007110AB" w:rsidP="002244A1">
            <w:pPr>
              <w:pStyle w:val="Tabletext"/>
              <w:keepNext/>
              <w:jc w:val="center"/>
              <w:rPr>
                <w:b/>
              </w:rPr>
            </w:pPr>
            <w:r w:rsidRPr="007A70FB">
              <w:rPr>
                <w:b/>
              </w:rPr>
              <w:t>Patient population</w:t>
            </w:r>
          </w:p>
        </w:tc>
        <w:tc>
          <w:tcPr>
            <w:tcW w:w="601" w:type="pct"/>
            <w:tcBorders>
              <w:bottom w:val="single" w:sz="4" w:space="0" w:color="auto"/>
            </w:tcBorders>
            <w:shd w:val="clear" w:color="auto" w:fill="auto"/>
            <w:vAlign w:val="center"/>
          </w:tcPr>
          <w:p w:rsidR="007110AB" w:rsidRPr="007A70FB" w:rsidRDefault="007110AB" w:rsidP="002244A1">
            <w:pPr>
              <w:pStyle w:val="Tabletext"/>
              <w:keepNext/>
              <w:ind w:right="-91"/>
              <w:jc w:val="center"/>
              <w:rPr>
                <w:b/>
              </w:rPr>
            </w:pPr>
            <w:r w:rsidRPr="007A70FB">
              <w:rPr>
                <w:b/>
              </w:rPr>
              <w:t>Outcomes</w:t>
            </w:r>
          </w:p>
        </w:tc>
      </w:tr>
      <w:tr w:rsidR="007110AB" w:rsidRPr="007A70FB" w:rsidTr="00C45DFE">
        <w:tc>
          <w:tcPr>
            <w:tcW w:w="512" w:type="pct"/>
            <w:tcBorders>
              <w:right w:val="nil"/>
            </w:tcBorders>
            <w:shd w:val="clear" w:color="auto" w:fill="auto"/>
            <w:vAlign w:val="center"/>
          </w:tcPr>
          <w:p w:rsidR="007110AB" w:rsidRPr="007A70FB" w:rsidRDefault="007110AB" w:rsidP="000E0129">
            <w:pPr>
              <w:pStyle w:val="Tabletext"/>
              <w:keepNext/>
              <w:rPr>
                <w:b/>
                <w:bCs/>
              </w:rPr>
            </w:pPr>
            <w:r w:rsidRPr="007A70FB">
              <w:rPr>
                <w:b/>
                <w:bCs/>
              </w:rPr>
              <w:t>Lorlatinib</w:t>
            </w:r>
          </w:p>
        </w:tc>
        <w:tc>
          <w:tcPr>
            <w:tcW w:w="456" w:type="pct"/>
            <w:tcBorders>
              <w:left w:val="nil"/>
              <w:right w:val="nil"/>
            </w:tcBorders>
            <w:shd w:val="clear" w:color="auto" w:fill="auto"/>
            <w:vAlign w:val="center"/>
          </w:tcPr>
          <w:p w:rsidR="007110AB" w:rsidRPr="007A70FB" w:rsidRDefault="007110AB" w:rsidP="000E0129">
            <w:pPr>
              <w:pStyle w:val="Tabletext"/>
              <w:keepNext/>
              <w:jc w:val="center"/>
              <w:rPr>
                <w:b/>
                <w:bCs/>
              </w:rPr>
            </w:pPr>
          </w:p>
        </w:tc>
        <w:tc>
          <w:tcPr>
            <w:tcW w:w="1535" w:type="pct"/>
            <w:tcBorders>
              <w:left w:val="nil"/>
              <w:right w:val="nil"/>
            </w:tcBorders>
            <w:shd w:val="clear" w:color="auto" w:fill="auto"/>
            <w:vAlign w:val="center"/>
          </w:tcPr>
          <w:p w:rsidR="007110AB" w:rsidRPr="007A70FB" w:rsidRDefault="007110AB" w:rsidP="000E0129">
            <w:pPr>
              <w:pStyle w:val="Tabletext"/>
              <w:keepNext/>
              <w:jc w:val="center"/>
              <w:rPr>
                <w:b/>
                <w:bCs/>
              </w:rPr>
            </w:pPr>
          </w:p>
        </w:tc>
        <w:tc>
          <w:tcPr>
            <w:tcW w:w="401" w:type="pct"/>
            <w:tcBorders>
              <w:left w:val="nil"/>
              <w:right w:val="nil"/>
            </w:tcBorders>
            <w:shd w:val="clear" w:color="auto" w:fill="auto"/>
            <w:vAlign w:val="center"/>
          </w:tcPr>
          <w:p w:rsidR="007110AB" w:rsidRPr="007A70FB" w:rsidRDefault="007110AB" w:rsidP="000E0129">
            <w:pPr>
              <w:pStyle w:val="Tabletext"/>
              <w:keepNext/>
              <w:jc w:val="center"/>
              <w:rPr>
                <w:b/>
                <w:bCs/>
              </w:rPr>
            </w:pPr>
          </w:p>
        </w:tc>
        <w:tc>
          <w:tcPr>
            <w:tcW w:w="1493" w:type="pct"/>
            <w:tcBorders>
              <w:left w:val="nil"/>
              <w:right w:val="nil"/>
            </w:tcBorders>
            <w:shd w:val="clear" w:color="auto" w:fill="auto"/>
            <w:vAlign w:val="center"/>
          </w:tcPr>
          <w:p w:rsidR="007110AB" w:rsidRPr="007A70FB" w:rsidRDefault="007110AB" w:rsidP="000E0129">
            <w:pPr>
              <w:pStyle w:val="Tabletext"/>
              <w:keepNext/>
              <w:jc w:val="center"/>
              <w:rPr>
                <w:b/>
                <w:bCs/>
              </w:rPr>
            </w:pPr>
          </w:p>
        </w:tc>
        <w:tc>
          <w:tcPr>
            <w:tcW w:w="601" w:type="pct"/>
            <w:tcBorders>
              <w:left w:val="nil"/>
            </w:tcBorders>
            <w:shd w:val="clear" w:color="auto" w:fill="auto"/>
            <w:vAlign w:val="center"/>
          </w:tcPr>
          <w:p w:rsidR="007110AB" w:rsidRPr="007A70FB" w:rsidRDefault="007110AB" w:rsidP="000E0129">
            <w:pPr>
              <w:pStyle w:val="Tabletext"/>
              <w:keepNext/>
              <w:ind w:right="-91"/>
              <w:jc w:val="center"/>
              <w:rPr>
                <w:b/>
                <w:bCs/>
              </w:rPr>
            </w:pPr>
          </w:p>
        </w:tc>
      </w:tr>
      <w:tr w:rsidR="007110AB" w:rsidRPr="007A70FB" w:rsidTr="00C45DFE">
        <w:tc>
          <w:tcPr>
            <w:tcW w:w="512" w:type="pct"/>
            <w:tcBorders>
              <w:bottom w:val="single" w:sz="4" w:space="0" w:color="auto"/>
            </w:tcBorders>
            <w:shd w:val="clear" w:color="auto" w:fill="auto"/>
            <w:vAlign w:val="center"/>
          </w:tcPr>
          <w:p w:rsidR="007110AB" w:rsidRPr="007A70FB" w:rsidRDefault="007110AB" w:rsidP="000E0129">
            <w:pPr>
              <w:pStyle w:val="Tabletext"/>
              <w:keepNext/>
            </w:pPr>
            <w:r w:rsidRPr="007A70FB">
              <w:t>Study 1001</w:t>
            </w:r>
          </w:p>
        </w:tc>
        <w:tc>
          <w:tcPr>
            <w:tcW w:w="456" w:type="pct"/>
            <w:tcBorders>
              <w:bottom w:val="single" w:sz="4" w:space="0" w:color="auto"/>
            </w:tcBorders>
            <w:shd w:val="clear" w:color="auto" w:fill="auto"/>
            <w:vAlign w:val="center"/>
          </w:tcPr>
          <w:p w:rsidR="007110AB" w:rsidRPr="007A70FB" w:rsidRDefault="007110AB" w:rsidP="000E0129">
            <w:pPr>
              <w:pStyle w:val="Tabletext"/>
              <w:keepNext/>
            </w:pPr>
            <w:r w:rsidRPr="007A70FB">
              <w:t xml:space="preserve">276 </w:t>
            </w:r>
          </w:p>
          <w:p w:rsidR="007110AB" w:rsidRPr="007A70FB" w:rsidRDefault="007110AB" w:rsidP="000E0129">
            <w:pPr>
              <w:pStyle w:val="Tabletext"/>
              <w:keepNext/>
            </w:pPr>
            <w:r w:rsidRPr="007A70FB">
              <w:t>(Phase II)</w:t>
            </w:r>
          </w:p>
        </w:tc>
        <w:tc>
          <w:tcPr>
            <w:tcW w:w="1535" w:type="pct"/>
            <w:tcBorders>
              <w:bottom w:val="single" w:sz="4" w:space="0" w:color="auto"/>
            </w:tcBorders>
            <w:shd w:val="clear" w:color="auto" w:fill="auto"/>
            <w:vAlign w:val="center"/>
          </w:tcPr>
          <w:p w:rsidR="007110AB" w:rsidRPr="007A70FB" w:rsidRDefault="007110AB" w:rsidP="000E0129">
            <w:pPr>
              <w:pStyle w:val="Tabletext"/>
              <w:keepNext/>
            </w:pPr>
            <w:r w:rsidRPr="007A70FB">
              <w:t>Multicentre, single-arm, open label</w:t>
            </w:r>
          </w:p>
          <w:p w:rsidR="007110AB" w:rsidRPr="007A70FB" w:rsidRDefault="007110AB" w:rsidP="000E0129">
            <w:pPr>
              <w:pStyle w:val="Tabletext"/>
              <w:keepNext/>
            </w:pPr>
          </w:p>
          <w:p w:rsidR="008D41F1" w:rsidRDefault="007110AB" w:rsidP="003A6481">
            <w:pPr>
              <w:pStyle w:val="Tabletext"/>
              <w:keepNext/>
            </w:pPr>
            <w:r w:rsidRPr="007A70FB">
              <w:t>(Phase I: Multicentre, single-arm, open label, multi-dose, dose-escalation, safety, PK, PD exploration study)</w:t>
            </w:r>
          </w:p>
          <w:p w:rsidR="003A6481" w:rsidRPr="007A70FB" w:rsidRDefault="003A6481" w:rsidP="003A6481">
            <w:pPr>
              <w:pStyle w:val="Tabletext"/>
              <w:keepNext/>
            </w:pPr>
          </w:p>
          <w:p w:rsidR="00881372" w:rsidRPr="007A70FB" w:rsidRDefault="00881372" w:rsidP="000E0129">
            <w:pPr>
              <w:pStyle w:val="Tabletext"/>
              <w:keepNext/>
            </w:pPr>
            <w:r w:rsidRPr="007A70FB">
              <w:t>Median duration of treatment</w:t>
            </w:r>
            <w:r w:rsidR="00E523BB" w:rsidRPr="007A70FB">
              <w:t xml:space="preserve"> </w:t>
            </w:r>
            <w:r w:rsidR="00E523BB" w:rsidRPr="007A70FB">
              <w:br/>
              <w:t>(data cut-off: 15-Mar-17)</w:t>
            </w:r>
            <w:r w:rsidRPr="007A70FB">
              <w:t xml:space="preserve">: </w:t>
            </w:r>
          </w:p>
          <w:p w:rsidR="008212DF" w:rsidRPr="007A70FB" w:rsidRDefault="007110AB" w:rsidP="000E0129">
            <w:pPr>
              <w:pStyle w:val="Tabletext"/>
              <w:keepNext/>
            </w:pPr>
            <w:r w:rsidRPr="007A70FB">
              <w:t>EXP</w:t>
            </w:r>
            <w:r w:rsidR="001A1BE2" w:rsidRPr="007A70FB">
              <w:t>-</w:t>
            </w:r>
            <w:r w:rsidR="00881372" w:rsidRPr="007A70FB">
              <w:t>2</w:t>
            </w:r>
            <w:r w:rsidR="005E5CC2" w:rsidRPr="007A70FB">
              <w:t>, 8.0 months</w:t>
            </w:r>
          </w:p>
          <w:p w:rsidR="008212DF" w:rsidRPr="007A70FB" w:rsidRDefault="00881372" w:rsidP="000E0129">
            <w:pPr>
              <w:pStyle w:val="Tabletext"/>
              <w:keepNext/>
            </w:pPr>
            <w:r w:rsidRPr="007A70FB">
              <w:t xml:space="preserve">EXP-3, </w:t>
            </w:r>
            <w:r w:rsidR="008212DF" w:rsidRPr="007A70FB">
              <w:t>7.6 months</w:t>
            </w:r>
          </w:p>
          <w:p w:rsidR="008212DF" w:rsidRPr="007A70FB" w:rsidRDefault="008212DF" w:rsidP="000E0129">
            <w:pPr>
              <w:pStyle w:val="Tabletext"/>
              <w:keepNext/>
            </w:pPr>
            <w:r w:rsidRPr="007A70FB">
              <w:t>EXP-4: 7.7 months</w:t>
            </w:r>
            <w:r w:rsidR="007110AB" w:rsidRPr="007A70FB">
              <w:t xml:space="preserve"> </w:t>
            </w:r>
          </w:p>
          <w:p w:rsidR="007110AB" w:rsidRPr="007A70FB" w:rsidRDefault="007110AB" w:rsidP="000E0129">
            <w:pPr>
              <w:pStyle w:val="Tabletext"/>
              <w:keepNext/>
            </w:pPr>
            <w:r w:rsidRPr="007A70FB">
              <w:t>EXP-</w:t>
            </w:r>
            <w:r w:rsidR="001A1BE2" w:rsidRPr="007A70FB">
              <w:t>5</w:t>
            </w:r>
            <w:r w:rsidR="005E5CC2" w:rsidRPr="007A70FB">
              <w:t>, 8.7</w:t>
            </w:r>
            <w:r w:rsidR="00567085" w:rsidRPr="007A70FB">
              <w:t xml:space="preserve"> </w:t>
            </w:r>
            <w:r w:rsidR="005E5CC2" w:rsidRPr="007A70FB">
              <w:t>months</w:t>
            </w:r>
          </w:p>
          <w:p w:rsidR="007110AB" w:rsidRPr="007A70FB" w:rsidRDefault="007110AB" w:rsidP="000E0129">
            <w:pPr>
              <w:pStyle w:val="Tabletext"/>
              <w:keepNext/>
            </w:pPr>
          </w:p>
          <w:p w:rsidR="007110AB" w:rsidRPr="007A70FB" w:rsidRDefault="007110AB" w:rsidP="000E0129">
            <w:pPr>
              <w:pStyle w:val="Tabletext"/>
              <w:keepNext/>
              <w:rPr>
                <w:iCs/>
              </w:rPr>
            </w:pPr>
            <w:r w:rsidRPr="007A70FB">
              <w:rPr>
                <w:iCs/>
              </w:rPr>
              <w:t>Note: study is ongoing (duration of 3 years), expected study completion date: August 2020</w:t>
            </w:r>
          </w:p>
        </w:tc>
        <w:tc>
          <w:tcPr>
            <w:tcW w:w="401" w:type="pct"/>
            <w:tcBorders>
              <w:bottom w:val="single" w:sz="4" w:space="0" w:color="auto"/>
            </w:tcBorders>
            <w:shd w:val="clear" w:color="auto" w:fill="auto"/>
            <w:vAlign w:val="center"/>
          </w:tcPr>
          <w:p w:rsidR="007110AB" w:rsidRPr="007A70FB" w:rsidRDefault="007110AB" w:rsidP="000E0129">
            <w:pPr>
              <w:pStyle w:val="Tabletext"/>
              <w:keepNext/>
              <w:jc w:val="center"/>
            </w:pPr>
            <w:r w:rsidRPr="007A70FB">
              <w:t>High</w:t>
            </w:r>
          </w:p>
        </w:tc>
        <w:tc>
          <w:tcPr>
            <w:tcW w:w="1493" w:type="pct"/>
            <w:tcBorders>
              <w:bottom w:val="single" w:sz="4" w:space="0" w:color="auto"/>
            </w:tcBorders>
            <w:shd w:val="clear" w:color="auto" w:fill="auto"/>
            <w:vAlign w:val="center"/>
          </w:tcPr>
          <w:p w:rsidR="007110AB" w:rsidRPr="007A70FB" w:rsidRDefault="007110AB" w:rsidP="000E0129">
            <w:pPr>
              <w:pStyle w:val="Tabletext"/>
              <w:keepNext/>
            </w:pPr>
            <w:r w:rsidRPr="007A70FB">
              <w:t xml:space="preserve">Phase II: </w:t>
            </w:r>
          </w:p>
          <w:p w:rsidR="007110AB" w:rsidRPr="007A70FB" w:rsidRDefault="007110AB" w:rsidP="00FE0FA7">
            <w:pPr>
              <w:pStyle w:val="Tabletext"/>
              <w:keepNext/>
              <w:numPr>
                <w:ilvl w:val="0"/>
                <w:numId w:val="8"/>
              </w:numPr>
              <w:ind w:left="232" w:hanging="192"/>
            </w:pPr>
            <w:r w:rsidRPr="007A70FB">
              <w:t>EXP-1: Treatment naïve (N=30).</w:t>
            </w:r>
          </w:p>
          <w:p w:rsidR="007110AB" w:rsidRPr="007A70FB" w:rsidRDefault="007110AB" w:rsidP="00FE0FA7">
            <w:pPr>
              <w:pStyle w:val="Tabletext"/>
              <w:keepNext/>
              <w:numPr>
                <w:ilvl w:val="0"/>
                <w:numId w:val="8"/>
              </w:numPr>
              <w:ind w:left="232" w:hanging="192"/>
            </w:pPr>
            <w:r w:rsidRPr="007A70FB">
              <w:t>EXP-2: PD after crizotinib (N=27).</w:t>
            </w:r>
          </w:p>
          <w:p w:rsidR="007110AB" w:rsidRPr="007A70FB" w:rsidRDefault="007110AB" w:rsidP="00FE0FA7">
            <w:pPr>
              <w:pStyle w:val="Tabletext"/>
              <w:keepNext/>
              <w:numPr>
                <w:ilvl w:val="0"/>
                <w:numId w:val="8"/>
              </w:numPr>
              <w:ind w:left="232" w:hanging="192"/>
            </w:pPr>
            <w:r w:rsidRPr="007A70FB">
              <w:t xml:space="preserve">EXP-3: PD after crizotinib </w:t>
            </w:r>
            <w:r w:rsidR="00E342ED" w:rsidRPr="007A70FB">
              <w:t>or oth</w:t>
            </w:r>
            <w:r w:rsidR="00094EC2" w:rsidRPr="007A70FB">
              <w:t>e</w:t>
            </w:r>
            <w:r w:rsidR="00E342ED" w:rsidRPr="007A70FB">
              <w:t xml:space="preserve">r TKI </w:t>
            </w:r>
            <w:r w:rsidRPr="007A70FB">
              <w:t>and prior chemotherapy (1 or 2 lines) (N=60).</w:t>
            </w:r>
          </w:p>
          <w:p w:rsidR="007110AB" w:rsidRPr="007A70FB" w:rsidRDefault="007110AB" w:rsidP="00FE0FA7">
            <w:pPr>
              <w:pStyle w:val="Tabletext"/>
              <w:keepNext/>
              <w:numPr>
                <w:ilvl w:val="0"/>
                <w:numId w:val="8"/>
              </w:numPr>
              <w:ind w:left="232" w:hanging="192"/>
            </w:pPr>
            <w:r w:rsidRPr="007A70FB">
              <w:t>EXP-4: PD after 2 lines of ALK inhibitor therapy/prior chemotherapy (any no. of lines) (N=65)</w:t>
            </w:r>
            <w:r w:rsidR="007A70FB">
              <w:t xml:space="preserve">. </w:t>
            </w:r>
          </w:p>
          <w:p w:rsidR="007110AB" w:rsidRPr="007A70FB" w:rsidRDefault="007110AB" w:rsidP="00FE0FA7">
            <w:pPr>
              <w:pStyle w:val="Tabletext"/>
              <w:keepNext/>
              <w:numPr>
                <w:ilvl w:val="0"/>
                <w:numId w:val="8"/>
              </w:numPr>
              <w:ind w:left="232" w:hanging="192"/>
            </w:pPr>
            <w:r w:rsidRPr="007A70FB">
              <w:t>EXP-5: Failed 3 lines of ALK inhibitor therapy/prior chemotherapy (any no. of lines) (N=46).</w:t>
            </w:r>
          </w:p>
          <w:p w:rsidR="007110AB" w:rsidRPr="007A70FB" w:rsidRDefault="007110AB" w:rsidP="00FE0FA7">
            <w:pPr>
              <w:pStyle w:val="Tabletext"/>
              <w:keepNext/>
              <w:numPr>
                <w:ilvl w:val="0"/>
                <w:numId w:val="8"/>
              </w:numPr>
              <w:ind w:left="232" w:hanging="192"/>
            </w:pPr>
            <w:r w:rsidRPr="007A70FB">
              <w:t xml:space="preserve">EXP-6: ROS 1-positive, treatment naïve/prior chemotherapy (any no. of lines) (N=47). </w:t>
            </w:r>
          </w:p>
          <w:p w:rsidR="007110AB" w:rsidRPr="007A70FB" w:rsidRDefault="007110AB" w:rsidP="000E0129">
            <w:pPr>
              <w:pStyle w:val="Tabletext"/>
              <w:keepNext/>
            </w:pPr>
            <w:r w:rsidRPr="007A70FB">
              <w:t>Subgroups presented: EXP-2, EXP-3, EXP-4 and EXP-5</w:t>
            </w:r>
          </w:p>
        </w:tc>
        <w:tc>
          <w:tcPr>
            <w:tcW w:w="601" w:type="pct"/>
            <w:tcBorders>
              <w:bottom w:val="single" w:sz="4" w:space="0" w:color="auto"/>
            </w:tcBorders>
            <w:shd w:val="clear" w:color="auto" w:fill="auto"/>
            <w:vAlign w:val="center"/>
          </w:tcPr>
          <w:p w:rsidR="007110AB" w:rsidRPr="007A70FB" w:rsidRDefault="007110AB" w:rsidP="000E0129">
            <w:pPr>
              <w:pStyle w:val="Tabletext"/>
              <w:keepNext/>
              <w:ind w:left="-30" w:right="-91"/>
              <w:jc w:val="center"/>
            </w:pPr>
            <w:r w:rsidRPr="007A70FB">
              <w:t>ORR, IC-ORR, OS PFS</w:t>
            </w:r>
          </w:p>
        </w:tc>
      </w:tr>
      <w:tr w:rsidR="007110AB" w:rsidRPr="007A70FB" w:rsidTr="00C45DFE">
        <w:tc>
          <w:tcPr>
            <w:tcW w:w="512" w:type="pct"/>
            <w:tcBorders>
              <w:right w:val="nil"/>
            </w:tcBorders>
            <w:shd w:val="clear" w:color="auto" w:fill="auto"/>
            <w:vAlign w:val="center"/>
          </w:tcPr>
          <w:p w:rsidR="007110AB" w:rsidRPr="007A70FB" w:rsidRDefault="007110AB" w:rsidP="00903E55">
            <w:pPr>
              <w:pStyle w:val="Tabletext"/>
              <w:rPr>
                <w:b/>
                <w:bCs/>
              </w:rPr>
            </w:pPr>
            <w:r w:rsidRPr="007A70FB">
              <w:rPr>
                <w:b/>
                <w:bCs/>
              </w:rPr>
              <w:t>Alectinib</w:t>
            </w:r>
          </w:p>
        </w:tc>
        <w:tc>
          <w:tcPr>
            <w:tcW w:w="456" w:type="pct"/>
            <w:tcBorders>
              <w:left w:val="nil"/>
              <w:right w:val="nil"/>
            </w:tcBorders>
            <w:shd w:val="clear" w:color="auto" w:fill="auto"/>
            <w:vAlign w:val="center"/>
          </w:tcPr>
          <w:p w:rsidR="007110AB" w:rsidRPr="007A70FB" w:rsidRDefault="007110AB" w:rsidP="00903E55">
            <w:pPr>
              <w:pStyle w:val="Tabletext"/>
            </w:pPr>
          </w:p>
        </w:tc>
        <w:tc>
          <w:tcPr>
            <w:tcW w:w="1535" w:type="pct"/>
            <w:tcBorders>
              <w:left w:val="nil"/>
              <w:right w:val="nil"/>
            </w:tcBorders>
            <w:shd w:val="clear" w:color="auto" w:fill="auto"/>
            <w:vAlign w:val="center"/>
          </w:tcPr>
          <w:p w:rsidR="007110AB" w:rsidRPr="007A70FB" w:rsidRDefault="007110AB" w:rsidP="00903E55">
            <w:pPr>
              <w:pStyle w:val="Tabletext"/>
            </w:pPr>
          </w:p>
        </w:tc>
        <w:tc>
          <w:tcPr>
            <w:tcW w:w="401" w:type="pct"/>
            <w:tcBorders>
              <w:left w:val="nil"/>
              <w:right w:val="nil"/>
            </w:tcBorders>
            <w:shd w:val="clear" w:color="auto" w:fill="auto"/>
            <w:vAlign w:val="center"/>
          </w:tcPr>
          <w:p w:rsidR="007110AB" w:rsidRPr="007A70FB" w:rsidRDefault="007110AB" w:rsidP="00903E55">
            <w:pPr>
              <w:pStyle w:val="Tabletext"/>
              <w:jc w:val="center"/>
            </w:pPr>
          </w:p>
        </w:tc>
        <w:tc>
          <w:tcPr>
            <w:tcW w:w="1493" w:type="pct"/>
            <w:tcBorders>
              <w:left w:val="nil"/>
              <w:right w:val="nil"/>
            </w:tcBorders>
            <w:shd w:val="clear" w:color="auto" w:fill="auto"/>
            <w:vAlign w:val="center"/>
          </w:tcPr>
          <w:p w:rsidR="007110AB" w:rsidRPr="007A70FB" w:rsidRDefault="007110AB" w:rsidP="00903E55">
            <w:pPr>
              <w:pStyle w:val="Tabletext"/>
            </w:pPr>
          </w:p>
        </w:tc>
        <w:tc>
          <w:tcPr>
            <w:tcW w:w="601" w:type="pct"/>
            <w:tcBorders>
              <w:left w:val="nil"/>
            </w:tcBorders>
            <w:shd w:val="clear" w:color="auto" w:fill="auto"/>
            <w:vAlign w:val="center"/>
          </w:tcPr>
          <w:p w:rsidR="007110AB" w:rsidRPr="007A70FB" w:rsidRDefault="007110AB" w:rsidP="00903E55">
            <w:pPr>
              <w:pStyle w:val="Tabletext"/>
              <w:ind w:right="-91"/>
              <w:jc w:val="center"/>
            </w:pPr>
          </w:p>
        </w:tc>
      </w:tr>
      <w:tr w:rsidR="007110AB" w:rsidRPr="007A70FB" w:rsidTr="00C45DFE">
        <w:tc>
          <w:tcPr>
            <w:tcW w:w="512" w:type="pct"/>
            <w:shd w:val="clear" w:color="auto" w:fill="auto"/>
            <w:vAlign w:val="center"/>
          </w:tcPr>
          <w:p w:rsidR="007110AB" w:rsidRPr="007A70FB" w:rsidRDefault="007110AB" w:rsidP="00903E55">
            <w:pPr>
              <w:pStyle w:val="Tabletext"/>
            </w:pPr>
            <w:r w:rsidRPr="007A70FB">
              <w:t>NP28761</w:t>
            </w:r>
          </w:p>
        </w:tc>
        <w:tc>
          <w:tcPr>
            <w:tcW w:w="456" w:type="pct"/>
            <w:shd w:val="clear" w:color="auto" w:fill="auto"/>
            <w:vAlign w:val="center"/>
          </w:tcPr>
          <w:p w:rsidR="007110AB" w:rsidRPr="007A70FB" w:rsidRDefault="007110AB" w:rsidP="00903E55">
            <w:pPr>
              <w:pStyle w:val="Tabletext"/>
            </w:pPr>
            <w:r w:rsidRPr="007A70FB">
              <w:t>87</w:t>
            </w:r>
          </w:p>
        </w:tc>
        <w:tc>
          <w:tcPr>
            <w:tcW w:w="1535" w:type="pct"/>
            <w:shd w:val="clear" w:color="auto" w:fill="auto"/>
            <w:vAlign w:val="center"/>
          </w:tcPr>
          <w:p w:rsidR="007110AB" w:rsidRPr="007A70FB" w:rsidRDefault="007110AB" w:rsidP="00903E55">
            <w:pPr>
              <w:pStyle w:val="Tabletext"/>
            </w:pPr>
            <w:r w:rsidRPr="007A70FB">
              <w:t>Multicentre, single-arm, open label</w:t>
            </w:r>
          </w:p>
          <w:p w:rsidR="007110AB" w:rsidRPr="007A70FB" w:rsidRDefault="007110AB" w:rsidP="00903E55">
            <w:pPr>
              <w:pStyle w:val="Tabletext"/>
            </w:pPr>
            <w:r w:rsidRPr="007A70FB">
              <w:t>Median 17.0 months</w:t>
            </w:r>
          </w:p>
        </w:tc>
        <w:tc>
          <w:tcPr>
            <w:tcW w:w="401" w:type="pct"/>
            <w:shd w:val="clear" w:color="auto" w:fill="auto"/>
            <w:vAlign w:val="center"/>
          </w:tcPr>
          <w:p w:rsidR="007110AB" w:rsidRPr="007A70FB" w:rsidRDefault="007110AB" w:rsidP="00903E55">
            <w:pPr>
              <w:pStyle w:val="Tabletext"/>
              <w:jc w:val="center"/>
            </w:pPr>
            <w:r w:rsidRPr="007A70FB">
              <w:t>High</w:t>
            </w:r>
          </w:p>
        </w:tc>
        <w:tc>
          <w:tcPr>
            <w:tcW w:w="1493" w:type="pct"/>
            <w:shd w:val="clear" w:color="auto" w:fill="auto"/>
            <w:vAlign w:val="center"/>
          </w:tcPr>
          <w:p w:rsidR="007110AB" w:rsidRPr="007A70FB" w:rsidRDefault="007110AB" w:rsidP="00903E55">
            <w:pPr>
              <w:pStyle w:val="Tabletext"/>
            </w:pPr>
            <w:r w:rsidRPr="007A70FB">
              <w:t xml:space="preserve">PD on crizotinib with or without chemotherapy. </w:t>
            </w:r>
          </w:p>
        </w:tc>
        <w:tc>
          <w:tcPr>
            <w:tcW w:w="601" w:type="pct"/>
            <w:shd w:val="clear" w:color="auto" w:fill="auto"/>
            <w:vAlign w:val="center"/>
          </w:tcPr>
          <w:p w:rsidR="007110AB" w:rsidRPr="007A70FB" w:rsidRDefault="007110AB" w:rsidP="00903E55">
            <w:pPr>
              <w:pStyle w:val="Tabletext"/>
              <w:ind w:left="-30" w:right="-91"/>
              <w:jc w:val="center"/>
            </w:pPr>
            <w:r w:rsidRPr="007A70FB">
              <w:t>ORR, IC-ORR, OS PFS</w:t>
            </w:r>
          </w:p>
        </w:tc>
      </w:tr>
      <w:tr w:rsidR="007110AB" w:rsidRPr="007A70FB" w:rsidTr="00C45DFE">
        <w:tc>
          <w:tcPr>
            <w:tcW w:w="512" w:type="pct"/>
            <w:shd w:val="clear" w:color="auto" w:fill="auto"/>
            <w:vAlign w:val="center"/>
          </w:tcPr>
          <w:p w:rsidR="007110AB" w:rsidRPr="007A70FB" w:rsidRDefault="007110AB" w:rsidP="00903E55">
            <w:pPr>
              <w:pStyle w:val="Tabletext"/>
            </w:pPr>
            <w:r w:rsidRPr="007A70FB">
              <w:t>NP28673</w:t>
            </w:r>
          </w:p>
        </w:tc>
        <w:tc>
          <w:tcPr>
            <w:tcW w:w="456" w:type="pct"/>
            <w:shd w:val="clear" w:color="auto" w:fill="auto"/>
            <w:vAlign w:val="center"/>
          </w:tcPr>
          <w:p w:rsidR="007110AB" w:rsidRPr="007A70FB" w:rsidRDefault="007110AB" w:rsidP="00903E55">
            <w:pPr>
              <w:pStyle w:val="Tabletext"/>
            </w:pPr>
            <w:r w:rsidRPr="007A70FB">
              <w:t>138</w:t>
            </w:r>
          </w:p>
        </w:tc>
        <w:tc>
          <w:tcPr>
            <w:tcW w:w="1535" w:type="pct"/>
            <w:shd w:val="clear" w:color="auto" w:fill="auto"/>
            <w:vAlign w:val="center"/>
          </w:tcPr>
          <w:p w:rsidR="007110AB" w:rsidRPr="007A70FB" w:rsidRDefault="007110AB" w:rsidP="00903E55">
            <w:pPr>
              <w:pStyle w:val="Tabletext"/>
            </w:pPr>
            <w:r w:rsidRPr="007A70FB">
              <w:t>Multicentre, single-arm, open label</w:t>
            </w:r>
          </w:p>
          <w:p w:rsidR="007110AB" w:rsidRPr="007A70FB" w:rsidRDefault="007110AB" w:rsidP="00903E55">
            <w:pPr>
              <w:pStyle w:val="Tabletext"/>
            </w:pPr>
            <w:r w:rsidRPr="007A70FB">
              <w:t>Median 21.3 months</w:t>
            </w:r>
          </w:p>
        </w:tc>
        <w:tc>
          <w:tcPr>
            <w:tcW w:w="401" w:type="pct"/>
            <w:shd w:val="clear" w:color="auto" w:fill="auto"/>
            <w:vAlign w:val="center"/>
          </w:tcPr>
          <w:p w:rsidR="007110AB" w:rsidRPr="007A70FB" w:rsidRDefault="007110AB" w:rsidP="00903E55">
            <w:pPr>
              <w:pStyle w:val="Tabletext"/>
              <w:jc w:val="center"/>
            </w:pPr>
            <w:r w:rsidRPr="007A70FB">
              <w:t>High</w:t>
            </w:r>
          </w:p>
        </w:tc>
        <w:tc>
          <w:tcPr>
            <w:tcW w:w="1493" w:type="pct"/>
            <w:shd w:val="clear" w:color="auto" w:fill="auto"/>
            <w:vAlign w:val="center"/>
          </w:tcPr>
          <w:p w:rsidR="007110AB" w:rsidRPr="007A70FB" w:rsidRDefault="007110AB" w:rsidP="00903E55">
            <w:pPr>
              <w:pStyle w:val="Tabletext"/>
            </w:pPr>
            <w:r w:rsidRPr="007A70FB">
              <w:t>PD on crizotinib with or without chemotherapy.</w:t>
            </w:r>
          </w:p>
        </w:tc>
        <w:tc>
          <w:tcPr>
            <w:tcW w:w="601" w:type="pct"/>
            <w:shd w:val="clear" w:color="auto" w:fill="auto"/>
            <w:vAlign w:val="center"/>
          </w:tcPr>
          <w:p w:rsidR="007110AB" w:rsidRPr="007A70FB" w:rsidRDefault="007110AB" w:rsidP="00903E55">
            <w:pPr>
              <w:pStyle w:val="Tabletext"/>
              <w:ind w:left="-30" w:right="-91"/>
              <w:jc w:val="center"/>
            </w:pPr>
            <w:r w:rsidRPr="007A70FB">
              <w:t>ORR, IC-ORR, OS PFS</w:t>
            </w:r>
          </w:p>
        </w:tc>
      </w:tr>
      <w:tr w:rsidR="007110AB" w:rsidRPr="007A70FB" w:rsidTr="00C45DFE">
        <w:tc>
          <w:tcPr>
            <w:tcW w:w="512" w:type="pct"/>
            <w:tcBorders>
              <w:bottom w:val="single" w:sz="4" w:space="0" w:color="auto"/>
            </w:tcBorders>
            <w:shd w:val="clear" w:color="auto" w:fill="auto"/>
            <w:vAlign w:val="center"/>
          </w:tcPr>
          <w:p w:rsidR="007110AB" w:rsidRPr="007A70FB" w:rsidRDefault="007110AB" w:rsidP="00903E55">
            <w:pPr>
              <w:pStyle w:val="Tabletext"/>
            </w:pPr>
            <w:r w:rsidRPr="007A70FB">
              <w:t>ALUR</w:t>
            </w:r>
          </w:p>
        </w:tc>
        <w:tc>
          <w:tcPr>
            <w:tcW w:w="456" w:type="pct"/>
            <w:tcBorders>
              <w:bottom w:val="single" w:sz="4" w:space="0" w:color="auto"/>
            </w:tcBorders>
            <w:shd w:val="clear" w:color="auto" w:fill="auto"/>
            <w:vAlign w:val="center"/>
          </w:tcPr>
          <w:p w:rsidR="007110AB" w:rsidRPr="007A70FB" w:rsidRDefault="007110AB" w:rsidP="00903E55">
            <w:pPr>
              <w:pStyle w:val="Tabletext"/>
            </w:pPr>
            <w:r w:rsidRPr="007A70FB">
              <w:t>107</w:t>
            </w:r>
          </w:p>
        </w:tc>
        <w:tc>
          <w:tcPr>
            <w:tcW w:w="1535" w:type="pct"/>
            <w:tcBorders>
              <w:bottom w:val="single" w:sz="4" w:space="0" w:color="auto"/>
            </w:tcBorders>
            <w:shd w:val="clear" w:color="auto" w:fill="auto"/>
            <w:vAlign w:val="center"/>
          </w:tcPr>
          <w:p w:rsidR="007110AB" w:rsidRPr="007A70FB" w:rsidRDefault="007110AB" w:rsidP="00903E55">
            <w:pPr>
              <w:pStyle w:val="Tabletext"/>
            </w:pPr>
            <w:r w:rsidRPr="007A70FB">
              <w:t>Multicentre, randomised, active-controlled, Phase III open label study</w:t>
            </w:r>
            <w:r w:rsidR="007A70FB">
              <w:t xml:space="preserve">. </w:t>
            </w:r>
          </w:p>
          <w:p w:rsidR="007110AB" w:rsidRPr="007A70FB" w:rsidRDefault="007110AB" w:rsidP="00903E55">
            <w:pPr>
              <w:pStyle w:val="Tabletext"/>
            </w:pPr>
            <w:r w:rsidRPr="007A70FB">
              <w:t xml:space="preserve">Median safety follow-up of 6.5 months (alectinib) </w:t>
            </w:r>
          </w:p>
        </w:tc>
        <w:tc>
          <w:tcPr>
            <w:tcW w:w="401" w:type="pct"/>
            <w:tcBorders>
              <w:bottom w:val="single" w:sz="4" w:space="0" w:color="auto"/>
            </w:tcBorders>
            <w:shd w:val="clear" w:color="auto" w:fill="auto"/>
            <w:vAlign w:val="center"/>
          </w:tcPr>
          <w:p w:rsidR="007110AB" w:rsidRPr="007A70FB" w:rsidRDefault="007110AB" w:rsidP="00903E55">
            <w:pPr>
              <w:pStyle w:val="Tabletext"/>
              <w:jc w:val="center"/>
            </w:pPr>
            <w:r w:rsidRPr="007A70FB">
              <w:t>Low</w:t>
            </w:r>
          </w:p>
        </w:tc>
        <w:tc>
          <w:tcPr>
            <w:tcW w:w="1493" w:type="pct"/>
            <w:tcBorders>
              <w:bottom w:val="single" w:sz="4" w:space="0" w:color="auto"/>
            </w:tcBorders>
            <w:shd w:val="clear" w:color="auto" w:fill="auto"/>
            <w:vAlign w:val="center"/>
          </w:tcPr>
          <w:p w:rsidR="007110AB" w:rsidRPr="007A70FB" w:rsidRDefault="007110AB" w:rsidP="00903E55">
            <w:pPr>
              <w:pStyle w:val="Tabletext"/>
            </w:pPr>
            <w:r w:rsidRPr="007A70FB">
              <w:t xml:space="preserve">PD after crizotinib and chemotherapy. </w:t>
            </w:r>
          </w:p>
          <w:p w:rsidR="007110AB" w:rsidRPr="007A70FB" w:rsidRDefault="007110AB" w:rsidP="00903E55">
            <w:pPr>
              <w:pStyle w:val="Tabletext"/>
              <w:rPr>
                <w:iCs/>
              </w:rPr>
            </w:pPr>
          </w:p>
          <w:p w:rsidR="007110AB" w:rsidRPr="007A70FB" w:rsidRDefault="007110AB" w:rsidP="00903E55">
            <w:pPr>
              <w:pStyle w:val="Tabletext"/>
              <w:rPr>
                <w:iCs/>
              </w:rPr>
            </w:pPr>
            <w:r w:rsidRPr="007A70FB">
              <w:rPr>
                <w:iCs/>
              </w:rPr>
              <w:t>Single arm of RCT presented for alectinib (N=72)</w:t>
            </w:r>
          </w:p>
        </w:tc>
        <w:tc>
          <w:tcPr>
            <w:tcW w:w="601" w:type="pct"/>
            <w:tcBorders>
              <w:bottom w:val="single" w:sz="4" w:space="0" w:color="auto"/>
            </w:tcBorders>
            <w:shd w:val="clear" w:color="auto" w:fill="auto"/>
            <w:vAlign w:val="center"/>
          </w:tcPr>
          <w:p w:rsidR="007110AB" w:rsidRPr="007A70FB" w:rsidRDefault="007110AB" w:rsidP="00903E55">
            <w:pPr>
              <w:pStyle w:val="Tabletext"/>
              <w:ind w:left="-30" w:right="-91"/>
              <w:jc w:val="center"/>
            </w:pPr>
            <w:r w:rsidRPr="007A70FB">
              <w:t>ORR, IC-ORR, OS PFS</w:t>
            </w:r>
          </w:p>
        </w:tc>
      </w:tr>
      <w:tr w:rsidR="007110AB" w:rsidRPr="007A70FB" w:rsidTr="00C45DFE">
        <w:tc>
          <w:tcPr>
            <w:tcW w:w="512" w:type="pct"/>
            <w:tcBorders>
              <w:right w:val="nil"/>
            </w:tcBorders>
            <w:shd w:val="clear" w:color="auto" w:fill="auto"/>
            <w:vAlign w:val="center"/>
          </w:tcPr>
          <w:p w:rsidR="007110AB" w:rsidRPr="007A70FB" w:rsidRDefault="007110AB" w:rsidP="00903E55">
            <w:pPr>
              <w:pStyle w:val="Tabletext"/>
              <w:rPr>
                <w:b/>
                <w:bCs/>
              </w:rPr>
            </w:pPr>
            <w:r w:rsidRPr="007A70FB">
              <w:rPr>
                <w:b/>
                <w:bCs/>
              </w:rPr>
              <w:t>Ceritinib</w:t>
            </w:r>
          </w:p>
        </w:tc>
        <w:tc>
          <w:tcPr>
            <w:tcW w:w="456" w:type="pct"/>
            <w:tcBorders>
              <w:left w:val="nil"/>
              <w:right w:val="nil"/>
            </w:tcBorders>
            <w:shd w:val="clear" w:color="auto" w:fill="auto"/>
            <w:vAlign w:val="center"/>
          </w:tcPr>
          <w:p w:rsidR="007110AB" w:rsidRPr="007A70FB" w:rsidRDefault="007110AB" w:rsidP="00903E55">
            <w:pPr>
              <w:pStyle w:val="Tabletext"/>
            </w:pPr>
          </w:p>
        </w:tc>
        <w:tc>
          <w:tcPr>
            <w:tcW w:w="1535" w:type="pct"/>
            <w:tcBorders>
              <w:left w:val="nil"/>
              <w:right w:val="nil"/>
            </w:tcBorders>
            <w:shd w:val="clear" w:color="auto" w:fill="auto"/>
            <w:vAlign w:val="center"/>
          </w:tcPr>
          <w:p w:rsidR="007110AB" w:rsidRPr="007A70FB" w:rsidRDefault="007110AB" w:rsidP="00903E55">
            <w:pPr>
              <w:pStyle w:val="Tabletext"/>
            </w:pPr>
          </w:p>
        </w:tc>
        <w:tc>
          <w:tcPr>
            <w:tcW w:w="401" w:type="pct"/>
            <w:tcBorders>
              <w:left w:val="nil"/>
              <w:right w:val="nil"/>
            </w:tcBorders>
            <w:shd w:val="clear" w:color="auto" w:fill="auto"/>
            <w:vAlign w:val="center"/>
          </w:tcPr>
          <w:p w:rsidR="007110AB" w:rsidRPr="007A70FB" w:rsidRDefault="007110AB" w:rsidP="00903E55">
            <w:pPr>
              <w:pStyle w:val="Tabletext"/>
              <w:jc w:val="center"/>
            </w:pPr>
          </w:p>
        </w:tc>
        <w:tc>
          <w:tcPr>
            <w:tcW w:w="1493" w:type="pct"/>
            <w:tcBorders>
              <w:left w:val="nil"/>
              <w:right w:val="nil"/>
            </w:tcBorders>
            <w:shd w:val="clear" w:color="auto" w:fill="auto"/>
            <w:vAlign w:val="center"/>
          </w:tcPr>
          <w:p w:rsidR="007110AB" w:rsidRPr="007A70FB" w:rsidRDefault="007110AB" w:rsidP="00903E55">
            <w:pPr>
              <w:pStyle w:val="Tabletext"/>
            </w:pPr>
          </w:p>
        </w:tc>
        <w:tc>
          <w:tcPr>
            <w:tcW w:w="601" w:type="pct"/>
            <w:tcBorders>
              <w:left w:val="nil"/>
            </w:tcBorders>
            <w:shd w:val="clear" w:color="auto" w:fill="auto"/>
            <w:vAlign w:val="center"/>
          </w:tcPr>
          <w:p w:rsidR="007110AB" w:rsidRPr="007A70FB" w:rsidRDefault="007110AB" w:rsidP="00903E55">
            <w:pPr>
              <w:pStyle w:val="Tabletext"/>
              <w:ind w:left="-30" w:right="-91"/>
              <w:jc w:val="center"/>
            </w:pPr>
          </w:p>
        </w:tc>
      </w:tr>
      <w:tr w:rsidR="007110AB" w:rsidRPr="007A70FB" w:rsidTr="00C45DFE">
        <w:tc>
          <w:tcPr>
            <w:tcW w:w="512" w:type="pct"/>
            <w:shd w:val="clear" w:color="auto" w:fill="auto"/>
            <w:vAlign w:val="center"/>
          </w:tcPr>
          <w:p w:rsidR="007110AB" w:rsidRPr="007A70FB" w:rsidRDefault="007110AB" w:rsidP="00903E55">
            <w:pPr>
              <w:pStyle w:val="Tabletext"/>
            </w:pPr>
            <w:r w:rsidRPr="007A70FB">
              <w:t>ASCEND-1</w:t>
            </w:r>
          </w:p>
        </w:tc>
        <w:tc>
          <w:tcPr>
            <w:tcW w:w="456" w:type="pct"/>
            <w:shd w:val="clear" w:color="auto" w:fill="auto"/>
            <w:vAlign w:val="center"/>
          </w:tcPr>
          <w:p w:rsidR="007110AB" w:rsidRPr="007A70FB" w:rsidRDefault="007110AB" w:rsidP="00903E55">
            <w:pPr>
              <w:pStyle w:val="Tabletext"/>
            </w:pPr>
            <w:r w:rsidRPr="007A70FB">
              <w:t>163</w:t>
            </w:r>
          </w:p>
        </w:tc>
        <w:tc>
          <w:tcPr>
            <w:tcW w:w="1535" w:type="pct"/>
            <w:shd w:val="clear" w:color="auto" w:fill="auto"/>
            <w:vAlign w:val="center"/>
          </w:tcPr>
          <w:p w:rsidR="007110AB" w:rsidRPr="007A70FB" w:rsidRDefault="007110AB" w:rsidP="00903E55">
            <w:pPr>
              <w:pStyle w:val="Tabletext"/>
            </w:pPr>
            <w:r w:rsidRPr="007A70FB">
              <w:t>Multicentre, single-arm, open label</w:t>
            </w:r>
          </w:p>
          <w:p w:rsidR="007110AB" w:rsidRPr="007A70FB" w:rsidRDefault="007110AB" w:rsidP="00903E55">
            <w:pPr>
              <w:pStyle w:val="Tabletext"/>
            </w:pPr>
            <w:r w:rsidRPr="007A70FB">
              <w:t>Median 11.1 months</w:t>
            </w:r>
          </w:p>
        </w:tc>
        <w:tc>
          <w:tcPr>
            <w:tcW w:w="401" w:type="pct"/>
            <w:shd w:val="clear" w:color="auto" w:fill="auto"/>
            <w:vAlign w:val="center"/>
          </w:tcPr>
          <w:p w:rsidR="007110AB" w:rsidRPr="007A70FB" w:rsidRDefault="007110AB" w:rsidP="00903E55">
            <w:pPr>
              <w:pStyle w:val="Tabletext"/>
              <w:jc w:val="center"/>
            </w:pPr>
            <w:r w:rsidRPr="007A70FB">
              <w:t>High</w:t>
            </w:r>
          </w:p>
        </w:tc>
        <w:tc>
          <w:tcPr>
            <w:tcW w:w="1493" w:type="pct"/>
            <w:shd w:val="clear" w:color="auto" w:fill="auto"/>
            <w:vAlign w:val="center"/>
          </w:tcPr>
          <w:p w:rsidR="007110AB" w:rsidRPr="007A70FB" w:rsidRDefault="007110AB" w:rsidP="00903E55">
            <w:pPr>
              <w:pStyle w:val="Tabletext"/>
            </w:pPr>
            <w:r w:rsidRPr="007A70FB">
              <w:t>PD after crizotinib</w:t>
            </w:r>
            <w:r w:rsidR="00C44E9B" w:rsidRPr="007A70FB">
              <w:rPr>
                <w:vertAlign w:val="superscript"/>
              </w:rPr>
              <w:t>a</w:t>
            </w:r>
            <w:r w:rsidRPr="007A70FB">
              <w:t xml:space="preserve"> (Subgroup, N=163).</w:t>
            </w:r>
            <w:r w:rsidRPr="007A70FB">
              <w:rPr>
                <w:iCs/>
              </w:rPr>
              <w:t xml:space="preserve"> </w:t>
            </w:r>
          </w:p>
        </w:tc>
        <w:tc>
          <w:tcPr>
            <w:tcW w:w="601" w:type="pct"/>
            <w:shd w:val="clear" w:color="auto" w:fill="auto"/>
            <w:vAlign w:val="center"/>
          </w:tcPr>
          <w:p w:rsidR="007110AB" w:rsidRPr="007A70FB" w:rsidRDefault="007110AB" w:rsidP="00903E55">
            <w:pPr>
              <w:pStyle w:val="Tabletext"/>
              <w:ind w:left="-30" w:right="-91"/>
              <w:jc w:val="center"/>
            </w:pPr>
            <w:r w:rsidRPr="007A70FB">
              <w:t>ORR, IC-ORR, OS PFS</w:t>
            </w:r>
          </w:p>
        </w:tc>
      </w:tr>
      <w:tr w:rsidR="007110AB" w:rsidRPr="007A70FB" w:rsidTr="00C45DFE">
        <w:tc>
          <w:tcPr>
            <w:tcW w:w="512" w:type="pct"/>
            <w:shd w:val="clear" w:color="auto" w:fill="auto"/>
            <w:vAlign w:val="center"/>
          </w:tcPr>
          <w:p w:rsidR="007110AB" w:rsidRPr="007A70FB" w:rsidRDefault="007110AB" w:rsidP="00903E55">
            <w:pPr>
              <w:pStyle w:val="Tabletext"/>
            </w:pPr>
            <w:r w:rsidRPr="007A70FB">
              <w:t>ASCEND-2</w:t>
            </w:r>
          </w:p>
        </w:tc>
        <w:tc>
          <w:tcPr>
            <w:tcW w:w="456" w:type="pct"/>
            <w:shd w:val="clear" w:color="auto" w:fill="auto"/>
            <w:vAlign w:val="center"/>
          </w:tcPr>
          <w:p w:rsidR="007110AB" w:rsidRPr="007A70FB" w:rsidRDefault="007110AB" w:rsidP="00903E55">
            <w:pPr>
              <w:pStyle w:val="Tabletext"/>
            </w:pPr>
            <w:r w:rsidRPr="007A70FB">
              <w:t>140</w:t>
            </w:r>
          </w:p>
        </w:tc>
        <w:tc>
          <w:tcPr>
            <w:tcW w:w="1535" w:type="pct"/>
            <w:shd w:val="clear" w:color="auto" w:fill="auto"/>
            <w:vAlign w:val="center"/>
          </w:tcPr>
          <w:p w:rsidR="007110AB" w:rsidRPr="007A70FB" w:rsidRDefault="007110AB" w:rsidP="00903E55">
            <w:pPr>
              <w:pStyle w:val="Tabletext"/>
            </w:pPr>
            <w:r w:rsidRPr="007A70FB">
              <w:t>Multicentre, single-arm, open label</w:t>
            </w:r>
          </w:p>
          <w:p w:rsidR="007110AB" w:rsidRPr="007A70FB" w:rsidRDefault="007110AB" w:rsidP="00903E55">
            <w:pPr>
              <w:pStyle w:val="Tabletext"/>
            </w:pPr>
            <w:r w:rsidRPr="007A70FB">
              <w:t>Median 11.3 months</w:t>
            </w:r>
          </w:p>
        </w:tc>
        <w:tc>
          <w:tcPr>
            <w:tcW w:w="401" w:type="pct"/>
            <w:shd w:val="clear" w:color="auto" w:fill="auto"/>
            <w:vAlign w:val="center"/>
          </w:tcPr>
          <w:p w:rsidR="007110AB" w:rsidRPr="007A70FB" w:rsidRDefault="007110AB" w:rsidP="00903E55">
            <w:pPr>
              <w:pStyle w:val="Tabletext"/>
              <w:jc w:val="center"/>
            </w:pPr>
            <w:r w:rsidRPr="007A70FB">
              <w:t>High</w:t>
            </w:r>
          </w:p>
        </w:tc>
        <w:tc>
          <w:tcPr>
            <w:tcW w:w="1493" w:type="pct"/>
            <w:shd w:val="clear" w:color="auto" w:fill="auto"/>
            <w:vAlign w:val="center"/>
          </w:tcPr>
          <w:p w:rsidR="007110AB" w:rsidRPr="007A70FB" w:rsidRDefault="007110AB" w:rsidP="00903E55">
            <w:pPr>
              <w:pStyle w:val="Tabletext"/>
            </w:pPr>
            <w:r w:rsidRPr="007A70FB">
              <w:t xml:space="preserve">PD on crizotinib and chemotherapy. </w:t>
            </w:r>
          </w:p>
        </w:tc>
        <w:tc>
          <w:tcPr>
            <w:tcW w:w="601" w:type="pct"/>
            <w:shd w:val="clear" w:color="auto" w:fill="auto"/>
            <w:vAlign w:val="center"/>
          </w:tcPr>
          <w:p w:rsidR="007110AB" w:rsidRPr="007A70FB" w:rsidRDefault="007110AB" w:rsidP="00903E55">
            <w:pPr>
              <w:pStyle w:val="Tabletext"/>
              <w:ind w:left="-30" w:right="-91"/>
              <w:jc w:val="center"/>
            </w:pPr>
            <w:r w:rsidRPr="007A70FB">
              <w:t>ORR, IC-ORR, OS PFS</w:t>
            </w:r>
          </w:p>
        </w:tc>
      </w:tr>
      <w:tr w:rsidR="007110AB" w:rsidRPr="007A70FB" w:rsidTr="00C45DFE">
        <w:tc>
          <w:tcPr>
            <w:tcW w:w="512" w:type="pct"/>
            <w:shd w:val="clear" w:color="auto" w:fill="auto"/>
            <w:vAlign w:val="center"/>
          </w:tcPr>
          <w:p w:rsidR="007110AB" w:rsidRPr="007A70FB" w:rsidRDefault="007110AB" w:rsidP="00903E55">
            <w:pPr>
              <w:pStyle w:val="Tabletext"/>
            </w:pPr>
            <w:r w:rsidRPr="007A70FB">
              <w:t>ASCEND-9</w:t>
            </w:r>
          </w:p>
        </w:tc>
        <w:tc>
          <w:tcPr>
            <w:tcW w:w="456" w:type="pct"/>
            <w:shd w:val="clear" w:color="auto" w:fill="auto"/>
            <w:vAlign w:val="center"/>
          </w:tcPr>
          <w:p w:rsidR="007110AB" w:rsidRPr="007A70FB" w:rsidRDefault="007110AB" w:rsidP="00903E55">
            <w:pPr>
              <w:pStyle w:val="Tabletext"/>
            </w:pPr>
            <w:r w:rsidRPr="007A70FB">
              <w:t>20</w:t>
            </w:r>
          </w:p>
        </w:tc>
        <w:tc>
          <w:tcPr>
            <w:tcW w:w="1535" w:type="pct"/>
            <w:shd w:val="clear" w:color="auto" w:fill="auto"/>
            <w:vAlign w:val="center"/>
          </w:tcPr>
          <w:p w:rsidR="007110AB" w:rsidRPr="007A70FB" w:rsidRDefault="007110AB" w:rsidP="00903E55">
            <w:pPr>
              <w:pStyle w:val="Tabletext"/>
            </w:pPr>
            <w:r w:rsidRPr="007A70FB">
              <w:t>Multicentre, single-arm, open label study in Japan</w:t>
            </w:r>
            <w:r w:rsidR="007A70FB">
              <w:t xml:space="preserve">. </w:t>
            </w:r>
          </w:p>
        </w:tc>
        <w:tc>
          <w:tcPr>
            <w:tcW w:w="401" w:type="pct"/>
            <w:shd w:val="clear" w:color="auto" w:fill="auto"/>
            <w:vAlign w:val="center"/>
          </w:tcPr>
          <w:p w:rsidR="007110AB" w:rsidRPr="007A70FB" w:rsidRDefault="007110AB" w:rsidP="00903E55">
            <w:pPr>
              <w:pStyle w:val="Tabletext"/>
              <w:jc w:val="center"/>
            </w:pPr>
            <w:r w:rsidRPr="007A70FB">
              <w:t>High</w:t>
            </w:r>
          </w:p>
        </w:tc>
        <w:tc>
          <w:tcPr>
            <w:tcW w:w="1493" w:type="pct"/>
            <w:shd w:val="clear" w:color="auto" w:fill="auto"/>
            <w:vAlign w:val="center"/>
          </w:tcPr>
          <w:p w:rsidR="007110AB" w:rsidRPr="007A70FB" w:rsidRDefault="007110AB" w:rsidP="00903E55">
            <w:pPr>
              <w:pStyle w:val="Tabletext"/>
            </w:pPr>
            <w:r w:rsidRPr="007A70FB">
              <w:t xml:space="preserve">PD after alectinib (and/or crizotinib) with or without chemotherapy. </w:t>
            </w:r>
          </w:p>
        </w:tc>
        <w:tc>
          <w:tcPr>
            <w:tcW w:w="601" w:type="pct"/>
            <w:shd w:val="clear" w:color="auto" w:fill="auto"/>
            <w:vAlign w:val="center"/>
          </w:tcPr>
          <w:p w:rsidR="007110AB" w:rsidRPr="007A70FB" w:rsidRDefault="007110AB" w:rsidP="00903E55">
            <w:pPr>
              <w:pStyle w:val="Tabletext"/>
              <w:ind w:left="-30" w:right="-91"/>
              <w:jc w:val="center"/>
            </w:pPr>
            <w:r w:rsidRPr="007A70FB">
              <w:t>ORR, IC-ORR, OS PFS</w:t>
            </w:r>
          </w:p>
        </w:tc>
      </w:tr>
      <w:tr w:rsidR="007110AB" w:rsidRPr="007A70FB" w:rsidTr="00C45DFE">
        <w:tc>
          <w:tcPr>
            <w:tcW w:w="512" w:type="pct"/>
            <w:tcBorders>
              <w:bottom w:val="single" w:sz="4" w:space="0" w:color="auto"/>
            </w:tcBorders>
            <w:shd w:val="clear" w:color="auto" w:fill="auto"/>
            <w:vAlign w:val="center"/>
          </w:tcPr>
          <w:p w:rsidR="007110AB" w:rsidRPr="007A70FB" w:rsidRDefault="007110AB" w:rsidP="00903E55">
            <w:pPr>
              <w:pStyle w:val="Tabletext"/>
            </w:pPr>
            <w:r w:rsidRPr="007A70FB">
              <w:t>ASCEND-5</w:t>
            </w:r>
          </w:p>
        </w:tc>
        <w:tc>
          <w:tcPr>
            <w:tcW w:w="456" w:type="pct"/>
            <w:tcBorders>
              <w:bottom w:val="single" w:sz="4" w:space="0" w:color="auto"/>
            </w:tcBorders>
            <w:shd w:val="clear" w:color="auto" w:fill="auto"/>
            <w:vAlign w:val="center"/>
          </w:tcPr>
          <w:p w:rsidR="007110AB" w:rsidRPr="007A70FB" w:rsidRDefault="007110AB" w:rsidP="00903E55">
            <w:pPr>
              <w:pStyle w:val="Tabletext"/>
            </w:pPr>
            <w:r w:rsidRPr="007A70FB">
              <w:t>231</w:t>
            </w:r>
          </w:p>
        </w:tc>
        <w:tc>
          <w:tcPr>
            <w:tcW w:w="1535" w:type="pct"/>
            <w:tcBorders>
              <w:bottom w:val="single" w:sz="4" w:space="0" w:color="auto"/>
            </w:tcBorders>
            <w:shd w:val="clear" w:color="auto" w:fill="auto"/>
            <w:vAlign w:val="center"/>
          </w:tcPr>
          <w:p w:rsidR="007110AB" w:rsidRPr="007A70FB" w:rsidRDefault="007110AB" w:rsidP="00903E55">
            <w:pPr>
              <w:pStyle w:val="Tabletext"/>
            </w:pPr>
            <w:r w:rsidRPr="007A70FB">
              <w:t xml:space="preserve">Multicentre, randomised, active-controlled, open label study </w:t>
            </w:r>
          </w:p>
          <w:p w:rsidR="007110AB" w:rsidRPr="007A70FB" w:rsidRDefault="007110AB" w:rsidP="00903E55">
            <w:pPr>
              <w:pStyle w:val="Tabletext"/>
            </w:pPr>
            <w:r w:rsidRPr="007A70FB">
              <w:t xml:space="preserve">Median follow-up was 16.6 months (ceritinib arm). </w:t>
            </w:r>
          </w:p>
        </w:tc>
        <w:tc>
          <w:tcPr>
            <w:tcW w:w="401" w:type="pct"/>
            <w:tcBorders>
              <w:bottom w:val="single" w:sz="4" w:space="0" w:color="auto"/>
            </w:tcBorders>
            <w:shd w:val="clear" w:color="auto" w:fill="auto"/>
            <w:vAlign w:val="center"/>
          </w:tcPr>
          <w:p w:rsidR="007110AB" w:rsidRPr="007A70FB" w:rsidRDefault="007110AB" w:rsidP="00903E55">
            <w:pPr>
              <w:pStyle w:val="Tabletext"/>
              <w:jc w:val="center"/>
            </w:pPr>
            <w:r w:rsidRPr="007A70FB">
              <w:t>Low</w:t>
            </w:r>
          </w:p>
        </w:tc>
        <w:tc>
          <w:tcPr>
            <w:tcW w:w="1493" w:type="pct"/>
            <w:tcBorders>
              <w:bottom w:val="single" w:sz="4" w:space="0" w:color="auto"/>
            </w:tcBorders>
            <w:shd w:val="clear" w:color="auto" w:fill="auto"/>
            <w:vAlign w:val="center"/>
          </w:tcPr>
          <w:p w:rsidR="007110AB" w:rsidRPr="007A70FB" w:rsidRDefault="007110AB" w:rsidP="00903E55">
            <w:pPr>
              <w:pStyle w:val="Tabletext"/>
            </w:pPr>
            <w:r w:rsidRPr="007A70FB">
              <w:t>PD after crizotinib and chemotherapy (one or two lines)</w:t>
            </w:r>
            <w:r w:rsidR="007A70FB">
              <w:t xml:space="preserve">. </w:t>
            </w:r>
          </w:p>
          <w:p w:rsidR="007110AB" w:rsidRPr="007A70FB" w:rsidRDefault="007110AB" w:rsidP="00903E55">
            <w:pPr>
              <w:pStyle w:val="Tabletext"/>
            </w:pPr>
            <w:r w:rsidRPr="007A70FB">
              <w:rPr>
                <w:iCs/>
              </w:rPr>
              <w:t xml:space="preserve">Single arm presented for ceritinib (N=115). </w:t>
            </w:r>
          </w:p>
        </w:tc>
        <w:tc>
          <w:tcPr>
            <w:tcW w:w="601" w:type="pct"/>
            <w:tcBorders>
              <w:bottom w:val="single" w:sz="4" w:space="0" w:color="auto"/>
            </w:tcBorders>
            <w:shd w:val="clear" w:color="auto" w:fill="auto"/>
            <w:vAlign w:val="center"/>
          </w:tcPr>
          <w:p w:rsidR="007110AB" w:rsidRPr="007A70FB" w:rsidRDefault="007110AB" w:rsidP="00903E55">
            <w:pPr>
              <w:pStyle w:val="Tabletext"/>
              <w:ind w:left="-30" w:right="-91"/>
              <w:jc w:val="center"/>
            </w:pPr>
            <w:r w:rsidRPr="007A70FB">
              <w:t>ORR, IC-ORR, OS PFS</w:t>
            </w:r>
          </w:p>
        </w:tc>
      </w:tr>
      <w:tr w:rsidR="007110AB" w:rsidRPr="007A70FB" w:rsidTr="00C45DFE">
        <w:tc>
          <w:tcPr>
            <w:tcW w:w="512" w:type="pct"/>
            <w:tcBorders>
              <w:right w:val="nil"/>
            </w:tcBorders>
            <w:shd w:val="clear" w:color="auto" w:fill="auto"/>
            <w:vAlign w:val="center"/>
          </w:tcPr>
          <w:p w:rsidR="007110AB" w:rsidRPr="007A70FB" w:rsidRDefault="007110AB" w:rsidP="000E0129">
            <w:pPr>
              <w:pStyle w:val="Tabletext"/>
              <w:keepNext/>
              <w:rPr>
                <w:b/>
                <w:bCs/>
              </w:rPr>
            </w:pPr>
            <w:r w:rsidRPr="007A70FB">
              <w:rPr>
                <w:b/>
                <w:bCs/>
              </w:rPr>
              <w:lastRenderedPageBreak/>
              <w:t>Brigatinib</w:t>
            </w:r>
          </w:p>
        </w:tc>
        <w:tc>
          <w:tcPr>
            <w:tcW w:w="456" w:type="pct"/>
            <w:tcBorders>
              <w:left w:val="nil"/>
              <w:right w:val="nil"/>
            </w:tcBorders>
            <w:shd w:val="clear" w:color="auto" w:fill="auto"/>
            <w:vAlign w:val="center"/>
          </w:tcPr>
          <w:p w:rsidR="007110AB" w:rsidRPr="007A70FB" w:rsidRDefault="007110AB" w:rsidP="000E0129">
            <w:pPr>
              <w:pStyle w:val="Tabletext"/>
              <w:keepNext/>
            </w:pPr>
          </w:p>
        </w:tc>
        <w:tc>
          <w:tcPr>
            <w:tcW w:w="1535" w:type="pct"/>
            <w:tcBorders>
              <w:left w:val="nil"/>
              <w:right w:val="nil"/>
            </w:tcBorders>
            <w:shd w:val="clear" w:color="auto" w:fill="auto"/>
            <w:vAlign w:val="center"/>
          </w:tcPr>
          <w:p w:rsidR="007110AB" w:rsidRPr="007A70FB" w:rsidRDefault="007110AB" w:rsidP="000E0129">
            <w:pPr>
              <w:pStyle w:val="Tabletext"/>
              <w:keepNext/>
            </w:pPr>
          </w:p>
        </w:tc>
        <w:tc>
          <w:tcPr>
            <w:tcW w:w="401" w:type="pct"/>
            <w:tcBorders>
              <w:left w:val="nil"/>
              <w:right w:val="nil"/>
            </w:tcBorders>
            <w:shd w:val="clear" w:color="auto" w:fill="auto"/>
            <w:vAlign w:val="center"/>
          </w:tcPr>
          <w:p w:rsidR="007110AB" w:rsidRPr="007A70FB" w:rsidRDefault="007110AB" w:rsidP="000E0129">
            <w:pPr>
              <w:pStyle w:val="Tabletext"/>
              <w:keepNext/>
              <w:jc w:val="center"/>
            </w:pPr>
          </w:p>
        </w:tc>
        <w:tc>
          <w:tcPr>
            <w:tcW w:w="1493" w:type="pct"/>
            <w:tcBorders>
              <w:left w:val="nil"/>
              <w:right w:val="nil"/>
            </w:tcBorders>
            <w:shd w:val="clear" w:color="auto" w:fill="auto"/>
            <w:vAlign w:val="center"/>
          </w:tcPr>
          <w:p w:rsidR="007110AB" w:rsidRPr="007A70FB" w:rsidRDefault="007110AB" w:rsidP="000E0129">
            <w:pPr>
              <w:pStyle w:val="Tabletext"/>
              <w:keepNext/>
            </w:pPr>
          </w:p>
        </w:tc>
        <w:tc>
          <w:tcPr>
            <w:tcW w:w="601" w:type="pct"/>
            <w:tcBorders>
              <w:left w:val="nil"/>
            </w:tcBorders>
            <w:shd w:val="clear" w:color="auto" w:fill="auto"/>
            <w:vAlign w:val="center"/>
          </w:tcPr>
          <w:p w:rsidR="007110AB" w:rsidRPr="007A70FB" w:rsidRDefault="007110AB" w:rsidP="00903E55">
            <w:pPr>
              <w:pStyle w:val="Tabletext"/>
              <w:ind w:right="-91"/>
              <w:jc w:val="center"/>
            </w:pPr>
          </w:p>
        </w:tc>
      </w:tr>
      <w:tr w:rsidR="007110AB" w:rsidRPr="007A70FB" w:rsidTr="00C45DFE">
        <w:tc>
          <w:tcPr>
            <w:tcW w:w="512" w:type="pct"/>
            <w:shd w:val="clear" w:color="auto" w:fill="auto"/>
            <w:vAlign w:val="center"/>
          </w:tcPr>
          <w:p w:rsidR="007110AB" w:rsidRPr="007A70FB" w:rsidRDefault="007110AB" w:rsidP="000E0129">
            <w:pPr>
              <w:pStyle w:val="Tabletext"/>
              <w:keepNext/>
            </w:pPr>
            <w:r w:rsidRPr="007A70FB">
              <w:t>ALTA</w:t>
            </w:r>
          </w:p>
        </w:tc>
        <w:tc>
          <w:tcPr>
            <w:tcW w:w="456" w:type="pct"/>
            <w:shd w:val="clear" w:color="auto" w:fill="auto"/>
            <w:vAlign w:val="center"/>
          </w:tcPr>
          <w:p w:rsidR="007110AB" w:rsidRPr="007A70FB" w:rsidRDefault="007110AB" w:rsidP="000E0129">
            <w:pPr>
              <w:pStyle w:val="Tabletext"/>
              <w:keepNext/>
            </w:pPr>
            <w:r w:rsidRPr="007A70FB">
              <w:t>222</w:t>
            </w:r>
          </w:p>
        </w:tc>
        <w:tc>
          <w:tcPr>
            <w:tcW w:w="1535" w:type="pct"/>
            <w:shd w:val="clear" w:color="auto" w:fill="auto"/>
            <w:vAlign w:val="center"/>
          </w:tcPr>
          <w:p w:rsidR="007110AB" w:rsidRPr="007A70FB" w:rsidRDefault="007110AB" w:rsidP="000E0129">
            <w:pPr>
              <w:pStyle w:val="Tabletext"/>
              <w:keepNext/>
            </w:pPr>
            <w:r w:rsidRPr="007A70FB">
              <w:t xml:space="preserve">Multicentre, open label, randomised to one of two brigatinib doses </w:t>
            </w:r>
            <w:r w:rsidRPr="007A70FB">
              <w:br/>
              <w:t xml:space="preserve">Median follow up 7.8 months (Arm A)/ 8.3 months (Arm B). </w:t>
            </w:r>
          </w:p>
        </w:tc>
        <w:tc>
          <w:tcPr>
            <w:tcW w:w="401" w:type="pct"/>
            <w:shd w:val="clear" w:color="auto" w:fill="auto"/>
            <w:vAlign w:val="center"/>
          </w:tcPr>
          <w:p w:rsidR="007110AB" w:rsidRPr="007A70FB" w:rsidRDefault="007110AB" w:rsidP="000E0129">
            <w:pPr>
              <w:pStyle w:val="Tabletext"/>
              <w:keepNext/>
              <w:jc w:val="center"/>
            </w:pPr>
            <w:r w:rsidRPr="007A70FB">
              <w:t>Low</w:t>
            </w:r>
          </w:p>
        </w:tc>
        <w:tc>
          <w:tcPr>
            <w:tcW w:w="1493" w:type="pct"/>
            <w:shd w:val="clear" w:color="auto" w:fill="auto"/>
            <w:vAlign w:val="center"/>
          </w:tcPr>
          <w:p w:rsidR="007110AB" w:rsidRPr="007A70FB" w:rsidRDefault="00E965EE" w:rsidP="000E0129">
            <w:pPr>
              <w:pStyle w:val="Tabletext"/>
              <w:keepNext/>
            </w:pPr>
            <w:r w:rsidRPr="007A70FB">
              <w:t>PD after</w:t>
            </w:r>
            <w:r w:rsidR="00AC7F17">
              <w:t xml:space="preserve"> crizo</w:t>
            </w:r>
            <w:r w:rsidR="007110AB" w:rsidRPr="007A70FB">
              <w:t>tinib; prior chemotherapy</w:t>
            </w:r>
            <w:r w:rsidR="007A70FB">
              <w:t xml:space="preserve">. </w:t>
            </w:r>
          </w:p>
        </w:tc>
        <w:tc>
          <w:tcPr>
            <w:tcW w:w="601" w:type="pct"/>
            <w:shd w:val="clear" w:color="auto" w:fill="auto"/>
            <w:vAlign w:val="center"/>
          </w:tcPr>
          <w:p w:rsidR="007110AB" w:rsidRPr="007A70FB" w:rsidRDefault="007110AB" w:rsidP="00903E55">
            <w:pPr>
              <w:pStyle w:val="Tabletext"/>
              <w:ind w:left="-30" w:right="-91"/>
              <w:jc w:val="center"/>
            </w:pPr>
            <w:r w:rsidRPr="007A70FB">
              <w:t>ORR, IC-ORR, OS PFS</w:t>
            </w:r>
          </w:p>
        </w:tc>
      </w:tr>
      <w:tr w:rsidR="007110AB" w:rsidRPr="007A70FB" w:rsidTr="00C45DFE">
        <w:tc>
          <w:tcPr>
            <w:tcW w:w="512" w:type="pct"/>
            <w:shd w:val="clear" w:color="auto" w:fill="auto"/>
            <w:vAlign w:val="center"/>
          </w:tcPr>
          <w:p w:rsidR="007110AB" w:rsidRPr="007A70FB" w:rsidRDefault="007110AB" w:rsidP="000E0129">
            <w:pPr>
              <w:pStyle w:val="Tabletext"/>
              <w:keepNext/>
            </w:pPr>
            <w:r w:rsidRPr="007A70FB">
              <w:t>Gettinger 2016</w:t>
            </w:r>
          </w:p>
        </w:tc>
        <w:tc>
          <w:tcPr>
            <w:tcW w:w="456" w:type="pct"/>
            <w:shd w:val="clear" w:color="auto" w:fill="auto"/>
            <w:vAlign w:val="center"/>
          </w:tcPr>
          <w:p w:rsidR="007110AB" w:rsidRPr="007A70FB" w:rsidRDefault="007110AB" w:rsidP="000E0129">
            <w:pPr>
              <w:pStyle w:val="Tabletext"/>
              <w:keepNext/>
            </w:pPr>
            <w:r w:rsidRPr="007A70FB">
              <w:t>137</w:t>
            </w:r>
          </w:p>
        </w:tc>
        <w:tc>
          <w:tcPr>
            <w:tcW w:w="1535" w:type="pct"/>
            <w:shd w:val="clear" w:color="auto" w:fill="auto"/>
            <w:vAlign w:val="center"/>
          </w:tcPr>
          <w:p w:rsidR="007110AB" w:rsidRPr="007A70FB" w:rsidRDefault="007110AB" w:rsidP="000E0129">
            <w:pPr>
              <w:pStyle w:val="Tabletext"/>
              <w:keepNext/>
            </w:pPr>
            <w:r w:rsidRPr="007A70FB">
              <w:t>Multicentre, single-arm, open label, multi-dose, dose-escalation study</w:t>
            </w:r>
            <w:r w:rsidR="007A70FB">
              <w:t xml:space="preserve">. </w:t>
            </w:r>
          </w:p>
        </w:tc>
        <w:tc>
          <w:tcPr>
            <w:tcW w:w="401" w:type="pct"/>
            <w:shd w:val="clear" w:color="auto" w:fill="auto"/>
            <w:vAlign w:val="center"/>
          </w:tcPr>
          <w:p w:rsidR="007110AB" w:rsidRPr="007A70FB" w:rsidRDefault="007110AB" w:rsidP="000E0129">
            <w:pPr>
              <w:pStyle w:val="Tabletext"/>
              <w:keepNext/>
              <w:jc w:val="center"/>
            </w:pPr>
            <w:r w:rsidRPr="007A70FB">
              <w:t>High</w:t>
            </w:r>
          </w:p>
        </w:tc>
        <w:tc>
          <w:tcPr>
            <w:tcW w:w="1493" w:type="pct"/>
            <w:shd w:val="clear" w:color="auto" w:fill="auto"/>
            <w:vAlign w:val="center"/>
          </w:tcPr>
          <w:p w:rsidR="007110AB" w:rsidRPr="007A70FB" w:rsidRDefault="00AC7F17" w:rsidP="000E0129">
            <w:pPr>
              <w:pStyle w:val="Tabletext"/>
              <w:keepNext/>
            </w:pPr>
            <w:r>
              <w:t>Crizo</w:t>
            </w:r>
            <w:r w:rsidR="007110AB" w:rsidRPr="007A70FB">
              <w:t>tin</w:t>
            </w:r>
            <w:r>
              <w:t>i</w:t>
            </w:r>
            <w:r w:rsidR="007110AB" w:rsidRPr="007A70FB">
              <w:t xml:space="preserve">b naïve; </w:t>
            </w:r>
            <w:r w:rsidR="000635FF" w:rsidRPr="007A70FB">
              <w:t xml:space="preserve">PD after </w:t>
            </w:r>
            <w:r w:rsidR="007110AB" w:rsidRPr="007A70FB">
              <w:t xml:space="preserve">crizotinib; and prior chemotherapy. </w:t>
            </w:r>
          </w:p>
          <w:p w:rsidR="007110AB" w:rsidRPr="007A70FB" w:rsidRDefault="007110AB" w:rsidP="000E0129">
            <w:pPr>
              <w:pStyle w:val="Tabletext"/>
              <w:keepNext/>
              <w:rPr>
                <w:iCs/>
              </w:rPr>
            </w:pPr>
            <w:r w:rsidRPr="007A70FB">
              <w:rPr>
                <w:iCs/>
              </w:rPr>
              <w:t xml:space="preserve">Subgroups presented for: </w:t>
            </w:r>
          </w:p>
          <w:p w:rsidR="007110AB" w:rsidRPr="007A70FB" w:rsidRDefault="007110AB" w:rsidP="00FE0FA7">
            <w:pPr>
              <w:pStyle w:val="Tabletext"/>
              <w:keepNext/>
              <w:numPr>
                <w:ilvl w:val="0"/>
                <w:numId w:val="8"/>
              </w:numPr>
              <w:ind w:left="232" w:hanging="192"/>
              <w:rPr>
                <w:iCs/>
              </w:rPr>
            </w:pPr>
            <w:r w:rsidRPr="007A70FB">
              <w:rPr>
                <w:iCs/>
              </w:rPr>
              <w:t>ALK-positive NSCLC (N=79)</w:t>
            </w:r>
          </w:p>
          <w:p w:rsidR="007110AB" w:rsidRPr="007A70FB" w:rsidRDefault="007110AB" w:rsidP="00FE0FA7">
            <w:pPr>
              <w:pStyle w:val="Tabletext"/>
              <w:keepNext/>
              <w:numPr>
                <w:ilvl w:val="0"/>
                <w:numId w:val="8"/>
              </w:numPr>
              <w:ind w:left="232" w:hanging="192"/>
              <w:rPr>
                <w:iCs/>
              </w:rPr>
            </w:pPr>
            <w:r w:rsidRPr="007A70FB">
              <w:rPr>
                <w:iCs/>
              </w:rPr>
              <w:t>Dose regimen:</w:t>
            </w:r>
          </w:p>
          <w:p w:rsidR="007110AB" w:rsidRPr="007A70FB" w:rsidRDefault="007110AB" w:rsidP="00FE0FA7">
            <w:pPr>
              <w:pStyle w:val="Tabletext"/>
              <w:keepNext/>
              <w:numPr>
                <w:ilvl w:val="0"/>
                <w:numId w:val="8"/>
              </w:numPr>
              <w:ind w:left="443" w:hanging="192"/>
              <w:rPr>
                <w:iCs/>
              </w:rPr>
            </w:pPr>
            <w:r w:rsidRPr="007A70FB">
              <w:rPr>
                <w:iCs/>
              </w:rPr>
              <w:t>90 mg→180 mg QD (N=25)</w:t>
            </w:r>
          </w:p>
          <w:p w:rsidR="007110AB" w:rsidRPr="007A70FB" w:rsidRDefault="007110AB" w:rsidP="00FE0FA7">
            <w:pPr>
              <w:pStyle w:val="Tabletext"/>
              <w:keepNext/>
              <w:numPr>
                <w:ilvl w:val="0"/>
                <w:numId w:val="8"/>
              </w:numPr>
              <w:ind w:left="443" w:hanging="192"/>
              <w:rPr>
                <w:i/>
                <w:iCs/>
              </w:rPr>
            </w:pPr>
            <w:r w:rsidRPr="007A70FB">
              <w:rPr>
                <w:iCs/>
              </w:rPr>
              <w:t>90 mg QD (N=13)</w:t>
            </w:r>
          </w:p>
        </w:tc>
        <w:tc>
          <w:tcPr>
            <w:tcW w:w="601" w:type="pct"/>
            <w:shd w:val="clear" w:color="auto" w:fill="auto"/>
            <w:vAlign w:val="center"/>
          </w:tcPr>
          <w:p w:rsidR="007110AB" w:rsidRPr="007A70FB" w:rsidRDefault="007110AB" w:rsidP="00903E55">
            <w:pPr>
              <w:pStyle w:val="Tabletext"/>
              <w:ind w:left="-30" w:right="-91"/>
              <w:jc w:val="center"/>
            </w:pPr>
            <w:r w:rsidRPr="007A70FB">
              <w:t>ORR, IC-ORR, OS PFS</w:t>
            </w:r>
          </w:p>
        </w:tc>
      </w:tr>
    </w:tbl>
    <w:p w:rsidR="007110AB" w:rsidRPr="007A70FB" w:rsidRDefault="00842146" w:rsidP="00903E55">
      <w:pPr>
        <w:pStyle w:val="TableFooter"/>
        <w:widowControl/>
      </w:pPr>
      <w:r w:rsidRPr="007A70FB">
        <w:t xml:space="preserve">Abbreviations: </w:t>
      </w:r>
      <w:r w:rsidR="009F7603" w:rsidRPr="007A70FB">
        <w:t xml:space="preserve">ALK = anaplastic lymphoma kinase; </w:t>
      </w:r>
      <w:r w:rsidR="002908D4" w:rsidRPr="007A70FB">
        <w:t xml:space="preserve">IC-ORR = intracranial objective response rate; </w:t>
      </w:r>
      <w:r w:rsidR="001A7143" w:rsidRPr="007A70FB">
        <w:t xml:space="preserve">NSCLC = non-small cell lung cancer; </w:t>
      </w:r>
      <w:r w:rsidR="002908D4" w:rsidRPr="007A70FB">
        <w:t xml:space="preserve">ORR = objective response rate; </w:t>
      </w:r>
      <w:r w:rsidR="007110AB" w:rsidRPr="007A70FB">
        <w:t xml:space="preserve">OS=overall survival; </w:t>
      </w:r>
      <w:r w:rsidR="002908D4" w:rsidRPr="007A70FB">
        <w:t xml:space="preserve">PD = progressive disease; </w:t>
      </w:r>
      <w:r w:rsidR="007110AB" w:rsidRPr="007A70FB">
        <w:t xml:space="preserve">PFS=progression-free survival; </w:t>
      </w:r>
    </w:p>
    <w:p w:rsidR="002908D4" w:rsidRPr="007A70FB" w:rsidRDefault="007110AB" w:rsidP="00903E55">
      <w:pPr>
        <w:pStyle w:val="TableFooter"/>
        <w:widowControl/>
        <w:rPr>
          <w:iCs/>
        </w:rPr>
      </w:pPr>
      <w:r w:rsidRPr="007A70FB">
        <w:t xml:space="preserve">Source: </w:t>
      </w:r>
      <w:r w:rsidRPr="007A70FB">
        <w:rPr>
          <w:iCs/>
        </w:rPr>
        <w:t>compiled during the evaluation</w:t>
      </w:r>
      <w:r w:rsidR="00FC601F" w:rsidRPr="007A70FB">
        <w:rPr>
          <w:iCs/>
        </w:rPr>
        <w:t>.</w:t>
      </w:r>
    </w:p>
    <w:p w:rsidR="007110AB" w:rsidRPr="007A70FB" w:rsidRDefault="006C66D9" w:rsidP="00903E55">
      <w:pPr>
        <w:pStyle w:val="TableFooter"/>
        <w:widowControl/>
      </w:pPr>
      <w:r w:rsidRPr="007A70FB">
        <w:t xml:space="preserve">Notes: </w:t>
      </w:r>
      <w:r w:rsidR="007110AB" w:rsidRPr="007A70FB">
        <w:t>In all studies, response outcomes were assessed by both the investigator and a</w:t>
      </w:r>
      <w:r w:rsidR="005E737F" w:rsidRPr="007A70FB">
        <w:t>n</w:t>
      </w:r>
      <w:r w:rsidR="007110AB" w:rsidRPr="007A70FB">
        <w:t xml:space="preserve"> independent review committee.</w:t>
      </w:r>
    </w:p>
    <w:p w:rsidR="00FC601F" w:rsidRPr="007A70FB" w:rsidRDefault="00FC601F" w:rsidP="00903E55">
      <w:pPr>
        <w:pStyle w:val="TableFooter"/>
        <w:widowControl/>
      </w:pPr>
      <w:r w:rsidRPr="007A70FB">
        <w:rPr>
          <w:vertAlign w:val="superscript"/>
        </w:rPr>
        <w:t xml:space="preserve">a </w:t>
      </w:r>
      <w:r w:rsidRPr="007A70FB">
        <w:rPr>
          <w:iCs/>
        </w:rPr>
        <w:t>ASCEND-1 permitted enrolment of patients who were ALK-TKI naïve, but the submission and evaluation only reviewed characteristics and results for patients with ALK-TKI treatment experience.</w:t>
      </w:r>
    </w:p>
    <w:p w:rsidR="002A7AEF" w:rsidRPr="007A70FB" w:rsidRDefault="007110AB" w:rsidP="00FE0FA7">
      <w:pPr>
        <w:pStyle w:val="ListParagraph"/>
        <w:widowControl/>
        <w:numPr>
          <w:ilvl w:val="1"/>
          <w:numId w:val="1"/>
        </w:numPr>
        <w:spacing w:before="120" w:after="120"/>
        <w:rPr>
          <w:i/>
        </w:rPr>
      </w:pPr>
      <w:r w:rsidRPr="007A70FB">
        <w:t xml:space="preserve">The overall risk of bias for the </w:t>
      </w:r>
      <w:r w:rsidR="008A6044" w:rsidRPr="007A70FB">
        <w:t xml:space="preserve">open-label, </w:t>
      </w:r>
      <w:r w:rsidRPr="007A70FB">
        <w:t xml:space="preserve">single arm </w:t>
      </w:r>
      <w:r w:rsidR="008A6044" w:rsidRPr="007A70FB">
        <w:t>non-ra</w:t>
      </w:r>
      <w:r w:rsidR="006C0385" w:rsidRPr="007A70FB">
        <w:t>n</w:t>
      </w:r>
      <w:r w:rsidR="008A6044" w:rsidRPr="007A70FB">
        <w:t xml:space="preserve">domised </w:t>
      </w:r>
      <w:r w:rsidRPr="007A70FB">
        <w:t>studies was high; whereas the risk of bias was low in the RCTs. There is a high probability of selection bias (no allocation concealment), performance bias (no blinding of participants or personnel) and detection bias (no blinding of outcome assessment), the magnitude and direction of which cannot be determined. Given the results presented in the submission were based on a naïve comparison of single arms from the included studies, it was not possible to use the event rate in a common reference arm to assess and adjust for any imbalances in both observed and unobserved confounding factors that may exist. In addition, it was not clear how blinding of the independent review committee (IRC) was maintained or drug-relatedness to efficacy outcomes or adverse events (AEs) was assessed given these were single-arm studies.</w:t>
      </w:r>
      <w:r w:rsidR="002A7AEF" w:rsidRPr="007A70FB">
        <w:rPr>
          <w:iCs/>
        </w:rPr>
        <w:t xml:space="preserve"> </w:t>
      </w:r>
    </w:p>
    <w:p w:rsidR="007110AB" w:rsidRPr="007A70FB" w:rsidRDefault="007110AB" w:rsidP="00FE0FA7">
      <w:pPr>
        <w:pStyle w:val="ListParagraph"/>
        <w:widowControl/>
        <w:numPr>
          <w:ilvl w:val="1"/>
          <w:numId w:val="1"/>
        </w:numPr>
        <w:spacing w:before="120" w:after="120"/>
      </w:pPr>
      <w:r w:rsidRPr="007A70FB">
        <w:t xml:space="preserve">There were issues identified in the evaluation with regards to the design of these studies that </w:t>
      </w:r>
      <w:r w:rsidR="004014CA" w:rsidRPr="007A70FB">
        <w:rPr>
          <w:iCs/>
        </w:rPr>
        <w:t>have major effects</w:t>
      </w:r>
      <w:r w:rsidR="004014CA" w:rsidRPr="007A70FB">
        <w:rPr>
          <w:i/>
        </w:rPr>
        <w:t xml:space="preserve"> </w:t>
      </w:r>
      <w:r w:rsidR="004014CA" w:rsidRPr="007A70FB">
        <w:rPr>
          <w:iCs/>
        </w:rPr>
        <w:t>on</w:t>
      </w:r>
      <w:r w:rsidR="004014CA" w:rsidRPr="007A70FB">
        <w:t xml:space="preserve"> </w:t>
      </w:r>
      <w:r w:rsidRPr="007A70FB">
        <w:t xml:space="preserve">the transitivity of the trials included in the naïve comparison. The comparison of the studies was impacted by the following limitations: differences in baseline patient demographic characteristics (e.g. </w:t>
      </w:r>
      <w:r w:rsidR="008628A1" w:rsidRPr="007A70FB">
        <w:t>ethn</w:t>
      </w:r>
      <w:r w:rsidR="0003779D" w:rsidRPr="007A70FB">
        <w:t>i</w:t>
      </w:r>
      <w:r w:rsidR="008628A1" w:rsidRPr="007A70FB">
        <w:t>city,</w:t>
      </w:r>
      <w:r w:rsidR="0003779D" w:rsidRPr="007A70FB">
        <w:t xml:space="preserve"> distribution of ECOG PS, </w:t>
      </w:r>
      <w:r w:rsidR="006E2D87" w:rsidRPr="007A70FB">
        <w:t>smoking history, CNS or brain metastases</w:t>
      </w:r>
      <w:r w:rsidRPr="007A70FB">
        <w:t>); the type of prior treatments received; the extent of use of study drug beyond progression (which particularly impacted on comparisons of overall survival, OS); anti-neoplastic therapies received after discontinuation of study drug; and differences in study recruitment period (the lorlatinib study was conducted more recently than the other studies and thus its patients are more likely to benefit from advances in treatment options and supportive care, which may have biased the analysis in favour of lorlatinib).</w:t>
      </w:r>
      <w:r w:rsidR="00873AA2" w:rsidRPr="007A70FB">
        <w:t xml:space="preserve"> </w:t>
      </w:r>
    </w:p>
    <w:p w:rsidR="00D876D7" w:rsidRPr="007A70FB" w:rsidRDefault="007110AB" w:rsidP="00FE0FA7">
      <w:pPr>
        <w:pStyle w:val="Bulletpoints"/>
        <w:widowControl/>
        <w:numPr>
          <w:ilvl w:val="1"/>
          <w:numId w:val="1"/>
        </w:numPr>
        <w:spacing w:before="120" w:after="120"/>
        <w:rPr>
          <w:rFonts w:asciiTheme="minorHAnsi" w:hAnsiTheme="minorHAnsi" w:cstheme="minorHAnsi"/>
          <w:i/>
          <w:iCs/>
        </w:rPr>
      </w:pPr>
      <w:r w:rsidRPr="007A70FB">
        <w:t>The submission stated (p116) that non-inferiority was interpreted based on the 95% confidence intervals (CIs) of the naïve comparison outcomes and supported by a match</w:t>
      </w:r>
      <w:r w:rsidR="00C3621E" w:rsidRPr="007A70FB">
        <w:t>ing</w:t>
      </w:r>
      <w:r w:rsidRPr="007A70FB">
        <w:t xml:space="preserve">-adjusted indirect comparison (MAIC) analysis. </w:t>
      </w:r>
      <w:r w:rsidRPr="007A70FB">
        <w:rPr>
          <w:iCs/>
        </w:rPr>
        <w:t xml:space="preserve">Non-inferiority was also </w:t>
      </w:r>
      <w:r w:rsidRPr="007A70FB">
        <w:rPr>
          <w:iCs/>
        </w:rPr>
        <w:lastRenderedPageBreak/>
        <w:t xml:space="preserve">inferred based on the </w:t>
      </w:r>
      <w:r w:rsidR="005C757C" w:rsidRPr="007A70FB">
        <w:t xml:space="preserve">naïve </w:t>
      </w:r>
      <w:r w:rsidRPr="007A70FB">
        <w:rPr>
          <w:iCs/>
        </w:rPr>
        <w:t>comparison of the point estimates of the results for each outcome from each study. Reliance on the 95% CI to inform non-inferiority can bias results towards concluding no difference between treatments. As a single-arm study, Study 1001 was not designed to conclude non-inferiority.</w:t>
      </w:r>
      <w:r w:rsidR="00CD353F" w:rsidRPr="007A70FB">
        <w:rPr>
          <w:iCs/>
        </w:rPr>
        <w:t xml:space="preserve"> </w:t>
      </w:r>
    </w:p>
    <w:p w:rsidR="00D876D7" w:rsidRPr="007A70FB" w:rsidRDefault="007110AB" w:rsidP="00F9021F">
      <w:pPr>
        <w:pStyle w:val="ListParagraph"/>
        <w:widowControl/>
        <w:numPr>
          <w:ilvl w:val="1"/>
          <w:numId w:val="1"/>
        </w:numPr>
        <w:spacing w:before="120" w:after="120"/>
      </w:pPr>
      <w:r w:rsidRPr="007A70FB">
        <w:t>The submission presented a post-hoc analysis</w:t>
      </w:r>
      <w:r w:rsidR="006C66D9" w:rsidRPr="007A70FB">
        <w:t xml:space="preserve"> </w:t>
      </w:r>
      <w:r w:rsidR="00CD6E5B" w:rsidRPr="007A70FB">
        <w:t>–</w:t>
      </w:r>
      <w:r w:rsidR="006C66D9" w:rsidRPr="007A70FB">
        <w:t xml:space="preserve"> </w:t>
      </w:r>
      <w:r w:rsidRPr="007A70FB">
        <w:t xml:space="preserve">a MAIC of lorlatinib compared to alectinib, ceritinib and brigatinib based on studies presented in the naïve comparison. The key outcomes presented in the MAIC analyses were PFS and OS. </w:t>
      </w:r>
      <w:r w:rsidR="00EA73D1" w:rsidRPr="007A70FB">
        <w:rPr>
          <w:iCs/>
        </w:rPr>
        <w:t>In general, a MAIC</w:t>
      </w:r>
      <w:r w:rsidRPr="007A70FB">
        <w:rPr>
          <w:iCs/>
        </w:rPr>
        <w:t xml:space="preserve"> can account for between trial imbalances in observed covariates, however, a MAIC cannot adjust for differences in treatment administration, co-treatments or treatment switching. Although the use of </w:t>
      </w:r>
      <w:r w:rsidR="007B59A8" w:rsidRPr="007A70FB">
        <w:rPr>
          <w:iCs/>
        </w:rPr>
        <w:t>individual patient data (</w:t>
      </w:r>
      <w:r w:rsidRPr="007A70FB">
        <w:rPr>
          <w:iCs/>
        </w:rPr>
        <w:t>IPD</w:t>
      </w:r>
      <w:r w:rsidR="007B59A8" w:rsidRPr="007A70FB">
        <w:rPr>
          <w:iCs/>
        </w:rPr>
        <w:t>)</w:t>
      </w:r>
      <w:r w:rsidRPr="007A70FB">
        <w:rPr>
          <w:iCs/>
        </w:rPr>
        <w:t xml:space="preserve"> within a MAIC </w:t>
      </w:r>
      <w:r w:rsidR="00C92019" w:rsidRPr="007A70FB">
        <w:rPr>
          <w:iCs/>
        </w:rPr>
        <w:t xml:space="preserve">— </w:t>
      </w:r>
      <w:r w:rsidRPr="007A70FB">
        <w:rPr>
          <w:iCs/>
        </w:rPr>
        <w:t xml:space="preserve">as applied for lorlatinib in the submission </w:t>
      </w:r>
      <w:r w:rsidR="00C92019" w:rsidRPr="007A70FB">
        <w:rPr>
          <w:iCs/>
        </w:rPr>
        <w:t xml:space="preserve">— </w:t>
      </w:r>
      <w:r w:rsidRPr="007A70FB">
        <w:rPr>
          <w:iCs/>
        </w:rPr>
        <w:t>can remove or reduce observed cross-trial differences, unobserved differences may result in residual confounding.</w:t>
      </w:r>
      <w:r w:rsidR="00CD0BD6" w:rsidRPr="007A70FB">
        <w:rPr>
          <w:iCs/>
        </w:rPr>
        <w:t xml:space="preserve"> The submission used an unanchored method to conduct the MAIC whereby the absence of a common comparator arm is an important limitation, as validation of matching or the use of relative effect measures is not possible. </w:t>
      </w:r>
      <w:r w:rsidR="003C73EF" w:rsidRPr="007A70FB">
        <w:rPr>
          <w:iCs/>
        </w:rPr>
        <w:t>In commenting on the use of MAICs, t</w:t>
      </w:r>
      <w:r w:rsidRPr="007A70FB">
        <w:rPr>
          <w:iCs/>
        </w:rPr>
        <w:t>he NICE D</w:t>
      </w:r>
      <w:r w:rsidR="00CD6E5B" w:rsidRPr="007A70FB">
        <w:rPr>
          <w:iCs/>
        </w:rPr>
        <w:t xml:space="preserve">ecision </w:t>
      </w:r>
      <w:r w:rsidRPr="007A70FB">
        <w:rPr>
          <w:iCs/>
        </w:rPr>
        <w:t>S</w:t>
      </w:r>
      <w:r w:rsidR="00CD6E5B" w:rsidRPr="007A70FB">
        <w:rPr>
          <w:iCs/>
        </w:rPr>
        <w:t xml:space="preserve">upport </w:t>
      </w:r>
      <w:r w:rsidRPr="007A70FB">
        <w:rPr>
          <w:iCs/>
        </w:rPr>
        <w:t>U</w:t>
      </w:r>
      <w:r w:rsidR="00CD6E5B" w:rsidRPr="007A70FB">
        <w:rPr>
          <w:iCs/>
        </w:rPr>
        <w:t>nit (DSU)</w:t>
      </w:r>
      <w:r w:rsidRPr="007A70FB">
        <w:rPr>
          <w:iCs/>
        </w:rPr>
        <w:t xml:space="preserve"> noted (p14) that little is known about the reliability or the general properties of MAIC methods (relative to indirect treatment comparisons via a common reference), particularly in the context of NICE technology appraisal.</w:t>
      </w:r>
      <w:r w:rsidR="00873AA2" w:rsidRPr="007A70FB">
        <w:rPr>
          <w:iCs/>
        </w:rPr>
        <w:t xml:space="preserve"> </w:t>
      </w:r>
    </w:p>
    <w:p w:rsidR="00C45654" w:rsidRPr="007A70FB" w:rsidRDefault="00C45654" w:rsidP="00FE0FA7">
      <w:pPr>
        <w:pStyle w:val="ListParagraph"/>
        <w:widowControl/>
        <w:numPr>
          <w:ilvl w:val="1"/>
          <w:numId w:val="1"/>
        </w:numPr>
        <w:spacing w:before="120" w:after="120"/>
      </w:pPr>
      <w:r w:rsidRPr="007A70FB">
        <w:t xml:space="preserve">Patients treated with lorlatinib in Study 1001 were assigned statistical weights that adjust for over or under-representation, relative to that observed in each comparative evidence source. The submission claimed that there was “a good distribution of weights across the studies” (p187). </w:t>
      </w:r>
      <w:r w:rsidRPr="007A70FB">
        <w:rPr>
          <w:iCs/>
        </w:rPr>
        <w:t xml:space="preserve">The manner in which the weights </w:t>
      </w:r>
      <w:r w:rsidR="003C73EF" w:rsidRPr="007A70FB">
        <w:rPr>
          <w:iCs/>
        </w:rPr>
        <w:t xml:space="preserve">in the MAIC </w:t>
      </w:r>
      <w:r w:rsidRPr="007A70FB">
        <w:rPr>
          <w:iCs/>
        </w:rPr>
        <w:t>were estimated or applied could not be verified. The means are reported in the submission and the MAIC report; variance</w:t>
      </w:r>
      <w:r w:rsidR="003C73EF" w:rsidRPr="007A70FB">
        <w:rPr>
          <w:iCs/>
        </w:rPr>
        <w:t>s</w:t>
      </w:r>
      <w:r w:rsidRPr="007A70FB">
        <w:rPr>
          <w:iCs/>
        </w:rPr>
        <w:t xml:space="preserve"> for each baseline characteristic were not reported. Visual inspection of the histograms provided shows the distribution of the weights was skewed; with some weights as high as a factor of three.</w:t>
      </w:r>
    </w:p>
    <w:p w:rsidR="007110AB" w:rsidRPr="007A70FB" w:rsidRDefault="007110AB" w:rsidP="00FE0FA7">
      <w:pPr>
        <w:pStyle w:val="ListParagraph"/>
        <w:widowControl/>
        <w:numPr>
          <w:ilvl w:val="1"/>
          <w:numId w:val="1"/>
        </w:numPr>
        <w:spacing w:before="120" w:after="120"/>
        <w:rPr>
          <w:iCs/>
        </w:rPr>
      </w:pPr>
      <w:r w:rsidRPr="007A70FB">
        <w:t xml:space="preserve">The MAIC presented in the submission assumed (p179) that the distribution of the treatment effect modifiers did not differ between the studies. </w:t>
      </w:r>
      <w:r w:rsidRPr="007A70FB">
        <w:rPr>
          <w:iCs/>
        </w:rPr>
        <w:t>This is an implausibly strong assumption, which assumed that all prognostic variables and effect modifiers are accounted for and correctly specified. There is a possibility of residual bias due to unobserved prognostic variables and effect modifiers. The accuracy of the resulting estimates is unknown as there is no analysis of the potential magnitude of residual bias, and no indication of the degree of error in unanchored MAIC estimations. As noted by the NICE DSU, the inclusion of single-arm studies in such an analysis is thus subject to the additional assumptions and biases incurred by these study designs</w:t>
      </w:r>
      <w:r w:rsidR="007A70FB">
        <w:rPr>
          <w:iCs/>
        </w:rPr>
        <w:t xml:space="preserve">. </w:t>
      </w:r>
    </w:p>
    <w:p w:rsidR="00027A81" w:rsidRPr="007A70FB" w:rsidRDefault="007110AB" w:rsidP="00FE0FA7">
      <w:pPr>
        <w:pStyle w:val="ListParagraph"/>
        <w:widowControl/>
        <w:numPr>
          <w:ilvl w:val="1"/>
          <w:numId w:val="1"/>
        </w:numPr>
        <w:spacing w:before="120" w:after="120"/>
        <w:rPr>
          <w:iCs/>
        </w:rPr>
      </w:pPr>
      <w:r w:rsidRPr="007A70FB">
        <w:t xml:space="preserve">The MAIC relied on a subset of patients from Study 1001 (EXP-2, </w:t>
      </w:r>
      <w:r w:rsidR="002A15B5" w:rsidRPr="007A70FB">
        <w:t>n</w:t>
      </w:r>
      <w:r w:rsidRPr="007A70FB">
        <w:t xml:space="preserve">=27; EXP-3 </w:t>
      </w:r>
      <w:r w:rsidR="002A15B5" w:rsidRPr="007A70FB">
        <w:t>n</w:t>
      </w:r>
      <w:r w:rsidRPr="007A70FB">
        <w:t>=32).</w:t>
      </w:r>
      <w:r w:rsidRPr="007A70FB">
        <w:rPr>
          <w:iCs/>
        </w:rPr>
        <w:t xml:space="preserve"> </w:t>
      </w:r>
      <w:r w:rsidRPr="007A70FB">
        <w:t>The submission stated (p183) that these subgroups from EXP-2 and EXP-3A were most similar to patients included in the majority of the comparator studies in terms of line of therapy.</w:t>
      </w:r>
      <w:r w:rsidRPr="007A70FB">
        <w:rPr>
          <w:iCs/>
        </w:rPr>
        <w:t xml:space="preserve"> While this may be reasonable with respect to prior ALK-TKI exposure in Study 1001, it may not be reasonable with respect to prior exposure to chemotherapy. </w:t>
      </w:r>
      <w:r w:rsidRPr="007A70FB">
        <w:rPr>
          <w:iCs/>
        </w:rPr>
        <w:lastRenderedPageBreak/>
        <w:t>Moreover, reliance on these subgroups greatly diminishes the sample size from which inferences of comparative effect are being drawn within the submission. Study 1001 was based on 276 patients, while results for lorlatinib in the MAIC rely on data from only 59 patients. The marked reduction of the sample size (effectively by 80%) reduced the stability of the results as inferences are heavily dependent on a smaller number of individuals.</w:t>
      </w:r>
    </w:p>
    <w:p w:rsidR="007110AB" w:rsidRPr="007A70FB" w:rsidRDefault="00027A81" w:rsidP="00277696">
      <w:pPr>
        <w:pStyle w:val="ListParagraph"/>
        <w:widowControl/>
        <w:numPr>
          <w:ilvl w:val="1"/>
          <w:numId w:val="1"/>
        </w:numPr>
        <w:spacing w:before="120" w:after="120"/>
      </w:pPr>
      <w:r w:rsidRPr="007A70FB">
        <w:t>The PSCR argued that the overall population of the study which formed the basis of the MAIC for lorlat</w:t>
      </w:r>
      <w:r w:rsidR="00587DBC" w:rsidRPr="007A70FB">
        <w:t>i</w:t>
      </w:r>
      <w:r w:rsidRPr="007A70FB">
        <w:t xml:space="preserve">nib (N=198) was robust in the context of this rare cancer. However, the ESC considered that it was difficult to draw meaningful </w:t>
      </w:r>
      <w:r w:rsidR="006437BB" w:rsidRPr="007A70FB">
        <w:t>conclusions</w:t>
      </w:r>
      <w:r w:rsidR="00734B0D" w:rsidRPr="007A70FB">
        <w:t xml:space="preserve"> in terms of PFS and OS</w:t>
      </w:r>
      <w:r w:rsidRPr="007A70FB">
        <w:t xml:space="preserve"> from the MAIC </w:t>
      </w:r>
      <w:r w:rsidR="00D6426B" w:rsidRPr="007A70FB">
        <w:t xml:space="preserve">analysis </w:t>
      </w:r>
      <w:r w:rsidRPr="007A70FB">
        <w:t xml:space="preserve">because </w:t>
      </w:r>
      <w:r w:rsidR="00A14F9F" w:rsidRPr="007A70FB">
        <w:t xml:space="preserve">the </w:t>
      </w:r>
      <w:r w:rsidR="0021168F" w:rsidRPr="007A70FB">
        <w:t>MAIC relied on</w:t>
      </w:r>
      <w:r w:rsidR="00A14F9F" w:rsidRPr="007A70FB">
        <w:t xml:space="preserve"> a </w:t>
      </w:r>
      <w:r w:rsidR="0021168F" w:rsidRPr="007A70FB">
        <w:t>substantially small subset</w:t>
      </w:r>
      <w:r w:rsidR="00A03D93" w:rsidRPr="007A70FB">
        <w:t xml:space="preserve"> (</w:t>
      </w:r>
      <w:r w:rsidR="00CE56C4" w:rsidRPr="007A70FB">
        <w:t>N=59</w:t>
      </w:r>
      <w:r w:rsidR="00A03D93" w:rsidRPr="007A70FB">
        <w:t>) of</w:t>
      </w:r>
      <w:r w:rsidRPr="007A70FB">
        <w:t xml:space="preserve"> </w:t>
      </w:r>
      <w:r w:rsidR="00A03D93" w:rsidRPr="007A70FB">
        <w:t>patient</w:t>
      </w:r>
      <w:r w:rsidR="00505F85" w:rsidRPr="007A70FB">
        <w:t>s</w:t>
      </w:r>
      <w:r w:rsidRPr="007A70FB">
        <w:t xml:space="preserve"> and </w:t>
      </w:r>
      <w:r w:rsidR="00C92019" w:rsidRPr="007A70FB">
        <w:t xml:space="preserve">the </w:t>
      </w:r>
      <w:r w:rsidRPr="007A70FB">
        <w:t>a</w:t>
      </w:r>
      <w:r w:rsidR="00583B45" w:rsidRPr="007A70FB">
        <w:t xml:space="preserve">ssumptions </w:t>
      </w:r>
      <w:r w:rsidR="00C92019" w:rsidRPr="007A70FB">
        <w:t xml:space="preserve">made </w:t>
      </w:r>
      <w:r w:rsidR="00583B45" w:rsidRPr="007A70FB">
        <w:t>were not</w:t>
      </w:r>
      <w:r w:rsidR="00A01863" w:rsidRPr="007A70FB">
        <w:t xml:space="preserve"> </w:t>
      </w:r>
      <w:r w:rsidR="00583B45" w:rsidRPr="007A70FB">
        <w:t>justifiable</w:t>
      </w:r>
      <w:r w:rsidRPr="007A70FB">
        <w:t xml:space="preserve">. </w:t>
      </w:r>
      <w:r w:rsidR="00A03D93" w:rsidRPr="007A70FB">
        <w:t xml:space="preserve">The ESC considered that </w:t>
      </w:r>
      <w:r w:rsidR="00C92019" w:rsidRPr="007A70FB">
        <w:t>the</w:t>
      </w:r>
      <w:r w:rsidR="002E4F24" w:rsidRPr="007A70FB">
        <w:t xml:space="preserve"> </w:t>
      </w:r>
      <w:r w:rsidR="00BA3BDC" w:rsidRPr="007A70FB">
        <w:t xml:space="preserve">MAIC </w:t>
      </w:r>
      <w:r w:rsidR="0051663F" w:rsidRPr="007A70FB">
        <w:t>could</w:t>
      </w:r>
      <w:r w:rsidR="00A01863" w:rsidRPr="007A70FB">
        <w:t xml:space="preserve"> not </w:t>
      </w:r>
      <w:r w:rsidR="00C92019" w:rsidRPr="007A70FB">
        <w:t>overcome</w:t>
      </w:r>
      <w:r w:rsidR="00D033AC" w:rsidRPr="007A70FB">
        <w:t xml:space="preserve"> </w:t>
      </w:r>
      <w:r w:rsidR="00025F7A" w:rsidRPr="007A70FB">
        <w:t xml:space="preserve">the transitivity </w:t>
      </w:r>
      <w:r w:rsidR="005D13FA">
        <w:t>issues in</w:t>
      </w:r>
      <w:r w:rsidR="005D13FA" w:rsidRPr="007A70FB">
        <w:t xml:space="preserve"> </w:t>
      </w:r>
      <w:r w:rsidR="00025F7A" w:rsidRPr="007A70FB">
        <w:t xml:space="preserve">the trials included in the naïve comparison </w:t>
      </w:r>
      <w:r w:rsidR="00A01863" w:rsidRPr="007A70FB">
        <w:t>and</w:t>
      </w:r>
      <w:r w:rsidR="00C92019" w:rsidRPr="007A70FB">
        <w:t xml:space="preserve"> the</w:t>
      </w:r>
      <w:r w:rsidR="00A01863" w:rsidRPr="007A70FB">
        <w:t xml:space="preserve"> </w:t>
      </w:r>
      <w:r w:rsidR="00DE30D6" w:rsidRPr="007A70FB">
        <w:t>inherent</w:t>
      </w:r>
      <w:r w:rsidR="00D033AC" w:rsidRPr="007A70FB">
        <w:t xml:space="preserve"> </w:t>
      </w:r>
      <w:r w:rsidR="00A01863" w:rsidRPr="007A70FB">
        <w:t>uncertainty</w:t>
      </w:r>
      <w:r w:rsidR="00D033AC" w:rsidRPr="007A70FB">
        <w:t xml:space="preserve"> of </w:t>
      </w:r>
      <w:r w:rsidR="00EA7B6B" w:rsidRPr="007A70FB">
        <w:t xml:space="preserve">a naïve </w:t>
      </w:r>
      <w:r w:rsidR="00D033AC" w:rsidRPr="007A70FB">
        <w:t>compari</w:t>
      </w:r>
      <w:r w:rsidR="00EA7B6B" w:rsidRPr="007A70FB">
        <w:t>son</w:t>
      </w:r>
      <w:r w:rsidR="00C92019" w:rsidRPr="007A70FB">
        <w:t>,</w:t>
      </w:r>
      <w:r w:rsidR="00D033AC" w:rsidRPr="007A70FB">
        <w:t xml:space="preserve"> </w:t>
      </w:r>
      <w:r w:rsidR="00C92019" w:rsidRPr="007A70FB">
        <w:t xml:space="preserve">which </w:t>
      </w:r>
      <w:r w:rsidR="00DE30D6" w:rsidRPr="007A70FB">
        <w:t>utilised</w:t>
      </w:r>
      <w:r w:rsidR="00EA7B6B" w:rsidRPr="007A70FB">
        <w:t xml:space="preserve"> single arm studies with</w:t>
      </w:r>
      <w:r w:rsidR="00D033AC" w:rsidRPr="007A70FB">
        <w:t xml:space="preserve"> no connective evidence. </w:t>
      </w:r>
      <w:r w:rsidR="0051663F" w:rsidRPr="007A70FB">
        <w:t xml:space="preserve">Thus, it added </w:t>
      </w:r>
      <w:r w:rsidR="007E7F47" w:rsidRPr="007A70FB">
        <w:t xml:space="preserve">very </w:t>
      </w:r>
      <w:r w:rsidR="0051663F" w:rsidRPr="007A70FB">
        <w:t>little to the primary analyses</w:t>
      </w:r>
      <w:r w:rsidR="00277696" w:rsidRPr="007A70FB">
        <w:rPr>
          <w:i/>
        </w:rPr>
        <w:t>.</w:t>
      </w:r>
    </w:p>
    <w:p w:rsidR="00671624" w:rsidRPr="007A70FB" w:rsidRDefault="0013264C" w:rsidP="006A1413">
      <w:pPr>
        <w:pStyle w:val="ListParagraph"/>
        <w:widowControl/>
        <w:numPr>
          <w:ilvl w:val="1"/>
          <w:numId w:val="1"/>
        </w:numPr>
        <w:spacing w:before="120" w:after="120"/>
        <w:rPr>
          <w:iCs/>
        </w:rPr>
      </w:pPr>
      <w:r w:rsidRPr="007A70FB">
        <w:rPr>
          <w:iCs/>
        </w:rPr>
        <w:t>Moreover</w:t>
      </w:r>
      <w:r w:rsidR="00671624" w:rsidRPr="007A70FB">
        <w:rPr>
          <w:iCs/>
        </w:rPr>
        <w:t xml:space="preserve">, the ESC noted that </w:t>
      </w:r>
      <w:r w:rsidR="006A1413" w:rsidRPr="007A70FB">
        <w:rPr>
          <w:iCs/>
        </w:rPr>
        <w:t xml:space="preserve">the submission did not provide the </w:t>
      </w:r>
      <w:r w:rsidR="003E2308" w:rsidRPr="007A70FB">
        <w:rPr>
          <w:iCs/>
        </w:rPr>
        <w:t>details of the</w:t>
      </w:r>
      <w:r w:rsidR="006A1413" w:rsidRPr="007A70FB">
        <w:rPr>
          <w:iCs/>
        </w:rPr>
        <w:t xml:space="preserve"> MAIC for evaluation. </w:t>
      </w:r>
      <w:r w:rsidR="003E2308" w:rsidRPr="007A70FB">
        <w:rPr>
          <w:iCs/>
        </w:rPr>
        <w:t>Thus</w:t>
      </w:r>
      <w:r w:rsidR="00587DBC" w:rsidRPr="007A70FB">
        <w:rPr>
          <w:iCs/>
        </w:rPr>
        <w:t>,</w:t>
      </w:r>
      <w:r w:rsidR="006A1413" w:rsidRPr="007A70FB">
        <w:rPr>
          <w:iCs/>
        </w:rPr>
        <w:t xml:space="preserve"> it was not possible to evaluate the data </w:t>
      </w:r>
      <w:r w:rsidR="003E2308" w:rsidRPr="007A70FB">
        <w:rPr>
          <w:iCs/>
        </w:rPr>
        <w:t>included in the</w:t>
      </w:r>
      <w:r w:rsidR="006A1413" w:rsidRPr="007A70FB">
        <w:rPr>
          <w:iCs/>
        </w:rPr>
        <w:t xml:space="preserve"> MAIC or the calculations applied. Upon request, a sample of the code used </w:t>
      </w:r>
      <w:r w:rsidR="003E2308" w:rsidRPr="007A70FB">
        <w:rPr>
          <w:iCs/>
        </w:rPr>
        <w:t>for</w:t>
      </w:r>
      <w:r w:rsidR="006A1413" w:rsidRPr="007A70FB">
        <w:rPr>
          <w:iCs/>
        </w:rPr>
        <w:t xml:space="preserve"> the MAIC was provided by the sponsor during the evaluation. However, the ESC noted that it remained insufficient to permit adequate verification of the MAIC. </w:t>
      </w:r>
    </w:p>
    <w:p w:rsidR="007110AB" w:rsidRPr="007A70FB" w:rsidRDefault="007110AB" w:rsidP="000345C6">
      <w:pPr>
        <w:pStyle w:val="Heading2"/>
        <w:widowControl/>
        <w:spacing w:before="120" w:after="120"/>
      </w:pPr>
      <w:bookmarkStart w:id="24" w:name="_Toc371170706"/>
      <w:bookmarkStart w:id="25" w:name="_Toc19707663"/>
      <w:r w:rsidRPr="007A70FB">
        <w:t>Comparative effectiveness</w:t>
      </w:r>
      <w:bookmarkEnd w:id="24"/>
      <w:bookmarkEnd w:id="25"/>
    </w:p>
    <w:p w:rsidR="007110AB" w:rsidRPr="007A70FB" w:rsidRDefault="007110AB" w:rsidP="00FE0FA7">
      <w:pPr>
        <w:pStyle w:val="ListParagraph"/>
        <w:widowControl/>
        <w:numPr>
          <w:ilvl w:val="1"/>
          <w:numId w:val="1"/>
        </w:numPr>
        <w:spacing w:before="120" w:after="120"/>
        <w:rPr>
          <w:iCs/>
        </w:rPr>
      </w:pPr>
      <w:r w:rsidRPr="007A70FB">
        <w:t xml:space="preserve">A summary of the effectiveness (objective response rate (ORR) and intra-cranial ORR (IC-ORR)) for lorlatinib, alectinib, ceritinib and brigatinib in patients with disease progression following treatment </w:t>
      </w:r>
      <w:r w:rsidRPr="007A70FB">
        <w:rPr>
          <w:rFonts w:asciiTheme="minorHAnsi" w:hAnsiTheme="minorHAnsi"/>
          <w:szCs w:val="24"/>
        </w:rPr>
        <w:t xml:space="preserve">with a prior ALK inhibitor </w:t>
      </w:r>
      <w:r w:rsidR="0028745C" w:rsidRPr="007A70FB">
        <w:rPr>
          <w:rFonts w:asciiTheme="minorHAnsi" w:hAnsiTheme="minorHAnsi"/>
          <w:szCs w:val="24"/>
        </w:rPr>
        <w:t xml:space="preserve">is </w:t>
      </w:r>
      <w:r w:rsidRPr="007A70FB">
        <w:rPr>
          <w:rFonts w:asciiTheme="minorHAnsi" w:hAnsiTheme="minorHAnsi"/>
          <w:szCs w:val="24"/>
        </w:rPr>
        <w:t xml:space="preserve">provided in </w:t>
      </w:r>
      <w:r w:rsidR="00B0287F" w:rsidRPr="007A70FB">
        <w:rPr>
          <w:rStyle w:val="CommentReference"/>
          <w:rFonts w:asciiTheme="minorHAnsi" w:hAnsiTheme="minorHAnsi"/>
          <w:b w:val="0"/>
          <w:sz w:val="24"/>
          <w:szCs w:val="24"/>
        </w:rPr>
        <w:t>Table 5</w:t>
      </w:r>
      <w:r w:rsidR="00D16E6C" w:rsidRPr="007A70FB">
        <w:rPr>
          <w:rFonts w:asciiTheme="minorHAnsi" w:hAnsiTheme="minorHAnsi"/>
          <w:szCs w:val="24"/>
        </w:rPr>
        <w:t xml:space="preserve"> and </w:t>
      </w:r>
      <w:r w:rsidR="00B0287F" w:rsidRPr="007A70FB">
        <w:rPr>
          <w:rStyle w:val="CommentReference"/>
          <w:rFonts w:asciiTheme="minorHAnsi" w:hAnsiTheme="minorHAnsi"/>
          <w:b w:val="0"/>
          <w:sz w:val="24"/>
          <w:szCs w:val="24"/>
        </w:rPr>
        <w:t>Table 6</w:t>
      </w:r>
      <w:r w:rsidRPr="007A70FB">
        <w:rPr>
          <w:rFonts w:asciiTheme="minorHAnsi" w:hAnsiTheme="minorHAnsi"/>
          <w:szCs w:val="24"/>
        </w:rPr>
        <w:t xml:space="preserve">. </w:t>
      </w:r>
      <w:r w:rsidRPr="007A70FB">
        <w:rPr>
          <w:rFonts w:asciiTheme="minorHAnsi" w:hAnsiTheme="minorHAnsi"/>
          <w:iCs/>
          <w:szCs w:val="24"/>
        </w:rPr>
        <w:t xml:space="preserve">From these results, </w:t>
      </w:r>
      <w:r w:rsidR="003A50E8" w:rsidRPr="007A70FB">
        <w:rPr>
          <w:rFonts w:asciiTheme="minorHAnsi" w:hAnsiTheme="minorHAnsi"/>
          <w:iCs/>
          <w:szCs w:val="24"/>
        </w:rPr>
        <w:t>the ESC considered that the</w:t>
      </w:r>
      <w:r w:rsidRPr="007A70FB">
        <w:rPr>
          <w:rFonts w:asciiTheme="minorHAnsi" w:hAnsiTheme="minorHAnsi"/>
          <w:iCs/>
          <w:szCs w:val="24"/>
        </w:rPr>
        <w:t xml:space="preserve"> point estimates of ORR and IC-ORR </w:t>
      </w:r>
      <w:r w:rsidR="003A50E8" w:rsidRPr="007A70FB">
        <w:rPr>
          <w:rFonts w:asciiTheme="minorHAnsi" w:hAnsiTheme="minorHAnsi"/>
          <w:iCs/>
          <w:szCs w:val="24"/>
        </w:rPr>
        <w:t xml:space="preserve">were comparable </w:t>
      </w:r>
      <w:r w:rsidRPr="007A70FB">
        <w:rPr>
          <w:rFonts w:asciiTheme="minorHAnsi" w:hAnsiTheme="minorHAnsi"/>
          <w:iCs/>
          <w:szCs w:val="24"/>
        </w:rPr>
        <w:t xml:space="preserve">for lorlatinib, alectinib and brigatinib, </w:t>
      </w:r>
      <w:r w:rsidR="003A50E8" w:rsidRPr="007A70FB">
        <w:rPr>
          <w:rFonts w:asciiTheme="minorHAnsi" w:hAnsiTheme="minorHAnsi"/>
          <w:iCs/>
          <w:szCs w:val="24"/>
        </w:rPr>
        <w:t xml:space="preserve">but slightly lower for </w:t>
      </w:r>
      <w:r w:rsidRPr="007A70FB">
        <w:rPr>
          <w:rFonts w:asciiTheme="minorHAnsi" w:hAnsiTheme="minorHAnsi"/>
          <w:iCs/>
          <w:szCs w:val="24"/>
        </w:rPr>
        <w:t xml:space="preserve">ceritinib </w:t>
      </w:r>
      <w:r w:rsidR="00D16E6C" w:rsidRPr="007A70FB">
        <w:rPr>
          <w:rFonts w:asciiTheme="minorHAnsi" w:hAnsiTheme="minorHAnsi"/>
          <w:iCs/>
          <w:szCs w:val="24"/>
        </w:rPr>
        <w:t>–</w:t>
      </w:r>
      <w:r w:rsidRPr="007A70FB">
        <w:rPr>
          <w:rFonts w:asciiTheme="minorHAnsi" w:hAnsiTheme="minorHAnsi"/>
          <w:iCs/>
          <w:szCs w:val="24"/>
        </w:rPr>
        <w:t xml:space="preserve"> noting</w:t>
      </w:r>
      <w:r w:rsidR="00D16E6C" w:rsidRPr="007A70FB">
        <w:rPr>
          <w:rFonts w:asciiTheme="minorHAnsi" w:hAnsiTheme="minorHAnsi"/>
          <w:iCs/>
          <w:szCs w:val="24"/>
        </w:rPr>
        <w:t xml:space="preserve"> </w:t>
      </w:r>
      <w:r w:rsidRPr="007A70FB">
        <w:rPr>
          <w:rFonts w:asciiTheme="minorHAnsi" w:hAnsiTheme="minorHAnsi"/>
          <w:iCs/>
          <w:szCs w:val="24"/>
        </w:rPr>
        <w:t>the naïve nature of the comparison. However, the CI</w:t>
      </w:r>
      <w:r w:rsidR="003C73EF" w:rsidRPr="007A70FB">
        <w:rPr>
          <w:rFonts w:asciiTheme="minorHAnsi" w:hAnsiTheme="minorHAnsi"/>
          <w:iCs/>
          <w:szCs w:val="24"/>
        </w:rPr>
        <w:t>s</w:t>
      </w:r>
      <w:r w:rsidRPr="007A70FB">
        <w:rPr>
          <w:rFonts w:asciiTheme="minorHAnsi" w:hAnsiTheme="minorHAnsi"/>
          <w:iCs/>
          <w:szCs w:val="24"/>
        </w:rPr>
        <w:t xml:space="preserve"> overlap</w:t>
      </w:r>
      <w:r w:rsidR="003C73EF" w:rsidRPr="007A70FB">
        <w:rPr>
          <w:rFonts w:asciiTheme="minorHAnsi" w:hAnsiTheme="minorHAnsi"/>
          <w:iCs/>
          <w:szCs w:val="24"/>
        </w:rPr>
        <w:t>ped</w:t>
      </w:r>
      <w:r w:rsidRPr="007A70FB">
        <w:rPr>
          <w:rFonts w:asciiTheme="minorHAnsi" w:hAnsiTheme="minorHAnsi"/>
          <w:iCs/>
          <w:szCs w:val="24"/>
        </w:rPr>
        <w:t xml:space="preserve"> across the studies.</w:t>
      </w:r>
    </w:p>
    <w:p w:rsidR="007110AB" w:rsidRPr="007A70FB" w:rsidRDefault="007110AB" w:rsidP="00FE0FA7">
      <w:pPr>
        <w:pStyle w:val="ListParagraph"/>
        <w:widowControl/>
        <w:numPr>
          <w:ilvl w:val="1"/>
          <w:numId w:val="1"/>
        </w:numPr>
        <w:spacing w:before="120" w:after="120"/>
      </w:pPr>
      <w:r w:rsidRPr="007A70FB">
        <w:rPr>
          <w:iCs/>
        </w:rPr>
        <w:t xml:space="preserve">The primary outcome of Study 1001 was ORR by IRC. The discordance rate between IRC and investigator assessment for ORR for the pooled cohort EXP2:EXP5 was 17.8% and 25.9% for IC-ORR. Differences in response based on assessment method are observed in most of the response categories, which compromise the robustness of the data and were larger in the assessment of CNS metastases for lorlatinib treated patients (EMA report p105). </w:t>
      </w:r>
    </w:p>
    <w:p w:rsidR="0010041C" w:rsidRPr="007A70FB" w:rsidRDefault="007110AB" w:rsidP="0028745C">
      <w:pPr>
        <w:pStyle w:val="Caption"/>
        <w:keepNext/>
        <w:keepLines/>
        <w:widowControl/>
        <w:spacing w:after="0"/>
        <w:rPr>
          <w:rStyle w:val="CommentReference"/>
          <w:b/>
        </w:rPr>
      </w:pPr>
      <w:bookmarkStart w:id="26" w:name="_Ref20494810"/>
      <w:r w:rsidRPr="007A70FB">
        <w:rPr>
          <w:rStyle w:val="CommentReference"/>
          <w:b/>
        </w:rPr>
        <w:lastRenderedPageBreak/>
        <w:t xml:space="preserve">Table </w:t>
      </w:r>
      <w:r w:rsidR="008267CB" w:rsidRPr="007A70FB">
        <w:rPr>
          <w:rStyle w:val="CommentReference"/>
          <w:b/>
        </w:rPr>
        <w:t>5</w:t>
      </w:r>
      <w:bookmarkEnd w:id="26"/>
      <w:r w:rsidRPr="007A70FB">
        <w:rPr>
          <w:rStyle w:val="CommentReference"/>
          <w:b/>
        </w:rPr>
        <w:t>: Results of objective response rate across the single-arm studies</w:t>
      </w:r>
    </w:p>
    <w:tbl>
      <w:tblPr>
        <w:tblStyle w:val="TableGrid"/>
        <w:tblW w:w="0" w:type="auto"/>
        <w:tblLayout w:type="fixed"/>
        <w:tblLook w:val="04A0" w:firstRow="1" w:lastRow="0" w:firstColumn="1" w:lastColumn="0" w:noHBand="0" w:noVBand="1"/>
        <w:tblCaption w:val="Table 6: Results of objective response rate across the single-arm studies"/>
      </w:tblPr>
      <w:tblGrid>
        <w:gridCol w:w="1555"/>
        <w:gridCol w:w="1275"/>
        <w:gridCol w:w="709"/>
        <w:gridCol w:w="1134"/>
        <w:gridCol w:w="1276"/>
        <w:gridCol w:w="709"/>
        <w:gridCol w:w="1241"/>
        <w:gridCol w:w="1118"/>
      </w:tblGrid>
      <w:tr w:rsidR="00B910D1" w:rsidRPr="007A70FB" w:rsidTr="0028745C">
        <w:trPr>
          <w:tblHeader/>
        </w:trPr>
        <w:tc>
          <w:tcPr>
            <w:tcW w:w="1555" w:type="dxa"/>
            <w:tcBorders>
              <w:bottom w:val="single" w:sz="4" w:space="0" w:color="auto"/>
            </w:tcBorders>
            <w:shd w:val="clear" w:color="auto" w:fill="auto"/>
            <w:vAlign w:val="center"/>
          </w:tcPr>
          <w:p w:rsidR="00B910D1" w:rsidRPr="007A70FB" w:rsidRDefault="00B910D1" w:rsidP="0028745C">
            <w:pPr>
              <w:pStyle w:val="KMC-Tabletext"/>
              <w:keepNext/>
              <w:keepLines/>
              <w:spacing w:before="20" w:after="20"/>
              <w:ind w:left="-73"/>
              <w:jc w:val="left"/>
              <w:rPr>
                <w:b/>
                <w:sz w:val="20"/>
              </w:rPr>
            </w:pPr>
            <w:r w:rsidRPr="007A70FB">
              <w:rPr>
                <w:b/>
                <w:sz w:val="20"/>
              </w:rPr>
              <w:t>Regimen</w:t>
            </w:r>
          </w:p>
        </w:tc>
        <w:tc>
          <w:tcPr>
            <w:tcW w:w="1275" w:type="dxa"/>
            <w:tcBorders>
              <w:bottom w:val="single" w:sz="4" w:space="0" w:color="auto"/>
            </w:tcBorders>
            <w:shd w:val="clear" w:color="auto" w:fill="auto"/>
            <w:vAlign w:val="center"/>
          </w:tcPr>
          <w:p w:rsidR="00B910D1" w:rsidRPr="007A70FB" w:rsidRDefault="00B910D1" w:rsidP="0028745C">
            <w:pPr>
              <w:pStyle w:val="KMC-Tabletext"/>
              <w:keepNext/>
              <w:keepLines/>
              <w:spacing w:before="20" w:after="20"/>
              <w:jc w:val="center"/>
              <w:rPr>
                <w:b/>
                <w:sz w:val="20"/>
              </w:rPr>
            </w:pPr>
            <w:r w:rsidRPr="007A70FB">
              <w:rPr>
                <w:b/>
                <w:sz w:val="20"/>
              </w:rPr>
              <w:t>Population</w:t>
            </w:r>
          </w:p>
        </w:tc>
        <w:tc>
          <w:tcPr>
            <w:tcW w:w="709" w:type="dxa"/>
            <w:tcBorders>
              <w:bottom w:val="single" w:sz="4" w:space="0" w:color="auto"/>
            </w:tcBorders>
            <w:shd w:val="clear" w:color="auto" w:fill="auto"/>
            <w:vAlign w:val="center"/>
          </w:tcPr>
          <w:p w:rsidR="00B910D1" w:rsidRPr="007A70FB" w:rsidRDefault="00B910D1" w:rsidP="0028745C">
            <w:pPr>
              <w:pStyle w:val="KMC-Tabletext"/>
              <w:keepNext/>
              <w:keepLines/>
              <w:spacing w:before="20" w:after="20"/>
              <w:jc w:val="center"/>
              <w:rPr>
                <w:b/>
                <w:sz w:val="20"/>
              </w:rPr>
            </w:pPr>
            <w:r w:rsidRPr="007A70FB">
              <w:rPr>
                <w:b/>
                <w:sz w:val="20"/>
              </w:rPr>
              <w:t>N</w:t>
            </w:r>
          </w:p>
        </w:tc>
        <w:tc>
          <w:tcPr>
            <w:tcW w:w="1134" w:type="dxa"/>
            <w:tcBorders>
              <w:bottom w:val="single" w:sz="4" w:space="0" w:color="auto"/>
            </w:tcBorders>
            <w:shd w:val="clear" w:color="auto" w:fill="auto"/>
            <w:vAlign w:val="center"/>
          </w:tcPr>
          <w:p w:rsidR="00B910D1" w:rsidRPr="007A70FB" w:rsidRDefault="00B910D1" w:rsidP="0028745C">
            <w:pPr>
              <w:pStyle w:val="KMC-Tabletext"/>
              <w:keepNext/>
              <w:keepLines/>
              <w:spacing w:before="20" w:after="20"/>
              <w:ind w:left="-21"/>
              <w:jc w:val="center"/>
              <w:rPr>
                <w:b/>
                <w:sz w:val="20"/>
              </w:rPr>
            </w:pPr>
            <w:r w:rsidRPr="007A70FB">
              <w:rPr>
                <w:b/>
                <w:sz w:val="20"/>
              </w:rPr>
              <w:t>Response assessor</w:t>
            </w:r>
          </w:p>
        </w:tc>
        <w:tc>
          <w:tcPr>
            <w:tcW w:w="1276" w:type="dxa"/>
            <w:tcBorders>
              <w:bottom w:val="single" w:sz="4" w:space="0" w:color="auto"/>
            </w:tcBorders>
            <w:shd w:val="clear" w:color="auto" w:fill="auto"/>
            <w:vAlign w:val="center"/>
          </w:tcPr>
          <w:p w:rsidR="00B910D1" w:rsidRPr="007A70FB" w:rsidRDefault="00B910D1" w:rsidP="0028745C">
            <w:pPr>
              <w:pStyle w:val="KMC-Tabletext"/>
              <w:keepNext/>
              <w:keepLines/>
              <w:spacing w:before="20" w:after="20"/>
              <w:ind w:left="-51" w:right="-90"/>
              <w:jc w:val="center"/>
              <w:rPr>
                <w:b/>
                <w:sz w:val="20"/>
              </w:rPr>
            </w:pPr>
            <w:r w:rsidRPr="007A70FB">
              <w:rPr>
                <w:b/>
                <w:sz w:val="20"/>
              </w:rPr>
              <w:t xml:space="preserve">ORR n/N (%) </w:t>
            </w:r>
            <w:r w:rsidRPr="007A70FB">
              <w:rPr>
                <w:b/>
                <w:sz w:val="20"/>
              </w:rPr>
              <w:br/>
              <w:t>(95% CI (%))</w:t>
            </w:r>
          </w:p>
        </w:tc>
        <w:tc>
          <w:tcPr>
            <w:tcW w:w="709" w:type="dxa"/>
            <w:tcBorders>
              <w:bottom w:val="single" w:sz="4" w:space="0" w:color="auto"/>
            </w:tcBorders>
            <w:shd w:val="clear" w:color="auto" w:fill="auto"/>
            <w:vAlign w:val="center"/>
          </w:tcPr>
          <w:p w:rsidR="00B910D1" w:rsidRPr="007A70FB" w:rsidRDefault="00B910D1" w:rsidP="0028745C">
            <w:pPr>
              <w:pStyle w:val="KMC-Tabletext"/>
              <w:keepNext/>
              <w:keepLines/>
              <w:spacing w:before="20" w:after="20"/>
              <w:ind w:left="-65" w:right="-90"/>
              <w:jc w:val="center"/>
              <w:rPr>
                <w:b/>
                <w:sz w:val="20"/>
              </w:rPr>
            </w:pPr>
            <w:r w:rsidRPr="007A70FB">
              <w:rPr>
                <w:b/>
                <w:sz w:val="20"/>
              </w:rPr>
              <w:t>CR</w:t>
            </w:r>
            <w:r w:rsidRPr="007A70FB">
              <w:rPr>
                <w:b/>
                <w:sz w:val="20"/>
              </w:rPr>
              <w:br/>
              <w:t>n/N (%)</w:t>
            </w:r>
          </w:p>
        </w:tc>
        <w:tc>
          <w:tcPr>
            <w:tcW w:w="1241" w:type="dxa"/>
            <w:tcBorders>
              <w:bottom w:val="single" w:sz="4" w:space="0" w:color="auto"/>
            </w:tcBorders>
            <w:shd w:val="clear" w:color="auto" w:fill="auto"/>
            <w:vAlign w:val="center"/>
          </w:tcPr>
          <w:p w:rsidR="00B910D1" w:rsidRPr="007A70FB" w:rsidRDefault="00B910D1" w:rsidP="0028745C">
            <w:pPr>
              <w:pStyle w:val="KMC-Tabletext"/>
              <w:keepNext/>
              <w:keepLines/>
              <w:spacing w:before="20" w:after="20"/>
              <w:ind w:left="-65" w:right="-90"/>
              <w:jc w:val="center"/>
              <w:rPr>
                <w:b/>
                <w:sz w:val="20"/>
              </w:rPr>
            </w:pPr>
            <w:r w:rsidRPr="007A70FB">
              <w:rPr>
                <w:b/>
                <w:sz w:val="20"/>
              </w:rPr>
              <w:t xml:space="preserve">PR </w:t>
            </w:r>
            <w:r w:rsidRPr="007A70FB">
              <w:rPr>
                <w:b/>
                <w:sz w:val="20"/>
              </w:rPr>
              <w:br/>
              <w:t>n/N (%)</w:t>
            </w:r>
          </w:p>
        </w:tc>
        <w:tc>
          <w:tcPr>
            <w:tcW w:w="1118" w:type="dxa"/>
            <w:tcBorders>
              <w:bottom w:val="single" w:sz="4" w:space="0" w:color="auto"/>
            </w:tcBorders>
            <w:vAlign w:val="center"/>
          </w:tcPr>
          <w:p w:rsidR="00B910D1" w:rsidRPr="007A70FB" w:rsidRDefault="00B910D1" w:rsidP="0028745C">
            <w:pPr>
              <w:pStyle w:val="KMC-Tabletext"/>
              <w:keepNext/>
              <w:keepLines/>
              <w:spacing w:before="20" w:after="20"/>
              <w:ind w:left="-65" w:right="-90"/>
              <w:jc w:val="center"/>
              <w:rPr>
                <w:b/>
                <w:sz w:val="20"/>
              </w:rPr>
            </w:pPr>
            <w:r w:rsidRPr="007A70FB">
              <w:rPr>
                <w:b/>
                <w:sz w:val="20"/>
              </w:rPr>
              <w:t>DOR, median months (95%CI)</w:t>
            </w:r>
          </w:p>
        </w:tc>
      </w:tr>
      <w:tr w:rsidR="00B910D1" w:rsidRPr="007A70FB" w:rsidTr="0028745C">
        <w:tc>
          <w:tcPr>
            <w:tcW w:w="1555" w:type="dxa"/>
            <w:tcBorders>
              <w:bottom w:val="single" w:sz="4" w:space="0" w:color="auto"/>
              <w:right w:val="nil"/>
            </w:tcBorders>
            <w:shd w:val="clear" w:color="auto" w:fill="auto"/>
            <w:vAlign w:val="center"/>
          </w:tcPr>
          <w:p w:rsidR="00B910D1" w:rsidRPr="007A70FB" w:rsidRDefault="00B910D1" w:rsidP="0028745C">
            <w:pPr>
              <w:pStyle w:val="KMC-Tabletext"/>
              <w:keepNext/>
              <w:keepLines/>
              <w:spacing w:before="20" w:after="20"/>
              <w:ind w:left="-73"/>
              <w:jc w:val="left"/>
              <w:rPr>
                <w:b/>
                <w:sz w:val="20"/>
              </w:rPr>
            </w:pPr>
            <w:r w:rsidRPr="007A70FB">
              <w:rPr>
                <w:b/>
                <w:sz w:val="20"/>
              </w:rPr>
              <w:t>Lorlatinib</w:t>
            </w:r>
          </w:p>
        </w:tc>
        <w:tc>
          <w:tcPr>
            <w:tcW w:w="1275" w:type="dxa"/>
            <w:tcBorders>
              <w:left w:val="nil"/>
              <w:bottom w:val="single" w:sz="4" w:space="0" w:color="auto"/>
              <w:right w:val="nil"/>
            </w:tcBorders>
            <w:shd w:val="clear" w:color="auto" w:fill="auto"/>
            <w:vAlign w:val="center"/>
          </w:tcPr>
          <w:p w:rsidR="00B910D1" w:rsidRPr="007A70FB" w:rsidRDefault="00B910D1" w:rsidP="0028745C">
            <w:pPr>
              <w:pStyle w:val="KMC-Tabletext"/>
              <w:keepNext/>
              <w:keepLines/>
              <w:spacing w:before="20" w:after="20"/>
              <w:jc w:val="center"/>
              <w:rPr>
                <w:b/>
                <w:sz w:val="20"/>
              </w:rPr>
            </w:pPr>
          </w:p>
        </w:tc>
        <w:tc>
          <w:tcPr>
            <w:tcW w:w="709" w:type="dxa"/>
            <w:tcBorders>
              <w:left w:val="nil"/>
              <w:right w:val="nil"/>
            </w:tcBorders>
            <w:shd w:val="clear" w:color="auto" w:fill="auto"/>
            <w:vAlign w:val="center"/>
          </w:tcPr>
          <w:p w:rsidR="00B910D1" w:rsidRPr="007A70FB" w:rsidRDefault="00B910D1" w:rsidP="0028745C">
            <w:pPr>
              <w:pStyle w:val="KMC-Tabletext"/>
              <w:keepNext/>
              <w:keepLines/>
              <w:spacing w:before="20" w:after="20"/>
              <w:jc w:val="center"/>
              <w:rPr>
                <w:b/>
                <w:sz w:val="20"/>
              </w:rPr>
            </w:pPr>
          </w:p>
        </w:tc>
        <w:tc>
          <w:tcPr>
            <w:tcW w:w="1134" w:type="dxa"/>
            <w:tcBorders>
              <w:left w:val="nil"/>
              <w:right w:val="nil"/>
            </w:tcBorders>
            <w:shd w:val="clear" w:color="auto" w:fill="auto"/>
            <w:vAlign w:val="center"/>
          </w:tcPr>
          <w:p w:rsidR="00B910D1" w:rsidRPr="007A70FB" w:rsidRDefault="00B910D1" w:rsidP="0028745C">
            <w:pPr>
              <w:pStyle w:val="KMC-Tabletext"/>
              <w:keepNext/>
              <w:keepLines/>
              <w:spacing w:before="20" w:after="20"/>
              <w:ind w:left="-21"/>
              <w:jc w:val="center"/>
              <w:rPr>
                <w:b/>
                <w:sz w:val="20"/>
              </w:rPr>
            </w:pPr>
          </w:p>
        </w:tc>
        <w:tc>
          <w:tcPr>
            <w:tcW w:w="1276" w:type="dxa"/>
            <w:tcBorders>
              <w:left w:val="nil"/>
              <w:right w:val="nil"/>
            </w:tcBorders>
            <w:shd w:val="clear" w:color="auto" w:fill="auto"/>
            <w:vAlign w:val="center"/>
          </w:tcPr>
          <w:p w:rsidR="00B910D1" w:rsidRPr="007A70FB" w:rsidRDefault="00B910D1" w:rsidP="0028745C">
            <w:pPr>
              <w:pStyle w:val="KMC-Tabletext"/>
              <w:keepNext/>
              <w:keepLines/>
              <w:spacing w:before="20" w:after="20"/>
              <w:ind w:left="-51" w:right="-90"/>
              <w:jc w:val="center"/>
              <w:rPr>
                <w:b/>
                <w:sz w:val="20"/>
              </w:rPr>
            </w:pPr>
          </w:p>
        </w:tc>
        <w:tc>
          <w:tcPr>
            <w:tcW w:w="709" w:type="dxa"/>
            <w:tcBorders>
              <w:left w:val="nil"/>
              <w:right w:val="nil"/>
            </w:tcBorders>
            <w:shd w:val="clear" w:color="auto" w:fill="auto"/>
            <w:vAlign w:val="center"/>
          </w:tcPr>
          <w:p w:rsidR="00B910D1" w:rsidRPr="007A70FB" w:rsidRDefault="00B910D1" w:rsidP="0028745C">
            <w:pPr>
              <w:pStyle w:val="KMC-Tabletext"/>
              <w:keepNext/>
              <w:keepLines/>
              <w:spacing w:before="20" w:after="20"/>
              <w:ind w:left="-65" w:right="-90"/>
              <w:jc w:val="center"/>
              <w:rPr>
                <w:b/>
                <w:sz w:val="20"/>
              </w:rPr>
            </w:pPr>
          </w:p>
        </w:tc>
        <w:tc>
          <w:tcPr>
            <w:tcW w:w="1241" w:type="dxa"/>
            <w:tcBorders>
              <w:left w:val="nil"/>
            </w:tcBorders>
            <w:shd w:val="clear" w:color="auto" w:fill="auto"/>
            <w:vAlign w:val="center"/>
          </w:tcPr>
          <w:p w:rsidR="00B910D1" w:rsidRPr="007A70FB" w:rsidRDefault="00B910D1" w:rsidP="0028745C">
            <w:pPr>
              <w:pStyle w:val="KMC-Tabletext"/>
              <w:keepNext/>
              <w:keepLines/>
              <w:spacing w:before="20" w:after="20"/>
              <w:ind w:left="-65" w:right="-90"/>
              <w:jc w:val="center"/>
              <w:rPr>
                <w:b/>
                <w:sz w:val="20"/>
              </w:rPr>
            </w:pPr>
          </w:p>
        </w:tc>
        <w:tc>
          <w:tcPr>
            <w:tcW w:w="1118" w:type="dxa"/>
            <w:tcBorders>
              <w:left w:val="nil"/>
            </w:tcBorders>
            <w:vAlign w:val="center"/>
          </w:tcPr>
          <w:p w:rsidR="00B910D1" w:rsidRPr="007A70FB" w:rsidRDefault="00B910D1" w:rsidP="0028745C">
            <w:pPr>
              <w:pStyle w:val="KMC-Tabletext"/>
              <w:keepNext/>
              <w:keepLines/>
              <w:spacing w:before="20" w:after="20"/>
              <w:ind w:left="-65" w:right="-90"/>
              <w:jc w:val="center"/>
              <w:rPr>
                <w:b/>
                <w:sz w:val="20"/>
              </w:rPr>
            </w:pPr>
          </w:p>
        </w:tc>
      </w:tr>
      <w:tr w:rsidR="00B910D1" w:rsidRPr="007A70FB" w:rsidTr="0028745C">
        <w:tc>
          <w:tcPr>
            <w:tcW w:w="1555" w:type="dxa"/>
            <w:tcBorders>
              <w:top w:val="nil"/>
              <w:bottom w:val="single" w:sz="4" w:space="0" w:color="auto"/>
            </w:tcBorders>
            <w:shd w:val="clear" w:color="auto" w:fill="auto"/>
            <w:vAlign w:val="center"/>
          </w:tcPr>
          <w:p w:rsidR="00B910D1" w:rsidRPr="007A70FB" w:rsidRDefault="00310AF0" w:rsidP="0028745C">
            <w:pPr>
              <w:pStyle w:val="KMC-Tabletext"/>
              <w:keepNext/>
              <w:keepLines/>
              <w:spacing w:before="20" w:after="20"/>
              <w:ind w:left="-73"/>
              <w:jc w:val="left"/>
              <w:rPr>
                <w:sz w:val="20"/>
              </w:rPr>
            </w:pPr>
            <w:r w:rsidRPr="007A70FB">
              <w:rPr>
                <w:sz w:val="20"/>
              </w:rPr>
              <w:t xml:space="preserve">Study 1001 </w:t>
            </w:r>
            <w:r w:rsidR="0028745C" w:rsidRPr="007A70FB">
              <w:rPr>
                <w:sz w:val="20"/>
              </w:rPr>
              <w:br/>
            </w:r>
            <w:r w:rsidRPr="007A70FB">
              <w:rPr>
                <w:sz w:val="20"/>
              </w:rPr>
              <w:t>(02 Feb 18)</w:t>
            </w:r>
          </w:p>
        </w:tc>
        <w:tc>
          <w:tcPr>
            <w:tcW w:w="1275" w:type="dxa"/>
            <w:tcBorders>
              <w:bottom w:val="single" w:sz="4" w:space="0" w:color="auto"/>
            </w:tcBorders>
            <w:shd w:val="clear" w:color="auto" w:fill="auto"/>
            <w:vAlign w:val="center"/>
          </w:tcPr>
          <w:p w:rsidR="00B910D1" w:rsidRPr="007A70FB" w:rsidRDefault="00B910D1" w:rsidP="0028745C">
            <w:pPr>
              <w:pStyle w:val="KMC-Tabletext"/>
              <w:keepNext/>
              <w:keepLines/>
              <w:spacing w:before="20" w:after="20"/>
              <w:jc w:val="center"/>
              <w:rPr>
                <w:sz w:val="20"/>
              </w:rPr>
            </w:pPr>
            <w:r w:rsidRPr="007A70FB">
              <w:rPr>
                <w:sz w:val="20"/>
              </w:rPr>
              <w:t>EXP-2: EXP-5</w:t>
            </w:r>
          </w:p>
        </w:tc>
        <w:tc>
          <w:tcPr>
            <w:tcW w:w="709" w:type="dxa"/>
            <w:tcBorders>
              <w:bottom w:val="single" w:sz="4" w:space="0" w:color="auto"/>
            </w:tcBorders>
            <w:shd w:val="clear" w:color="auto" w:fill="auto"/>
            <w:vAlign w:val="center"/>
          </w:tcPr>
          <w:p w:rsidR="00B910D1" w:rsidRPr="007A70FB" w:rsidRDefault="00B910D1" w:rsidP="0028745C">
            <w:pPr>
              <w:pStyle w:val="KMC-Tabletext"/>
              <w:keepNext/>
              <w:keepLines/>
              <w:spacing w:before="20" w:after="20"/>
              <w:jc w:val="center"/>
              <w:rPr>
                <w:sz w:val="20"/>
              </w:rPr>
            </w:pPr>
            <w:r w:rsidRPr="007A70FB">
              <w:rPr>
                <w:sz w:val="20"/>
              </w:rPr>
              <w:t>198</w:t>
            </w:r>
          </w:p>
        </w:tc>
        <w:tc>
          <w:tcPr>
            <w:tcW w:w="1134" w:type="dxa"/>
            <w:tcBorders>
              <w:bottom w:val="single" w:sz="4" w:space="0" w:color="auto"/>
            </w:tcBorders>
            <w:shd w:val="clear" w:color="auto" w:fill="auto"/>
            <w:vAlign w:val="center"/>
          </w:tcPr>
          <w:p w:rsidR="00B910D1" w:rsidRPr="007A70FB" w:rsidRDefault="00B910D1" w:rsidP="0028745C">
            <w:pPr>
              <w:pStyle w:val="KMC-Tabletext"/>
              <w:keepNext/>
              <w:keepLines/>
              <w:spacing w:before="20" w:after="20"/>
              <w:ind w:left="-21"/>
              <w:jc w:val="center"/>
              <w:rPr>
                <w:sz w:val="20"/>
              </w:rPr>
            </w:pPr>
            <w:r w:rsidRPr="00112534">
              <w:rPr>
                <w:sz w:val="20"/>
              </w:rPr>
              <w:t>IRC</w:t>
            </w:r>
          </w:p>
        </w:tc>
        <w:tc>
          <w:tcPr>
            <w:tcW w:w="1276" w:type="dxa"/>
            <w:tcBorders>
              <w:bottom w:val="single" w:sz="4" w:space="0" w:color="auto"/>
            </w:tcBorders>
            <w:shd w:val="clear" w:color="auto" w:fill="auto"/>
            <w:vAlign w:val="center"/>
          </w:tcPr>
          <w:p w:rsidR="00B910D1" w:rsidRPr="007A70FB" w:rsidRDefault="00FF4479" w:rsidP="0028745C">
            <w:pPr>
              <w:pStyle w:val="KMC-Tabletext"/>
              <w:keepNext/>
              <w:keepLines/>
              <w:spacing w:before="20" w:after="20"/>
              <w:jc w:val="center"/>
              <w:rPr>
                <w:sz w:val="20"/>
              </w:rPr>
            </w:pPr>
            <w:r>
              <w:rPr>
                <w:noProof/>
                <w:color w:val="000000"/>
                <w:sz w:val="20"/>
                <w:highlight w:val="black"/>
              </w:rPr>
              <w:t>'''''</w:t>
            </w:r>
            <w:r w:rsidR="00B910D1" w:rsidRPr="007A70FB">
              <w:rPr>
                <w:sz w:val="20"/>
              </w:rPr>
              <w:t>/198 (</w:t>
            </w:r>
            <w:r>
              <w:rPr>
                <w:noProof/>
                <w:color w:val="000000"/>
                <w:sz w:val="20"/>
                <w:highlight w:val="black"/>
              </w:rPr>
              <w:t>'''''''''''</w:t>
            </w:r>
            <w:r w:rsidR="00B910D1" w:rsidRPr="007A70FB">
              <w:rPr>
                <w:sz w:val="20"/>
              </w:rPr>
              <w:t>) (</w:t>
            </w:r>
            <w:r>
              <w:rPr>
                <w:noProof/>
                <w:color w:val="000000"/>
                <w:sz w:val="20"/>
                <w:highlight w:val="black"/>
              </w:rPr>
              <w:t>''''''''''</w:t>
            </w:r>
            <w:r w:rsidR="00B910D1" w:rsidRPr="007A70FB">
              <w:rPr>
                <w:sz w:val="20"/>
              </w:rPr>
              <w:t xml:space="preserve">, </w:t>
            </w:r>
            <w:r>
              <w:rPr>
                <w:noProof/>
                <w:color w:val="000000"/>
                <w:sz w:val="20"/>
                <w:highlight w:val="black"/>
              </w:rPr>
              <w:t>''''''''''</w:t>
            </w:r>
            <w:r w:rsidR="00B910D1" w:rsidRPr="007A70FB">
              <w:rPr>
                <w:sz w:val="20"/>
              </w:rPr>
              <w:t>)</w:t>
            </w:r>
          </w:p>
        </w:tc>
        <w:tc>
          <w:tcPr>
            <w:tcW w:w="709" w:type="dxa"/>
            <w:tcBorders>
              <w:bottom w:val="single" w:sz="4" w:space="0" w:color="auto"/>
            </w:tcBorders>
            <w:shd w:val="clear" w:color="auto" w:fill="auto"/>
            <w:vAlign w:val="center"/>
          </w:tcPr>
          <w:p w:rsidR="00B910D1" w:rsidRPr="007A70FB" w:rsidRDefault="00FF4479" w:rsidP="0028745C">
            <w:pPr>
              <w:pStyle w:val="KMC-Tabletext"/>
              <w:keepNext/>
              <w:keepLines/>
              <w:spacing w:before="20" w:after="20"/>
              <w:ind w:left="-65"/>
              <w:jc w:val="center"/>
              <w:rPr>
                <w:sz w:val="20"/>
              </w:rPr>
            </w:pPr>
            <w:r>
              <w:rPr>
                <w:noProof/>
                <w:color w:val="000000"/>
                <w:sz w:val="20"/>
                <w:highlight w:val="black"/>
              </w:rPr>
              <w:t>''''</w:t>
            </w:r>
            <w:r w:rsidR="00B910D1" w:rsidRPr="007A70FB">
              <w:rPr>
                <w:sz w:val="20"/>
              </w:rPr>
              <w:t>/198 (</w:t>
            </w:r>
            <w:r>
              <w:rPr>
                <w:noProof/>
                <w:color w:val="000000"/>
                <w:sz w:val="20"/>
                <w:highlight w:val="black"/>
              </w:rPr>
              <w:t>''''''''</w:t>
            </w:r>
            <w:r w:rsidR="00B910D1" w:rsidRPr="007A70FB">
              <w:rPr>
                <w:sz w:val="20"/>
              </w:rPr>
              <w:t>)</w:t>
            </w:r>
          </w:p>
        </w:tc>
        <w:tc>
          <w:tcPr>
            <w:tcW w:w="1241" w:type="dxa"/>
            <w:tcBorders>
              <w:bottom w:val="single" w:sz="4" w:space="0" w:color="auto"/>
            </w:tcBorders>
            <w:shd w:val="clear" w:color="auto" w:fill="auto"/>
            <w:vAlign w:val="center"/>
          </w:tcPr>
          <w:p w:rsidR="00B910D1" w:rsidRPr="007A70FB" w:rsidRDefault="00FF4479" w:rsidP="0028745C">
            <w:pPr>
              <w:pStyle w:val="KMC-Tabletext"/>
              <w:keepNext/>
              <w:keepLines/>
              <w:spacing w:before="20" w:after="20"/>
              <w:ind w:left="-65" w:right="-21"/>
              <w:jc w:val="center"/>
              <w:rPr>
                <w:sz w:val="20"/>
              </w:rPr>
            </w:pPr>
            <w:r>
              <w:rPr>
                <w:noProof/>
                <w:color w:val="000000"/>
                <w:sz w:val="20"/>
                <w:highlight w:val="black"/>
              </w:rPr>
              <w:t>''''''</w:t>
            </w:r>
            <w:r w:rsidR="00B910D1" w:rsidRPr="007A70FB">
              <w:rPr>
                <w:sz w:val="20"/>
              </w:rPr>
              <w:t>/198 (</w:t>
            </w:r>
            <w:r>
              <w:rPr>
                <w:noProof/>
                <w:color w:val="000000"/>
                <w:sz w:val="20"/>
                <w:highlight w:val="black"/>
              </w:rPr>
              <w:t>''''''''''''</w:t>
            </w:r>
            <w:r w:rsidR="00B910D1" w:rsidRPr="007A70FB">
              <w:rPr>
                <w:sz w:val="20"/>
              </w:rPr>
              <w:t>)</w:t>
            </w:r>
          </w:p>
        </w:tc>
        <w:tc>
          <w:tcPr>
            <w:tcW w:w="1118" w:type="dxa"/>
            <w:tcBorders>
              <w:bottom w:val="single" w:sz="4" w:space="0" w:color="auto"/>
            </w:tcBorders>
            <w:vAlign w:val="center"/>
          </w:tcPr>
          <w:p w:rsidR="00B910D1" w:rsidRPr="007A70FB" w:rsidRDefault="00FF4479" w:rsidP="0028745C">
            <w:pPr>
              <w:pStyle w:val="KMC-Tabletext"/>
              <w:keepNext/>
              <w:keepLines/>
              <w:spacing w:before="20" w:after="20"/>
              <w:ind w:left="-65"/>
              <w:jc w:val="center"/>
              <w:rPr>
                <w:sz w:val="20"/>
              </w:rPr>
            </w:pPr>
            <w:r>
              <w:rPr>
                <w:noProof/>
                <w:color w:val="000000"/>
                <w:sz w:val="20"/>
                <w:highlight w:val="black"/>
              </w:rPr>
              <w:t>''''''''''</w:t>
            </w:r>
            <w:r w:rsidR="00B910D1" w:rsidRPr="007A70FB">
              <w:rPr>
                <w:sz w:val="20"/>
              </w:rPr>
              <w:t xml:space="preserve"> </w:t>
            </w:r>
            <w:r w:rsidR="00B910D1" w:rsidRPr="007A70FB">
              <w:rPr>
                <w:sz w:val="20"/>
              </w:rPr>
              <w:br/>
              <w:t>(</w:t>
            </w:r>
            <w:r>
              <w:rPr>
                <w:noProof/>
                <w:color w:val="000000"/>
                <w:sz w:val="20"/>
                <w:highlight w:val="black"/>
              </w:rPr>
              <w:t>'''''''''</w:t>
            </w:r>
            <w:r w:rsidR="00B910D1" w:rsidRPr="006F16FC">
              <w:rPr>
                <w:sz w:val="20"/>
              </w:rPr>
              <w:t xml:space="preserve">, </w:t>
            </w:r>
            <w:r>
              <w:rPr>
                <w:noProof/>
                <w:color w:val="000000"/>
                <w:sz w:val="20"/>
                <w:highlight w:val="black"/>
              </w:rPr>
              <w:t>'''''''''</w:t>
            </w:r>
            <w:r w:rsidR="00B910D1" w:rsidRPr="006F16FC">
              <w:rPr>
                <w:sz w:val="20"/>
              </w:rPr>
              <w:t>)</w:t>
            </w:r>
          </w:p>
        </w:tc>
      </w:tr>
      <w:tr w:rsidR="00B910D1" w:rsidRPr="007A70FB" w:rsidTr="0028745C">
        <w:tc>
          <w:tcPr>
            <w:tcW w:w="1555" w:type="dxa"/>
            <w:tcBorders>
              <w:top w:val="single" w:sz="4" w:space="0" w:color="auto"/>
              <w:bottom w:val="single" w:sz="4" w:space="0" w:color="auto"/>
              <w:right w:val="nil"/>
            </w:tcBorders>
            <w:shd w:val="clear" w:color="auto" w:fill="auto"/>
            <w:vAlign w:val="center"/>
          </w:tcPr>
          <w:p w:rsidR="00B910D1" w:rsidRPr="007A70FB" w:rsidRDefault="00B910D1" w:rsidP="0028745C">
            <w:pPr>
              <w:pStyle w:val="KMC-Tabletext"/>
              <w:keepNext/>
              <w:keepLines/>
              <w:spacing w:before="20" w:after="20"/>
              <w:ind w:left="-73"/>
              <w:jc w:val="left"/>
              <w:rPr>
                <w:b/>
                <w:bCs w:val="0"/>
                <w:sz w:val="20"/>
              </w:rPr>
            </w:pPr>
            <w:r w:rsidRPr="007A70FB">
              <w:rPr>
                <w:b/>
                <w:bCs w:val="0"/>
                <w:sz w:val="20"/>
              </w:rPr>
              <w:t>Alectinib</w:t>
            </w:r>
          </w:p>
        </w:tc>
        <w:tc>
          <w:tcPr>
            <w:tcW w:w="1275" w:type="dxa"/>
            <w:tcBorders>
              <w:top w:val="single" w:sz="4" w:space="0" w:color="auto"/>
              <w:left w:val="nil"/>
              <w:bottom w:val="single" w:sz="4" w:space="0" w:color="auto"/>
              <w:right w:val="nil"/>
            </w:tcBorders>
            <w:shd w:val="clear" w:color="auto" w:fill="auto"/>
            <w:vAlign w:val="center"/>
          </w:tcPr>
          <w:p w:rsidR="00B910D1" w:rsidRPr="007A70FB" w:rsidRDefault="00B910D1" w:rsidP="0028745C">
            <w:pPr>
              <w:pStyle w:val="KMC-Tabletext"/>
              <w:keepNext/>
              <w:keepLines/>
              <w:spacing w:before="20" w:after="20"/>
              <w:jc w:val="center"/>
              <w:rPr>
                <w:sz w:val="20"/>
              </w:rPr>
            </w:pPr>
          </w:p>
        </w:tc>
        <w:tc>
          <w:tcPr>
            <w:tcW w:w="709" w:type="dxa"/>
            <w:tcBorders>
              <w:top w:val="single" w:sz="4" w:space="0" w:color="auto"/>
              <w:left w:val="nil"/>
              <w:bottom w:val="single" w:sz="4" w:space="0" w:color="auto"/>
              <w:right w:val="nil"/>
            </w:tcBorders>
            <w:shd w:val="clear" w:color="auto" w:fill="auto"/>
            <w:vAlign w:val="center"/>
          </w:tcPr>
          <w:p w:rsidR="00B910D1" w:rsidRPr="007A70FB" w:rsidRDefault="00B910D1" w:rsidP="0028745C">
            <w:pPr>
              <w:pStyle w:val="KMC-Tabletext"/>
              <w:keepNext/>
              <w:keepLines/>
              <w:spacing w:before="20" w:after="20"/>
              <w:jc w:val="center"/>
              <w:rPr>
                <w:sz w:val="20"/>
              </w:rPr>
            </w:pPr>
          </w:p>
        </w:tc>
        <w:tc>
          <w:tcPr>
            <w:tcW w:w="1134" w:type="dxa"/>
            <w:tcBorders>
              <w:top w:val="single" w:sz="4" w:space="0" w:color="auto"/>
              <w:left w:val="nil"/>
              <w:bottom w:val="single" w:sz="4" w:space="0" w:color="auto"/>
              <w:right w:val="nil"/>
            </w:tcBorders>
            <w:shd w:val="clear" w:color="auto" w:fill="auto"/>
            <w:vAlign w:val="center"/>
          </w:tcPr>
          <w:p w:rsidR="00B910D1" w:rsidRPr="007A70FB" w:rsidRDefault="00B910D1" w:rsidP="0028745C">
            <w:pPr>
              <w:pStyle w:val="KMC-Tabletext"/>
              <w:keepNext/>
              <w:keepLines/>
              <w:spacing w:before="20" w:after="20"/>
              <w:ind w:left="-21"/>
              <w:jc w:val="center"/>
              <w:rPr>
                <w:sz w:val="20"/>
              </w:rPr>
            </w:pPr>
          </w:p>
        </w:tc>
        <w:tc>
          <w:tcPr>
            <w:tcW w:w="1276" w:type="dxa"/>
            <w:tcBorders>
              <w:top w:val="single" w:sz="4" w:space="0" w:color="auto"/>
              <w:left w:val="nil"/>
              <w:bottom w:val="single" w:sz="4" w:space="0" w:color="auto"/>
              <w:right w:val="nil"/>
            </w:tcBorders>
            <w:shd w:val="clear" w:color="auto" w:fill="auto"/>
            <w:vAlign w:val="center"/>
          </w:tcPr>
          <w:p w:rsidR="00B910D1" w:rsidRPr="007A70FB" w:rsidRDefault="00B910D1" w:rsidP="0028745C">
            <w:pPr>
              <w:pStyle w:val="KMC-Tabletext"/>
              <w:keepNext/>
              <w:keepLines/>
              <w:spacing w:before="20" w:after="20"/>
              <w:jc w:val="center"/>
              <w:rPr>
                <w:sz w:val="20"/>
              </w:rPr>
            </w:pPr>
          </w:p>
        </w:tc>
        <w:tc>
          <w:tcPr>
            <w:tcW w:w="709" w:type="dxa"/>
            <w:tcBorders>
              <w:top w:val="single" w:sz="4" w:space="0" w:color="auto"/>
              <w:left w:val="nil"/>
              <w:bottom w:val="single" w:sz="4" w:space="0" w:color="auto"/>
              <w:right w:val="nil"/>
            </w:tcBorders>
            <w:shd w:val="clear" w:color="auto" w:fill="auto"/>
            <w:vAlign w:val="center"/>
          </w:tcPr>
          <w:p w:rsidR="00B910D1" w:rsidRPr="007A70FB" w:rsidRDefault="00B910D1" w:rsidP="0028745C">
            <w:pPr>
              <w:pStyle w:val="KMC-Tabletext"/>
              <w:keepNext/>
              <w:keepLines/>
              <w:spacing w:before="20" w:after="20"/>
              <w:ind w:left="-65"/>
              <w:jc w:val="center"/>
              <w:rPr>
                <w:sz w:val="20"/>
              </w:rPr>
            </w:pPr>
          </w:p>
        </w:tc>
        <w:tc>
          <w:tcPr>
            <w:tcW w:w="1241" w:type="dxa"/>
            <w:tcBorders>
              <w:top w:val="single" w:sz="4" w:space="0" w:color="auto"/>
              <w:left w:val="nil"/>
              <w:bottom w:val="single" w:sz="4" w:space="0" w:color="auto"/>
              <w:right w:val="nil"/>
            </w:tcBorders>
            <w:shd w:val="clear" w:color="auto" w:fill="auto"/>
            <w:vAlign w:val="center"/>
          </w:tcPr>
          <w:p w:rsidR="00B910D1" w:rsidRPr="007A70FB" w:rsidRDefault="00B910D1" w:rsidP="0028745C">
            <w:pPr>
              <w:pStyle w:val="KMC-Tabletext"/>
              <w:keepNext/>
              <w:keepLines/>
              <w:spacing w:before="20" w:after="20"/>
              <w:ind w:left="-65" w:right="-21"/>
              <w:jc w:val="center"/>
              <w:rPr>
                <w:sz w:val="20"/>
              </w:rPr>
            </w:pPr>
          </w:p>
        </w:tc>
        <w:tc>
          <w:tcPr>
            <w:tcW w:w="1118" w:type="dxa"/>
            <w:tcBorders>
              <w:top w:val="single" w:sz="4" w:space="0" w:color="auto"/>
              <w:left w:val="nil"/>
              <w:bottom w:val="single" w:sz="4" w:space="0" w:color="auto"/>
            </w:tcBorders>
            <w:vAlign w:val="center"/>
          </w:tcPr>
          <w:p w:rsidR="00B910D1" w:rsidRPr="007A70FB" w:rsidRDefault="00B910D1" w:rsidP="0028745C">
            <w:pPr>
              <w:pStyle w:val="KMC-Tabletext"/>
              <w:keepNext/>
              <w:keepLines/>
              <w:spacing w:before="20" w:after="20"/>
              <w:ind w:left="-65"/>
              <w:jc w:val="center"/>
              <w:rPr>
                <w:sz w:val="20"/>
              </w:rPr>
            </w:pPr>
          </w:p>
        </w:tc>
      </w:tr>
      <w:tr w:rsidR="00B910D1" w:rsidRPr="007A70FB" w:rsidTr="0028745C">
        <w:tc>
          <w:tcPr>
            <w:tcW w:w="1555" w:type="dxa"/>
            <w:tcBorders>
              <w:top w:val="single" w:sz="4" w:space="0" w:color="auto"/>
              <w:bottom w:val="nil"/>
            </w:tcBorders>
            <w:shd w:val="clear" w:color="auto" w:fill="auto"/>
            <w:vAlign w:val="center"/>
          </w:tcPr>
          <w:p w:rsidR="00B910D1" w:rsidRPr="007A70FB" w:rsidRDefault="00B910D1" w:rsidP="0028745C">
            <w:pPr>
              <w:pStyle w:val="KMC-Tabletext"/>
              <w:keepNext/>
              <w:keepLines/>
              <w:spacing w:before="20" w:after="20"/>
              <w:ind w:left="-73"/>
              <w:jc w:val="left"/>
              <w:rPr>
                <w:sz w:val="20"/>
              </w:rPr>
            </w:pPr>
            <w:r w:rsidRPr="007A70FB">
              <w:rPr>
                <w:sz w:val="20"/>
              </w:rPr>
              <w:t xml:space="preserve">NP28761 </w:t>
            </w:r>
            <w:r w:rsidR="0028745C" w:rsidRPr="007A70FB">
              <w:rPr>
                <w:sz w:val="20"/>
              </w:rPr>
              <w:br/>
            </w:r>
            <w:r w:rsidRPr="007A70FB">
              <w:rPr>
                <w:sz w:val="20"/>
              </w:rPr>
              <w:t>(27 Apr 15)</w:t>
            </w:r>
          </w:p>
        </w:tc>
        <w:tc>
          <w:tcPr>
            <w:tcW w:w="1275" w:type="dxa"/>
            <w:shd w:val="clear" w:color="auto" w:fill="auto"/>
            <w:vAlign w:val="center"/>
          </w:tcPr>
          <w:p w:rsidR="00B910D1" w:rsidRPr="007A70FB" w:rsidRDefault="00B910D1" w:rsidP="0028745C">
            <w:pPr>
              <w:pStyle w:val="KMC-Tabletext"/>
              <w:keepNext/>
              <w:keepLines/>
              <w:spacing w:before="20" w:after="20"/>
              <w:jc w:val="center"/>
              <w:rPr>
                <w:sz w:val="20"/>
              </w:rPr>
            </w:pPr>
            <w:r w:rsidRPr="007A70FB">
              <w:rPr>
                <w:sz w:val="20"/>
              </w:rPr>
              <w:t>RE population</w:t>
            </w:r>
          </w:p>
        </w:tc>
        <w:tc>
          <w:tcPr>
            <w:tcW w:w="709" w:type="dxa"/>
            <w:shd w:val="clear" w:color="auto" w:fill="auto"/>
            <w:vAlign w:val="center"/>
          </w:tcPr>
          <w:p w:rsidR="00B910D1" w:rsidRPr="007A70FB" w:rsidRDefault="00B910D1" w:rsidP="0028745C">
            <w:pPr>
              <w:pStyle w:val="KMC-Tabletext"/>
              <w:keepNext/>
              <w:keepLines/>
              <w:spacing w:before="20" w:after="20"/>
              <w:jc w:val="center"/>
              <w:rPr>
                <w:sz w:val="20"/>
              </w:rPr>
            </w:pPr>
            <w:r w:rsidRPr="007A70FB">
              <w:rPr>
                <w:sz w:val="20"/>
              </w:rPr>
              <w:t>67</w:t>
            </w:r>
          </w:p>
        </w:tc>
        <w:tc>
          <w:tcPr>
            <w:tcW w:w="1134" w:type="dxa"/>
            <w:shd w:val="clear" w:color="auto" w:fill="auto"/>
            <w:vAlign w:val="center"/>
          </w:tcPr>
          <w:p w:rsidR="00B910D1" w:rsidRPr="007A70FB" w:rsidRDefault="00B910D1" w:rsidP="0028745C">
            <w:pPr>
              <w:pStyle w:val="KMC-Tabletext"/>
              <w:keepNext/>
              <w:keepLines/>
              <w:spacing w:before="20" w:after="20"/>
              <w:ind w:left="-21"/>
              <w:jc w:val="center"/>
              <w:rPr>
                <w:sz w:val="20"/>
              </w:rPr>
            </w:pPr>
            <w:r w:rsidRPr="007A70FB">
              <w:rPr>
                <w:sz w:val="20"/>
              </w:rPr>
              <w:t>IRC</w:t>
            </w:r>
          </w:p>
        </w:tc>
        <w:tc>
          <w:tcPr>
            <w:tcW w:w="1276" w:type="dxa"/>
            <w:shd w:val="clear" w:color="auto" w:fill="auto"/>
            <w:vAlign w:val="center"/>
          </w:tcPr>
          <w:p w:rsidR="00B910D1" w:rsidRPr="007A70FB" w:rsidRDefault="00B910D1" w:rsidP="0028745C">
            <w:pPr>
              <w:pStyle w:val="KMC-Tabletext"/>
              <w:keepNext/>
              <w:keepLines/>
              <w:spacing w:before="20" w:after="20"/>
              <w:ind w:left="-51" w:right="-90"/>
              <w:jc w:val="center"/>
              <w:rPr>
                <w:iCs/>
                <w:sz w:val="20"/>
              </w:rPr>
            </w:pPr>
            <w:r w:rsidRPr="007A70FB">
              <w:rPr>
                <w:sz w:val="20"/>
              </w:rPr>
              <w:t xml:space="preserve">35/67 (52.2) </w:t>
            </w:r>
            <w:r w:rsidRPr="007A70FB">
              <w:rPr>
                <w:sz w:val="20"/>
              </w:rPr>
              <w:br/>
              <w:t>(40, 65)</w:t>
            </w:r>
          </w:p>
        </w:tc>
        <w:tc>
          <w:tcPr>
            <w:tcW w:w="709" w:type="dxa"/>
            <w:shd w:val="clear" w:color="auto" w:fill="auto"/>
            <w:vAlign w:val="center"/>
          </w:tcPr>
          <w:p w:rsidR="00B910D1" w:rsidRPr="007A70FB" w:rsidRDefault="00B910D1" w:rsidP="0028745C">
            <w:pPr>
              <w:pStyle w:val="KMC-Tabletext"/>
              <w:keepNext/>
              <w:keepLines/>
              <w:spacing w:before="20" w:after="20"/>
              <w:ind w:left="-65" w:right="-90"/>
              <w:jc w:val="center"/>
              <w:rPr>
                <w:i/>
                <w:sz w:val="20"/>
              </w:rPr>
            </w:pPr>
            <w:r w:rsidRPr="007A70FB">
              <w:rPr>
                <w:i/>
                <w:sz w:val="20"/>
              </w:rPr>
              <w:t>0</w:t>
            </w:r>
          </w:p>
        </w:tc>
        <w:tc>
          <w:tcPr>
            <w:tcW w:w="1241" w:type="dxa"/>
            <w:shd w:val="clear" w:color="auto" w:fill="auto"/>
            <w:vAlign w:val="center"/>
          </w:tcPr>
          <w:p w:rsidR="00B910D1" w:rsidRPr="007A70FB" w:rsidRDefault="00B910D1" w:rsidP="0028745C">
            <w:pPr>
              <w:pStyle w:val="KMC-Tabletext"/>
              <w:keepNext/>
              <w:keepLines/>
              <w:spacing w:before="20" w:after="20"/>
              <w:ind w:left="-65" w:right="-90"/>
              <w:jc w:val="center"/>
              <w:rPr>
                <w:i/>
                <w:sz w:val="20"/>
              </w:rPr>
            </w:pPr>
            <w:r w:rsidRPr="007A70FB">
              <w:rPr>
                <w:i/>
                <w:sz w:val="20"/>
              </w:rPr>
              <w:t>35/67 (52.2)</w:t>
            </w:r>
          </w:p>
        </w:tc>
        <w:tc>
          <w:tcPr>
            <w:tcW w:w="1118" w:type="dxa"/>
            <w:shd w:val="clear" w:color="auto" w:fill="auto"/>
            <w:vAlign w:val="center"/>
          </w:tcPr>
          <w:p w:rsidR="00B910D1" w:rsidRPr="007A70FB" w:rsidRDefault="00B910D1" w:rsidP="0028745C">
            <w:pPr>
              <w:pStyle w:val="KMC-Tabletext"/>
              <w:keepNext/>
              <w:keepLines/>
              <w:spacing w:before="20" w:after="20"/>
              <w:ind w:left="-65" w:right="-90"/>
              <w:jc w:val="center"/>
              <w:rPr>
                <w:i/>
                <w:sz w:val="20"/>
              </w:rPr>
            </w:pPr>
            <w:r w:rsidRPr="007A70FB">
              <w:rPr>
                <w:i/>
                <w:sz w:val="20"/>
              </w:rPr>
              <w:t>13.5 (6.7, NE)</w:t>
            </w:r>
          </w:p>
        </w:tc>
      </w:tr>
      <w:tr w:rsidR="00B910D1" w:rsidRPr="007A70FB" w:rsidTr="0028745C">
        <w:tc>
          <w:tcPr>
            <w:tcW w:w="1555" w:type="dxa"/>
            <w:tcBorders>
              <w:bottom w:val="nil"/>
            </w:tcBorders>
            <w:shd w:val="clear" w:color="auto" w:fill="auto"/>
            <w:vAlign w:val="center"/>
          </w:tcPr>
          <w:p w:rsidR="00B910D1" w:rsidRPr="007A70FB" w:rsidRDefault="00B910D1" w:rsidP="0028745C">
            <w:pPr>
              <w:pStyle w:val="KMC-Tabletext"/>
              <w:keepNext/>
              <w:keepLines/>
              <w:spacing w:before="20" w:after="20"/>
              <w:ind w:left="-73"/>
              <w:jc w:val="left"/>
              <w:rPr>
                <w:sz w:val="20"/>
              </w:rPr>
            </w:pPr>
            <w:r w:rsidRPr="007A70FB">
              <w:rPr>
                <w:sz w:val="20"/>
              </w:rPr>
              <w:t>NP28673</w:t>
            </w:r>
            <w:r w:rsidR="00310AF0" w:rsidRPr="007A70FB">
              <w:rPr>
                <w:sz w:val="20"/>
              </w:rPr>
              <w:t xml:space="preserve"> </w:t>
            </w:r>
            <w:r w:rsidR="0028745C" w:rsidRPr="007A70FB">
              <w:rPr>
                <w:sz w:val="20"/>
              </w:rPr>
              <w:br/>
            </w:r>
            <w:r w:rsidR="00310AF0" w:rsidRPr="007A70FB">
              <w:rPr>
                <w:iCs/>
                <w:sz w:val="20"/>
              </w:rPr>
              <w:t>(</w:t>
            </w:r>
            <w:r w:rsidR="00310AF0" w:rsidRPr="007A70FB">
              <w:rPr>
                <w:i/>
                <w:sz w:val="20"/>
              </w:rPr>
              <w:t>01-Feb-16</w:t>
            </w:r>
            <w:r w:rsidR="00310AF0" w:rsidRPr="007A70FB">
              <w:rPr>
                <w:iCs/>
                <w:sz w:val="20"/>
              </w:rPr>
              <w:t>)</w:t>
            </w:r>
          </w:p>
        </w:tc>
        <w:tc>
          <w:tcPr>
            <w:tcW w:w="1275" w:type="dxa"/>
            <w:tcBorders>
              <w:bottom w:val="nil"/>
            </w:tcBorders>
            <w:shd w:val="clear" w:color="auto" w:fill="auto"/>
            <w:vAlign w:val="center"/>
          </w:tcPr>
          <w:p w:rsidR="00B910D1" w:rsidRPr="007A70FB" w:rsidRDefault="00B910D1" w:rsidP="0028745C">
            <w:pPr>
              <w:pStyle w:val="KMC-Tabletext"/>
              <w:keepNext/>
              <w:keepLines/>
              <w:spacing w:before="20" w:after="20"/>
              <w:jc w:val="center"/>
              <w:rPr>
                <w:i/>
                <w:sz w:val="20"/>
              </w:rPr>
            </w:pPr>
            <w:r w:rsidRPr="007A70FB">
              <w:rPr>
                <w:i/>
                <w:sz w:val="20"/>
              </w:rPr>
              <w:t>ITT</w:t>
            </w:r>
          </w:p>
        </w:tc>
        <w:tc>
          <w:tcPr>
            <w:tcW w:w="709" w:type="dxa"/>
            <w:shd w:val="clear" w:color="auto" w:fill="auto"/>
            <w:vAlign w:val="center"/>
          </w:tcPr>
          <w:p w:rsidR="00B910D1" w:rsidRPr="007A70FB" w:rsidRDefault="00B910D1" w:rsidP="0028745C">
            <w:pPr>
              <w:pStyle w:val="KMC-Tabletext"/>
              <w:keepNext/>
              <w:keepLines/>
              <w:spacing w:before="20" w:after="20"/>
              <w:jc w:val="center"/>
              <w:rPr>
                <w:i/>
                <w:sz w:val="20"/>
              </w:rPr>
            </w:pPr>
            <w:r w:rsidRPr="007A70FB">
              <w:rPr>
                <w:i/>
                <w:sz w:val="20"/>
              </w:rPr>
              <w:t>138</w:t>
            </w:r>
          </w:p>
        </w:tc>
        <w:tc>
          <w:tcPr>
            <w:tcW w:w="1134" w:type="dxa"/>
            <w:shd w:val="clear" w:color="auto" w:fill="auto"/>
            <w:vAlign w:val="center"/>
          </w:tcPr>
          <w:p w:rsidR="00B910D1" w:rsidRPr="007A70FB" w:rsidRDefault="00B910D1" w:rsidP="0028745C">
            <w:pPr>
              <w:pStyle w:val="KMC-Tabletext"/>
              <w:keepNext/>
              <w:keepLines/>
              <w:spacing w:before="20" w:after="20"/>
              <w:ind w:left="-21"/>
              <w:jc w:val="center"/>
              <w:rPr>
                <w:iCs/>
                <w:sz w:val="20"/>
              </w:rPr>
            </w:pPr>
            <w:r w:rsidRPr="007A70FB">
              <w:rPr>
                <w:sz w:val="20"/>
              </w:rPr>
              <w:t>IRC</w:t>
            </w:r>
          </w:p>
        </w:tc>
        <w:tc>
          <w:tcPr>
            <w:tcW w:w="1276" w:type="dxa"/>
            <w:shd w:val="clear" w:color="auto" w:fill="auto"/>
            <w:vAlign w:val="center"/>
          </w:tcPr>
          <w:p w:rsidR="00B910D1" w:rsidRPr="007A70FB" w:rsidRDefault="00B910D1" w:rsidP="0028745C">
            <w:pPr>
              <w:pStyle w:val="KMC-Tabletext"/>
              <w:keepNext/>
              <w:keepLines/>
              <w:spacing w:before="20" w:after="20"/>
              <w:ind w:right="-90"/>
              <w:jc w:val="center"/>
              <w:rPr>
                <w:i/>
                <w:sz w:val="20"/>
              </w:rPr>
            </w:pPr>
            <w:r w:rsidRPr="007A70FB">
              <w:rPr>
                <w:i/>
                <w:sz w:val="20"/>
              </w:rPr>
              <w:t>70/138 (50.8) (41.6, 60.0)</w:t>
            </w:r>
          </w:p>
        </w:tc>
        <w:tc>
          <w:tcPr>
            <w:tcW w:w="709" w:type="dxa"/>
            <w:shd w:val="clear" w:color="auto" w:fill="auto"/>
            <w:vAlign w:val="center"/>
          </w:tcPr>
          <w:p w:rsidR="00B910D1" w:rsidRPr="007A70FB" w:rsidRDefault="00B910D1" w:rsidP="0028745C">
            <w:pPr>
              <w:pStyle w:val="KMC-Tabletext"/>
              <w:keepNext/>
              <w:keepLines/>
              <w:spacing w:before="20" w:after="20"/>
              <w:ind w:left="-65" w:right="-90"/>
              <w:jc w:val="center"/>
              <w:rPr>
                <w:i/>
                <w:sz w:val="20"/>
              </w:rPr>
            </w:pPr>
            <w:r w:rsidRPr="007A70FB">
              <w:rPr>
                <w:i/>
                <w:sz w:val="20"/>
              </w:rPr>
              <w:t>NR</w:t>
            </w:r>
          </w:p>
        </w:tc>
        <w:tc>
          <w:tcPr>
            <w:tcW w:w="1241" w:type="dxa"/>
            <w:shd w:val="clear" w:color="auto" w:fill="auto"/>
            <w:vAlign w:val="center"/>
          </w:tcPr>
          <w:p w:rsidR="00B910D1" w:rsidRPr="007A70FB" w:rsidRDefault="00B910D1" w:rsidP="0028745C">
            <w:pPr>
              <w:pStyle w:val="KMC-Tabletext"/>
              <w:keepNext/>
              <w:keepLines/>
              <w:spacing w:before="20" w:after="20"/>
              <w:ind w:left="-65" w:right="-90"/>
              <w:jc w:val="center"/>
              <w:rPr>
                <w:i/>
                <w:sz w:val="20"/>
              </w:rPr>
            </w:pPr>
            <w:r w:rsidRPr="007A70FB">
              <w:rPr>
                <w:i/>
                <w:sz w:val="20"/>
              </w:rPr>
              <w:t>NR</w:t>
            </w:r>
          </w:p>
        </w:tc>
        <w:tc>
          <w:tcPr>
            <w:tcW w:w="1118" w:type="dxa"/>
            <w:shd w:val="clear" w:color="auto" w:fill="auto"/>
            <w:vAlign w:val="center"/>
          </w:tcPr>
          <w:p w:rsidR="00B910D1" w:rsidRPr="007A70FB" w:rsidRDefault="00B910D1" w:rsidP="0028745C">
            <w:pPr>
              <w:pStyle w:val="KMC-Tabletext"/>
              <w:keepNext/>
              <w:keepLines/>
              <w:spacing w:before="20" w:after="20"/>
              <w:ind w:left="-65" w:right="-90"/>
              <w:jc w:val="center"/>
              <w:rPr>
                <w:i/>
                <w:sz w:val="20"/>
              </w:rPr>
            </w:pPr>
            <w:r w:rsidRPr="007A70FB">
              <w:rPr>
                <w:i/>
                <w:sz w:val="20"/>
              </w:rPr>
              <w:t xml:space="preserve">14.1 </w:t>
            </w:r>
            <w:r w:rsidR="0028745C" w:rsidRPr="007A70FB">
              <w:rPr>
                <w:i/>
                <w:sz w:val="20"/>
              </w:rPr>
              <w:br/>
            </w:r>
            <w:r w:rsidRPr="007A70FB">
              <w:rPr>
                <w:i/>
                <w:sz w:val="20"/>
              </w:rPr>
              <w:t>(10.9, NE)</w:t>
            </w:r>
          </w:p>
        </w:tc>
      </w:tr>
      <w:tr w:rsidR="00B910D1" w:rsidRPr="007A70FB" w:rsidTr="0028745C">
        <w:tc>
          <w:tcPr>
            <w:tcW w:w="1555" w:type="dxa"/>
            <w:tcBorders>
              <w:bottom w:val="single" w:sz="4" w:space="0" w:color="auto"/>
            </w:tcBorders>
            <w:shd w:val="clear" w:color="auto" w:fill="auto"/>
            <w:vAlign w:val="center"/>
          </w:tcPr>
          <w:p w:rsidR="00B910D1" w:rsidRPr="007A70FB" w:rsidRDefault="00B910D1" w:rsidP="0028745C">
            <w:pPr>
              <w:pStyle w:val="KMC-Tabletext"/>
              <w:keepNext/>
              <w:keepLines/>
              <w:spacing w:before="20" w:after="20"/>
              <w:ind w:left="-73"/>
              <w:jc w:val="left"/>
              <w:rPr>
                <w:sz w:val="20"/>
              </w:rPr>
            </w:pPr>
            <w:r w:rsidRPr="007A70FB">
              <w:rPr>
                <w:sz w:val="20"/>
              </w:rPr>
              <w:t>NP28761/ NP28673</w:t>
            </w:r>
          </w:p>
        </w:tc>
        <w:tc>
          <w:tcPr>
            <w:tcW w:w="1275" w:type="dxa"/>
            <w:shd w:val="clear" w:color="auto" w:fill="auto"/>
            <w:vAlign w:val="center"/>
          </w:tcPr>
          <w:p w:rsidR="00B910D1" w:rsidRPr="007A70FB" w:rsidRDefault="00B910D1" w:rsidP="0028745C">
            <w:pPr>
              <w:pStyle w:val="KMC-Tabletext"/>
              <w:keepNext/>
              <w:keepLines/>
              <w:spacing w:before="20" w:after="20"/>
              <w:jc w:val="center"/>
              <w:rPr>
                <w:sz w:val="20"/>
              </w:rPr>
            </w:pPr>
            <w:r w:rsidRPr="007A70FB">
              <w:rPr>
                <w:sz w:val="20"/>
              </w:rPr>
              <w:t>RE population (pooled)</w:t>
            </w:r>
          </w:p>
        </w:tc>
        <w:tc>
          <w:tcPr>
            <w:tcW w:w="709" w:type="dxa"/>
            <w:shd w:val="clear" w:color="auto" w:fill="auto"/>
            <w:vAlign w:val="center"/>
          </w:tcPr>
          <w:p w:rsidR="00B910D1" w:rsidRPr="007A70FB" w:rsidRDefault="00B910D1" w:rsidP="0028745C">
            <w:pPr>
              <w:pStyle w:val="KMC-Tabletext"/>
              <w:keepNext/>
              <w:keepLines/>
              <w:spacing w:before="20" w:after="20"/>
              <w:jc w:val="center"/>
              <w:rPr>
                <w:sz w:val="20"/>
              </w:rPr>
            </w:pPr>
            <w:r w:rsidRPr="007A70FB">
              <w:rPr>
                <w:sz w:val="20"/>
              </w:rPr>
              <w:t>189</w:t>
            </w:r>
          </w:p>
        </w:tc>
        <w:tc>
          <w:tcPr>
            <w:tcW w:w="1134" w:type="dxa"/>
            <w:shd w:val="clear" w:color="auto" w:fill="auto"/>
            <w:vAlign w:val="center"/>
          </w:tcPr>
          <w:p w:rsidR="00B910D1" w:rsidRPr="007A70FB" w:rsidRDefault="00B910D1" w:rsidP="0028745C">
            <w:pPr>
              <w:pStyle w:val="KMC-Tabletext"/>
              <w:keepNext/>
              <w:keepLines/>
              <w:spacing w:before="20" w:after="20"/>
              <w:ind w:left="-21"/>
              <w:jc w:val="center"/>
              <w:rPr>
                <w:sz w:val="20"/>
              </w:rPr>
            </w:pPr>
            <w:r w:rsidRPr="007A70FB">
              <w:rPr>
                <w:sz w:val="20"/>
              </w:rPr>
              <w:t>IRC</w:t>
            </w:r>
          </w:p>
        </w:tc>
        <w:tc>
          <w:tcPr>
            <w:tcW w:w="1276" w:type="dxa"/>
            <w:shd w:val="clear" w:color="auto" w:fill="auto"/>
            <w:vAlign w:val="center"/>
          </w:tcPr>
          <w:p w:rsidR="00B910D1" w:rsidRPr="007A70FB" w:rsidRDefault="00B910D1" w:rsidP="0028745C">
            <w:pPr>
              <w:pStyle w:val="KMC-Tabletext"/>
              <w:keepNext/>
              <w:keepLines/>
              <w:spacing w:before="20" w:after="20"/>
              <w:ind w:left="-51" w:right="-90"/>
              <w:jc w:val="center"/>
              <w:rPr>
                <w:sz w:val="20"/>
              </w:rPr>
            </w:pPr>
            <w:r w:rsidRPr="007A70FB">
              <w:rPr>
                <w:sz w:val="20"/>
              </w:rPr>
              <w:t>97/189 (51.3) (44.0, 58.6)</w:t>
            </w:r>
          </w:p>
        </w:tc>
        <w:tc>
          <w:tcPr>
            <w:tcW w:w="709" w:type="dxa"/>
            <w:shd w:val="clear" w:color="auto" w:fill="auto"/>
            <w:vAlign w:val="center"/>
          </w:tcPr>
          <w:p w:rsidR="00B910D1" w:rsidRPr="007A70FB" w:rsidRDefault="00B910D1" w:rsidP="0028745C">
            <w:pPr>
              <w:pStyle w:val="KMC-Tabletext"/>
              <w:keepNext/>
              <w:keepLines/>
              <w:spacing w:before="20" w:after="20"/>
              <w:ind w:left="-65" w:right="-90"/>
              <w:jc w:val="center"/>
              <w:rPr>
                <w:i/>
                <w:sz w:val="20"/>
              </w:rPr>
            </w:pPr>
            <w:r w:rsidRPr="007A70FB">
              <w:rPr>
                <w:i/>
                <w:sz w:val="20"/>
              </w:rPr>
              <w:t>0</w:t>
            </w:r>
          </w:p>
        </w:tc>
        <w:tc>
          <w:tcPr>
            <w:tcW w:w="1241" w:type="dxa"/>
            <w:shd w:val="clear" w:color="auto" w:fill="auto"/>
            <w:vAlign w:val="center"/>
          </w:tcPr>
          <w:p w:rsidR="00B910D1" w:rsidRPr="007A70FB" w:rsidRDefault="00B910D1" w:rsidP="0028745C">
            <w:pPr>
              <w:pStyle w:val="KMC-Tabletext"/>
              <w:keepNext/>
              <w:keepLines/>
              <w:spacing w:before="20" w:after="20"/>
              <w:ind w:left="-65" w:right="-90"/>
              <w:jc w:val="center"/>
              <w:rPr>
                <w:i/>
                <w:sz w:val="20"/>
              </w:rPr>
            </w:pPr>
            <w:r w:rsidRPr="007A70FB">
              <w:rPr>
                <w:i/>
                <w:sz w:val="20"/>
              </w:rPr>
              <w:t>97/189 (51.3)</w:t>
            </w:r>
          </w:p>
        </w:tc>
        <w:tc>
          <w:tcPr>
            <w:tcW w:w="1118" w:type="dxa"/>
            <w:shd w:val="clear" w:color="auto" w:fill="auto"/>
            <w:vAlign w:val="center"/>
          </w:tcPr>
          <w:p w:rsidR="00B910D1" w:rsidRPr="007A70FB" w:rsidRDefault="00B910D1" w:rsidP="0028745C">
            <w:pPr>
              <w:pStyle w:val="KMC-Tabletext"/>
              <w:keepNext/>
              <w:keepLines/>
              <w:spacing w:before="20" w:after="20"/>
              <w:ind w:left="-65" w:right="-90"/>
              <w:jc w:val="center"/>
              <w:rPr>
                <w:sz w:val="20"/>
              </w:rPr>
            </w:pPr>
            <w:r w:rsidRPr="007A70FB">
              <w:rPr>
                <w:sz w:val="20"/>
              </w:rPr>
              <w:t xml:space="preserve">14.9 </w:t>
            </w:r>
            <w:r w:rsidR="0028745C" w:rsidRPr="007A70FB">
              <w:rPr>
                <w:sz w:val="20"/>
              </w:rPr>
              <w:br/>
            </w:r>
            <w:r w:rsidRPr="007A70FB">
              <w:rPr>
                <w:sz w:val="20"/>
              </w:rPr>
              <w:t>(11.1, 20.4)</w:t>
            </w:r>
          </w:p>
        </w:tc>
      </w:tr>
      <w:tr w:rsidR="00B910D1" w:rsidRPr="007A70FB" w:rsidTr="0028745C">
        <w:tc>
          <w:tcPr>
            <w:tcW w:w="1555" w:type="dxa"/>
            <w:tcBorders>
              <w:bottom w:val="single" w:sz="4" w:space="0" w:color="auto"/>
            </w:tcBorders>
            <w:shd w:val="clear" w:color="auto" w:fill="auto"/>
            <w:vAlign w:val="center"/>
          </w:tcPr>
          <w:p w:rsidR="00B910D1" w:rsidRPr="007A70FB" w:rsidRDefault="00B910D1" w:rsidP="0028745C">
            <w:pPr>
              <w:pStyle w:val="KMC-Tabletext"/>
              <w:keepNext/>
              <w:keepLines/>
              <w:spacing w:before="20" w:after="20"/>
              <w:ind w:left="-73" w:right="-37"/>
              <w:jc w:val="left"/>
              <w:rPr>
                <w:sz w:val="20"/>
              </w:rPr>
            </w:pPr>
            <w:r w:rsidRPr="007A70FB">
              <w:rPr>
                <w:sz w:val="20"/>
              </w:rPr>
              <w:t xml:space="preserve">ALUR </w:t>
            </w:r>
            <w:r w:rsidRPr="007A70FB">
              <w:rPr>
                <w:sz w:val="20"/>
              </w:rPr>
              <w:br/>
              <w:t>(26-Jan-17)</w:t>
            </w:r>
          </w:p>
        </w:tc>
        <w:tc>
          <w:tcPr>
            <w:tcW w:w="1275" w:type="dxa"/>
            <w:shd w:val="clear" w:color="auto" w:fill="auto"/>
            <w:vAlign w:val="center"/>
          </w:tcPr>
          <w:p w:rsidR="00B910D1" w:rsidRPr="007A70FB" w:rsidRDefault="00B910D1" w:rsidP="0028745C">
            <w:pPr>
              <w:pStyle w:val="KMC-Tabletext"/>
              <w:keepNext/>
              <w:keepLines/>
              <w:spacing w:before="20" w:after="20"/>
              <w:jc w:val="center"/>
              <w:rPr>
                <w:sz w:val="20"/>
              </w:rPr>
            </w:pPr>
            <w:r w:rsidRPr="007A70FB">
              <w:rPr>
                <w:sz w:val="20"/>
              </w:rPr>
              <w:t>ITT (alectinib)</w:t>
            </w:r>
          </w:p>
        </w:tc>
        <w:tc>
          <w:tcPr>
            <w:tcW w:w="709" w:type="dxa"/>
            <w:shd w:val="clear" w:color="auto" w:fill="auto"/>
            <w:vAlign w:val="center"/>
          </w:tcPr>
          <w:p w:rsidR="00B910D1" w:rsidRPr="007A70FB" w:rsidRDefault="00B910D1" w:rsidP="0028745C">
            <w:pPr>
              <w:pStyle w:val="KMC-Tabletext"/>
              <w:keepNext/>
              <w:keepLines/>
              <w:spacing w:before="20" w:after="20"/>
              <w:jc w:val="center"/>
              <w:rPr>
                <w:sz w:val="20"/>
              </w:rPr>
            </w:pPr>
            <w:r w:rsidRPr="007A70FB">
              <w:rPr>
                <w:sz w:val="20"/>
              </w:rPr>
              <w:t>72</w:t>
            </w:r>
          </w:p>
        </w:tc>
        <w:tc>
          <w:tcPr>
            <w:tcW w:w="1134" w:type="dxa"/>
            <w:shd w:val="clear" w:color="auto" w:fill="auto"/>
            <w:vAlign w:val="center"/>
          </w:tcPr>
          <w:p w:rsidR="00B910D1" w:rsidRPr="007A70FB" w:rsidRDefault="00B910D1" w:rsidP="0028745C">
            <w:pPr>
              <w:pStyle w:val="KMC-Tabletext"/>
              <w:keepNext/>
              <w:keepLines/>
              <w:spacing w:before="20" w:after="20"/>
              <w:ind w:left="-21"/>
              <w:jc w:val="center"/>
              <w:rPr>
                <w:sz w:val="20"/>
              </w:rPr>
            </w:pPr>
            <w:r w:rsidRPr="007A70FB">
              <w:rPr>
                <w:sz w:val="20"/>
              </w:rPr>
              <w:t>IRC</w:t>
            </w:r>
          </w:p>
        </w:tc>
        <w:tc>
          <w:tcPr>
            <w:tcW w:w="1276" w:type="dxa"/>
            <w:shd w:val="clear" w:color="auto" w:fill="auto"/>
            <w:vAlign w:val="center"/>
          </w:tcPr>
          <w:p w:rsidR="00B910D1" w:rsidRPr="007A70FB" w:rsidRDefault="00B910D1" w:rsidP="0028745C">
            <w:pPr>
              <w:pStyle w:val="KMC-Tabletext"/>
              <w:keepNext/>
              <w:keepLines/>
              <w:spacing w:before="20" w:after="20"/>
              <w:ind w:left="-51" w:right="-90"/>
              <w:jc w:val="center"/>
              <w:rPr>
                <w:sz w:val="20"/>
              </w:rPr>
            </w:pPr>
            <w:r w:rsidRPr="007A70FB">
              <w:rPr>
                <w:sz w:val="20"/>
              </w:rPr>
              <w:t xml:space="preserve">27/72 (37.5) </w:t>
            </w:r>
            <w:r w:rsidRPr="007A70FB">
              <w:rPr>
                <w:sz w:val="20"/>
              </w:rPr>
              <w:br/>
              <w:t>(26, 50)</w:t>
            </w:r>
          </w:p>
        </w:tc>
        <w:tc>
          <w:tcPr>
            <w:tcW w:w="709" w:type="dxa"/>
            <w:shd w:val="clear" w:color="auto" w:fill="auto"/>
            <w:vAlign w:val="center"/>
          </w:tcPr>
          <w:p w:rsidR="00B910D1" w:rsidRPr="007A70FB" w:rsidRDefault="00B910D1" w:rsidP="0028745C">
            <w:pPr>
              <w:pStyle w:val="KMC-Tabletext"/>
              <w:keepNext/>
              <w:keepLines/>
              <w:spacing w:before="20" w:after="20"/>
              <w:ind w:left="-65" w:right="-90"/>
              <w:jc w:val="center"/>
              <w:rPr>
                <w:i/>
                <w:sz w:val="20"/>
              </w:rPr>
            </w:pPr>
            <w:r w:rsidRPr="007A70FB">
              <w:rPr>
                <w:i/>
                <w:sz w:val="20"/>
              </w:rPr>
              <w:t>0</w:t>
            </w:r>
          </w:p>
        </w:tc>
        <w:tc>
          <w:tcPr>
            <w:tcW w:w="1241" w:type="dxa"/>
            <w:shd w:val="clear" w:color="auto" w:fill="auto"/>
            <w:vAlign w:val="center"/>
          </w:tcPr>
          <w:p w:rsidR="00B910D1" w:rsidRPr="007A70FB" w:rsidRDefault="00B910D1" w:rsidP="0028745C">
            <w:pPr>
              <w:pStyle w:val="KMC-Tabletext"/>
              <w:keepNext/>
              <w:keepLines/>
              <w:spacing w:before="20" w:after="20"/>
              <w:ind w:left="-65" w:right="-90"/>
              <w:jc w:val="center"/>
              <w:rPr>
                <w:iCs/>
                <w:sz w:val="20"/>
              </w:rPr>
            </w:pPr>
            <w:r w:rsidRPr="007A70FB">
              <w:rPr>
                <w:sz w:val="20"/>
              </w:rPr>
              <w:t>27/72 (37.5)</w:t>
            </w:r>
          </w:p>
        </w:tc>
        <w:tc>
          <w:tcPr>
            <w:tcW w:w="1118" w:type="dxa"/>
            <w:shd w:val="clear" w:color="auto" w:fill="auto"/>
            <w:vAlign w:val="center"/>
          </w:tcPr>
          <w:p w:rsidR="00B910D1" w:rsidRPr="007A70FB" w:rsidRDefault="00B910D1" w:rsidP="0028745C">
            <w:pPr>
              <w:pStyle w:val="KMC-Tabletext"/>
              <w:keepNext/>
              <w:keepLines/>
              <w:spacing w:before="20" w:after="20"/>
              <w:ind w:left="-65" w:right="-90"/>
              <w:jc w:val="center"/>
              <w:rPr>
                <w:sz w:val="20"/>
              </w:rPr>
            </w:pPr>
            <w:r w:rsidRPr="007A70FB">
              <w:rPr>
                <w:sz w:val="20"/>
              </w:rPr>
              <w:t>9.3 (6.9, NE)</w:t>
            </w:r>
          </w:p>
        </w:tc>
      </w:tr>
      <w:tr w:rsidR="00B910D1" w:rsidRPr="007A70FB" w:rsidTr="0028745C">
        <w:tc>
          <w:tcPr>
            <w:tcW w:w="1555" w:type="dxa"/>
            <w:tcBorders>
              <w:bottom w:val="single" w:sz="4" w:space="0" w:color="auto"/>
              <w:right w:val="nil"/>
            </w:tcBorders>
            <w:shd w:val="clear" w:color="auto" w:fill="auto"/>
            <w:vAlign w:val="center"/>
          </w:tcPr>
          <w:p w:rsidR="00B910D1" w:rsidRPr="007A70FB" w:rsidRDefault="00B910D1" w:rsidP="0028745C">
            <w:pPr>
              <w:pStyle w:val="KMC-Tabletext"/>
              <w:keepNext/>
              <w:keepLines/>
              <w:spacing w:before="20" w:after="20"/>
              <w:ind w:left="-73"/>
              <w:jc w:val="left"/>
              <w:rPr>
                <w:b/>
                <w:bCs w:val="0"/>
                <w:sz w:val="20"/>
              </w:rPr>
            </w:pPr>
            <w:r w:rsidRPr="007A70FB">
              <w:rPr>
                <w:b/>
                <w:bCs w:val="0"/>
                <w:sz w:val="20"/>
              </w:rPr>
              <w:t>Ceritinib</w:t>
            </w:r>
          </w:p>
        </w:tc>
        <w:tc>
          <w:tcPr>
            <w:tcW w:w="1275" w:type="dxa"/>
            <w:tcBorders>
              <w:left w:val="nil"/>
              <w:right w:val="nil"/>
            </w:tcBorders>
            <w:shd w:val="clear" w:color="auto" w:fill="auto"/>
            <w:vAlign w:val="center"/>
          </w:tcPr>
          <w:p w:rsidR="00B910D1" w:rsidRPr="007A70FB" w:rsidRDefault="00B910D1" w:rsidP="0028745C">
            <w:pPr>
              <w:pStyle w:val="KMC-Tabletext"/>
              <w:keepNext/>
              <w:keepLines/>
              <w:spacing w:before="20" w:after="20"/>
              <w:jc w:val="center"/>
              <w:rPr>
                <w:sz w:val="20"/>
              </w:rPr>
            </w:pPr>
          </w:p>
        </w:tc>
        <w:tc>
          <w:tcPr>
            <w:tcW w:w="709" w:type="dxa"/>
            <w:tcBorders>
              <w:left w:val="nil"/>
              <w:right w:val="nil"/>
            </w:tcBorders>
            <w:shd w:val="clear" w:color="auto" w:fill="auto"/>
            <w:vAlign w:val="center"/>
          </w:tcPr>
          <w:p w:rsidR="00B910D1" w:rsidRPr="007A70FB" w:rsidRDefault="00B910D1" w:rsidP="0028745C">
            <w:pPr>
              <w:pStyle w:val="KMC-Tabletext"/>
              <w:keepNext/>
              <w:keepLines/>
              <w:spacing w:before="20" w:after="20"/>
              <w:jc w:val="center"/>
              <w:rPr>
                <w:sz w:val="20"/>
              </w:rPr>
            </w:pPr>
          </w:p>
        </w:tc>
        <w:tc>
          <w:tcPr>
            <w:tcW w:w="1134" w:type="dxa"/>
            <w:tcBorders>
              <w:left w:val="nil"/>
              <w:right w:val="nil"/>
            </w:tcBorders>
            <w:shd w:val="clear" w:color="auto" w:fill="auto"/>
            <w:vAlign w:val="center"/>
          </w:tcPr>
          <w:p w:rsidR="00B910D1" w:rsidRPr="007A70FB" w:rsidRDefault="00B910D1" w:rsidP="0028745C">
            <w:pPr>
              <w:pStyle w:val="KMC-Tabletext"/>
              <w:keepNext/>
              <w:keepLines/>
              <w:spacing w:before="20" w:after="20"/>
              <w:ind w:left="-21"/>
              <w:jc w:val="center"/>
              <w:rPr>
                <w:sz w:val="20"/>
              </w:rPr>
            </w:pPr>
          </w:p>
        </w:tc>
        <w:tc>
          <w:tcPr>
            <w:tcW w:w="1276" w:type="dxa"/>
            <w:tcBorders>
              <w:left w:val="nil"/>
              <w:right w:val="nil"/>
            </w:tcBorders>
            <w:shd w:val="clear" w:color="auto" w:fill="auto"/>
            <w:vAlign w:val="center"/>
          </w:tcPr>
          <w:p w:rsidR="00B910D1" w:rsidRPr="007A70FB" w:rsidRDefault="00B910D1" w:rsidP="0028745C">
            <w:pPr>
              <w:pStyle w:val="KMC-Tabletext"/>
              <w:keepNext/>
              <w:keepLines/>
              <w:spacing w:before="20" w:after="20"/>
              <w:ind w:left="-51" w:right="-90"/>
              <w:jc w:val="center"/>
              <w:rPr>
                <w:sz w:val="20"/>
              </w:rPr>
            </w:pPr>
          </w:p>
        </w:tc>
        <w:tc>
          <w:tcPr>
            <w:tcW w:w="709" w:type="dxa"/>
            <w:tcBorders>
              <w:left w:val="nil"/>
              <w:right w:val="nil"/>
            </w:tcBorders>
            <w:shd w:val="clear" w:color="auto" w:fill="auto"/>
            <w:vAlign w:val="center"/>
          </w:tcPr>
          <w:p w:rsidR="00B910D1" w:rsidRPr="007A70FB" w:rsidRDefault="00B910D1" w:rsidP="0028745C">
            <w:pPr>
              <w:pStyle w:val="KMC-Tabletext"/>
              <w:keepNext/>
              <w:keepLines/>
              <w:spacing w:before="20" w:after="20"/>
              <w:ind w:left="-65" w:right="-90"/>
              <w:jc w:val="center"/>
              <w:rPr>
                <w:sz w:val="20"/>
              </w:rPr>
            </w:pPr>
          </w:p>
        </w:tc>
        <w:tc>
          <w:tcPr>
            <w:tcW w:w="1241" w:type="dxa"/>
            <w:tcBorders>
              <w:left w:val="nil"/>
            </w:tcBorders>
            <w:shd w:val="clear" w:color="auto" w:fill="auto"/>
            <w:vAlign w:val="center"/>
          </w:tcPr>
          <w:p w:rsidR="00B910D1" w:rsidRPr="007A70FB" w:rsidRDefault="00B910D1" w:rsidP="0028745C">
            <w:pPr>
              <w:pStyle w:val="KMC-Tabletext"/>
              <w:keepNext/>
              <w:keepLines/>
              <w:spacing w:before="20" w:after="20"/>
              <w:ind w:left="-65" w:right="-90"/>
              <w:jc w:val="center"/>
              <w:rPr>
                <w:sz w:val="20"/>
              </w:rPr>
            </w:pPr>
          </w:p>
        </w:tc>
        <w:tc>
          <w:tcPr>
            <w:tcW w:w="1118" w:type="dxa"/>
            <w:tcBorders>
              <w:left w:val="nil"/>
            </w:tcBorders>
            <w:shd w:val="clear" w:color="auto" w:fill="auto"/>
            <w:vAlign w:val="center"/>
          </w:tcPr>
          <w:p w:rsidR="00B910D1" w:rsidRPr="007A70FB" w:rsidRDefault="00B910D1" w:rsidP="0028745C">
            <w:pPr>
              <w:pStyle w:val="KMC-Tabletext"/>
              <w:keepNext/>
              <w:keepLines/>
              <w:spacing w:before="20" w:after="20"/>
              <w:ind w:left="-65" w:right="-90"/>
              <w:jc w:val="center"/>
              <w:rPr>
                <w:sz w:val="20"/>
              </w:rPr>
            </w:pPr>
          </w:p>
        </w:tc>
      </w:tr>
      <w:tr w:rsidR="00B910D1" w:rsidRPr="007A70FB" w:rsidTr="0028745C">
        <w:tc>
          <w:tcPr>
            <w:tcW w:w="1555" w:type="dxa"/>
            <w:tcBorders>
              <w:bottom w:val="nil"/>
            </w:tcBorders>
            <w:shd w:val="clear" w:color="auto" w:fill="auto"/>
            <w:vAlign w:val="center"/>
          </w:tcPr>
          <w:p w:rsidR="00B910D1" w:rsidRPr="007A70FB" w:rsidRDefault="00B910D1" w:rsidP="0028745C">
            <w:pPr>
              <w:pStyle w:val="KMC-Tabletext"/>
              <w:keepNext/>
              <w:keepLines/>
              <w:spacing w:before="20" w:after="20"/>
              <w:ind w:left="-73"/>
              <w:jc w:val="left"/>
              <w:rPr>
                <w:sz w:val="20"/>
              </w:rPr>
            </w:pPr>
            <w:r w:rsidRPr="007A70FB">
              <w:rPr>
                <w:sz w:val="20"/>
              </w:rPr>
              <w:t>ASCEND-1</w:t>
            </w:r>
            <w:r w:rsidR="0028745C" w:rsidRPr="007A70FB">
              <w:rPr>
                <w:sz w:val="20"/>
              </w:rPr>
              <w:br/>
            </w:r>
            <w:r w:rsidRPr="007A70FB">
              <w:rPr>
                <w:sz w:val="20"/>
              </w:rPr>
              <w:t>(14-Apr-14)</w:t>
            </w:r>
          </w:p>
        </w:tc>
        <w:tc>
          <w:tcPr>
            <w:tcW w:w="1275" w:type="dxa"/>
            <w:shd w:val="clear" w:color="auto" w:fill="auto"/>
            <w:vAlign w:val="center"/>
          </w:tcPr>
          <w:p w:rsidR="00B910D1" w:rsidRPr="007A70FB" w:rsidRDefault="00B910D1" w:rsidP="0028745C">
            <w:pPr>
              <w:pStyle w:val="KMC-Tabletext"/>
              <w:keepNext/>
              <w:keepLines/>
              <w:spacing w:before="20" w:after="20"/>
              <w:jc w:val="center"/>
              <w:rPr>
                <w:sz w:val="20"/>
              </w:rPr>
            </w:pPr>
            <w:r w:rsidRPr="007A70FB">
              <w:rPr>
                <w:sz w:val="20"/>
              </w:rPr>
              <w:t>FAS</w:t>
            </w:r>
          </w:p>
        </w:tc>
        <w:tc>
          <w:tcPr>
            <w:tcW w:w="709" w:type="dxa"/>
            <w:shd w:val="clear" w:color="auto" w:fill="auto"/>
            <w:vAlign w:val="center"/>
          </w:tcPr>
          <w:p w:rsidR="00B910D1" w:rsidRPr="007A70FB" w:rsidRDefault="00B910D1" w:rsidP="0028745C">
            <w:pPr>
              <w:pStyle w:val="KMC-Tabletext"/>
              <w:keepNext/>
              <w:keepLines/>
              <w:spacing w:before="20" w:after="20"/>
              <w:jc w:val="center"/>
              <w:rPr>
                <w:sz w:val="20"/>
              </w:rPr>
            </w:pPr>
            <w:r w:rsidRPr="007A70FB">
              <w:rPr>
                <w:sz w:val="20"/>
              </w:rPr>
              <w:t>163</w:t>
            </w:r>
          </w:p>
        </w:tc>
        <w:tc>
          <w:tcPr>
            <w:tcW w:w="1134" w:type="dxa"/>
            <w:shd w:val="clear" w:color="auto" w:fill="auto"/>
            <w:vAlign w:val="center"/>
          </w:tcPr>
          <w:p w:rsidR="00B910D1" w:rsidRPr="007A70FB" w:rsidRDefault="00B910D1" w:rsidP="0028745C">
            <w:pPr>
              <w:pStyle w:val="KMC-Tabletext"/>
              <w:keepNext/>
              <w:keepLines/>
              <w:spacing w:before="20" w:after="20"/>
              <w:ind w:left="-21"/>
              <w:jc w:val="center"/>
              <w:rPr>
                <w:i/>
                <w:sz w:val="20"/>
              </w:rPr>
            </w:pPr>
            <w:r w:rsidRPr="007A70FB">
              <w:rPr>
                <w:i/>
                <w:sz w:val="20"/>
              </w:rPr>
              <w:t>IRC</w:t>
            </w:r>
          </w:p>
        </w:tc>
        <w:tc>
          <w:tcPr>
            <w:tcW w:w="1276" w:type="dxa"/>
            <w:shd w:val="clear" w:color="auto" w:fill="auto"/>
            <w:vAlign w:val="center"/>
          </w:tcPr>
          <w:p w:rsidR="00B910D1" w:rsidRPr="007A70FB" w:rsidRDefault="00B910D1" w:rsidP="0028745C">
            <w:pPr>
              <w:pStyle w:val="KMC-Tabletext"/>
              <w:keepNext/>
              <w:keepLines/>
              <w:spacing w:before="20" w:after="20"/>
              <w:ind w:left="-51" w:right="-90"/>
              <w:jc w:val="center"/>
              <w:rPr>
                <w:i/>
                <w:sz w:val="20"/>
              </w:rPr>
            </w:pPr>
            <w:r w:rsidRPr="007A70FB">
              <w:rPr>
                <w:i/>
                <w:sz w:val="20"/>
              </w:rPr>
              <w:t>75/163 (46.0) (38.2, 54.0)</w:t>
            </w:r>
          </w:p>
        </w:tc>
        <w:tc>
          <w:tcPr>
            <w:tcW w:w="709" w:type="dxa"/>
            <w:shd w:val="clear" w:color="auto" w:fill="auto"/>
            <w:vAlign w:val="center"/>
          </w:tcPr>
          <w:p w:rsidR="00B910D1" w:rsidRPr="007A70FB" w:rsidRDefault="00B910D1" w:rsidP="0028745C">
            <w:pPr>
              <w:pStyle w:val="KMC-Tabletext"/>
              <w:keepNext/>
              <w:keepLines/>
              <w:spacing w:before="20" w:after="20"/>
              <w:ind w:left="-65" w:right="-90"/>
              <w:jc w:val="center"/>
              <w:rPr>
                <w:i/>
                <w:sz w:val="20"/>
              </w:rPr>
            </w:pPr>
            <w:r w:rsidRPr="007A70FB">
              <w:rPr>
                <w:i/>
                <w:sz w:val="20"/>
              </w:rPr>
              <w:t>3/163 (1.8)</w:t>
            </w:r>
          </w:p>
        </w:tc>
        <w:tc>
          <w:tcPr>
            <w:tcW w:w="1241" w:type="dxa"/>
            <w:shd w:val="clear" w:color="auto" w:fill="auto"/>
            <w:vAlign w:val="center"/>
          </w:tcPr>
          <w:p w:rsidR="00B910D1" w:rsidRPr="007A70FB" w:rsidRDefault="00B910D1" w:rsidP="0028745C">
            <w:pPr>
              <w:pStyle w:val="KMC-Tabletext"/>
              <w:keepNext/>
              <w:keepLines/>
              <w:spacing w:before="20" w:after="20"/>
              <w:ind w:left="-65" w:right="-90"/>
              <w:jc w:val="center"/>
              <w:rPr>
                <w:i/>
                <w:sz w:val="20"/>
              </w:rPr>
            </w:pPr>
            <w:r w:rsidRPr="007A70FB">
              <w:rPr>
                <w:i/>
                <w:sz w:val="20"/>
              </w:rPr>
              <w:t>72/163 (44.2)</w:t>
            </w:r>
          </w:p>
        </w:tc>
        <w:tc>
          <w:tcPr>
            <w:tcW w:w="1118" w:type="dxa"/>
            <w:shd w:val="clear" w:color="auto" w:fill="auto"/>
            <w:vAlign w:val="center"/>
          </w:tcPr>
          <w:p w:rsidR="00B910D1" w:rsidRPr="007A70FB" w:rsidRDefault="00B910D1" w:rsidP="0028745C">
            <w:pPr>
              <w:pStyle w:val="KMC-Tabletext"/>
              <w:keepNext/>
              <w:keepLines/>
              <w:spacing w:before="20" w:after="20"/>
              <w:ind w:left="-65" w:right="-90"/>
              <w:jc w:val="center"/>
              <w:rPr>
                <w:i/>
                <w:sz w:val="20"/>
              </w:rPr>
            </w:pPr>
            <w:r w:rsidRPr="007A70FB">
              <w:rPr>
                <w:i/>
                <w:sz w:val="20"/>
              </w:rPr>
              <w:t>8.8 (6.8, 13.1)</w:t>
            </w:r>
          </w:p>
        </w:tc>
      </w:tr>
      <w:tr w:rsidR="00B910D1" w:rsidRPr="007A70FB" w:rsidTr="0028745C">
        <w:tc>
          <w:tcPr>
            <w:tcW w:w="1555" w:type="dxa"/>
            <w:tcBorders>
              <w:bottom w:val="nil"/>
            </w:tcBorders>
            <w:shd w:val="clear" w:color="auto" w:fill="auto"/>
            <w:vAlign w:val="center"/>
          </w:tcPr>
          <w:p w:rsidR="00B910D1" w:rsidRPr="007A70FB" w:rsidRDefault="00B910D1" w:rsidP="0028745C">
            <w:pPr>
              <w:pStyle w:val="KMC-Tabletext"/>
              <w:keepNext/>
              <w:keepLines/>
              <w:spacing w:before="20" w:after="20"/>
              <w:ind w:left="-73" w:right="-24"/>
              <w:jc w:val="left"/>
              <w:rPr>
                <w:sz w:val="20"/>
              </w:rPr>
            </w:pPr>
            <w:r w:rsidRPr="007A70FB">
              <w:rPr>
                <w:sz w:val="20"/>
              </w:rPr>
              <w:t xml:space="preserve">ASCEND-2 </w:t>
            </w:r>
            <w:r w:rsidR="0028745C" w:rsidRPr="007A70FB">
              <w:rPr>
                <w:sz w:val="20"/>
              </w:rPr>
              <w:br/>
            </w:r>
            <w:r w:rsidRPr="007A70FB">
              <w:rPr>
                <w:sz w:val="20"/>
              </w:rPr>
              <w:t>(26 Feb 14)</w:t>
            </w:r>
          </w:p>
        </w:tc>
        <w:tc>
          <w:tcPr>
            <w:tcW w:w="1275" w:type="dxa"/>
            <w:shd w:val="clear" w:color="auto" w:fill="auto"/>
            <w:vAlign w:val="center"/>
          </w:tcPr>
          <w:p w:rsidR="00B910D1" w:rsidRPr="007A70FB" w:rsidRDefault="00B910D1" w:rsidP="0028745C">
            <w:pPr>
              <w:pStyle w:val="KMC-Tabletext"/>
              <w:keepNext/>
              <w:keepLines/>
              <w:spacing w:before="20" w:after="20"/>
              <w:jc w:val="center"/>
              <w:rPr>
                <w:sz w:val="20"/>
              </w:rPr>
            </w:pPr>
            <w:r w:rsidRPr="007A70FB">
              <w:rPr>
                <w:sz w:val="20"/>
              </w:rPr>
              <w:t>FAS</w:t>
            </w:r>
          </w:p>
        </w:tc>
        <w:tc>
          <w:tcPr>
            <w:tcW w:w="709" w:type="dxa"/>
            <w:shd w:val="clear" w:color="auto" w:fill="auto"/>
            <w:vAlign w:val="center"/>
          </w:tcPr>
          <w:p w:rsidR="00B910D1" w:rsidRPr="007A70FB" w:rsidRDefault="00B910D1" w:rsidP="0028745C">
            <w:pPr>
              <w:pStyle w:val="KMC-Tabletext"/>
              <w:keepNext/>
              <w:keepLines/>
              <w:spacing w:before="20" w:after="20"/>
              <w:jc w:val="center"/>
              <w:rPr>
                <w:sz w:val="20"/>
              </w:rPr>
            </w:pPr>
            <w:r w:rsidRPr="007A70FB">
              <w:rPr>
                <w:sz w:val="20"/>
              </w:rPr>
              <w:t>140</w:t>
            </w:r>
          </w:p>
        </w:tc>
        <w:tc>
          <w:tcPr>
            <w:tcW w:w="1134" w:type="dxa"/>
            <w:shd w:val="clear" w:color="auto" w:fill="auto"/>
            <w:vAlign w:val="center"/>
          </w:tcPr>
          <w:p w:rsidR="00B910D1" w:rsidRPr="007A70FB" w:rsidRDefault="00B910D1" w:rsidP="0028745C">
            <w:pPr>
              <w:pStyle w:val="KMC-Tabletext"/>
              <w:keepNext/>
              <w:keepLines/>
              <w:spacing w:before="20" w:after="20"/>
              <w:ind w:left="-21"/>
              <w:jc w:val="center"/>
              <w:rPr>
                <w:sz w:val="20"/>
              </w:rPr>
            </w:pPr>
            <w:r w:rsidRPr="007A70FB">
              <w:rPr>
                <w:sz w:val="20"/>
              </w:rPr>
              <w:t>IRC</w:t>
            </w:r>
          </w:p>
        </w:tc>
        <w:tc>
          <w:tcPr>
            <w:tcW w:w="1276" w:type="dxa"/>
            <w:shd w:val="clear" w:color="auto" w:fill="auto"/>
            <w:vAlign w:val="center"/>
          </w:tcPr>
          <w:p w:rsidR="00B910D1" w:rsidRPr="007A70FB" w:rsidRDefault="00B910D1" w:rsidP="0028745C">
            <w:pPr>
              <w:pStyle w:val="KMC-Tabletext"/>
              <w:keepNext/>
              <w:keepLines/>
              <w:spacing w:before="20" w:after="20"/>
              <w:ind w:left="-51" w:right="-90"/>
              <w:jc w:val="center"/>
              <w:rPr>
                <w:sz w:val="20"/>
              </w:rPr>
            </w:pPr>
            <w:r w:rsidRPr="007A70FB">
              <w:rPr>
                <w:sz w:val="20"/>
              </w:rPr>
              <w:t>50/140 (35.7) (27.8, 44.2)</w:t>
            </w:r>
          </w:p>
        </w:tc>
        <w:tc>
          <w:tcPr>
            <w:tcW w:w="709" w:type="dxa"/>
            <w:shd w:val="clear" w:color="auto" w:fill="auto"/>
            <w:vAlign w:val="center"/>
          </w:tcPr>
          <w:p w:rsidR="00B910D1" w:rsidRPr="007A70FB" w:rsidRDefault="00B910D1" w:rsidP="0028745C">
            <w:pPr>
              <w:pStyle w:val="KMC-Tabletext"/>
              <w:keepNext/>
              <w:keepLines/>
              <w:spacing w:before="20" w:after="20"/>
              <w:ind w:left="-65" w:right="-90"/>
              <w:jc w:val="center"/>
              <w:rPr>
                <w:i/>
                <w:sz w:val="20"/>
              </w:rPr>
            </w:pPr>
            <w:r w:rsidRPr="007A70FB">
              <w:rPr>
                <w:i/>
                <w:sz w:val="20"/>
              </w:rPr>
              <w:t>0</w:t>
            </w:r>
          </w:p>
        </w:tc>
        <w:tc>
          <w:tcPr>
            <w:tcW w:w="1241" w:type="dxa"/>
            <w:shd w:val="clear" w:color="auto" w:fill="auto"/>
            <w:vAlign w:val="center"/>
          </w:tcPr>
          <w:p w:rsidR="00B910D1" w:rsidRPr="007A70FB" w:rsidRDefault="00B910D1" w:rsidP="0028745C">
            <w:pPr>
              <w:pStyle w:val="KMC-Tabletext"/>
              <w:keepNext/>
              <w:keepLines/>
              <w:spacing w:before="20" w:after="20"/>
              <w:ind w:left="-65" w:right="-90"/>
              <w:jc w:val="center"/>
              <w:rPr>
                <w:i/>
                <w:sz w:val="20"/>
              </w:rPr>
            </w:pPr>
            <w:r w:rsidRPr="007A70FB">
              <w:rPr>
                <w:i/>
                <w:sz w:val="20"/>
              </w:rPr>
              <w:t>50/140 (35.7)</w:t>
            </w:r>
          </w:p>
        </w:tc>
        <w:tc>
          <w:tcPr>
            <w:tcW w:w="1118" w:type="dxa"/>
            <w:shd w:val="clear" w:color="auto" w:fill="auto"/>
            <w:vAlign w:val="center"/>
          </w:tcPr>
          <w:p w:rsidR="00B910D1" w:rsidRPr="007A70FB" w:rsidRDefault="00B910D1" w:rsidP="0028745C">
            <w:pPr>
              <w:pStyle w:val="KMC-Tabletext"/>
              <w:keepNext/>
              <w:keepLines/>
              <w:spacing w:before="20" w:after="20"/>
              <w:ind w:left="-65" w:right="-90"/>
              <w:jc w:val="center"/>
              <w:rPr>
                <w:i/>
                <w:sz w:val="20"/>
              </w:rPr>
            </w:pPr>
            <w:r w:rsidRPr="007A70FB">
              <w:rPr>
                <w:i/>
                <w:sz w:val="20"/>
              </w:rPr>
              <w:t>9.7 (5.6, 12.9)</w:t>
            </w:r>
          </w:p>
        </w:tc>
      </w:tr>
      <w:tr w:rsidR="00B910D1" w:rsidRPr="007A70FB" w:rsidTr="0028745C">
        <w:tc>
          <w:tcPr>
            <w:tcW w:w="1555" w:type="dxa"/>
            <w:tcBorders>
              <w:bottom w:val="nil"/>
            </w:tcBorders>
            <w:shd w:val="clear" w:color="auto" w:fill="auto"/>
            <w:vAlign w:val="center"/>
          </w:tcPr>
          <w:p w:rsidR="00B910D1" w:rsidRPr="007A70FB" w:rsidRDefault="00B910D1" w:rsidP="0028745C">
            <w:pPr>
              <w:pStyle w:val="KMC-Tabletext"/>
              <w:keepNext/>
              <w:keepLines/>
              <w:spacing w:before="20" w:after="20"/>
              <w:ind w:left="-73"/>
              <w:jc w:val="left"/>
              <w:rPr>
                <w:sz w:val="20"/>
              </w:rPr>
            </w:pPr>
            <w:r w:rsidRPr="007A70FB">
              <w:rPr>
                <w:sz w:val="20"/>
              </w:rPr>
              <w:t>ASCEND-5</w:t>
            </w:r>
            <w:r w:rsidR="00310AF0" w:rsidRPr="007A70FB">
              <w:rPr>
                <w:sz w:val="20"/>
              </w:rPr>
              <w:t xml:space="preserve"> </w:t>
            </w:r>
            <w:r w:rsidR="0028745C" w:rsidRPr="007A70FB">
              <w:rPr>
                <w:sz w:val="20"/>
              </w:rPr>
              <w:br/>
            </w:r>
            <w:r w:rsidR="00310AF0" w:rsidRPr="007A70FB">
              <w:rPr>
                <w:sz w:val="20"/>
              </w:rPr>
              <w:t>(26 Jan 16)</w:t>
            </w:r>
          </w:p>
        </w:tc>
        <w:tc>
          <w:tcPr>
            <w:tcW w:w="1275" w:type="dxa"/>
            <w:tcBorders>
              <w:bottom w:val="single" w:sz="4" w:space="0" w:color="auto"/>
            </w:tcBorders>
            <w:shd w:val="clear" w:color="auto" w:fill="auto"/>
            <w:vAlign w:val="center"/>
          </w:tcPr>
          <w:p w:rsidR="00B910D1" w:rsidRPr="007A70FB" w:rsidRDefault="00B910D1" w:rsidP="0028745C">
            <w:pPr>
              <w:pStyle w:val="KMC-Tabletext"/>
              <w:keepNext/>
              <w:keepLines/>
              <w:spacing w:before="20" w:after="20"/>
              <w:jc w:val="center"/>
              <w:rPr>
                <w:sz w:val="20"/>
              </w:rPr>
            </w:pPr>
            <w:r w:rsidRPr="007A70FB">
              <w:rPr>
                <w:sz w:val="20"/>
              </w:rPr>
              <w:t>FAS (ceritinib)</w:t>
            </w:r>
          </w:p>
        </w:tc>
        <w:tc>
          <w:tcPr>
            <w:tcW w:w="709" w:type="dxa"/>
            <w:tcBorders>
              <w:bottom w:val="single" w:sz="4" w:space="0" w:color="auto"/>
            </w:tcBorders>
            <w:shd w:val="clear" w:color="auto" w:fill="auto"/>
            <w:vAlign w:val="center"/>
          </w:tcPr>
          <w:p w:rsidR="00B910D1" w:rsidRPr="007A70FB" w:rsidRDefault="00B910D1" w:rsidP="0028745C">
            <w:pPr>
              <w:pStyle w:val="KMC-Tabletext"/>
              <w:keepNext/>
              <w:keepLines/>
              <w:spacing w:before="20" w:after="20"/>
              <w:jc w:val="center"/>
              <w:rPr>
                <w:i/>
                <w:sz w:val="20"/>
              </w:rPr>
            </w:pPr>
            <w:r w:rsidRPr="007A70FB">
              <w:rPr>
                <w:i/>
                <w:sz w:val="20"/>
              </w:rPr>
              <w:t>115</w:t>
            </w:r>
          </w:p>
        </w:tc>
        <w:tc>
          <w:tcPr>
            <w:tcW w:w="1134" w:type="dxa"/>
            <w:tcBorders>
              <w:bottom w:val="single" w:sz="4" w:space="0" w:color="auto"/>
            </w:tcBorders>
            <w:shd w:val="clear" w:color="auto" w:fill="auto"/>
            <w:vAlign w:val="center"/>
          </w:tcPr>
          <w:p w:rsidR="00B910D1" w:rsidRPr="007A70FB" w:rsidRDefault="00B910D1" w:rsidP="0028745C">
            <w:pPr>
              <w:pStyle w:val="KMC-Tabletext"/>
              <w:keepNext/>
              <w:keepLines/>
              <w:spacing w:before="20" w:after="20"/>
              <w:ind w:left="-21"/>
              <w:jc w:val="center"/>
              <w:rPr>
                <w:i/>
                <w:sz w:val="20"/>
              </w:rPr>
            </w:pPr>
            <w:r w:rsidRPr="007A70FB">
              <w:rPr>
                <w:i/>
                <w:sz w:val="20"/>
              </w:rPr>
              <w:t>IRC</w:t>
            </w:r>
          </w:p>
        </w:tc>
        <w:tc>
          <w:tcPr>
            <w:tcW w:w="1276" w:type="dxa"/>
            <w:tcBorders>
              <w:bottom w:val="single" w:sz="4" w:space="0" w:color="auto"/>
            </w:tcBorders>
            <w:shd w:val="clear" w:color="auto" w:fill="auto"/>
            <w:vAlign w:val="center"/>
          </w:tcPr>
          <w:p w:rsidR="00B910D1" w:rsidRPr="007A70FB" w:rsidRDefault="00B910D1" w:rsidP="0028745C">
            <w:pPr>
              <w:pStyle w:val="KMC-Tabletext"/>
              <w:keepNext/>
              <w:keepLines/>
              <w:spacing w:before="20" w:after="20"/>
              <w:ind w:left="-51" w:right="-90"/>
              <w:jc w:val="center"/>
              <w:rPr>
                <w:i/>
                <w:sz w:val="20"/>
              </w:rPr>
            </w:pPr>
            <w:r w:rsidRPr="007A70FB">
              <w:rPr>
                <w:i/>
                <w:sz w:val="20"/>
              </w:rPr>
              <w:t>45/115 (39.1) (30.2, 48.7)</w:t>
            </w:r>
          </w:p>
        </w:tc>
        <w:tc>
          <w:tcPr>
            <w:tcW w:w="709" w:type="dxa"/>
            <w:tcBorders>
              <w:bottom w:val="single" w:sz="4" w:space="0" w:color="auto"/>
            </w:tcBorders>
            <w:shd w:val="clear" w:color="auto" w:fill="auto"/>
            <w:vAlign w:val="center"/>
          </w:tcPr>
          <w:p w:rsidR="00B910D1" w:rsidRPr="007A70FB" w:rsidRDefault="00B910D1" w:rsidP="0028745C">
            <w:pPr>
              <w:pStyle w:val="KMC-Tabletext"/>
              <w:keepNext/>
              <w:keepLines/>
              <w:spacing w:before="20" w:after="20"/>
              <w:ind w:left="-65" w:right="-90"/>
              <w:jc w:val="center"/>
              <w:rPr>
                <w:i/>
                <w:sz w:val="20"/>
              </w:rPr>
            </w:pPr>
            <w:r w:rsidRPr="007A70FB">
              <w:rPr>
                <w:i/>
                <w:sz w:val="20"/>
              </w:rPr>
              <w:t>NR</w:t>
            </w:r>
          </w:p>
        </w:tc>
        <w:tc>
          <w:tcPr>
            <w:tcW w:w="1241" w:type="dxa"/>
            <w:tcBorders>
              <w:bottom w:val="single" w:sz="4" w:space="0" w:color="auto"/>
            </w:tcBorders>
            <w:shd w:val="clear" w:color="auto" w:fill="auto"/>
            <w:vAlign w:val="center"/>
          </w:tcPr>
          <w:p w:rsidR="00B910D1" w:rsidRPr="007A70FB" w:rsidRDefault="00B910D1" w:rsidP="0028745C">
            <w:pPr>
              <w:pStyle w:val="KMC-Tabletext"/>
              <w:keepNext/>
              <w:keepLines/>
              <w:spacing w:before="20" w:after="20"/>
              <w:ind w:left="-65" w:right="-90"/>
              <w:jc w:val="center"/>
              <w:rPr>
                <w:i/>
                <w:sz w:val="20"/>
              </w:rPr>
            </w:pPr>
            <w:r w:rsidRPr="007A70FB">
              <w:rPr>
                <w:i/>
                <w:sz w:val="20"/>
              </w:rPr>
              <w:t>NR</w:t>
            </w:r>
          </w:p>
        </w:tc>
        <w:tc>
          <w:tcPr>
            <w:tcW w:w="1118" w:type="dxa"/>
            <w:tcBorders>
              <w:bottom w:val="single" w:sz="4" w:space="0" w:color="auto"/>
            </w:tcBorders>
            <w:shd w:val="clear" w:color="auto" w:fill="auto"/>
            <w:vAlign w:val="center"/>
          </w:tcPr>
          <w:p w:rsidR="00B910D1" w:rsidRPr="007A70FB" w:rsidRDefault="00B910D1" w:rsidP="0028745C">
            <w:pPr>
              <w:pStyle w:val="KMC-Tabletext"/>
              <w:keepNext/>
              <w:keepLines/>
              <w:spacing w:before="20" w:after="20"/>
              <w:ind w:left="-65" w:right="-90"/>
              <w:jc w:val="center"/>
              <w:rPr>
                <w:sz w:val="20"/>
              </w:rPr>
            </w:pPr>
            <w:r w:rsidRPr="007A70FB">
              <w:rPr>
                <w:sz w:val="20"/>
              </w:rPr>
              <w:t>6.9 (5.4, 8.9)</w:t>
            </w:r>
          </w:p>
        </w:tc>
      </w:tr>
      <w:tr w:rsidR="00B910D1" w:rsidRPr="007A70FB" w:rsidTr="0028745C">
        <w:tc>
          <w:tcPr>
            <w:tcW w:w="1555" w:type="dxa"/>
            <w:tcBorders>
              <w:top w:val="nil"/>
              <w:bottom w:val="single" w:sz="4" w:space="0" w:color="auto"/>
            </w:tcBorders>
            <w:shd w:val="clear" w:color="auto" w:fill="auto"/>
            <w:vAlign w:val="center"/>
          </w:tcPr>
          <w:p w:rsidR="00B910D1" w:rsidRPr="007A70FB" w:rsidRDefault="00310AF0" w:rsidP="0028745C">
            <w:pPr>
              <w:pStyle w:val="KMC-Tabletext"/>
              <w:keepNext/>
              <w:keepLines/>
              <w:spacing w:before="20" w:after="20"/>
              <w:ind w:left="-73"/>
              <w:jc w:val="left"/>
              <w:rPr>
                <w:sz w:val="20"/>
              </w:rPr>
            </w:pPr>
            <w:r w:rsidRPr="007A70FB">
              <w:rPr>
                <w:sz w:val="20"/>
              </w:rPr>
              <w:t>ASCEND-9</w:t>
            </w:r>
            <w:r w:rsidR="0028745C" w:rsidRPr="007A70FB">
              <w:rPr>
                <w:sz w:val="20"/>
              </w:rPr>
              <w:br/>
            </w:r>
            <w:r w:rsidR="00B910D1" w:rsidRPr="007A70FB">
              <w:rPr>
                <w:sz w:val="20"/>
              </w:rPr>
              <w:t>(31 Jul 17)</w:t>
            </w:r>
          </w:p>
        </w:tc>
        <w:tc>
          <w:tcPr>
            <w:tcW w:w="1275" w:type="dxa"/>
            <w:tcBorders>
              <w:bottom w:val="single" w:sz="4" w:space="0" w:color="auto"/>
            </w:tcBorders>
            <w:shd w:val="clear" w:color="auto" w:fill="auto"/>
            <w:vAlign w:val="center"/>
          </w:tcPr>
          <w:p w:rsidR="00B910D1" w:rsidRPr="007A70FB" w:rsidRDefault="00B910D1" w:rsidP="0028745C">
            <w:pPr>
              <w:pStyle w:val="KMC-Tabletext"/>
              <w:keepNext/>
              <w:keepLines/>
              <w:spacing w:before="20" w:after="20"/>
              <w:jc w:val="center"/>
              <w:rPr>
                <w:sz w:val="20"/>
              </w:rPr>
            </w:pPr>
            <w:r w:rsidRPr="007A70FB">
              <w:rPr>
                <w:sz w:val="20"/>
              </w:rPr>
              <w:t>FAS</w:t>
            </w:r>
          </w:p>
        </w:tc>
        <w:tc>
          <w:tcPr>
            <w:tcW w:w="709" w:type="dxa"/>
            <w:tcBorders>
              <w:bottom w:val="single" w:sz="4" w:space="0" w:color="auto"/>
            </w:tcBorders>
            <w:shd w:val="clear" w:color="auto" w:fill="auto"/>
            <w:vAlign w:val="center"/>
          </w:tcPr>
          <w:p w:rsidR="00B910D1" w:rsidRPr="007A70FB" w:rsidRDefault="00B910D1" w:rsidP="0028745C">
            <w:pPr>
              <w:pStyle w:val="KMC-Tabletext"/>
              <w:keepNext/>
              <w:keepLines/>
              <w:spacing w:before="20" w:after="20"/>
              <w:jc w:val="center"/>
              <w:rPr>
                <w:sz w:val="20"/>
              </w:rPr>
            </w:pPr>
            <w:r w:rsidRPr="007A70FB">
              <w:rPr>
                <w:sz w:val="20"/>
              </w:rPr>
              <w:t>20</w:t>
            </w:r>
          </w:p>
        </w:tc>
        <w:tc>
          <w:tcPr>
            <w:tcW w:w="1134" w:type="dxa"/>
            <w:tcBorders>
              <w:bottom w:val="single" w:sz="4" w:space="0" w:color="auto"/>
            </w:tcBorders>
            <w:shd w:val="clear" w:color="auto" w:fill="auto"/>
            <w:vAlign w:val="center"/>
          </w:tcPr>
          <w:p w:rsidR="00B910D1" w:rsidRPr="007A70FB" w:rsidRDefault="00B910D1" w:rsidP="0028745C">
            <w:pPr>
              <w:pStyle w:val="KMC-Tabletext"/>
              <w:keepNext/>
              <w:keepLines/>
              <w:spacing w:before="20" w:after="20"/>
              <w:ind w:left="-21"/>
              <w:jc w:val="center"/>
              <w:rPr>
                <w:sz w:val="20"/>
              </w:rPr>
            </w:pPr>
            <w:r w:rsidRPr="007A70FB">
              <w:rPr>
                <w:sz w:val="20"/>
              </w:rPr>
              <w:t>Investigator</w:t>
            </w:r>
          </w:p>
        </w:tc>
        <w:tc>
          <w:tcPr>
            <w:tcW w:w="1276" w:type="dxa"/>
            <w:tcBorders>
              <w:bottom w:val="single" w:sz="4" w:space="0" w:color="auto"/>
            </w:tcBorders>
            <w:shd w:val="clear" w:color="auto" w:fill="auto"/>
            <w:vAlign w:val="center"/>
          </w:tcPr>
          <w:p w:rsidR="00B910D1" w:rsidRPr="007A70FB" w:rsidRDefault="00B910D1" w:rsidP="0028745C">
            <w:pPr>
              <w:pStyle w:val="KMC-Tabletext"/>
              <w:keepNext/>
              <w:keepLines/>
              <w:spacing w:before="20" w:after="20"/>
              <w:ind w:left="-51" w:right="-90"/>
              <w:jc w:val="center"/>
              <w:rPr>
                <w:sz w:val="20"/>
              </w:rPr>
            </w:pPr>
            <w:r w:rsidRPr="007A70FB">
              <w:rPr>
                <w:sz w:val="20"/>
              </w:rPr>
              <w:t xml:space="preserve">5/20 (25.0) </w:t>
            </w:r>
            <w:r w:rsidRPr="007A70FB">
              <w:rPr>
                <w:sz w:val="20"/>
              </w:rPr>
              <w:br/>
              <w:t>(8.7, 49.1)</w:t>
            </w:r>
          </w:p>
        </w:tc>
        <w:tc>
          <w:tcPr>
            <w:tcW w:w="709" w:type="dxa"/>
            <w:tcBorders>
              <w:bottom w:val="single" w:sz="4" w:space="0" w:color="auto"/>
            </w:tcBorders>
            <w:shd w:val="clear" w:color="auto" w:fill="auto"/>
            <w:vAlign w:val="center"/>
          </w:tcPr>
          <w:p w:rsidR="00B910D1" w:rsidRPr="007A70FB" w:rsidRDefault="00B910D1" w:rsidP="0028745C">
            <w:pPr>
              <w:pStyle w:val="KMC-Tabletext"/>
              <w:keepNext/>
              <w:keepLines/>
              <w:spacing w:before="20" w:after="20"/>
              <w:ind w:left="-65" w:right="-90"/>
              <w:jc w:val="center"/>
              <w:rPr>
                <w:i/>
                <w:sz w:val="20"/>
              </w:rPr>
            </w:pPr>
            <w:r w:rsidRPr="007A70FB">
              <w:rPr>
                <w:i/>
                <w:sz w:val="20"/>
              </w:rPr>
              <w:t>1/20 (5.0)</w:t>
            </w:r>
          </w:p>
        </w:tc>
        <w:tc>
          <w:tcPr>
            <w:tcW w:w="1241" w:type="dxa"/>
            <w:tcBorders>
              <w:bottom w:val="single" w:sz="4" w:space="0" w:color="auto"/>
            </w:tcBorders>
            <w:shd w:val="clear" w:color="auto" w:fill="auto"/>
            <w:vAlign w:val="center"/>
          </w:tcPr>
          <w:p w:rsidR="00B910D1" w:rsidRPr="007A70FB" w:rsidRDefault="00B910D1" w:rsidP="0028745C">
            <w:pPr>
              <w:pStyle w:val="KMC-Tabletext"/>
              <w:keepNext/>
              <w:keepLines/>
              <w:spacing w:before="20" w:after="20"/>
              <w:ind w:left="-65" w:right="-90"/>
              <w:jc w:val="center"/>
              <w:rPr>
                <w:i/>
                <w:sz w:val="20"/>
              </w:rPr>
            </w:pPr>
            <w:r w:rsidRPr="007A70FB">
              <w:rPr>
                <w:i/>
                <w:sz w:val="20"/>
              </w:rPr>
              <w:t>4/20 (20.0)</w:t>
            </w:r>
          </w:p>
        </w:tc>
        <w:tc>
          <w:tcPr>
            <w:tcW w:w="1118" w:type="dxa"/>
            <w:tcBorders>
              <w:bottom w:val="single" w:sz="4" w:space="0" w:color="auto"/>
            </w:tcBorders>
            <w:shd w:val="clear" w:color="auto" w:fill="auto"/>
            <w:vAlign w:val="center"/>
          </w:tcPr>
          <w:p w:rsidR="00B910D1" w:rsidRPr="007A70FB" w:rsidRDefault="00B910D1" w:rsidP="0028745C">
            <w:pPr>
              <w:pStyle w:val="KMC-Tabletext"/>
              <w:keepNext/>
              <w:keepLines/>
              <w:spacing w:before="20" w:after="20"/>
              <w:ind w:left="-65" w:right="-90"/>
              <w:jc w:val="center"/>
              <w:rPr>
                <w:sz w:val="20"/>
              </w:rPr>
            </w:pPr>
            <w:r w:rsidRPr="007A70FB">
              <w:rPr>
                <w:sz w:val="20"/>
              </w:rPr>
              <w:t>6.3 (3.5</w:t>
            </w:r>
            <w:r w:rsidRPr="007A70FB">
              <w:rPr>
                <w:rFonts w:ascii="Cambria Math" w:hAnsi="Cambria Math" w:cs="Cambria Math"/>
                <w:sz w:val="20"/>
              </w:rPr>
              <w:t xml:space="preserve">, </w:t>
            </w:r>
            <w:r w:rsidRPr="007A70FB">
              <w:rPr>
                <w:sz w:val="20"/>
              </w:rPr>
              <w:t>9.2)</w:t>
            </w:r>
          </w:p>
        </w:tc>
      </w:tr>
      <w:tr w:rsidR="00B910D1" w:rsidRPr="007A70FB" w:rsidTr="0028745C">
        <w:tc>
          <w:tcPr>
            <w:tcW w:w="1555" w:type="dxa"/>
            <w:tcBorders>
              <w:bottom w:val="single" w:sz="4" w:space="0" w:color="auto"/>
              <w:right w:val="nil"/>
            </w:tcBorders>
            <w:shd w:val="clear" w:color="auto" w:fill="auto"/>
            <w:vAlign w:val="center"/>
          </w:tcPr>
          <w:p w:rsidR="00B910D1" w:rsidRPr="007A70FB" w:rsidRDefault="00B910D1" w:rsidP="0028745C">
            <w:pPr>
              <w:pStyle w:val="KMC-Tabletext"/>
              <w:keepNext/>
              <w:keepLines/>
              <w:spacing w:before="20" w:after="20"/>
              <w:ind w:left="-73"/>
              <w:jc w:val="left"/>
              <w:rPr>
                <w:b/>
                <w:bCs w:val="0"/>
                <w:sz w:val="20"/>
              </w:rPr>
            </w:pPr>
            <w:r w:rsidRPr="007A70FB">
              <w:rPr>
                <w:b/>
                <w:bCs w:val="0"/>
                <w:sz w:val="20"/>
              </w:rPr>
              <w:t>Brigatinib</w:t>
            </w:r>
          </w:p>
        </w:tc>
        <w:tc>
          <w:tcPr>
            <w:tcW w:w="1275" w:type="dxa"/>
            <w:tcBorders>
              <w:left w:val="nil"/>
              <w:right w:val="nil"/>
            </w:tcBorders>
            <w:shd w:val="clear" w:color="auto" w:fill="auto"/>
            <w:vAlign w:val="center"/>
          </w:tcPr>
          <w:p w:rsidR="00B910D1" w:rsidRPr="007A70FB" w:rsidRDefault="00B910D1" w:rsidP="0028745C">
            <w:pPr>
              <w:pStyle w:val="KMC-Tabletext"/>
              <w:keepNext/>
              <w:keepLines/>
              <w:spacing w:before="20" w:after="20"/>
              <w:jc w:val="center"/>
              <w:rPr>
                <w:sz w:val="20"/>
              </w:rPr>
            </w:pPr>
          </w:p>
        </w:tc>
        <w:tc>
          <w:tcPr>
            <w:tcW w:w="709" w:type="dxa"/>
            <w:tcBorders>
              <w:left w:val="nil"/>
              <w:right w:val="nil"/>
            </w:tcBorders>
            <w:shd w:val="clear" w:color="auto" w:fill="auto"/>
            <w:vAlign w:val="center"/>
          </w:tcPr>
          <w:p w:rsidR="00B910D1" w:rsidRPr="007A70FB" w:rsidRDefault="00B910D1" w:rsidP="0028745C">
            <w:pPr>
              <w:pStyle w:val="KMC-Tabletext"/>
              <w:keepNext/>
              <w:keepLines/>
              <w:spacing w:before="20" w:after="20"/>
              <w:jc w:val="center"/>
              <w:rPr>
                <w:sz w:val="20"/>
              </w:rPr>
            </w:pPr>
          </w:p>
        </w:tc>
        <w:tc>
          <w:tcPr>
            <w:tcW w:w="1134" w:type="dxa"/>
            <w:tcBorders>
              <w:left w:val="nil"/>
              <w:right w:val="nil"/>
            </w:tcBorders>
            <w:shd w:val="clear" w:color="auto" w:fill="auto"/>
            <w:vAlign w:val="center"/>
          </w:tcPr>
          <w:p w:rsidR="00B910D1" w:rsidRPr="007A70FB" w:rsidRDefault="00B910D1" w:rsidP="0028745C">
            <w:pPr>
              <w:pStyle w:val="KMC-Tabletext"/>
              <w:keepNext/>
              <w:keepLines/>
              <w:spacing w:before="20" w:after="20"/>
              <w:ind w:left="-21"/>
              <w:jc w:val="center"/>
              <w:rPr>
                <w:sz w:val="20"/>
              </w:rPr>
            </w:pPr>
          </w:p>
        </w:tc>
        <w:tc>
          <w:tcPr>
            <w:tcW w:w="1276" w:type="dxa"/>
            <w:tcBorders>
              <w:left w:val="nil"/>
              <w:right w:val="nil"/>
            </w:tcBorders>
            <w:shd w:val="clear" w:color="auto" w:fill="auto"/>
            <w:vAlign w:val="center"/>
          </w:tcPr>
          <w:p w:rsidR="00B910D1" w:rsidRPr="007A70FB" w:rsidRDefault="00B910D1" w:rsidP="0028745C">
            <w:pPr>
              <w:pStyle w:val="KMC-Tabletext"/>
              <w:keepNext/>
              <w:keepLines/>
              <w:spacing w:before="20" w:after="20"/>
              <w:ind w:left="-51" w:right="-90"/>
              <w:jc w:val="center"/>
              <w:rPr>
                <w:sz w:val="20"/>
              </w:rPr>
            </w:pPr>
          </w:p>
        </w:tc>
        <w:tc>
          <w:tcPr>
            <w:tcW w:w="709" w:type="dxa"/>
            <w:tcBorders>
              <w:left w:val="nil"/>
              <w:right w:val="nil"/>
            </w:tcBorders>
            <w:shd w:val="clear" w:color="auto" w:fill="auto"/>
            <w:vAlign w:val="center"/>
          </w:tcPr>
          <w:p w:rsidR="00B910D1" w:rsidRPr="007A70FB" w:rsidRDefault="00B910D1" w:rsidP="0028745C">
            <w:pPr>
              <w:pStyle w:val="KMC-Tabletext"/>
              <w:keepNext/>
              <w:keepLines/>
              <w:spacing w:before="20" w:after="20"/>
              <w:ind w:left="-65" w:right="-90"/>
              <w:jc w:val="center"/>
              <w:rPr>
                <w:i/>
                <w:sz w:val="20"/>
              </w:rPr>
            </w:pPr>
          </w:p>
        </w:tc>
        <w:tc>
          <w:tcPr>
            <w:tcW w:w="1241" w:type="dxa"/>
            <w:tcBorders>
              <w:left w:val="nil"/>
            </w:tcBorders>
            <w:shd w:val="clear" w:color="auto" w:fill="auto"/>
            <w:vAlign w:val="center"/>
          </w:tcPr>
          <w:p w:rsidR="00B910D1" w:rsidRPr="007A70FB" w:rsidRDefault="00B910D1" w:rsidP="0028745C">
            <w:pPr>
              <w:pStyle w:val="KMC-Tabletext"/>
              <w:keepNext/>
              <w:keepLines/>
              <w:spacing w:before="20" w:after="20"/>
              <w:ind w:left="-65" w:right="-90"/>
              <w:jc w:val="center"/>
              <w:rPr>
                <w:i/>
                <w:sz w:val="20"/>
              </w:rPr>
            </w:pPr>
          </w:p>
        </w:tc>
        <w:tc>
          <w:tcPr>
            <w:tcW w:w="1118" w:type="dxa"/>
            <w:tcBorders>
              <w:left w:val="nil"/>
            </w:tcBorders>
            <w:vAlign w:val="center"/>
          </w:tcPr>
          <w:p w:rsidR="00B910D1" w:rsidRPr="007A70FB" w:rsidRDefault="00B910D1" w:rsidP="0028745C">
            <w:pPr>
              <w:pStyle w:val="KMC-Tabletext"/>
              <w:keepNext/>
              <w:keepLines/>
              <w:spacing w:before="20" w:after="20"/>
              <w:ind w:left="-65" w:right="-90"/>
              <w:jc w:val="center"/>
              <w:rPr>
                <w:sz w:val="20"/>
              </w:rPr>
            </w:pPr>
          </w:p>
        </w:tc>
      </w:tr>
      <w:tr w:rsidR="00B910D1" w:rsidRPr="007A70FB" w:rsidTr="0028745C">
        <w:tc>
          <w:tcPr>
            <w:tcW w:w="1555" w:type="dxa"/>
            <w:tcBorders>
              <w:bottom w:val="single" w:sz="4" w:space="0" w:color="auto"/>
            </w:tcBorders>
            <w:shd w:val="clear" w:color="auto" w:fill="auto"/>
            <w:vAlign w:val="center"/>
          </w:tcPr>
          <w:p w:rsidR="00B910D1" w:rsidRPr="007A70FB" w:rsidRDefault="00B910D1" w:rsidP="0028745C">
            <w:pPr>
              <w:pStyle w:val="KMC-Tabletext"/>
              <w:keepNext/>
              <w:keepLines/>
              <w:spacing w:before="20" w:after="20"/>
              <w:ind w:left="-73" w:right="-196"/>
              <w:jc w:val="left"/>
              <w:rPr>
                <w:sz w:val="20"/>
              </w:rPr>
            </w:pPr>
            <w:r w:rsidRPr="007A70FB">
              <w:rPr>
                <w:sz w:val="20"/>
              </w:rPr>
              <w:t>ALTA: 90-180 mg</w:t>
            </w:r>
            <w:r w:rsidR="00310AF0" w:rsidRPr="007A70FB">
              <w:rPr>
                <w:sz w:val="20"/>
              </w:rPr>
              <w:t xml:space="preserve"> </w:t>
            </w:r>
            <w:r w:rsidR="0028745C" w:rsidRPr="007A70FB">
              <w:rPr>
                <w:sz w:val="20"/>
              </w:rPr>
              <w:br/>
            </w:r>
            <w:r w:rsidR="00310AF0" w:rsidRPr="007A70FB">
              <w:rPr>
                <w:sz w:val="20"/>
              </w:rPr>
              <w:t>(21 Feb 17)</w:t>
            </w:r>
          </w:p>
        </w:tc>
        <w:tc>
          <w:tcPr>
            <w:tcW w:w="1275" w:type="dxa"/>
            <w:shd w:val="clear" w:color="auto" w:fill="auto"/>
            <w:vAlign w:val="center"/>
          </w:tcPr>
          <w:p w:rsidR="00B910D1" w:rsidRPr="007A70FB" w:rsidRDefault="00B910D1" w:rsidP="0028745C">
            <w:pPr>
              <w:pStyle w:val="KMC-Tabletext"/>
              <w:keepNext/>
              <w:keepLines/>
              <w:spacing w:before="20" w:after="20"/>
              <w:jc w:val="center"/>
              <w:rPr>
                <w:sz w:val="20"/>
              </w:rPr>
            </w:pPr>
            <w:r w:rsidRPr="007A70FB">
              <w:rPr>
                <w:sz w:val="20"/>
              </w:rPr>
              <w:t>ITT</w:t>
            </w:r>
          </w:p>
        </w:tc>
        <w:tc>
          <w:tcPr>
            <w:tcW w:w="709" w:type="dxa"/>
            <w:shd w:val="clear" w:color="auto" w:fill="auto"/>
            <w:vAlign w:val="center"/>
          </w:tcPr>
          <w:p w:rsidR="00B910D1" w:rsidRPr="007A70FB" w:rsidRDefault="00B910D1" w:rsidP="0028745C">
            <w:pPr>
              <w:pStyle w:val="KMC-Tabletext"/>
              <w:keepNext/>
              <w:keepLines/>
              <w:spacing w:before="20" w:after="20"/>
              <w:jc w:val="center"/>
              <w:rPr>
                <w:i/>
                <w:sz w:val="20"/>
              </w:rPr>
            </w:pPr>
            <w:r w:rsidRPr="007A70FB">
              <w:rPr>
                <w:i/>
                <w:sz w:val="20"/>
              </w:rPr>
              <w:t>110</w:t>
            </w:r>
          </w:p>
        </w:tc>
        <w:tc>
          <w:tcPr>
            <w:tcW w:w="1134" w:type="dxa"/>
            <w:shd w:val="clear" w:color="auto" w:fill="auto"/>
            <w:vAlign w:val="center"/>
          </w:tcPr>
          <w:p w:rsidR="00B910D1" w:rsidRPr="007A70FB" w:rsidRDefault="00B910D1" w:rsidP="0028745C">
            <w:pPr>
              <w:pStyle w:val="KMC-Tabletext"/>
              <w:keepNext/>
              <w:keepLines/>
              <w:spacing w:before="20" w:after="20"/>
              <w:ind w:left="-21"/>
              <w:jc w:val="center"/>
              <w:rPr>
                <w:i/>
                <w:sz w:val="20"/>
              </w:rPr>
            </w:pPr>
            <w:r w:rsidRPr="007A70FB">
              <w:rPr>
                <w:i/>
                <w:sz w:val="20"/>
              </w:rPr>
              <w:t>IRC</w:t>
            </w:r>
          </w:p>
        </w:tc>
        <w:tc>
          <w:tcPr>
            <w:tcW w:w="1276" w:type="dxa"/>
            <w:shd w:val="clear" w:color="auto" w:fill="auto"/>
            <w:vAlign w:val="center"/>
          </w:tcPr>
          <w:p w:rsidR="00B910D1" w:rsidRPr="007A70FB" w:rsidRDefault="00B910D1" w:rsidP="0028745C">
            <w:pPr>
              <w:pStyle w:val="KMC-Tabletext"/>
              <w:keepNext/>
              <w:keepLines/>
              <w:spacing w:before="20" w:after="20"/>
              <w:ind w:left="-51" w:right="-90"/>
              <w:jc w:val="center"/>
              <w:rPr>
                <w:i/>
                <w:sz w:val="20"/>
              </w:rPr>
            </w:pPr>
            <w:r w:rsidRPr="007A70FB">
              <w:rPr>
                <w:i/>
                <w:sz w:val="20"/>
              </w:rPr>
              <w:t xml:space="preserve">60/110 (55) </w:t>
            </w:r>
            <w:r w:rsidRPr="007A70FB">
              <w:rPr>
                <w:i/>
                <w:sz w:val="20"/>
              </w:rPr>
              <w:br/>
              <w:t>(45, 64)</w:t>
            </w:r>
          </w:p>
        </w:tc>
        <w:tc>
          <w:tcPr>
            <w:tcW w:w="709" w:type="dxa"/>
            <w:shd w:val="clear" w:color="auto" w:fill="auto"/>
            <w:vAlign w:val="center"/>
          </w:tcPr>
          <w:p w:rsidR="00B910D1" w:rsidRPr="007A70FB" w:rsidRDefault="00B910D1" w:rsidP="0028745C">
            <w:pPr>
              <w:pStyle w:val="KMC-Tabletext"/>
              <w:keepNext/>
              <w:keepLines/>
              <w:spacing w:before="20" w:after="20"/>
              <w:ind w:left="-65" w:right="-90"/>
              <w:jc w:val="center"/>
              <w:rPr>
                <w:i/>
                <w:sz w:val="20"/>
              </w:rPr>
            </w:pPr>
            <w:r w:rsidRPr="007A70FB">
              <w:rPr>
                <w:i/>
                <w:sz w:val="20"/>
              </w:rPr>
              <w:t>NR</w:t>
            </w:r>
          </w:p>
        </w:tc>
        <w:tc>
          <w:tcPr>
            <w:tcW w:w="1241" w:type="dxa"/>
            <w:shd w:val="clear" w:color="auto" w:fill="auto"/>
            <w:vAlign w:val="center"/>
          </w:tcPr>
          <w:p w:rsidR="00B910D1" w:rsidRPr="007A70FB" w:rsidRDefault="00B910D1" w:rsidP="0028745C">
            <w:pPr>
              <w:pStyle w:val="KMC-Tabletext"/>
              <w:keepNext/>
              <w:keepLines/>
              <w:spacing w:before="20" w:after="20"/>
              <w:ind w:left="-65" w:right="-90"/>
              <w:jc w:val="center"/>
              <w:rPr>
                <w:i/>
                <w:sz w:val="20"/>
              </w:rPr>
            </w:pPr>
            <w:r w:rsidRPr="007A70FB">
              <w:rPr>
                <w:i/>
                <w:sz w:val="20"/>
              </w:rPr>
              <w:t>NR</w:t>
            </w:r>
          </w:p>
        </w:tc>
        <w:tc>
          <w:tcPr>
            <w:tcW w:w="1118" w:type="dxa"/>
            <w:shd w:val="clear" w:color="auto" w:fill="auto"/>
            <w:vAlign w:val="center"/>
          </w:tcPr>
          <w:p w:rsidR="00B910D1" w:rsidRPr="007A70FB" w:rsidRDefault="00B910D1" w:rsidP="0028745C">
            <w:pPr>
              <w:pStyle w:val="KMC-Tabletext"/>
              <w:keepNext/>
              <w:keepLines/>
              <w:spacing w:before="20" w:after="20"/>
              <w:ind w:left="-65" w:right="-90"/>
              <w:jc w:val="center"/>
              <w:rPr>
                <w:i/>
                <w:sz w:val="20"/>
              </w:rPr>
            </w:pPr>
            <w:r w:rsidRPr="007A70FB">
              <w:rPr>
                <w:i/>
                <w:sz w:val="20"/>
              </w:rPr>
              <w:t xml:space="preserve">14.8 </w:t>
            </w:r>
            <w:r w:rsidR="0028745C" w:rsidRPr="007A70FB">
              <w:rPr>
                <w:i/>
                <w:sz w:val="20"/>
              </w:rPr>
              <w:br/>
            </w:r>
            <w:r w:rsidRPr="007A70FB">
              <w:rPr>
                <w:i/>
                <w:sz w:val="20"/>
              </w:rPr>
              <w:t>(12.6, NR)</w:t>
            </w:r>
          </w:p>
        </w:tc>
      </w:tr>
      <w:tr w:rsidR="00B910D1" w:rsidRPr="007A70FB" w:rsidTr="0028745C">
        <w:tc>
          <w:tcPr>
            <w:tcW w:w="1555" w:type="dxa"/>
            <w:tcBorders>
              <w:bottom w:val="nil"/>
            </w:tcBorders>
            <w:shd w:val="clear" w:color="auto" w:fill="auto"/>
            <w:vAlign w:val="center"/>
          </w:tcPr>
          <w:p w:rsidR="00B910D1" w:rsidRPr="007A70FB" w:rsidRDefault="00B910D1" w:rsidP="0028745C">
            <w:pPr>
              <w:pStyle w:val="KMC-Tabletext"/>
              <w:keepNext/>
              <w:keepLines/>
              <w:spacing w:before="20" w:after="20"/>
              <w:ind w:left="-73"/>
              <w:jc w:val="left"/>
              <w:rPr>
                <w:sz w:val="20"/>
              </w:rPr>
            </w:pPr>
            <w:r w:rsidRPr="007A70FB">
              <w:rPr>
                <w:sz w:val="20"/>
              </w:rPr>
              <w:t>Gettinger 2016</w:t>
            </w:r>
          </w:p>
        </w:tc>
        <w:tc>
          <w:tcPr>
            <w:tcW w:w="1275" w:type="dxa"/>
            <w:shd w:val="clear" w:color="auto" w:fill="auto"/>
            <w:vAlign w:val="center"/>
          </w:tcPr>
          <w:p w:rsidR="00B910D1" w:rsidRPr="007A70FB" w:rsidRDefault="00B910D1" w:rsidP="0028745C">
            <w:pPr>
              <w:pStyle w:val="KMC-Tabletext"/>
              <w:keepNext/>
              <w:keepLines/>
              <w:spacing w:before="20" w:after="20"/>
              <w:jc w:val="center"/>
              <w:rPr>
                <w:sz w:val="20"/>
              </w:rPr>
            </w:pPr>
            <w:r w:rsidRPr="007A70FB">
              <w:rPr>
                <w:sz w:val="20"/>
              </w:rPr>
              <w:t>FAS</w:t>
            </w:r>
          </w:p>
        </w:tc>
        <w:tc>
          <w:tcPr>
            <w:tcW w:w="709" w:type="dxa"/>
            <w:shd w:val="clear" w:color="auto" w:fill="auto"/>
            <w:vAlign w:val="center"/>
          </w:tcPr>
          <w:p w:rsidR="00B910D1" w:rsidRPr="007A70FB" w:rsidRDefault="00B910D1" w:rsidP="0028745C">
            <w:pPr>
              <w:pStyle w:val="KMC-Tabletext"/>
              <w:keepNext/>
              <w:keepLines/>
              <w:spacing w:before="20" w:after="20"/>
              <w:ind w:left="-21"/>
              <w:jc w:val="center"/>
              <w:rPr>
                <w:sz w:val="20"/>
              </w:rPr>
            </w:pPr>
            <w:r w:rsidRPr="007A70FB">
              <w:rPr>
                <w:sz w:val="20"/>
              </w:rPr>
              <w:t>71</w:t>
            </w:r>
            <w:r w:rsidRPr="007A70FB">
              <w:rPr>
                <w:sz w:val="20"/>
                <w:vertAlign w:val="superscript"/>
              </w:rPr>
              <w:t>a</w:t>
            </w:r>
          </w:p>
        </w:tc>
        <w:tc>
          <w:tcPr>
            <w:tcW w:w="1134" w:type="dxa"/>
            <w:shd w:val="clear" w:color="auto" w:fill="auto"/>
            <w:vAlign w:val="center"/>
          </w:tcPr>
          <w:p w:rsidR="00B910D1" w:rsidRPr="007A70FB" w:rsidRDefault="00B910D1" w:rsidP="0028745C">
            <w:pPr>
              <w:pStyle w:val="KMC-Tabletext"/>
              <w:keepNext/>
              <w:keepLines/>
              <w:spacing w:before="20" w:after="20"/>
              <w:ind w:left="-21"/>
              <w:jc w:val="center"/>
              <w:rPr>
                <w:sz w:val="20"/>
              </w:rPr>
            </w:pPr>
            <w:r w:rsidRPr="007A70FB">
              <w:rPr>
                <w:sz w:val="20"/>
              </w:rPr>
              <w:t>IRC</w:t>
            </w:r>
          </w:p>
        </w:tc>
        <w:tc>
          <w:tcPr>
            <w:tcW w:w="1276" w:type="dxa"/>
            <w:shd w:val="clear" w:color="auto" w:fill="auto"/>
            <w:vAlign w:val="center"/>
          </w:tcPr>
          <w:p w:rsidR="00B910D1" w:rsidRPr="007A70FB" w:rsidRDefault="00B910D1" w:rsidP="0028745C">
            <w:pPr>
              <w:pStyle w:val="KMC-Tabletext"/>
              <w:keepNext/>
              <w:keepLines/>
              <w:spacing w:before="20" w:after="20"/>
              <w:ind w:left="-51" w:right="-90"/>
              <w:jc w:val="center"/>
              <w:rPr>
                <w:sz w:val="20"/>
              </w:rPr>
            </w:pPr>
            <w:r w:rsidRPr="007A70FB">
              <w:rPr>
                <w:sz w:val="20"/>
              </w:rPr>
              <w:t xml:space="preserve">45/71 (63) </w:t>
            </w:r>
            <w:r w:rsidRPr="007A70FB">
              <w:rPr>
                <w:sz w:val="20"/>
              </w:rPr>
              <w:br/>
              <w:t>(51, 75)</w:t>
            </w:r>
          </w:p>
        </w:tc>
        <w:tc>
          <w:tcPr>
            <w:tcW w:w="709" w:type="dxa"/>
            <w:shd w:val="clear" w:color="auto" w:fill="auto"/>
            <w:vAlign w:val="center"/>
          </w:tcPr>
          <w:p w:rsidR="00B910D1" w:rsidRPr="007A70FB" w:rsidRDefault="00B910D1" w:rsidP="0028745C">
            <w:pPr>
              <w:pStyle w:val="KMC-Tabletext"/>
              <w:keepNext/>
              <w:keepLines/>
              <w:spacing w:before="20" w:after="20"/>
              <w:ind w:left="-65" w:right="-90"/>
              <w:jc w:val="center"/>
              <w:rPr>
                <w:i/>
                <w:sz w:val="20"/>
              </w:rPr>
            </w:pPr>
            <w:r w:rsidRPr="007A70FB">
              <w:rPr>
                <w:i/>
                <w:sz w:val="20"/>
              </w:rPr>
              <w:t>NR</w:t>
            </w:r>
          </w:p>
        </w:tc>
        <w:tc>
          <w:tcPr>
            <w:tcW w:w="1241" w:type="dxa"/>
            <w:shd w:val="clear" w:color="auto" w:fill="auto"/>
            <w:vAlign w:val="center"/>
          </w:tcPr>
          <w:p w:rsidR="00B910D1" w:rsidRPr="007A70FB" w:rsidRDefault="00B910D1" w:rsidP="0028745C">
            <w:pPr>
              <w:pStyle w:val="KMC-Tabletext"/>
              <w:keepNext/>
              <w:keepLines/>
              <w:spacing w:before="20" w:after="20"/>
              <w:ind w:left="-65" w:right="-90"/>
              <w:jc w:val="center"/>
              <w:rPr>
                <w:i/>
                <w:sz w:val="20"/>
              </w:rPr>
            </w:pPr>
            <w:r w:rsidRPr="007A70FB">
              <w:rPr>
                <w:i/>
                <w:sz w:val="20"/>
              </w:rPr>
              <w:t>NR</w:t>
            </w:r>
          </w:p>
        </w:tc>
        <w:tc>
          <w:tcPr>
            <w:tcW w:w="1118" w:type="dxa"/>
            <w:vAlign w:val="center"/>
          </w:tcPr>
          <w:p w:rsidR="00B910D1" w:rsidRPr="007A70FB" w:rsidRDefault="00B910D1" w:rsidP="0028745C">
            <w:pPr>
              <w:pStyle w:val="KMC-Tabletext"/>
              <w:keepNext/>
              <w:keepLines/>
              <w:spacing w:before="20" w:after="20"/>
              <w:ind w:left="-65" w:right="-90"/>
              <w:jc w:val="center"/>
              <w:rPr>
                <w:sz w:val="20"/>
              </w:rPr>
            </w:pPr>
            <w:r w:rsidRPr="007A70FB">
              <w:rPr>
                <w:sz w:val="20"/>
              </w:rPr>
              <w:t xml:space="preserve">14.5 </w:t>
            </w:r>
            <w:r w:rsidR="0028745C" w:rsidRPr="007A70FB">
              <w:rPr>
                <w:sz w:val="20"/>
              </w:rPr>
              <w:br/>
            </w:r>
            <w:r w:rsidRPr="007A70FB">
              <w:rPr>
                <w:sz w:val="20"/>
              </w:rPr>
              <w:t>(9.0</w:t>
            </w:r>
            <w:r w:rsidR="003C73EF" w:rsidRPr="007A70FB">
              <w:rPr>
                <w:sz w:val="20"/>
              </w:rPr>
              <w:t xml:space="preserve">, </w:t>
            </w:r>
            <w:r w:rsidRPr="007A70FB">
              <w:rPr>
                <w:sz w:val="20"/>
              </w:rPr>
              <w:t>26.1)</w:t>
            </w:r>
          </w:p>
        </w:tc>
      </w:tr>
      <w:tr w:rsidR="00B910D1" w:rsidRPr="007A70FB" w:rsidTr="0028745C">
        <w:tc>
          <w:tcPr>
            <w:tcW w:w="1555" w:type="dxa"/>
            <w:tcBorders>
              <w:top w:val="nil"/>
              <w:bottom w:val="single" w:sz="4" w:space="0" w:color="auto"/>
            </w:tcBorders>
            <w:shd w:val="clear" w:color="auto" w:fill="auto"/>
            <w:vAlign w:val="center"/>
          </w:tcPr>
          <w:p w:rsidR="00B910D1" w:rsidRPr="007A70FB" w:rsidRDefault="00310AF0" w:rsidP="0028745C">
            <w:pPr>
              <w:pStyle w:val="KMC-Tabletext"/>
              <w:keepNext/>
              <w:keepLines/>
              <w:spacing w:before="20" w:after="20"/>
              <w:ind w:left="-73"/>
              <w:jc w:val="left"/>
              <w:rPr>
                <w:sz w:val="20"/>
              </w:rPr>
            </w:pPr>
            <w:r w:rsidRPr="007A70FB">
              <w:rPr>
                <w:sz w:val="20"/>
              </w:rPr>
              <w:t>(21 Feb 17)</w:t>
            </w:r>
          </w:p>
        </w:tc>
        <w:tc>
          <w:tcPr>
            <w:tcW w:w="1275" w:type="dxa"/>
            <w:shd w:val="clear" w:color="auto" w:fill="auto"/>
            <w:vAlign w:val="center"/>
          </w:tcPr>
          <w:p w:rsidR="00B910D1" w:rsidRPr="007A70FB" w:rsidRDefault="00B910D1" w:rsidP="0028745C">
            <w:pPr>
              <w:pStyle w:val="KMC-Tabletext"/>
              <w:keepNext/>
              <w:keepLines/>
              <w:spacing w:before="20" w:after="20"/>
              <w:ind w:right="-105"/>
              <w:jc w:val="center"/>
              <w:rPr>
                <w:sz w:val="20"/>
              </w:rPr>
            </w:pPr>
            <w:r w:rsidRPr="007A70FB">
              <w:rPr>
                <w:sz w:val="20"/>
              </w:rPr>
              <w:t>FAS, 90→180 mg QD</w:t>
            </w:r>
          </w:p>
        </w:tc>
        <w:tc>
          <w:tcPr>
            <w:tcW w:w="709" w:type="dxa"/>
            <w:shd w:val="clear" w:color="auto" w:fill="auto"/>
            <w:vAlign w:val="center"/>
          </w:tcPr>
          <w:p w:rsidR="00B910D1" w:rsidRPr="007A70FB" w:rsidRDefault="00B910D1" w:rsidP="0028745C">
            <w:pPr>
              <w:pStyle w:val="KMC-Tabletext"/>
              <w:keepNext/>
              <w:keepLines/>
              <w:spacing w:before="20" w:after="20"/>
              <w:jc w:val="center"/>
              <w:rPr>
                <w:sz w:val="20"/>
              </w:rPr>
            </w:pPr>
            <w:r w:rsidRPr="007A70FB">
              <w:rPr>
                <w:sz w:val="20"/>
              </w:rPr>
              <w:t>25</w:t>
            </w:r>
          </w:p>
        </w:tc>
        <w:tc>
          <w:tcPr>
            <w:tcW w:w="1134" w:type="dxa"/>
            <w:shd w:val="clear" w:color="auto" w:fill="auto"/>
            <w:vAlign w:val="center"/>
          </w:tcPr>
          <w:p w:rsidR="00B910D1" w:rsidRPr="007A70FB" w:rsidRDefault="00B910D1" w:rsidP="0028745C">
            <w:pPr>
              <w:pStyle w:val="KMC-Tabletext"/>
              <w:keepNext/>
              <w:keepLines/>
              <w:spacing w:before="20" w:after="20"/>
              <w:ind w:left="-21"/>
              <w:jc w:val="center"/>
              <w:rPr>
                <w:sz w:val="20"/>
              </w:rPr>
            </w:pPr>
            <w:r w:rsidRPr="007A70FB">
              <w:rPr>
                <w:sz w:val="20"/>
              </w:rPr>
              <w:t>IRC</w:t>
            </w:r>
          </w:p>
        </w:tc>
        <w:tc>
          <w:tcPr>
            <w:tcW w:w="1276" w:type="dxa"/>
            <w:shd w:val="clear" w:color="auto" w:fill="auto"/>
            <w:vAlign w:val="center"/>
          </w:tcPr>
          <w:p w:rsidR="00B910D1" w:rsidRPr="007A70FB" w:rsidRDefault="00B910D1" w:rsidP="0028745C">
            <w:pPr>
              <w:pStyle w:val="KMC-Tabletext"/>
              <w:keepNext/>
              <w:keepLines/>
              <w:spacing w:before="20" w:after="20"/>
              <w:ind w:left="-51" w:right="-90"/>
              <w:jc w:val="center"/>
              <w:rPr>
                <w:sz w:val="20"/>
              </w:rPr>
            </w:pPr>
            <w:r w:rsidRPr="007A70FB">
              <w:rPr>
                <w:sz w:val="20"/>
              </w:rPr>
              <w:t xml:space="preserve">19/25 (76) </w:t>
            </w:r>
            <w:r w:rsidRPr="007A70FB">
              <w:rPr>
                <w:sz w:val="20"/>
              </w:rPr>
              <w:br/>
              <w:t>(55, 91)</w:t>
            </w:r>
          </w:p>
        </w:tc>
        <w:tc>
          <w:tcPr>
            <w:tcW w:w="709" w:type="dxa"/>
            <w:shd w:val="clear" w:color="auto" w:fill="auto"/>
            <w:vAlign w:val="center"/>
          </w:tcPr>
          <w:p w:rsidR="00B910D1" w:rsidRPr="007A70FB" w:rsidRDefault="00B910D1" w:rsidP="0028745C">
            <w:pPr>
              <w:pStyle w:val="KMC-Tabletext"/>
              <w:keepNext/>
              <w:keepLines/>
              <w:spacing w:before="20" w:after="20"/>
              <w:ind w:left="-65" w:right="-90"/>
              <w:jc w:val="center"/>
              <w:rPr>
                <w:i/>
                <w:sz w:val="20"/>
              </w:rPr>
            </w:pPr>
            <w:r w:rsidRPr="007A70FB">
              <w:rPr>
                <w:i/>
                <w:sz w:val="20"/>
              </w:rPr>
              <w:t>NR</w:t>
            </w:r>
          </w:p>
        </w:tc>
        <w:tc>
          <w:tcPr>
            <w:tcW w:w="1241" w:type="dxa"/>
            <w:shd w:val="clear" w:color="auto" w:fill="auto"/>
            <w:vAlign w:val="center"/>
          </w:tcPr>
          <w:p w:rsidR="00B910D1" w:rsidRPr="007A70FB" w:rsidRDefault="00B910D1" w:rsidP="0028745C">
            <w:pPr>
              <w:pStyle w:val="KMC-Tabletext"/>
              <w:keepNext/>
              <w:keepLines/>
              <w:spacing w:before="20" w:after="20"/>
              <w:ind w:left="-65" w:right="-90"/>
              <w:jc w:val="center"/>
              <w:rPr>
                <w:i/>
                <w:sz w:val="20"/>
              </w:rPr>
            </w:pPr>
            <w:r w:rsidRPr="007A70FB">
              <w:rPr>
                <w:i/>
                <w:sz w:val="20"/>
              </w:rPr>
              <w:t>NR</w:t>
            </w:r>
          </w:p>
        </w:tc>
        <w:tc>
          <w:tcPr>
            <w:tcW w:w="1118" w:type="dxa"/>
            <w:vAlign w:val="center"/>
          </w:tcPr>
          <w:p w:rsidR="00B910D1" w:rsidRPr="007A70FB" w:rsidRDefault="00B910D1" w:rsidP="0028745C">
            <w:pPr>
              <w:pStyle w:val="KMC-Tabletext"/>
              <w:keepNext/>
              <w:keepLines/>
              <w:spacing w:before="20" w:after="20"/>
              <w:ind w:left="-65" w:right="-90"/>
              <w:jc w:val="center"/>
              <w:rPr>
                <w:sz w:val="20"/>
              </w:rPr>
            </w:pPr>
            <w:r w:rsidRPr="007A70FB">
              <w:rPr>
                <w:sz w:val="20"/>
              </w:rPr>
              <w:t xml:space="preserve">14.9 </w:t>
            </w:r>
            <w:r w:rsidR="0028745C" w:rsidRPr="007A70FB">
              <w:rPr>
                <w:sz w:val="20"/>
              </w:rPr>
              <w:br/>
            </w:r>
            <w:r w:rsidRPr="007A70FB">
              <w:rPr>
                <w:sz w:val="20"/>
              </w:rPr>
              <w:t>(7.9</w:t>
            </w:r>
            <w:r w:rsidR="003C73EF" w:rsidRPr="007A70FB">
              <w:rPr>
                <w:sz w:val="20"/>
              </w:rPr>
              <w:t xml:space="preserve">, </w:t>
            </w:r>
            <w:r w:rsidRPr="007A70FB">
              <w:rPr>
                <w:sz w:val="20"/>
              </w:rPr>
              <w:t>33.3)</w:t>
            </w:r>
          </w:p>
        </w:tc>
      </w:tr>
    </w:tbl>
    <w:p w:rsidR="00B910D1" w:rsidRPr="007A70FB" w:rsidRDefault="00B910D1" w:rsidP="00916D19">
      <w:pPr>
        <w:pStyle w:val="TableFooter"/>
        <w:keepNext/>
        <w:keepLines/>
        <w:widowControl/>
      </w:pPr>
      <w:r w:rsidRPr="007A70FB">
        <w:t xml:space="preserve">Abbreviations: CI = confidence interval; CR = complete response; DOR = duration of response; FAS = full analysis set; IRC = independent review committee; NE = not evaluable; NR = not reported; ORR = objective response rate; PP = per protocol; PR = partial response; RE = response evaluable. </w:t>
      </w:r>
    </w:p>
    <w:p w:rsidR="00CB0D6E" w:rsidRPr="007A70FB" w:rsidRDefault="00CB0D6E" w:rsidP="00916D19">
      <w:pPr>
        <w:pStyle w:val="TableFooter"/>
        <w:keepNext/>
        <w:keepLines/>
        <w:widowControl/>
      </w:pPr>
      <w:r w:rsidRPr="007A70FB">
        <w:t xml:space="preserve">Note: </w:t>
      </w:r>
      <w:r w:rsidRPr="007A70FB">
        <w:rPr>
          <w:iCs/>
        </w:rPr>
        <w:t>Figure</w:t>
      </w:r>
      <w:r w:rsidR="000D7E2F" w:rsidRPr="007A70FB">
        <w:rPr>
          <w:iCs/>
        </w:rPr>
        <w:t>s</w:t>
      </w:r>
      <w:r w:rsidRPr="007A70FB">
        <w:rPr>
          <w:iCs/>
        </w:rPr>
        <w:t xml:space="preserve"> in italics</w:t>
      </w:r>
      <w:r w:rsidR="000D7E2F" w:rsidRPr="007A70FB">
        <w:rPr>
          <w:iCs/>
        </w:rPr>
        <w:t xml:space="preserve"> were </w:t>
      </w:r>
      <w:r w:rsidRPr="007A70FB">
        <w:rPr>
          <w:iCs/>
        </w:rPr>
        <w:t>extracted during evaluation</w:t>
      </w:r>
      <w:r w:rsidR="008B4F81" w:rsidRPr="007A70FB">
        <w:rPr>
          <w:i/>
          <w:iCs/>
        </w:rPr>
        <w:t>.</w:t>
      </w:r>
      <w:r w:rsidRPr="007A70FB">
        <w:t xml:space="preserve"> </w:t>
      </w:r>
    </w:p>
    <w:p w:rsidR="0028745C" w:rsidRPr="007A70FB" w:rsidRDefault="00B910D1" w:rsidP="0028745C">
      <w:pPr>
        <w:pStyle w:val="TableFooter"/>
        <w:keepNext/>
        <w:keepLines/>
        <w:widowControl/>
        <w:tabs>
          <w:tab w:val="left" w:pos="7960"/>
        </w:tabs>
      </w:pPr>
      <w:r w:rsidRPr="007A70FB">
        <w:rPr>
          <w:vertAlign w:val="superscript"/>
        </w:rPr>
        <w:t>a</w:t>
      </w:r>
      <w:r w:rsidRPr="007A70FB">
        <w:t xml:space="preserve"> NSCLC cohort (Phase I/II): (N=79), but analysis dropped 8 patients that were crizotinib </w:t>
      </w:r>
      <w:r w:rsidR="0028745C" w:rsidRPr="007A70FB">
        <w:t>naïve.</w:t>
      </w:r>
    </w:p>
    <w:p w:rsidR="007110AB" w:rsidRPr="007A70FB" w:rsidRDefault="00B910D1" w:rsidP="0028745C">
      <w:pPr>
        <w:pStyle w:val="TableFooter"/>
        <w:keepNext/>
        <w:keepLines/>
        <w:widowControl/>
        <w:tabs>
          <w:tab w:val="left" w:pos="7960"/>
        </w:tabs>
      </w:pPr>
      <w:r w:rsidRPr="007A70FB">
        <w:t xml:space="preserve">Source: </w:t>
      </w:r>
      <w:r w:rsidR="00916D19" w:rsidRPr="007A70FB">
        <w:t xml:space="preserve">Study 1001, Table 2.5.1 pp117-118, Table 2.5.3 p123, Table 2.5.7 p131, </w:t>
      </w:r>
      <w:r w:rsidR="00DE30D6" w:rsidRPr="007A70FB">
        <w:t>Figure</w:t>
      </w:r>
      <w:r w:rsidR="00916D19" w:rsidRPr="007A70FB">
        <w:t xml:space="preserve"> 2.5.4, Figure 2.5.5, Figure 2.5.6 pp132-133 of the submission; Appendix C, Table 8 p14 and T</w:t>
      </w:r>
      <w:r w:rsidR="0028745C" w:rsidRPr="007A70FB">
        <w:t xml:space="preserve">able 10 p17 of the submission; </w:t>
      </w:r>
      <w:r w:rsidR="00916D19" w:rsidRPr="007A70FB">
        <w:t>NP28761, Shaw 2016 p238; NP28673, Barlesi 2016 (abstract), Yang 2017 p1553; Ou 2016 supplement Table S3 p16; ASCEND-1, Kim 2016 Table 2 p455, appendix table 5; ASCEND-9, Hida 2018 Table 2 p</w:t>
      </w:r>
      <w:r w:rsidR="0028745C" w:rsidRPr="007A70FB">
        <w:t>2867; ALTA, Ahn 2017, abstract.</w:t>
      </w:r>
      <w:r w:rsidRPr="007A70FB">
        <w:t xml:space="preserve"> </w:t>
      </w:r>
    </w:p>
    <w:p w:rsidR="004F3006" w:rsidRPr="007A70FB" w:rsidRDefault="004F3006" w:rsidP="00903E55">
      <w:pPr>
        <w:pStyle w:val="TableFooter"/>
        <w:widowControl/>
        <w:rPr>
          <w:iCs/>
        </w:rPr>
      </w:pPr>
    </w:p>
    <w:p w:rsidR="007110AB" w:rsidRPr="007A70FB" w:rsidRDefault="007110AB" w:rsidP="0055224F">
      <w:pPr>
        <w:pStyle w:val="Caption"/>
        <w:keepNext/>
        <w:spacing w:after="0"/>
        <w:rPr>
          <w:rStyle w:val="CommentReference"/>
          <w:b/>
          <w:szCs w:val="20"/>
        </w:rPr>
      </w:pPr>
      <w:bookmarkStart w:id="27" w:name="_Ref20494814"/>
      <w:r w:rsidRPr="007A70FB">
        <w:rPr>
          <w:rStyle w:val="CommentReference"/>
          <w:b/>
          <w:szCs w:val="20"/>
        </w:rPr>
        <w:lastRenderedPageBreak/>
        <w:t xml:space="preserve">Table </w:t>
      </w:r>
      <w:r w:rsidR="008267CB" w:rsidRPr="007A70FB">
        <w:rPr>
          <w:rStyle w:val="CommentReference"/>
          <w:b/>
          <w:szCs w:val="20"/>
        </w:rPr>
        <w:t>6</w:t>
      </w:r>
      <w:bookmarkEnd w:id="27"/>
      <w:r w:rsidRPr="007A70FB">
        <w:rPr>
          <w:rStyle w:val="CommentReference"/>
          <w:b/>
          <w:szCs w:val="20"/>
        </w:rPr>
        <w:t xml:space="preserve">: Results of IRC assessed IC-ORR across the studies in patients </w:t>
      </w:r>
      <w:r w:rsidR="00542E5E" w:rsidRPr="007A70FB">
        <w:rPr>
          <w:rStyle w:val="CommentReference"/>
          <w:b/>
          <w:szCs w:val="20"/>
        </w:rPr>
        <w:t xml:space="preserve">with </w:t>
      </w:r>
      <w:r w:rsidRPr="007A70FB">
        <w:rPr>
          <w:rStyle w:val="CommentReference"/>
          <w:b/>
          <w:szCs w:val="20"/>
        </w:rPr>
        <w:t>CNS lesions at baseline</w:t>
      </w:r>
    </w:p>
    <w:tbl>
      <w:tblPr>
        <w:tblStyle w:val="TableGrid"/>
        <w:tblW w:w="5000" w:type="pct"/>
        <w:tblLook w:val="04A0" w:firstRow="1" w:lastRow="0" w:firstColumn="1" w:lastColumn="0" w:noHBand="0" w:noVBand="1"/>
        <w:tblCaption w:val="Table 7: Results of IRC assessed IC-ORR across the studies in patients with CNS lesions at baseline"/>
      </w:tblPr>
      <w:tblGrid>
        <w:gridCol w:w="1408"/>
        <w:gridCol w:w="3232"/>
        <w:gridCol w:w="491"/>
        <w:gridCol w:w="2110"/>
        <w:gridCol w:w="1776"/>
      </w:tblGrid>
      <w:tr w:rsidR="00F763A3" w:rsidRPr="007A70FB" w:rsidTr="00973DDE">
        <w:trPr>
          <w:tblHeader/>
        </w:trPr>
        <w:tc>
          <w:tcPr>
            <w:tcW w:w="781" w:type="pct"/>
            <w:tcBorders>
              <w:bottom w:val="single" w:sz="4" w:space="0" w:color="auto"/>
            </w:tcBorders>
            <w:shd w:val="clear" w:color="auto" w:fill="auto"/>
          </w:tcPr>
          <w:p w:rsidR="00F763A3" w:rsidRPr="007A70FB" w:rsidRDefault="00F763A3" w:rsidP="000345C6">
            <w:pPr>
              <w:pStyle w:val="KMC-Tabletext"/>
              <w:keepNext/>
              <w:keepLines/>
              <w:spacing w:before="20" w:after="20"/>
              <w:jc w:val="left"/>
              <w:rPr>
                <w:b/>
                <w:sz w:val="20"/>
              </w:rPr>
            </w:pPr>
            <w:r w:rsidRPr="007A70FB">
              <w:rPr>
                <w:b/>
                <w:sz w:val="20"/>
              </w:rPr>
              <w:t>Regimen</w:t>
            </w:r>
          </w:p>
        </w:tc>
        <w:tc>
          <w:tcPr>
            <w:tcW w:w="1792" w:type="pct"/>
            <w:tcBorders>
              <w:bottom w:val="single" w:sz="4" w:space="0" w:color="auto"/>
            </w:tcBorders>
            <w:shd w:val="clear" w:color="auto" w:fill="auto"/>
          </w:tcPr>
          <w:p w:rsidR="00F763A3" w:rsidRPr="007A70FB" w:rsidRDefault="00F763A3" w:rsidP="000345C6">
            <w:pPr>
              <w:pStyle w:val="KMC-Tabletext"/>
              <w:keepNext/>
              <w:keepLines/>
              <w:spacing w:before="20" w:after="20"/>
              <w:jc w:val="left"/>
              <w:rPr>
                <w:b/>
                <w:sz w:val="20"/>
              </w:rPr>
            </w:pPr>
            <w:r w:rsidRPr="007A70FB">
              <w:rPr>
                <w:b/>
                <w:sz w:val="20"/>
              </w:rPr>
              <w:t>Population</w:t>
            </w:r>
          </w:p>
        </w:tc>
        <w:tc>
          <w:tcPr>
            <w:tcW w:w="272" w:type="pct"/>
            <w:tcBorders>
              <w:bottom w:val="single" w:sz="4" w:space="0" w:color="auto"/>
            </w:tcBorders>
            <w:shd w:val="clear" w:color="auto" w:fill="auto"/>
          </w:tcPr>
          <w:p w:rsidR="00F763A3" w:rsidRPr="007A70FB" w:rsidRDefault="00F763A3" w:rsidP="00001FD2">
            <w:pPr>
              <w:pStyle w:val="KMC-Tabletext"/>
              <w:keepNext/>
              <w:keepLines/>
              <w:spacing w:before="20" w:after="20"/>
              <w:jc w:val="center"/>
              <w:rPr>
                <w:b/>
                <w:sz w:val="20"/>
              </w:rPr>
            </w:pPr>
            <w:r w:rsidRPr="007A70FB">
              <w:rPr>
                <w:b/>
                <w:sz w:val="20"/>
              </w:rPr>
              <w:t>N</w:t>
            </w:r>
            <w:r w:rsidR="00001FD2" w:rsidRPr="007A70FB">
              <w:rPr>
                <w:b/>
                <w:sz w:val="20"/>
                <w:vertAlign w:val="superscript"/>
              </w:rPr>
              <w:t>a</w:t>
            </w:r>
          </w:p>
        </w:tc>
        <w:tc>
          <w:tcPr>
            <w:tcW w:w="1170" w:type="pct"/>
            <w:tcBorders>
              <w:bottom w:val="single" w:sz="4" w:space="0" w:color="auto"/>
            </w:tcBorders>
            <w:shd w:val="clear" w:color="auto" w:fill="auto"/>
          </w:tcPr>
          <w:p w:rsidR="00F763A3" w:rsidRPr="007A70FB" w:rsidRDefault="00F763A3" w:rsidP="00001FD2">
            <w:pPr>
              <w:pStyle w:val="KMC-Tabletext"/>
              <w:keepNext/>
              <w:keepLines/>
              <w:spacing w:before="20" w:after="20"/>
              <w:ind w:left="-51" w:right="-90"/>
              <w:jc w:val="center"/>
              <w:rPr>
                <w:b/>
                <w:sz w:val="20"/>
              </w:rPr>
            </w:pPr>
            <w:r w:rsidRPr="007A70FB">
              <w:rPr>
                <w:b/>
                <w:sz w:val="20"/>
              </w:rPr>
              <w:t xml:space="preserve">IC-ORR </w:t>
            </w:r>
            <w:r w:rsidRPr="007A70FB">
              <w:rPr>
                <w:b/>
                <w:sz w:val="20"/>
              </w:rPr>
              <w:br/>
              <w:t>n/N</w:t>
            </w:r>
            <w:r w:rsidR="00001FD2" w:rsidRPr="007A70FB">
              <w:rPr>
                <w:b/>
                <w:sz w:val="20"/>
                <w:vertAlign w:val="superscript"/>
              </w:rPr>
              <w:t>b</w:t>
            </w:r>
            <w:r w:rsidRPr="007A70FB">
              <w:rPr>
                <w:b/>
                <w:sz w:val="20"/>
                <w:vertAlign w:val="superscript"/>
              </w:rPr>
              <w:t xml:space="preserve"> </w:t>
            </w:r>
            <w:r w:rsidRPr="007A70FB">
              <w:rPr>
                <w:b/>
                <w:sz w:val="20"/>
              </w:rPr>
              <w:t>(%) (95% CI (%))</w:t>
            </w:r>
          </w:p>
        </w:tc>
        <w:tc>
          <w:tcPr>
            <w:tcW w:w="985" w:type="pct"/>
            <w:tcBorders>
              <w:bottom w:val="single" w:sz="4" w:space="0" w:color="auto"/>
            </w:tcBorders>
          </w:tcPr>
          <w:p w:rsidR="00F763A3" w:rsidRPr="007A70FB" w:rsidRDefault="00F763A3" w:rsidP="000345C6">
            <w:pPr>
              <w:pStyle w:val="KMC-Tabletext"/>
              <w:keepNext/>
              <w:keepLines/>
              <w:spacing w:before="20" w:after="20"/>
              <w:ind w:left="-65" w:right="-90"/>
              <w:jc w:val="center"/>
              <w:rPr>
                <w:b/>
                <w:sz w:val="20"/>
              </w:rPr>
            </w:pPr>
            <w:r w:rsidRPr="007A70FB">
              <w:rPr>
                <w:b/>
                <w:sz w:val="20"/>
              </w:rPr>
              <w:t xml:space="preserve">IC-DOR </w:t>
            </w:r>
            <w:r w:rsidR="00781CE4" w:rsidRPr="007A70FB">
              <w:rPr>
                <w:b/>
                <w:sz w:val="20"/>
              </w:rPr>
              <w:br/>
            </w:r>
            <w:r w:rsidRPr="007A70FB">
              <w:rPr>
                <w:b/>
                <w:sz w:val="20"/>
              </w:rPr>
              <w:t>median (95%CI)</w:t>
            </w:r>
          </w:p>
        </w:tc>
      </w:tr>
      <w:tr w:rsidR="00F763A3" w:rsidRPr="007A70FB" w:rsidTr="00981624">
        <w:tc>
          <w:tcPr>
            <w:tcW w:w="781" w:type="pct"/>
            <w:tcBorders>
              <w:bottom w:val="single" w:sz="4" w:space="0" w:color="auto"/>
              <w:right w:val="nil"/>
            </w:tcBorders>
            <w:shd w:val="clear" w:color="auto" w:fill="auto"/>
          </w:tcPr>
          <w:p w:rsidR="00F763A3" w:rsidRPr="007A70FB" w:rsidRDefault="00F763A3" w:rsidP="000345C6">
            <w:pPr>
              <w:pStyle w:val="KMC-Tabletext"/>
              <w:keepNext/>
              <w:keepLines/>
              <w:spacing w:before="20" w:after="20"/>
              <w:jc w:val="left"/>
              <w:rPr>
                <w:b/>
                <w:sz w:val="20"/>
              </w:rPr>
            </w:pPr>
            <w:r w:rsidRPr="007A70FB">
              <w:rPr>
                <w:b/>
                <w:sz w:val="20"/>
              </w:rPr>
              <w:t>Lorlatinib</w:t>
            </w:r>
          </w:p>
        </w:tc>
        <w:tc>
          <w:tcPr>
            <w:tcW w:w="1792" w:type="pct"/>
            <w:tcBorders>
              <w:left w:val="nil"/>
              <w:bottom w:val="single" w:sz="4" w:space="0" w:color="auto"/>
              <w:right w:val="nil"/>
            </w:tcBorders>
            <w:shd w:val="clear" w:color="auto" w:fill="auto"/>
          </w:tcPr>
          <w:p w:rsidR="00F763A3" w:rsidRPr="007A70FB" w:rsidRDefault="00F763A3" w:rsidP="000345C6">
            <w:pPr>
              <w:pStyle w:val="KMC-Tabletext"/>
              <w:keepNext/>
              <w:keepLines/>
              <w:spacing w:before="20" w:after="20"/>
              <w:jc w:val="left"/>
              <w:rPr>
                <w:b/>
                <w:sz w:val="20"/>
              </w:rPr>
            </w:pPr>
          </w:p>
        </w:tc>
        <w:tc>
          <w:tcPr>
            <w:tcW w:w="272" w:type="pct"/>
            <w:tcBorders>
              <w:left w:val="nil"/>
              <w:bottom w:val="single" w:sz="4" w:space="0" w:color="auto"/>
              <w:right w:val="nil"/>
            </w:tcBorders>
            <w:shd w:val="clear" w:color="auto" w:fill="auto"/>
          </w:tcPr>
          <w:p w:rsidR="00F763A3" w:rsidRPr="007A70FB" w:rsidRDefault="00F763A3" w:rsidP="000345C6">
            <w:pPr>
              <w:pStyle w:val="KMC-Tabletext"/>
              <w:keepNext/>
              <w:keepLines/>
              <w:spacing w:before="20" w:after="20"/>
              <w:jc w:val="center"/>
              <w:rPr>
                <w:b/>
                <w:sz w:val="20"/>
              </w:rPr>
            </w:pPr>
          </w:p>
        </w:tc>
        <w:tc>
          <w:tcPr>
            <w:tcW w:w="1170" w:type="pct"/>
            <w:tcBorders>
              <w:left w:val="nil"/>
              <w:bottom w:val="single" w:sz="4" w:space="0" w:color="auto"/>
              <w:right w:val="nil"/>
            </w:tcBorders>
            <w:shd w:val="clear" w:color="auto" w:fill="auto"/>
          </w:tcPr>
          <w:p w:rsidR="00F763A3" w:rsidRPr="007A70FB" w:rsidRDefault="00F763A3" w:rsidP="000345C6">
            <w:pPr>
              <w:pStyle w:val="KMC-Tabletext"/>
              <w:keepNext/>
              <w:keepLines/>
              <w:spacing w:before="20" w:after="20"/>
              <w:ind w:left="-51" w:right="-90"/>
              <w:jc w:val="center"/>
              <w:rPr>
                <w:b/>
                <w:sz w:val="20"/>
              </w:rPr>
            </w:pPr>
          </w:p>
        </w:tc>
        <w:tc>
          <w:tcPr>
            <w:tcW w:w="985" w:type="pct"/>
            <w:tcBorders>
              <w:left w:val="nil"/>
              <w:bottom w:val="single" w:sz="4" w:space="0" w:color="auto"/>
            </w:tcBorders>
          </w:tcPr>
          <w:p w:rsidR="00F763A3" w:rsidRPr="007A70FB" w:rsidRDefault="00F763A3" w:rsidP="000345C6">
            <w:pPr>
              <w:pStyle w:val="KMC-Tabletext"/>
              <w:keepNext/>
              <w:keepLines/>
              <w:spacing w:before="20" w:after="20"/>
              <w:ind w:left="-65" w:right="-90"/>
              <w:jc w:val="center"/>
              <w:rPr>
                <w:b/>
                <w:sz w:val="20"/>
              </w:rPr>
            </w:pPr>
          </w:p>
        </w:tc>
      </w:tr>
      <w:tr w:rsidR="00F763A3" w:rsidRPr="007A70FB" w:rsidTr="00981624">
        <w:tc>
          <w:tcPr>
            <w:tcW w:w="781" w:type="pct"/>
            <w:tcBorders>
              <w:bottom w:val="single" w:sz="4" w:space="0" w:color="auto"/>
            </w:tcBorders>
            <w:shd w:val="clear" w:color="auto" w:fill="auto"/>
          </w:tcPr>
          <w:p w:rsidR="00F763A3" w:rsidRPr="007A70FB" w:rsidRDefault="00F763A3" w:rsidP="000345C6">
            <w:pPr>
              <w:pStyle w:val="KMC-Tabletext"/>
              <w:keepNext/>
              <w:keepLines/>
              <w:spacing w:before="20" w:after="20"/>
              <w:jc w:val="left"/>
              <w:rPr>
                <w:sz w:val="20"/>
              </w:rPr>
            </w:pPr>
            <w:r w:rsidRPr="007A70FB">
              <w:rPr>
                <w:sz w:val="20"/>
              </w:rPr>
              <w:t xml:space="preserve">Study 1001 </w:t>
            </w:r>
            <w:r w:rsidR="00763870" w:rsidRPr="007A70FB">
              <w:rPr>
                <w:sz w:val="20"/>
              </w:rPr>
              <w:br/>
            </w:r>
            <w:r w:rsidRPr="007A70FB">
              <w:rPr>
                <w:sz w:val="20"/>
              </w:rPr>
              <w:t>(02 Feb 18)</w:t>
            </w:r>
          </w:p>
        </w:tc>
        <w:tc>
          <w:tcPr>
            <w:tcW w:w="1792" w:type="pct"/>
            <w:tcBorders>
              <w:bottom w:val="single" w:sz="4" w:space="0" w:color="auto"/>
            </w:tcBorders>
            <w:shd w:val="clear" w:color="auto" w:fill="auto"/>
          </w:tcPr>
          <w:p w:rsidR="00F763A3" w:rsidRPr="007A70FB" w:rsidRDefault="00F763A3" w:rsidP="000345C6">
            <w:pPr>
              <w:pStyle w:val="KMC-Tabletext"/>
              <w:keepNext/>
              <w:keepLines/>
              <w:spacing w:before="20" w:after="20"/>
              <w:jc w:val="left"/>
              <w:rPr>
                <w:sz w:val="20"/>
              </w:rPr>
            </w:pPr>
            <w:r w:rsidRPr="007A70FB">
              <w:rPr>
                <w:sz w:val="20"/>
              </w:rPr>
              <w:t>EXP-2: EXP-5</w:t>
            </w:r>
          </w:p>
        </w:tc>
        <w:tc>
          <w:tcPr>
            <w:tcW w:w="272" w:type="pct"/>
            <w:tcBorders>
              <w:bottom w:val="single" w:sz="4" w:space="0" w:color="auto"/>
            </w:tcBorders>
            <w:shd w:val="clear" w:color="auto" w:fill="auto"/>
          </w:tcPr>
          <w:p w:rsidR="00F763A3" w:rsidRPr="007A70FB" w:rsidRDefault="00F763A3" w:rsidP="000345C6">
            <w:pPr>
              <w:pStyle w:val="KMC-Tabletext"/>
              <w:keepNext/>
              <w:keepLines/>
              <w:spacing w:before="20" w:after="20"/>
              <w:jc w:val="center"/>
              <w:rPr>
                <w:sz w:val="20"/>
              </w:rPr>
            </w:pPr>
            <w:r w:rsidRPr="007A70FB">
              <w:rPr>
                <w:sz w:val="20"/>
              </w:rPr>
              <w:t>198</w:t>
            </w:r>
          </w:p>
        </w:tc>
        <w:tc>
          <w:tcPr>
            <w:tcW w:w="1170" w:type="pct"/>
            <w:tcBorders>
              <w:bottom w:val="single" w:sz="4" w:space="0" w:color="auto"/>
            </w:tcBorders>
            <w:shd w:val="clear" w:color="auto" w:fill="auto"/>
          </w:tcPr>
          <w:p w:rsidR="00F763A3" w:rsidRPr="007A70FB" w:rsidRDefault="00FF4479" w:rsidP="000345C6">
            <w:pPr>
              <w:pStyle w:val="KMC-Tabletext"/>
              <w:keepNext/>
              <w:keepLines/>
              <w:spacing w:before="20" w:after="20"/>
              <w:jc w:val="center"/>
              <w:rPr>
                <w:sz w:val="20"/>
                <w:szCs w:val="18"/>
              </w:rPr>
            </w:pPr>
            <w:r>
              <w:rPr>
                <w:noProof/>
                <w:color w:val="000000"/>
                <w:sz w:val="20"/>
                <w:szCs w:val="18"/>
                <w:highlight w:val="black"/>
              </w:rPr>
              <w:t>''''''</w:t>
            </w:r>
            <w:r w:rsidR="00F763A3" w:rsidRPr="007A70FB">
              <w:rPr>
                <w:sz w:val="20"/>
                <w:szCs w:val="18"/>
              </w:rPr>
              <w:t>/</w:t>
            </w:r>
            <w:r>
              <w:rPr>
                <w:noProof/>
                <w:color w:val="000000"/>
                <w:sz w:val="20"/>
                <w:szCs w:val="18"/>
                <w:highlight w:val="black"/>
              </w:rPr>
              <w:t>'''''''''</w:t>
            </w:r>
            <w:r w:rsidR="00F763A3" w:rsidRPr="007A70FB">
              <w:rPr>
                <w:sz w:val="20"/>
                <w:szCs w:val="18"/>
              </w:rPr>
              <w:t xml:space="preserve"> (</w:t>
            </w:r>
            <w:r>
              <w:rPr>
                <w:noProof/>
                <w:color w:val="000000"/>
                <w:sz w:val="20"/>
                <w:szCs w:val="18"/>
                <w:highlight w:val="black"/>
              </w:rPr>
              <w:t>''''''''''</w:t>
            </w:r>
            <w:r w:rsidR="00F763A3" w:rsidRPr="007A70FB">
              <w:rPr>
                <w:sz w:val="20"/>
                <w:szCs w:val="18"/>
              </w:rPr>
              <w:t>) (</w:t>
            </w:r>
            <w:r>
              <w:rPr>
                <w:noProof/>
                <w:color w:val="000000"/>
                <w:sz w:val="20"/>
                <w:szCs w:val="18"/>
                <w:highlight w:val="black"/>
              </w:rPr>
              <w:t>''''''''''</w:t>
            </w:r>
            <w:r w:rsidR="00F763A3" w:rsidRPr="007A70FB">
              <w:rPr>
                <w:sz w:val="20"/>
                <w:szCs w:val="18"/>
              </w:rPr>
              <w:t xml:space="preserve">, </w:t>
            </w:r>
            <w:r>
              <w:rPr>
                <w:noProof/>
                <w:color w:val="000000"/>
                <w:sz w:val="20"/>
                <w:szCs w:val="18"/>
                <w:highlight w:val="black"/>
              </w:rPr>
              <w:t>''''''''''</w:t>
            </w:r>
            <w:r w:rsidR="00F763A3" w:rsidRPr="007A70FB">
              <w:rPr>
                <w:sz w:val="20"/>
                <w:szCs w:val="18"/>
              </w:rPr>
              <w:t>)</w:t>
            </w:r>
          </w:p>
        </w:tc>
        <w:tc>
          <w:tcPr>
            <w:tcW w:w="985" w:type="pct"/>
            <w:tcBorders>
              <w:bottom w:val="single" w:sz="4" w:space="0" w:color="auto"/>
            </w:tcBorders>
          </w:tcPr>
          <w:p w:rsidR="00F763A3" w:rsidRPr="007A70FB" w:rsidRDefault="00FF4479" w:rsidP="000345C6">
            <w:pPr>
              <w:pStyle w:val="KMC-Tabletext"/>
              <w:keepNext/>
              <w:keepLines/>
              <w:spacing w:before="20" w:after="20"/>
              <w:ind w:left="-65"/>
              <w:jc w:val="center"/>
              <w:rPr>
                <w:sz w:val="20"/>
              </w:rPr>
            </w:pPr>
            <w:r>
              <w:rPr>
                <w:noProof/>
                <w:color w:val="000000"/>
                <w:sz w:val="20"/>
                <w:highlight w:val="black"/>
              </w:rPr>
              <w:t>''''''''''''''</w:t>
            </w:r>
            <w:r w:rsidR="00F763A3" w:rsidRPr="007A70FB">
              <w:rPr>
                <w:sz w:val="20"/>
              </w:rPr>
              <w:t xml:space="preserve"> (</w:t>
            </w:r>
            <w:r>
              <w:rPr>
                <w:noProof/>
                <w:color w:val="000000"/>
                <w:sz w:val="20"/>
                <w:highlight w:val="black"/>
              </w:rPr>
              <w:t>'''''''''''''</w:t>
            </w:r>
            <w:r w:rsidR="00F763A3" w:rsidRPr="004C222E">
              <w:rPr>
                <w:sz w:val="20"/>
              </w:rPr>
              <w:t xml:space="preserve">, </w:t>
            </w:r>
            <w:r>
              <w:rPr>
                <w:noProof/>
                <w:color w:val="000000"/>
                <w:sz w:val="20"/>
                <w:highlight w:val="black"/>
              </w:rPr>
              <w:t>''''''''</w:t>
            </w:r>
            <w:r w:rsidR="00F763A3" w:rsidRPr="004C222E">
              <w:rPr>
                <w:sz w:val="20"/>
              </w:rPr>
              <w:t>)</w:t>
            </w:r>
          </w:p>
        </w:tc>
      </w:tr>
      <w:tr w:rsidR="00736544" w:rsidRPr="007A70FB" w:rsidTr="00981624">
        <w:tc>
          <w:tcPr>
            <w:tcW w:w="781" w:type="pct"/>
            <w:tcBorders>
              <w:top w:val="single" w:sz="4" w:space="0" w:color="auto"/>
              <w:bottom w:val="nil"/>
            </w:tcBorders>
            <w:shd w:val="clear" w:color="auto" w:fill="auto"/>
          </w:tcPr>
          <w:p w:rsidR="00736544" w:rsidRPr="007A70FB" w:rsidRDefault="00736544" w:rsidP="000345C6">
            <w:pPr>
              <w:pStyle w:val="KMC-Tabletext"/>
              <w:keepNext/>
              <w:keepLines/>
              <w:spacing w:before="20" w:after="20"/>
              <w:jc w:val="left"/>
              <w:rPr>
                <w:b/>
                <w:sz w:val="20"/>
              </w:rPr>
            </w:pPr>
            <w:r w:rsidRPr="007A70FB">
              <w:rPr>
                <w:b/>
                <w:sz w:val="20"/>
              </w:rPr>
              <w:t>Alectinib</w:t>
            </w:r>
          </w:p>
        </w:tc>
        <w:tc>
          <w:tcPr>
            <w:tcW w:w="1792" w:type="pct"/>
            <w:tcBorders>
              <w:top w:val="single" w:sz="4" w:space="0" w:color="auto"/>
            </w:tcBorders>
            <w:shd w:val="clear" w:color="auto" w:fill="auto"/>
          </w:tcPr>
          <w:p w:rsidR="00736544" w:rsidRPr="007A70FB" w:rsidRDefault="00736544" w:rsidP="000345C6">
            <w:pPr>
              <w:pStyle w:val="KMC-Tabletext"/>
              <w:keepNext/>
              <w:keepLines/>
              <w:spacing w:before="20" w:after="20"/>
              <w:jc w:val="left"/>
              <w:rPr>
                <w:i/>
                <w:sz w:val="20"/>
              </w:rPr>
            </w:pPr>
          </w:p>
        </w:tc>
        <w:tc>
          <w:tcPr>
            <w:tcW w:w="272" w:type="pct"/>
            <w:tcBorders>
              <w:top w:val="single" w:sz="4" w:space="0" w:color="auto"/>
            </w:tcBorders>
            <w:shd w:val="clear" w:color="auto" w:fill="auto"/>
          </w:tcPr>
          <w:p w:rsidR="00736544" w:rsidRPr="007A70FB" w:rsidRDefault="00736544" w:rsidP="000345C6">
            <w:pPr>
              <w:pStyle w:val="KMC-Tabletext"/>
              <w:keepNext/>
              <w:keepLines/>
              <w:spacing w:before="20" w:after="20"/>
              <w:jc w:val="center"/>
              <w:rPr>
                <w:sz w:val="20"/>
              </w:rPr>
            </w:pPr>
          </w:p>
        </w:tc>
        <w:tc>
          <w:tcPr>
            <w:tcW w:w="1170" w:type="pct"/>
            <w:tcBorders>
              <w:top w:val="single" w:sz="4" w:space="0" w:color="auto"/>
            </w:tcBorders>
            <w:shd w:val="clear" w:color="auto" w:fill="auto"/>
            <w:vAlign w:val="bottom"/>
          </w:tcPr>
          <w:p w:rsidR="00736544" w:rsidRPr="007A70FB" w:rsidRDefault="00736544" w:rsidP="000345C6">
            <w:pPr>
              <w:pStyle w:val="KMC-Tabletext"/>
              <w:keepNext/>
              <w:keepLines/>
              <w:spacing w:before="20" w:after="20"/>
              <w:jc w:val="center"/>
              <w:rPr>
                <w:sz w:val="20"/>
                <w:szCs w:val="18"/>
              </w:rPr>
            </w:pPr>
          </w:p>
        </w:tc>
        <w:tc>
          <w:tcPr>
            <w:tcW w:w="985" w:type="pct"/>
            <w:tcBorders>
              <w:top w:val="single" w:sz="4" w:space="0" w:color="auto"/>
            </w:tcBorders>
          </w:tcPr>
          <w:p w:rsidR="00736544" w:rsidRPr="007A70FB" w:rsidRDefault="00736544" w:rsidP="000345C6">
            <w:pPr>
              <w:pStyle w:val="KMC-Tabletext"/>
              <w:keepNext/>
              <w:keepLines/>
              <w:spacing w:before="20" w:after="20"/>
              <w:ind w:left="-65"/>
              <w:jc w:val="center"/>
              <w:rPr>
                <w:sz w:val="20"/>
              </w:rPr>
            </w:pPr>
          </w:p>
        </w:tc>
      </w:tr>
      <w:tr w:rsidR="00F763A3" w:rsidRPr="007A70FB" w:rsidTr="00981624">
        <w:tc>
          <w:tcPr>
            <w:tcW w:w="781" w:type="pct"/>
            <w:tcBorders>
              <w:top w:val="single" w:sz="4" w:space="0" w:color="auto"/>
              <w:bottom w:val="nil"/>
            </w:tcBorders>
            <w:shd w:val="clear" w:color="auto" w:fill="auto"/>
          </w:tcPr>
          <w:p w:rsidR="00F763A3" w:rsidRPr="007A70FB" w:rsidRDefault="00F763A3" w:rsidP="000345C6">
            <w:pPr>
              <w:pStyle w:val="KMC-Tabletext"/>
              <w:keepNext/>
              <w:keepLines/>
              <w:spacing w:before="20" w:after="20"/>
              <w:jc w:val="left"/>
              <w:rPr>
                <w:sz w:val="20"/>
              </w:rPr>
            </w:pPr>
            <w:r w:rsidRPr="007A70FB">
              <w:rPr>
                <w:sz w:val="20"/>
              </w:rPr>
              <w:t>NP28761</w:t>
            </w:r>
          </w:p>
        </w:tc>
        <w:tc>
          <w:tcPr>
            <w:tcW w:w="1792" w:type="pct"/>
            <w:tcBorders>
              <w:top w:val="single" w:sz="4" w:space="0" w:color="auto"/>
            </w:tcBorders>
            <w:shd w:val="clear" w:color="auto" w:fill="auto"/>
          </w:tcPr>
          <w:p w:rsidR="00F763A3" w:rsidRPr="007A70FB" w:rsidRDefault="00F763A3" w:rsidP="000345C6">
            <w:pPr>
              <w:pStyle w:val="KMC-Tabletext"/>
              <w:keepNext/>
              <w:keepLines/>
              <w:spacing w:before="20" w:after="20"/>
              <w:jc w:val="left"/>
              <w:rPr>
                <w:i/>
                <w:sz w:val="20"/>
              </w:rPr>
            </w:pPr>
            <w:r w:rsidRPr="007A70FB">
              <w:rPr>
                <w:i/>
                <w:sz w:val="20"/>
              </w:rPr>
              <w:t>CNS-lesions measurable</w:t>
            </w:r>
            <w:r w:rsidR="000A197A" w:rsidRPr="007A70FB">
              <w:rPr>
                <w:i/>
                <w:sz w:val="20"/>
                <w:vertAlign w:val="superscript"/>
              </w:rPr>
              <w:t>c</w:t>
            </w:r>
          </w:p>
        </w:tc>
        <w:tc>
          <w:tcPr>
            <w:tcW w:w="272" w:type="pct"/>
            <w:tcBorders>
              <w:top w:val="single" w:sz="4" w:space="0" w:color="auto"/>
            </w:tcBorders>
            <w:shd w:val="clear" w:color="auto" w:fill="auto"/>
          </w:tcPr>
          <w:p w:rsidR="00F763A3" w:rsidRPr="007A70FB" w:rsidRDefault="00F763A3" w:rsidP="000345C6">
            <w:pPr>
              <w:pStyle w:val="KMC-Tabletext"/>
              <w:keepNext/>
              <w:keepLines/>
              <w:spacing w:before="20" w:after="20"/>
              <w:jc w:val="center"/>
              <w:rPr>
                <w:sz w:val="20"/>
              </w:rPr>
            </w:pPr>
            <w:r w:rsidRPr="007A70FB">
              <w:rPr>
                <w:sz w:val="20"/>
              </w:rPr>
              <w:t>87</w:t>
            </w:r>
          </w:p>
        </w:tc>
        <w:tc>
          <w:tcPr>
            <w:tcW w:w="1170" w:type="pct"/>
            <w:tcBorders>
              <w:top w:val="single" w:sz="4" w:space="0" w:color="auto"/>
            </w:tcBorders>
            <w:shd w:val="clear" w:color="auto" w:fill="auto"/>
            <w:vAlign w:val="bottom"/>
          </w:tcPr>
          <w:p w:rsidR="00F763A3" w:rsidRPr="007A70FB" w:rsidRDefault="00F763A3" w:rsidP="000345C6">
            <w:pPr>
              <w:pStyle w:val="KMC-Tabletext"/>
              <w:keepNext/>
              <w:keepLines/>
              <w:spacing w:before="20" w:after="20"/>
              <w:jc w:val="center"/>
            </w:pPr>
            <w:r w:rsidRPr="007A70FB">
              <w:rPr>
                <w:sz w:val="20"/>
                <w:szCs w:val="18"/>
              </w:rPr>
              <w:t>12/16 (75.0) (47.6, 92.7)</w:t>
            </w:r>
          </w:p>
        </w:tc>
        <w:tc>
          <w:tcPr>
            <w:tcW w:w="985" w:type="pct"/>
            <w:tcBorders>
              <w:top w:val="single" w:sz="4" w:space="0" w:color="auto"/>
            </w:tcBorders>
          </w:tcPr>
          <w:p w:rsidR="00F763A3" w:rsidRPr="007A70FB" w:rsidRDefault="00F763A3" w:rsidP="000345C6">
            <w:pPr>
              <w:pStyle w:val="KMC-Tabletext"/>
              <w:keepNext/>
              <w:keepLines/>
              <w:spacing w:before="20" w:after="20"/>
              <w:ind w:left="-65"/>
              <w:jc w:val="center"/>
            </w:pPr>
            <w:r w:rsidRPr="007A70FB">
              <w:rPr>
                <w:sz w:val="20"/>
              </w:rPr>
              <w:t>11.1 (5.8, NE)</w:t>
            </w:r>
          </w:p>
        </w:tc>
      </w:tr>
      <w:tr w:rsidR="00F763A3" w:rsidRPr="007A70FB" w:rsidTr="00973DDE">
        <w:tc>
          <w:tcPr>
            <w:tcW w:w="781" w:type="pct"/>
            <w:tcBorders>
              <w:top w:val="nil"/>
              <w:bottom w:val="single" w:sz="4" w:space="0" w:color="auto"/>
            </w:tcBorders>
            <w:shd w:val="clear" w:color="auto" w:fill="auto"/>
          </w:tcPr>
          <w:p w:rsidR="00F763A3" w:rsidRPr="007A70FB" w:rsidRDefault="00F763A3" w:rsidP="000345C6">
            <w:pPr>
              <w:pStyle w:val="KMC-Tabletext"/>
              <w:keepNext/>
              <w:keepLines/>
              <w:spacing w:before="20" w:after="20"/>
              <w:jc w:val="left"/>
              <w:rPr>
                <w:sz w:val="20"/>
              </w:rPr>
            </w:pPr>
          </w:p>
        </w:tc>
        <w:tc>
          <w:tcPr>
            <w:tcW w:w="1792" w:type="pct"/>
            <w:shd w:val="clear" w:color="auto" w:fill="auto"/>
          </w:tcPr>
          <w:p w:rsidR="00F763A3" w:rsidRPr="007A70FB" w:rsidRDefault="00F763A3" w:rsidP="000345C6">
            <w:pPr>
              <w:pStyle w:val="KMC-Tabletext"/>
              <w:keepNext/>
              <w:keepLines/>
              <w:spacing w:before="20" w:after="20"/>
              <w:jc w:val="left"/>
              <w:rPr>
                <w:sz w:val="20"/>
              </w:rPr>
            </w:pPr>
            <w:r w:rsidRPr="007A70FB">
              <w:rPr>
                <w:sz w:val="20"/>
              </w:rPr>
              <w:t>CNS lesions</w:t>
            </w:r>
            <w:r w:rsidR="000A197A" w:rsidRPr="007A70FB">
              <w:rPr>
                <w:iCs/>
                <w:sz w:val="20"/>
                <w:vertAlign w:val="superscript"/>
              </w:rPr>
              <w:t>d</w:t>
            </w:r>
          </w:p>
        </w:tc>
        <w:tc>
          <w:tcPr>
            <w:tcW w:w="272" w:type="pct"/>
            <w:shd w:val="clear" w:color="auto" w:fill="auto"/>
          </w:tcPr>
          <w:p w:rsidR="00F763A3" w:rsidRPr="007A70FB" w:rsidRDefault="00F763A3" w:rsidP="000345C6">
            <w:pPr>
              <w:pStyle w:val="KMC-Tabletext"/>
              <w:keepNext/>
              <w:keepLines/>
              <w:spacing w:before="20" w:after="20"/>
              <w:jc w:val="center"/>
              <w:rPr>
                <w:sz w:val="20"/>
              </w:rPr>
            </w:pPr>
            <w:r w:rsidRPr="007A70FB">
              <w:rPr>
                <w:sz w:val="20"/>
              </w:rPr>
              <w:t>67</w:t>
            </w:r>
          </w:p>
        </w:tc>
        <w:tc>
          <w:tcPr>
            <w:tcW w:w="1170" w:type="pct"/>
            <w:shd w:val="clear" w:color="auto" w:fill="auto"/>
          </w:tcPr>
          <w:p w:rsidR="00F763A3" w:rsidRPr="007A70FB" w:rsidRDefault="00F763A3" w:rsidP="000345C6">
            <w:pPr>
              <w:pStyle w:val="KMC-Tabletext"/>
              <w:keepNext/>
              <w:keepLines/>
              <w:spacing w:before="20" w:after="20"/>
              <w:ind w:left="-51" w:right="-90"/>
              <w:jc w:val="center"/>
              <w:rPr>
                <w:sz w:val="20"/>
              </w:rPr>
            </w:pPr>
            <w:r w:rsidRPr="007A70FB">
              <w:rPr>
                <w:sz w:val="20"/>
              </w:rPr>
              <w:t>21/52 (40.4) (27, 55)</w:t>
            </w:r>
          </w:p>
        </w:tc>
        <w:tc>
          <w:tcPr>
            <w:tcW w:w="985" w:type="pct"/>
            <w:shd w:val="clear" w:color="auto" w:fill="auto"/>
          </w:tcPr>
          <w:p w:rsidR="00F763A3" w:rsidRPr="007A70FB" w:rsidRDefault="00F763A3" w:rsidP="000345C6">
            <w:pPr>
              <w:pStyle w:val="KMC-Tabletext"/>
              <w:keepNext/>
              <w:keepLines/>
              <w:spacing w:before="20" w:after="20"/>
              <w:ind w:left="-65" w:right="-90"/>
              <w:jc w:val="center"/>
              <w:rPr>
                <w:i/>
                <w:sz w:val="20"/>
              </w:rPr>
            </w:pPr>
            <w:r w:rsidRPr="007A70FB">
              <w:rPr>
                <w:i/>
                <w:sz w:val="20"/>
              </w:rPr>
              <w:t>11.1 (10.8, NE)</w:t>
            </w:r>
          </w:p>
        </w:tc>
      </w:tr>
      <w:tr w:rsidR="00F763A3" w:rsidRPr="007A70FB" w:rsidTr="00973DDE">
        <w:tc>
          <w:tcPr>
            <w:tcW w:w="781" w:type="pct"/>
            <w:tcBorders>
              <w:top w:val="single" w:sz="4" w:space="0" w:color="auto"/>
              <w:bottom w:val="nil"/>
            </w:tcBorders>
            <w:shd w:val="clear" w:color="auto" w:fill="auto"/>
          </w:tcPr>
          <w:p w:rsidR="00F763A3" w:rsidRPr="007A70FB" w:rsidRDefault="00F763A3" w:rsidP="000345C6">
            <w:pPr>
              <w:pStyle w:val="KMC-Tabletext"/>
              <w:keepNext/>
              <w:keepLines/>
              <w:spacing w:before="20" w:after="20"/>
              <w:jc w:val="left"/>
              <w:rPr>
                <w:sz w:val="20"/>
              </w:rPr>
            </w:pPr>
            <w:r w:rsidRPr="007A70FB">
              <w:rPr>
                <w:sz w:val="20"/>
              </w:rPr>
              <w:t>NP28673</w:t>
            </w:r>
          </w:p>
        </w:tc>
        <w:tc>
          <w:tcPr>
            <w:tcW w:w="1792" w:type="pct"/>
            <w:tcBorders>
              <w:bottom w:val="nil"/>
            </w:tcBorders>
            <w:shd w:val="clear" w:color="auto" w:fill="auto"/>
          </w:tcPr>
          <w:p w:rsidR="00F763A3" w:rsidRPr="007A70FB" w:rsidRDefault="00F763A3" w:rsidP="000345C6">
            <w:pPr>
              <w:pStyle w:val="KMC-Tabletext"/>
              <w:keepNext/>
              <w:keepLines/>
              <w:spacing w:before="20" w:after="20"/>
              <w:jc w:val="left"/>
              <w:rPr>
                <w:i/>
                <w:sz w:val="20"/>
              </w:rPr>
            </w:pPr>
            <w:r w:rsidRPr="007A70FB">
              <w:rPr>
                <w:i/>
                <w:sz w:val="20"/>
              </w:rPr>
              <w:t>CNS-lesions measurable</w:t>
            </w:r>
            <w:r w:rsidR="000A197A" w:rsidRPr="007A70FB">
              <w:rPr>
                <w:i/>
                <w:sz w:val="20"/>
                <w:vertAlign w:val="superscript"/>
              </w:rPr>
              <w:t>c</w:t>
            </w:r>
          </w:p>
        </w:tc>
        <w:tc>
          <w:tcPr>
            <w:tcW w:w="272" w:type="pct"/>
            <w:shd w:val="clear" w:color="auto" w:fill="auto"/>
          </w:tcPr>
          <w:p w:rsidR="00F763A3" w:rsidRPr="007A70FB" w:rsidRDefault="00F763A3" w:rsidP="000345C6">
            <w:pPr>
              <w:pStyle w:val="KMC-Tabletext"/>
              <w:keepNext/>
              <w:keepLines/>
              <w:spacing w:before="20" w:after="20"/>
              <w:jc w:val="center"/>
              <w:rPr>
                <w:sz w:val="20"/>
              </w:rPr>
            </w:pPr>
            <w:r w:rsidRPr="007A70FB">
              <w:rPr>
                <w:sz w:val="20"/>
              </w:rPr>
              <w:t>138</w:t>
            </w:r>
          </w:p>
        </w:tc>
        <w:tc>
          <w:tcPr>
            <w:tcW w:w="1170" w:type="pct"/>
            <w:shd w:val="clear" w:color="auto" w:fill="auto"/>
          </w:tcPr>
          <w:p w:rsidR="00F763A3" w:rsidRPr="007A70FB" w:rsidRDefault="00F763A3" w:rsidP="000345C6">
            <w:pPr>
              <w:pStyle w:val="KMC-Tabletext"/>
              <w:keepNext/>
              <w:keepLines/>
              <w:spacing w:before="20" w:after="20"/>
              <w:ind w:right="-90"/>
              <w:jc w:val="center"/>
              <w:rPr>
                <w:iCs/>
                <w:sz w:val="20"/>
              </w:rPr>
            </w:pPr>
            <w:r w:rsidRPr="007A70FB">
              <w:rPr>
                <w:sz w:val="20"/>
              </w:rPr>
              <w:t>20/35 (57) (39.4, 73.7)</w:t>
            </w:r>
          </w:p>
        </w:tc>
        <w:tc>
          <w:tcPr>
            <w:tcW w:w="985" w:type="pct"/>
            <w:shd w:val="clear" w:color="auto" w:fill="auto"/>
          </w:tcPr>
          <w:p w:rsidR="00F763A3" w:rsidRPr="007A70FB" w:rsidRDefault="00F763A3" w:rsidP="000345C6">
            <w:pPr>
              <w:pStyle w:val="KMC-Tabletext"/>
              <w:keepNext/>
              <w:keepLines/>
              <w:spacing w:before="20" w:after="20"/>
              <w:ind w:left="-65" w:right="-90"/>
              <w:jc w:val="center"/>
              <w:rPr>
                <w:sz w:val="20"/>
              </w:rPr>
            </w:pPr>
            <w:r w:rsidRPr="007A70FB">
              <w:rPr>
                <w:sz w:val="20"/>
              </w:rPr>
              <w:t>11.1 (7.1, NE)</w:t>
            </w:r>
          </w:p>
        </w:tc>
      </w:tr>
      <w:tr w:rsidR="00F763A3" w:rsidRPr="007A70FB" w:rsidTr="00973DDE">
        <w:tc>
          <w:tcPr>
            <w:tcW w:w="781" w:type="pct"/>
            <w:tcBorders>
              <w:top w:val="nil"/>
              <w:bottom w:val="single" w:sz="4" w:space="0" w:color="auto"/>
            </w:tcBorders>
            <w:shd w:val="clear" w:color="auto" w:fill="auto"/>
          </w:tcPr>
          <w:p w:rsidR="00F763A3" w:rsidRPr="007A70FB" w:rsidRDefault="00F763A3" w:rsidP="000345C6">
            <w:pPr>
              <w:pStyle w:val="KMC-Tabletext"/>
              <w:keepNext/>
              <w:keepLines/>
              <w:spacing w:before="20" w:after="20"/>
              <w:jc w:val="left"/>
              <w:rPr>
                <w:sz w:val="20"/>
              </w:rPr>
            </w:pPr>
          </w:p>
        </w:tc>
        <w:tc>
          <w:tcPr>
            <w:tcW w:w="1792" w:type="pct"/>
            <w:tcBorders>
              <w:bottom w:val="nil"/>
            </w:tcBorders>
            <w:shd w:val="clear" w:color="auto" w:fill="auto"/>
          </w:tcPr>
          <w:p w:rsidR="00F763A3" w:rsidRPr="007A70FB" w:rsidRDefault="00F763A3" w:rsidP="000345C6">
            <w:pPr>
              <w:pStyle w:val="KMC-Tabletext"/>
              <w:keepNext/>
              <w:keepLines/>
              <w:spacing w:before="20" w:after="20"/>
              <w:jc w:val="left"/>
              <w:rPr>
                <w:sz w:val="20"/>
              </w:rPr>
            </w:pPr>
            <w:r w:rsidRPr="007A70FB">
              <w:rPr>
                <w:sz w:val="20"/>
              </w:rPr>
              <w:t>CNS lesions</w:t>
            </w:r>
            <w:r w:rsidR="000A197A" w:rsidRPr="007A70FB">
              <w:rPr>
                <w:sz w:val="20"/>
                <w:vertAlign w:val="superscript"/>
              </w:rPr>
              <w:t>d</w:t>
            </w:r>
          </w:p>
        </w:tc>
        <w:tc>
          <w:tcPr>
            <w:tcW w:w="272" w:type="pct"/>
            <w:shd w:val="clear" w:color="auto" w:fill="auto"/>
          </w:tcPr>
          <w:p w:rsidR="00F763A3" w:rsidRPr="007A70FB" w:rsidRDefault="00F763A3" w:rsidP="000345C6">
            <w:pPr>
              <w:pStyle w:val="KMC-Tabletext"/>
              <w:keepNext/>
              <w:keepLines/>
              <w:spacing w:before="20" w:after="20"/>
              <w:jc w:val="center"/>
              <w:rPr>
                <w:sz w:val="20"/>
              </w:rPr>
            </w:pPr>
            <w:r w:rsidRPr="007A70FB">
              <w:rPr>
                <w:sz w:val="20"/>
              </w:rPr>
              <w:t>138</w:t>
            </w:r>
          </w:p>
        </w:tc>
        <w:tc>
          <w:tcPr>
            <w:tcW w:w="1170" w:type="pct"/>
            <w:shd w:val="clear" w:color="auto" w:fill="auto"/>
          </w:tcPr>
          <w:p w:rsidR="00F763A3" w:rsidRPr="007A70FB" w:rsidRDefault="00F763A3" w:rsidP="000345C6">
            <w:pPr>
              <w:pStyle w:val="KMC-Tabletext"/>
              <w:keepNext/>
              <w:keepLines/>
              <w:spacing w:before="20" w:after="20"/>
              <w:ind w:left="-51" w:right="-90"/>
              <w:jc w:val="center"/>
              <w:rPr>
                <w:sz w:val="20"/>
              </w:rPr>
            </w:pPr>
            <w:r w:rsidRPr="007A70FB">
              <w:rPr>
                <w:sz w:val="20"/>
              </w:rPr>
              <w:t>36/84 (42.9) (32.1, 54.1)</w:t>
            </w:r>
          </w:p>
        </w:tc>
        <w:tc>
          <w:tcPr>
            <w:tcW w:w="985" w:type="pct"/>
            <w:shd w:val="clear" w:color="auto" w:fill="auto"/>
          </w:tcPr>
          <w:p w:rsidR="00F763A3" w:rsidRPr="007A70FB" w:rsidRDefault="00F763A3" w:rsidP="000345C6">
            <w:pPr>
              <w:pStyle w:val="KMC-Tabletext"/>
              <w:keepNext/>
              <w:keepLines/>
              <w:spacing w:before="20" w:after="20"/>
              <w:ind w:left="-65" w:right="-90"/>
              <w:jc w:val="center"/>
              <w:rPr>
                <w:i/>
                <w:sz w:val="20"/>
              </w:rPr>
            </w:pPr>
            <w:r w:rsidRPr="007A70FB">
              <w:rPr>
                <w:i/>
                <w:sz w:val="20"/>
              </w:rPr>
              <w:t>10.3 (7.6, 11.2)</w:t>
            </w:r>
          </w:p>
        </w:tc>
      </w:tr>
      <w:tr w:rsidR="00973DDE" w:rsidRPr="007A70FB" w:rsidTr="00973DDE">
        <w:tc>
          <w:tcPr>
            <w:tcW w:w="781" w:type="pct"/>
            <w:vMerge w:val="restart"/>
            <w:shd w:val="clear" w:color="auto" w:fill="auto"/>
          </w:tcPr>
          <w:p w:rsidR="00973DDE" w:rsidRPr="007A70FB" w:rsidRDefault="00973DDE" w:rsidP="000345C6">
            <w:pPr>
              <w:pStyle w:val="KMC-Tabletext"/>
              <w:keepNext/>
              <w:keepLines/>
              <w:spacing w:before="20" w:after="20"/>
              <w:jc w:val="left"/>
              <w:rPr>
                <w:sz w:val="20"/>
              </w:rPr>
            </w:pPr>
            <w:r w:rsidRPr="007A70FB">
              <w:rPr>
                <w:sz w:val="20"/>
              </w:rPr>
              <w:t>NP28761/ NP28673</w:t>
            </w:r>
          </w:p>
        </w:tc>
        <w:tc>
          <w:tcPr>
            <w:tcW w:w="1792" w:type="pct"/>
            <w:shd w:val="clear" w:color="auto" w:fill="auto"/>
          </w:tcPr>
          <w:p w:rsidR="00973DDE" w:rsidRPr="007A70FB" w:rsidRDefault="00973DDE" w:rsidP="000345C6">
            <w:pPr>
              <w:pStyle w:val="KMC-Tabletext"/>
              <w:keepNext/>
              <w:keepLines/>
              <w:spacing w:before="20" w:after="20"/>
              <w:jc w:val="left"/>
              <w:rPr>
                <w:i/>
                <w:sz w:val="20"/>
              </w:rPr>
            </w:pPr>
            <w:r w:rsidRPr="007A70FB">
              <w:rPr>
                <w:i/>
                <w:sz w:val="20"/>
              </w:rPr>
              <w:t>CNS-lesions measurable</w:t>
            </w:r>
            <w:r w:rsidR="000A197A" w:rsidRPr="007A70FB">
              <w:rPr>
                <w:i/>
                <w:sz w:val="20"/>
                <w:vertAlign w:val="superscript"/>
              </w:rPr>
              <w:t>c</w:t>
            </w:r>
          </w:p>
        </w:tc>
        <w:tc>
          <w:tcPr>
            <w:tcW w:w="272" w:type="pct"/>
            <w:shd w:val="clear" w:color="auto" w:fill="auto"/>
          </w:tcPr>
          <w:p w:rsidR="00973DDE" w:rsidRPr="007A70FB" w:rsidRDefault="00973DDE" w:rsidP="000345C6">
            <w:pPr>
              <w:pStyle w:val="KMC-Tabletext"/>
              <w:keepNext/>
              <w:keepLines/>
              <w:spacing w:before="20" w:after="20"/>
              <w:jc w:val="center"/>
              <w:rPr>
                <w:sz w:val="20"/>
              </w:rPr>
            </w:pPr>
            <w:r w:rsidRPr="007A70FB">
              <w:rPr>
                <w:sz w:val="20"/>
              </w:rPr>
              <w:t>189</w:t>
            </w:r>
          </w:p>
        </w:tc>
        <w:tc>
          <w:tcPr>
            <w:tcW w:w="1170" w:type="pct"/>
            <w:shd w:val="clear" w:color="auto" w:fill="auto"/>
            <w:vAlign w:val="bottom"/>
          </w:tcPr>
          <w:p w:rsidR="00973DDE" w:rsidRPr="007A70FB" w:rsidRDefault="00973DDE" w:rsidP="000345C6">
            <w:pPr>
              <w:pStyle w:val="KMC-Tabletext"/>
              <w:keepNext/>
              <w:keepLines/>
              <w:spacing w:before="20" w:after="20"/>
              <w:ind w:left="-51" w:right="-90"/>
              <w:jc w:val="center"/>
              <w:rPr>
                <w:sz w:val="20"/>
              </w:rPr>
            </w:pPr>
            <w:r w:rsidRPr="007A70FB">
              <w:rPr>
                <w:sz w:val="20"/>
              </w:rPr>
              <w:t>32/50 (64.0) (49.2, 77.1)</w:t>
            </w:r>
          </w:p>
        </w:tc>
        <w:tc>
          <w:tcPr>
            <w:tcW w:w="985" w:type="pct"/>
            <w:shd w:val="clear" w:color="auto" w:fill="auto"/>
          </w:tcPr>
          <w:p w:rsidR="00973DDE" w:rsidRPr="007A70FB" w:rsidRDefault="00973DDE" w:rsidP="000345C6">
            <w:pPr>
              <w:pStyle w:val="KMC-Tabletext"/>
              <w:keepNext/>
              <w:keepLines/>
              <w:spacing w:before="20" w:after="20"/>
              <w:ind w:left="-65" w:right="-90"/>
              <w:jc w:val="center"/>
              <w:rPr>
                <w:sz w:val="20"/>
              </w:rPr>
            </w:pPr>
            <w:r w:rsidRPr="007A70FB">
              <w:rPr>
                <w:sz w:val="20"/>
              </w:rPr>
              <w:t>10.8 (7.6, 14.1)</w:t>
            </w:r>
          </w:p>
        </w:tc>
      </w:tr>
      <w:tr w:rsidR="00973DDE" w:rsidRPr="007A70FB" w:rsidTr="00973DDE">
        <w:tc>
          <w:tcPr>
            <w:tcW w:w="781" w:type="pct"/>
            <w:vMerge/>
            <w:tcBorders>
              <w:bottom w:val="single" w:sz="4" w:space="0" w:color="auto"/>
            </w:tcBorders>
            <w:shd w:val="clear" w:color="auto" w:fill="auto"/>
          </w:tcPr>
          <w:p w:rsidR="00973DDE" w:rsidRPr="007A70FB" w:rsidRDefault="00973DDE" w:rsidP="000345C6">
            <w:pPr>
              <w:pStyle w:val="KMC-Tabletext"/>
              <w:keepNext/>
              <w:keepLines/>
              <w:spacing w:before="20" w:after="20"/>
              <w:jc w:val="left"/>
              <w:rPr>
                <w:sz w:val="20"/>
              </w:rPr>
            </w:pPr>
          </w:p>
        </w:tc>
        <w:tc>
          <w:tcPr>
            <w:tcW w:w="1792" w:type="pct"/>
            <w:shd w:val="clear" w:color="auto" w:fill="auto"/>
          </w:tcPr>
          <w:p w:rsidR="00973DDE" w:rsidRPr="007A70FB" w:rsidRDefault="00973DDE" w:rsidP="000345C6">
            <w:pPr>
              <w:pStyle w:val="KMC-Tabletext"/>
              <w:keepNext/>
              <w:keepLines/>
              <w:spacing w:before="20" w:after="20"/>
              <w:jc w:val="left"/>
              <w:rPr>
                <w:sz w:val="20"/>
              </w:rPr>
            </w:pPr>
            <w:r w:rsidRPr="007A70FB">
              <w:rPr>
                <w:sz w:val="20"/>
              </w:rPr>
              <w:t>CNS lesions</w:t>
            </w:r>
            <w:r w:rsidR="000A197A" w:rsidRPr="007A70FB">
              <w:rPr>
                <w:sz w:val="20"/>
                <w:vertAlign w:val="superscript"/>
              </w:rPr>
              <w:t>d</w:t>
            </w:r>
          </w:p>
        </w:tc>
        <w:tc>
          <w:tcPr>
            <w:tcW w:w="272" w:type="pct"/>
            <w:shd w:val="clear" w:color="auto" w:fill="auto"/>
          </w:tcPr>
          <w:p w:rsidR="00973DDE" w:rsidRPr="007A70FB" w:rsidRDefault="00973DDE" w:rsidP="000345C6">
            <w:pPr>
              <w:pStyle w:val="KMC-Tabletext"/>
              <w:keepNext/>
              <w:keepLines/>
              <w:spacing w:before="20" w:after="20"/>
              <w:jc w:val="center"/>
              <w:rPr>
                <w:sz w:val="20"/>
              </w:rPr>
            </w:pPr>
            <w:r w:rsidRPr="007A70FB">
              <w:rPr>
                <w:sz w:val="20"/>
              </w:rPr>
              <w:t>189</w:t>
            </w:r>
          </w:p>
        </w:tc>
        <w:tc>
          <w:tcPr>
            <w:tcW w:w="1170" w:type="pct"/>
            <w:shd w:val="clear" w:color="auto" w:fill="auto"/>
            <w:vAlign w:val="bottom"/>
          </w:tcPr>
          <w:p w:rsidR="00973DDE" w:rsidRPr="007A70FB" w:rsidRDefault="00973DDE" w:rsidP="000345C6">
            <w:pPr>
              <w:pStyle w:val="KMC-Tabletext"/>
              <w:keepNext/>
              <w:keepLines/>
              <w:spacing w:before="20" w:after="20"/>
              <w:ind w:left="-51" w:right="-90"/>
              <w:jc w:val="center"/>
              <w:rPr>
                <w:sz w:val="20"/>
              </w:rPr>
            </w:pPr>
            <w:r w:rsidRPr="007A70FB">
              <w:rPr>
                <w:sz w:val="20"/>
              </w:rPr>
              <w:t>58/136 (42.6) (34.2, 51.4)</w:t>
            </w:r>
          </w:p>
        </w:tc>
        <w:tc>
          <w:tcPr>
            <w:tcW w:w="985" w:type="pct"/>
            <w:shd w:val="clear" w:color="auto" w:fill="auto"/>
          </w:tcPr>
          <w:p w:rsidR="00973DDE" w:rsidRPr="007A70FB" w:rsidRDefault="00973DDE" w:rsidP="000345C6">
            <w:pPr>
              <w:pStyle w:val="KMC-Tabletext"/>
              <w:keepNext/>
              <w:keepLines/>
              <w:spacing w:before="20" w:after="20"/>
              <w:ind w:left="-65" w:right="-90"/>
              <w:jc w:val="center"/>
              <w:rPr>
                <w:sz w:val="20"/>
              </w:rPr>
            </w:pPr>
            <w:r w:rsidRPr="007A70FB">
              <w:rPr>
                <w:sz w:val="20"/>
              </w:rPr>
              <w:t>11.1 (10.3, NE)</w:t>
            </w:r>
          </w:p>
        </w:tc>
      </w:tr>
      <w:tr w:rsidR="00F763A3" w:rsidRPr="007A70FB" w:rsidTr="00973DDE">
        <w:tc>
          <w:tcPr>
            <w:tcW w:w="781" w:type="pct"/>
            <w:tcBorders>
              <w:top w:val="single" w:sz="4" w:space="0" w:color="auto"/>
              <w:bottom w:val="nil"/>
            </w:tcBorders>
            <w:shd w:val="clear" w:color="auto" w:fill="auto"/>
          </w:tcPr>
          <w:p w:rsidR="00F763A3" w:rsidRPr="007A70FB" w:rsidRDefault="00F763A3" w:rsidP="000345C6">
            <w:pPr>
              <w:pStyle w:val="KMC-Tabletext"/>
              <w:keepNext/>
              <w:keepLines/>
              <w:spacing w:before="20" w:after="20"/>
              <w:jc w:val="left"/>
              <w:rPr>
                <w:sz w:val="20"/>
              </w:rPr>
            </w:pPr>
            <w:r w:rsidRPr="007A70FB">
              <w:rPr>
                <w:sz w:val="20"/>
              </w:rPr>
              <w:t>ALUR</w:t>
            </w:r>
          </w:p>
        </w:tc>
        <w:tc>
          <w:tcPr>
            <w:tcW w:w="1792" w:type="pct"/>
            <w:shd w:val="clear" w:color="auto" w:fill="auto"/>
          </w:tcPr>
          <w:p w:rsidR="00F763A3" w:rsidRPr="007A70FB" w:rsidRDefault="00F763A3" w:rsidP="000345C6">
            <w:pPr>
              <w:pStyle w:val="KMC-Tabletext"/>
              <w:keepNext/>
              <w:keepLines/>
              <w:spacing w:before="20" w:after="20"/>
              <w:jc w:val="left"/>
              <w:rPr>
                <w:sz w:val="20"/>
              </w:rPr>
            </w:pPr>
            <w:r w:rsidRPr="007A70FB">
              <w:rPr>
                <w:sz w:val="20"/>
              </w:rPr>
              <w:t xml:space="preserve">ITT, </w:t>
            </w:r>
            <w:r w:rsidRPr="007A70FB">
              <w:rPr>
                <w:i/>
                <w:sz w:val="20"/>
              </w:rPr>
              <w:t>CNS-lesions measurable</w:t>
            </w:r>
            <w:r w:rsidR="000A197A" w:rsidRPr="007A70FB">
              <w:rPr>
                <w:i/>
                <w:sz w:val="20"/>
                <w:vertAlign w:val="superscript"/>
              </w:rPr>
              <w:t>c</w:t>
            </w:r>
            <w:r w:rsidRPr="007A70FB">
              <w:rPr>
                <w:iCs/>
                <w:sz w:val="20"/>
                <w:vertAlign w:val="superscript"/>
              </w:rPr>
              <w:t xml:space="preserve"> </w:t>
            </w:r>
            <w:r w:rsidRPr="007A70FB">
              <w:rPr>
                <w:sz w:val="20"/>
              </w:rPr>
              <w:t>(alectinib</w:t>
            </w:r>
            <w:r w:rsidR="00736544" w:rsidRPr="007A70FB">
              <w:rPr>
                <w:sz w:val="20"/>
              </w:rPr>
              <w:t xml:space="preserve"> arm</w:t>
            </w:r>
            <w:r w:rsidRPr="007A70FB">
              <w:rPr>
                <w:sz w:val="20"/>
              </w:rPr>
              <w:t xml:space="preserve">) </w:t>
            </w:r>
          </w:p>
        </w:tc>
        <w:tc>
          <w:tcPr>
            <w:tcW w:w="272" w:type="pct"/>
            <w:shd w:val="clear" w:color="auto" w:fill="auto"/>
          </w:tcPr>
          <w:p w:rsidR="00F763A3" w:rsidRPr="007A70FB" w:rsidRDefault="00F763A3" w:rsidP="000345C6">
            <w:pPr>
              <w:pStyle w:val="KMC-Tabletext"/>
              <w:keepNext/>
              <w:keepLines/>
              <w:spacing w:before="20" w:after="20"/>
              <w:jc w:val="center"/>
              <w:rPr>
                <w:sz w:val="20"/>
              </w:rPr>
            </w:pPr>
            <w:r w:rsidRPr="007A70FB">
              <w:rPr>
                <w:sz w:val="20"/>
              </w:rPr>
              <w:t>72</w:t>
            </w:r>
          </w:p>
        </w:tc>
        <w:tc>
          <w:tcPr>
            <w:tcW w:w="1170" w:type="pct"/>
            <w:shd w:val="clear" w:color="auto" w:fill="auto"/>
          </w:tcPr>
          <w:p w:rsidR="00F763A3" w:rsidRPr="007A70FB" w:rsidRDefault="00F763A3" w:rsidP="000345C6">
            <w:pPr>
              <w:pStyle w:val="KMC-Tabletext"/>
              <w:keepNext/>
              <w:keepLines/>
              <w:spacing w:before="20" w:after="20"/>
              <w:ind w:left="-51" w:right="-90"/>
              <w:jc w:val="center"/>
              <w:rPr>
                <w:sz w:val="20"/>
              </w:rPr>
            </w:pPr>
            <w:r w:rsidRPr="007A70FB">
              <w:rPr>
                <w:sz w:val="20"/>
              </w:rPr>
              <w:t>13/24 (54.2) (33, 74)</w:t>
            </w:r>
          </w:p>
        </w:tc>
        <w:tc>
          <w:tcPr>
            <w:tcW w:w="985" w:type="pct"/>
            <w:shd w:val="clear" w:color="auto" w:fill="auto"/>
          </w:tcPr>
          <w:p w:rsidR="00F763A3" w:rsidRPr="007A70FB" w:rsidRDefault="00F763A3" w:rsidP="000345C6">
            <w:pPr>
              <w:pStyle w:val="KMC-Tabletext"/>
              <w:keepNext/>
              <w:keepLines/>
              <w:spacing w:before="20" w:after="20"/>
              <w:ind w:left="-65" w:right="-90"/>
              <w:jc w:val="center"/>
              <w:rPr>
                <w:sz w:val="20"/>
              </w:rPr>
            </w:pPr>
            <w:r w:rsidRPr="007A70FB">
              <w:rPr>
                <w:sz w:val="20"/>
              </w:rPr>
              <w:t>NR</w:t>
            </w:r>
          </w:p>
        </w:tc>
      </w:tr>
      <w:tr w:rsidR="00F763A3" w:rsidRPr="007A70FB" w:rsidTr="00973DDE">
        <w:tc>
          <w:tcPr>
            <w:tcW w:w="781" w:type="pct"/>
            <w:tcBorders>
              <w:top w:val="nil"/>
              <w:bottom w:val="nil"/>
            </w:tcBorders>
            <w:shd w:val="clear" w:color="auto" w:fill="auto"/>
          </w:tcPr>
          <w:p w:rsidR="00F763A3" w:rsidRPr="007A70FB" w:rsidRDefault="00F763A3" w:rsidP="000345C6">
            <w:pPr>
              <w:pStyle w:val="KMC-Tabletext"/>
              <w:keepNext/>
              <w:keepLines/>
              <w:spacing w:before="20" w:after="20"/>
              <w:jc w:val="left"/>
              <w:rPr>
                <w:sz w:val="20"/>
              </w:rPr>
            </w:pPr>
          </w:p>
        </w:tc>
        <w:tc>
          <w:tcPr>
            <w:tcW w:w="1792" w:type="pct"/>
            <w:shd w:val="clear" w:color="auto" w:fill="auto"/>
          </w:tcPr>
          <w:p w:rsidR="00F763A3" w:rsidRPr="007A70FB" w:rsidRDefault="00F763A3" w:rsidP="000345C6">
            <w:pPr>
              <w:pStyle w:val="KMC-Tabletext"/>
              <w:keepNext/>
              <w:keepLines/>
              <w:spacing w:before="20" w:after="20"/>
              <w:jc w:val="left"/>
              <w:rPr>
                <w:sz w:val="20"/>
              </w:rPr>
            </w:pPr>
            <w:r w:rsidRPr="007A70FB">
              <w:rPr>
                <w:sz w:val="20"/>
              </w:rPr>
              <w:t>ITT (alectinib</w:t>
            </w:r>
            <w:r w:rsidR="00736544" w:rsidRPr="007A70FB">
              <w:rPr>
                <w:sz w:val="20"/>
              </w:rPr>
              <w:t xml:space="preserve"> arm</w:t>
            </w:r>
            <w:r w:rsidRPr="007A70FB">
              <w:rPr>
                <w:sz w:val="20"/>
              </w:rPr>
              <w:t>)</w:t>
            </w:r>
          </w:p>
        </w:tc>
        <w:tc>
          <w:tcPr>
            <w:tcW w:w="272" w:type="pct"/>
            <w:shd w:val="clear" w:color="auto" w:fill="auto"/>
          </w:tcPr>
          <w:p w:rsidR="00F763A3" w:rsidRPr="007A70FB" w:rsidRDefault="00F763A3" w:rsidP="000345C6">
            <w:pPr>
              <w:pStyle w:val="KMC-Tabletext"/>
              <w:keepNext/>
              <w:keepLines/>
              <w:spacing w:before="20" w:after="20"/>
              <w:jc w:val="center"/>
              <w:rPr>
                <w:sz w:val="20"/>
              </w:rPr>
            </w:pPr>
            <w:r w:rsidRPr="007A70FB">
              <w:rPr>
                <w:sz w:val="20"/>
              </w:rPr>
              <w:t>72</w:t>
            </w:r>
          </w:p>
        </w:tc>
        <w:tc>
          <w:tcPr>
            <w:tcW w:w="1170" w:type="pct"/>
            <w:shd w:val="clear" w:color="auto" w:fill="auto"/>
          </w:tcPr>
          <w:p w:rsidR="00F763A3" w:rsidRPr="007A70FB" w:rsidRDefault="00F763A3" w:rsidP="000345C6">
            <w:pPr>
              <w:pStyle w:val="KMC-Tabletext"/>
              <w:keepNext/>
              <w:keepLines/>
              <w:spacing w:before="20" w:after="20"/>
              <w:ind w:left="-51" w:right="-90"/>
              <w:jc w:val="center"/>
              <w:rPr>
                <w:sz w:val="20"/>
              </w:rPr>
            </w:pPr>
            <w:r w:rsidRPr="007A70FB">
              <w:rPr>
                <w:sz w:val="20"/>
              </w:rPr>
              <w:t>18/50 (36.0) (23, 51)</w:t>
            </w:r>
          </w:p>
        </w:tc>
        <w:tc>
          <w:tcPr>
            <w:tcW w:w="985" w:type="pct"/>
            <w:shd w:val="clear" w:color="auto" w:fill="auto"/>
          </w:tcPr>
          <w:p w:rsidR="00F763A3" w:rsidRPr="007A70FB" w:rsidRDefault="00F763A3" w:rsidP="000345C6">
            <w:pPr>
              <w:pStyle w:val="KMC-Tabletext"/>
              <w:keepNext/>
              <w:keepLines/>
              <w:spacing w:before="20" w:after="20"/>
              <w:ind w:left="-65" w:right="-90"/>
              <w:jc w:val="center"/>
              <w:rPr>
                <w:sz w:val="20"/>
              </w:rPr>
            </w:pPr>
            <w:r w:rsidRPr="007A70FB">
              <w:rPr>
                <w:sz w:val="20"/>
              </w:rPr>
              <w:t>NR</w:t>
            </w:r>
          </w:p>
        </w:tc>
      </w:tr>
      <w:tr w:rsidR="00F763A3" w:rsidRPr="007A70FB" w:rsidTr="00973DDE">
        <w:tc>
          <w:tcPr>
            <w:tcW w:w="781" w:type="pct"/>
            <w:tcBorders>
              <w:bottom w:val="single" w:sz="4" w:space="0" w:color="auto"/>
              <w:right w:val="nil"/>
            </w:tcBorders>
            <w:shd w:val="clear" w:color="auto" w:fill="auto"/>
          </w:tcPr>
          <w:p w:rsidR="00F763A3" w:rsidRPr="007A70FB" w:rsidRDefault="00F763A3" w:rsidP="000345C6">
            <w:pPr>
              <w:pStyle w:val="KMC-Tabletext"/>
              <w:keepNext/>
              <w:keepLines/>
              <w:spacing w:before="20" w:after="20"/>
              <w:jc w:val="left"/>
              <w:rPr>
                <w:b/>
                <w:bCs w:val="0"/>
                <w:sz w:val="20"/>
              </w:rPr>
            </w:pPr>
            <w:r w:rsidRPr="007A70FB">
              <w:rPr>
                <w:b/>
                <w:bCs w:val="0"/>
                <w:sz w:val="20"/>
              </w:rPr>
              <w:t>Ceritinib</w:t>
            </w:r>
          </w:p>
        </w:tc>
        <w:tc>
          <w:tcPr>
            <w:tcW w:w="1792" w:type="pct"/>
            <w:tcBorders>
              <w:left w:val="nil"/>
              <w:right w:val="nil"/>
            </w:tcBorders>
            <w:shd w:val="clear" w:color="auto" w:fill="auto"/>
          </w:tcPr>
          <w:p w:rsidR="00F763A3" w:rsidRPr="007A70FB" w:rsidRDefault="00F763A3" w:rsidP="000345C6">
            <w:pPr>
              <w:pStyle w:val="KMC-Tabletext"/>
              <w:keepNext/>
              <w:keepLines/>
              <w:spacing w:before="20" w:after="20"/>
              <w:jc w:val="left"/>
              <w:rPr>
                <w:sz w:val="20"/>
              </w:rPr>
            </w:pPr>
          </w:p>
        </w:tc>
        <w:tc>
          <w:tcPr>
            <w:tcW w:w="272" w:type="pct"/>
            <w:tcBorders>
              <w:left w:val="nil"/>
              <w:right w:val="nil"/>
            </w:tcBorders>
            <w:shd w:val="clear" w:color="auto" w:fill="auto"/>
          </w:tcPr>
          <w:p w:rsidR="00F763A3" w:rsidRPr="007A70FB" w:rsidRDefault="00F763A3" w:rsidP="000345C6">
            <w:pPr>
              <w:pStyle w:val="KMC-Tabletext"/>
              <w:keepNext/>
              <w:keepLines/>
              <w:spacing w:before="20" w:after="20"/>
              <w:jc w:val="center"/>
              <w:rPr>
                <w:sz w:val="20"/>
              </w:rPr>
            </w:pPr>
          </w:p>
        </w:tc>
        <w:tc>
          <w:tcPr>
            <w:tcW w:w="1170" w:type="pct"/>
            <w:tcBorders>
              <w:left w:val="nil"/>
              <w:right w:val="nil"/>
            </w:tcBorders>
            <w:shd w:val="clear" w:color="auto" w:fill="auto"/>
          </w:tcPr>
          <w:p w:rsidR="00F763A3" w:rsidRPr="007A70FB" w:rsidRDefault="00F763A3" w:rsidP="000345C6">
            <w:pPr>
              <w:pStyle w:val="KMC-Tabletext"/>
              <w:keepNext/>
              <w:keepLines/>
              <w:spacing w:before="20" w:after="20"/>
              <w:ind w:left="-51" w:right="-90"/>
              <w:jc w:val="center"/>
              <w:rPr>
                <w:sz w:val="20"/>
              </w:rPr>
            </w:pPr>
          </w:p>
        </w:tc>
        <w:tc>
          <w:tcPr>
            <w:tcW w:w="985" w:type="pct"/>
            <w:tcBorders>
              <w:left w:val="nil"/>
            </w:tcBorders>
            <w:shd w:val="clear" w:color="auto" w:fill="auto"/>
          </w:tcPr>
          <w:p w:rsidR="00F763A3" w:rsidRPr="007A70FB" w:rsidRDefault="00F763A3" w:rsidP="000345C6">
            <w:pPr>
              <w:pStyle w:val="KMC-Tabletext"/>
              <w:keepNext/>
              <w:keepLines/>
              <w:spacing w:before="20" w:after="20"/>
              <w:ind w:left="-65" w:right="-90"/>
              <w:jc w:val="center"/>
              <w:rPr>
                <w:sz w:val="20"/>
              </w:rPr>
            </w:pPr>
          </w:p>
        </w:tc>
      </w:tr>
      <w:tr w:rsidR="00F763A3" w:rsidRPr="007A70FB" w:rsidTr="00973DDE">
        <w:tc>
          <w:tcPr>
            <w:tcW w:w="781" w:type="pct"/>
            <w:tcBorders>
              <w:bottom w:val="single" w:sz="4" w:space="0" w:color="auto"/>
            </w:tcBorders>
            <w:shd w:val="clear" w:color="auto" w:fill="auto"/>
          </w:tcPr>
          <w:p w:rsidR="00F763A3" w:rsidRPr="007A70FB" w:rsidRDefault="00F763A3" w:rsidP="000345C6">
            <w:pPr>
              <w:pStyle w:val="KMC-Tabletext"/>
              <w:keepNext/>
              <w:keepLines/>
              <w:spacing w:before="20" w:after="20"/>
              <w:jc w:val="left"/>
              <w:rPr>
                <w:sz w:val="20"/>
              </w:rPr>
            </w:pPr>
            <w:r w:rsidRPr="007A70FB">
              <w:rPr>
                <w:sz w:val="20"/>
              </w:rPr>
              <w:t>ASCEND-1</w:t>
            </w:r>
          </w:p>
        </w:tc>
        <w:tc>
          <w:tcPr>
            <w:tcW w:w="1792" w:type="pct"/>
            <w:shd w:val="clear" w:color="auto" w:fill="auto"/>
          </w:tcPr>
          <w:p w:rsidR="00F763A3" w:rsidRPr="007A70FB" w:rsidRDefault="00F763A3" w:rsidP="000345C6">
            <w:pPr>
              <w:pStyle w:val="KMC-Tabletext"/>
              <w:keepNext/>
              <w:keepLines/>
              <w:spacing w:before="20" w:after="20"/>
              <w:jc w:val="left"/>
              <w:rPr>
                <w:sz w:val="20"/>
              </w:rPr>
            </w:pPr>
            <w:r w:rsidRPr="007A70FB">
              <w:rPr>
                <w:sz w:val="20"/>
              </w:rPr>
              <w:t>CNS-lesions measurable</w:t>
            </w:r>
            <w:r w:rsidR="000A197A" w:rsidRPr="007A70FB">
              <w:rPr>
                <w:iCs/>
                <w:sz w:val="20"/>
                <w:vertAlign w:val="superscript"/>
              </w:rPr>
              <w:t>c</w:t>
            </w:r>
            <w:r w:rsidRPr="007A70FB">
              <w:rPr>
                <w:sz w:val="20"/>
              </w:rPr>
              <w:t>, post-hoc analysis</w:t>
            </w:r>
          </w:p>
        </w:tc>
        <w:tc>
          <w:tcPr>
            <w:tcW w:w="272" w:type="pct"/>
            <w:shd w:val="clear" w:color="auto" w:fill="auto"/>
          </w:tcPr>
          <w:p w:rsidR="00F763A3" w:rsidRPr="007A70FB" w:rsidRDefault="00F763A3" w:rsidP="000345C6">
            <w:pPr>
              <w:pStyle w:val="KMC-Tabletext"/>
              <w:keepNext/>
              <w:keepLines/>
              <w:spacing w:before="20" w:after="20"/>
              <w:jc w:val="center"/>
              <w:rPr>
                <w:sz w:val="20"/>
              </w:rPr>
            </w:pPr>
            <w:r w:rsidRPr="007A70FB">
              <w:rPr>
                <w:sz w:val="20"/>
              </w:rPr>
              <w:t>163</w:t>
            </w:r>
          </w:p>
        </w:tc>
        <w:tc>
          <w:tcPr>
            <w:tcW w:w="1170" w:type="pct"/>
            <w:shd w:val="clear" w:color="auto" w:fill="auto"/>
          </w:tcPr>
          <w:p w:rsidR="00F763A3" w:rsidRPr="007A70FB" w:rsidRDefault="00F763A3" w:rsidP="000345C6">
            <w:pPr>
              <w:pStyle w:val="KMC-Tabletext"/>
              <w:keepNext/>
              <w:keepLines/>
              <w:spacing w:before="20" w:after="20"/>
              <w:ind w:left="-51" w:right="-90"/>
              <w:jc w:val="center"/>
              <w:rPr>
                <w:sz w:val="20"/>
              </w:rPr>
            </w:pPr>
            <w:r w:rsidRPr="007A70FB">
              <w:rPr>
                <w:sz w:val="20"/>
              </w:rPr>
              <w:t>10/28 (35.7) (19, 56)</w:t>
            </w:r>
          </w:p>
        </w:tc>
        <w:tc>
          <w:tcPr>
            <w:tcW w:w="985" w:type="pct"/>
            <w:shd w:val="clear" w:color="auto" w:fill="auto"/>
          </w:tcPr>
          <w:p w:rsidR="00F763A3" w:rsidRPr="007A70FB" w:rsidRDefault="00F763A3" w:rsidP="000345C6">
            <w:pPr>
              <w:pStyle w:val="KMC-Tabletext"/>
              <w:keepNext/>
              <w:keepLines/>
              <w:spacing w:before="20" w:after="20"/>
              <w:ind w:left="-65" w:right="-90"/>
              <w:jc w:val="center"/>
              <w:rPr>
                <w:sz w:val="20"/>
              </w:rPr>
            </w:pPr>
            <w:r w:rsidRPr="007A70FB">
              <w:rPr>
                <w:sz w:val="20"/>
              </w:rPr>
              <w:t>11.1 (2.8, NE)</w:t>
            </w:r>
          </w:p>
        </w:tc>
      </w:tr>
      <w:tr w:rsidR="00F763A3" w:rsidRPr="007A70FB" w:rsidTr="00973DDE">
        <w:tc>
          <w:tcPr>
            <w:tcW w:w="781" w:type="pct"/>
            <w:tcBorders>
              <w:bottom w:val="nil"/>
            </w:tcBorders>
            <w:shd w:val="clear" w:color="auto" w:fill="auto"/>
          </w:tcPr>
          <w:p w:rsidR="00F763A3" w:rsidRPr="007A70FB" w:rsidRDefault="00F763A3" w:rsidP="000345C6">
            <w:pPr>
              <w:pStyle w:val="KMC-Tabletext"/>
              <w:keepNext/>
              <w:keepLines/>
              <w:spacing w:before="20" w:after="20"/>
              <w:jc w:val="left"/>
              <w:rPr>
                <w:sz w:val="20"/>
              </w:rPr>
            </w:pPr>
            <w:r w:rsidRPr="007A70FB">
              <w:rPr>
                <w:sz w:val="20"/>
              </w:rPr>
              <w:t>ASCEND-2</w:t>
            </w:r>
          </w:p>
        </w:tc>
        <w:tc>
          <w:tcPr>
            <w:tcW w:w="1792" w:type="pct"/>
            <w:shd w:val="clear" w:color="auto" w:fill="auto"/>
          </w:tcPr>
          <w:p w:rsidR="00F763A3" w:rsidRPr="007A70FB" w:rsidRDefault="00F763A3" w:rsidP="000345C6">
            <w:pPr>
              <w:pStyle w:val="KMC-Tabletext"/>
              <w:keepNext/>
              <w:keepLines/>
              <w:spacing w:before="20" w:after="20"/>
              <w:ind w:right="-103"/>
              <w:jc w:val="left"/>
              <w:rPr>
                <w:sz w:val="18"/>
              </w:rPr>
            </w:pPr>
            <w:r w:rsidRPr="007A70FB">
              <w:rPr>
                <w:sz w:val="20"/>
              </w:rPr>
              <w:t>Active target lesions at baseline</w:t>
            </w:r>
          </w:p>
        </w:tc>
        <w:tc>
          <w:tcPr>
            <w:tcW w:w="272" w:type="pct"/>
            <w:shd w:val="clear" w:color="auto" w:fill="auto"/>
          </w:tcPr>
          <w:p w:rsidR="00F763A3" w:rsidRPr="007A70FB" w:rsidRDefault="00F763A3" w:rsidP="000345C6">
            <w:pPr>
              <w:pStyle w:val="KMC-Tabletext"/>
              <w:keepNext/>
              <w:keepLines/>
              <w:spacing w:before="20" w:after="20"/>
              <w:jc w:val="center"/>
              <w:rPr>
                <w:sz w:val="20"/>
              </w:rPr>
            </w:pPr>
            <w:r w:rsidRPr="007A70FB">
              <w:rPr>
                <w:sz w:val="20"/>
              </w:rPr>
              <w:t>140</w:t>
            </w:r>
          </w:p>
        </w:tc>
        <w:tc>
          <w:tcPr>
            <w:tcW w:w="1170" w:type="pct"/>
            <w:shd w:val="clear" w:color="auto" w:fill="auto"/>
            <w:vAlign w:val="bottom"/>
          </w:tcPr>
          <w:p w:rsidR="00F763A3" w:rsidRPr="007A70FB" w:rsidRDefault="00F763A3" w:rsidP="000345C6">
            <w:pPr>
              <w:pStyle w:val="KMC-Tabletext"/>
              <w:keepNext/>
              <w:keepLines/>
              <w:spacing w:before="20" w:after="20"/>
              <w:ind w:left="-51" w:right="-90"/>
              <w:jc w:val="center"/>
              <w:rPr>
                <w:i/>
                <w:sz w:val="20"/>
              </w:rPr>
            </w:pPr>
            <w:r w:rsidRPr="007A70FB">
              <w:rPr>
                <w:i/>
                <w:sz w:val="20"/>
              </w:rPr>
              <w:t>13/33 (39.4) (22.9, 57.9)</w:t>
            </w:r>
          </w:p>
        </w:tc>
        <w:tc>
          <w:tcPr>
            <w:tcW w:w="985" w:type="pct"/>
            <w:shd w:val="clear" w:color="auto" w:fill="auto"/>
          </w:tcPr>
          <w:p w:rsidR="00F763A3" w:rsidRPr="007A70FB" w:rsidRDefault="00F763A3" w:rsidP="000345C6">
            <w:pPr>
              <w:pStyle w:val="KMC-Tabletext"/>
              <w:keepNext/>
              <w:keepLines/>
              <w:spacing w:before="20" w:after="20"/>
              <w:ind w:left="-65" w:right="-90"/>
              <w:jc w:val="center"/>
              <w:rPr>
                <w:i/>
                <w:sz w:val="20"/>
              </w:rPr>
            </w:pPr>
            <w:r w:rsidRPr="007A70FB">
              <w:rPr>
                <w:i/>
                <w:sz w:val="20"/>
              </w:rPr>
              <w:t>NR</w:t>
            </w:r>
          </w:p>
        </w:tc>
      </w:tr>
      <w:tr w:rsidR="00F763A3" w:rsidRPr="007A70FB" w:rsidTr="00973DDE">
        <w:tc>
          <w:tcPr>
            <w:tcW w:w="781" w:type="pct"/>
            <w:tcBorders>
              <w:top w:val="single" w:sz="4" w:space="0" w:color="auto"/>
              <w:bottom w:val="nil"/>
            </w:tcBorders>
            <w:shd w:val="clear" w:color="auto" w:fill="auto"/>
          </w:tcPr>
          <w:p w:rsidR="00F763A3" w:rsidRPr="007A70FB" w:rsidRDefault="00F763A3" w:rsidP="000345C6">
            <w:pPr>
              <w:pStyle w:val="KMC-Tabletext"/>
              <w:keepNext/>
              <w:keepLines/>
              <w:spacing w:before="20" w:after="20"/>
              <w:jc w:val="left"/>
              <w:rPr>
                <w:sz w:val="20"/>
              </w:rPr>
            </w:pPr>
            <w:r w:rsidRPr="007A70FB">
              <w:rPr>
                <w:sz w:val="20"/>
              </w:rPr>
              <w:t>ASCEND-5</w:t>
            </w:r>
          </w:p>
        </w:tc>
        <w:tc>
          <w:tcPr>
            <w:tcW w:w="1792" w:type="pct"/>
            <w:tcBorders>
              <w:bottom w:val="single" w:sz="4" w:space="0" w:color="auto"/>
            </w:tcBorders>
            <w:shd w:val="clear" w:color="auto" w:fill="auto"/>
          </w:tcPr>
          <w:p w:rsidR="00F763A3" w:rsidRPr="007A70FB" w:rsidRDefault="00F763A3" w:rsidP="00736544">
            <w:pPr>
              <w:pStyle w:val="KMC-Tabletext"/>
              <w:keepNext/>
              <w:keepLines/>
              <w:spacing w:before="20" w:after="20"/>
              <w:ind w:right="-103"/>
              <w:jc w:val="left"/>
              <w:rPr>
                <w:sz w:val="20"/>
              </w:rPr>
            </w:pPr>
            <w:r w:rsidRPr="007A70FB">
              <w:rPr>
                <w:sz w:val="20"/>
              </w:rPr>
              <w:t>Active target lesions at baseline (</w:t>
            </w:r>
            <w:r w:rsidR="00736544" w:rsidRPr="007A70FB">
              <w:rPr>
                <w:sz w:val="20"/>
              </w:rPr>
              <w:t>ceritinib arm</w:t>
            </w:r>
            <w:r w:rsidRPr="007A70FB">
              <w:rPr>
                <w:sz w:val="20"/>
              </w:rPr>
              <w:t>)</w:t>
            </w:r>
          </w:p>
        </w:tc>
        <w:tc>
          <w:tcPr>
            <w:tcW w:w="272" w:type="pct"/>
            <w:tcBorders>
              <w:bottom w:val="single" w:sz="4" w:space="0" w:color="auto"/>
            </w:tcBorders>
            <w:shd w:val="clear" w:color="auto" w:fill="auto"/>
          </w:tcPr>
          <w:p w:rsidR="00F763A3" w:rsidRPr="007A70FB" w:rsidRDefault="00F763A3" w:rsidP="000345C6">
            <w:pPr>
              <w:pStyle w:val="KMC-Tabletext"/>
              <w:keepNext/>
              <w:keepLines/>
              <w:spacing w:before="20" w:after="20"/>
              <w:jc w:val="center"/>
              <w:rPr>
                <w:sz w:val="20"/>
              </w:rPr>
            </w:pPr>
            <w:r w:rsidRPr="007A70FB">
              <w:rPr>
                <w:sz w:val="20"/>
              </w:rPr>
              <w:t>115</w:t>
            </w:r>
          </w:p>
        </w:tc>
        <w:tc>
          <w:tcPr>
            <w:tcW w:w="1170" w:type="pct"/>
            <w:tcBorders>
              <w:bottom w:val="single" w:sz="4" w:space="0" w:color="auto"/>
            </w:tcBorders>
            <w:shd w:val="clear" w:color="auto" w:fill="auto"/>
          </w:tcPr>
          <w:p w:rsidR="00F763A3" w:rsidRPr="007A70FB" w:rsidRDefault="00F763A3" w:rsidP="000345C6">
            <w:pPr>
              <w:pStyle w:val="KMC-Tabletext"/>
              <w:keepNext/>
              <w:keepLines/>
              <w:spacing w:before="20" w:after="20"/>
              <w:ind w:left="-51" w:right="-90"/>
              <w:jc w:val="center"/>
              <w:rPr>
                <w:sz w:val="20"/>
              </w:rPr>
            </w:pPr>
            <w:r w:rsidRPr="007A70FB">
              <w:rPr>
                <w:sz w:val="20"/>
              </w:rPr>
              <w:t>6/17 (35.3) (14.2, 61.7)</w:t>
            </w:r>
          </w:p>
        </w:tc>
        <w:tc>
          <w:tcPr>
            <w:tcW w:w="985" w:type="pct"/>
            <w:tcBorders>
              <w:bottom w:val="single" w:sz="4" w:space="0" w:color="auto"/>
            </w:tcBorders>
            <w:shd w:val="clear" w:color="auto" w:fill="auto"/>
          </w:tcPr>
          <w:p w:rsidR="00F763A3" w:rsidRPr="007A70FB" w:rsidRDefault="00F763A3" w:rsidP="000345C6">
            <w:pPr>
              <w:pStyle w:val="KMC-Tabletext"/>
              <w:keepNext/>
              <w:keepLines/>
              <w:spacing w:before="20" w:after="20"/>
              <w:ind w:left="-65" w:right="-90"/>
              <w:jc w:val="center"/>
              <w:rPr>
                <w:sz w:val="20"/>
              </w:rPr>
            </w:pPr>
            <w:r w:rsidRPr="007A70FB">
              <w:rPr>
                <w:sz w:val="20"/>
              </w:rPr>
              <w:t>6.9 (2.7, 8.3)</w:t>
            </w:r>
          </w:p>
        </w:tc>
      </w:tr>
      <w:tr w:rsidR="00F763A3" w:rsidRPr="007A70FB" w:rsidTr="00973DDE">
        <w:tc>
          <w:tcPr>
            <w:tcW w:w="781" w:type="pct"/>
            <w:tcBorders>
              <w:bottom w:val="nil"/>
            </w:tcBorders>
            <w:shd w:val="clear" w:color="auto" w:fill="auto"/>
          </w:tcPr>
          <w:p w:rsidR="00F763A3" w:rsidRPr="007A70FB" w:rsidRDefault="00F763A3" w:rsidP="000345C6">
            <w:pPr>
              <w:pStyle w:val="KMC-Tabletext"/>
              <w:keepNext/>
              <w:keepLines/>
              <w:spacing w:before="20" w:after="20"/>
              <w:jc w:val="left"/>
              <w:rPr>
                <w:i/>
                <w:sz w:val="20"/>
              </w:rPr>
            </w:pPr>
            <w:r w:rsidRPr="007A70FB">
              <w:rPr>
                <w:i/>
                <w:sz w:val="20"/>
              </w:rPr>
              <w:t>ASCEND-9</w:t>
            </w:r>
          </w:p>
        </w:tc>
        <w:tc>
          <w:tcPr>
            <w:tcW w:w="1792" w:type="pct"/>
            <w:tcBorders>
              <w:bottom w:val="single" w:sz="4" w:space="0" w:color="auto"/>
            </w:tcBorders>
            <w:shd w:val="clear" w:color="auto" w:fill="auto"/>
          </w:tcPr>
          <w:p w:rsidR="00F763A3" w:rsidRPr="007A70FB" w:rsidRDefault="00F763A3" w:rsidP="000345C6">
            <w:pPr>
              <w:pStyle w:val="KMC-Tabletext"/>
              <w:keepNext/>
              <w:keepLines/>
              <w:spacing w:before="20" w:after="20"/>
              <w:jc w:val="left"/>
              <w:rPr>
                <w:i/>
                <w:sz w:val="20"/>
              </w:rPr>
            </w:pPr>
            <w:r w:rsidRPr="007A70FB">
              <w:rPr>
                <w:i/>
                <w:sz w:val="20"/>
              </w:rPr>
              <w:t>CNS lesions</w:t>
            </w:r>
            <w:r w:rsidR="000A197A" w:rsidRPr="007A70FB">
              <w:rPr>
                <w:i/>
                <w:sz w:val="20"/>
                <w:vertAlign w:val="superscript"/>
              </w:rPr>
              <w:t>d</w:t>
            </w:r>
          </w:p>
        </w:tc>
        <w:tc>
          <w:tcPr>
            <w:tcW w:w="272" w:type="pct"/>
            <w:tcBorders>
              <w:bottom w:val="single" w:sz="4" w:space="0" w:color="auto"/>
            </w:tcBorders>
            <w:shd w:val="clear" w:color="auto" w:fill="auto"/>
          </w:tcPr>
          <w:p w:rsidR="00F763A3" w:rsidRPr="007A70FB" w:rsidRDefault="00F763A3" w:rsidP="000345C6">
            <w:pPr>
              <w:pStyle w:val="KMC-Tabletext"/>
              <w:keepNext/>
              <w:keepLines/>
              <w:spacing w:before="20" w:after="20"/>
              <w:jc w:val="center"/>
              <w:rPr>
                <w:i/>
                <w:sz w:val="20"/>
              </w:rPr>
            </w:pPr>
            <w:r w:rsidRPr="007A70FB">
              <w:rPr>
                <w:i/>
                <w:sz w:val="20"/>
              </w:rPr>
              <w:t>20</w:t>
            </w:r>
          </w:p>
        </w:tc>
        <w:tc>
          <w:tcPr>
            <w:tcW w:w="1170" w:type="pct"/>
            <w:tcBorders>
              <w:bottom w:val="single" w:sz="4" w:space="0" w:color="auto"/>
            </w:tcBorders>
            <w:shd w:val="clear" w:color="auto" w:fill="auto"/>
          </w:tcPr>
          <w:p w:rsidR="00F763A3" w:rsidRPr="007A70FB" w:rsidRDefault="00F763A3" w:rsidP="000345C6">
            <w:pPr>
              <w:pStyle w:val="KMC-Tabletext"/>
              <w:keepNext/>
              <w:keepLines/>
              <w:spacing w:before="20" w:after="20"/>
              <w:ind w:left="-51" w:right="-90"/>
              <w:jc w:val="center"/>
              <w:rPr>
                <w:i/>
                <w:sz w:val="20"/>
              </w:rPr>
            </w:pPr>
            <w:r w:rsidRPr="007A70FB">
              <w:rPr>
                <w:i/>
                <w:sz w:val="20"/>
              </w:rPr>
              <w:t>3/12 (25.0) (95 CI - NR)</w:t>
            </w:r>
          </w:p>
        </w:tc>
        <w:tc>
          <w:tcPr>
            <w:tcW w:w="985" w:type="pct"/>
            <w:tcBorders>
              <w:bottom w:val="single" w:sz="4" w:space="0" w:color="auto"/>
            </w:tcBorders>
            <w:shd w:val="clear" w:color="auto" w:fill="auto"/>
          </w:tcPr>
          <w:p w:rsidR="00F763A3" w:rsidRPr="007A70FB" w:rsidRDefault="00F763A3" w:rsidP="000345C6">
            <w:pPr>
              <w:pStyle w:val="KMC-Tabletext"/>
              <w:keepNext/>
              <w:keepLines/>
              <w:spacing w:before="20" w:after="20"/>
              <w:ind w:left="-65" w:right="-90"/>
              <w:jc w:val="center"/>
              <w:rPr>
                <w:i/>
                <w:sz w:val="20"/>
              </w:rPr>
            </w:pPr>
            <w:r w:rsidRPr="007A70FB">
              <w:rPr>
                <w:i/>
                <w:sz w:val="20"/>
              </w:rPr>
              <w:t>11.6 (range: 4.8-23.0)</w:t>
            </w:r>
          </w:p>
        </w:tc>
      </w:tr>
      <w:tr w:rsidR="00F763A3" w:rsidRPr="007A70FB" w:rsidTr="00973DDE">
        <w:tc>
          <w:tcPr>
            <w:tcW w:w="781" w:type="pct"/>
            <w:tcBorders>
              <w:bottom w:val="single" w:sz="4" w:space="0" w:color="auto"/>
              <w:right w:val="nil"/>
            </w:tcBorders>
            <w:shd w:val="clear" w:color="auto" w:fill="auto"/>
          </w:tcPr>
          <w:p w:rsidR="00F763A3" w:rsidRPr="007A70FB" w:rsidRDefault="00F763A3" w:rsidP="000345C6">
            <w:pPr>
              <w:pStyle w:val="KMC-Tabletext"/>
              <w:keepNext/>
              <w:keepLines/>
              <w:spacing w:before="20" w:after="20"/>
              <w:jc w:val="left"/>
              <w:rPr>
                <w:b/>
                <w:bCs w:val="0"/>
                <w:sz w:val="20"/>
              </w:rPr>
            </w:pPr>
            <w:r w:rsidRPr="007A70FB">
              <w:rPr>
                <w:b/>
                <w:bCs w:val="0"/>
                <w:sz w:val="20"/>
              </w:rPr>
              <w:t>Brigatinib</w:t>
            </w:r>
          </w:p>
        </w:tc>
        <w:tc>
          <w:tcPr>
            <w:tcW w:w="1792" w:type="pct"/>
            <w:tcBorders>
              <w:left w:val="nil"/>
              <w:right w:val="nil"/>
            </w:tcBorders>
            <w:shd w:val="clear" w:color="auto" w:fill="auto"/>
          </w:tcPr>
          <w:p w:rsidR="00F763A3" w:rsidRPr="007A70FB" w:rsidRDefault="00F763A3" w:rsidP="000345C6">
            <w:pPr>
              <w:pStyle w:val="KMC-Tabletext"/>
              <w:keepNext/>
              <w:keepLines/>
              <w:spacing w:before="20" w:after="20"/>
              <w:jc w:val="left"/>
              <w:rPr>
                <w:sz w:val="20"/>
              </w:rPr>
            </w:pPr>
          </w:p>
        </w:tc>
        <w:tc>
          <w:tcPr>
            <w:tcW w:w="272" w:type="pct"/>
            <w:tcBorders>
              <w:left w:val="nil"/>
              <w:right w:val="nil"/>
            </w:tcBorders>
            <w:shd w:val="clear" w:color="auto" w:fill="auto"/>
          </w:tcPr>
          <w:p w:rsidR="00F763A3" w:rsidRPr="007A70FB" w:rsidRDefault="00F763A3" w:rsidP="000345C6">
            <w:pPr>
              <w:pStyle w:val="KMC-Tabletext"/>
              <w:keepNext/>
              <w:keepLines/>
              <w:spacing w:before="20" w:after="20"/>
              <w:jc w:val="center"/>
              <w:rPr>
                <w:sz w:val="20"/>
              </w:rPr>
            </w:pPr>
          </w:p>
        </w:tc>
        <w:tc>
          <w:tcPr>
            <w:tcW w:w="1170" w:type="pct"/>
            <w:tcBorders>
              <w:left w:val="nil"/>
              <w:right w:val="nil"/>
            </w:tcBorders>
            <w:shd w:val="clear" w:color="auto" w:fill="auto"/>
          </w:tcPr>
          <w:p w:rsidR="00F763A3" w:rsidRPr="007A70FB" w:rsidRDefault="00F763A3" w:rsidP="000345C6">
            <w:pPr>
              <w:pStyle w:val="KMC-Tabletext"/>
              <w:keepNext/>
              <w:keepLines/>
              <w:spacing w:before="20" w:after="20"/>
              <w:ind w:left="-51" w:right="-90"/>
              <w:jc w:val="center"/>
              <w:rPr>
                <w:sz w:val="20"/>
              </w:rPr>
            </w:pPr>
          </w:p>
        </w:tc>
        <w:tc>
          <w:tcPr>
            <w:tcW w:w="985" w:type="pct"/>
            <w:tcBorders>
              <w:left w:val="nil"/>
            </w:tcBorders>
            <w:shd w:val="clear" w:color="auto" w:fill="auto"/>
          </w:tcPr>
          <w:p w:rsidR="00F763A3" w:rsidRPr="007A70FB" w:rsidRDefault="00F763A3" w:rsidP="000345C6">
            <w:pPr>
              <w:pStyle w:val="KMC-Tabletext"/>
              <w:keepNext/>
              <w:keepLines/>
              <w:spacing w:before="20" w:after="20"/>
              <w:ind w:left="-65" w:right="-90"/>
              <w:jc w:val="center"/>
              <w:rPr>
                <w:sz w:val="20"/>
              </w:rPr>
            </w:pPr>
          </w:p>
        </w:tc>
      </w:tr>
      <w:tr w:rsidR="00F763A3" w:rsidRPr="007A70FB" w:rsidTr="00973DDE">
        <w:tc>
          <w:tcPr>
            <w:tcW w:w="781" w:type="pct"/>
            <w:tcBorders>
              <w:bottom w:val="nil"/>
            </w:tcBorders>
            <w:shd w:val="clear" w:color="auto" w:fill="auto"/>
          </w:tcPr>
          <w:p w:rsidR="00F763A3" w:rsidRPr="007A70FB" w:rsidRDefault="00F763A3" w:rsidP="000345C6">
            <w:pPr>
              <w:pStyle w:val="KMC-Tabletext"/>
              <w:keepNext/>
              <w:keepLines/>
              <w:spacing w:before="20" w:after="20"/>
              <w:jc w:val="left"/>
              <w:rPr>
                <w:sz w:val="20"/>
              </w:rPr>
            </w:pPr>
            <w:r w:rsidRPr="007A70FB">
              <w:rPr>
                <w:sz w:val="20"/>
              </w:rPr>
              <w:t>ALTA</w:t>
            </w:r>
          </w:p>
        </w:tc>
        <w:tc>
          <w:tcPr>
            <w:tcW w:w="1792" w:type="pct"/>
            <w:shd w:val="clear" w:color="auto" w:fill="auto"/>
          </w:tcPr>
          <w:p w:rsidR="00F763A3" w:rsidRPr="007A70FB" w:rsidRDefault="00F763A3" w:rsidP="000345C6">
            <w:pPr>
              <w:pStyle w:val="KMC-Tabletext"/>
              <w:keepNext/>
              <w:keepLines/>
              <w:spacing w:before="20" w:after="20"/>
              <w:jc w:val="left"/>
              <w:rPr>
                <w:sz w:val="20"/>
              </w:rPr>
            </w:pPr>
            <w:r w:rsidRPr="007A70FB">
              <w:rPr>
                <w:sz w:val="20"/>
              </w:rPr>
              <w:t>CNS-lesions measurable</w:t>
            </w:r>
            <w:r w:rsidR="000A197A" w:rsidRPr="007A70FB">
              <w:rPr>
                <w:iCs/>
                <w:sz w:val="20"/>
                <w:vertAlign w:val="superscript"/>
              </w:rPr>
              <w:t>c</w:t>
            </w:r>
            <w:r w:rsidRPr="007A70FB">
              <w:rPr>
                <w:sz w:val="20"/>
              </w:rPr>
              <w:t xml:space="preserve"> 90 mg QD</w:t>
            </w:r>
          </w:p>
        </w:tc>
        <w:tc>
          <w:tcPr>
            <w:tcW w:w="272" w:type="pct"/>
            <w:shd w:val="clear" w:color="auto" w:fill="auto"/>
          </w:tcPr>
          <w:p w:rsidR="00F763A3" w:rsidRPr="007A70FB" w:rsidRDefault="00F763A3" w:rsidP="000345C6">
            <w:pPr>
              <w:pStyle w:val="KMC-Tabletext"/>
              <w:keepNext/>
              <w:keepLines/>
              <w:spacing w:before="20" w:after="20"/>
              <w:jc w:val="center"/>
              <w:rPr>
                <w:sz w:val="20"/>
              </w:rPr>
            </w:pPr>
            <w:r w:rsidRPr="007A70FB">
              <w:rPr>
                <w:sz w:val="20"/>
              </w:rPr>
              <w:t>112</w:t>
            </w:r>
          </w:p>
        </w:tc>
        <w:tc>
          <w:tcPr>
            <w:tcW w:w="1170" w:type="pct"/>
            <w:shd w:val="clear" w:color="auto" w:fill="auto"/>
          </w:tcPr>
          <w:p w:rsidR="00F763A3" w:rsidRPr="007A70FB" w:rsidRDefault="00F763A3" w:rsidP="000345C6">
            <w:pPr>
              <w:pStyle w:val="KMC-Tabletext"/>
              <w:keepNext/>
              <w:keepLines/>
              <w:spacing w:before="20" w:after="20"/>
              <w:ind w:left="-51" w:right="-90"/>
              <w:jc w:val="center"/>
              <w:rPr>
                <w:sz w:val="20"/>
              </w:rPr>
            </w:pPr>
            <w:r w:rsidRPr="007A70FB">
              <w:rPr>
                <w:sz w:val="20"/>
              </w:rPr>
              <w:t>13/26 (50.0) (95% CI – NR)</w:t>
            </w:r>
          </w:p>
        </w:tc>
        <w:tc>
          <w:tcPr>
            <w:tcW w:w="985" w:type="pct"/>
            <w:shd w:val="clear" w:color="auto" w:fill="auto"/>
          </w:tcPr>
          <w:p w:rsidR="00F763A3" w:rsidRPr="007A70FB" w:rsidRDefault="00F763A3" w:rsidP="000345C6">
            <w:pPr>
              <w:pStyle w:val="KMC-Tabletext"/>
              <w:keepNext/>
              <w:keepLines/>
              <w:spacing w:before="20" w:after="20"/>
              <w:ind w:left="-65" w:right="-90"/>
              <w:jc w:val="center"/>
              <w:rPr>
                <w:sz w:val="20"/>
              </w:rPr>
            </w:pPr>
            <w:r w:rsidRPr="007A70FB">
              <w:rPr>
                <w:sz w:val="20"/>
              </w:rPr>
              <w:t>NE</w:t>
            </w:r>
          </w:p>
        </w:tc>
      </w:tr>
      <w:tr w:rsidR="00F763A3" w:rsidRPr="007A70FB" w:rsidTr="00973DDE">
        <w:tc>
          <w:tcPr>
            <w:tcW w:w="781" w:type="pct"/>
            <w:tcBorders>
              <w:top w:val="nil"/>
              <w:bottom w:val="single" w:sz="4" w:space="0" w:color="auto"/>
            </w:tcBorders>
            <w:shd w:val="clear" w:color="auto" w:fill="auto"/>
          </w:tcPr>
          <w:p w:rsidR="00F763A3" w:rsidRPr="007A70FB" w:rsidRDefault="00F763A3" w:rsidP="000345C6">
            <w:pPr>
              <w:pStyle w:val="KMC-Tabletext"/>
              <w:keepNext/>
              <w:keepLines/>
              <w:spacing w:before="20" w:after="20"/>
              <w:ind w:right="-196"/>
              <w:jc w:val="left"/>
              <w:rPr>
                <w:sz w:val="20"/>
              </w:rPr>
            </w:pPr>
          </w:p>
        </w:tc>
        <w:tc>
          <w:tcPr>
            <w:tcW w:w="1792" w:type="pct"/>
            <w:shd w:val="clear" w:color="auto" w:fill="auto"/>
          </w:tcPr>
          <w:p w:rsidR="00F763A3" w:rsidRPr="007A70FB" w:rsidRDefault="00F763A3" w:rsidP="000345C6">
            <w:pPr>
              <w:pStyle w:val="KMC-Tabletext"/>
              <w:keepNext/>
              <w:keepLines/>
              <w:spacing w:before="20" w:after="20"/>
              <w:jc w:val="left"/>
              <w:rPr>
                <w:sz w:val="20"/>
              </w:rPr>
            </w:pPr>
            <w:r w:rsidRPr="007A70FB">
              <w:rPr>
                <w:sz w:val="20"/>
              </w:rPr>
              <w:t>CNS-lesions measurable</w:t>
            </w:r>
            <w:r w:rsidR="000A197A" w:rsidRPr="007A70FB">
              <w:rPr>
                <w:iCs/>
                <w:sz w:val="20"/>
                <w:vertAlign w:val="superscript"/>
              </w:rPr>
              <w:t>c</w:t>
            </w:r>
            <w:r w:rsidRPr="007A70FB">
              <w:rPr>
                <w:sz w:val="20"/>
              </w:rPr>
              <w:t>,</w:t>
            </w:r>
            <w:r w:rsidRPr="007A70FB">
              <w:rPr>
                <w:iCs/>
                <w:sz w:val="20"/>
              </w:rPr>
              <w:t xml:space="preserve"> </w:t>
            </w:r>
            <w:r w:rsidRPr="007A70FB">
              <w:rPr>
                <w:sz w:val="20"/>
              </w:rPr>
              <w:t>180 mg QD</w:t>
            </w:r>
          </w:p>
        </w:tc>
        <w:tc>
          <w:tcPr>
            <w:tcW w:w="272" w:type="pct"/>
            <w:tcBorders>
              <w:bottom w:val="single" w:sz="4" w:space="0" w:color="auto"/>
            </w:tcBorders>
            <w:shd w:val="clear" w:color="auto" w:fill="auto"/>
          </w:tcPr>
          <w:p w:rsidR="00F763A3" w:rsidRPr="007A70FB" w:rsidRDefault="00F763A3" w:rsidP="000345C6">
            <w:pPr>
              <w:pStyle w:val="KMC-Tabletext"/>
              <w:keepNext/>
              <w:keepLines/>
              <w:spacing w:before="20" w:after="20"/>
              <w:jc w:val="center"/>
              <w:rPr>
                <w:sz w:val="20"/>
              </w:rPr>
            </w:pPr>
            <w:r w:rsidRPr="007A70FB">
              <w:rPr>
                <w:sz w:val="20"/>
              </w:rPr>
              <w:t>110</w:t>
            </w:r>
          </w:p>
        </w:tc>
        <w:tc>
          <w:tcPr>
            <w:tcW w:w="1170" w:type="pct"/>
            <w:shd w:val="clear" w:color="auto" w:fill="auto"/>
          </w:tcPr>
          <w:p w:rsidR="00F763A3" w:rsidRPr="007A70FB" w:rsidRDefault="00F763A3" w:rsidP="000345C6">
            <w:pPr>
              <w:pStyle w:val="KMC-Tabletext"/>
              <w:keepNext/>
              <w:keepLines/>
              <w:spacing w:before="20" w:after="20"/>
              <w:ind w:left="-51" w:right="-90"/>
              <w:jc w:val="center"/>
              <w:rPr>
                <w:sz w:val="20"/>
              </w:rPr>
            </w:pPr>
            <w:r w:rsidRPr="007A70FB">
              <w:rPr>
                <w:sz w:val="20"/>
              </w:rPr>
              <w:t>12/18 (66.7) (95% CI – NR)</w:t>
            </w:r>
          </w:p>
        </w:tc>
        <w:tc>
          <w:tcPr>
            <w:tcW w:w="985" w:type="pct"/>
            <w:tcBorders>
              <w:bottom w:val="single" w:sz="4" w:space="0" w:color="auto"/>
            </w:tcBorders>
            <w:shd w:val="clear" w:color="auto" w:fill="auto"/>
          </w:tcPr>
          <w:p w:rsidR="00F763A3" w:rsidRPr="007A70FB" w:rsidRDefault="00F763A3" w:rsidP="000345C6">
            <w:pPr>
              <w:pStyle w:val="KMC-Tabletext"/>
              <w:keepNext/>
              <w:keepLines/>
              <w:spacing w:before="20" w:after="20"/>
              <w:ind w:left="-65" w:right="-90"/>
              <w:jc w:val="center"/>
              <w:rPr>
                <w:sz w:val="20"/>
              </w:rPr>
            </w:pPr>
            <w:r w:rsidRPr="007A70FB">
              <w:rPr>
                <w:sz w:val="20"/>
              </w:rPr>
              <w:t>NR</w:t>
            </w:r>
          </w:p>
        </w:tc>
      </w:tr>
      <w:tr w:rsidR="00F763A3" w:rsidRPr="007A70FB" w:rsidTr="00973DDE">
        <w:tc>
          <w:tcPr>
            <w:tcW w:w="781" w:type="pct"/>
            <w:tcBorders>
              <w:bottom w:val="nil"/>
            </w:tcBorders>
            <w:shd w:val="clear" w:color="auto" w:fill="auto"/>
          </w:tcPr>
          <w:p w:rsidR="00F763A3" w:rsidRPr="007A70FB" w:rsidRDefault="00F763A3" w:rsidP="000345C6">
            <w:pPr>
              <w:pStyle w:val="KMC-Tabletext"/>
              <w:keepNext/>
              <w:keepLines/>
              <w:spacing w:before="20" w:after="20"/>
              <w:jc w:val="left"/>
              <w:rPr>
                <w:sz w:val="20"/>
              </w:rPr>
            </w:pPr>
            <w:r w:rsidRPr="007A70FB">
              <w:rPr>
                <w:sz w:val="20"/>
              </w:rPr>
              <w:t>Gettinger 2016</w:t>
            </w:r>
          </w:p>
        </w:tc>
        <w:tc>
          <w:tcPr>
            <w:tcW w:w="1792" w:type="pct"/>
            <w:shd w:val="clear" w:color="auto" w:fill="auto"/>
          </w:tcPr>
          <w:p w:rsidR="00F763A3" w:rsidRPr="007A70FB" w:rsidRDefault="00F763A3" w:rsidP="000345C6">
            <w:pPr>
              <w:pStyle w:val="KMC-Tabletext"/>
              <w:keepNext/>
              <w:keepLines/>
              <w:spacing w:before="20" w:after="20"/>
              <w:jc w:val="left"/>
              <w:rPr>
                <w:sz w:val="20"/>
              </w:rPr>
            </w:pPr>
            <w:r w:rsidRPr="007A70FB">
              <w:rPr>
                <w:sz w:val="20"/>
              </w:rPr>
              <w:t>CNS-lesions measurable</w:t>
            </w:r>
            <w:r w:rsidR="000A197A" w:rsidRPr="007A70FB">
              <w:rPr>
                <w:iCs/>
                <w:sz w:val="20"/>
                <w:vertAlign w:val="superscript"/>
              </w:rPr>
              <w:t>c</w:t>
            </w:r>
          </w:p>
        </w:tc>
        <w:tc>
          <w:tcPr>
            <w:tcW w:w="272" w:type="pct"/>
            <w:tcBorders>
              <w:bottom w:val="nil"/>
            </w:tcBorders>
            <w:shd w:val="clear" w:color="auto" w:fill="auto"/>
          </w:tcPr>
          <w:p w:rsidR="00F763A3" w:rsidRPr="007A70FB" w:rsidRDefault="00F763A3" w:rsidP="000345C6">
            <w:pPr>
              <w:pStyle w:val="KMC-Tabletext"/>
              <w:keepNext/>
              <w:keepLines/>
              <w:spacing w:before="20" w:after="20"/>
              <w:ind w:left="-56"/>
              <w:jc w:val="center"/>
              <w:rPr>
                <w:sz w:val="20"/>
              </w:rPr>
            </w:pPr>
            <w:r w:rsidRPr="007A70FB">
              <w:rPr>
                <w:sz w:val="20"/>
              </w:rPr>
              <w:t>71</w:t>
            </w:r>
          </w:p>
        </w:tc>
        <w:tc>
          <w:tcPr>
            <w:tcW w:w="1170" w:type="pct"/>
            <w:shd w:val="clear" w:color="auto" w:fill="auto"/>
          </w:tcPr>
          <w:p w:rsidR="00F763A3" w:rsidRPr="007A70FB" w:rsidRDefault="00F763A3" w:rsidP="000345C6">
            <w:pPr>
              <w:pStyle w:val="KMC-Tabletext"/>
              <w:keepNext/>
              <w:keepLines/>
              <w:spacing w:before="20" w:after="20"/>
              <w:ind w:left="-51" w:right="-90"/>
              <w:jc w:val="center"/>
              <w:rPr>
                <w:sz w:val="20"/>
              </w:rPr>
            </w:pPr>
            <w:r w:rsidRPr="007A70FB">
              <w:rPr>
                <w:sz w:val="20"/>
              </w:rPr>
              <w:t>8/15 (53) (27, 79)</w:t>
            </w:r>
          </w:p>
        </w:tc>
        <w:tc>
          <w:tcPr>
            <w:tcW w:w="985" w:type="pct"/>
            <w:tcBorders>
              <w:bottom w:val="nil"/>
            </w:tcBorders>
          </w:tcPr>
          <w:p w:rsidR="00F763A3" w:rsidRPr="007A70FB" w:rsidRDefault="00456DCE" w:rsidP="00456DCE">
            <w:pPr>
              <w:pStyle w:val="KMC-Tabletext"/>
              <w:keepNext/>
              <w:keepLines/>
              <w:spacing w:before="20" w:after="20"/>
              <w:ind w:left="-65" w:right="-90"/>
              <w:jc w:val="center"/>
              <w:rPr>
                <w:i/>
                <w:sz w:val="20"/>
              </w:rPr>
            </w:pPr>
            <w:r w:rsidRPr="007A70FB">
              <w:rPr>
                <w:i/>
                <w:sz w:val="20"/>
              </w:rPr>
              <w:t>NR</w:t>
            </w:r>
            <w:r w:rsidRPr="007A70FB">
              <w:rPr>
                <w:i/>
                <w:sz w:val="20"/>
                <w:vertAlign w:val="superscript"/>
              </w:rPr>
              <w:t>e</w:t>
            </w:r>
          </w:p>
        </w:tc>
      </w:tr>
      <w:tr w:rsidR="00F763A3" w:rsidRPr="007A70FB" w:rsidTr="00973DDE">
        <w:tc>
          <w:tcPr>
            <w:tcW w:w="781" w:type="pct"/>
            <w:tcBorders>
              <w:top w:val="nil"/>
              <w:bottom w:val="single" w:sz="4" w:space="0" w:color="auto"/>
            </w:tcBorders>
            <w:shd w:val="clear" w:color="auto" w:fill="auto"/>
          </w:tcPr>
          <w:p w:rsidR="00F763A3" w:rsidRPr="007A70FB" w:rsidRDefault="00F763A3" w:rsidP="000345C6">
            <w:pPr>
              <w:pStyle w:val="KMC-Tabletext"/>
              <w:keepNext/>
              <w:keepLines/>
              <w:spacing w:before="20" w:after="20"/>
              <w:jc w:val="left"/>
              <w:rPr>
                <w:iCs/>
                <w:sz w:val="20"/>
              </w:rPr>
            </w:pPr>
          </w:p>
        </w:tc>
        <w:tc>
          <w:tcPr>
            <w:tcW w:w="1792" w:type="pct"/>
            <w:shd w:val="clear" w:color="auto" w:fill="auto"/>
          </w:tcPr>
          <w:p w:rsidR="00F763A3" w:rsidRPr="007A70FB" w:rsidRDefault="00F763A3" w:rsidP="000345C6">
            <w:pPr>
              <w:pStyle w:val="KMC-Tabletext"/>
              <w:keepNext/>
              <w:keepLines/>
              <w:spacing w:before="20" w:after="20"/>
              <w:jc w:val="left"/>
              <w:rPr>
                <w:i/>
                <w:sz w:val="20"/>
              </w:rPr>
            </w:pPr>
            <w:r w:rsidRPr="007A70FB">
              <w:rPr>
                <w:i/>
                <w:sz w:val="20"/>
              </w:rPr>
              <w:t>CNS lesions non-measurable</w:t>
            </w:r>
          </w:p>
        </w:tc>
        <w:tc>
          <w:tcPr>
            <w:tcW w:w="272" w:type="pct"/>
            <w:tcBorders>
              <w:top w:val="nil"/>
            </w:tcBorders>
            <w:shd w:val="clear" w:color="auto" w:fill="auto"/>
          </w:tcPr>
          <w:p w:rsidR="00F763A3" w:rsidRPr="007A70FB" w:rsidRDefault="00F763A3" w:rsidP="000345C6">
            <w:pPr>
              <w:pStyle w:val="KMC-Tabletext"/>
              <w:keepNext/>
              <w:keepLines/>
              <w:spacing w:before="20" w:after="20"/>
              <w:ind w:left="-56"/>
              <w:jc w:val="center"/>
              <w:rPr>
                <w:sz w:val="20"/>
              </w:rPr>
            </w:pPr>
          </w:p>
        </w:tc>
        <w:tc>
          <w:tcPr>
            <w:tcW w:w="1170" w:type="pct"/>
            <w:shd w:val="clear" w:color="auto" w:fill="auto"/>
          </w:tcPr>
          <w:p w:rsidR="00F763A3" w:rsidRPr="007A70FB" w:rsidRDefault="00F763A3" w:rsidP="000345C6">
            <w:pPr>
              <w:pStyle w:val="KMC-Tabletext"/>
              <w:keepNext/>
              <w:keepLines/>
              <w:spacing w:before="20" w:after="20"/>
              <w:ind w:left="-51" w:right="-90"/>
              <w:jc w:val="center"/>
              <w:rPr>
                <w:i/>
                <w:sz w:val="20"/>
              </w:rPr>
            </w:pPr>
            <w:r w:rsidRPr="007A70FB">
              <w:rPr>
                <w:i/>
                <w:sz w:val="20"/>
              </w:rPr>
              <w:t>11/31 (35) (19, 55)</w:t>
            </w:r>
          </w:p>
        </w:tc>
        <w:tc>
          <w:tcPr>
            <w:tcW w:w="985" w:type="pct"/>
            <w:tcBorders>
              <w:top w:val="nil"/>
            </w:tcBorders>
          </w:tcPr>
          <w:p w:rsidR="00F763A3" w:rsidRPr="007A70FB" w:rsidRDefault="00F763A3" w:rsidP="000345C6">
            <w:pPr>
              <w:pStyle w:val="KMC-Tabletext"/>
              <w:keepNext/>
              <w:keepLines/>
              <w:spacing w:before="20" w:after="20"/>
              <w:ind w:left="-65" w:right="-90"/>
              <w:jc w:val="center"/>
              <w:rPr>
                <w:iCs/>
                <w:sz w:val="20"/>
              </w:rPr>
            </w:pPr>
          </w:p>
        </w:tc>
      </w:tr>
    </w:tbl>
    <w:p w:rsidR="005928E6" w:rsidRPr="007A70FB" w:rsidRDefault="005928E6" w:rsidP="000345C6">
      <w:pPr>
        <w:pStyle w:val="TableFooter"/>
        <w:keepNext/>
        <w:keepLines/>
        <w:widowControl/>
      </w:pPr>
      <w:r w:rsidRPr="007A70FB">
        <w:t xml:space="preserve">Abbreviations: CI = confidence interval; CR = complete response; DOR = duration of response; FAS = full analysis set; </w:t>
      </w:r>
      <w:r w:rsidR="001B66B7" w:rsidRPr="007A70FB">
        <w:t xml:space="preserve">IC-ORR = intracranial objective response rate; </w:t>
      </w:r>
      <w:r w:rsidRPr="007A70FB">
        <w:t xml:space="preserve">IRC = independent review committee; NE = not evaluable; NR = not reported; ORR = objective response rate; PP = per protocol; PR = partial response; RE = response evaluable. </w:t>
      </w:r>
    </w:p>
    <w:p w:rsidR="00311AAD" w:rsidRPr="007A70FB" w:rsidRDefault="00311AAD" w:rsidP="000345C6">
      <w:pPr>
        <w:pStyle w:val="TableFooter"/>
        <w:keepNext/>
        <w:keepLines/>
        <w:widowControl/>
        <w:rPr>
          <w:iCs/>
        </w:rPr>
      </w:pPr>
      <w:r w:rsidRPr="007A70FB">
        <w:t xml:space="preserve">Note: </w:t>
      </w:r>
      <w:r w:rsidRPr="007A70FB">
        <w:rPr>
          <w:iCs/>
        </w:rPr>
        <w:t>Figure</w:t>
      </w:r>
      <w:r w:rsidR="000D7E2F" w:rsidRPr="007A70FB">
        <w:rPr>
          <w:iCs/>
        </w:rPr>
        <w:t>s in italics were</w:t>
      </w:r>
      <w:r w:rsidRPr="007A70FB">
        <w:rPr>
          <w:iCs/>
        </w:rPr>
        <w:t xml:space="preserve"> extracted during evaluation</w:t>
      </w:r>
      <w:r w:rsidR="008B4F81" w:rsidRPr="007A70FB">
        <w:rPr>
          <w:iCs/>
        </w:rPr>
        <w:t>.</w:t>
      </w:r>
    </w:p>
    <w:p w:rsidR="0055224F" w:rsidRPr="007A70FB" w:rsidRDefault="00001FD2" w:rsidP="000345C6">
      <w:pPr>
        <w:pStyle w:val="TableFooter"/>
        <w:keepNext/>
        <w:keepLines/>
        <w:widowControl/>
        <w:rPr>
          <w:iCs/>
        </w:rPr>
      </w:pPr>
      <w:r w:rsidRPr="007A70FB">
        <w:rPr>
          <w:iCs/>
          <w:vertAlign w:val="superscript"/>
        </w:rPr>
        <w:t>a</w:t>
      </w:r>
      <w:r w:rsidR="00121E7E" w:rsidRPr="007A70FB">
        <w:rPr>
          <w:iCs/>
        </w:rPr>
        <w:t xml:space="preserve"> N in this column denote</w:t>
      </w:r>
      <w:r w:rsidR="00763870" w:rsidRPr="007A70FB">
        <w:rPr>
          <w:iCs/>
        </w:rPr>
        <w:t>d the total number of patients.</w:t>
      </w:r>
    </w:p>
    <w:p w:rsidR="0055224F" w:rsidRPr="007A70FB" w:rsidRDefault="00001FD2" w:rsidP="000345C6">
      <w:pPr>
        <w:pStyle w:val="TableFooter"/>
        <w:keepNext/>
        <w:keepLines/>
        <w:widowControl/>
        <w:rPr>
          <w:iCs/>
        </w:rPr>
      </w:pPr>
      <w:r w:rsidRPr="007A70FB">
        <w:rPr>
          <w:iCs/>
          <w:vertAlign w:val="superscript"/>
        </w:rPr>
        <w:t>b</w:t>
      </w:r>
      <w:r w:rsidR="00121E7E" w:rsidRPr="007A70FB">
        <w:rPr>
          <w:iCs/>
        </w:rPr>
        <w:t xml:space="preserve"> N in this column denoted the numbe</w:t>
      </w:r>
      <w:r w:rsidR="00763870" w:rsidRPr="007A70FB">
        <w:rPr>
          <w:iCs/>
        </w:rPr>
        <w:t>r of patients with CNS disease.</w:t>
      </w:r>
    </w:p>
    <w:p w:rsidR="000A197A" w:rsidRPr="007A70FB" w:rsidRDefault="000A197A" w:rsidP="000345C6">
      <w:pPr>
        <w:pStyle w:val="TableFooter"/>
        <w:keepNext/>
        <w:keepLines/>
        <w:widowControl/>
        <w:rPr>
          <w:iCs/>
        </w:rPr>
      </w:pPr>
      <w:r w:rsidRPr="007A70FB">
        <w:rPr>
          <w:iCs/>
          <w:vertAlign w:val="superscript"/>
        </w:rPr>
        <w:t>c</w:t>
      </w:r>
      <w:r w:rsidR="00121E7E" w:rsidRPr="007A70FB">
        <w:rPr>
          <w:iCs/>
        </w:rPr>
        <w:t xml:space="preserve"> CNS-lesions measurable: based on patients with measurable CNS disease at baseline; </w:t>
      </w:r>
    </w:p>
    <w:p w:rsidR="000A197A" w:rsidRPr="007A70FB" w:rsidRDefault="000A197A" w:rsidP="000345C6">
      <w:pPr>
        <w:pStyle w:val="TableFooter"/>
        <w:keepNext/>
        <w:keepLines/>
        <w:widowControl/>
        <w:rPr>
          <w:iCs/>
        </w:rPr>
      </w:pPr>
      <w:r w:rsidRPr="007A70FB">
        <w:rPr>
          <w:iCs/>
          <w:vertAlign w:val="superscript"/>
        </w:rPr>
        <w:t>d</w:t>
      </w:r>
      <w:r w:rsidR="00121E7E" w:rsidRPr="007A70FB">
        <w:rPr>
          <w:iCs/>
          <w:vertAlign w:val="superscript"/>
        </w:rPr>
        <w:t xml:space="preserve"> </w:t>
      </w:r>
      <w:r w:rsidR="00121E7E" w:rsidRPr="007A70FB">
        <w:rPr>
          <w:iCs/>
        </w:rPr>
        <w:t>CNS lesions: Based on patients with measurable and non-measurable CNS lesions i.e. CNS metastases at study entry</w:t>
      </w:r>
    </w:p>
    <w:p w:rsidR="005928E6" w:rsidRPr="007A70FB" w:rsidRDefault="00456DCE" w:rsidP="000345C6">
      <w:pPr>
        <w:pStyle w:val="TableFooter"/>
        <w:keepNext/>
        <w:keepLines/>
        <w:widowControl/>
        <w:rPr>
          <w:iCs/>
          <w:highlight w:val="yellow"/>
        </w:rPr>
      </w:pPr>
      <w:r w:rsidRPr="007A70FB">
        <w:rPr>
          <w:iCs/>
          <w:vertAlign w:val="superscript"/>
        </w:rPr>
        <w:t xml:space="preserve">e </w:t>
      </w:r>
      <w:r w:rsidR="00121E7E" w:rsidRPr="007A70FB">
        <w:rPr>
          <w:iCs/>
        </w:rPr>
        <w:t>Gettinger 2016 reported median duration of intracranial response was 18</w:t>
      </w:r>
      <w:r w:rsidRPr="007A70FB">
        <w:rPr>
          <w:iCs/>
        </w:rPr>
        <w:t>.</w:t>
      </w:r>
      <w:r w:rsidR="00121E7E" w:rsidRPr="007A70FB">
        <w:rPr>
          <w:iCs/>
        </w:rPr>
        <w:t>9 months (5</w:t>
      </w:r>
      <w:r w:rsidRPr="007A70FB">
        <w:rPr>
          <w:iCs/>
        </w:rPr>
        <w:t>.</w:t>
      </w:r>
      <w:r w:rsidR="00121E7E" w:rsidRPr="007A70FB">
        <w:rPr>
          <w:iCs/>
        </w:rPr>
        <w:t xml:space="preserve">5 to not reached; n=19; includes one patient who had a response but no scan after the response) (Table 6 p1693). </w:t>
      </w:r>
    </w:p>
    <w:p w:rsidR="004558D7" w:rsidRPr="007A70FB" w:rsidRDefault="004558D7" w:rsidP="000345C6">
      <w:pPr>
        <w:pStyle w:val="TableFooter"/>
        <w:keepNext/>
        <w:keepLines/>
        <w:widowControl/>
      </w:pPr>
      <w:r w:rsidRPr="007A70FB">
        <w:t xml:space="preserve">Source: </w:t>
      </w:r>
      <w:r w:rsidR="0056352B" w:rsidRPr="007A70FB">
        <w:t>Table 2.5.3 p123, Table 2.5.4 p126, Table 2.5.8 p134, Table 2.5.10 p135, Table 2.5.14 p141, Table 2.5.16 p143 of the submission</w:t>
      </w:r>
      <w:r w:rsidR="00763870" w:rsidRPr="007A70FB">
        <w:t>.</w:t>
      </w:r>
    </w:p>
    <w:p w:rsidR="007110AB" w:rsidRPr="007A70FB" w:rsidRDefault="007110AB" w:rsidP="00FE0FA7">
      <w:pPr>
        <w:pStyle w:val="ListParagraph"/>
        <w:widowControl/>
        <w:numPr>
          <w:ilvl w:val="1"/>
          <w:numId w:val="1"/>
        </w:numPr>
        <w:spacing w:before="120" w:after="120"/>
        <w:rPr>
          <w:iCs/>
        </w:rPr>
      </w:pPr>
      <w:r w:rsidRPr="007A70FB">
        <w:t xml:space="preserve">A summary of the effectiveness (overall survival (OS) and progression free survival (PFS)) for lorlatinib, alectinib, ceritinib and brigatinib is </w:t>
      </w:r>
      <w:r w:rsidRPr="007A70FB">
        <w:rPr>
          <w:rFonts w:asciiTheme="minorHAnsi" w:hAnsiTheme="minorHAnsi" w:cstheme="minorHAnsi"/>
          <w:szCs w:val="24"/>
        </w:rPr>
        <w:t xml:space="preserve">provided in </w:t>
      </w:r>
      <w:r w:rsidR="004510C2" w:rsidRPr="007A70FB">
        <w:rPr>
          <w:rStyle w:val="CommentReference"/>
          <w:rFonts w:asciiTheme="minorHAnsi" w:hAnsiTheme="minorHAnsi" w:cstheme="minorHAnsi"/>
          <w:b w:val="0"/>
          <w:sz w:val="24"/>
          <w:szCs w:val="24"/>
        </w:rPr>
        <w:t>Table 7</w:t>
      </w:r>
      <w:r w:rsidR="00D16E6C" w:rsidRPr="007A70FB">
        <w:rPr>
          <w:rFonts w:asciiTheme="minorHAnsi" w:hAnsiTheme="minorHAnsi" w:cstheme="minorHAnsi"/>
          <w:szCs w:val="24"/>
        </w:rPr>
        <w:t xml:space="preserve"> and </w:t>
      </w:r>
      <w:r w:rsidR="00B0287F" w:rsidRPr="007A70FB">
        <w:rPr>
          <w:rStyle w:val="CommentReference"/>
          <w:rFonts w:asciiTheme="minorHAnsi" w:hAnsiTheme="minorHAnsi" w:cstheme="minorHAnsi"/>
          <w:b w:val="0"/>
          <w:sz w:val="24"/>
          <w:szCs w:val="24"/>
        </w:rPr>
        <w:t>Table 8</w:t>
      </w:r>
      <w:r w:rsidR="00D16E6C" w:rsidRPr="007A70FB">
        <w:rPr>
          <w:rFonts w:asciiTheme="minorHAnsi" w:hAnsiTheme="minorHAnsi" w:cstheme="minorHAnsi"/>
          <w:szCs w:val="24"/>
        </w:rPr>
        <w:t>.</w:t>
      </w:r>
      <w:r w:rsidRPr="007A70FB">
        <w:rPr>
          <w:rFonts w:asciiTheme="minorHAnsi" w:hAnsiTheme="minorHAnsi" w:cstheme="minorHAnsi"/>
          <w:szCs w:val="24"/>
        </w:rPr>
        <w:t xml:space="preserve"> </w:t>
      </w:r>
      <w:r w:rsidRPr="007A70FB">
        <w:rPr>
          <w:iCs/>
        </w:rPr>
        <w:t xml:space="preserve">The OS data for all studies were relatively immature, with </w:t>
      </w:r>
      <w:r w:rsidRPr="002647F3">
        <w:rPr>
          <w:iCs/>
        </w:rPr>
        <w:t xml:space="preserve">only </w:t>
      </w:r>
      <w:r w:rsidR="00FF4479">
        <w:rPr>
          <w:iCs/>
          <w:noProof/>
          <w:color w:val="000000"/>
          <w:highlight w:val="black"/>
        </w:rPr>
        <w:t>'''''</w:t>
      </w:r>
      <w:r w:rsidRPr="002647F3">
        <w:rPr>
          <w:iCs/>
        </w:rPr>
        <w:t>%-</w:t>
      </w:r>
      <w:r w:rsidR="00FF4479">
        <w:rPr>
          <w:iCs/>
          <w:noProof/>
          <w:color w:val="000000"/>
          <w:highlight w:val="black"/>
        </w:rPr>
        <w:t>'''''</w:t>
      </w:r>
      <w:r w:rsidRPr="007A70FB">
        <w:rPr>
          <w:iCs/>
        </w:rPr>
        <w:t xml:space="preserve">% of patients across the studies having experienced an event (i.e. death). In Study 1001 (lorlatinib), the number of death events across the cohorts ranged from </w:t>
      </w:r>
      <w:r w:rsidR="00FF4479">
        <w:rPr>
          <w:iCs/>
          <w:noProof/>
          <w:color w:val="000000"/>
          <w:highlight w:val="black"/>
        </w:rPr>
        <w:t>'''''</w:t>
      </w:r>
      <w:r w:rsidRPr="007A70FB">
        <w:rPr>
          <w:iCs/>
        </w:rPr>
        <w:t xml:space="preserve">% to </w:t>
      </w:r>
      <w:r w:rsidR="00FF4479">
        <w:rPr>
          <w:iCs/>
          <w:noProof/>
          <w:color w:val="000000"/>
          <w:highlight w:val="black"/>
        </w:rPr>
        <w:t>'''''</w:t>
      </w:r>
      <w:r w:rsidRPr="007A70FB">
        <w:rPr>
          <w:iCs/>
        </w:rPr>
        <w:t>% (data-cut off: 02-Feb-1</w:t>
      </w:r>
      <w:r w:rsidR="00281A71" w:rsidRPr="007A70FB">
        <w:rPr>
          <w:iCs/>
        </w:rPr>
        <w:t>8</w:t>
      </w:r>
      <w:r w:rsidRPr="007A70FB">
        <w:rPr>
          <w:iCs/>
        </w:rPr>
        <w:t xml:space="preserve">). Given the small sample sizes, the results from these analyses are </w:t>
      </w:r>
      <w:r w:rsidR="00D2510F" w:rsidRPr="007A70FB">
        <w:t xml:space="preserve">highly </w:t>
      </w:r>
      <w:r w:rsidRPr="007A70FB">
        <w:rPr>
          <w:iCs/>
        </w:rPr>
        <w:t>sensitive to number of events (i.e. deaths) and high rates of censoring (</w:t>
      </w:r>
      <w:r w:rsidR="00FF4479">
        <w:rPr>
          <w:iCs/>
          <w:noProof/>
          <w:color w:val="000000"/>
          <w:highlight w:val="black"/>
        </w:rPr>
        <w:t>''''''''</w:t>
      </w:r>
      <w:r w:rsidRPr="007A70FB">
        <w:rPr>
          <w:iCs/>
        </w:rPr>
        <w:t>%, EXP-2 to EXP-5), which biases the analysis in favour of treatment where data are less mature.</w:t>
      </w:r>
    </w:p>
    <w:p w:rsidR="000304B5" w:rsidRPr="007A70FB" w:rsidRDefault="002A0DE1" w:rsidP="003E4AA0">
      <w:pPr>
        <w:pStyle w:val="ListParagraph"/>
        <w:widowControl/>
        <w:numPr>
          <w:ilvl w:val="1"/>
          <w:numId w:val="1"/>
        </w:numPr>
        <w:spacing w:before="120" w:after="120"/>
      </w:pPr>
      <w:r w:rsidRPr="007A70FB">
        <w:lastRenderedPageBreak/>
        <w:t xml:space="preserve">The median OS was not reached (95% CI: </w:t>
      </w:r>
      <w:r w:rsidR="00FF4479">
        <w:rPr>
          <w:noProof/>
          <w:color w:val="000000"/>
          <w:highlight w:val="black"/>
        </w:rPr>
        <w:t>'''''''''</w:t>
      </w:r>
      <w:r w:rsidRPr="007A70FB">
        <w:t xml:space="preserve"> months, </w:t>
      </w:r>
      <w:r w:rsidR="00FF4479">
        <w:rPr>
          <w:noProof/>
          <w:color w:val="000000"/>
          <w:highlight w:val="black"/>
        </w:rPr>
        <w:t>''''''</w:t>
      </w:r>
      <w:r w:rsidRPr="007A70FB">
        <w:t xml:space="preserve">) in Study 1001. A total of </w:t>
      </w:r>
      <w:r w:rsidR="00FF4479">
        <w:rPr>
          <w:noProof/>
          <w:color w:val="000000"/>
          <w:highlight w:val="black"/>
        </w:rPr>
        <w:t>'''''''</w:t>
      </w:r>
      <w:r w:rsidRPr="007A70FB">
        <w:t xml:space="preserve"> patients (</w:t>
      </w:r>
      <w:r w:rsidR="00FF4479">
        <w:rPr>
          <w:noProof/>
          <w:color w:val="000000"/>
          <w:highlight w:val="black"/>
        </w:rPr>
        <w:t>''''''''</w:t>
      </w:r>
      <w:r w:rsidRPr="007A70FB">
        <w:t>%) were censored for OS, most of whom (</w:t>
      </w:r>
      <w:r w:rsidR="00FF4479">
        <w:rPr>
          <w:noProof/>
          <w:color w:val="000000"/>
          <w:highlight w:val="black"/>
        </w:rPr>
        <w:t>''''''''</w:t>
      </w:r>
      <w:r w:rsidRPr="007A70FB">
        <w:t xml:space="preserve">; </w:t>
      </w:r>
      <w:r w:rsidR="00FF4479">
        <w:rPr>
          <w:noProof/>
          <w:color w:val="000000"/>
          <w:highlight w:val="black"/>
        </w:rPr>
        <w:t>''''''''</w:t>
      </w:r>
      <w:r w:rsidRPr="007A70FB">
        <w:t xml:space="preserve">%) were censored because they were alive at the cut-off date (02-Feb-18). The survival probability, for the total population, at 12 months was </w:t>
      </w:r>
      <w:r w:rsidR="00FF4479">
        <w:rPr>
          <w:noProof/>
          <w:color w:val="000000"/>
          <w:highlight w:val="black"/>
        </w:rPr>
        <w:t>''''''''</w:t>
      </w:r>
      <w:r w:rsidRPr="007A70FB">
        <w:t xml:space="preserve">% (95%CI: </w:t>
      </w:r>
      <w:r w:rsidR="00FF4479">
        <w:rPr>
          <w:noProof/>
          <w:color w:val="000000"/>
          <w:highlight w:val="black"/>
        </w:rPr>
        <w:t>''''''''</w:t>
      </w:r>
      <w:r w:rsidRPr="007A70FB">
        <w:t xml:space="preserve">, </w:t>
      </w:r>
      <w:r w:rsidR="00FF4479">
        <w:rPr>
          <w:noProof/>
          <w:color w:val="000000"/>
          <w:highlight w:val="black"/>
        </w:rPr>
        <w:t>''''''''</w:t>
      </w:r>
      <w:r w:rsidRPr="007A70FB">
        <w:t xml:space="preserve">) and at 18 months was </w:t>
      </w:r>
      <w:r w:rsidR="00FF4479">
        <w:rPr>
          <w:noProof/>
          <w:color w:val="000000"/>
          <w:highlight w:val="black"/>
        </w:rPr>
        <w:t>''''''''</w:t>
      </w:r>
      <w:r w:rsidRPr="007A70FB">
        <w:t xml:space="preserve">% (95%CI: </w:t>
      </w:r>
      <w:r w:rsidR="00FF4479">
        <w:rPr>
          <w:noProof/>
          <w:color w:val="000000"/>
          <w:highlight w:val="black"/>
        </w:rPr>
        <w:t>'''''''''</w:t>
      </w:r>
      <w:r w:rsidRPr="007A70FB">
        <w:t xml:space="preserve">, </w:t>
      </w:r>
      <w:r w:rsidR="00FF4479">
        <w:rPr>
          <w:noProof/>
          <w:color w:val="000000"/>
          <w:highlight w:val="black"/>
        </w:rPr>
        <w:t>''''''''</w:t>
      </w:r>
      <w:r w:rsidRPr="007A70FB">
        <w:t xml:space="preserve">). </w:t>
      </w:r>
      <w:r w:rsidR="00F32810" w:rsidRPr="007A70FB">
        <w:t>For context, t</w:t>
      </w:r>
      <w:r w:rsidR="000304B5" w:rsidRPr="007A70FB">
        <w:t xml:space="preserve">he ESC noted that the survival probabilities reported were comparable to that previously accepted for a cost-effective listing of crizotinib (68.9%, crizotinib PSD, March 2017). </w:t>
      </w:r>
    </w:p>
    <w:p w:rsidR="007110AB" w:rsidRPr="007A70FB" w:rsidRDefault="007110AB" w:rsidP="00FE0FA7">
      <w:pPr>
        <w:pStyle w:val="ListParagraph"/>
        <w:widowControl/>
        <w:numPr>
          <w:ilvl w:val="1"/>
          <w:numId w:val="1"/>
        </w:numPr>
        <w:spacing w:before="120" w:after="120"/>
        <w:rPr>
          <w:iCs/>
        </w:rPr>
      </w:pPr>
      <w:r w:rsidRPr="007A70FB">
        <w:rPr>
          <w:iCs/>
        </w:rPr>
        <w:t xml:space="preserve">The median PFS (IRC assessed) ranged from </w:t>
      </w:r>
      <w:r w:rsidR="00FF4479">
        <w:rPr>
          <w:iCs/>
          <w:noProof/>
          <w:color w:val="000000"/>
          <w:highlight w:val="black"/>
        </w:rPr>
        <w:t>'''''' '''' ''''''''</w:t>
      </w:r>
      <w:r w:rsidRPr="007A70FB">
        <w:rPr>
          <w:iCs/>
        </w:rPr>
        <w:t xml:space="preserve"> months across the lorlatinib cohorts in Study 1001. </w:t>
      </w:r>
      <w:r w:rsidRPr="007A70FB">
        <w:t xml:space="preserve">At the updated data-cut off for lorlatinib (02-Feb-18), </w:t>
      </w:r>
      <w:r w:rsidR="00785840" w:rsidRPr="007A70FB">
        <w:t xml:space="preserve">the proportion of patients </w:t>
      </w:r>
      <w:r w:rsidRPr="007A70FB">
        <w:t>censor</w:t>
      </w:r>
      <w:r w:rsidR="00785840" w:rsidRPr="007A70FB">
        <w:t>ed</w:t>
      </w:r>
      <w:r w:rsidRPr="007A70FB">
        <w:t xml:space="preserve"> for PFS </w:t>
      </w:r>
      <w:r w:rsidR="00785840" w:rsidRPr="007A70FB">
        <w:t xml:space="preserve">assessment </w:t>
      </w:r>
      <w:r w:rsidRPr="007A70FB">
        <w:t xml:space="preserve">across the cohorts ranged from </w:t>
      </w:r>
      <w:r w:rsidR="00FF4479">
        <w:rPr>
          <w:noProof/>
          <w:color w:val="000000"/>
          <w:highlight w:val="black"/>
        </w:rPr>
        <w:t>'''''''''</w:t>
      </w:r>
      <w:r w:rsidRPr="007A70FB">
        <w:t xml:space="preserve">% to </w:t>
      </w:r>
      <w:r w:rsidR="00FF4479">
        <w:rPr>
          <w:noProof/>
          <w:color w:val="000000"/>
          <w:highlight w:val="black"/>
        </w:rPr>
        <w:t>'''''''''</w:t>
      </w:r>
      <w:r w:rsidRPr="007A70FB">
        <w:t xml:space="preserve">% (EXP2 to EXP5, </w:t>
      </w:r>
      <w:r w:rsidR="00FF4479">
        <w:rPr>
          <w:noProof/>
          <w:color w:val="000000"/>
          <w:highlight w:val="black"/>
        </w:rPr>
        <w:t>'''''''''</w:t>
      </w:r>
      <w:r w:rsidRPr="007A70FB">
        <w:t xml:space="preserve">%). </w:t>
      </w:r>
    </w:p>
    <w:p w:rsidR="007110AB" w:rsidRPr="007A70FB" w:rsidRDefault="007110AB" w:rsidP="009015E0">
      <w:pPr>
        <w:pStyle w:val="Caption"/>
        <w:spacing w:after="0"/>
        <w:rPr>
          <w:rStyle w:val="CommentReference"/>
          <w:b/>
        </w:rPr>
      </w:pPr>
      <w:bookmarkStart w:id="28" w:name="_Ref20494920"/>
      <w:r w:rsidRPr="007A70FB">
        <w:rPr>
          <w:rStyle w:val="CommentReference"/>
          <w:b/>
        </w:rPr>
        <w:t xml:space="preserve">Table </w:t>
      </w:r>
      <w:r w:rsidR="008267CB" w:rsidRPr="007A70FB">
        <w:rPr>
          <w:rStyle w:val="CommentReference"/>
          <w:b/>
        </w:rPr>
        <w:t>7</w:t>
      </w:r>
      <w:bookmarkEnd w:id="28"/>
      <w:r w:rsidRPr="007A70FB">
        <w:rPr>
          <w:rStyle w:val="CommentReference"/>
          <w:b/>
        </w:rPr>
        <w:t>: Median OS across the arms of the studies</w:t>
      </w:r>
    </w:p>
    <w:tbl>
      <w:tblPr>
        <w:tblStyle w:val="TableGrid"/>
        <w:tblW w:w="5000" w:type="pct"/>
        <w:tblLook w:val="04A0" w:firstRow="1" w:lastRow="0" w:firstColumn="1" w:lastColumn="0" w:noHBand="0" w:noVBand="1"/>
        <w:tblCaption w:val="Table 8: Median OS across the arms of the studies"/>
      </w:tblPr>
      <w:tblGrid>
        <w:gridCol w:w="1838"/>
        <w:gridCol w:w="1843"/>
        <w:gridCol w:w="705"/>
        <w:gridCol w:w="1179"/>
        <w:gridCol w:w="1737"/>
        <w:gridCol w:w="1715"/>
      </w:tblGrid>
      <w:tr w:rsidR="00F6076A" w:rsidRPr="007A70FB" w:rsidTr="001331FA">
        <w:trPr>
          <w:tblHeader/>
        </w:trPr>
        <w:tc>
          <w:tcPr>
            <w:tcW w:w="1019" w:type="pct"/>
            <w:tcBorders>
              <w:bottom w:val="single" w:sz="4" w:space="0" w:color="auto"/>
            </w:tcBorders>
            <w:shd w:val="clear" w:color="auto" w:fill="auto"/>
            <w:vAlign w:val="center"/>
          </w:tcPr>
          <w:p w:rsidR="00F6076A" w:rsidRPr="007A70FB" w:rsidRDefault="00F6076A" w:rsidP="001331FA">
            <w:pPr>
              <w:pStyle w:val="KMC-Tabletext"/>
              <w:keepNext/>
              <w:keepLines/>
              <w:spacing w:before="20" w:after="20"/>
              <w:ind w:left="-73" w:right="-80"/>
              <w:jc w:val="left"/>
              <w:rPr>
                <w:b/>
                <w:sz w:val="20"/>
              </w:rPr>
            </w:pPr>
            <w:r w:rsidRPr="007A70FB">
              <w:rPr>
                <w:b/>
                <w:bCs w:val="0"/>
                <w:sz w:val="20"/>
              </w:rPr>
              <w:t>Regimen</w:t>
            </w:r>
          </w:p>
        </w:tc>
        <w:tc>
          <w:tcPr>
            <w:tcW w:w="1022" w:type="pct"/>
            <w:tcBorders>
              <w:bottom w:val="single" w:sz="4" w:space="0" w:color="auto"/>
            </w:tcBorders>
            <w:shd w:val="clear" w:color="auto" w:fill="auto"/>
            <w:vAlign w:val="center"/>
          </w:tcPr>
          <w:p w:rsidR="00F6076A" w:rsidRPr="007A70FB" w:rsidRDefault="00F6076A" w:rsidP="001331FA">
            <w:pPr>
              <w:pStyle w:val="KMC-Tabletext"/>
              <w:keepNext/>
              <w:keepLines/>
              <w:spacing w:before="20" w:after="20"/>
              <w:jc w:val="center"/>
              <w:rPr>
                <w:b/>
                <w:sz w:val="20"/>
              </w:rPr>
            </w:pPr>
            <w:r w:rsidRPr="007A70FB">
              <w:rPr>
                <w:b/>
                <w:sz w:val="20"/>
              </w:rPr>
              <w:t>Population</w:t>
            </w:r>
          </w:p>
        </w:tc>
        <w:tc>
          <w:tcPr>
            <w:tcW w:w="391" w:type="pct"/>
            <w:tcBorders>
              <w:bottom w:val="single" w:sz="4" w:space="0" w:color="auto"/>
            </w:tcBorders>
            <w:shd w:val="clear" w:color="auto" w:fill="auto"/>
            <w:vAlign w:val="center"/>
          </w:tcPr>
          <w:p w:rsidR="00F6076A" w:rsidRPr="007A70FB" w:rsidRDefault="00F6076A" w:rsidP="001331FA">
            <w:pPr>
              <w:pStyle w:val="KMC-Tabletext"/>
              <w:keepNext/>
              <w:keepLines/>
              <w:spacing w:before="20" w:after="20"/>
              <w:jc w:val="center"/>
              <w:rPr>
                <w:b/>
                <w:sz w:val="20"/>
              </w:rPr>
            </w:pPr>
            <w:r w:rsidRPr="007A70FB">
              <w:rPr>
                <w:b/>
                <w:sz w:val="20"/>
              </w:rPr>
              <w:t>N</w:t>
            </w:r>
          </w:p>
        </w:tc>
        <w:tc>
          <w:tcPr>
            <w:tcW w:w="654" w:type="pct"/>
            <w:tcBorders>
              <w:bottom w:val="single" w:sz="4" w:space="0" w:color="auto"/>
            </w:tcBorders>
            <w:shd w:val="clear" w:color="auto" w:fill="auto"/>
            <w:vAlign w:val="center"/>
          </w:tcPr>
          <w:p w:rsidR="00F6076A" w:rsidRPr="007A70FB" w:rsidRDefault="00F6076A" w:rsidP="001331FA">
            <w:pPr>
              <w:pStyle w:val="KMC-Tabletext"/>
              <w:keepNext/>
              <w:keepLines/>
              <w:spacing w:before="20" w:after="20"/>
              <w:ind w:left="-51" w:right="-90"/>
              <w:jc w:val="center"/>
              <w:rPr>
                <w:b/>
                <w:sz w:val="20"/>
              </w:rPr>
            </w:pPr>
            <w:r w:rsidRPr="007A70FB">
              <w:rPr>
                <w:b/>
                <w:sz w:val="20"/>
              </w:rPr>
              <w:t xml:space="preserve">Deaths, </w:t>
            </w:r>
            <w:r w:rsidRPr="007A70FB">
              <w:rPr>
                <w:b/>
                <w:sz w:val="20"/>
              </w:rPr>
              <w:br/>
              <w:t>n (%)</w:t>
            </w:r>
          </w:p>
        </w:tc>
        <w:tc>
          <w:tcPr>
            <w:tcW w:w="963" w:type="pct"/>
            <w:tcBorders>
              <w:bottom w:val="single" w:sz="4" w:space="0" w:color="auto"/>
            </w:tcBorders>
            <w:shd w:val="clear" w:color="auto" w:fill="auto"/>
            <w:vAlign w:val="center"/>
          </w:tcPr>
          <w:p w:rsidR="00F6076A" w:rsidRPr="007A70FB" w:rsidRDefault="00F6076A" w:rsidP="001331FA">
            <w:pPr>
              <w:pStyle w:val="KMC-Tabletext"/>
              <w:keepNext/>
              <w:keepLines/>
              <w:spacing w:before="20" w:after="20"/>
              <w:ind w:left="-65" w:right="-90"/>
              <w:jc w:val="center"/>
              <w:rPr>
                <w:b/>
                <w:sz w:val="20"/>
              </w:rPr>
            </w:pPr>
            <w:r w:rsidRPr="007A70FB">
              <w:rPr>
                <w:b/>
                <w:sz w:val="20"/>
              </w:rPr>
              <w:t>Median OS, months (95% CI)</w:t>
            </w:r>
          </w:p>
        </w:tc>
        <w:tc>
          <w:tcPr>
            <w:tcW w:w="951" w:type="pct"/>
            <w:tcBorders>
              <w:bottom w:val="single" w:sz="4" w:space="0" w:color="auto"/>
            </w:tcBorders>
            <w:vAlign w:val="center"/>
          </w:tcPr>
          <w:p w:rsidR="00F6076A" w:rsidRPr="007A70FB" w:rsidRDefault="00F6076A" w:rsidP="001331FA">
            <w:pPr>
              <w:pStyle w:val="KMC-Tabletext"/>
              <w:keepNext/>
              <w:keepLines/>
              <w:spacing w:before="20" w:after="20"/>
              <w:ind w:left="-65" w:right="-90"/>
              <w:jc w:val="center"/>
              <w:rPr>
                <w:b/>
                <w:sz w:val="20"/>
              </w:rPr>
            </w:pPr>
            <w:r w:rsidRPr="007A70FB">
              <w:rPr>
                <w:b/>
                <w:sz w:val="20"/>
              </w:rPr>
              <w:t>Median duration of follow up, months</w:t>
            </w:r>
          </w:p>
        </w:tc>
      </w:tr>
      <w:tr w:rsidR="00F6076A" w:rsidRPr="007A70FB" w:rsidTr="001331FA">
        <w:tc>
          <w:tcPr>
            <w:tcW w:w="1019" w:type="pct"/>
            <w:tcBorders>
              <w:bottom w:val="single" w:sz="4" w:space="0" w:color="auto"/>
              <w:right w:val="nil"/>
            </w:tcBorders>
            <w:shd w:val="clear" w:color="auto" w:fill="auto"/>
            <w:vAlign w:val="center"/>
          </w:tcPr>
          <w:p w:rsidR="00F6076A" w:rsidRPr="007A70FB" w:rsidRDefault="00F6076A" w:rsidP="001331FA">
            <w:pPr>
              <w:pStyle w:val="KMC-Tabletext"/>
              <w:keepNext/>
              <w:keepLines/>
              <w:spacing w:before="20" w:after="20"/>
              <w:ind w:left="-73" w:right="-80"/>
              <w:jc w:val="left"/>
              <w:rPr>
                <w:b/>
                <w:sz w:val="20"/>
              </w:rPr>
            </w:pPr>
            <w:r w:rsidRPr="007A70FB">
              <w:rPr>
                <w:b/>
                <w:bCs w:val="0"/>
                <w:sz w:val="20"/>
              </w:rPr>
              <w:t>Lorlatinib</w:t>
            </w:r>
          </w:p>
        </w:tc>
        <w:tc>
          <w:tcPr>
            <w:tcW w:w="1022" w:type="pct"/>
            <w:tcBorders>
              <w:left w:val="nil"/>
              <w:bottom w:val="single" w:sz="4" w:space="0" w:color="auto"/>
              <w:right w:val="nil"/>
            </w:tcBorders>
            <w:shd w:val="clear" w:color="auto" w:fill="auto"/>
            <w:vAlign w:val="center"/>
          </w:tcPr>
          <w:p w:rsidR="00F6076A" w:rsidRPr="007A70FB" w:rsidRDefault="00F6076A" w:rsidP="001331FA">
            <w:pPr>
              <w:pStyle w:val="KMC-Tabletext"/>
              <w:keepNext/>
              <w:keepLines/>
              <w:spacing w:before="20" w:after="20"/>
              <w:jc w:val="center"/>
              <w:rPr>
                <w:b/>
                <w:sz w:val="20"/>
              </w:rPr>
            </w:pPr>
          </w:p>
        </w:tc>
        <w:tc>
          <w:tcPr>
            <w:tcW w:w="391" w:type="pct"/>
            <w:tcBorders>
              <w:left w:val="nil"/>
              <w:right w:val="nil"/>
            </w:tcBorders>
            <w:shd w:val="clear" w:color="auto" w:fill="auto"/>
            <w:vAlign w:val="center"/>
          </w:tcPr>
          <w:p w:rsidR="00F6076A" w:rsidRPr="007A70FB" w:rsidRDefault="00F6076A" w:rsidP="001331FA">
            <w:pPr>
              <w:pStyle w:val="KMC-Tabletext"/>
              <w:keepNext/>
              <w:keepLines/>
              <w:spacing w:before="20" w:after="20"/>
              <w:jc w:val="center"/>
              <w:rPr>
                <w:b/>
                <w:sz w:val="20"/>
              </w:rPr>
            </w:pPr>
          </w:p>
        </w:tc>
        <w:tc>
          <w:tcPr>
            <w:tcW w:w="654" w:type="pct"/>
            <w:tcBorders>
              <w:left w:val="nil"/>
              <w:right w:val="nil"/>
            </w:tcBorders>
            <w:shd w:val="clear" w:color="auto" w:fill="auto"/>
            <w:vAlign w:val="center"/>
          </w:tcPr>
          <w:p w:rsidR="00F6076A" w:rsidRPr="007A70FB" w:rsidRDefault="00F6076A" w:rsidP="001331FA">
            <w:pPr>
              <w:pStyle w:val="KMC-Tabletext"/>
              <w:keepNext/>
              <w:keepLines/>
              <w:spacing w:before="20" w:after="20"/>
              <w:ind w:left="-51" w:right="-90"/>
              <w:jc w:val="center"/>
              <w:rPr>
                <w:b/>
                <w:sz w:val="20"/>
              </w:rPr>
            </w:pPr>
          </w:p>
        </w:tc>
        <w:tc>
          <w:tcPr>
            <w:tcW w:w="963" w:type="pct"/>
            <w:tcBorders>
              <w:left w:val="nil"/>
              <w:right w:val="nil"/>
            </w:tcBorders>
            <w:shd w:val="clear" w:color="auto" w:fill="auto"/>
            <w:vAlign w:val="center"/>
          </w:tcPr>
          <w:p w:rsidR="00F6076A" w:rsidRPr="007A70FB" w:rsidRDefault="00F6076A" w:rsidP="001331FA">
            <w:pPr>
              <w:pStyle w:val="KMC-Tabletext"/>
              <w:keepNext/>
              <w:keepLines/>
              <w:spacing w:before="20" w:after="20"/>
              <w:ind w:left="-65" w:right="-90"/>
              <w:jc w:val="center"/>
              <w:rPr>
                <w:b/>
                <w:sz w:val="20"/>
              </w:rPr>
            </w:pPr>
          </w:p>
        </w:tc>
        <w:tc>
          <w:tcPr>
            <w:tcW w:w="951" w:type="pct"/>
            <w:tcBorders>
              <w:left w:val="nil"/>
              <w:bottom w:val="single" w:sz="4" w:space="0" w:color="auto"/>
            </w:tcBorders>
            <w:vAlign w:val="center"/>
          </w:tcPr>
          <w:p w:rsidR="00F6076A" w:rsidRPr="007A70FB" w:rsidRDefault="00F6076A" w:rsidP="001331FA">
            <w:pPr>
              <w:pStyle w:val="KMC-Tabletext"/>
              <w:keepNext/>
              <w:keepLines/>
              <w:spacing w:before="20" w:after="20"/>
              <w:ind w:left="-65" w:right="-90"/>
              <w:jc w:val="center"/>
              <w:rPr>
                <w:b/>
                <w:sz w:val="20"/>
              </w:rPr>
            </w:pPr>
          </w:p>
        </w:tc>
      </w:tr>
      <w:tr w:rsidR="0093173C" w:rsidRPr="007A70FB" w:rsidTr="001331FA">
        <w:tc>
          <w:tcPr>
            <w:tcW w:w="1019" w:type="pct"/>
            <w:tcBorders>
              <w:bottom w:val="single" w:sz="4" w:space="0" w:color="auto"/>
            </w:tcBorders>
            <w:shd w:val="clear" w:color="auto" w:fill="auto"/>
            <w:vAlign w:val="center"/>
          </w:tcPr>
          <w:p w:rsidR="0093173C" w:rsidRPr="007A70FB" w:rsidRDefault="0093173C" w:rsidP="001331FA">
            <w:pPr>
              <w:pStyle w:val="KMC-Tabletext"/>
              <w:keepNext/>
              <w:keepLines/>
              <w:spacing w:before="20" w:after="20"/>
              <w:ind w:left="-73" w:right="-80"/>
              <w:jc w:val="left"/>
              <w:rPr>
                <w:sz w:val="20"/>
              </w:rPr>
            </w:pPr>
            <w:r w:rsidRPr="007A70FB">
              <w:rPr>
                <w:sz w:val="20"/>
              </w:rPr>
              <w:t>Study 1001 (02 Feb 18)</w:t>
            </w:r>
          </w:p>
        </w:tc>
        <w:tc>
          <w:tcPr>
            <w:tcW w:w="1022" w:type="pct"/>
            <w:tcBorders>
              <w:bottom w:val="single" w:sz="4" w:space="0" w:color="auto"/>
            </w:tcBorders>
            <w:shd w:val="clear" w:color="auto" w:fill="auto"/>
            <w:vAlign w:val="center"/>
          </w:tcPr>
          <w:p w:rsidR="0093173C" w:rsidRPr="007A70FB" w:rsidRDefault="0093173C" w:rsidP="001331FA">
            <w:pPr>
              <w:pStyle w:val="KMC-Tabletext"/>
              <w:keepNext/>
              <w:keepLines/>
              <w:spacing w:before="20" w:after="20"/>
              <w:jc w:val="center"/>
              <w:rPr>
                <w:sz w:val="20"/>
              </w:rPr>
            </w:pPr>
            <w:r w:rsidRPr="007A70FB">
              <w:rPr>
                <w:sz w:val="20"/>
              </w:rPr>
              <w:t>EXP-2: EXP-5</w:t>
            </w:r>
          </w:p>
        </w:tc>
        <w:tc>
          <w:tcPr>
            <w:tcW w:w="391" w:type="pct"/>
            <w:tcBorders>
              <w:bottom w:val="single" w:sz="4" w:space="0" w:color="auto"/>
            </w:tcBorders>
            <w:shd w:val="clear" w:color="auto" w:fill="auto"/>
            <w:vAlign w:val="center"/>
          </w:tcPr>
          <w:p w:rsidR="0093173C" w:rsidRPr="007A70FB" w:rsidRDefault="0093173C" w:rsidP="001331FA">
            <w:pPr>
              <w:pStyle w:val="KMC-Tabletext"/>
              <w:keepNext/>
              <w:keepLines/>
              <w:spacing w:before="20" w:after="20"/>
              <w:jc w:val="center"/>
              <w:rPr>
                <w:sz w:val="20"/>
              </w:rPr>
            </w:pPr>
            <w:r w:rsidRPr="007A70FB">
              <w:rPr>
                <w:sz w:val="20"/>
              </w:rPr>
              <w:t>198</w:t>
            </w:r>
          </w:p>
        </w:tc>
        <w:tc>
          <w:tcPr>
            <w:tcW w:w="654" w:type="pct"/>
            <w:tcBorders>
              <w:bottom w:val="single" w:sz="4" w:space="0" w:color="auto"/>
            </w:tcBorders>
            <w:shd w:val="clear" w:color="auto" w:fill="auto"/>
            <w:vAlign w:val="center"/>
          </w:tcPr>
          <w:p w:rsidR="0093173C" w:rsidRPr="007A70FB" w:rsidRDefault="00FF4479" w:rsidP="001331FA">
            <w:pPr>
              <w:pStyle w:val="KMC-Tabletext"/>
              <w:keepNext/>
              <w:keepLines/>
              <w:spacing w:before="20" w:after="20"/>
              <w:ind w:left="-65"/>
              <w:jc w:val="center"/>
              <w:rPr>
                <w:sz w:val="20"/>
              </w:rPr>
            </w:pPr>
            <w:r>
              <w:rPr>
                <w:noProof/>
                <w:color w:val="000000"/>
                <w:sz w:val="20"/>
                <w:highlight w:val="black"/>
              </w:rPr>
              <w:t xml:space="preserve">''''''' </w:t>
            </w:r>
            <w:r w:rsidR="0093173C" w:rsidRPr="007A70FB">
              <w:rPr>
                <w:sz w:val="20"/>
              </w:rPr>
              <w:t>(</w:t>
            </w:r>
            <w:r>
              <w:rPr>
                <w:noProof/>
                <w:color w:val="000000"/>
                <w:sz w:val="20"/>
                <w:highlight w:val="black"/>
              </w:rPr>
              <w:t>'''''''''''</w:t>
            </w:r>
            <w:r w:rsidR="0093173C" w:rsidRPr="007A70FB">
              <w:rPr>
                <w:sz w:val="20"/>
              </w:rPr>
              <w:t>)</w:t>
            </w:r>
          </w:p>
        </w:tc>
        <w:tc>
          <w:tcPr>
            <w:tcW w:w="963" w:type="pct"/>
            <w:tcBorders>
              <w:bottom w:val="single" w:sz="4" w:space="0" w:color="auto"/>
            </w:tcBorders>
            <w:shd w:val="clear" w:color="auto" w:fill="auto"/>
            <w:vAlign w:val="center"/>
          </w:tcPr>
          <w:p w:rsidR="0093173C" w:rsidRPr="007A70FB" w:rsidRDefault="00FF4479" w:rsidP="001331FA">
            <w:pPr>
              <w:pStyle w:val="KMC-Tabletext"/>
              <w:keepNext/>
              <w:keepLines/>
              <w:spacing w:before="20" w:after="20"/>
              <w:ind w:left="-65"/>
              <w:jc w:val="center"/>
              <w:rPr>
                <w:sz w:val="20"/>
              </w:rPr>
            </w:pPr>
            <w:r>
              <w:rPr>
                <w:noProof/>
                <w:color w:val="000000"/>
                <w:sz w:val="20"/>
                <w:highlight w:val="black"/>
              </w:rPr>
              <w:t>'''''''''</w:t>
            </w:r>
            <w:r w:rsidR="0093173C" w:rsidRPr="007A70FB">
              <w:rPr>
                <w:sz w:val="20"/>
              </w:rPr>
              <w:t xml:space="preserve"> (</w:t>
            </w:r>
            <w:r>
              <w:rPr>
                <w:noProof/>
                <w:color w:val="000000"/>
                <w:sz w:val="20"/>
                <w:highlight w:val="black"/>
              </w:rPr>
              <w:t>''''''''''</w:t>
            </w:r>
            <w:r w:rsidR="0093173C" w:rsidRPr="007A70FB">
              <w:rPr>
                <w:sz w:val="20"/>
              </w:rPr>
              <w:t>,</w:t>
            </w:r>
            <w:r>
              <w:rPr>
                <w:noProof/>
                <w:color w:val="000000"/>
                <w:sz w:val="20"/>
                <w:highlight w:val="black"/>
              </w:rPr>
              <w:t xml:space="preserve"> '''''''''</w:t>
            </w:r>
            <w:r w:rsidR="0093173C" w:rsidRPr="007A70FB">
              <w:rPr>
                <w:sz w:val="20"/>
              </w:rPr>
              <w:t>)</w:t>
            </w:r>
          </w:p>
        </w:tc>
        <w:tc>
          <w:tcPr>
            <w:tcW w:w="951" w:type="pct"/>
            <w:tcBorders>
              <w:top w:val="nil"/>
              <w:bottom w:val="single" w:sz="4" w:space="0" w:color="auto"/>
            </w:tcBorders>
            <w:vAlign w:val="center"/>
          </w:tcPr>
          <w:p w:rsidR="0093173C" w:rsidRPr="00FF4479" w:rsidRDefault="00FF4479" w:rsidP="001331FA">
            <w:pPr>
              <w:pStyle w:val="KMC-Tabletext"/>
              <w:keepNext/>
              <w:keepLines/>
              <w:spacing w:before="20" w:after="20"/>
              <w:ind w:left="-65"/>
              <w:jc w:val="center"/>
              <w:rPr>
                <w:i/>
                <w:sz w:val="20"/>
                <w:highlight w:val="black"/>
              </w:rPr>
            </w:pPr>
            <w:r>
              <w:rPr>
                <w:i/>
                <w:noProof/>
                <w:color w:val="000000"/>
                <w:sz w:val="20"/>
                <w:highlight w:val="black"/>
              </w:rPr>
              <w:t>'''''''''</w:t>
            </w:r>
          </w:p>
        </w:tc>
      </w:tr>
      <w:tr w:rsidR="00F6076A" w:rsidRPr="007A70FB" w:rsidTr="001331FA">
        <w:tc>
          <w:tcPr>
            <w:tcW w:w="1019" w:type="pct"/>
            <w:tcBorders>
              <w:top w:val="single" w:sz="4" w:space="0" w:color="auto"/>
              <w:bottom w:val="single" w:sz="4" w:space="0" w:color="auto"/>
              <w:right w:val="nil"/>
            </w:tcBorders>
            <w:shd w:val="clear" w:color="auto" w:fill="auto"/>
            <w:vAlign w:val="center"/>
          </w:tcPr>
          <w:p w:rsidR="00F6076A" w:rsidRPr="007A70FB" w:rsidRDefault="00F6076A" w:rsidP="001331FA">
            <w:pPr>
              <w:pStyle w:val="KMC-Tabletext"/>
              <w:keepNext/>
              <w:keepLines/>
              <w:spacing w:before="20" w:after="20"/>
              <w:ind w:left="-73" w:right="-80"/>
              <w:jc w:val="left"/>
              <w:rPr>
                <w:b/>
                <w:bCs w:val="0"/>
                <w:sz w:val="20"/>
              </w:rPr>
            </w:pPr>
            <w:r w:rsidRPr="007A70FB">
              <w:rPr>
                <w:b/>
                <w:bCs w:val="0"/>
                <w:sz w:val="20"/>
              </w:rPr>
              <w:t>Alectinib</w:t>
            </w:r>
          </w:p>
        </w:tc>
        <w:tc>
          <w:tcPr>
            <w:tcW w:w="1022" w:type="pct"/>
            <w:tcBorders>
              <w:top w:val="single" w:sz="4" w:space="0" w:color="auto"/>
              <w:left w:val="nil"/>
              <w:bottom w:val="single" w:sz="4" w:space="0" w:color="auto"/>
              <w:right w:val="nil"/>
            </w:tcBorders>
            <w:shd w:val="clear" w:color="auto" w:fill="auto"/>
            <w:vAlign w:val="center"/>
          </w:tcPr>
          <w:p w:rsidR="00F6076A" w:rsidRPr="007A70FB" w:rsidRDefault="00F6076A" w:rsidP="001331FA">
            <w:pPr>
              <w:pStyle w:val="KMC-Tabletext"/>
              <w:keepNext/>
              <w:keepLines/>
              <w:spacing w:before="20" w:after="20"/>
              <w:jc w:val="center"/>
              <w:rPr>
                <w:sz w:val="20"/>
              </w:rPr>
            </w:pPr>
          </w:p>
        </w:tc>
        <w:tc>
          <w:tcPr>
            <w:tcW w:w="391" w:type="pct"/>
            <w:tcBorders>
              <w:top w:val="single" w:sz="4" w:space="0" w:color="auto"/>
              <w:left w:val="nil"/>
              <w:bottom w:val="single" w:sz="4" w:space="0" w:color="auto"/>
              <w:right w:val="nil"/>
            </w:tcBorders>
            <w:shd w:val="clear" w:color="auto" w:fill="auto"/>
            <w:vAlign w:val="center"/>
          </w:tcPr>
          <w:p w:rsidR="00F6076A" w:rsidRPr="007A70FB" w:rsidRDefault="00F6076A" w:rsidP="001331FA">
            <w:pPr>
              <w:pStyle w:val="KMC-Tabletext"/>
              <w:keepNext/>
              <w:keepLines/>
              <w:spacing w:before="20" w:after="20"/>
              <w:jc w:val="center"/>
              <w:rPr>
                <w:sz w:val="20"/>
              </w:rPr>
            </w:pPr>
          </w:p>
        </w:tc>
        <w:tc>
          <w:tcPr>
            <w:tcW w:w="654" w:type="pct"/>
            <w:tcBorders>
              <w:top w:val="single" w:sz="4" w:space="0" w:color="auto"/>
              <w:left w:val="nil"/>
              <w:bottom w:val="single" w:sz="4" w:space="0" w:color="auto"/>
              <w:right w:val="nil"/>
            </w:tcBorders>
            <w:shd w:val="clear" w:color="auto" w:fill="auto"/>
            <w:vAlign w:val="center"/>
          </w:tcPr>
          <w:p w:rsidR="00F6076A" w:rsidRPr="007A70FB" w:rsidRDefault="00F6076A" w:rsidP="001331FA">
            <w:pPr>
              <w:pStyle w:val="KMC-Tabletext"/>
              <w:keepNext/>
              <w:keepLines/>
              <w:spacing w:before="20" w:after="20"/>
              <w:jc w:val="center"/>
              <w:rPr>
                <w:sz w:val="20"/>
              </w:rPr>
            </w:pPr>
          </w:p>
        </w:tc>
        <w:tc>
          <w:tcPr>
            <w:tcW w:w="963" w:type="pct"/>
            <w:tcBorders>
              <w:top w:val="single" w:sz="4" w:space="0" w:color="auto"/>
              <w:left w:val="nil"/>
              <w:bottom w:val="single" w:sz="4" w:space="0" w:color="auto"/>
              <w:right w:val="nil"/>
            </w:tcBorders>
            <w:shd w:val="clear" w:color="auto" w:fill="auto"/>
            <w:vAlign w:val="center"/>
          </w:tcPr>
          <w:p w:rsidR="00F6076A" w:rsidRPr="007A70FB" w:rsidRDefault="00F6076A" w:rsidP="001331FA">
            <w:pPr>
              <w:pStyle w:val="KMC-Tabletext"/>
              <w:keepNext/>
              <w:keepLines/>
              <w:spacing w:before="20" w:after="20"/>
              <w:ind w:left="-65"/>
              <w:jc w:val="center"/>
              <w:rPr>
                <w:sz w:val="20"/>
              </w:rPr>
            </w:pPr>
          </w:p>
        </w:tc>
        <w:tc>
          <w:tcPr>
            <w:tcW w:w="951" w:type="pct"/>
            <w:tcBorders>
              <w:top w:val="single" w:sz="4" w:space="0" w:color="auto"/>
              <w:left w:val="nil"/>
              <w:bottom w:val="single" w:sz="4" w:space="0" w:color="auto"/>
            </w:tcBorders>
            <w:vAlign w:val="center"/>
          </w:tcPr>
          <w:p w:rsidR="00F6076A" w:rsidRPr="007A70FB" w:rsidRDefault="00F6076A" w:rsidP="001331FA">
            <w:pPr>
              <w:pStyle w:val="KMC-Tabletext"/>
              <w:keepNext/>
              <w:keepLines/>
              <w:spacing w:before="20" w:after="20"/>
              <w:ind w:left="-65"/>
              <w:jc w:val="center"/>
              <w:rPr>
                <w:sz w:val="20"/>
              </w:rPr>
            </w:pPr>
          </w:p>
        </w:tc>
      </w:tr>
      <w:tr w:rsidR="00F6076A" w:rsidRPr="007A70FB" w:rsidTr="001331FA">
        <w:tc>
          <w:tcPr>
            <w:tcW w:w="1019" w:type="pct"/>
            <w:tcBorders>
              <w:top w:val="nil"/>
              <w:bottom w:val="nil"/>
            </w:tcBorders>
            <w:shd w:val="clear" w:color="auto" w:fill="auto"/>
            <w:vAlign w:val="center"/>
          </w:tcPr>
          <w:p w:rsidR="00F6076A" w:rsidRPr="007A70FB" w:rsidRDefault="00F6076A" w:rsidP="001331FA">
            <w:pPr>
              <w:pStyle w:val="KMC-Tabletext"/>
              <w:keepNext/>
              <w:keepLines/>
              <w:spacing w:before="20" w:after="20"/>
              <w:ind w:left="-73" w:right="-80"/>
              <w:jc w:val="left"/>
              <w:rPr>
                <w:sz w:val="20"/>
              </w:rPr>
            </w:pPr>
            <w:r w:rsidRPr="007A70FB">
              <w:rPr>
                <w:sz w:val="20"/>
              </w:rPr>
              <w:t>NP28761</w:t>
            </w:r>
          </w:p>
        </w:tc>
        <w:tc>
          <w:tcPr>
            <w:tcW w:w="1022" w:type="pct"/>
            <w:shd w:val="clear" w:color="auto" w:fill="auto"/>
            <w:vAlign w:val="center"/>
          </w:tcPr>
          <w:p w:rsidR="00F6076A" w:rsidRPr="007A70FB" w:rsidRDefault="00F6076A" w:rsidP="001331FA">
            <w:pPr>
              <w:pStyle w:val="KMC-Tabletext"/>
              <w:keepNext/>
              <w:keepLines/>
              <w:spacing w:before="20" w:after="20"/>
              <w:jc w:val="center"/>
              <w:rPr>
                <w:sz w:val="20"/>
              </w:rPr>
            </w:pPr>
            <w:r w:rsidRPr="007A70FB">
              <w:rPr>
                <w:sz w:val="20"/>
              </w:rPr>
              <w:t>ITT</w:t>
            </w:r>
          </w:p>
        </w:tc>
        <w:tc>
          <w:tcPr>
            <w:tcW w:w="391" w:type="pct"/>
            <w:shd w:val="clear" w:color="auto" w:fill="auto"/>
            <w:vAlign w:val="center"/>
          </w:tcPr>
          <w:p w:rsidR="00F6076A" w:rsidRPr="007A70FB" w:rsidRDefault="00F6076A" w:rsidP="001331FA">
            <w:pPr>
              <w:pStyle w:val="KMC-Tabletext"/>
              <w:keepNext/>
              <w:keepLines/>
              <w:spacing w:before="20" w:after="20"/>
              <w:jc w:val="center"/>
              <w:rPr>
                <w:sz w:val="20"/>
              </w:rPr>
            </w:pPr>
            <w:r w:rsidRPr="007A70FB">
              <w:rPr>
                <w:sz w:val="20"/>
              </w:rPr>
              <w:t>87</w:t>
            </w:r>
          </w:p>
        </w:tc>
        <w:tc>
          <w:tcPr>
            <w:tcW w:w="654" w:type="pct"/>
            <w:shd w:val="clear" w:color="auto" w:fill="auto"/>
            <w:vAlign w:val="center"/>
          </w:tcPr>
          <w:p w:rsidR="00F6076A" w:rsidRPr="007A70FB" w:rsidRDefault="00F6076A" w:rsidP="001331FA">
            <w:pPr>
              <w:pStyle w:val="KMC-Tabletext"/>
              <w:keepNext/>
              <w:keepLines/>
              <w:spacing w:before="20" w:after="20"/>
              <w:ind w:left="-65"/>
              <w:jc w:val="center"/>
              <w:rPr>
                <w:sz w:val="20"/>
              </w:rPr>
            </w:pPr>
            <w:r w:rsidRPr="007A70FB">
              <w:rPr>
                <w:sz w:val="20"/>
              </w:rPr>
              <w:t>36 (41.4)</w:t>
            </w:r>
          </w:p>
        </w:tc>
        <w:tc>
          <w:tcPr>
            <w:tcW w:w="963" w:type="pct"/>
            <w:shd w:val="clear" w:color="auto" w:fill="auto"/>
            <w:vAlign w:val="center"/>
          </w:tcPr>
          <w:p w:rsidR="00F6076A" w:rsidRPr="007A70FB" w:rsidRDefault="00F6076A" w:rsidP="001331FA">
            <w:pPr>
              <w:pStyle w:val="KMC-Tabletext"/>
              <w:keepNext/>
              <w:keepLines/>
              <w:spacing w:before="20" w:after="20"/>
              <w:ind w:left="-65"/>
              <w:jc w:val="center"/>
              <w:rPr>
                <w:sz w:val="20"/>
              </w:rPr>
            </w:pPr>
            <w:r w:rsidRPr="007A70FB">
              <w:rPr>
                <w:sz w:val="20"/>
              </w:rPr>
              <w:t>22.7 (17.2, NE)</w:t>
            </w:r>
          </w:p>
        </w:tc>
        <w:tc>
          <w:tcPr>
            <w:tcW w:w="951" w:type="pct"/>
            <w:vAlign w:val="center"/>
          </w:tcPr>
          <w:p w:rsidR="00F6076A" w:rsidRPr="007A70FB" w:rsidRDefault="00F6076A" w:rsidP="001331FA">
            <w:pPr>
              <w:pStyle w:val="KMC-Tabletext"/>
              <w:keepNext/>
              <w:keepLines/>
              <w:spacing w:before="20" w:after="20"/>
              <w:ind w:left="-65"/>
              <w:jc w:val="center"/>
              <w:rPr>
                <w:sz w:val="20"/>
              </w:rPr>
            </w:pPr>
            <w:r w:rsidRPr="007A70FB">
              <w:rPr>
                <w:sz w:val="20"/>
              </w:rPr>
              <w:t>17</w:t>
            </w:r>
          </w:p>
        </w:tc>
      </w:tr>
      <w:tr w:rsidR="00F6076A" w:rsidRPr="007A70FB" w:rsidTr="001331FA">
        <w:tc>
          <w:tcPr>
            <w:tcW w:w="1019" w:type="pct"/>
            <w:tcBorders>
              <w:top w:val="nil"/>
              <w:bottom w:val="nil"/>
            </w:tcBorders>
            <w:shd w:val="clear" w:color="auto" w:fill="auto"/>
            <w:vAlign w:val="center"/>
          </w:tcPr>
          <w:p w:rsidR="00F6076A" w:rsidRPr="007A70FB" w:rsidRDefault="00F6076A" w:rsidP="001331FA">
            <w:pPr>
              <w:pStyle w:val="KMC-Tabletext"/>
              <w:keepNext/>
              <w:keepLines/>
              <w:spacing w:before="20" w:after="20"/>
              <w:ind w:left="-73" w:right="-80"/>
              <w:jc w:val="left"/>
              <w:rPr>
                <w:sz w:val="20"/>
              </w:rPr>
            </w:pPr>
            <w:r w:rsidRPr="007A70FB">
              <w:rPr>
                <w:sz w:val="20"/>
              </w:rPr>
              <w:t>NP28673</w:t>
            </w:r>
          </w:p>
        </w:tc>
        <w:tc>
          <w:tcPr>
            <w:tcW w:w="1022" w:type="pct"/>
            <w:tcBorders>
              <w:bottom w:val="nil"/>
            </w:tcBorders>
            <w:shd w:val="clear" w:color="auto" w:fill="auto"/>
            <w:vAlign w:val="center"/>
          </w:tcPr>
          <w:p w:rsidR="00F6076A" w:rsidRPr="007A70FB" w:rsidRDefault="00F6076A" w:rsidP="001331FA">
            <w:pPr>
              <w:pStyle w:val="KMC-Tabletext"/>
              <w:keepNext/>
              <w:keepLines/>
              <w:spacing w:before="20" w:after="20"/>
              <w:jc w:val="center"/>
              <w:rPr>
                <w:sz w:val="20"/>
              </w:rPr>
            </w:pPr>
            <w:r w:rsidRPr="007A70FB">
              <w:rPr>
                <w:sz w:val="20"/>
              </w:rPr>
              <w:t>ITT</w:t>
            </w:r>
          </w:p>
        </w:tc>
        <w:tc>
          <w:tcPr>
            <w:tcW w:w="391" w:type="pct"/>
            <w:shd w:val="clear" w:color="auto" w:fill="auto"/>
            <w:vAlign w:val="center"/>
          </w:tcPr>
          <w:p w:rsidR="00F6076A" w:rsidRPr="007A70FB" w:rsidRDefault="00F6076A" w:rsidP="001331FA">
            <w:pPr>
              <w:pStyle w:val="KMC-Tabletext"/>
              <w:keepNext/>
              <w:keepLines/>
              <w:spacing w:before="20" w:after="20"/>
              <w:jc w:val="center"/>
              <w:rPr>
                <w:i/>
                <w:sz w:val="20"/>
              </w:rPr>
            </w:pPr>
            <w:r w:rsidRPr="007A70FB">
              <w:rPr>
                <w:i/>
                <w:sz w:val="20"/>
              </w:rPr>
              <w:t>138</w:t>
            </w:r>
          </w:p>
        </w:tc>
        <w:tc>
          <w:tcPr>
            <w:tcW w:w="654" w:type="pct"/>
            <w:shd w:val="clear" w:color="auto" w:fill="auto"/>
            <w:vAlign w:val="center"/>
          </w:tcPr>
          <w:p w:rsidR="00F6076A" w:rsidRPr="007A70FB" w:rsidRDefault="00F6076A" w:rsidP="001331FA">
            <w:pPr>
              <w:pStyle w:val="KMC-Tabletext"/>
              <w:keepNext/>
              <w:keepLines/>
              <w:spacing w:before="20" w:after="20"/>
              <w:ind w:left="-65"/>
              <w:jc w:val="center"/>
              <w:rPr>
                <w:sz w:val="20"/>
              </w:rPr>
            </w:pPr>
            <w:r w:rsidRPr="007A70FB">
              <w:rPr>
                <w:sz w:val="20"/>
              </w:rPr>
              <w:t>60 (43.5)</w:t>
            </w:r>
          </w:p>
        </w:tc>
        <w:tc>
          <w:tcPr>
            <w:tcW w:w="963" w:type="pct"/>
            <w:shd w:val="clear" w:color="auto" w:fill="auto"/>
            <w:vAlign w:val="center"/>
          </w:tcPr>
          <w:p w:rsidR="00F6076A" w:rsidRPr="007A70FB" w:rsidRDefault="00F6076A" w:rsidP="001331FA">
            <w:pPr>
              <w:pStyle w:val="KMC-Tabletext"/>
              <w:keepNext/>
              <w:keepLines/>
              <w:spacing w:before="20" w:after="20"/>
              <w:ind w:left="-65"/>
              <w:jc w:val="center"/>
              <w:rPr>
                <w:sz w:val="20"/>
              </w:rPr>
            </w:pPr>
            <w:r w:rsidRPr="007A70FB">
              <w:rPr>
                <w:sz w:val="20"/>
              </w:rPr>
              <w:t>26 (21.5, NE)</w:t>
            </w:r>
          </w:p>
        </w:tc>
        <w:tc>
          <w:tcPr>
            <w:tcW w:w="951" w:type="pct"/>
            <w:shd w:val="clear" w:color="auto" w:fill="auto"/>
            <w:vAlign w:val="center"/>
          </w:tcPr>
          <w:p w:rsidR="00F6076A" w:rsidRPr="007A70FB" w:rsidRDefault="00F6076A" w:rsidP="001331FA">
            <w:pPr>
              <w:pStyle w:val="KMC-Tabletext"/>
              <w:keepNext/>
              <w:keepLines/>
              <w:spacing w:before="20" w:after="20"/>
              <w:ind w:left="-65"/>
              <w:jc w:val="center"/>
              <w:rPr>
                <w:sz w:val="20"/>
              </w:rPr>
            </w:pPr>
            <w:r w:rsidRPr="007A70FB">
              <w:rPr>
                <w:sz w:val="20"/>
              </w:rPr>
              <w:t>21.3</w:t>
            </w:r>
          </w:p>
        </w:tc>
      </w:tr>
      <w:tr w:rsidR="00F6076A" w:rsidRPr="007A70FB" w:rsidTr="001331FA">
        <w:tc>
          <w:tcPr>
            <w:tcW w:w="1019" w:type="pct"/>
            <w:tcBorders>
              <w:bottom w:val="nil"/>
            </w:tcBorders>
            <w:shd w:val="clear" w:color="auto" w:fill="auto"/>
            <w:vAlign w:val="center"/>
          </w:tcPr>
          <w:p w:rsidR="00F6076A" w:rsidRPr="007A70FB" w:rsidRDefault="00F6076A" w:rsidP="001331FA">
            <w:pPr>
              <w:pStyle w:val="KMC-Tabletext"/>
              <w:keepNext/>
              <w:keepLines/>
              <w:spacing w:before="20" w:after="20"/>
              <w:ind w:left="-73" w:right="-80"/>
              <w:jc w:val="left"/>
              <w:rPr>
                <w:sz w:val="20"/>
              </w:rPr>
            </w:pPr>
            <w:r w:rsidRPr="007A70FB">
              <w:rPr>
                <w:sz w:val="20"/>
              </w:rPr>
              <w:t>NP28761/ NP28673</w:t>
            </w:r>
          </w:p>
        </w:tc>
        <w:tc>
          <w:tcPr>
            <w:tcW w:w="1022" w:type="pct"/>
            <w:shd w:val="clear" w:color="auto" w:fill="auto"/>
            <w:vAlign w:val="center"/>
          </w:tcPr>
          <w:p w:rsidR="00F6076A" w:rsidRPr="007A70FB" w:rsidRDefault="00F6076A" w:rsidP="001331FA">
            <w:pPr>
              <w:pStyle w:val="KMC-Tabletext"/>
              <w:keepNext/>
              <w:keepLines/>
              <w:spacing w:before="20" w:after="20"/>
              <w:jc w:val="center"/>
              <w:rPr>
                <w:sz w:val="20"/>
              </w:rPr>
            </w:pPr>
            <w:r w:rsidRPr="007A70FB">
              <w:rPr>
                <w:sz w:val="20"/>
              </w:rPr>
              <w:t>ITT</w:t>
            </w:r>
          </w:p>
        </w:tc>
        <w:tc>
          <w:tcPr>
            <w:tcW w:w="391" w:type="pct"/>
            <w:shd w:val="clear" w:color="auto" w:fill="auto"/>
            <w:vAlign w:val="center"/>
          </w:tcPr>
          <w:p w:rsidR="00F6076A" w:rsidRPr="007A70FB" w:rsidRDefault="00F6076A" w:rsidP="001331FA">
            <w:pPr>
              <w:pStyle w:val="KMC-Tabletext"/>
              <w:keepNext/>
              <w:keepLines/>
              <w:spacing w:before="20" w:after="20"/>
              <w:jc w:val="center"/>
              <w:rPr>
                <w:sz w:val="20"/>
              </w:rPr>
            </w:pPr>
            <w:r w:rsidRPr="007A70FB">
              <w:rPr>
                <w:sz w:val="20"/>
              </w:rPr>
              <w:t>225</w:t>
            </w:r>
          </w:p>
        </w:tc>
        <w:tc>
          <w:tcPr>
            <w:tcW w:w="654" w:type="pct"/>
            <w:shd w:val="clear" w:color="auto" w:fill="auto"/>
            <w:vAlign w:val="center"/>
          </w:tcPr>
          <w:p w:rsidR="00F6076A" w:rsidRPr="007A70FB" w:rsidRDefault="00F6076A" w:rsidP="001331FA">
            <w:pPr>
              <w:pStyle w:val="KMC-Tabletext"/>
              <w:keepNext/>
              <w:keepLines/>
              <w:spacing w:before="20" w:after="20"/>
              <w:ind w:left="-65"/>
              <w:jc w:val="center"/>
              <w:rPr>
                <w:sz w:val="20"/>
              </w:rPr>
            </w:pPr>
            <w:r w:rsidRPr="007A70FB">
              <w:rPr>
                <w:sz w:val="20"/>
              </w:rPr>
              <w:t>96 (42.7)</w:t>
            </w:r>
          </w:p>
        </w:tc>
        <w:tc>
          <w:tcPr>
            <w:tcW w:w="963" w:type="pct"/>
            <w:shd w:val="clear" w:color="auto" w:fill="auto"/>
            <w:vAlign w:val="center"/>
          </w:tcPr>
          <w:p w:rsidR="00F6076A" w:rsidRPr="007A70FB" w:rsidRDefault="00F6076A" w:rsidP="001331FA">
            <w:pPr>
              <w:pStyle w:val="KMC-Tabletext"/>
              <w:keepNext/>
              <w:keepLines/>
              <w:spacing w:before="20" w:after="20"/>
              <w:ind w:left="-65"/>
              <w:jc w:val="center"/>
              <w:rPr>
                <w:sz w:val="20"/>
              </w:rPr>
            </w:pPr>
            <w:r w:rsidRPr="007A70FB">
              <w:rPr>
                <w:sz w:val="20"/>
              </w:rPr>
              <w:t>26 (21.4, NE)</w:t>
            </w:r>
          </w:p>
        </w:tc>
        <w:tc>
          <w:tcPr>
            <w:tcW w:w="951" w:type="pct"/>
            <w:shd w:val="clear" w:color="auto" w:fill="auto"/>
            <w:vAlign w:val="center"/>
          </w:tcPr>
          <w:p w:rsidR="00F6076A" w:rsidRPr="007A70FB" w:rsidRDefault="00F6076A" w:rsidP="001331FA">
            <w:pPr>
              <w:pStyle w:val="KMC-Tabletext"/>
              <w:keepNext/>
              <w:keepLines/>
              <w:spacing w:before="20" w:after="20"/>
              <w:ind w:left="-65"/>
              <w:jc w:val="center"/>
              <w:rPr>
                <w:sz w:val="20"/>
              </w:rPr>
            </w:pPr>
            <w:r w:rsidRPr="007A70FB">
              <w:rPr>
                <w:sz w:val="20"/>
              </w:rPr>
              <w:t>NR</w:t>
            </w:r>
          </w:p>
        </w:tc>
      </w:tr>
      <w:tr w:rsidR="00F6076A" w:rsidRPr="007A70FB" w:rsidTr="001331FA">
        <w:tc>
          <w:tcPr>
            <w:tcW w:w="1019" w:type="pct"/>
            <w:tcBorders>
              <w:bottom w:val="nil"/>
            </w:tcBorders>
            <w:shd w:val="clear" w:color="auto" w:fill="auto"/>
            <w:vAlign w:val="center"/>
          </w:tcPr>
          <w:p w:rsidR="00F6076A" w:rsidRPr="007A70FB" w:rsidRDefault="00F6076A" w:rsidP="001331FA">
            <w:pPr>
              <w:pStyle w:val="KMC-Tabletext"/>
              <w:keepNext/>
              <w:keepLines/>
              <w:spacing w:before="20" w:after="20"/>
              <w:ind w:left="-73" w:right="-80"/>
              <w:jc w:val="left"/>
              <w:rPr>
                <w:sz w:val="20"/>
              </w:rPr>
            </w:pPr>
            <w:r w:rsidRPr="007A70FB">
              <w:rPr>
                <w:sz w:val="20"/>
              </w:rPr>
              <w:t>ALUR</w:t>
            </w:r>
          </w:p>
        </w:tc>
        <w:tc>
          <w:tcPr>
            <w:tcW w:w="1022" w:type="pct"/>
            <w:shd w:val="clear" w:color="auto" w:fill="auto"/>
            <w:vAlign w:val="center"/>
          </w:tcPr>
          <w:p w:rsidR="00F6076A" w:rsidRPr="007A70FB" w:rsidRDefault="00F6076A" w:rsidP="001331FA">
            <w:pPr>
              <w:pStyle w:val="KMC-Tabletext"/>
              <w:keepNext/>
              <w:keepLines/>
              <w:spacing w:before="20" w:after="20"/>
              <w:jc w:val="center"/>
              <w:rPr>
                <w:sz w:val="20"/>
              </w:rPr>
            </w:pPr>
            <w:r w:rsidRPr="007A70FB">
              <w:rPr>
                <w:sz w:val="20"/>
              </w:rPr>
              <w:t>ITT (alectinib)</w:t>
            </w:r>
          </w:p>
        </w:tc>
        <w:tc>
          <w:tcPr>
            <w:tcW w:w="391" w:type="pct"/>
            <w:shd w:val="clear" w:color="auto" w:fill="auto"/>
            <w:vAlign w:val="center"/>
          </w:tcPr>
          <w:p w:rsidR="00F6076A" w:rsidRPr="007A70FB" w:rsidRDefault="00F6076A" w:rsidP="001331FA">
            <w:pPr>
              <w:pStyle w:val="KMC-Tabletext"/>
              <w:keepNext/>
              <w:keepLines/>
              <w:spacing w:before="20" w:after="20"/>
              <w:jc w:val="center"/>
              <w:rPr>
                <w:sz w:val="20"/>
              </w:rPr>
            </w:pPr>
            <w:r w:rsidRPr="007A70FB">
              <w:rPr>
                <w:sz w:val="20"/>
              </w:rPr>
              <w:t>72</w:t>
            </w:r>
          </w:p>
        </w:tc>
        <w:tc>
          <w:tcPr>
            <w:tcW w:w="654" w:type="pct"/>
            <w:shd w:val="clear" w:color="auto" w:fill="auto"/>
            <w:vAlign w:val="center"/>
          </w:tcPr>
          <w:p w:rsidR="00F6076A" w:rsidRPr="007A70FB" w:rsidRDefault="00F6076A" w:rsidP="001331FA">
            <w:pPr>
              <w:pStyle w:val="KMC-Tabletext"/>
              <w:keepNext/>
              <w:keepLines/>
              <w:spacing w:before="20" w:after="20"/>
              <w:ind w:left="-51" w:right="-90"/>
              <w:jc w:val="center"/>
              <w:rPr>
                <w:sz w:val="20"/>
              </w:rPr>
            </w:pPr>
            <w:r w:rsidRPr="007A70FB">
              <w:rPr>
                <w:sz w:val="20"/>
              </w:rPr>
              <w:t>16 (22.2)</w:t>
            </w:r>
          </w:p>
        </w:tc>
        <w:tc>
          <w:tcPr>
            <w:tcW w:w="963" w:type="pct"/>
            <w:shd w:val="clear" w:color="auto" w:fill="auto"/>
            <w:vAlign w:val="center"/>
          </w:tcPr>
          <w:p w:rsidR="00F6076A" w:rsidRPr="007A70FB" w:rsidRDefault="00F6076A" w:rsidP="001331FA">
            <w:pPr>
              <w:pStyle w:val="KMC-Tabletext"/>
              <w:keepNext/>
              <w:keepLines/>
              <w:spacing w:before="20" w:after="20"/>
              <w:ind w:left="-65" w:right="-90"/>
              <w:jc w:val="center"/>
              <w:rPr>
                <w:sz w:val="20"/>
              </w:rPr>
            </w:pPr>
            <w:r w:rsidRPr="007A70FB">
              <w:rPr>
                <w:sz w:val="20"/>
              </w:rPr>
              <w:t>12.6 (9.7, NE)</w:t>
            </w:r>
          </w:p>
        </w:tc>
        <w:tc>
          <w:tcPr>
            <w:tcW w:w="951" w:type="pct"/>
            <w:shd w:val="clear" w:color="auto" w:fill="auto"/>
            <w:vAlign w:val="center"/>
          </w:tcPr>
          <w:p w:rsidR="00F6076A" w:rsidRPr="007A70FB" w:rsidRDefault="00F6076A" w:rsidP="001331FA">
            <w:pPr>
              <w:pStyle w:val="KMC-Tabletext"/>
              <w:keepNext/>
              <w:keepLines/>
              <w:spacing w:before="20" w:after="20"/>
              <w:ind w:left="-65" w:right="-90"/>
              <w:jc w:val="center"/>
              <w:rPr>
                <w:sz w:val="20"/>
              </w:rPr>
            </w:pPr>
            <w:r w:rsidRPr="007A70FB">
              <w:rPr>
                <w:sz w:val="20"/>
              </w:rPr>
              <w:t>6.5</w:t>
            </w:r>
          </w:p>
        </w:tc>
      </w:tr>
      <w:tr w:rsidR="00F6076A" w:rsidRPr="007A70FB" w:rsidTr="001331FA">
        <w:tc>
          <w:tcPr>
            <w:tcW w:w="1019" w:type="pct"/>
            <w:tcBorders>
              <w:bottom w:val="single" w:sz="4" w:space="0" w:color="auto"/>
              <w:right w:val="nil"/>
            </w:tcBorders>
            <w:shd w:val="clear" w:color="auto" w:fill="auto"/>
            <w:vAlign w:val="center"/>
          </w:tcPr>
          <w:p w:rsidR="00F6076A" w:rsidRPr="007A70FB" w:rsidRDefault="00F6076A" w:rsidP="001331FA">
            <w:pPr>
              <w:pStyle w:val="KMC-Tabletext"/>
              <w:keepNext/>
              <w:keepLines/>
              <w:spacing w:before="20" w:after="20"/>
              <w:ind w:left="-73" w:right="-80"/>
              <w:jc w:val="left"/>
              <w:rPr>
                <w:b/>
                <w:bCs w:val="0"/>
                <w:sz w:val="20"/>
              </w:rPr>
            </w:pPr>
            <w:r w:rsidRPr="007A70FB">
              <w:rPr>
                <w:b/>
                <w:bCs w:val="0"/>
                <w:sz w:val="20"/>
              </w:rPr>
              <w:t>Ceritinib</w:t>
            </w:r>
          </w:p>
        </w:tc>
        <w:tc>
          <w:tcPr>
            <w:tcW w:w="1022" w:type="pct"/>
            <w:tcBorders>
              <w:left w:val="nil"/>
              <w:right w:val="nil"/>
            </w:tcBorders>
            <w:shd w:val="clear" w:color="auto" w:fill="auto"/>
            <w:vAlign w:val="center"/>
          </w:tcPr>
          <w:p w:rsidR="00F6076A" w:rsidRPr="007A70FB" w:rsidRDefault="00F6076A" w:rsidP="001331FA">
            <w:pPr>
              <w:pStyle w:val="KMC-Tabletext"/>
              <w:keepNext/>
              <w:keepLines/>
              <w:spacing w:before="20" w:after="20"/>
              <w:jc w:val="center"/>
              <w:rPr>
                <w:sz w:val="20"/>
              </w:rPr>
            </w:pPr>
          </w:p>
        </w:tc>
        <w:tc>
          <w:tcPr>
            <w:tcW w:w="391" w:type="pct"/>
            <w:tcBorders>
              <w:left w:val="nil"/>
              <w:right w:val="nil"/>
            </w:tcBorders>
            <w:shd w:val="clear" w:color="auto" w:fill="auto"/>
            <w:vAlign w:val="center"/>
          </w:tcPr>
          <w:p w:rsidR="00F6076A" w:rsidRPr="007A70FB" w:rsidRDefault="00F6076A" w:rsidP="001331FA">
            <w:pPr>
              <w:pStyle w:val="KMC-Tabletext"/>
              <w:keepNext/>
              <w:keepLines/>
              <w:spacing w:before="20" w:after="20"/>
              <w:jc w:val="center"/>
              <w:rPr>
                <w:sz w:val="20"/>
              </w:rPr>
            </w:pPr>
          </w:p>
        </w:tc>
        <w:tc>
          <w:tcPr>
            <w:tcW w:w="654" w:type="pct"/>
            <w:tcBorders>
              <w:left w:val="nil"/>
              <w:right w:val="nil"/>
            </w:tcBorders>
            <w:shd w:val="clear" w:color="auto" w:fill="auto"/>
            <w:vAlign w:val="center"/>
          </w:tcPr>
          <w:p w:rsidR="00F6076A" w:rsidRPr="007A70FB" w:rsidRDefault="00F6076A" w:rsidP="001331FA">
            <w:pPr>
              <w:pStyle w:val="KMC-Tabletext"/>
              <w:keepNext/>
              <w:keepLines/>
              <w:spacing w:before="20" w:after="20"/>
              <w:ind w:left="-51" w:right="-90"/>
              <w:jc w:val="center"/>
              <w:rPr>
                <w:sz w:val="20"/>
              </w:rPr>
            </w:pPr>
          </w:p>
        </w:tc>
        <w:tc>
          <w:tcPr>
            <w:tcW w:w="963" w:type="pct"/>
            <w:tcBorders>
              <w:left w:val="nil"/>
              <w:right w:val="nil"/>
            </w:tcBorders>
            <w:shd w:val="clear" w:color="auto" w:fill="auto"/>
            <w:vAlign w:val="center"/>
          </w:tcPr>
          <w:p w:rsidR="00F6076A" w:rsidRPr="007A70FB" w:rsidRDefault="00F6076A" w:rsidP="001331FA">
            <w:pPr>
              <w:pStyle w:val="KMC-Tabletext"/>
              <w:keepNext/>
              <w:keepLines/>
              <w:spacing w:before="20" w:after="20"/>
              <w:ind w:left="-65" w:right="-90"/>
              <w:jc w:val="center"/>
              <w:rPr>
                <w:sz w:val="20"/>
              </w:rPr>
            </w:pPr>
          </w:p>
        </w:tc>
        <w:tc>
          <w:tcPr>
            <w:tcW w:w="951" w:type="pct"/>
            <w:tcBorders>
              <w:left w:val="nil"/>
            </w:tcBorders>
            <w:vAlign w:val="center"/>
          </w:tcPr>
          <w:p w:rsidR="00F6076A" w:rsidRPr="007A70FB" w:rsidRDefault="00F6076A" w:rsidP="001331FA">
            <w:pPr>
              <w:pStyle w:val="KMC-Tabletext"/>
              <w:keepNext/>
              <w:keepLines/>
              <w:spacing w:before="20" w:after="20"/>
              <w:ind w:left="-65" w:right="-90"/>
              <w:jc w:val="center"/>
              <w:rPr>
                <w:sz w:val="20"/>
              </w:rPr>
            </w:pPr>
          </w:p>
        </w:tc>
      </w:tr>
      <w:tr w:rsidR="00F6076A" w:rsidRPr="007A70FB" w:rsidTr="001331FA">
        <w:tc>
          <w:tcPr>
            <w:tcW w:w="1019" w:type="pct"/>
            <w:tcBorders>
              <w:bottom w:val="nil"/>
            </w:tcBorders>
            <w:shd w:val="clear" w:color="auto" w:fill="auto"/>
            <w:vAlign w:val="center"/>
          </w:tcPr>
          <w:p w:rsidR="00F6076A" w:rsidRPr="007A70FB" w:rsidRDefault="00F6076A" w:rsidP="001331FA">
            <w:pPr>
              <w:pStyle w:val="KMC-Tabletext"/>
              <w:keepNext/>
              <w:keepLines/>
              <w:spacing w:before="20" w:after="20"/>
              <w:ind w:left="-73" w:right="-80"/>
              <w:jc w:val="left"/>
              <w:rPr>
                <w:sz w:val="20"/>
              </w:rPr>
            </w:pPr>
            <w:r w:rsidRPr="007A70FB">
              <w:rPr>
                <w:sz w:val="20"/>
              </w:rPr>
              <w:t>ASCEND-1</w:t>
            </w:r>
          </w:p>
        </w:tc>
        <w:tc>
          <w:tcPr>
            <w:tcW w:w="1022" w:type="pct"/>
            <w:shd w:val="clear" w:color="auto" w:fill="auto"/>
            <w:vAlign w:val="center"/>
          </w:tcPr>
          <w:p w:rsidR="00F6076A" w:rsidRPr="007A70FB" w:rsidRDefault="00F6076A" w:rsidP="001331FA">
            <w:pPr>
              <w:pStyle w:val="KMC-Tabletext"/>
              <w:keepNext/>
              <w:keepLines/>
              <w:spacing w:before="20" w:after="20"/>
              <w:jc w:val="center"/>
              <w:rPr>
                <w:sz w:val="20"/>
              </w:rPr>
            </w:pPr>
            <w:r w:rsidRPr="007A70FB">
              <w:rPr>
                <w:sz w:val="20"/>
              </w:rPr>
              <w:t>FAS</w:t>
            </w:r>
          </w:p>
        </w:tc>
        <w:tc>
          <w:tcPr>
            <w:tcW w:w="391" w:type="pct"/>
            <w:shd w:val="clear" w:color="auto" w:fill="auto"/>
            <w:vAlign w:val="center"/>
          </w:tcPr>
          <w:p w:rsidR="00F6076A" w:rsidRPr="007A70FB" w:rsidRDefault="00F6076A" w:rsidP="001331FA">
            <w:pPr>
              <w:pStyle w:val="KMC-Tabletext"/>
              <w:keepNext/>
              <w:keepLines/>
              <w:spacing w:before="20" w:after="20"/>
              <w:jc w:val="center"/>
              <w:rPr>
                <w:sz w:val="20"/>
              </w:rPr>
            </w:pPr>
            <w:r w:rsidRPr="007A70FB">
              <w:rPr>
                <w:sz w:val="20"/>
              </w:rPr>
              <w:t>163</w:t>
            </w:r>
          </w:p>
        </w:tc>
        <w:tc>
          <w:tcPr>
            <w:tcW w:w="654" w:type="pct"/>
            <w:shd w:val="clear" w:color="auto" w:fill="auto"/>
            <w:vAlign w:val="center"/>
          </w:tcPr>
          <w:p w:rsidR="00F6076A" w:rsidRPr="007A70FB" w:rsidRDefault="00F6076A" w:rsidP="001331FA">
            <w:pPr>
              <w:pStyle w:val="KMC-Tabletext"/>
              <w:keepNext/>
              <w:keepLines/>
              <w:spacing w:before="20" w:after="20"/>
              <w:ind w:left="-51" w:right="-90"/>
              <w:jc w:val="center"/>
              <w:rPr>
                <w:i/>
                <w:iCs/>
                <w:sz w:val="20"/>
              </w:rPr>
            </w:pPr>
            <w:r w:rsidRPr="007A70FB">
              <w:rPr>
                <w:rFonts w:cs="Calibri"/>
                <w:color w:val="000000"/>
                <w:sz w:val="20"/>
              </w:rPr>
              <w:t>63 (38.7)</w:t>
            </w:r>
          </w:p>
        </w:tc>
        <w:tc>
          <w:tcPr>
            <w:tcW w:w="963" w:type="pct"/>
            <w:shd w:val="clear" w:color="auto" w:fill="auto"/>
            <w:vAlign w:val="center"/>
          </w:tcPr>
          <w:p w:rsidR="00F6076A" w:rsidRPr="007A70FB" w:rsidRDefault="00F6076A" w:rsidP="001331FA">
            <w:pPr>
              <w:pStyle w:val="KMC-Tabletext"/>
              <w:keepNext/>
              <w:keepLines/>
              <w:spacing w:before="20" w:after="20"/>
              <w:ind w:left="-65" w:right="-90"/>
              <w:jc w:val="center"/>
              <w:rPr>
                <w:i/>
                <w:iCs/>
                <w:sz w:val="20"/>
              </w:rPr>
            </w:pPr>
            <w:r w:rsidRPr="007A70FB">
              <w:rPr>
                <w:rFonts w:cs="Calibri"/>
                <w:color w:val="000000"/>
                <w:sz w:val="20"/>
              </w:rPr>
              <w:t>16.7 (14.8, NE)</w:t>
            </w:r>
          </w:p>
        </w:tc>
        <w:tc>
          <w:tcPr>
            <w:tcW w:w="951" w:type="pct"/>
            <w:vAlign w:val="center"/>
          </w:tcPr>
          <w:p w:rsidR="00F6076A" w:rsidRPr="007A70FB" w:rsidRDefault="00F6076A" w:rsidP="001331FA">
            <w:pPr>
              <w:pStyle w:val="KMC-Tabletext"/>
              <w:keepNext/>
              <w:keepLines/>
              <w:spacing w:before="20" w:after="20"/>
              <w:ind w:left="-65" w:right="-90"/>
              <w:jc w:val="center"/>
              <w:rPr>
                <w:i/>
                <w:iCs/>
                <w:sz w:val="20"/>
              </w:rPr>
            </w:pPr>
            <w:r w:rsidRPr="007A70FB">
              <w:rPr>
                <w:rFonts w:cs="Calibri"/>
                <w:color w:val="000000"/>
                <w:sz w:val="20"/>
              </w:rPr>
              <w:t>11.1</w:t>
            </w:r>
          </w:p>
        </w:tc>
      </w:tr>
      <w:tr w:rsidR="00F6076A" w:rsidRPr="007A70FB" w:rsidTr="001331FA">
        <w:tc>
          <w:tcPr>
            <w:tcW w:w="1019" w:type="pct"/>
            <w:tcBorders>
              <w:bottom w:val="nil"/>
            </w:tcBorders>
            <w:shd w:val="clear" w:color="auto" w:fill="auto"/>
            <w:vAlign w:val="center"/>
          </w:tcPr>
          <w:p w:rsidR="00F6076A" w:rsidRPr="007A70FB" w:rsidRDefault="00F6076A" w:rsidP="001331FA">
            <w:pPr>
              <w:pStyle w:val="KMC-Tabletext"/>
              <w:keepNext/>
              <w:keepLines/>
              <w:spacing w:before="20" w:after="20"/>
              <w:ind w:left="-73" w:right="-80"/>
              <w:jc w:val="left"/>
              <w:rPr>
                <w:sz w:val="20"/>
              </w:rPr>
            </w:pPr>
            <w:r w:rsidRPr="007A70FB">
              <w:rPr>
                <w:sz w:val="20"/>
              </w:rPr>
              <w:t>ASCEND-2</w:t>
            </w:r>
          </w:p>
        </w:tc>
        <w:tc>
          <w:tcPr>
            <w:tcW w:w="1022" w:type="pct"/>
            <w:shd w:val="clear" w:color="auto" w:fill="auto"/>
            <w:vAlign w:val="center"/>
          </w:tcPr>
          <w:p w:rsidR="00F6076A" w:rsidRPr="007A70FB" w:rsidRDefault="00F6076A" w:rsidP="001331FA">
            <w:pPr>
              <w:pStyle w:val="KMC-Tabletext"/>
              <w:keepNext/>
              <w:keepLines/>
              <w:spacing w:before="20" w:after="20"/>
              <w:jc w:val="center"/>
              <w:rPr>
                <w:sz w:val="20"/>
              </w:rPr>
            </w:pPr>
            <w:r w:rsidRPr="007A70FB">
              <w:rPr>
                <w:sz w:val="20"/>
              </w:rPr>
              <w:t>FAS</w:t>
            </w:r>
          </w:p>
        </w:tc>
        <w:tc>
          <w:tcPr>
            <w:tcW w:w="391" w:type="pct"/>
            <w:shd w:val="clear" w:color="auto" w:fill="auto"/>
            <w:vAlign w:val="center"/>
          </w:tcPr>
          <w:p w:rsidR="00F6076A" w:rsidRPr="007A70FB" w:rsidRDefault="00F6076A" w:rsidP="001331FA">
            <w:pPr>
              <w:pStyle w:val="KMC-Tabletext"/>
              <w:keepNext/>
              <w:keepLines/>
              <w:spacing w:before="20" w:after="20"/>
              <w:jc w:val="center"/>
              <w:rPr>
                <w:sz w:val="20"/>
              </w:rPr>
            </w:pPr>
            <w:r w:rsidRPr="007A70FB">
              <w:rPr>
                <w:sz w:val="20"/>
              </w:rPr>
              <w:t>140</w:t>
            </w:r>
          </w:p>
        </w:tc>
        <w:tc>
          <w:tcPr>
            <w:tcW w:w="654" w:type="pct"/>
            <w:shd w:val="clear" w:color="auto" w:fill="auto"/>
            <w:vAlign w:val="center"/>
          </w:tcPr>
          <w:p w:rsidR="00F6076A" w:rsidRPr="007A70FB" w:rsidRDefault="00F6076A" w:rsidP="001331FA">
            <w:pPr>
              <w:pStyle w:val="KMC-Tabletext"/>
              <w:keepNext/>
              <w:keepLines/>
              <w:spacing w:before="20" w:after="20"/>
              <w:ind w:left="-51" w:right="-90"/>
              <w:jc w:val="center"/>
              <w:rPr>
                <w:sz w:val="20"/>
              </w:rPr>
            </w:pPr>
            <w:r w:rsidRPr="007A70FB">
              <w:rPr>
                <w:rFonts w:cs="Calibri"/>
                <w:color w:val="000000"/>
                <w:sz w:val="20"/>
              </w:rPr>
              <w:t>NR</w:t>
            </w:r>
          </w:p>
        </w:tc>
        <w:tc>
          <w:tcPr>
            <w:tcW w:w="963" w:type="pct"/>
            <w:shd w:val="clear" w:color="auto" w:fill="auto"/>
            <w:vAlign w:val="center"/>
          </w:tcPr>
          <w:p w:rsidR="00F6076A" w:rsidRPr="007A70FB" w:rsidRDefault="00F6076A" w:rsidP="001331FA">
            <w:pPr>
              <w:pStyle w:val="KMC-Tabletext"/>
              <w:keepNext/>
              <w:keepLines/>
              <w:spacing w:before="20" w:after="20"/>
              <w:ind w:left="-65" w:right="-90"/>
              <w:jc w:val="center"/>
              <w:rPr>
                <w:i/>
                <w:iCs/>
                <w:sz w:val="20"/>
              </w:rPr>
            </w:pPr>
            <w:r w:rsidRPr="007A70FB">
              <w:rPr>
                <w:rFonts w:cs="Calibri"/>
                <w:color w:val="000000"/>
                <w:sz w:val="20"/>
              </w:rPr>
              <w:t>14.9 (13.5, NE)</w:t>
            </w:r>
          </w:p>
        </w:tc>
        <w:tc>
          <w:tcPr>
            <w:tcW w:w="951" w:type="pct"/>
            <w:shd w:val="clear" w:color="auto" w:fill="auto"/>
            <w:vAlign w:val="center"/>
          </w:tcPr>
          <w:p w:rsidR="00F6076A" w:rsidRPr="007A70FB" w:rsidRDefault="00F6076A" w:rsidP="001331FA">
            <w:pPr>
              <w:pStyle w:val="KMC-Tabletext"/>
              <w:keepNext/>
              <w:keepLines/>
              <w:spacing w:before="20" w:after="20"/>
              <w:ind w:left="-65" w:right="-90"/>
              <w:jc w:val="center"/>
              <w:rPr>
                <w:i/>
                <w:iCs/>
                <w:sz w:val="20"/>
              </w:rPr>
            </w:pPr>
            <w:r w:rsidRPr="007A70FB">
              <w:rPr>
                <w:rFonts w:cs="Calibri"/>
                <w:color w:val="000000"/>
                <w:sz w:val="20"/>
              </w:rPr>
              <w:t>11.3</w:t>
            </w:r>
          </w:p>
        </w:tc>
      </w:tr>
      <w:tr w:rsidR="00F6076A" w:rsidRPr="007A70FB" w:rsidTr="001331FA">
        <w:tc>
          <w:tcPr>
            <w:tcW w:w="1019" w:type="pct"/>
            <w:tcBorders>
              <w:bottom w:val="nil"/>
            </w:tcBorders>
            <w:shd w:val="clear" w:color="auto" w:fill="auto"/>
            <w:vAlign w:val="center"/>
          </w:tcPr>
          <w:p w:rsidR="00F6076A" w:rsidRPr="007A70FB" w:rsidRDefault="00F6076A" w:rsidP="001331FA">
            <w:pPr>
              <w:pStyle w:val="KMC-Tabletext"/>
              <w:keepNext/>
              <w:keepLines/>
              <w:spacing w:before="20" w:after="20"/>
              <w:ind w:left="-73" w:right="-80"/>
              <w:jc w:val="left"/>
              <w:rPr>
                <w:sz w:val="20"/>
              </w:rPr>
            </w:pPr>
            <w:r w:rsidRPr="007A70FB">
              <w:rPr>
                <w:sz w:val="20"/>
              </w:rPr>
              <w:t>ASCEND-5</w:t>
            </w:r>
          </w:p>
        </w:tc>
        <w:tc>
          <w:tcPr>
            <w:tcW w:w="1022" w:type="pct"/>
            <w:tcBorders>
              <w:bottom w:val="single" w:sz="4" w:space="0" w:color="auto"/>
            </w:tcBorders>
            <w:shd w:val="clear" w:color="auto" w:fill="auto"/>
            <w:vAlign w:val="center"/>
          </w:tcPr>
          <w:p w:rsidR="00F6076A" w:rsidRPr="007A70FB" w:rsidRDefault="00F6076A" w:rsidP="001331FA">
            <w:pPr>
              <w:pStyle w:val="KMC-Tabletext"/>
              <w:keepNext/>
              <w:keepLines/>
              <w:spacing w:before="20" w:after="20"/>
              <w:jc w:val="center"/>
              <w:rPr>
                <w:sz w:val="20"/>
              </w:rPr>
            </w:pPr>
            <w:r w:rsidRPr="007A70FB">
              <w:rPr>
                <w:sz w:val="20"/>
              </w:rPr>
              <w:t>FAS (ceritinib)</w:t>
            </w:r>
          </w:p>
        </w:tc>
        <w:tc>
          <w:tcPr>
            <w:tcW w:w="391" w:type="pct"/>
            <w:tcBorders>
              <w:bottom w:val="single" w:sz="4" w:space="0" w:color="auto"/>
            </w:tcBorders>
            <w:shd w:val="clear" w:color="auto" w:fill="auto"/>
            <w:vAlign w:val="center"/>
          </w:tcPr>
          <w:p w:rsidR="00F6076A" w:rsidRPr="007A70FB" w:rsidRDefault="00F6076A" w:rsidP="001331FA">
            <w:pPr>
              <w:pStyle w:val="KMC-Tabletext"/>
              <w:keepNext/>
              <w:keepLines/>
              <w:spacing w:before="20" w:after="20"/>
              <w:jc w:val="center"/>
              <w:rPr>
                <w:i/>
                <w:sz w:val="20"/>
              </w:rPr>
            </w:pPr>
            <w:r w:rsidRPr="007A70FB">
              <w:rPr>
                <w:i/>
                <w:sz w:val="20"/>
              </w:rPr>
              <w:t>115</w:t>
            </w:r>
          </w:p>
        </w:tc>
        <w:tc>
          <w:tcPr>
            <w:tcW w:w="654" w:type="pct"/>
            <w:tcBorders>
              <w:bottom w:val="single" w:sz="4" w:space="0" w:color="auto"/>
            </w:tcBorders>
            <w:shd w:val="clear" w:color="auto" w:fill="auto"/>
            <w:vAlign w:val="center"/>
          </w:tcPr>
          <w:p w:rsidR="00F6076A" w:rsidRPr="007A70FB" w:rsidRDefault="00F6076A" w:rsidP="001331FA">
            <w:pPr>
              <w:pStyle w:val="KMC-Tabletext"/>
              <w:keepNext/>
              <w:keepLines/>
              <w:spacing w:before="20" w:after="20"/>
              <w:ind w:left="-51" w:right="-90"/>
              <w:jc w:val="center"/>
              <w:rPr>
                <w:sz w:val="20"/>
              </w:rPr>
            </w:pPr>
            <w:r w:rsidRPr="007A70FB">
              <w:rPr>
                <w:rFonts w:cs="Calibri"/>
                <w:color w:val="000000"/>
                <w:sz w:val="20"/>
              </w:rPr>
              <w:t>48 (41.7)</w:t>
            </w:r>
          </w:p>
        </w:tc>
        <w:tc>
          <w:tcPr>
            <w:tcW w:w="963" w:type="pct"/>
            <w:tcBorders>
              <w:bottom w:val="single" w:sz="4" w:space="0" w:color="auto"/>
            </w:tcBorders>
            <w:shd w:val="clear" w:color="auto" w:fill="auto"/>
            <w:vAlign w:val="center"/>
          </w:tcPr>
          <w:p w:rsidR="00F6076A" w:rsidRPr="007A70FB" w:rsidRDefault="00F6076A" w:rsidP="001331FA">
            <w:pPr>
              <w:pStyle w:val="KMC-Tabletext"/>
              <w:keepNext/>
              <w:keepLines/>
              <w:spacing w:before="20" w:after="20"/>
              <w:ind w:left="-65" w:right="-90"/>
              <w:jc w:val="center"/>
              <w:rPr>
                <w:iCs/>
                <w:sz w:val="20"/>
              </w:rPr>
            </w:pPr>
            <w:r w:rsidRPr="007A70FB">
              <w:rPr>
                <w:rFonts w:cs="Calibri"/>
                <w:color w:val="000000"/>
                <w:sz w:val="20"/>
              </w:rPr>
              <w:t>18.1 (13.4, 23.9)</w:t>
            </w:r>
          </w:p>
        </w:tc>
        <w:tc>
          <w:tcPr>
            <w:tcW w:w="951" w:type="pct"/>
            <w:tcBorders>
              <w:bottom w:val="nil"/>
            </w:tcBorders>
            <w:shd w:val="clear" w:color="auto" w:fill="auto"/>
            <w:vAlign w:val="center"/>
          </w:tcPr>
          <w:p w:rsidR="00F6076A" w:rsidRPr="007A70FB" w:rsidRDefault="00F6076A" w:rsidP="001331FA">
            <w:pPr>
              <w:pStyle w:val="KMC-Tabletext"/>
              <w:keepNext/>
              <w:keepLines/>
              <w:spacing w:before="20" w:after="20"/>
              <w:ind w:left="-65" w:right="-90"/>
              <w:jc w:val="center"/>
              <w:rPr>
                <w:i/>
                <w:sz w:val="20"/>
              </w:rPr>
            </w:pPr>
            <w:r w:rsidRPr="007A70FB">
              <w:rPr>
                <w:rFonts w:cs="Calibri"/>
                <w:i/>
                <w:color w:val="000000"/>
                <w:sz w:val="20"/>
              </w:rPr>
              <w:t>16.6</w:t>
            </w:r>
          </w:p>
        </w:tc>
      </w:tr>
      <w:tr w:rsidR="00F6076A" w:rsidRPr="007A70FB" w:rsidTr="001331FA">
        <w:tc>
          <w:tcPr>
            <w:tcW w:w="1019" w:type="pct"/>
            <w:tcBorders>
              <w:bottom w:val="nil"/>
            </w:tcBorders>
            <w:shd w:val="clear" w:color="auto" w:fill="auto"/>
            <w:vAlign w:val="center"/>
          </w:tcPr>
          <w:p w:rsidR="00F6076A" w:rsidRPr="007A70FB" w:rsidRDefault="00F6076A" w:rsidP="001331FA">
            <w:pPr>
              <w:pStyle w:val="KMC-Tabletext"/>
              <w:keepNext/>
              <w:keepLines/>
              <w:spacing w:before="20" w:after="20"/>
              <w:ind w:left="-73" w:right="-80"/>
              <w:jc w:val="left"/>
              <w:rPr>
                <w:sz w:val="20"/>
              </w:rPr>
            </w:pPr>
            <w:r w:rsidRPr="007A70FB">
              <w:rPr>
                <w:sz w:val="20"/>
              </w:rPr>
              <w:t>ASCEND-9</w:t>
            </w:r>
          </w:p>
        </w:tc>
        <w:tc>
          <w:tcPr>
            <w:tcW w:w="1022" w:type="pct"/>
            <w:tcBorders>
              <w:bottom w:val="single" w:sz="4" w:space="0" w:color="auto"/>
            </w:tcBorders>
            <w:shd w:val="clear" w:color="auto" w:fill="auto"/>
            <w:vAlign w:val="center"/>
          </w:tcPr>
          <w:p w:rsidR="00F6076A" w:rsidRPr="007A70FB" w:rsidRDefault="00F6076A" w:rsidP="001331FA">
            <w:pPr>
              <w:pStyle w:val="KMC-Tabletext"/>
              <w:keepNext/>
              <w:keepLines/>
              <w:spacing w:before="20" w:after="20"/>
              <w:jc w:val="center"/>
              <w:rPr>
                <w:sz w:val="20"/>
              </w:rPr>
            </w:pPr>
            <w:r w:rsidRPr="007A70FB">
              <w:rPr>
                <w:sz w:val="20"/>
              </w:rPr>
              <w:t>FAS</w:t>
            </w:r>
          </w:p>
        </w:tc>
        <w:tc>
          <w:tcPr>
            <w:tcW w:w="391" w:type="pct"/>
            <w:tcBorders>
              <w:bottom w:val="single" w:sz="4" w:space="0" w:color="auto"/>
            </w:tcBorders>
            <w:shd w:val="clear" w:color="auto" w:fill="auto"/>
            <w:vAlign w:val="center"/>
          </w:tcPr>
          <w:p w:rsidR="00F6076A" w:rsidRPr="007A70FB" w:rsidRDefault="00F6076A" w:rsidP="001331FA">
            <w:pPr>
              <w:pStyle w:val="KMC-Tabletext"/>
              <w:keepNext/>
              <w:keepLines/>
              <w:spacing w:before="20" w:after="20"/>
              <w:jc w:val="center"/>
              <w:rPr>
                <w:sz w:val="20"/>
              </w:rPr>
            </w:pPr>
            <w:r w:rsidRPr="007A70FB">
              <w:rPr>
                <w:sz w:val="20"/>
              </w:rPr>
              <w:t>20</w:t>
            </w:r>
          </w:p>
        </w:tc>
        <w:tc>
          <w:tcPr>
            <w:tcW w:w="654" w:type="pct"/>
            <w:tcBorders>
              <w:bottom w:val="single" w:sz="4" w:space="0" w:color="auto"/>
            </w:tcBorders>
            <w:shd w:val="clear" w:color="auto" w:fill="auto"/>
            <w:vAlign w:val="center"/>
          </w:tcPr>
          <w:p w:rsidR="00F6076A" w:rsidRPr="007A70FB" w:rsidRDefault="00F6076A" w:rsidP="001331FA">
            <w:pPr>
              <w:pStyle w:val="KMC-Tabletext"/>
              <w:keepNext/>
              <w:keepLines/>
              <w:spacing w:before="20" w:after="20"/>
              <w:ind w:left="-51" w:right="-90"/>
              <w:jc w:val="center"/>
              <w:rPr>
                <w:i/>
                <w:sz w:val="20"/>
              </w:rPr>
            </w:pPr>
            <w:r w:rsidRPr="007A70FB">
              <w:rPr>
                <w:i/>
                <w:sz w:val="20"/>
              </w:rPr>
              <w:t>5 (20.0)</w:t>
            </w:r>
          </w:p>
        </w:tc>
        <w:tc>
          <w:tcPr>
            <w:tcW w:w="963" w:type="pct"/>
            <w:tcBorders>
              <w:bottom w:val="single" w:sz="4" w:space="0" w:color="auto"/>
            </w:tcBorders>
            <w:shd w:val="clear" w:color="auto" w:fill="auto"/>
            <w:vAlign w:val="center"/>
          </w:tcPr>
          <w:p w:rsidR="00F6076A" w:rsidRPr="007A70FB" w:rsidRDefault="00F6076A" w:rsidP="001331FA">
            <w:pPr>
              <w:pStyle w:val="KMC-Tabletext"/>
              <w:keepNext/>
              <w:keepLines/>
              <w:spacing w:before="20" w:after="20"/>
              <w:ind w:left="-65" w:right="-90"/>
              <w:jc w:val="center"/>
              <w:rPr>
                <w:i/>
                <w:sz w:val="20"/>
              </w:rPr>
            </w:pPr>
            <w:r w:rsidRPr="007A70FB">
              <w:rPr>
                <w:i/>
                <w:sz w:val="20"/>
              </w:rPr>
              <w:t>NR</w:t>
            </w:r>
          </w:p>
        </w:tc>
        <w:tc>
          <w:tcPr>
            <w:tcW w:w="951" w:type="pct"/>
            <w:tcBorders>
              <w:bottom w:val="single" w:sz="4" w:space="0" w:color="auto"/>
            </w:tcBorders>
            <w:shd w:val="clear" w:color="auto" w:fill="auto"/>
            <w:vAlign w:val="center"/>
          </w:tcPr>
          <w:p w:rsidR="00F6076A" w:rsidRPr="007A70FB" w:rsidRDefault="00F6076A" w:rsidP="001331FA">
            <w:pPr>
              <w:pStyle w:val="KMC-Tabletext"/>
              <w:keepNext/>
              <w:keepLines/>
              <w:spacing w:before="20" w:after="20"/>
              <w:ind w:left="-65" w:right="-90"/>
              <w:jc w:val="center"/>
              <w:rPr>
                <w:i/>
                <w:sz w:val="20"/>
              </w:rPr>
            </w:pPr>
            <w:r w:rsidRPr="007A70FB">
              <w:rPr>
                <w:i/>
                <w:sz w:val="20"/>
              </w:rPr>
              <w:t>11.6</w:t>
            </w:r>
          </w:p>
        </w:tc>
      </w:tr>
      <w:tr w:rsidR="00F6076A" w:rsidRPr="007A70FB" w:rsidTr="001331FA">
        <w:tc>
          <w:tcPr>
            <w:tcW w:w="1019" w:type="pct"/>
            <w:tcBorders>
              <w:bottom w:val="single" w:sz="4" w:space="0" w:color="auto"/>
              <w:right w:val="nil"/>
            </w:tcBorders>
            <w:shd w:val="clear" w:color="auto" w:fill="auto"/>
            <w:vAlign w:val="center"/>
          </w:tcPr>
          <w:p w:rsidR="00F6076A" w:rsidRPr="007A70FB" w:rsidRDefault="00F6076A" w:rsidP="001331FA">
            <w:pPr>
              <w:pStyle w:val="KMC-Tabletext"/>
              <w:keepNext/>
              <w:keepLines/>
              <w:spacing w:before="20" w:after="20"/>
              <w:ind w:left="-73" w:right="-80"/>
              <w:jc w:val="left"/>
              <w:rPr>
                <w:b/>
                <w:bCs w:val="0"/>
                <w:sz w:val="20"/>
              </w:rPr>
            </w:pPr>
            <w:r w:rsidRPr="007A70FB">
              <w:rPr>
                <w:b/>
                <w:bCs w:val="0"/>
                <w:sz w:val="20"/>
              </w:rPr>
              <w:t>Brigatinib</w:t>
            </w:r>
          </w:p>
        </w:tc>
        <w:tc>
          <w:tcPr>
            <w:tcW w:w="1022" w:type="pct"/>
            <w:tcBorders>
              <w:left w:val="nil"/>
              <w:right w:val="nil"/>
            </w:tcBorders>
            <w:shd w:val="clear" w:color="auto" w:fill="auto"/>
            <w:vAlign w:val="center"/>
          </w:tcPr>
          <w:p w:rsidR="00F6076A" w:rsidRPr="007A70FB" w:rsidRDefault="00F6076A" w:rsidP="001331FA">
            <w:pPr>
              <w:pStyle w:val="KMC-Tabletext"/>
              <w:keepNext/>
              <w:keepLines/>
              <w:spacing w:before="20" w:after="20"/>
              <w:jc w:val="center"/>
              <w:rPr>
                <w:sz w:val="20"/>
              </w:rPr>
            </w:pPr>
          </w:p>
        </w:tc>
        <w:tc>
          <w:tcPr>
            <w:tcW w:w="391" w:type="pct"/>
            <w:tcBorders>
              <w:left w:val="nil"/>
              <w:right w:val="nil"/>
            </w:tcBorders>
            <w:shd w:val="clear" w:color="auto" w:fill="auto"/>
            <w:vAlign w:val="center"/>
          </w:tcPr>
          <w:p w:rsidR="00F6076A" w:rsidRPr="007A70FB" w:rsidRDefault="00F6076A" w:rsidP="001331FA">
            <w:pPr>
              <w:pStyle w:val="KMC-Tabletext"/>
              <w:keepNext/>
              <w:keepLines/>
              <w:spacing w:before="20" w:after="20"/>
              <w:jc w:val="center"/>
              <w:rPr>
                <w:sz w:val="20"/>
              </w:rPr>
            </w:pPr>
          </w:p>
        </w:tc>
        <w:tc>
          <w:tcPr>
            <w:tcW w:w="654" w:type="pct"/>
            <w:tcBorders>
              <w:left w:val="nil"/>
              <w:right w:val="nil"/>
            </w:tcBorders>
            <w:shd w:val="clear" w:color="auto" w:fill="auto"/>
            <w:vAlign w:val="center"/>
          </w:tcPr>
          <w:p w:rsidR="00F6076A" w:rsidRPr="007A70FB" w:rsidRDefault="00F6076A" w:rsidP="001331FA">
            <w:pPr>
              <w:pStyle w:val="KMC-Tabletext"/>
              <w:keepNext/>
              <w:keepLines/>
              <w:spacing w:before="20" w:after="20"/>
              <w:ind w:left="-51" w:right="-90"/>
              <w:jc w:val="center"/>
              <w:rPr>
                <w:sz w:val="20"/>
              </w:rPr>
            </w:pPr>
          </w:p>
        </w:tc>
        <w:tc>
          <w:tcPr>
            <w:tcW w:w="963" w:type="pct"/>
            <w:tcBorders>
              <w:left w:val="nil"/>
              <w:right w:val="nil"/>
            </w:tcBorders>
            <w:shd w:val="clear" w:color="auto" w:fill="auto"/>
            <w:vAlign w:val="center"/>
          </w:tcPr>
          <w:p w:rsidR="00F6076A" w:rsidRPr="007A70FB" w:rsidRDefault="00F6076A" w:rsidP="001331FA">
            <w:pPr>
              <w:pStyle w:val="KMC-Tabletext"/>
              <w:keepNext/>
              <w:keepLines/>
              <w:spacing w:before="20" w:after="20"/>
              <w:ind w:left="-65" w:right="-90"/>
              <w:jc w:val="center"/>
              <w:rPr>
                <w:sz w:val="20"/>
              </w:rPr>
            </w:pPr>
          </w:p>
        </w:tc>
        <w:tc>
          <w:tcPr>
            <w:tcW w:w="951" w:type="pct"/>
            <w:tcBorders>
              <w:left w:val="nil"/>
            </w:tcBorders>
            <w:shd w:val="clear" w:color="auto" w:fill="auto"/>
            <w:vAlign w:val="center"/>
          </w:tcPr>
          <w:p w:rsidR="00F6076A" w:rsidRPr="007A70FB" w:rsidRDefault="00F6076A" w:rsidP="001331FA">
            <w:pPr>
              <w:pStyle w:val="KMC-Tabletext"/>
              <w:keepNext/>
              <w:keepLines/>
              <w:spacing w:before="20" w:after="20"/>
              <w:ind w:left="-65" w:right="-90"/>
              <w:jc w:val="center"/>
              <w:rPr>
                <w:sz w:val="20"/>
              </w:rPr>
            </w:pPr>
          </w:p>
        </w:tc>
      </w:tr>
      <w:tr w:rsidR="00F6076A" w:rsidRPr="007A70FB" w:rsidTr="001331FA">
        <w:tc>
          <w:tcPr>
            <w:tcW w:w="1019" w:type="pct"/>
            <w:tcBorders>
              <w:bottom w:val="nil"/>
            </w:tcBorders>
            <w:shd w:val="clear" w:color="auto" w:fill="auto"/>
            <w:vAlign w:val="center"/>
          </w:tcPr>
          <w:p w:rsidR="00F6076A" w:rsidRPr="007A70FB" w:rsidRDefault="00F6076A" w:rsidP="001331FA">
            <w:pPr>
              <w:pStyle w:val="KMC-Tabletext"/>
              <w:keepNext/>
              <w:keepLines/>
              <w:spacing w:before="20" w:after="20"/>
              <w:ind w:left="-73" w:right="-80"/>
              <w:jc w:val="left"/>
              <w:rPr>
                <w:sz w:val="20"/>
              </w:rPr>
            </w:pPr>
            <w:r w:rsidRPr="007A70FB">
              <w:rPr>
                <w:sz w:val="20"/>
              </w:rPr>
              <w:t>ALTA</w:t>
            </w:r>
          </w:p>
        </w:tc>
        <w:tc>
          <w:tcPr>
            <w:tcW w:w="1022" w:type="pct"/>
            <w:shd w:val="clear" w:color="auto" w:fill="auto"/>
            <w:vAlign w:val="center"/>
          </w:tcPr>
          <w:p w:rsidR="00F6076A" w:rsidRPr="007A70FB" w:rsidRDefault="00F6076A" w:rsidP="001331FA">
            <w:pPr>
              <w:pStyle w:val="KMC-Tabletext"/>
              <w:keepNext/>
              <w:keepLines/>
              <w:spacing w:before="20" w:after="20"/>
              <w:jc w:val="center"/>
              <w:rPr>
                <w:sz w:val="20"/>
              </w:rPr>
            </w:pPr>
            <w:r w:rsidRPr="007A70FB">
              <w:rPr>
                <w:sz w:val="20"/>
              </w:rPr>
              <w:t>ITT, 90 mg QD</w:t>
            </w:r>
          </w:p>
        </w:tc>
        <w:tc>
          <w:tcPr>
            <w:tcW w:w="391" w:type="pct"/>
            <w:shd w:val="clear" w:color="auto" w:fill="auto"/>
            <w:vAlign w:val="center"/>
          </w:tcPr>
          <w:p w:rsidR="00F6076A" w:rsidRPr="007A70FB" w:rsidRDefault="00F6076A" w:rsidP="001331FA">
            <w:pPr>
              <w:pStyle w:val="KMC-Tabletext"/>
              <w:keepNext/>
              <w:keepLines/>
              <w:spacing w:before="20" w:after="20"/>
              <w:jc w:val="center"/>
              <w:rPr>
                <w:sz w:val="20"/>
              </w:rPr>
            </w:pPr>
            <w:r w:rsidRPr="007A70FB">
              <w:rPr>
                <w:sz w:val="20"/>
              </w:rPr>
              <w:t>112</w:t>
            </w:r>
          </w:p>
        </w:tc>
        <w:tc>
          <w:tcPr>
            <w:tcW w:w="654" w:type="pct"/>
            <w:shd w:val="clear" w:color="auto" w:fill="auto"/>
            <w:vAlign w:val="center"/>
          </w:tcPr>
          <w:p w:rsidR="00F6076A" w:rsidRPr="007A70FB" w:rsidRDefault="00F6076A" w:rsidP="001331FA">
            <w:pPr>
              <w:pStyle w:val="KMC-Tabletext"/>
              <w:keepNext/>
              <w:keepLines/>
              <w:spacing w:before="20" w:after="20"/>
              <w:ind w:left="-51" w:right="-90"/>
              <w:jc w:val="center"/>
              <w:rPr>
                <w:i/>
                <w:sz w:val="20"/>
              </w:rPr>
            </w:pPr>
            <w:r w:rsidRPr="007A70FB">
              <w:rPr>
                <w:i/>
                <w:sz w:val="20"/>
              </w:rPr>
              <w:t>43 (38)</w:t>
            </w:r>
          </w:p>
        </w:tc>
        <w:tc>
          <w:tcPr>
            <w:tcW w:w="963" w:type="pct"/>
            <w:shd w:val="clear" w:color="auto" w:fill="auto"/>
            <w:vAlign w:val="center"/>
          </w:tcPr>
          <w:p w:rsidR="00F6076A" w:rsidRPr="007A70FB" w:rsidRDefault="00F6076A" w:rsidP="001331FA">
            <w:pPr>
              <w:pStyle w:val="KMC-Tabletext"/>
              <w:keepNext/>
              <w:keepLines/>
              <w:spacing w:before="20" w:after="20"/>
              <w:ind w:left="-65" w:right="-90"/>
              <w:jc w:val="center"/>
              <w:rPr>
                <w:sz w:val="20"/>
              </w:rPr>
            </w:pPr>
            <w:r w:rsidRPr="007A70FB">
              <w:rPr>
                <w:sz w:val="20"/>
              </w:rPr>
              <w:t>NR (20.2, NR)</w:t>
            </w:r>
          </w:p>
        </w:tc>
        <w:tc>
          <w:tcPr>
            <w:tcW w:w="951" w:type="pct"/>
            <w:vAlign w:val="center"/>
          </w:tcPr>
          <w:p w:rsidR="00F6076A" w:rsidRPr="007A70FB" w:rsidRDefault="00F6076A" w:rsidP="001331FA">
            <w:pPr>
              <w:pStyle w:val="KMC-Tabletext"/>
              <w:keepNext/>
              <w:keepLines/>
              <w:spacing w:before="20" w:after="20"/>
              <w:ind w:left="-65" w:right="-90"/>
              <w:jc w:val="center"/>
              <w:rPr>
                <w:sz w:val="20"/>
              </w:rPr>
            </w:pPr>
            <w:r w:rsidRPr="007A70FB">
              <w:rPr>
                <w:sz w:val="20"/>
              </w:rPr>
              <w:t>16.8</w:t>
            </w:r>
          </w:p>
        </w:tc>
      </w:tr>
      <w:tr w:rsidR="00F6076A" w:rsidRPr="007A70FB" w:rsidTr="001331FA">
        <w:tc>
          <w:tcPr>
            <w:tcW w:w="1019" w:type="pct"/>
            <w:tcBorders>
              <w:top w:val="nil"/>
              <w:bottom w:val="single" w:sz="4" w:space="0" w:color="auto"/>
            </w:tcBorders>
            <w:shd w:val="clear" w:color="auto" w:fill="auto"/>
            <w:vAlign w:val="center"/>
          </w:tcPr>
          <w:p w:rsidR="00F6076A" w:rsidRPr="007A70FB" w:rsidRDefault="00F6076A" w:rsidP="001331FA">
            <w:pPr>
              <w:pStyle w:val="KMC-Tabletext"/>
              <w:keepNext/>
              <w:keepLines/>
              <w:spacing w:before="20" w:after="20"/>
              <w:ind w:left="-73" w:right="-80"/>
              <w:jc w:val="left"/>
              <w:rPr>
                <w:sz w:val="20"/>
              </w:rPr>
            </w:pPr>
            <w:r w:rsidRPr="007A70FB">
              <w:rPr>
                <w:sz w:val="20"/>
              </w:rPr>
              <w:t>(21-Feb-17)</w:t>
            </w:r>
          </w:p>
        </w:tc>
        <w:tc>
          <w:tcPr>
            <w:tcW w:w="1022" w:type="pct"/>
            <w:shd w:val="clear" w:color="auto" w:fill="auto"/>
            <w:vAlign w:val="center"/>
          </w:tcPr>
          <w:p w:rsidR="00F6076A" w:rsidRPr="007A70FB" w:rsidRDefault="00F6076A" w:rsidP="001331FA">
            <w:pPr>
              <w:pStyle w:val="KMC-Tabletext"/>
              <w:keepNext/>
              <w:keepLines/>
              <w:spacing w:before="20" w:after="20"/>
              <w:jc w:val="center"/>
              <w:rPr>
                <w:sz w:val="20"/>
              </w:rPr>
            </w:pPr>
            <w:r w:rsidRPr="007A70FB">
              <w:rPr>
                <w:sz w:val="20"/>
              </w:rPr>
              <w:t>ITT, 90→180 mg QD</w:t>
            </w:r>
          </w:p>
        </w:tc>
        <w:tc>
          <w:tcPr>
            <w:tcW w:w="391" w:type="pct"/>
            <w:shd w:val="clear" w:color="auto" w:fill="auto"/>
            <w:vAlign w:val="center"/>
          </w:tcPr>
          <w:p w:rsidR="00F6076A" w:rsidRPr="007A70FB" w:rsidRDefault="00F6076A" w:rsidP="001331FA">
            <w:pPr>
              <w:pStyle w:val="KMC-Tabletext"/>
              <w:keepNext/>
              <w:keepLines/>
              <w:spacing w:before="20" w:after="20"/>
              <w:jc w:val="center"/>
              <w:rPr>
                <w:i/>
                <w:sz w:val="20"/>
              </w:rPr>
            </w:pPr>
            <w:r w:rsidRPr="007A70FB">
              <w:rPr>
                <w:i/>
                <w:sz w:val="20"/>
              </w:rPr>
              <w:t>110</w:t>
            </w:r>
          </w:p>
        </w:tc>
        <w:tc>
          <w:tcPr>
            <w:tcW w:w="654" w:type="pct"/>
            <w:shd w:val="clear" w:color="auto" w:fill="auto"/>
            <w:vAlign w:val="center"/>
          </w:tcPr>
          <w:p w:rsidR="00F6076A" w:rsidRPr="007A70FB" w:rsidRDefault="00F6076A" w:rsidP="001331FA">
            <w:pPr>
              <w:pStyle w:val="KMC-Tabletext"/>
              <w:keepNext/>
              <w:keepLines/>
              <w:spacing w:before="20" w:after="20"/>
              <w:ind w:left="-51" w:right="-90"/>
              <w:jc w:val="center"/>
              <w:rPr>
                <w:i/>
                <w:sz w:val="20"/>
              </w:rPr>
            </w:pPr>
            <w:r w:rsidRPr="007A70FB">
              <w:rPr>
                <w:i/>
                <w:sz w:val="20"/>
              </w:rPr>
              <w:t>32 (29)</w:t>
            </w:r>
          </w:p>
        </w:tc>
        <w:tc>
          <w:tcPr>
            <w:tcW w:w="963" w:type="pct"/>
            <w:shd w:val="clear" w:color="auto" w:fill="auto"/>
            <w:vAlign w:val="center"/>
          </w:tcPr>
          <w:p w:rsidR="00F6076A" w:rsidRPr="007A70FB" w:rsidRDefault="00F6076A" w:rsidP="001331FA">
            <w:pPr>
              <w:pStyle w:val="KMC-Tabletext"/>
              <w:keepNext/>
              <w:keepLines/>
              <w:spacing w:before="20" w:after="20"/>
              <w:ind w:left="-65" w:right="-90"/>
              <w:jc w:val="center"/>
              <w:rPr>
                <w:sz w:val="20"/>
              </w:rPr>
            </w:pPr>
            <w:r w:rsidRPr="007A70FB">
              <w:rPr>
                <w:sz w:val="20"/>
              </w:rPr>
              <w:t>27.6 (27.6, NR)</w:t>
            </w:r>
          </w:p>
        </w:tc>
        <w:tc>
          <w:tcPr>
            <w:tcW w:w="951" w:type="pct"/>
            <w:vAlign w:val="center"/>
          </w:tcPr>
          <w:p w:rsidR="00F6076A" w:rsidRPr="007A70FB" w:rsidRDefault="00F6076A" w:rsidP="001331FA">
            <w:pPr>
              <w:pStyle w:val="KMC-Tabletext"/>
              <w:keepNext/>
              <w:keepLines/>
              <w:spacing w:before="20" w:after="20"/>
              <w:ind w:left="-65" w:right="-90"/>
              <w:jc w:val="center"/>
              <w:rPr>
                <w:sz w:val="20"/>
              </w:rPr>
            </w:pPr>
            <w:r w:rsidRPr="007A70FB">
              <w:rPr>
                <w:sz w:val="20"/>
              </w:rPr>
              <w:t>18.6</w:t>
            </w:r>
          </w:p>
        </w:tc>
      </w:tr>
      <w:tr w:rsidR="00F6076A" w:rsidRPr="007A70FB" w:rsidTr="001331FA">
        <w:tc>
          <w:tcPr>
            <w:tcW w:w="1019" w:type="pct"/>
            <w:tcBorders>
              <w:top w:val="single" w:sz="4" w:space="0" w:color="auto"/>
              <w:bottom w:val="nil"/>
            </w:tcBorders>
            <w:shd w:val="clear" w:color="auto" w:fill="auto"/>
            <w:vAlign w:val="center"/>
          </w:tcPr>
          <w:p w:rsidR="00F6076A" w:rsidRPr="007A70FB" w:rsidRDefault="00F6076A" w:rsidP="001331FA">
            <w:pPr>
              <w:pStyle w:val="KMC-Tabletext"/>
              <w:keepNext/>
              <w:keepLines/>
              <w:spacing w:before="20" w:after="20"/>
              <w:ind w:left="-73" w:right="-80"/>
              <w:jc w:val="left"/>
              <w:rPr>
                <w:sz w:val="20"/>
              </w:rPr>
            </w:pPr>
            <w:r w:rsidRPr="007A70FB">
              <w:rPr>
                <w:sz w:val="20"/>
              </w:rPr>
              <w:t>Gettinger 2016</w:t>
            </w:r>
          </w:p>
        </w:tc>
        <w:tc>
          <w:tcPr>
            <w:tcW w:w="1022" w:type="pct"/>
            <w:shd w:val="clear" w:color="auto" w:fill="auto"/>
            <w:vAlign w:val="center"/>
          </w:tcPr>
          <w:p w:rsidR="00F6076A" w:rsidRPr="007A70FB" w:rsidRDefault="00F6076A" w:rsidP="001331FA">
            <w:pPr>
              <w:pStyle w:val="KMC-Tabletext"/>
              <w:keepNext/>
              <w:keepLines/>
              <w:spacing w:before="20" w:after="20"/>
              <w:jc w:val="center"/>
              <w:rPr>
                <w:sz w:val="20"/>
              </w:rPr>
            </w:pPr>
            <w:r w:rsidRPr="007A70FB">
              <w:rPr>
                <w:sz w:val="20"/>
              </w:rPr>
              <w:t>FAS</w:t>
            </w:r>
          </w:p>
        </w:tc>
        <w:tc>
          <w:tcPr>
            <w:tcW w:w="391" w:type="pct"/>
            <w:shd w:val="clear" w:color="auto" w:fill="auto"/>
            <w:vAlign w:val="center"/>
          </w:tcPr>
          <w:p w:rsidR="00F6076A" w:rsidRPr="007A70FB" w:rsidRDefault="00F6076A" w:rsidP="001331FA">
            <w:pPr>
              <w:pStyle w:val="KMC-Tabletext"/>
              <w:keepNext/>
              <w:keepLines/>
              <w:spacing w:before="20" w:after="20"/>
              <w:jc w:val="center"/>
              <w:rPr>
                <w:sz w:val="20"/>
              </w:rPr>
            </w:pPr>
            <w:r w:rsidRPr="007A70FB">
              <w:rPr>
                <w:sz w:val="20"/>
              </w:rPr>
              <w:t>71</w:t>
            </w:r>
          </w:p>
        </w:tc>
        <w:tc>
          <w:tcPr>
            <w:tcW w:w="654" w:type="pct"/>
            <w:shd w:val="clear" w:color="auto" w:fill="auto"/>
            <w:vAlign w:val="center"/>
          </w:tcPr>
          <w:p w:rsidR="00F6076A" w:rsidRPr="007A70FB" w:rsidRDefault="00F6076A" w:rsidP="001331FA">
            <w:pPr>
              <w:pStyle w:val="KMC-Tabletext"/>
              <w:keepNext/>
              <w:keepLines/>
              <w:spacing w:before="20" w:after="20"/>
              <w:ind w:left="-51" w:right="-90"/>
              <w:jc w:val="center"/>
              <w:rPr>
                <w:sz w:val="20"/>
              </w:rPr>
            </w:pPr>
            <w:r w:rsidRPr="007A70FB">
              <w:rPr>
                <w:sz w:val="20"/>
              </w:rPr>
              <w:t>NR</w:t>
            </w:r>
          </w:p>
        </w:tc>
        <w:tc>
          <w:tcPr>
            <w:tcW w:w="963" w:type="pct"/>
            <w:shd w:val="clear" w:color="auto" w:fill="auto"/>
            <w:vAlign w:val="center"/>
          </w:tcPr>
          <w:p w:rsidR="00F6076A" w:rsidRPr="007A70FB" w:rsidRDefault="00F6076A" w:rsidP="001331FA">
            <w:pPr>
              <w:pStyle w:val="KMC-Tabletext"/>
              <w:keepNext/>
              <w:keepLines/>
              <w:spacing w:before="20" w:after="20"/>
              <w:ind w:left="-65" w:right="-90"/>
              <w:jc w:val="center"/>
              <w:rPr>
                <w:sz w:val="20"/>
              </w:rPr>
            </w:pPr>
            <w:r w:rsidRPr="007A70FB">
              <w:rPr>
                <w:sz w:val="20"/>
              </w:rPr>
              <w:t>30.1 (21.4, NR)</w:t>
            </w:r>
          </w:p>
        </w:tc>
        <w:tc>
          <w:tcPr>
            <w:tcW w:w="951" w:type="pct"/>
            <w:vAlign w:val="center"/>
          </w:tcPr>
          <w:p w:rsidR="00F6076A" w:rsidRPr="007A70FB" w:rsidRDefault="00F6076A" w:rsidP="001331FA">
            <w:pPr>
              <w:pStyle w:val="KMC-Tabletext"/>
              <w:keepNext/>
              <w:keepLines/>
              <w:spacing w:before="20" w:after="20"/>
              <w:ind w:left="-65" w:right="-90"/>
              <w:jc w:val="center"/>
              <w:rPr>
                <w:sz w:val="20"/>
              </w:rPr>
            </w:pPr>
            <w:r w:rsidRPr="007A70FB">
              <w:rPr>
                <w:sz w:val="20"/>
              </w:rPr>
              <w:t>NR</w:t>
            </w:r>
          </w:p>
        </w:tc>
      </w:tr>
      <w:tr w:rsidR="00F6076A" w:rsidRPr="007A70FB" w:rsidTr="001331FA">
        <w:tc>
          <w:tcPr>
            <w:tcW w:w="1019" w:type="pct"/>
            <w:tcBorders>
              <w:top w:val="nil"/>
              <w:bottom w:val="nil"/>
            </w:tcBorders>
            <w:shd w:val="clear" w:color="auto" w:fill="auto"/>
            <w:vAlign w:val="center"/>
          </w:tcPr>
          <w:p w:rsidR="00F6076A" w:rsidRPr="007A70FB" w:rsidRDefault="00F6076A" w:rsidP="001331FA">
            <w:pPr>
              <w:pStyle w:val="KMC-Tabletext"/>
              <w:keepNext/>
              <w:keepLines/>
              <w:spacing w:before="20" w:after="20"/>
              <w:ind w:left="-73" w:right="-80"/>
              <w:jc w:val="left"/>
              <w:rPr>
                <w:sz w:val="20"/>
              </w:rPr>
            </w:pPr>
          </w:p>
        </w:tc>
        <w:tc>
          <w:tcPr>
            <w:tcW w:w="1022" w:type="pct"/>
            <w:shd w:val="clear" w:color="auto" w:fill="auto"/>
            <w:vAlign w:val="center"/>
          </w:tcPr>
          <w:p w:rsidR="00F6076A" w:rsidRPr="007A70FB" w:rsidRDefault="00F6076A" w:rsidP="001331FA">
            <w:pPr>
              <w:pStyle w:val="KMC-Tabletext"/>
              <w:keepNext/>
              <w:keepLines/>
              <w:spacing w:before="20" w:after="20"/>
              <w:jc w:val="center"/>
              <w:rPr>
                <w:sz w:val="20"/>
              </w:rPr>
            </w:pPr>
            <w:r w:rsidRPr="007A70FB">
              <w:rPr>
                <w:sz w:val="20"/>
              </w:rPr>
              <w:t>FAS, 90 mg QD</w:t>
            </w:r>
          </w:p>
        </w:tc>
        <w:tc>
          <w:tcPr>
            <w:tcW w:w="391" w:type="pct"/>
            <w:shd w:val="clear" w:color="auto" w:fill="auto"/>
            <w:vAlign w:val="center"/>
          </w:tcPr>
          <w:p w:rsidR="00F6076A" w:rsidRPr="007A70FB" w:rsidRDefault="00F6076A" w:rsidP="001331FA">
            <w:pPr>
              <w:pStyle w:val="KMC-Tabletext"/>
              <w:keepNext/>
              <w:keepLines/>
              <w:spacing w:before="20" w:after="20"/>
              <w:jc w:val="center"/>
              <w:rPr>
                <w:sz w:val="20"/>
              </w:rPr>
            </w:pPr>
            <w:r w:rsidRPr="007A70FB">
              <w:rPr>
                <w:sz w:val="20"/>
              </w:rPr>
              <w:t>13</w:t>
            </w:r>
          </w:p>
        </w:tc>
        <w:tc>
          <w:tcPr>
            <w:tcW w:w="654" w:type="pct"/>
            <w:shd w:val="clear" w:color="auto" w:fill="auto"/>
            <w:vAlign w:val="center"/>
          </w:tcPr>
          <w:p w:rsidR="00F6076A" w:rsidRPr="007A70FB" w:rsidRDefault="00F6076A" w:rsidP="001331FA">
            <w:pPr>
              <w:pStyle w:val="KMC-Tabletext"/>
              <w:keepNext/>
              <w:keepLines/>
              <w:spacing w:before="20" w:after="20"/>
              <w:ind w:left="-51" w:right="-90"/>
              <w:jc w:val="center"/>
              <w:rPr>
                <w:sz w:val="20"/>
              </w:rPr>
            </w:pPr>
            <w:r w:rsidRPr="007A70FB">
              <w:rPr>
                <w:sz w:val="20"/>
              </w:rPr>
              <w:t>NR</w:t>
            </w:r>
          </w:p>
        </w:tc>
        <w:tc>
          <w:tcPr>
            <w:tcW w:w="963" w:type="pct"/>
            <w:shd w:val="clear" w:color="auto" w:fill="auto"/>
            <w:vAlign w:val="center"/>
          </w:tcPr>
          <w:p w:rsidR="00F6076A" w:rsidRPr="007A70FB" w:rsidRDefault="00F6076A" w:rsidP="001331FA">
            <w:pPr>
              <w:pStyle w:val="KMC-Tabletext"/>
              <w:keepNext/>
              <w:keepLines/>
              <w:spacing w:before="20" w:after="20"/>
              <w:ind w:left="-65" w:right="-90"/>
              <w:jc w:val="center"/>
              <w:rPr>
                <w:sz w:val="20"/>
              </w:rPr>
            </w:pPr>
            <w:r w:rsidRPr="007A70FB">
              <w:rPr>
                <w:sz w:val="20"/>
              </w:rPr>
              <w:t>21.2 (9.9, 47.6)</w:t>
            </w:r>
          </w:p>
        </w:tc>
        <w:tc>
          <w:tcPr>
            <w:tcW w:w="951" w:type="pct"/>
            <w:vAlign w:val="center"/>
          </w:tcPr>
          <w:p w:rsidR="00F6076A" w:rsidRPr="007A70FB" w:rsidRDefault="00F6076A" w:rsidP="001331FA">
            <w:pPr>
              <w:pStyle w:val="KMC-Tabletext"/>
              <w:keepNext/>
              <w:keepLines/>
              <w:spacing w:before="20" w:after="20"/>
              <w:ind w:left="-65" w:right="-90"/>
              <w:jc w:val="center"/>
              <w:rPr>
                <w:sz w:val="20"/>
              </w:rPr>
            </w:pPr>
            <w:r w:rsidRPr="007A70FB">
              <w:rPr>
                <w:sz w:val="20"/>
              </w:rPr>
              <w:t>NR</w:t>
            </w:r>
          </w:p>
        </w:tc>
      </w:tr>
      <w:tr w:rsidR="00F6076A" w:rsidRPr="007A70FB" w:rsidTr="001331FA">
        <w:tc>
          <w:tcPr>
            <w:tcW w:w="1019" w:type="pct"/>
            <w:tcBorders>
              <w:top w:val="nil"/>
              <w:bottom w:val="single" w:sz="4" w:space="0" w:color="auto"/>
            </w:tcBorders>
            <w:shd w:val="clear" w:color="auto" w:fill="auto"/>
            <w:vAlign w:val="center"/>
          </w:tcPr>
          <w:p w:rsidR="00F6076A" w:rsidRPr="007A70FB" w:rsidRDefault="00F6076A" w:rsidP="001331FA">
            <w:pPr>
              <w:pStyle w:val="KMC-Tabletext"/>
              <w:keepNext/>
              <w:keepLines/>
              <w:spacing w:before="20" w:after="20"/>
              <w:ind w:left="-73" w:right="-80"/>
              <w:jc w:val="left"/>
              <w:rPr>
                <w:sz w:val="20"/>
              </w:rPr>
            </w:pPr>
          </w:p>
        </w:tc>
        <w:tc>
          <w:tcPr>
            <w:tcW w:w="1022" w:type="pct"/>
            <w:shd w:val="clear" w:color="auto" w:fill="auto"/>
            <w:vAlign w:val="center"/>
          </w:tcPr>
          <w:p w:rsidR="00F6076A" w:rsidRPr="007A70FB" w:rsidRDefault="00F6076A" w:rsidP="001331FA">
            <w:pPr>
              <w:pStyle w:val="KMC-Tabletext"/>
              <w:keepNext/>
              <w:keepLines/>
              <w:spacing w:before="20" w:after="20"/>
              <w:ind w:right="-105"/>
              <w:jc w:val="center"/>
              <w:rPr>
                <w:sz w:val="20"/>
              </w:rPr>
            </w:pPr>
            <w:r w:rsidRPr="007A70FB">
              <w:rPr>
                <w:sz w:val="20"/>
              </w:rPr>
              <w:t>FAS, 90→180 mg QD</w:t>
            </w:r>
          </w:p>
        </w:tc>
        <w:tc>
          <w:tcPr>
            <w:tcW w:w="391" w:type="pct"/>
            <w:shd w:val="clear" w:color="auto" w:fill="auto"/>
            <w:vAlign w:val="center"/>
          </w:tcPr>
          <w:p w:rsidR="00F6076A" w:rsidRPr="007A70FB" w:rsidRDefault="00F6076A" w:rsidP="001331FA">
            <w:pPr>
              <w:pStyle w:val="KMC-Tabletext"/>
              <w:keepNext/>
              <w:keepLines/>
              <w:spacing w:before="20" w:after="20"/>
              <w:jc w:val="center"/>
              <w:rPr>
                <w:sz w:val="20"/>
              </w:rPr>
            </w:pPr>
            <w:r w:rsidRPr="007A70FB">
              <w:rPr>
                <w:sz w:val="20"/>
              </w:rPr>
              <w:t>25</w:t>
            </w:r>
          </w:p>
        </w:tc>
        <w:tc>
          <w:tcPr>
            <w:tcW w:w="654" w:type="pct"/>
            <w:shd w:val="clear" w:color="auto" w:fill="auto"/>
            <w:vAlign w:val="center"/>
          </w:tcPr>
          <w:p w:rsidR="00F6076A" w:rsidRPr="007A70FB" w:rsidRDefault="00F6076A" w:rsidP="001331FA">
            <w:pPr>
              <w:pStyle w:val="KMC-Tabletext"/>
              <w:keepNext/>
              <w:keepLines/>
              <w:spacing w:before="20" w:after="20"/>
              <w:ind w:left="-51" w:right="-90"/>
              <w:jc w:val="center"/>
              <w:rPr>
                <w:sz w:val="20"/>
              </w:rPr>
            </w:pPr>
            <w:r w:rsidRPr="007A70FB">
              <w:rPr>
                <w:sz w:val="20"/>
              </w:rPr>
              <w:t>NR</w:t>
            </w:r>
          </w:p>
        </w:tc>
        <w:tc>
          <w:tcPr>
            <w:tcW w:w="963" w:type="pct"/>
            <w:shd w:val="clear" w:color="auto" w:fill="auto"/>
            <w:vAlign w:val="center"/>
          </w:tcPr>
          <w:p w:rsidR="00F6076A" w:rsidRPr="007A70FB" w:rsidRDefault="00F6076A" w:rsidP="001331FA">
            <w:pPr>
              <w:pStyle w:val="KMC-Tabletext"/>
              <w:keepNext/>
              <w:keepLines/>
              <w:spacing w:before="20" w:after="20"/>
              <w:ind w:left="-65" w:right="-90"/>
              <w:jc w:val="center"/>
              <w:rPr>
                <w:sz w:val="20"/>
              </w:rPr>
            </w:pPr>
            <w:r w:rsidRPr="007A70FB">
              <w:rPr>
                <w:sz w:val="20"/>
              </w:rPr>
              <w:t>29.5 (21.4, NR)</w:t>
            </w:r>
          </w:p>
        </w:tc>
        <w:tc>
          <w:tcPr>
            <w:tcW w:w="951" w:type="pct"/>
            <w:vAlign w:val="center"/>
          </w:tcPr>
          <w:p w:rsidR="00F6076A" w:rsidRPr="007A70FB" w:rsidRDefault="00F6076A" w:rsidP="001331FA">
            <w:pPr>
              <w:pStyle w:val="KMC-Tabletext"/>
              <w:keepNext/>
              <w:keepLines/>
              <w:spacing w:before="20" w:after="20"/>
              <w:ind w:left="-65" w:right="-90"/>
              <w:jc w:val="center"/>
              <w:rPr>
                <w:sz w:val="20"/>
              </w:rPr>
            </w:pPr>
            <w:r w:rsidRPr="007A70FB">
              <w:rPr>
                <w:sz w:val="20"/>
              </w:rPr>
              <w:t>NR</w:t>
            </w:r>
          </w:p>
        </w:tc>
      </w:tr>
    </w:tbl>
    <w:p w:rsidR="00B4557B" w:rsidRPr="007A70FB" w:rsidRDefault="00F6076A" w:rsidP="00B4557B">
      <w:pPr>
        <w:pStyle w:val="TableFooter"/>
        <w:keepNext/>
        <w:keepLines/>
        <w:widowControl/>
      </w:pPr>
      <w:r w:rsidRPr="007A70FB">
        <w:t xml:space="preserve">Abbreviations: CI = confidence interval; FAS = full analysis set; IRC = independent review committee; ITT = intention to treat; NE = not evaluable; NR = not reported; OS = overall survival. </w:t>
      </w:r>
    </w:p>
    <w:p w:rsidR="00F6076A" w:rsidRPr="007A70FB" w:rsidRDefault="00F6076A" w:rsidP="000345C6">
      <w:pPr>
        <w:pStyle w:val="TableFooter"/>
        <w:keepNext/>
        <w:keepLines/>
        <w:widowControl/>
      </w:pPr>
      <w:r w:rsidRPr="007A70FB">
        <w:t>Source:</w:t>
      </w:r>
      <w:r w:rsidR="0056352B" w:rsidRPr="007A70FB">
        <w:t xml:space="preserve"> Table 2.5.6 p130, Table 2.5.12 p139, Table 2.5.18 p146 of the submission; Study 1001 CSR Table 14.2.2.6.3.1.1.1 pp814-815 and Table 14.2.2.6.3.2.1.1 pp816-817; ASCEND-9, Hida 2018 p2865 and p2867; ALTA, Ahn 2017, abstract, </w:t>
      </w:r>
      <w:r w:rsidR="00DE30D6" w:rsidRPr="007A70FB">
        <w:t>cut-off</w:t>
      </w:r>
      <w:r w:rsidR="0056352B" w:rsidRPr="007A70FB">
        <w:t xml:space="preserve"> date 21-Feb-17; Gettinger 2016, Bazhenova 2017), abstract, cut off date 21-Feb-17</w:t>
      </w:r>
      <w:r w:rsidR="007A70FB">
        <w:t xml:space="preserve">. </w:t>
      </w:r>
    </w:p>
    <w:p w:rsidR="007110AB" w:rsidRPr="007A70FB" w:rsidRDefault="00F6076A" w:rsidP="000345C6">
      <w:pPr>
        <w:pStyle w:val="TableFooter"/>
        <w:keepNext/>
        <w:keepLines/>
        <w:widowControl/>
        <w:rPr>
          <w:highlight w:val="yellow"/>
        </w:rPr>
      </w:pPr>
      <w:r w:rsidRPr="007A70FB">
        <w:t xml:space="preserve">Notes: </w:t>
      </w:r>
      <w:r w:rsidR="00B4557B" w:rsidRPr="007A70FB">
        <w:t xml:space="preserve">Figures in italics were extracted during </w:t>
      </w:r>
      <w:r w:rsidR="00DE30D6" w:rsidRPr="007A70FB">
        <w:t>evaluation</w:t>
      </w:r>
      <w:r w:rsidR="00B4557B" w:rsidRPr="007A70FB">
        <w:t xml:space="preserve">; </w:t>
      </w:r>
      <w:r w:rsidR="00DE30D6" w:rsidRPr="007A70FB">
        <w:t>the</w:t>
      </w:r>
      <w:r w:rsidRPr="007A70FB">
        <w:t xml:space="preserve"> submission reported results for NP28761 and NP28673 </w:t>
      </w:r>
      <w:r w:rsidR="00FA7EF0" w:rsidRPr="007A70FB">
        <w:t>were</w:t>
      </w:r>
      <w:r w:rsidRPr="007A70FB">
        <w:t xml:space="preserve"> obtained from the alectinib PSD and not the publications. </w:t>
      </w:r>
    </w:p>
    <w:p w:rsidR="007110AB" w:rsidRPr="007A70FB" w:rsidRDefault="007110AB" w:rsidP="00903E55">
      <w:pPr>
        <w:widowControl/>
      </w:pPr>
    </w:p>
    <w:p w:rsidR="007110AB" w:rsidRPr="007A70FB" w:rsidRDefault="007110AB" w:rsidP="001331FA">
      <w:pPr>
        <w:pStyle w:val="Caption"/>
        <w:keepNext/>
        <w:keepLines/>
        <w:widowControl/>
        <w:spacing w:after="0"/>
        <w:rPr>
          <w:rStyle w:val="CommentReference"/>
          <w:b/>
        </w:rPr>
      </w:pPr>
      <w:bookmarkStart w:id="29" w:name="_Ref20494925"/>
      <w:r w:rsidRPr="007A70FB">
        <w:rPr>
          <w:rStyle w:val="CommentReference"/>
          <w:b/>
        </w:rPr>
        <w:lastRenderedPageBreak/>
        <w:t xml:space="preserve">Table </w:t>
      </w:r>
      <w:r w:rsidR="008267CB" w:rsidRPr="007A70FB">
        <w:rPr>
          <w:rStyle w:val="CommentReference"/>
          <w:b/>
        </w:rPr>
        <w:t>8</w:t>
      </w:r>
      <w:bookmarkEnd w:id="29"/>
      <w:r w:rsidRPr="007A70FB">
        <w:rPr>
          <w:rStyle w:val="CommentReference"/>
          <w:b/>
        </w:rPr>
        <w:t>: Median PFS across the arms of the studies</w:t>
      </w:r>
    </w:p>
    <w:tbl>
      <w:tblPr>
        <w:tblStyle w:val="TableGrid"/>
        <w:tblW w:w="5000" w:type="pct"/>
        <w:tblLook w:val="04A0" w:firstRow="1" w:lastRow="0" w:firstColumn="1" w:lastColumn="0" w:noHBand="0" w:noVBand="1"/>
        <w:tblCaption w:val="Table 9: Median PFS across the arms of the studies"/>
      </w:tblPr>
      <w:tblGrid>
        <w:gridCol w:w="1980"/>
        <w:gridCol w:w="1417"/>
        <w:gridCol w:w="610"/>
        <w:gridCol w:w="1169"/>
        <w:gridCol w:w="1125"/>
        <w:gridCol w:w="1244"/>
        <w:gridCol w:w="1472"/>
      </w:tblGrid>
      <w:tr w:rsidR="00FD641B" w:rsidRPr="007A70FB" w:rsidTr="001331FA">
        <w:trPr>
          <w:tblHeader/>
        </w:trPr>
        <w:tc>
          <w:tcPr>
            <w:tcW w:w="1098" w:type="pct"/>
            <w:tcBorders>
              <w:bottom w:val="single" w:sz="4" w:space="0" w:color="auto"/>
            </w:tcBorders>
            <w:shd w:val="clear" w:color="auto" w:fill="auto"/>
            <w:vAlign w:val="center"/>
          </w:tcPr>
          <w:p w:rsidR="00FD641B" w:rsidRPr="007A70FB" w:rsidRDefault="00FD641B" w:rsidP="001331FA">
            <w:pPr>
              <w:pStyle w:val="KMC-Tabletext"/>
              <w:keepNext/>
              <w:keepLines/>
              <w:spacing w:before="20" w:after="20"/>
              <w:ind w:left="-73"/>
              <w:jc w:val="left"/>
              <w:rPr>
                <w:b/>
                <w:sz w:val="20"/>
              </w:rPr>
            </w:pPr>
            <w:r w:rsidRPr="007A70FB">
              <w:rPr>
                <w:b/>
                <w:sz w:val="20"/>
              </w:rPr>
              <w:t>Regimen</w:t>
            </w:r>
          </w:p>
        </w:tc>
        <w:tc>
          <w:tcPr>
            <w:tcW w:w="786" w:type="pct"/>
            <w:tcBorders>
              <w:bottom w:val="single" w:sz="4" w:space="0" w:color="auto"/>
            </w:tcBorders>
            <w:shd w:val="clear" w:color="auto" w:fill="auto"/>
            <w:vAlign w:val="center"/>
          </w:tcPr>
          <w:p w:rsidR="00FD641B" w:rsidRPr="007A70FB" w:rsidRDefault="00FD641B" w:rsidP="001331FA">
            <w:pPr>
              <w:pStyle w:val="KMC-Tabletext"/>
              <w:keepNext/>
              <w:keepLines/>
              <w:spacing w:before="20" w:after="20"/>
              <w:jc w:val="center"/>
              <w:rPr>
                <w:b/>
                <w:sz w:val="20"/>
              </w:rPr>
            </w:pPr>
            <w:r w:rsidRPr="007A70FB">
              <w:rPr>
                <w:b/>
                <w:sz w:val="20"/>
              </w:rPr>
              <w:t>Population</w:t>
            </w:r>
          </w:p>
        </w:tc>
        <w:tc>
          <w:tcPr>
            <w:tcW w:w="338" w:type="pct"/>
            <w:tcBorders>
              <w:bottom w:val="single" w:sz="4" w:space="0" w:color="auto"/>
            </w:tcBorders>
            <w:shd w:val="clear" w:color="auto" w:fill="auto"/>
            <w:vAlign w:val="center"/>
          </w:tcPr>
          <w:p w:rsidR="00FD641B" w:rsidRPr="007A70FB" w:rsidRDefault="00FD641B" w:rsidP="001331FA">
            <w:pPr>
              <w:pStyle w:val="KMC-Tabletext"/>
              <w:keepNext/>
              <w:keepLines/>
              <w:spacing w:before="20" w:after="20"/>
              <w:jc w:val="center"/>
              <w:rPr>
                <w:b/>
                <w:sz w:val="20"/>
              </w:rPr>
            </w:pPr>
            <w:r w:rsidRPr="007A70FB">
              <w:rPr>
                <w:b/>
                <w:sz w:val="20"/>
              </w:rPr>
              <w:t>N</w:t>
            </w:r>
          </w:p>
        </w:tc>
        <w:tc>
          <w:tcPr>
            <w:tcW w:w="648" w:type="pct"/>
            <w:tcBorders>
              <w:bottom w:val="single" w:sz="4" w:space="0" w:color="auto"/>
            </w:tcBorders>
            <w:shd w:val="clear" w:color="auto" w:fill="auto"/>
            <w:vAlign w:val="center"/>
          </w:tcPr>
          <w:p w:rsidR="00FD641B" w:rsidRPr="007A70FB" w:rsidRDefault="00FD641B" w:rsidP="001331FA">
            <w:pPr>
              <w:pStyle w:val="KMC-Tabletext"/>
              <w:keepNext/>
              <w:keepLines/>
              <w:spacing w:before="20" w:after="20"/>
              <w:ind w:left="-21"/>
              <w:jc w:val="center"/>
              <w:rPr>
                <w:b/>
                <w:sz w:val="20"/>
              </w:rPr>
            </w:pPr>
            <w:r w:rsidRPr="007A70FB">
              <w:rPr>
                <w:b/>
                <w:sz w:val="20"/>
              </w:rPr>
              <w:t>Response assessor</w:t>
            </w:r>
          </w:p>
        </w:tc>
        <w:tc>
          <w:tcPr>
            <w:tcW w:w="624" w:type="pct"/>
            <w:tcBorders>
              <w:bottom w:val="single" w:sz="4" w:space="0" w:color="auto"/>
            </w:tcBorders>
            <w:shd w:val="clear" w:color="auto" w:fill="auto"/>
            <w:vAlign w:val="center"/>
          </w:tcPr>
          <w:p w:rsidR="00FD641B" w:rsidRPr="007A70FB" w:rsidRDefault="00FD641B" w:rsidP="001331FA">
            <w:pPr>
              <w:pStyle w:val="KMC-Tabletext"/>
              <w:keepNext/>
              <w:keepLines/>
              <w:spacing w:before="20" w:after="20"/>
              <w:ind w:left="-51" w:right="-90"/>
              <w:jc w:val="center"/>
              <w:rPr>
                <w:b/>
                <w:sz w:val="20"/>
              </w:rPr>
            </w:pPr>
            <w:r w:rsidRPr="007A70FB">
              <w:rPr>
                <w:b/>
                <w:sz w:val="20"/>
              </w:rPr>
              <w:t>Patients with event, n (%)</w:t>
            </w:r>
          </w:p>
        </w:tc>
        <w:tc>
          <w:tcPr>
            <w:tcW w:w="690" w:type="pct"/>
            <w:tcBorders>
              <w:bottom w:val="single" w:sz="4" w:space="0" w:color="auto"/>
            </w:tcBorders>
            <w:shd w:val="clear" w:color="auto" w:fill="auto"/>
            <w:vAlign w:val="center"/>
          </w:tcPr>
          <w:p w:rsidR="00FD641B" w:rsidRPr="007A70FB" w:rsidRDefault="00FD641B" w:rsidP="001331FA">
            <w:pPr>
              <w:pStyle w:val="KMC-Tabletext"/>
              <w:keepNext/>
              <w:keepLines/>
              <w:spacing w:before="20" w:after="20"/>
              <w:ind w:left="-65" w:right="-90"/>
              <w:jc w:val="center"/>
              <w:rPr>
                <w:b/>
                <w:sz w:val="20"/>
              </w:rPr>
            </w:pPr>
            <w:r w:rsidRPr="007A70FB">
              <w:rPr>
                <w:b/>
                <w:sz w:val="20"/>
              </w:rPr>
              <w:t>Median PFS, months (95% CI)</w:t>
            </w:r>
          </w:p>
        </w:tc>
        <w:tc>
          <w:tcPr>
            <w:tcW w:w="816" w:type="pct"/>
            <w:tcBorders>
              <w:bottom w:val="single" w:sz="4" w:space="0" w:color="auto"/>
            </w:tcBorders>
            <w:vAlign w:val="center"/>
          </w:tcPr>
          <w:p w:rsidR="00FD641B" w:rsidRPr="007A70FB" w:rsidRDefault="00FD641B" w:rsidP="001331FA">
            <w:pPr>
              <w:pStyle w:val="KMC-Tabletext"/>
              <w:keepNext/>
              <w:keepLines/>
              <w:spacing w:before="20" w:after="20"/>
              <w:ind w:left="-65" w:right="-90"/>
              <w:jc w:val="center"/>
              <w:rPr>
                <w:b/>
                <w:sz w:val="20"/>
              </w:rPr>
            </w:pPr>
            <w:r w:rsidRPr="007A70FB">
              <w:rPr>
                <w:b/>
                <w:sz w:val="20"/>
              </w:rPr>
              <w:t>Median duration of follow up months</w:t>
            </w:r>
          </w:p>
        </w:tc>
      </w:tr>
      <w:tr w:rsidR="00FD641B" w:rsidRPr="007A70FB" w:rsidTr="001331FA">
        <w:tc>
          <w:tcPr>
            <w:tcW w:w="1098" w:type="pct"/>
            <w:tcBorders>
              <w:bottom w:val="single" w:sz="4" w:space="0" w:color="auto"/>
              <w:right w:val="nil"/>
            </w:tcBorders>
            <w:shd w:val="clear" w:color="auto" w:fill="auto"/>
            <w:vAlign w:val="center"/>
          </w:tcPr>
          <w:p w:rsidR="00FD641B" w:rsidRPr="007A70FB" w:rsidRDefault="00FD641B" w:rsidP="001331FA">
            <w:pPr>
              <w:pStyle w:val="KMC-Tabletext"/>
              <w:keepNext/>
              <w:keepLines/>
              <w:spacing w:before="20" w:after="20"/>
              <w:ind w:left="-73"/>
              <w:jc w:val="left"/>
              <w:rPr>
                <w:b/>
                <w:sz w:val="20"/>
              </w:rPr>
            </w:pPr>
            <w:r w:rsidRPr="007A70FB">
              <w:rPr>
                <w:b/>
                <w:sz w:val="20"/>
              </w:rPr>
              <w:t>Lorlatinib</w:t>
            </w:r>
          </w:p>
        </w:tc>
        <w:tc>
          <w:tcPr>
            <w:tcW w:w="786" w:type="pct"/>
            <w:tcBorders>
              <w:left w:val="nil"/>
              <w:bottom w:val="single" w:sz="4" w:space="0" w:color="auto"/>
              <w:right w:val="nil"/>
            </w:tcBorders>
            <w:shd w:val="clear" w:color="auto" w:fill="auto"/>
            <w:vAlign w:val="center"/>
          </w:tcPr>
          <w:p w:rsidR="00FD641B" w:rsidRPr="007A70FB" w:rsidRDefault="00FD641B" w:rsidP="001331FA">
            <w:pPr>
              <w:pStyle w:val="KMC-Tabletext"/>
              <w:keepNext/>
              <w:keepLines/>
              <w:spacing w:before="20" w:after="20"/>
              <w:jc w:val="center"/>
              <w:rPr>
                <w:b/>
                <w:sz w:val="20"/>
              </w:rPr>
            </w:pPr>
          </w:p>
        </w:tc>
        <w:tc>
          <w:tcPr>
            <w:tcW w:w="338" w:type="pct"/>
            <w:tcBorders>
              <w:left w:val="nil"/>
              <w:right w:val="nil"/>
            </w:tcBorders>
            <w:shd w:val="clear" w:color="auto" w:fill="auto"/>
            <w:vAlign w:val="center"/>
          </w:tcPr>
          <w:p w:rsidR="00FD641B" w:rsidRPr="007A70FB" w:rsidRDefault="00FD641B" w:rsidP="001331FA">
            <w:pPr>
              <w:pStyle w:val="KMC-Tabletext"/>
              <w:keepNext/>
              <w:keepLines/>
              <w:spacing w:before="20" w:after="20"/>
              <w:jc w:val="center"/>
              <w:rPr>
                <w:b/>
                <w:sz w:val="20"/>
              </w:rPr>
            </w:pPr>
          </w:p>
        </w:tc>
        <w:tc>
          <w:tcPr>
            <w:tcW w:w="648" w:type="pct"/>
            <w:tcBorders>
              <w:left w:val="nil"/>
              <w:right w:val="nil"/>
            </w:tcBorders>
            <w:shd w:val="clear" w:color="auto" w:fill="auto"/>
            <w:vAlign w:val="center"/>
          </w:tcPr>
          <w:p w:rsidR="00FD641B" w:rsidRPr="007A70FB" w:rsidRDefault="00FD641B" w:rsidP="001331FA">
            <w:pPr>
              <w:pStyle w:val="KMC-Tabletext"/>
              <w:keepNext/>
              <w:keepLines/>
              <w:spacing w:before="20" w:after="20"/>
              <w:ind w:left="-21"/>
              <w:jc w:val="center"/>
              <w:rPr>
                <w:b/>
                <w:sz w:val="20"/>
              </w:rPr>
            </w:pPr>
          </w:p>
        </w:tc>
        <w:tc>
          <w:tcPr>
            <w:tcW w:w="624" w:type="pct"/>
            <w:tcBorders>
              <w:left w:val="nil"/>
              <w:right w:val="nil"/>
            </w:tcBorders>
            <w:shd w:val="clear" w:color="auto" w:fill="auto"/>
            <w:vAlign w:val="center"/>
          </w:tcPr>
          <w:p w:rsidR="00FD641B" w:rsidRPr="007A70FB" w:rsidRDefault="00FD641B" w:rsidP="001331FA">
            <w:pPr>
              <w:pStyle w:val="KMC-Tabletext"/>
              <w:keepNext/>
              <w:keepLines/>
              <w:spacing w:before="20" w:after="20"/>
              <w:ind w:left="-51" w:right="-90"/>
              <w:jc w:val="center"/>
              <w:rPr>
                <w:b/>
                <w:sz w:val="20"/>
              </w:rPr>
            </w:pPr>
          </w:p>
        </w:tc>
        <w:tc>
          <w:tcPr>
            <w:tcW w:w="690" w:type="pct"/>
            <w:tcBorders>
              <w:left w:val="nil"/>
              <w:right w:val="nil"/>
            </w:tcBorders>
            <w:shd w:val="clear" w:color="auto" w:fill="auto"/>
            <w:vAlign w:val="center"/>
          </w:tcPr>
          <w:p w:rsidR="00FD641B" w:rsidRPr="007A70FB" w:rsidRDefault="00FD641B" w:rsidP="001331FA">
            <w:pPr>
              <w:pStyle w:val="KMC-Tabletext"/>
              <w:keepNext/>
              <w:keepLines/>
              <w:spacing w:before="20" w:after="20"/>
              <w:ind w:left="-65" w:right="-90"/>
              <w:jc w:val="center"/>
              <w:rPr>
                <w:b/>
                <w:sz w:val="20"/>
              </w:rPr>
            </w:pPr>
          </w:p>
        </w:tc>
        <w:tc>
          <w:tcPr>
            <w:tcW w:w="816" w:type="pct"/>
            <w:tcBorders>
              <w:left w:val="nil"/>
              <w:bottom w:val="single" w:sz="4" w:space="0" w:color="auto"/>
            </w:tcBorders>
            <w:vAlign w:val="center"/>
          </w:tcPr>
          <w:p w:rsidR="00FD641B" w:rsidRPr="007A70FB" w:rsidRDefault="00FD641B" w:rsidP="001331FA">
            <w:pPr>
              <w:pStyle w:val="KMC-Tabletext"/>
              <w:keepNext/>
              <w:keepLines/>
              <w:spacing w:before="20" w:after="20"/>
              <w:ind w:left="-65" w:right="-90"/>
              <w:jc w:val="center"/>
              <w:rPr>
                <w:b/>
                <w:sz w:val="20"/>
              </w:rPr>
            </w:pPr>
          </w:p>
        </w:tc>
      </w:tr>
      <w:tr w:rsidR="00FD641B" w:rsidRPr="007A70FB" w:rsidTr="001331FA">
        <w:tc>
          <w:tcPr>
            <w:tcW w:w="1098" w:type="pct"/>
            <w:tcBorders>
              <w:bottom w:val="single" w:sz="4" w:space="0" w:color="auto"/>
            </w:tcBorders>
            <w:shd w:val="clear" w:color="auto" w:fill="auto"/>
            <w:vAlign w:val="center"/>
          </w:tcPr>
          <w:p w:rsidR="00FD641B" w:rsidRPr="007A70FB" w:rsidRDefault="00FD641B" w:rsidP="001331FA">
            <w:pPr>
              <w:pStyle w:val="KMC-Tabletext"/>
              <w:keepNext/>
              <w:keepLines/>
              <w:spacing w:before="20" w:after="20"/>
              <w:ind w:left="-73"/>
              <w:jc w:val="left"/>
              <w:rPr>
                <w:sz w:val="20"/>
              </w:rPr>
            </w:pPr>
            <w:r w:rsidRPr="007A70FB">
              <w:rPr>
                <w:sz w:val="20"/>
              </w:rPr>
              <w:t>Study 1001 (02 Feb 18)</w:t>
            </w:r>
          </w:p>
        </w:tc>
        <w:tc>
          <w:tcPr>
            <w:tcW w:w="786" w:type="pct"/>
            <w:tcBorders>
              <w:bottom w:val="single" w:sz="4" w:space="0" w:color="auto"/>
            </w:tcBorders>
            <w:shd w:val="clear" w:color="auto" w:fill="auto"/>
            <w:vAlign w:val="center"/>
          </w:tcPr>
          <w:p w:rsidR="00FD641B" w:rsidRPr="007A70FB" w:rsidRDefault="00FD641B" w:rsidP="001331FA">
            <w:pPr>
              <w:pStyle w:val="KMC-Tabletext"/>
              <w:keepNext/>
              <w:keepLines/>
              <w:spacing w:before="20" w:after="20"/>
              <w:jc w:val="center"/>
              <w:rPr>
                <w:sz w:val="20"/>
              </w:rPr>
            </w:pPr>
            <w:r w:rsidRPr="007A70FB">
              <w:rPr>
                <w:sz w:val="20"/>
              </w:rPr>
              <w:t>EXP-2: EXP-5</w:t>
            </w:r>
          </w:p>
        </w:tc>
        <w:tc>
          <w:tcPr>
            <w:tcW w:w="338" w:type="pct"/>
            <w:tcBorders>
              <w:bottom w:val="single" w:sz="4" w:space="0" w:color="auto"/>
            </w:tcBorders>
            <w:shd w:val="clear" w:color="auto" w:fill="auto"/>
            <w:vAlign w:val="center"/>
          </w:tcPr>
          <w:p w:rsidR="00FD641B" w:rsidRPr="007A70FB" w:rsidRDefault="00FD641B" w:rsidP="001331FA">
            <w:pPr>
              <w:pStyle w:val="KMC-Tabletext"/>
              <w:keepNext/>
              <w:keepLines/>
              <w:spacing w:before="20" w:after="20"/>
              <w:jc w:val="center"/>
              <w:rPr>
                <w:sz w:val="20"/>
              </w:rPr>
            </w:pPr>
            <w:r w:rsidRPr="007A70FB">
              <w:rPr>
                <w:sz w:val="20"/>
              </w:rPr>
              <w:t>198</w:t>
            </w:r>
          </w:p>
        </w:tc>
        <w:tc>
          <w:tcPr>
            <w:tcW w:w="648" w:type="pct"/>
            <w:tcBorders>
              <w:bottom w:val="single" w:sz="4" w:space="0" w:color="auto"/>
            </w:tcBorders>
            <w:shd w:val="clear" w:color="auto" w:fill="auto"/>
            <w:vAlign w:val="center"/>
          </w:tcPr>
          <w:p w:rsidR="00FD641B" w:rsidRPr="007A70FB" w:rsidRDefault="00FD641B" w:rsidP="001331FA">
            <w:pPr>
              <w:pStyle w:val="KMC-Tabletext"/>
              <w:keepNext/>
              <w:keepLines/>
              <w:spacing w:before="20" w:after="20"/>
              <w:ind w:left="-21"/>
              <w:jc w:val="center"/>
              <w:rPr>
                <w:sz w:val="20"/>
              </w:rPr>
            </w:pPr>
            <w:r w:rsidRPr="007A70FB">
              <w:rPr>
                <w:sz w:val="20"/>
              </w:rPr>
              <w:t>IRC</w:t>
            </w:r>
          </w:p>
        </w:tc>
        <w:tc>
          <w:tcPr>
            <w:tcW w:w="624" w:type="pct"/>
            <w:tcBorders>
              <w:bottom w:val="single" w:sz="4" w:space="0" w:color="auto"/>
            </w:tcBorders>
            <w:shd w:val="clear" w:color="auto" w:fill="auto"/>
            <w:vAlign w:val="center"/>
          </w:tcPr>
          <w:p w:rsidR="00FD641B" w:rsidRPr="007A70FB" w:rsidRDefault="00FF4479" w:rsidP="001331FA">
            <w:pPr>
              <w:pStyle w:val="KMC-Tabletext"/>
              <w:keepNext/>
              <w:keepLines/>
              <w:spacing w:before="20" w:after="20"/>
              <w:ind w:left="-65"/>
              <w:jc w:val="center"/>
              <w:rPr>
                <w:sz w:val="20"/>
              </w:rPr>
            </w:pPr>
            <w:r>
              <w:rPr>
                <w:noProof/>
                <w:color w:val="000000"/>
                <w:sz w:val="20"/>
                <w:highlight w:val="black"/>
              </w:rPr>
              <w:t>''''''''''</w:t>
            </w:r>
            <w:r w:rsidR="00FD641B" w:rsidRPr="007A70FB">
              <w:rPr>
                <w:sz w:val="20"/>
              </w:rPr>
              <w:t xml:space="preserve"> (</w:t>
            </w:r>
            <w:r>
              <w:rPr>
                <w:noProof/>
                <w:color w:val="000000"/>
                <w:sz w:val="20"/>
                <w:highlight w:val="black"/>
              </w:rPr>
              <w:t>''''''''''</w:t>
            </w:r>
            <w:r w:rsidR="00FD641B" w:rsidRPr="007A70FB">
              <w:rPr>
                <w:sz w:val="20"/>
              </w:rPr>
              <w:t>)</w:t>
            </w:r>
          </w:p>
        </w:tc>
        <w:tc>
          <w:tcPr>
            <w:tcW w:w="690" w:type="pct"/>
            <w:tcBorders>
              <w:bottom w:val="single" w:sz="4" w:space="0" w:color="auto"/>
            </w:tcBorders>
            <w:shd w:val="clear" w:color="auto" w:fill="auto"/>
            <w:vAlign w:val="center"/>
          </w:tcPr>
          <w:p w:rsidR="00FD641B" w:rsidRPr="007A70FB" w:rsidRDefault="00FF4479" w:rsidP="001331FA">
            <w:pPr>
              <w:pStyle w:val="KMC-Tabletext"/>
              <w:keepNext/>
              <w:keepLines/>
              <w:spacing w:before="20" w:after="20"/>
              <w:ind w:left="-65"/>
              <w:jc w:val="center"/>
              <w:rPr>
                <w:sz w:val="20"/>
              </w:rPr>
            </w:pPr>
            <w:r>
              <w:rPr>
                <w:noProof/>
                <w:color w:val="000000"/>
                <w:sz w:val="20"/>
                <w:highlight w:val="black"/>
              </w:rPr>
              <w:t>''''''''</w:t>
            </w:r>
            <w:r w:rsidR="00FD641B" w:rsidRPr="007A70FB">
              <w:rPr>
                <w:sz w:val="20"/>
              </w:rPr>
              <w:t xml:space="preserve"> (</w:t>
            </w:r>
            <w:r>
              <w:rPr>
                <w:noProof/>
                <w:color w:val="000000"/>
                <w:sz w:val="20"/>
                <w:highlight w:val="black"/>
              </w:rPr>
              <w:t>'''''''''</w:t>
            </w:r>
            <w:r w:rsidR="00FD641B" w:rsidRPr="007A70FB">
              <w:rPr>
                <w:sz w:val="20"/>
              </w:rPr>
              <w:t xml:space="preserve">, </w:t>
            </w:r>
            <w:r>
              <w:rPr>
                <w:noProof/>
                <w:color w:val="000000"/>
                <w:sz w:val="20"/>
                <w:highlight w:val="black"/>
              </w:rPr>
              <w:t>'''''''''</w:t>
            </w:r>
          </w:p>
        </w:tc>
        <w:tc>
          <w:tcPr>
            <w:tcW w:w="816" w:type="pct"/>
            <w:tcBorders>
              <w:top w:val="single" w:sz="4" w:space="0" w:color="auto"/>
              <w:bottom w:val="single" w:sz="4" w:space="0" w:color="auto"/>
            </w:tcBorders>
            <w:vAlign w:val="center"/>
          </w:tcPr>
          <w:p w:rsidR="00FD641B" w:rsidRPr="00FF4479" w:rsidRDefault="00FF4479" w:rsidP="001331FA">
            <w:pPr>
              <w:pStyle w:val="KMC-Tabletext"/>
              <w:keepNext/>
              <w:keepLines/>
              <w:spacing w:before="20" w:after="20"/>
              <w:ind w:left="-65"/>
              <w:jc w:val="center"/>
              <w:rPr>
                <w:i/>
                <w:sz w:val="20"/>
                <w:highlight w:val="black"/>
              </w:rPr>
            </w:pPr>
            <w:r>
              <w:rPr>
                <w:i/>
                <w:noProof/>
                <w:color w:val="000000"/>
                <w:sz w:val="20"/>
                <w:highlight w:val="black"/>
              </w:rPr>
              <w:t>'''''''</w:t>
            </w:r>
          </w:p>
        </w:tc>
      </w:tr>
      <w:tr w:rsidR="00FD641B" w:rsidRPr="007A70FB" w:rsidTr="001331FA">
        <w:tc>
          <w:tcPr>
            <w:tcW w:w="1098" w:type="pct"/>
            <w:tcBorders>
              <w:top w:val="single" w:sz="4" w:space="0" w:color="auto"/>
              <w:bottom w:val="single" w:sz="4" w:space="0" w:color="auto"/>
              <w:right w:val="nil"/>
            </w:tcBorders>
            <w:shd w:val="clear" w:color="auto" w:fill="auto"/>
            <w:vAlign w:val="center"/>
          </w:tcPr>
          <w:p w:rsidR="00FD641B" w:rsidRPr="007A70FB" w:rsidRDefault="00FD641B" w:rsidP="001331FA">
            <w:pPr>
              <w:pStyle w:val="KMC-Tabletext"/>
              <w:keepNext/>
              <w:keepLines/>
              <w:spacing w:before="20" w:after="20"/>
              <w:ind w:left="-73"/>
              <w:jc w:val="left"/>
              <w:rPr>
                <w:b/>
                <w:bCs w:val="0"/>
                <w:sz w:val="20"/>
              </w:rPr>
            </w:pPr>
            <w:r w:rsidRPr="007A70FB">
              <w:rPr>
                <w:b/>
                <w:bCs w:val="0"/>
                <w:sz w:val="20"/>
              </w:rPr>
              <w:t>Alectinib</w:t>
            </w:r>
          </w:p>
        </w:tc>
        <w:tc>
          <w:tcPr>
            <w:tcW w:w="786" w:type="pct"/>
            <w:tcBorders>
              <w:top w:val="single" w:sz="4" w:space="0" w:color="auto"/>
              <w:left w:val="nil"/>
              <w:bottom w:val="single" w:sz="4" w:space="0" w:color="auto"/>
              <w:right w:val="nil"/>
            </w:tcBorders>
            <w:shd w:val="clear" w:color="auto" w:fill="auto"/>
            <w:vAlign w:val="center"/>
          </w:tcPr>
          <w:p w:rsidR="00FD641B" w:rsidRPr="007A70FB" w:rsidRDefault="00FD641B" w:rsidP="001331FA">
            <w:pPr>
              <w:pStyle w:val="KMC-Tabletext"/>
              <w:keepNext/>
              <w:keepLines/>
              <w:spacing w:before="20" w:after="20"/>
              <w:ind w:left="-65" w:right="-90"/>
              <w:jc w:val="center"/>
              <w:rPr>
                <w:sz w:val="20"/>
              </w:rPr>
            </w:pPr>
          </w:p>
        </w:tc>
        <w:tc>
          <w:tcPr>
            <w:tcW w:w="338" w:type="pct"/>
            <w:tcBorders>
              <w:top w:val="single" w:sz="4" w:space="0" w:color="auto"/>
              <w:left w:val="nil"/>
              <w:bottom w:val="single" w:sz="4" w:space="0" w:color="auto"/>
              <w:right w:val="nil"/>
            </w:tcBorders>
            <w:shd w:val="clear" w:color="auto" w:fill="auto"/>
            <w:vAlign w:val="center"/>
          </w:tcPr>
          <w:p w:rsidR="00FD641B" w:rsidRPr="007A70FB" w:rsidRDefault="00FD641B" w:rsidP="001331FA">
            <w:pPr>
              <w:pStyle w:val="KMC-Tabletext"/>
              <w:keepNext/>
              <w:keepLines/>
              <w:spacing w:before="20" w:after="20"/>
              <w:ind w:left="-65" w:right="-90"/>
              <w:jc w:val="center"/>
              <w:rPr>
                <w:sz w:val="20"/>
              </w:rPr>
            </w:pPr>
          </w:p>
        </w:tc>
        <w:tc>
          <w:tcPr>
            <w:tcW w:w="648" w:type="pct"/>
            <w:tcBorders>
              <w:top w:val="single" w:sz="4" w:space="0" w:color="auto"/>
              <w:left w:val="nil"/>
              <w:bottom w:val="single" w:sz="4" w:space="0" w:color="auto"/>
              <w:right w:val="nil"/>
            </w:tcBorders>
            <w:shd w:val="clear" w:color="auto" w:fill="auto"/>
            <w:vAlign w:val="center"/>
          </w:tcPr>
          <w:p w:rsidR="00FD641B" w:rsidRPr="007A70FB" w:rsidRDefault="00FD641B" w:rsidP="001331FA">
            <w:pPr>
              <w:pStyle w:val="KMC-Tabletext"/>
              <w:keepNext/>
              <w:keepLines/>
              <w:spacing w:before="20" w:after="20"/>
              <w:ind w:left="-65" w:right="-90"/>
              <w:jc w:val="center"/>
              <w:rPr>
                <w:sz w:val="20"/>
              </w:rPr>
            </w:pPr>
          </w:p>
        </w:tc>
        <w:tc>
          <w:tcPr>
            <w:tcW w:w="624" w:type="pct"/>
            <w:tcBorders>
              <w:top w:val="single" w:sz="4" w:space="0" w:color="auto"/>
              <w:left w:val="nil"/>
              <w:bottom w:val="single" w:sz="4" w:space="0" w:color="auto"/>
              <w:right w:val="nil"/>
            </w:tcBorders>
            <w:shd w:val="clear" w:color="auto" w:fill="auto"/>
            <w:vAlign w:val="center"/>
          </w:tcPr>
          <w:p w:rsidR="00FD641B" w:rsidRPr="007A70FB" w:rsidRDefault="00FD641B" w:rsidP="001331FA">
            <w:pPr>
              <w:pStyle w:val="KMC-Tabletext"/>
              <w:keepNext/>
              <w:keepLines/>
              <w:spacing w:before="20" w:after="20"/>
              <w:ind w:left="-65" w:right="-90"/>
              <w:jc w:val="center"/>
              <w:rPr>
                <w:sz w:val="20"/>
              </w:rPr>
            </w:pPr>
          </w:p>
        </w:tc>
        <w:tc>
          <w:tcPr>
            <w:tcW w:w="690" w:type="pct"/>
            <w:tcBorders>
              <w:top w:val="single" w:sz="4" w:space="0" w:color="auto"/>
              <w:left w:val="nil"/>
              <w:bottom w:val="single" w:sz="4" w:space="0" w:color="auto"/>
              <w:right w:val="nil"/>
            </w:tcBorders>
            <w:shd w:val="clear" w:color="auto" w:fill="auto"/>
            <w:vAlign w:val="center"/>
          </w:tcPr>
          <w:p w:rsidR="00FD641B" w:rsidRPr="007A70FB" w:rsidRDefault="00FD641B" w:rsidP="001331FA">
            <w:pPr>
              <w:pStyle w:val="KMC-Tabletext"/>
              <w:keepNext/>
              <w:keepLines/>
              <w:spacing w:before="20" w:after="20"/>
              <w:ind w:left="-65" w:right="-90"/>
              <w:jc w:val="center"/>
              <w:rPr>
                <w:sz w:val="20"/>
              </w:rPr>
            </w:pPr>
          </w:p>
        </w:tc>
        <w:tc>
          <w:tcPr>
            <w:tcW w:w="816" w:type="pct"/>
            <w:tcBorders>
              <w:top w:val="single" w:sz="4" w:space="0" w:color="auto"/>
              <w:left w:val="nil"/>
              <w:bottom w:val="single" w:sz="4" w:space="0" w:color="auto"/>
            </w:tcBorders>
            <w:vAlign w:val="center"/>
          </w:tcPr>
          <w:p w:rsidR="00FD641B" w:rsidRPr="007A70FB" w:rsidRDefault="00FD641B" w:rsidP="001331FA">
            <w:pPr>
              <w:pStyle w:val="KMC-Tabletext"/>
              <w:keepNext/>
              <w:keepLines/>
              <w:spacing w:before="20" w:after="20"/>
              <w:ind w:left="-65" w:right="-90"/>
              <w:jc w:val="center"/>
              <w:rPr>
                <w:i/>
                <w:sz w:val="20"/>
              </w:rPr>
            </w:pPr>
          </w:p>
        </w:tc>
      </w:tr>
      <w:tr w:rsidR="00FD641B" w:rsidRPr="007A70FB" w:rsidTr="001331FA">
        <w:tc>
          <w:tcPr>
            <w:tcW w:w="1098" w:type="pct"/>
            <w:tcBorders>
              <w:top w:val="nil"/>
              <w:bottom w:val="single" w:sz="4" w:space="0" w:color="auto"/>
            </w:tcBorders>
            <w:shd w:val="clear" w:color="auto" w:fill="auto"/>
            <w:vAlign w:val="center"/>
          </w:tcPr>
          <w:p w:rsidR="00FD641B" w:rsidRPr="007A70FB" w:rsidRDefault="00FD641B" w:rsidP="001331FA">
            <w:pPr>
              <w:pStyle w:val="KMC-Tabletext"/>
              <w:keepNext/>
              <w:keepLines/>
              <w:spacing w:before="20" w:after="20"/>
              <w:ind w:left="-73"/>
              <w:jc w:val="left"/>
              <w:rPr>
                <w:sz w:val="20"/>
              </w:rPr>
            </w:pPr>
            <w:r w:rsidRPr="007A70FB">
              <w:rPr>
                <w:sz w:val="20"/>
              </w:rPr>
              <w:t>NP28761</w:t>
            </w:r>
          </w:p>
        </w:tc>
        <w:tc>
          <w:tcPr>
            <w:tcW w:w="786" w:type="pct"/>
            <w:shd w:val="clear" w:color="auto" w:fill="auto"/>
            <w:vAlign w:val="center"/>
          </w:tcPr>
          <w:p w:rsidR="00FD641B" w:rsidRPr="007A70FB" w:rsidRDefault="00FD641B" w:rsidP="001331FA">
            <w:pPr>
              <w:pStyle w:val="KMC-Tabletext"/>
              <w:keepNext/>
              <w:keepLines/>
              <w:spacing w:before="20" w:after="20"/>
              <w:jc w:val="center"/>
              <w:rPr>
                <w:sz w:val="20"/>
              </w:rPr>
            </w:pPr>
            <w:r w:rsidRPr="007A70FB">
              <w:rPr>
                <w:sz w:val="20"/>
              </w:rPr>
              <w:t>ITT</w:t>
            </w:r>
          </w:p>
        </w:tc>
        <w:tc>
          <w:tcPr>
            <w:tcW w:w="338" w:type="pct"/>
            <w:shd w:val="clear" w:color="auto" w:fill="auto"/>
            <w:vAlign w:val="center"/>
          </w:tcPr>
          <w:p w:rsidR="00FD641B" w:rsidRPr="007A70FB" w:rsidRDefault="00FD641B" w:rsidP="001331FA">
            <w:pPr>
              <w:pStyle w:val="KMC-Tabletext"/>
              <w:keepNext/>
              <w:keepLines/>
              <w:spacing w:before="20" w:after="20"/>
              <w:jc w:val="center"/>
              <w:rPr>
                <w:sz w:val="20"/>
              </w:rPr>
            </w:pPr>
            <w:r w:rsidRPr="007A70FB">
              <w:rPr>
                <w:sz w:val="20"/>
              </w:rPr>
              <w:t>87</w:t>
            </w:r>
          </w:p>
        </w:tc>
        <w:tc>
          <w:tcPr>
            <w:tcW w:w="648" w:type="pct"/>
            <w:shd w:val="clear" w:color="auto" w:fill="auto"/>
            <w:vAlign w:val="center"/>
          </w:tcPr>
          <w:p w:rsidR="00FD641B" w:rsidRPr="007A70FB" w:rsidRDefault="00FD641B" w:rsidP="001331FA">
            <w:pPr>
              <w:pStyle w:val="KMC-Tabletext"/>
              <w:keepNext/>
              <w:keepLines/>
              <w:spacing w:before="20" w:after="20"/>
              <w:ind w:left="-21"/>
              <w:jc w:val="center"/>
              <w:rPr>
                <w:sz w:val="20"/>
              </w:rPr>
            </w:pPr>
            <w:r w:rsidRPr="007A70FB">
              <w:rPr>
                <w:sz w:val="20"/>
              </w:rPr>
              <w:t>IRC</w:t>
            </w:r>
          </w:p>
        </w:tc>
        <w:tc>
          <w:tcPr>
            <w:tcW w:w="624" w:type="pct"/>
            <w:shd w:val="clear" w:color="auto" w:fill="auto"/>
            <w:vAlign w:val="center"/>
          </w:tcPr>
          <w:p w:rsidR="00FD641B" w:rsidRPr="007A70FB" w:rsidRDefault="00FD641B" w:rsidP="001331FA">
            <w:pPr>
              <w:pStyle w:val="KMC-Tabletext"/>
              <w:keepNext/>
              <w:keepLines/>
              <w:spacing w:before="20" w:after="20"/>
              <w:ind w:left="-65"/>
              <w:jc w:val="center"/>
              <w:rPr>
                <w:sz w:val="20"/>
              </w:rPr>
            </w:pPr>
            <w:r w:rsidRPr="007A70FB">
              <w:rPr>
                <w:sz w:val="20"/>
              </w:rPr>
              <w:t>58 (66.7)</w:t>
            </w:r>
          </w:p>
        </w:tc>
        <w:tc>
          <w:tcPr>
            <w:tcW w:w="690" w:type="pct"/>
            <w:shd w:val="clear" w:color="auto" w:fill="auto"/>
            <w:vAlign w:val="center"/>
          </w:tcPr>
          <w:p w:rsidR="00FD641B" w:rsidRPr="007A70FB" w:rsidRDefault="00FD641B" w:rsidP="001331FA">
            <w:pPr>
              <w:pStyle w:val="KMC-Tabletext"/>
              <w:keepNext/>
              <w:keepLines/>
              <w:spacing w:before="20" w:after="20"/>
              <w:ind w:left="-65" w:right="-128"/>
              <w:jc w:val="center"/>
              <w:rPr>
                <w:iCs/>
                <w:sz w:val="20"/>
              </w:rPr>
            </w:pPr>
            <w:r w:rsidRPr="007A70FB">
              <w:rPr>
                <w:sz w:val="20"/>
              </w:rPr>
              <w:t>8.2 (6.3, 12.6)</w:t>
            </w:r>
          </w:p>
        </w:tc>
        <w:tc>
          <w:tcPr>
            <w:tcW w:w="816" w:type="pct"/>
            <w:vAlign w:val="center"/>
          </w:tcPr>
          <w:p w:rsidR="00FD641B" w:rsidRPr="007A70FB" w:rsidRDefault="00FD641B" w:rsidP="001331FA">
            <w:pPr>
              <w:pStyle w:val="KMC-Tabletext"/>
              <w:keepNext/>
              <w:keepLines/>
              <w:spacing w:before="20" w:after="20"/>
              <w:ind w:left="-65"/>
              <w:jc w:val="center"/>
              <w:rPr>
                <w:i/>
                <w:sz w:val="20"/>
              </w:rPr>
            </w:pPr>
            <w:r w:rsidRPr="007A70FB">
              <w:rPr>
                <w:i/>
                <w:sz w:val="20"/>
              </w:rPr>
              <w:t>17.0</w:t>
            </w:r>
          </w:p>
        </w:tc>
      </w:tr>
      <w:tr w:rsidR="00FD641B" w:rsidRPr="007A70FB" w:rsidTr="001331FA">
        <w:tc>
          <w:tcPr>
            <w:tcW w:w="1098" w:type="pct"/>
            <w:tcBorders>
              <w:bottom w:val="nil"/>
            </w:tcBorders>
            <w:shd w:val="clear" w:color="auto" w:fill="auto"/>
            <w:vAlign w:val="center"/>
          </w:tcPr>
          <w:p w:rsidR="00FD641B" w:rsidRPr="007A70FB" w:rsidRDefault="00FD641B" w:rsidP="001331FA">
            <w:pPr>
              <w:pStyle w:val="KMC-Tabletext"/>
              <w:keepNext/>
              <w:keepLines/>
              <w:spacing w:before="20" w:after="20"/>
              <w:ind w:left="-73"/>
              <w:jc w:val="left"/>
              <w:rPr>
                <w:sz w:val="20"/>
              </w:rPr>
            </w:pPr>
            <w:r w:rsidRPr="007A70FB">
              <w:rPr>
                <w:sz w:val="20"/>
              </w:rPr>
              <w:t>NP28673</w:t>
            </w:r>
          </w:p>
        </w:tc>
        <w:tc>
          <w:tcPr>
            <w:tcW w:w="786" w:type="pct"/>
            <w:tcBorders>
              <w:bottom w:val="nil"/>
            </w:tcBorders>
            <w:shd w:val="clear" w:color="auto" w:fill="auto"/>
            <w:vAlign w:val="center"/>
          </w:tcPr>
          <w:p w:rsidR="00FD641B" w:rsidRPr="007A70FB" w:rsidRDefault="00FD641B" w:rsidP="001331FA">
            <w:pPr>
              <w:pStyle w:val="KMC-Tabletext"/>
              <w:keepNext/>
              <w:keepLines/>
              <w:spacing w:before="20" w:after="20"/>
              <w:jc w:val="center"/>
              <w:rPr>
                <w:sz w:val="20"/>
              </w:rPr>
            </w:pPr>
            <w:r w:rsidRPr="007A70FB">
              <w:rPr>
                <w:sz w:val="20"/>
              </w:rPr>
              <w:t>ITT</w:t>
            </w:r>
          </w:p>
        </w:tc>
        <w:tc>
          <w:tcPr>
            <w:tcW w:w="338" w:type="pct"/>
            <w:shd w:val="clear" w:color="auto" w:fill="auto"/>
            <w:vAlign w:val="center"/>
          </w:tcPr>
          <w:p w:rsidR="00FD641B" w:rsidRPr="007A70FB" w:rsidRDefault="00FD641B" w:rsidP="001331FA">
            <w:pPr>
              <w:pStyle w:val="KMC-Tabletext"/>
              <w:keepNext/>
              <w:keepLines/>
              <w:spacing w:before="20" w:after="20"/>
              <w:jc w:val="center"/>
              <w:rPr>
                <w:i/>
                <w:sz w:val="20"/>
              </w:rPr>
            </w:pPr>
            <w:r w:rsidRPr="007A70FB">
              <w:rPr>
                <w:i/>
                <w:sz w:val="20"/>
              </w:rPr>
              <w:t>138</w:t>
            </w:r>
          </w:p>
        </w:tc>
        <w:tc>
          <w:tcPr>
            <w:tcW w:w="648" w:type="pct"/>
            <w:shd w:val="clear" w:color="auto" w:fill="auto"/>
            <w:vAlign w:val="center"/>
          </w:tcPr>
          <w:p w:rsidR="00FD641B" w:rsidRPr="007A70FB" w:rsidRDefault="00FD641B" w:rsidP="001331FA">
            <w:pPr>
              <w:pStyle w:val="KMC-Tabletext"/>
              <w:keepNext/>
              <w:keepLines/>
              <w:spacing w:before="20" w:after="20"/>
              <w:ind w:left="-21"/>
              <w:jc w:val="center"/>
              <w:rPr>
                <w:iCs/>
                <w:sz w:val="20"/>
              </w:rPr>
            </w:pPr>
            <w:r w:rsidRPr="007A70FB">
              <w:rPr>
                <w:sz w:val="20"/>
              </w:rPr>
              <w:t>IRC</w:t>
            </w:r>
          </w:p>
        </w:tc>
        <w:tc>
          <w:tcPr>
            <w:tcW w:w="624" w:type="pct"/>
            <w:shd w:val="clear" w:color="auto" w:fill="auto"/>
            <w:vAlign w:val="center"/>
          </w:tcPr>
          <w:p w:rsidR="00FD641B" w:rsidRPr="007A70FB" w:rsidRDefault="00FD641B" w:rsidP="001331FA">
            <w:pPr>
              <w:pStyle w:val="KMC-Tabletext"/>
              <w:keepNext/>
              <w:keepLines/>
              <w:spacing w:before="20" w:after="20"/>
              <w:ind w:left="-65"/>
              <w:jc w:val="center"/>
              <w:rPr>
                <w:sz w:val="20"/>
              </w:rPr>
            </w:pPr>
            <w:r w:rsidRPr="007A70FB">
              <w:rPr>
                <w:sz w:val="20"/>
              </w:rPr>
              <w:t>98 (71.0)</w:t>
            </w:r>
          </w:p>
        </w:tc>
        <w:tc>
          <w:tcPr>
            <w:tcW w:w="690" w:type="pct"/>
            <w:shd w:val="clear" w:color="auto" w:fill="auto"/>
            <w:vAlign w:val="center"/>
          </w:tcPr>
          <w:p w:rsidR="00FD641B" w:rsidRPr="007A70FB" w:rsidRDefault="00FD641B" w:rsidP="001331FA">
            <w:pPr>
              <w:pStyle w:val="KMC-Tabletext"/>
              <w:keepNext/>
              <w:keepLines/>
              <w:spacing w:before="20" w:after="20"/>
              <w:ind w:left="-65" w:right="-90"/>
              <w:jc w:val="center"/>
              <w:rPr>
                <w:i/>
                <w:sz w:val="20"/>
              </w:rPr>
            </w:pPr>
            <w:r w:rsidRPr="007A70FB">
              <w:rPr>
                <w:i/>
                <w:sz w:val="20"/>
              </w:rPr>
              <w:t>8.9 (5.6, 12.8)</w:t>
            </w:r>
          </w:p>
        </w:tc>
        <w:tc>
          <w:tcPr>
            <w:tcW w:w="816" w:type="pct"/>
            <w:shd w:val="clear" w:color="auto" w:fill="auto"/>
            <w:vAlign w:val="center"/>
          </w:tcPr>
          <w:p w:rsidR="00FD641B" w:rsidRPr="007A70FB" w:rsidRDefault="00FD641B" w:rsidP="001331FA">
            <w:pPr>
              <w:pStyle w:val="KMC-Tabletext"/>
              <w:keepNext/>
              <w:keepLines/>
              <w:spacing w:before="20" w:after="20"/>
              <w:ind w:left="-65" w:right="-90"/>
              <w:jc w:val="center"/>
              <w:rPr>
                <w:i/>
                <w:sz w:val="20"/>
              </w:rPr>
            </w:pPr>
            <w:r w:rsidRPr="007A70FB">
              <w:rPr>
                <w:i/>
                <w:sz w:val="20"/>
              </w:rPr>
              <w:t>21.3</w:t>
            </w:r>
          </w:p>
        </w:tc>
      </w:tr>
      <w:tr w:rsidR="00FD641B" w:rsidRPr="007A70FB" w:rsidTr="001331FA">
        <w:tc>
          <w:tcPr>
            <w:tcW w:w="1098" w:type="pct"/>
            <w:tcBorders>
              <w:bottom w:val="nil"/>
            </w:tcBorders>
            <w:shd w:val="clear" w:color="auto" w:fill="auto"/>
            <w:vAlign w:val="center"/>
          </w:tcPr>
          <w:p w:rsidR="00FD641B" w:rsidRPr="007A70FB" w:rsidRDefault="00FD641B" w:rsidP="001331FA">
            <w:pPr>
              <w:pStyle w:val="KMC-Tabletext"/>
              <w:keepNext/>
              <w:keepLines/>
              <w:spacing w:before="20" w:after="20"/>
              <w:ind w:left="-73"/>
              <w:jc w:val="left"/>
              <w:rPr>
                <w:sz w:val="20"/>
              </w:rPr>
            </w:pPr>
            <w:r w:rsidRPr="007A70FB">
              <w:rPr>
                <w:sz w:val="20"/>
              </w:rPr>
              <w:t>NP28761/ NP28673</w:t>
            </w:r>
          </w:p>
        </w:tc>
        <w:tc>
          <w:tcPr>
            <w:tcW w:w="786" w:type="pct"/>
            <w:shd w:val="clear" w:color="auto" w:fill="auto"/>
            <w:vAlign w:val="center"/>
          </w:tcPr>
          <w:p w:rsidR="00FD641B" w:rsidRPr="007A70FB" w:rsidRDefault="00FD641B" w:rsidP="001331FA">
            <w:pPr>
              <w:pStyle w:val="KMC-Tabletext"/>
              <w:keepNext/>
              <w:keepLines/>
              <w:spacing w:before="20" w:after="20"/>
              <w:jc w:val="center"/>
              <w:rPr>
                <w:sz w:val="20"/>
              </w:rPr>
            </w:pPr>
            <w:r w:rsidRPr="007A70FB">
              <w:rPr>
                <w:sz w:val="20"/>
              </w:rPr>
              <w:t>ITT</w:t>
            </w:r>
          </w:p>
        </w:tc>
        <w:tc>
          <w:tcPr>
            <w:tcW w:w="338" w:type="pct"/>
            <w:shd w:val="clear" w:color="auto" w:fill="auto"/>
            <w:vAlign w:val="center"/>
          </w:tcPr>
          <w:p w:rsidR="00FD641B" w:rsidRPr="007A70FB" w:rsidRDefault="00FD641B" w:rsidP="001331FA">
            <w:pPr>
              <w:pStyle w:val="KMC-Tabletext"/>
              <w:keepNext/>
              <w:keepLines/>
              <w:spacing w:before="20" w:after="20"/>
              <w:jc w:val="center"/>
              <w:rPr>
                <w:sz w:val="20"/>
              </w:rPr>
            </w:pPr>
            <w:r w:rsidRPr="007A70FB">
              <w:rPr>
                <w:sz w:val="20"/>
              </w:rPr>
              <w:t>225</w:t>
            </w:r>
          </w:p>
        </w:tc>
        <w:tc>
          <w:tcPr>
            <w:tcW w:w="648" w:type="pct"/>
            <w:shd w:val="clear" w:color="auto" w:fill="auto"/>
            <w:vAlign w:val="center"/>
          </w:tcPr>
          <w:p w:rsidR="00FD641B" w:rsidRPr="007A70FB" w:rsidRDefault="00FD641B" w:rsidP="001331FA">
            <w:pPr>
              <w:pStyle w:val="KMC-Tabletext"/>
              <w:keepNext/>
              <w:keepLines/>
              <w:spacing w:before="20" w:after="20"/>
              <w:ind w:left="-21"/>
              <w:jc w:val="center"/>
              <w:rPr>
                <w:sz w:val="20"/>
              </w:rPr>
            </w:pPr>
            <w:r w:rsidRPr="007A70FB">
              <w:rPr>
                <w:sz w:val="20"/>
              </w:rPr>
              <w:t>IRC</w:t>
            </w:r>
          </w:p>
        </w:tc>
        <w:tc>
          <w:tcPr>
            <w:tcW w:w="624" w:type="pct"/>
            <w:shd w:val="clear" w:color="auto" w:fill="auto"/>
            <w:vAlign w:val="center"/>
          </w:tcPr>
          <w:p w:rsidR="00FD641B" w:rsidRPr="007A70FB" w:rsidRDefault="00FD641B" w:rsidP="001331FA">
            <w:pPr>
              <w:pStyle w:val="KMC-Tabletext"/>
              <w:keepNext/>
              <w:keepLines/>
              <w:spacing w:before="20" w:after="20"/>
              <w:ind w:left="-65"/>
              <w:jc w:val="center"/>
              <w:rPr>
                <w:sz w:val="20"/>
              </w:rPr>
            </w:pPr>
            <w:r w:rsidRPr="007A70FB">
              <w:rPr>
                <w:sz w:val="20"/>
              </w:rPr>
              <w:t>156 (69.3)</w:t>
            </w:r>
          </w:p>
        </w:tc>
        <w:tc>
          <w:tcPr>
            <w:tcW w:w="690" w:type="pct"/>
            <w:shd w:val="clear" w:color="auto" w:fill="auto"/>
            <w:vAlign w:val="center"/>
          </w:tcPr>
          <w:p w:rsidR="00FD641B" w:rsidRPr="007A70FB" w:rsidRDefault="00FD641B" w:rsidP="001331FA">
            <w:pPr>
              <w:pStyle w:val="KMC-Tabletext"/>
              <w:keepNext/>
              <w:keepLines/>
              <w:spacing w:before="20" w:after="20"/>
              <w:ind w:left="-65" w:right="-90"/>
              <w:jc w:val="center"/>
              <w:rPr>
                <w:i/>
                <w:iCs/>
                <w:sz w:val="20"/>
              </w:rPr>
            </w:pPr>
            <w:r w:rsidRPr="007A70FB">
              <w:rPr>
                <w:sz w:val="20"/>
              </w:rPr>
              <w:t>8.3 (7.0, 11.3)</w:t>
            </w:r>
          </w:p>
        </w:tc>
        <w:tc>
          <w:tcPr>
            <w:tcW w:w="816" w:type="pct"/>
            <w:shd w:val="clear" w:color="auto" w:fill="auto"/>
            <w:vAlign w:val="center"/>
          </w:tcPr>
          <w:p w:rsidR="00FD641B" w:rsidRPr="007A70FB" w:rsidRDefault="00FD641B" w:rsidP="001331FA">
            <w:pPr>
              <w:pStyle w:val="KMC-Tabletext"/>
              <w:keepNext/>
              <w:keepLines/>
              <w:spacing w:before="20" w:after="20"/>
              <w:ind w:left="-65" w:right="-90"/>
              <w:jc w:val="center"/>
              <w:rPr>
                <w:sz w:val="20"/>
              </w:rPr>
            </w:pPr>
            <w:r w:rsidRPr="007A70FB">
              <w:rPr>
                <w:sz w:val="20"/>
              </w:rPr>
              <w:t>NR</w:t>
            </w:r>
          </w:p>
        </w:tc>
      </w:tr>
      <w:tr w:rsidR="00FD641B" w:rsidRPr="007A70FB" w:rsidTr="001331FA">
        <w:tc>
          <w:tcPr>
            <w:tcW w:w="1098" w:type="pct"/>
            <w:tcBorders>
              <w:bottom w:val="nil"/>
            </w:tcBorders>
            <w:shd w:val="clear" w:color="auto" w:fill="auto"/>
            <w:vAlign w:val="center"/>
          </w:tcPr>
          <w:p w:rsidR="00FD641B" w:rsidRPr="007A70FB" w:rsidRDefault="00FD641B" w:rsidP="001331FA">
            <w:pPr>
              <w:pStyle w:val="KMC-Tabletext"/>
              <w:keepNext/>
              <w:keepLines/>
              <w:spacing w:before="20" w:after="20"/>
              <w:ind w:left="-73"/>
              <w:jc w:val="left"/>
              <w:rPr>
                <w:sz w:val="20"/>
              </w:rPr>
            </w:pPr>
            <w:r w:rsidRPr="007A70FB">
              <w:rPr>
                <w:sz w:val="20"/>
              </w:rPr>
              <w:t>ALUR</w:t>
            </w:r>
          </w:p>
        </w:tc>
        <w:tc>
          <w:tcPr>
            <w:tcW w:w="786" w:type="pct"/>
            <w:shd w:val="clear" w:color="auto" w:fill="auto"/>
            <w:vAlign w:val="center"/>
          </w:tcPr>
          <w:p w:rsidR="00FD641B" w:rsidRPr="007A70FB" w:rsidRDefault="00FD641B" w:rsidP="001331FA">
            <w:pPr>
              <w:pStyle w:val="KMC-Tabletext"/>
              <w:keepNext/>
              <w:keepLines/>
              <w:spacing w:before="20" w:after="20"/>
              <w:jc w:val="center"/>
              <w:rPr>
                <w:sz w:val="20"/>
              </w:rPr>
            </w:pPr>
            <w:r w:rsidRPr="007A70FB">
              <w:rPr>
                <w:sz w:val="20"/>
              </w:rPr>
              <w:t>ITT (alectinib)</w:t>
            </w:r>
          </w:p>
        </w:tc>
        <w:tc>
          <w:tcPr>
            <w:tcW w:w="338" w:type="pct"/>
            <w:shd w:val="clear" w:color="auto" w:fill="auto"/>
            <w:vAlign w:val="center"/>
          </w:tcPr>
          <w:p w:rsidR="00FD641B" w:rsidRPr="007A70FB" w:rsidRDefault="00FD641B" w:rsidP="001331FA">
            <w:pPr>
              <w:pStyle w:val="KMC-Tabletext"/>
              <w:keepNext/>
              <w:keepLines/>
              <w:spacing w:before="20" w:after="20"/>
              <w:jc w:val="center"/>
              <w:rPr>
                <w:sz w:val="20"/>
              </w:rPr>
            </w:pPr>
            <w:r w:rsidRPr="007A70FB">
              <w:rPr>
                <w:sz w:val="20"/>
              </w:rPr>
              <w:t>72</w:t>
            </w:r>
          </w:p>
        </w:tc>
        <w:tc>
          <w:tcPr>
            <w:tcW w:w="648" w:type="pct"/>
            <w:shd w:val="clear" w:color="auto" w:fill="auto"/>
            <w:vAlign w:val="center"/>
          </w:tcPr>
          <w:p w:rsidR="00FD641B" w:rsidRPr="007A70FB" w:rsidRDefault="00FD641B" w:rsidP="001331FA">
            <w:pPr>
              <w:pStyle w:val="KMC-Tabletext"/>
              <w:keepNext/>
              <w:keepLines/>
              <w:spacing w:before="20" w:after="20"/>
              <w:ind w:left="-21"/>
              <w:jc w:val="center"/>
              <w:rPr>
                <w:sz w:val="20"/>
              </w:rPr>
            </w:pPr>
            <w:r w:rsidRPr="007A70FB">
              <w:rPr>
                <w:sz w:val="20"/>
              </w:rPr>
              <w:t>IRC</w:t>
            </w:r>
          </w:p>
        </w:tc>
        <w:tc>
          <w:tcPr>
            <w:tcW w:w="624" w:type="pct"/>
            <w:shd w:val="clear" w:color="auto" w:fill="auto"/>
            <w:vAlign w:val="center"/>
          </w:tcPr>
          <w:p w:rsidR="00FD641B" w:rsidRPr="007A70FB" w:rsidRDefault="00FD641B" w:rsidP="001331FA">
            <w:pPr>
              <w:pStyle w:val="KMC-Tabletext"/>
              <w:keepNext/>
              <w:keepLines/>
              <w:spacing w:before="20" w:after="20"/>
              <w:ind w:left="-51" w:right="-90"/>
              <w:jc w:val="center"/>
              <w:rPr>
                <w:i/>
                <w:sz w:val="20"/>
              </w:rPr>
            </w:pPr>
            <w:r w:rsidRPr="007A70FB">
              <w:rPr>
                <w:i/>
                <w:sz w:val="20"/>
              </w:rPr>
              <w:t>28 (38.9)</w:t>
            </w:r>
          </w:p>
        </w:tc>
        <w:tc>
          <w:tcPr>
            <w:tcW w:w="690" w:type="pct"/>
            <w:shd w:val="clear" w:color="auto" w:fill="auto"/>
            <w:vAlign w:val="center"/>
          </w:tcPr>
          <w:p w:rsidR="00FD641B" w:rsidRPr="007A70FB" w:rsidRDefault="00FD641B" w:rsidP="001331FA">
            <w:pPr>
              <w:pStyle w:val="KMC-Tabletext"/>
              <w:keepNext/>
              <w:keepLines/>
              <w:spacing w:before="20" w:after="20"/>
              <w:ind w:left="-51" w:right="-90"/>
              <w:jc w:val="center"/>
              <w:rPr>
                <w:sz w:val="20"/>
              </w:rPr>
            </w:pPr>
            <w:r w:rsidRPr="007A70FB">
              <w:rPr>
                <w:sz w:val="20"/>
              </w:rPr>
              <w:t>7.1 (6.3, 10.8)</w:t>
            </w:r>
          </w:p>
        </w:tc>
        <w:tc>
          <w:tcPr>
            <w:tcW w:w="816" w:type="pct"/>
            <w:shd w:val="clear" w:color="auto" w:fill="auto"/>
            <w:vAlign w:val="center"/>
          </w:tcPr>
          <w:p w:rsidR="00FD641B" w:rsidRPr="007A70FB" w:rsidRDefault="00FD641B" w:rsidP="001331FA">
            <w:pPr>
              <w:pStyle w:val="KMC-Tabletext"/>
              <w:keepNext/>
              <w:keepLines/>
              <w:spacing w:before="20" w:after="20"/>
              <w:ind w:left="-65" w:right="-90"/>
              <w:jc w:val="center"/>
              <w:rPr>
                <w:i/>
                <w:sz w:val="20"/>
              </w:rPr>
            </w:pPr>
            <w:r w:rsidRPr="007A70FB">
              <w:rPr>
                <w:i/>
                <w:sz w:val="20"/>
              </w:rPr>
              <w:t>6.5</w:t>
            </w:r>
          </w:p>
        </w:tc>
      </w:tr>
      <w:tr w:rsidR="00FD641B" w:rsidRPr="007A70FB" w:rsidTr="001331FA">
        <w:tc>
          <w:tcPr>
            <w:tcW w:w="1098" w:type="pct"/>
            <w:tcBorders>
              <w:bottom w:val="single" w:sz="4" w:space="0" w:color="auto"/>
              <w:right w:val="nil"/>
            </w:tcBorders>
            <w:shd w:val="clear" w:color="auto" w:fill="auto"/>
            <w:vAlign w:val="center"/>
          </w:tcPr>
          <w:p w:rsidR="00FD641B" w:rsidRPr="007A70FB" w:rsidRDefault="00FD641B" w:rsidP="001331FA">
            <w:pPr>
              <w:pStyle w:val="KMC-Tabletext"/>
              <w:keepNext/>
              <w:keepLines/>
              <w:spacing w:before="20" w:after="20"/>
              <w:ind w:left="-73"/>
              <w:jc w:val="left"/>
              <w:rPr>
                <w:b/>
                <w:bCs w:val="0"/>
                <w:sz w:val="20"/>
              </w:rPr>
            </w:pPr>
            <w:r w:rsidRPr="007A70FB">
              <w:rPr>
                <w:b/>
                <w:bCs w:val="0"/>
                <w:sz w:val="20"/>
              </w:rPr>
              <w:t>Ceritinib</w:t>
            </w:r>
          </w:p>
        </w:tc>
        <w:tc>
          <w:tcPr>
            <w:tcW w:w="786" w:type="pct"/>
            <w:tcBorders>
              <w:left w:val="nil"/>
              <w:right w:val="nil"/>
            </w:tcBorders>
            <w:shd w:val="clear" w:color="auto" w:fill="auto"/>
            <w:vAlign w:val="center"/>
          </w:tcPr>
          <w:p w:rsidR="00FD641B" w:rsidRPr="007A70FB" w:rsidRDefault="00FD641B" w:rsidP="001331FA">
            <w:pPr>
              <w:pStyle w:val="KMC-Tabletext"/>
              <w:keepNext/>
              <w:keepLines/>
              <w:spacing w:before="20" w:after="20"/>
              <w:jc w:val="center"/>
              <w:rPr>
                <w:sz w:val="20"/>
              </w:rPr>
            </w:pPr>
          </w:p>
        </w:tc>
        <w:tc>
          <w:tcPr>
            <w:tcW w:w="338" w:type="pct"/>
            <w:tcBorders>
              <w:left w:val="nil"/>
              <w:right w:val="nil"/>
            </w:tcBorders>
            <w:shd w:val="clear" w:color="auto" w:fill="auto"/>
            <w:vAlign w:val="center"/>
          </w:tcPr>
          <w:p w:rsidR="00FD641B" w:rsidRPr="007A70FB" w:rsidRDefault="00FD641B" w:rsidP="001331FA">
            <w:pPr>
              <w:pStyle w:val="KMC-Tabletext"/>
              <w:keepNext/>
              <w:keepLines/>
              <w:spacing w:before="20" w:after="20"/>
              <w:jc w:val="center"/>
              <w:rPr>
                <w:sz w:val="20"/>
              </w:rPr>
            </w:pPr>
          </w:p>
        </w:tc>
        <w:tc>
          <w:tcPr>
            <w:tcW w:w="648" w:type="pct"/>
            <w:tcBorders>
              <w:left w:val="nil"/>
              <w:right w:val="nil"/>
            </w:tcBorders>
            <w:shd w:val="clear" w:color="auto" w:fill="auto"/>
            <w:vAlign w:val="center"/>
          </w:tcPr>
          <w:p w:rsidR="00FD641B" w:rsidRPr="007A70FB" w:rsidRDefault="00FD641B" w:rsidP="001331FA">
            <w:pPr>
              <w:pStyle w:val="KMC-Tabletext"/>
              <w:keepNext/>
              <w:keepLines/>
              <w:spacing w:before="20" w:after="20"/>
              <w:ind w:left="-21"/>
              <w:jc w:val="center"/>
              <w:rPr>
                <w:sz w:val="20"/>
              </w:rPr>
            </w:pPr>
          </w:p>
        </w:tc>
        <w:tc>
          <w:tcPr>
            <w:tcW w:w="624" w:type="pct"/>
            <w:tcBorders>
              <w:left w:val="nil"/>
              <w:right w:val="nil"/>
            </w:tcBorders>
            <w:shd w:val="clear" w:color="auto" w:fill="auto"/>
            <w:vAlign w:val="center"/>
          </w:tcPr>
          <w:p w:rsidR="00FD641B" w:rsidRPr="007A70FB" w:rsidRDefault="00FD641B" w:rsidP="001331FA">
            <w:pPr>
              <w:pStyle w:val="KMC-Tabletext"/>
              <w:keepNext/>
              <w:keepLines/>
              <w:spacing w:before="20" w:after="20"/>
              <w:ind w:left="-51" w:right="-90"/>
              <w:jc w:val="center"/>
              <w:rPr>
                <w:sz w:val="20"/>
              </w:rPr>
            </w:pPr>
          </w:p>
        </w:tc>
        <w:tc>
          <w:tcPr>
            <w:tcW w:w="690" w:type="pct"/>
            <w:tcBorders>
              <w:left w:val="nil"/>
              <w:right w:val="nil"/>
            </w:tcBorders>
            <w:shd w:val="clear" w:color="auto" w:fill="auto"/>
            <w:vAlign w:val="center"/>
          </w:tcPr>
          <w:p w:rsidR="00FD641B" w:rsidRPr="007A70FB" w:rsidRDefault="00FD641B" w:rsidP="001331FA">
            <w:pPr>
              <w:pStyle w:val="KMC-Tabletext"/>
              <w:keepNext/>
              <w:keepLines/>
              <w:spacing w:before="20" w:after="20"/>
              <w:ind w:left="-65" w:right="-90"/>
              <w:jc w:val="center"/>
              <w:rPr>
                <w:sz w:val="20"/>
              </w:rPr>
            </w:pPr>
          </w:p>
        </w:tc>
        <w:tc>
          <w:tcPr>
            <w:tcW w:w="816" w:type="pct"/>
            <w:tcBorders>
              <w:left w:val="nil"/>
            </w:tcBorders>
            <w:vAlign w:val="center"/>
          </w:tcPr>
          <w:p w:rsidR="00FD641B" w:rsidRPr="007A70FB" w:rsidRDefault="00FD641B" w:rsidP="001331FA">
            <w:pPr>
              <w:pStyle w:val="KMC-Tabletext"/>
              <w:keepNext/>
              <w:keepLines/>
              <w:spacing w:before="20" w:after="20"/>
              <w:ind w:left="-65" w:right="-90"/>
              <w:jc w:val="center"/>
              <w:rPr>
                <w:i/>
                <w:sz w:val="20"/>
              </w:rPr>
            </w:pPr>
          </w:p>
        </w:tc>
      </w:tr>
      <w:tr w:rsidR="00FD641B" w:rsidRPr="007A70FB" w:rsidTr="001331FA">
        <w:tc>
          <w:tcPr>
            <w:tcW w:w="1098" w:type="pct"/>
            <w:tcBorders>
              <w:bottom w:val="nil"/>
            </w:tcBorders>
            <w:shd w:val="clear" w:color="auto" w:fill="auto"/>
            <w:vAlign w:val="center"/>
          </w:tcPr>
          <w:p w:rsidR="00FD641B" w:rsidRPr="007A70FB" w:rsidRDefault="00FD641B" w:rsidP="001331FA">
            <w:pPr>
              <w:pStyle w:val="KMC-Tabletext"/>
              <w:keepNext/>
              <w:keepLines/>
              <w:spacing w:before="20" w:after="20"/>
              <w:ind w:left="-73"/>
              <w:jc w:val="left"/>
              <w:rPr>
                <w:sz w:val="20"/>
              </w:rPr>
            </w:pPr>
            <w:r w:rsidRPr="007A70FB">
              <w:rPr>
                <w:sz w:val="20"/>
              </w:rPr>
              <w:t>ASCEND-1</w:t>
            </w:r>
          </w:p>
        </w:tc>
        <w:tc>
          <w:tcPr>
            <w:tcW w:w="786" w:type="pct"/>
            <w:shd w:val="clear" w:color="auto" w:fill="auto"/>
            <w:vAlign w:val="center"/>
          </w:tcPr>
          <w:p w:rsidR="00FD641B" w:rsidRPr="007A70FB" w:rsidRDefault="00FD641B" w:rsidP="001331FA">
            <w:pPr>
              <w:pStyle w:val="KMC-Tabletext"/>
              <w:keepNext/>
              <w:keepLines/>
              <w:spacing w:before="20" w:after="20"/>
              <w:jc w:val="center"/>
              <w:rPr>
                <w:sz w:val="20"/>
              </w:rPr>
            </w:pPr>
            <w:r w:rsidRPr="007A70FB">
              <w:rPr>
                <w:sz w:val="20"/>
              </w:rPr>
              <w:t>FAS</w:t>
            </w:r>
          </w:p>
        </w:tc>
        <w:tc>
          <w:tcPr>
            <w:tcW w:w="338" w:type="pct"/>
            <w:shd w:val="clear" w:color="auto" w:fill="auto"/>
            <w:vAlign w:val="center"/>
          </w:tcPr>
          <w:p w:rsidR="00FD641B" w:rsidRPr="007A70FB" w:rsidRDefault="00FD641B" w:rsidP="001331FA">
            <w:pPr>
              <w:pStyle w:val="KMC-Tabletext"/>
              <w:keepNext/>
              <w:keepLines/>
              <w:spacing w:before="20" w:after="20"/>
              <w:jc w:val="center"/>
              <w:rPr>
                <w:sz w:val="20"/>
              </w:rPr>
            </w:pPr>
            <w:r w:rsidRPr="007A70FB">
              <w:rPr>
                <w:sz w:val="20"/>
              </w:rPr>
              <w:t>163</w:t>
            </w:r>
          </w:p>
        </w:tc>
        <w:tc>
          <w:tcPr>
            <w:tcW w:w="648" w:type="pct"/>
            <w:shd w:val="clear" w:color="auto" w:fill="auto"/>
            <w:vAlign w:val="center"/>
          </w:tcPr>
          <w:p w:rsidR="00FD641B" w:rsidRPr="007A70FB" w:rsidRDefault="00FD641B" w:rsidP="001331FA">
            <w:pPr>
              <w:pStyle w:val="KMC-Tabletext"/>
              <w:keepNext/>
              <w:keepLines/>
              <w:spacing w:before="20" w:after="20"/>
              <w:ind w:left="-21"/>
              <w:jc w:val="center"/>
              <w:rPr>
                <w:i/>
                <w:sz w:val="20"/>
              </w:rPr>
            </w:pPr>
            <w:r w:rsidRPr="007A70FB">
              <w:rPr>
                <w:i/>
                <w:sz w:val="20"/>
              </w:rPr>
              <w:t>IRC</w:t>
            </w:r>
          </w:p>
        </w:tc>
        <w:tc>
          <w:tcPr>
            <w:tcW w:w="624" w:type="pct"/>
            <w:shd w:val="clear" w:color="auto" w:fill="auto"/>
            <w:vAlign w:val="center"/>
          </w:tcPr>
          <w:p w:rsidR="00FD641B" w:rsidRPr="007A70FB" w:rsidRDefault="00FD641B" w:rsidP="001331FA">
            <w:pPr>
              <w:pStyle w:val="KMC-Tabletext"/>
              <w:keepNext/>
              <w:keepLines/>
              <w:tabs>
                <w:tab w:val="left" w:pos="553"/>
              </w:tabs>
              <w:spacing w:before="20" w:after="20"/>
              <w:ind w:left="-51" w:right="-90"/>
              <w:jc w:val="center"/>
              <w:rPr>
                <w:sz w:val="20"/>
              </w:rPr>
            </w:pPr>
            <w:r w:rsidRPr="007A70FB">
              <w:rPr>
                <w:sz w:val="20"/>
              </w:rPr>
              <w:t>NR</w:t>
            </w:r>
          </w:p>
        </w:tc>
        <w:tc>
          <w:tcPr>
            <w:tcW w:w="690" w:type="pct"/>
            <w:shd w:val="clear" w:color="auto" w:fill="auto"/>
            <w:vAlign w:val="center"/>
          </w:tcPr>
          <w:p w:rsidR="00FD641B" w:rsidRPr="007A70FB" w:rsidRDefault="00FD641B" w:rsidP="001331FA">
            <w:pPr>
              <w:pStyle w:val="KMC-Tabletext"/>
              <w:keepNext/>
              <w:keepLines/>
              <w:spacing w:before="20" w:after="20"/>
              <w:ind w:left="-65" w:right="-90"/>
              <w:jc w:val="center"/>
              <w:rPr>
                <w:iCs/>
                <w:sz w:val="20"/>
              </w:rPr>
            </w:pPr>
            <w:r w:rsidRPr="007A70FB">
              <w:rPr>
                <w:rFonts w:cs="Calibri"/>
                <w:color w:val="000000"/>
                <w:sz w:val="20"/>
              </w:rPr>
              <w:t xml:space="preserve">7.0 </w:t>
            </w:r>
            <w:r w:rsidRPr="007A70FB">
              <w:rPr>
                <w:rFonts w:cs="Calibri"/>
                <w:iCs/>
                <w:color w:val="000000"/>
                <w:sz w:val="20"/>
              </w:rPr>
              <w:t>(</w:t>
            </w:r>
            <w:r w:rsidRPr="007A70FB">
              <w:rPr>
                <w:rFonts w:cs="Calibri"/>
                <w:i/>
                <w:color w:val="000000"/>
                <w:sz w:val="20"/>
              </w:rPr>
              <w:t>5.7, 8.7</w:t>
            </w:r>
            <w:r w:rsidRPr="007A70FB">
              <w:rPr>
                <w:rFonts w:cs="Calibri"/>
                <w:iCs/>
                <w:color w:val="000000"/>
                <w:sz w:val="20"/>
              </w:rPr>
              <w:t>)</w:t>
            </w:r>
          </w:p>
        </w:tc>
        <w:tc>
          <w:tcPr>
            <w:tcW w:w="816" w:type="pct"/>
            <w:shd w:val="clear" w:color="auto" w:fill="auto"/>
            <w:vAlign w:val="center"/>
          </w:tcPr>
          <w:p w:rsidR="00FD641B" w:rsidRPr="007A70FB" w:rsidRDefault="00FD641B" w:rsidP="001331FA">
            <w:pPr>
              <w:pStyle w:val="KMC-Tabletext"/>
              <w:keepNext/>
              <w:keepLines/>
              <w:spacing w:before="20" w:after="20"/>
              <w:ind w:left="-65" w:right="-90"/>
              <w:jc w:val="center"/>
              <w:rPr>
                <w:i/>
                <w:sz w:val="20"/>
              </w:rPr>
            </w:pPr>
            <w:r w:rsidRPr="007A70FB">
              <w:rPr>
                <w:i/>
                <w:sz w:val="20"/>
              </w:rPr>
              <w:t>11.1</w:t>
            </w:r>
          </w:p>
        </w:tc>
      </w:tr>
      <w:tr w:rsidR="00FD641B" w:rsidRPr="007A70FB" w:rsidTr="001331FA">
        <w:tc>
          <w:tcPr>
            <w:tcW w:w="1098" w:type="pct"/>
            <w:tcBorders>
              <w:bottom w:val="nil"/>
            </w:tcBorders>
            <w:shd w:val="clear" w:color="auto" w:fill="auto"/>
            <w:vAlign w:val="center"/>
          </w:tcPr>
          <w:p w:rsidR="00FD641B" w:rsidRPr="007A70FB" w:rsidRDefault="00FD641B" w:rsidP="001331FA">
            <w:pPr>
              <w:pStyle w:val="KMC-Tabletext"/>
              <w:keepNext/>
              <w:keepLines/>
              <w:spacing w:before="20" w:after="20"/>
              <w:ind w:left="-73"/>
              <w:jc w:val="left"/>
              <w:rPr>
                <w:sz w:val="20"/>
              </w:rPr>
            </w:pPr>
            <w:r w:rsidRPr="007A70FB">
              <w:rPr>
                <w:sz w:val="20"/>
              </w:rPr>
              <w:t>ASCEND-2</w:t>
            </w:r>
          </w:p>
        </w:tc>
        <w:tc>
          <w:tcPr>
            <w:tcW w:w="786" w:type="pct"/>
            <w:shd w:val="clear" w:color="auto" w:fill="auto"/>
            <w:vAlign w:val="center"/>
          </w:tcPr>
          <w:p w:rsidR="00FD641B" w:rsidRPr="007A70FB" w:rsidRDefault="00FD641B" w:rsidP="001331FA">
            <w:pPr>
              <w:pStyle w:val="KMC-Tabletext"/>
              <w:keepNext/>
              <w:keepLines/>
              <w:spacing w:before="20" w:after="20"/>
              <w:jc w:val="center"/>
              <w:rPr>
                <w:sz w:val="20"/>
              </w:rPr>
            </w:pPr>
            <w:r w:rsidRPr="007A70FB">
              <w:rPr>
                <w:sz w:val="20"/>
              </w:rPr>
              <w:t>FAS</w:t>
            </w:r>
          </w:p>
        </w:tc>
        <w:tc>
          <w:tcPr>
            <w:tcW w:w="338" w:type="pct"/>
            <w:shd w:val="clear" w:color="auto" w:fill="auto"/>
            <w:vAlign w:val="center"/>
          </w:tcPr>
          <w:p w:rsidR="00FD641B" w:rsidRPr="007A70FB" w:rsidRDefault="00FD641B" w:rsidP="001331FA">
            <w:pPr>
              <w:pStyle w:val="KMC-Tabletext"/>
              <w:keepNext/>
              <w:keepLines/>
              <w:spacing w:before="20" w:after="20"/>
              <w:jc w:val="center"/>
              <w:rPr>
                <w:sz w:val="20"/>
              </w:rPr>
            </w:pPr>
            <w:r w:rsidRPr="007A70FB">
              <w:rPr>
                <w:sz w:val="20"/>
              </w:rPr>
              <w:t>140</w:t>
            </w:r>
          </w:p>
        </w:tc>
        <w:tc>
          <w:tcPr>
            <w:tcW w:w="648" w:type="pct"/>
            <w:shd w:val="clear" w:color="auto" w:fill="auto"/>
            <w:vAlign w:val="center"/>
          </w:tcPr>
          <w:p w:rsidR="00FD641B" w:rsidRPr="007A70FB" w:rsidRDefault="00FD641B" w:rsidP="001331FA">
            <w:pPr>
              <w:pStyle w:val="KMC-Tabletext"/>
              <w:keepNext/>
              <w:keepLines/>
              <w:spacing w:before="20" w:after="20"/>
              <w:ind w:left="-21"/>
              <w:jc w:val="center"/>
              <w:rPr>
                <w:sz w:val="20"/>
              </w:rPr>
            </w:pPr>
            <w:r w:rsidRPr="007A70FB">
              <w:rPr>
                <w:sz w:val="20"/>
              </w:rPr>
              <w:t>IRC</w:t>
            </w:r>
          </w:p>
        </w:tc>
        <w:tc>
          <w:tcPr>
            <w:tcW w:w="624" w:type="pct"/>
            <w:shd w:val="clear" w:color="auto" w:fill="auto"/>
            <w:vAlign w:val="center"/>
          </w:tcPr>
          <w:p w:rsidR="00FD641B" w:rsidRPr="007A70FB" w:rsidRDefault="00FD641B" w:rsidP="001331FA">
            <w:pPr>
              <w:pStyle w:val="KMC-Tabletext"/>
              <w:keepNext/>
              <w:keepLines/>
              <w:spacing w:before="20" w:after="20"/>
              <w:ind w:left="-51" w:right="-90"/>
              <w:jc w:val="center"/>
              <w:rPr>
                <w:sz w:val="20"/>
              </w:rPr>
            </w:pPr>
            <w:r w:rsidRPr="007A70FB">
              <w:rPr>
                <w:sz w:val="20"/>
              </w:rPr>
              <w:t>NR</w:t>
            </w:r>
          </w:p>
        </w:tc>
        <w:tc>
          <w:tcPr>
            <w:tcW w:w="690" w:type="pct"/>
            <w:shd w:val="clear" w:color="auto" w:fill="auto"/>
            <w:vAlign w:val="center"/>
          </w:tcPr>
          <w:p w:rsidR="00FD641B" w:rsidRPr="007A70FB" w:rsidRDefault="00FD641B" w:rsidP="001331FA">
            <w:pPr>
              <w:pStyle w:val="KMC-Tabletext"/>
              <w:keepNext/>
              <w:keepLines/>
              <w:spacing w:before="20" w:after="20"/>
              <w:ind w:left="-65" w:right="-90"/>
              <w:jc w:val="center"/>
              <w:rPr>
                <w:iCs/>
                <w:sz w:val="20"/>
              </w:rPr>
            </w:pPr>
            <w:r w:rsidRPr="007A70FB">
              <w:rPr>
                <w:rFonts w:cs="Calibri"/>
                <w:i/>
                <w:color w:val="000000"/>
                <w:sz w:val="20"/>
              </w:rPr>
              <w:t>7.2</w:t>
            </w:r>
            <w:r w:rsidRPr="007A70FB">
              <w:rPr>
                <w:rFonts w:cs="Calibri"/>
                <w:iCs/>
                <w:color w:val="000000"/>
                <w:sz w:val="20"/>
              </w:rPr>
              <w:t xml:space="preserve"> (</w:t>
            </w:r>
            <w:r w:rsidRPr="007A70FB">
              <w:rPr>
                <w:rFonts w:cs="Calibri"/>
                <w:i/>
                <w:color w:val="000000"/>
                <w:sz w:val="20"/>
              </w:rPr>
              <w:t>5.4, 9.0</w:t>
            </w:r>
            <w:r w:rsidRPr="007A70FB">
              <w:rPr>
                <w:rFonts w:cs="Calibri"/>
                <w:iCs/>
                <w:color w:val="000000"/>
                <w:sz w:val="20"/>
              </w:rPr>
              <w:t>)</w:t>
            </w:r>
          </w:p>
        </w:tc>
        <w:tc>
          <w:tcPr>
            <w:tcW w:w="816" w:type="pct"/>
            <w:shd w:val="clear" w:color="auto" w:fill="auto"/>
            <w:vAlign w:val="center"/>
          </w:tcPr>
          <w:p w:rsidR="00FD641B" w:rsidRPr="007A70FB" w:rsidRDefault="00FD641B" w:rsidP="001331FA">
            <w:pPr>
              <w:pStyle w:val="KMC-Tabletext"/>
              <w:keepNext/>
              <w:keepLines/>
              <w:spacing w:before="20" w:after="20"/>
              <w:ind w:left="-65" w:right="-90"/>
              <w:jc w:val="center"/>
              <w:rPr>
                <w:i/>
                <w:sz w:val="20"/>
              </w:rPr>
            </w:pPr>
            <w:r w:rsidRPr="007A70FB">
              <w:rPr>
                <w:i/>
                <w:sz w:val="20"/>
              </w:rPr>
              <w:t>11.3</w:t>
            </w:r>
          </w:p>
        </w:tc>
      </w:tr>
      <w:tr w:rsidR="00FD641B" w:rsidRPr="007A70FB" w:rsidTr="001331FA">
        <w:tc>
          <w:tcPr>
            <w:tcW w:w="1098" w:type="pct"/>
            <w:tcBorders>
              <w:bottom w:val="nil"/>
            </w:tcBorders>
            <w:shd w:val="clear" w:color="auto" w:fill="auto"/>
            <w:vAlign w:val="center"/>
          </w:tcPr>
          <w:p w:rsidR="00FD641B" w:rsidRPr="007A70FB" w:rsidRDefault="00FD641B" w:rsidP="001331FA">
            <w:pPr>
              <w:pStyle w:val="KMC-Tabletext"/>
              <w:keepNext/>
              <w:keepLines/>
              <w:spacing w:before="20" w:after="20"/>
              <w:ind w:left="-73"/>
              <w:jc w:val="left"/>
              <w:rPr>
                <w:sz w:val="20"/>
              </w:rPr>
            </w:pPr>
            <w:r w:rsidRPr="007A70FB">
              <w:rPr>
                <w:sz w:val="20"/>
              </w:rPr>
              <w:t>ASCEND-5</w:t>
            </w:r>
          </w:p>
        </w:tc>
        <w:tc>
          <w:tcPr>
            <w:tcW w:w="786" w:type="pct"/>
            <w:tcBorders>
              <w:bottom w:val="single" w:sz="4" w:space="0" w:color="auto"/>
            </w:tcBorders>
            <w:shd w:val="clear" w:color="auto" w:fill="auto"/>
            <w:vAlign w:val="center"/>
          </w:tcPr>
          <w:p w:rsidR="00FD641B" w:rsidRPr="007A70FB" w:rsidRDefault="00FD641B" w:rsidP="001331FA">
            <w:pPr>
              <w:pStyle w:val="KMC-Tabletext"/>
              <w:keepNext/>
              <w:keepLines/>
              <w:spacing w:before="20" w:after="20"/>
              <w:jc w:val="center"/>
              <w:rPr>
                <w:sz w:val="20"/>
              </w:rPr>
            </w:pPr>
            <w:r w:rsidRPr="007A70FB">
              <w:rPr>
                <w:sz w:val="20"/>
              </w:rPr>
              <w:t>FAS (ceritinib)</w:t>
            </w:r>
          </w:p>
        </w:tc>
        <w:tc>
          <w:tcPr>
            <w:tcW w:w="338" w:type="pct"/>
            <w:tcBorders>
              <w:bottom w:val="single" w:sz="4" w:space="0" w:color="auto"/>
            </w:tcBorders>
            <w:shd w:val="clear" w:color="auto" w:fill="auto"/>
            <w:vAlign w:val="center"/>
          </w:tcPr>
          <w:p w:rsidR="00FD641B" w:rsidRPr="007A70FB" w:rsidRDefault="00FD641B" w:rsidP="001331FA">
            <w:pPr>
              <w:pStyle w:val="KMC-Tabletext"/>
              <w:keepNext/>
              <w:keepLines/>
              <w:spacing w:before="20" w:after="20"/>
              <w:jc w:val="center"/>
              <w:rPr>
                <w:i/>
                <w:sz w:val="20"/>
              </w:rPr>
            </w:pPr>
            <w:r w:rsidRPr="007A70FB">
              <w:rPr>
                <w:i/>
                <w:sz w:val="20"/>
              </w:rPr>
              <w:t>115</w:t>
            </w:r>
          </w:p>
        </w:tc>
        <w:tc>
          <w:tcPr>
            <w:tcW w:w="648" w:type="pct"/>
            <w:tcBorders>
              <w:bottom w:val="single" w:sz="4" w:space="0" w:color="auto"/>
            </w:tcBorders>
            <w:shd w:val="clear" w:color="auto" w:fill="auto"/>
            <w:vAlign w:val="center"/>
          </w:tcPr>
          <w:p w:rsidR="00FD641B" w:rsidRPr="007A70FB" w:rsidRDefault="00FD641B" w:rsidP="001331FA">
            <w:pPr>
              <w:pStyle w:val="KMC-Tabletext"/>
              <w:keepNext/>
              <w:keepLines/>
              <w:spacing w:before="20" w:after="20"/>
              <w:ind w:left="-21"/>
              <w:jc w:val="center"/>
              <w:rPr>
                <w:i/>
                <w:sz w:val="20"/>
              </w:rPr>
            </w:pPr>
            <w:r w:rsidRPr="007A70FB">
              <w:rPr>
                <w:i/>
                <w:sz w:val="20"/>
              </w:rPr>
              <w:t>IRC</w:t>
            </w:r>
          </w:p>
        </w:tc>
        <w:tc>
          <w:tcPr>
            <w:tcW w:w="624" w:type="pct"/>
            <w:tcBorders>
              <w:bottom w:val="single" w:sz="4" w:space="0" w:color="auto"/>
            </w:tcBorders>
            <w:shd w:val="clear" w:color="auto" w:fill="auto"/>
            <w:vAlign w:val="center"/>
          </w:tcPr>
          <w:p w:rsidR="00FD641B" w:rsidRPr="007A70FB" w:rsidRDefault="00FD641B" w:rsidP="001331FA">
            <w:pPr>
              <w:pStyle w:val="KMC-Tabletext"/>
              <w:keepNext/>
              <w:keepLines/>
              <w:spacing w:before="20" w:after="20"/>
              <w:ind w:left="-51" w:right="-90"/>
              <w:jc w:val="center"/>
              <w:rPr>
                <w:sz w:val="20"/>
              </w:rPr>
            </w:pPr>
            <w:r w:rsidRPr="007A70FB">
              <w:rPr>
                <w:sz w:val="20"/>
              </w:rPr>
              <w:t>83 (72.0)</w:t>
            </w:r>
          </w:p>
        </w:tc>
        <w:tc>
          <w:tcPr>
            <w:tcW w:w="690" w:type="pct"/>
            <w:tcBorders>
              <w:bottom w:val="single" w:sz="4" w:space="0" w:color="auto"/>
            </w:tcBorders>
            <w:shd w:val="clear" w:color="auto" w:fill="auto"/>
            <w:vAlign w:val="center"/>
          </w:tcPr>
          <w:p w:rsidR="00FD641B" w:rsidRPr="007A70FB" w:rsidRDefault="00FD641B" w:rsidP="001331FA">
            <w:pPr>
              <w:pStyle w:val="KMC-Tabletext"/>
              <w:keepNext/>
              <w:keepLines/>
              <w:spacing w:before="20" w:after="20"/>
              <w:ind w:left="-65" w:right="-90"/>
              <w:jc w:val="center"/>
              <w:rPr>
                <w:iCs/>
                <w:sz w:val="20"/>
              </w:rPr>
            </w:pPr>
            <w:r w:rsidRPr="007A70FB">
              <w:rPr>
                <w:rFonts w:cs="Calibri"/>
                <w:color w:val="000000"/>
                <w:sz w:val="20"/>
              </w:rPr>
              <w:t>5.4 (4.1, 6.9)</w:t>
            </w:r>
          </w:p>
        </w:tc>
        <w:tc>
          <w:tcPr>
            <w:tcW w:w="816" w:type="pct"/>
            <w:tcBorders>
              <w:bottom w:val="single" w:sz="4" w:space="0" w:color="auto"/>
            </w:tcBorders>
            <w:shd w:val="clear" w:color="auto" w:fill="auto"/>
            <w:vAlign w:val="center"/>
          </w:tcPr>
          <w:p w:rsidR="00FD641B" w:rsidRPr="007A70FB" w:rsidRDefault="00FD641B" w:rsidP="001331FA">
            <w:pPr>
              <w:pStyle w:val="KMC-Tabletext"/>
              <w:keepNext/>
              <w:keepLines/>
              <w:spacing w:before="20" w:after="20"/>
              <w:ind w:left="-65" w:right="-90"/>
              <w:jc w:val="center"/>
              <w:rPr>
                <w:i/>
                <w:sz w:val="20"/>
              </w:rPr>
            </w:pPr>
            <w:r w:rsidRPr="007A70FB">
              <w:rPr>
                <w:i/>
                <w:sz w:val="20"/>
              </w:rPr>
              <w:t>16.6</w:t>
            </w:r>
          </w:p>
        </w:tc>
      </w:tr>
      <w:tr w:rsidR="00FD641B" w:rsidRPr="007A70FB" w:rsidTr="001331FA">
        <w:tc>
          <w:tcPr>
            <w:tcW w:w="1098" w:type="pct"/>
            <w:tcBorders>
              <w:bottom w:val="nil"/>
            </w:tcBorders>
            <w:shd w:val="clear" w:color="auto" w:fill="auto"/>
            <w:vAlign w:val="center"/>
          </w:tcPr>
          <w:p w:rsidR="00FD641B" w:rsidRPr="007A70FB" w:rsidRDefault="00FD641B" w:rsidP="001331FA">
            <w:pPr>
              <w:pStyle w:val="KMC-Tabletext"/>
              <w:keepNext/>
              <w:keepLines/>
              <w:spacing w:before="20" w:after="20"/>
              <w:ind w:left="-73"/>
              <w:jc w:val="left"/>
              <w:rPr>
                <w:sz w:val="20"/>
              </w:rPr>
            </w:pPr>
            <w:r w:rsidRPr="007A70FB">
              <w:rPr>
                <w:sz w:val="20"/>
              </w:rPr>
              <w:t>ASCEND-9</w:t>
            </w:r>
          </w:p>
        </w:tc>
        <w:tc>
          <w:tcPr>
            <w:tcW w:w="786" w:type="pct"/>
            <w:tcBorders>
              <w:bottom w:val="single" w:sz="4" w:space="0" w:color="auto"/>
            </w:tcBorders>
            <w:shd w:val="clear" w:color="auto" w:fill="auto"/>
            <w:vAlign w:val="center"/>
          </w:tcPr>
          <w:p w:rsidR="00FD641B" w:rsidRPr="007A70FB" w:rsidRDefault="00FD641B" w:rsidP="001331FA">
            <w:pPr>
              <w:pStyle w:val="KMC-Tabletext"/>
              <w:keepNext/>
              <w:keepLines/>
              <w:spacing w:before="20" w:after="20"/>
              <w:jc w:val="center"/>
              <w:rPr>
                <w:sz w:val="20"/>
              </w:rPr>
            </w:pPr>
            <w:r w:rsidRPr="007A70FB">
              <w:rPr>
                <w:sz w:val="20"/>
              </w:rPr>
              <w:t>FAS</w:t>
            </w:r>
          </w:p>
        </w:tc>
        <w:tc>
          <w:tcPr>
            <w:tcW w:w="338" w:type="pct"/>
            <w:tcBorders>
              <w:bottom w:val="single" w:sz="4" w:space="0" w:color="auto"/>
            </w:tcBorders>
            <w:shd w:val="clear" w:color="auto" w:fill="auto"/>
            <w:vAlign w:val="center"/>
          </w:tcPr>
          <w:p w:rsidR="00FD641B" w:rsidRPr="007A70FB" w:rsidRDefault="00FD641B" w:rsidP="001331FA">
            <w:pPr>
              <w:pStyle w:val="KMC-Tabletext"/>
              <w:keepNext/>
              <w:keepLines/>
              <w:spacing w:before="20" w:after="20"/>
              <w:jc w:val="center"/>
              <w:rPr>
                <w:sz w:val="20"/>
              </w:rPr>
            </w:pPr>
            <w:r w:rsidRPr="007A70FB">
              <w:rPr>
                <w:sz w:val="20"/>
              </w:rPr>
              <w:t>20</w:t>
            </w:r>
          </w:p>
        </w:tc>
        <w:tc>
          <w:tcPr>
            <w:tcW w:w="648" w:type="pct"/>
            <w:tcBorders>
              <w:bottom w:val="single" w:sz="4" w:space="0" w:color="auto"/>
            </w:tcBorders>
            <w:shd w:val="clear" w:color="auto" w:fill="auto"/>
            <w:vAlign w:val="center"/>
          </w:tcPr>
          <w:p w:rsidR="00FD641B" w:rsidRPr="007A70FB" w:rsidRDefault="00FD641B" w:rsidP="001331FA">
            <w:pPr>
              <w:pStyle w:val="KMC-Tabletext"/>
              <w:keepNext/>
              <w:keepLines/>
              <w:spacing w:before="20" w:after="20"/>
              <w:ind w:left="-21"/>
              <w:jc w:val="center"/>
              <w:rPr>
                <w:sz w:val="20"/>
              </w:rPr>
            </w:pPr>
            <w:r w:rsidRPr="007A70FB">
              <w:rPr>
                <w:sz w:val="20"/>
              </w:rPr>
              <w:t>Investigator</w:t>
            </w:r>
          </w:p>
        </w:tc>
        <w:tc>
          <w:tcPr>
            <w:tcW w:w="624" w:type="pct"/>
            <w:tcBorders>
              <w:bottom w:val="single" w:sz="4" w:space="0" w:color="auto"/>
            </w:tcBorders>
            <w:shd w:val="clear" w:color="auto" w:fill="auto"/>
            <w:vAlign w:val="center"/>
          </w:tcPr>
          <w:p w:rsidR="00FD641B" w:rsidRPr="007A70FB" w:rsidRDefault="00FD641B" w:rsidP="001331FA">
            <w:pPr>
              <w:pStyle w:val="KMC-Tabletext"/>
              <w:keepNext/>
              <w:keepLines/>
              <w:spacing w:before="20" w:after="20"/>
              <w:ind w:left="-51" w:right="-90"/>
              <w:jc w:val="center"/>
              <w:rPr>
                <w:sz w:val="20"/>
              </w:rPr>
            </w:pPr>
            <w:r w:rsidRPr="007A70FB">
              <w:rPr>
                <w:sz w:val="20"/>
              </w:rPr>
              <w:t>18 (90.0)</w:t>
            </w:r>
          </w:p>
        </w:tc>
        <w:tc>
          <w:tcPr>
            <w:tcW w:w="690" w:type="pct"/>
            <w:tcBorders>
              <w:bottom w:val="single" w:sz="4" w:space="0" w:color="auto"/>
            </w:tcBorders>
            <w:shd w:val="clear" w:color="auto" w:fill="auto"/>
            <w:vAlign w:val="center"/>
          </w:tcPr>
          <w:p w:rsidR="00FD641B" w:rsidRPr="007A70FB" w:rsidRDefault="00FD641B" w:rsidP="001331FA">
            <w:pPr>
              <w:pStyle w:val="KMC-Tabletext"/>
              <w:keepNext/>
              <w:keepLines/>
              <w:spacing w:before="20" w:after="20"/>
              <w:ind w:left="-65" w:right="-90"/>
              <w:jc w:val="center"/>
              <w:rPr>
                <w:sz w:val="20"/>
              </w:rPr>
            </w:pPr>
            <w:r w:rsidRPr="007A70FB">
              <w:rPr>
                <w:sz w:val="20"/>
              </w:rPr>
              <w:t>3.7 (1.9, 5.3)</w:t>
            </w:r>
          </w:p>
        </w:tc>
        <w:tc>
          <w:tcPr>
            <w:tcW w:w="816" w:type="pct"/>
            <w:tcBorders>
              <w:bottom w:val="single" w:sz="4" w:space="0" w:color="auto"/>
            </w:tcBorders>
            <w:shd w:val="clear" w:color="auto" w:fill="auto"/>
            <w:vAlign w:val="center"/>
          </w:tcPr>
          <w:p w:rsidR="00FD641B" w:rsidRPr="007A70FB" w:rsidRDefault="00FD641B" w:rsidP="001331FA">
            <w:pPr>
              <w:pStyle w:val="KMC-Tabletext"/>
              <w:keepNext/>
              <w:keepLines/>
              <w:spacing w:before="20" w:after="20"/>
              <w:ind w:left="-65" w:right="-90"/>
              <w:jc w:val="center"/>
              <w:rPr>
                <w:i/>
                <w:sz w:val="20"/>
              </w:rPr>
            </w:pPr>
            <w:r w:rsidRPr="007A70FB">
              <w:rPr>
                <w:i/>
                <w:sz w:val="20"/>
              </w:rPr>
              <w:t>11.6</w:t>
            </w:r>
          </w:p>
        </w:tc>
      </w:tr>
      <w:tr w:rsidR="00FD641B" w:rsidRPr="007A70FB" w:rsidTr="001331FA">
        <w:tc>
          <w:tcPr>
            <w:tcW w:w="1098" w:type="pct"/>
            <w:tcBorders>
              <w:bottom w:val="single" w:sz="4" w:space="0" w:color="auto"/>
              <w:right w:val="nil"/>
            </w:tcBorders>
            <w:shd w:val="clear" w:color="auto" w:fill="auto"/>
            <w:vAlign w:val="center"/>
          </w:tcPr>
          <w:p w:rsidR="00FD641B" w:rsidRPr="007A70FB" w:rsidRDefault="00FD641B" w:rsidP="001331FA">
            <w:pPr>
              <w:pStyle w:val="KMC-Tabletext"/>
              <w:keepNext/>
              <w:keepLines/>
              <w:spacing w:before="20" w:after="20"/>
              <w:ind w:left="-73"/>
              <w:jc w:val="left"/>
              <w:rPr>
                <w:b/>
                <w:bCs w:val="0"/>
                <w:sz w:val="20"/>
              </w:rPr>
            </w:pPr>
            <w:r w:rsidRPr="007A70FB">
              <w:rPr>
                <w:b/>
                <w:bCs w:val="0"/>
                <w:sz w:val="20"/>
              </w:rPr>
              <w:t>Brigatinib</w:t>
            </w:r>
          </w:p>
        </w:tc>
        <w:tc>
          <w:tcPr>
            <w:tcW w:w="786" w:type="pct"/>
            <w:tcBorders>
              <w:left w:val="nil"/>
              <w:right w:val="nil"/>
            </w:tcBorders>
            <w:shd w:val="clear" w:color="auto" w:fill="auto"/>
            <w:vAlign w:val="center"/>
          </w:tcPr>
          <w:p w:rsidR="00FD641B" w:rsidRPr="007A70FB" w:rsidRDefault="00FD641B" w:rsidP="001331FA">
            <w:pPr>
              <w:pStyle w:val="KMC-Tabletext"/>
              <w:keepNext/>
              <w:keepLines/>
              <w:spacing w:before="20" w:after="20"/>
              <w:jc w:val="center"/>
              <w:rPr>
                <w:sz w:val="20"/>
              </w:rPr>
            </w:pPr>
          </w:p>
        </w:tc>
        <w:tc>
          <w:tcPr>
            <w:tcW w:w="338" w:type="pct"/>
            <w:tcBorders>
              <w:left w:val="nil"/>
              <w:right w:val="nil"/>
            </w:tcBorders>
            <w:shd w:val="clear" w:color="auto" w:fill="auto"/>
            <w:vAlign w:val="center"/>
          </w:tcPr>
          <w:p w:rsidR="00FD641B" w:rsidRPr="007A70FB" w:rsidRDefault="00FD641B" w:rsidP="001331FA">
            <w:pPr>
              <w:pStyle w:val="KMC-Tabletext"/>
              <w:keepNext/>
              <w:keepLines/>
              <w:spacing w:before="20" w:after="20"/>
              <w:jc w:val="center"/>
              <w:rPr>
                <w:sz w:val="20"/>
              </w:rPr>
            </w:pPr>
          </w:p>
        </w:tc>
        <w:tc>
          <w:tcPr>
            <w:tcW w:w="648" w:type="pct"/>
            <w:tcBorders>
              <w:left w:val="nil"/>
              <w:right w:val="nil"/>
            </w:tcBorders>
            <w:shd w:val="clear" w:color="auto" w:fill="auto"/>
            <w:vAlign w:val="center"/>
          </w:tcPr>
          <w:p w:rsidR="00FD641B" w:rsidRPr="007A70FB" w:rsidRDefault="00FD641B" w:rsidP="001331FA">
            <w:pPr>
              <w:pStyle w:val="KMC-Tabletext"/>
              <w:keepNext/>
              <w:keepLines/>
              <w:spacing w:before="20" w:after="20"/>
              <w:ind w:left="-21"/>
              <w:jc w:val="center"/>
              <w:rPr>
                <w:sz w:val="20"/>
              </w:rPr>
            </w:pPr>
          </w:p>
        </w:tc>
        <w:tc>
          <w:tcPr>
            <w:tcW w:w="624" w:type="pct"/>
            <w:tcBorders>
              <w:left w:val="nil"/>
              <w:right w:val="nil"/>
            </w:tcBorders>
            <w:shd w:val="clear" w:color="auto" w:fill="auto"/>
            <w:vAlign w:val="center"/>
          </w:tcPr>
          <w:p w:rsidR="00FD641B" w:rsidRPr="007A70FB" w:rsidRDefault="00FD641B" w:rsidP="001331FA">
            <w:pPr>
              <w:pStyle w:val="KMC-Tabletext"/>
              <w:keepNext/>
              <w:keepLines/>
              <w:spacing w:before="20" w:after="20"/>
              <w:ind w:left="-51" w:right="-90"/>
              <w:jc w:val="center"/>
              <w:rPr>
                <w:sz w:val="20"/>
              </w:rPr>
            </w:pPr>
          </w:p>
        </w:tc>
        <w:tc>
          <w:tcPr>
            <w:tcW w:w="690" w:type="pct"/>
            <w:tcBorders>
              <w:left w:val="nil"/>
              <w:right w:val="nil"/>
            </w:tcBorders>
            <w:shd w:val="clear" w:color="auto" w:fill="auto"/>
            <w:vAlign w:val="center"/>
          </w:tcPr>
          <w:p w:rsidR="00FD641B" w:rsidRPr="007A70FB" w:rsidRDefault="00FD641B" w:rsidP="001331FA">
            <w:pPr>
              <w:pStyle w:val="KMC-Tabletext"/>
              <w:keepNext/>
              <w:keepLines/>
              <w:spacing w:before="20" w:after="20"/>
              <w:ind w:left="-65" w:right="-90"/>
              <w:jc w:val="center"/>
              <w:rPr>
                <w:sz w:val="20"/>
              </w:rPr>
            </w:pPr>
          </w:p>
        </w:tc>
        <w:tc>
          <w:tcPr>
            <w:tcW w:w="816" w:type="pct"/>
            <w:tcBorders>
              <w:left w:val="nil"/>
              <w:bottom w:val="single" w:sz="4" w:space="0" w:color="auto"/>
            </w:tcBorders>
            <w:shd w:val="clear" w:color="auto" w:fill="auto"/>
            <w:vAlign w:val="center"/>
          </w:tcPr>
          <w:p w:rsidR="00FD641B" w:rsidRPr="007A70FB" w:rsidRDefault="00FD641B" w:rsidP="001331FA">
            <w:pPr>
              <w:pStyle w:val="KMC-Tabletext"/>
              <w:keepNext/>
              <w:keepLines/>
              <w:spacing w:before="20" w:after="20"/>
              <w:ind w:left="-65" w:right="-90"/>
              <w:jc w:val="center"/>
              <w:rPr>
                <w:sz w:val="20"/>
              </w:rPr>
            </w:pPr>
          </w:p>
        </w:tc>
      </w:tr>
      <w:tr w:rsidR="00521754" w:rsidRPr="007A70FB" w:rsidTr="001331FA">
        <w:tc>
          <w:tcPr>
            <w:tcW w:w="1098" w:type="pct"/>
            <w:tcBorders>
              <w:top w:val="nil"/>
              <w:bottom w:val="nil"/>
            </w:tcBorders>
            <w:shd w:val="clear" w:color="auto" w:fill="auto"/>
            <w:vAlign w:val="center"/>
          </w:tcPr>
          <w:p w:rsidR="00521754" w:rsidRPr="007A70FB" w:rsidRDefault="00521754" w:rsidP="001331FA">
            <w:pPr>
              <w:pStyle w:val="KMC-Tabletext"/>
              <w:keepNext/>
              <w:keepLines/>
              <w:spacing w:before="20" w:after="20"/>
              <w:ind w:left="-73"/>
              <w:jc w:val="left"/>
              <w:rPr>
                <w:sz w:val="20"/>
              </w:rPr>
            </w:pPr>
            <w:r w:rsidRPr="007A70FB">
              <w:rPr>
                <w:sz w:val="20"/>
              </w:rPr>
              <w:t>ALTA</w:t>
            </w:r>
          </w:p>
        </w:tc>
        <w:tc>
          <w:tcPr>
            <w:tcW w:w="786" w:type="pct"/>
            <w:shd w:val="clear" w:color="auto" w:fill="auto"/>
            <w:vAlign w:val="center"/>
          </w:tcPr>
          <w:p w:rsidR="00521754" w:rsidRPr="007A70FB" w:rsidRDefault="00521754" w:rsidP="001331FA">
            <w:pPr>
              <w:pStyle w:val="KMC-Tabletext"/>
              <w:keepNext/>
              <w:keepLines/>
              <w:spacing w:before="20" w:after="20"/>
              <w:jc w:val="center"/>
              <w:rPr>
                <w:sz w:val="20"/>
              </w:rPr>
            </w:pPr>
            <w:r w:rsidRPr="007A70FB">
              <w:rPr>
                <w:sz w:val="20"/>
              </w:rPr>
              <w:t>ITT, 180 mg QD</w:t>
            </w:r>
          </w:p>
        </w:tc>
        <w:tc>
          <w:tcPr>
            <w:tcW w:w="338" w:type="pct"/>
            <w:shd w:val="clear" w:color="auto" w:fill="auto"/>
            <w:vAlign w:val="center"/>
          </w:tcPr>
          <w:p w:rsidR="00521754" w:rsidRPr="007A70FB" w:rsidRDefault="00521754" w:rsidP="001331FA">
            <w:pPr>
              <w:pStyle w:val="KMC-Tabletext"/>
              <w:keepNext/>
              <w:keepLines/>
              <w:spacing w:before="20" w:after="20"/>
              <w:jc w:val="center"/>
              <w:rPr>
                <w:i/>
                <w:sz w:val="20"/>
              </w:rPr>
            </w:pPr>
            <w:r w:rsidRPr="007A70FB">
              <w:rPr>
                <w:i/>
                <w:sz w:val="20"/>
              </w:rPr>
              <w:t>110</w:t>
            </w:r>
          </w:p>
        </w:tc>
        <w:tc>
          <w:tcPr>
            <w:tcW w:w="648" w:type="pct"/>
            <w:shd w:val="clear" w:color="auto" w:fill="auto"/>
            <w:vAlign w:val="center"/>
          </w:tcPr>
          <w:p w:rsidR="00521754" w:rsidRPr="007A70FB" w:rsidRDefault="00521754" w:rsidP="001331FA">
            <w:pPr>
              <w:pStyle w:val="KMC-Tabletext"/>
              <w:keepNext/>
              <w:keepLines/>
              <w:spacing w:before="20" w:after="20"/>
              <w:ind w:left="-21"/>
              <w:jc w:val="center"/>
              <w:rPr>
                <w:i/>
                <w:sz w:val="20"/>
              </w:rPr>
            </w:pPr>
            <w:r w:rsidRPr="007A70FB">
              <w:rPr>
                <w:i/>
                <w:sz w:val="20"/>
              </w:rPr>
              <w:t>IRC</w:t>
            </w:r>
          </w:p>
        </w:tc>
        <w:tc>
          <w:tcPr>
            <w:tcW w:w="624" w:type="pct"/>
            <w:shd w:val="clear" w:color="auto" w:fill="auto"/>
            <w:vAlign w:val="center"/>
          </w:tcPr>
          <w:p w:rsidR="00521754" w:rsidRPr="007A70FB" w:rsidRDefault="00521754" w:rsidP="001331FA">
            <w:pPr>
              <w:pStyle w:val="KMC-Tabletext"/>
              <w:keepNext/>
              <w:keepLines/>
              <w:spacing w:before="20" w:after="20"/>
              <w:ind w:left="-51" w:right="-90"/>
              <w:jc w:val="center"/>
              <w:rPr>
                <w:i/>
                <w:sz w:val="20"/>
              </w:rPr>
            </w:pPr>
            <w:r w:rsidRPr="007A70FB">
              <w:rPr>
                <w:i/>
                <w:sz w:val="20"/>
              </w:rPr>
              <w:t>45 (41)</w:t>
            </w:r>
          </w:p>
        </w:tc>
        <w:tc>
          <w:tcPr>
            <w:tcW w:w="690" w:type="pct"/>
            <w:shd w:val="clear" w:color="auto" w:fill="auto"/>
            <w:vAlign w:val="center"/>
          </w:tcPr>
          <w:p w:rsidR="00521754" w:rsidRPr="007A70FB" w:rsidRDefault="00521754" w:rsidP="001331FA">
            <w:pPr>
              <w:pStyle w:val="KMC-Tabletext"/>
              <w:keepNext/>
              <w:keepLines/>
              <w:spacing w:before="20" w:after="20"/>
              <w:ind w:left="-65" w:right="-128"/>
              <w:jc w:val="center"/>
              <w:rPr>
                <w:i/>
                <w:sz w:val="20"/>
              </w:rPr>
            </w:pPr>
            <w:r w:rsidRPr="007A70FB">
              <w:rPr>
                <w:i/>
                <w:sz w:val="20"/>
              </w:rPr>
              <w:t>16.7 (11.6, NR)</w:t>
            </w:r>
          </w:p>
        </w:tc>
        <w:tc>
          <w:tcPr>
            <w:tcW w:w="816" w:type="pct"/>
            <w:tcBorders>
              <w:top w:val="single" w:sz="4" w:space="0" w:color="auto"/>
              <w:bottom w:val="nil"/>
            </w:tcBorders>
            <w:vAlign w:val="center"/>
          </w:tcPr>
          <w:p w:rsidR="00521754" w:rsidRPr="007A70FB" w:rsidRDefault="00521754" w:rsidP="001331FA">
            <w:pPr>
              <w:pStyle w:val="KMC-Tabletext"/>
              <w:keepNext/>
              <w:keepLines/>
              <w:spacing w:before="20" w:after="20"/>
              <w:ind w:left="-65" w:right="-90"/>
              <w:jc w:val="center"/>
              <w:rPr>
                <w:i/>
                <w:sz w:val="20"/>
              </w:rPr>
            </w:pPr>
            <w:r w:rsidRPr="007A70FB">
              <w:rPr>
                <w:i/>
                <w:sz w:val="20"/>
              </w:rPr>
              <w:t>18.6</w:t>
            </w:r>
          </w:p>
        </w:tc>
      </w:tr>
      <w:tr w:rsidR="00521754" w:rsidRPr="007A70FB" w:rsidTr="001331FA">
        <w:tc>
          <w:tcPr>
            <w:tcW w:w="1098" w:type="pct"/>
            <w:tcBorders>
              <w:top w:val="nil"/>
              <w:bottom w:val="single" w:sz="4" w:space="0" w:color="auto"/>
            </w:tcBorders>
            <w:shd w:val="clear" w:color="auto" w:fill="auto"/>
            <w:vAlign w:val="center"/>
          </w:tcPr>
          <w:p w:rsidR="00521754" w:rsidRPr="007A70FB" w:rsidRDefault="00521754" w:rsidP="001331FA">
            <w:pPr>
              <w:pStyle w:val="KMC-Tabletext"/>
              <w:keepNext/>
              <w:keepLines/>
              <w:spacing w:before="20" w:after="20"/>
              <w:ind w:left="-73"/>
              <w:jc w:val="left"/>
              <w:rPr>
                <w:sz w:val="20"/>
              </w:rPr>
            </w:pPr>
            <w:r w:rsidRPr="007A70FB">
              <w:rPr>
                <w:sz w:val="20"/>
              </w:rPr>
              <w:t>(21-Feb-17)</w:t>
            </w:r>
          </w:p>
        </w:tc>
        <w:tc>
          <w:tcPr>
            <w:tcW w:w="786" w:type="pct"/>
            <w:shd w:val="clear" w:color="auto" w:fill="auto"/>
            <w:vAlign w:val="center"/>
          </w:tcPr>
          <w:p w:rsidR="00521754" w:rsidRPr="007A70FB" w:rsidRDefault="00521754" w:rsidP="001331FA">
            <w:pPr>
              <w:pStyle w:val="KMC-Tabletext"/>
              <w:keepNext/>
              <w:keepLines/>
              <w:spacing w:before="20" w:after="20"/>
              <w:jc w:val="center"/>
              <w:rPr>
                <w:sz w:val="20"/>
              </w:rPr>
            </w:pPr>
            <w:r w:rsidRPr="007A70FB">
              <w:rPr>
                <w:sz w:val="20"/>
              </w:rPr>
              <w:t>ITT, 180 mg QD</w:t>
            </w:r>
          </w:p>
        </w:tc>
        <w:tc>
          <w:tcPr>
            <w:tcW w:w="338" w:type="pct"/>
            <w:shd w:val="clear" w:color="auto" w:fill="auto"/>
            <w:vAlign w:val="center"/>
          </w:tcPr>
          <w:p w:rsidR="00521754" w:rsidRPr="007A70FB" w:rsidRDefault="00521754" w:rsidP="001331FA">
            <w:pPr>
              <w:pStyle w:val="KMC-Tabletext"/>
              <w:keepNext/>
              <w:keepLines/>
              <w:spacing w:before="20" w:after="20"/>
              <w:jc w:val="center"/>
              <w:rPr>
                <w:sz w:val="20"/>
              </w:rPr>
            </w:pPr>
            <w:r w:rsidRPr="007A70FB">
              <w:rPr>
                <w:sz w:val="20"/>
              </w:rPr>
              <w:t>110</w:t>
            </w:r>
          </w:p>
        </w:tc>
        <w:tc>
          <w:tcPr>
            <w:tcW w:w="648" w:type="pct"/>
            <w:shd w:val="clear" w:color="auto" w:fill="auto"/>
            <w:vAlign w:val="center"/>
          </w:tcPr>
          <w:p w:rsidR="00521754" w:rsidRPr="007A70FB" w:rsidRDefault="00521754" w:rsidP="001331FA">
            <w:pPr>
              <w:pStyle w:val="KMC-Tabletext"/>
              <w:keepNext/>
              <w:keepLines/>
              <w:spacing w:before="20" w:after="20"/>
              <w:ind w:left="-21"/>
              <w:jc w:val="center"/>
              <w:rPr>
                <w:i/>
                <w:sz w:val="20"/>
              </w:rPr>
            </w:pPr>
            <w:r w:rsidRPr="007A70FB">
              <w:rPr>
                <w:i/>
                <w:sz w:val="20"/>
              </w:rPr>
              <w:t>Investigator</w:t>
            </w:r>
          </w:p>
        </w:tc>
        <w:tc>
          <w:tcPr>
            <w:tcW w:w="624" w:type="pct"/>
            <w:shd w:val="clear" w:color="auto" w:fill="auto"/>
            <w:vAlign w:val="center"/>
          </w:tcPr>
          <w:p w:rsidR="00521754" w:rsidRPr="007A70FB" w:rsidRDefault="00521754" w:rsidP="001331FA">
            <w:pPr>
              <w:pStyle w:val="KMC-Tabletext"/>
              <w:keepNext/>
              <w:keepLines/>
              <w:spacing w:before="20" w:after="20"/>
              <w:ind w:left="-51" w:right="-90"/>
              <w:jc w:val="center"/>
              <w:rPr>
                <w:i/>
                <w:sz w:val="20"/>
              </w:rPr>
            </w:pPr>
            <w:r w:rsidRPr="007A70FB">
              <w:rPr>
                <w:i/>
                <w:sz w:val="20"/>
              </w:rPr>
              <w:t>55 (50)</w:t>
            </w:r>
          </w:p>
        </w:tc>
        <w:tc>
          <w:tcPr>
            <w:tcW w:w="690" w:type="pct"/>
            <w:shd w:val="clear" w:color="auto" w:fill="auto"/>
            <w:vAlign w:val="center"/>
          </w:tcPr>
          <w:p w:rsidR="00521754" w:rsidRPr="007A70FB" w:rsidRDefault="00521754" w:rsidP="001331FA">
            <w:pPr>
              <w:pStyle w:val="KMC-Tabletext"/>
              <w:keepNext/>
              <w:keepLines/>
              <w:spacing w:before="20" w:after="20"/>
              <w:ind w:left="-65" w:right="-128"/>
              <w:jc w:val="center"/>
              <w:rPr>
                <w:sz w:val="20"/>
              </w:rPr>
            </w:pPr>
            <w:r w:rsidRPr="007A70FB">
              <w:rPr>
                <w:sz w:val="20"/>
              </w:rPr>
              <w:t>15.6 (11.1, 19.4)</w:t>
            </w:r>
          </w:p>
        </w:tc>
        <w:tc>
          <w:tcPr>
            <w:tcW w:w="816" w:type="pct"/>
            <w:tcBorders>
              <w:top w:val="nil"/>
              <w:bottom w:val="single" w:sz="4" w:space="0" w:color="auto"/>
            </w:tcBorders>
            <w:vAlign w:val="center"/>
          </w:tcPr>
          <w:p w:rsidR="00521754" w:rsidRPr="007A70FB" w:rsidRDefault="00521754" w:rsidP="001331FA">
            <w:pPr>
              <w:pStyle w:val="KMC-Tabletext"/>
              <w:keepNext/>
              <w:keepLines/>
              <w:spacing w:before="20" w:after="20"/>
              <w:ind w:left="-65" w:right="-90"/>
              <w:jc w:val="center"/>
              <w:rPr>
                <w:i/>
                <w:sz w:val="20"/>
              </w:rPr>
            </w:pPr>
          </w:p>
        </w:tc>
      </w:tr>
      <w:tr w:rsidR="00FD641B" w:rsidRPr="007A70FB" w:rsidTr="001331FA">
        <w:tc>
          <w:tcPr>
            <w:tcW w:w="1098" w:type="pct"/>
            <w:tcBorders>
              <w:bottom w:val="nil"/>
            </w:tcBorders>
            <w:shd w:val="clear" w:color="auto" w:fill="auto"/>
            <w:vAlign w:val="center"/>
          </w:tcPr>
          <w:p w:rsidR="00FD641B" w:rsidRPr="007A70FB" w:rsidRDefault="00FD641B" w:rsidP="001331FA">
            <w:pPr>
              <w:pStyle w:val="KMC-Tabletext"/>
              <w:keepNext/>
              <w:keepLines/>
              <w:spacing w:before="20" w:after="20"/>
              <w:ind w:left="-73"/>
              <w:jc w:val="left"/>
              <w:rPr>
                <w:sz w:val="20"/>
              </w:rPr>
            </w:pPr>
            <w:r w:rsidRPr="007A70FB">
              <w:rPr>
                <w:sz w:val="20"/>
              </w:rPr>
              <w:t>Gettinger 2016</w:t>
            </w:r>
          </w:p>
        </w:tc>
        <w:tc>
          <w:tcPr>
            <w:tcW w:w="786" w:type="pct"/>
            <w:shd w:val="clear" w:color="auto" w:fill="auto"/>
            <w:vAlign w:val="center"/>
          </w:tcPr>
          <w:p w:rsidR="00FD641B" w:rsidRPr="007A70FB" w:rsidRDefault="00FD641B" w:rsidP="001331FA">
            <w:pPr>
              <w:pStyle w:val="KMC-Tabletext"/>
              <w:keepNext/>
              <w:keepLines/>
              <w:spacing w:before="20" w:after="20"/>
              <w:jc w:val="center"/>
              <w:rPr>
                <w:sz w:val="20"/>
              </w:rPr>
            </w:pPr>
            <w:r w:rsidRPr="007A70FB">
              <w:rPr>
                <w:sz w:val="20"/>
              </w:rPr>
              <w:t>FAS</w:t>
            </w:r>
          </w:p>
        </w:tc>
        <w:tc>
          <w:tcPr>
            <w:tcW w:w="338" w:type="pct"/>
            <w:shd w:val="clear" w:color="auto" w:fill="auto"/>
            <w:vAlign w:val="center"/>
          </w:tcPr>
          <w:p w:rsidR="00FD641B" w:rsidRPr="007A70FB" w:rsidRDefault="00FD641B" w:rsidP="001331FA">
            <w:pPr>
              <w:pStyle w:val="KMC-Tabletext"/>
              <w:keepNext/>
              <w:keepLines/>
              <w:spacing w:before="20" w:after="20"/>
              <w:jc w:val="center"/>
              <w:rPr>
                <w:sz w:val="20"/>
              </w:rPr>
            </w:pPr>
            <w:r w:rsidRPr="007A70FB">
              <w:rPr>
                <w:sz w:val="20"/>
              </w:rPr>
              <w:t>71</w:t>
            </w:r>
          </w:p>
        </w:tc>
        <w:tc>
          <w:tcPr>
            <w:tcW w:w="648" w:type="pct"/>
            <w:shd w:val="clear" w:color="auto" w:fill="auto"/>
            <w:vAlign w:val="center"/>
          </w:tcPr>
          <w:p w:rsidR="00FD641B" w:rsidRPr="007A70FB" w:rsidRDefault="00FD641B" w:rsidP="001331FA">
            <w:pPr>
              <w:pStyle w:val="KMC-Tabletext"/>
              <w:keepNext/>
              <w:keepLines/>
              <w:spacing w:before="20" w:after="20"/>
              <w:ind w:left="-21"/>
              <w:jc w:val="center"/>
              <w:rPr>
                <w:i/>
                <w:sz w:val="20"/>
              </w:rPr>
            </w:pPr>
            <w:r w:rsidRPr="007A70FB">
              <w:rPr>
                <w:i/>
                <w:sz w:val="20"/>
              </w:rPr>
              <w:t>Investigator</w:t>
            </w:r>
          </w:p>
        </w:tc>
        <w:tc>
          <w:tcPr>
            <w:tcW w:w="624" w:type="pct"/>
            <w:shd w:val="clear" w:color="auto" w:fill="auto"/>
            <w:vAlign w:val="center"/>
          </w:tcPr>
          <w:p w:rsidR="00FD641B" w:rsidRPr="007A70FB" w:rsidRDefault="00FD641B" w:rsidP="001331FA">
            <w:pPr>
              <w:pStyle w:val="KMC-Tabletext"/>
              <w:keepNext/>
              <w:keepLines/>
              <w:spacing w:before="20" w:after="20"/>
              <w:ind w:left="-51" w:right="-90"/>
              <w:jc w:val="center"/>
              <w:rPr>
                <w:i/>
                <w:sz w:val="20"/>
              </w:rPr>
            </w:pPr>
            <w:r w:rsidRPr="007A70FB">
              <w:rPr>
                <w:i/>
                <w:sz w:val="20"/>
              </w:rPr>
              <w:t>NR</w:t>
            </w:r>
          </w:p>
        </w:tc>
        <w:tc>
          <w:tcPr>
            <w:tcW w:w="690" w:type="pct"/>
            <w:shd w:val="clear" w:color="auto" w:fill="auto"/>
            <w:vAlign w:val="center"/>
          </w:tcPr>
          <w:p w:rsidR="00FD641B" w:rsidRPr="007A70FB" w:rsidRDefault="00FD641B" w:rsidP="001331FA">
            <w:pPr>
              <w:pStyle w:val="KMC-Tabletext"/>
              <w:keepNext/>
              <w:keepLines/>
              <w:spacing w:before="20" w:after="20"/>
              <w:ind w:left="-65" w:right="-128"/>
              <w:jc w:val="center"/>
              <w:rPr>
                <w:sz w:val="20"/>
              </w:rPr>
            </w:pPr>
            <w:r w:rsidRPr="007A70FB">
              <w:rPr>
                <w:sz w:val="20"/>
              </w:rPr>
              <w:t xml:space="preserve">13.2 </w:t>
            </w:r>
            <w:r w:rsidRPr="007A70FB">
              <w:rPr>
                <w:iCs/>
                <w:sz w:val="20"/>
              </w:rPr>
              <w:t>(</w:t>
            </w:r>
            <w:r w:rsidRPr="007A70FB">
              <w:rPr>
                <w:i/>
                <w:sz w:val="20"/>
              </w:rPr>
              <w:t>9.2, 16.7</w:t>
            </w:r>
            <w:r w:rsidRPr="007A70FB">
              <w:rPr>
                <w:iCs/>
                <w:sz w:val="20"/>
              </w:rPr>
              <w:t>)</w:t>
            </w:r>
          </w:p>
        </w:tc>
        <w:tc>
          <w:tcPr>
            <w:tcW w:w="816" w:type="pct"/>
            <w:tcBorders>
              <w:bottom w:val="single" w:sz="4" w:space="0" w:color="auto"/>
            </w:tcBorders>
            <w:vAlign w:val="center"/>
          </w:tcPr>
          <w:p w:rsidR="00FD641B" w:rsidRPr="007A70FB" w:rsidRDefault="00FD641B" w:rsidP="001331FA">
            <w:pPr>
              <w:pStyle w:val="KMC-Tabletext"/>
              <w:keepNext/>
              <w:keepLines/>
              <w:spacing w:before="20" w:after="20"/>
              <w:ind w:left="-65" w:right="-90"/>
              <w:jc w:val="center"/>
              <w:rPr>
                <w:i/>
                <w:sz w:val="20"/>
              </w:rPr>
            </w:pPr>
            <w:r w:rsidRPr="007A70FB">
              <w:rPr>
                <w:i/>
                <w:sz w:val="20"/>
              </w:rPr>
              <w:t>NR</w:t>
            </w:r>
          </w:p>
        </w:tc>
      </w:tr>
      <w:tr w:rsidR="00FD641B" w:rsidRPr="007A70FB" w:rsidTr="001331FA">
        <w:tc>
          <w:tcPr>
            <w:tcW w:w="1098" w:type="pct"/>
            <w:tcBorders>
              <w:top w:val="nil"/>
              <w:bottom w:val="single" w:sz="4" w:space="0" w:color="auto"/>
            </w:tcBorders>
            <w:shd w:val="clear" w:color="auto" w:fill="auto"/>
            <w:vAlign w:val="center"/>
          </w:tcPr>
          <w:p w:rsidR="00FD641B" w:rsidRPr="007A70FB" w:rsidRDefault="00521754" w:rsidP="001331FA">
            <w:pPr>
              <w:pStyle w:val="KMC-Tabletext"/>
              <w:keepNext/>
              <w:keepLines/>
              <w:spacing w:before="20" w:after="20"/>
              <w:ind w:left="-73"/>
              <w:jc w:val="left"/>
              <w:rPr>
                <w:sz w:val="20"/>
              </w:rPr>
            </w:pPr>
            <w:r w:rsidRPr="007A70FB">
              <w:rPr>
                <w:sz w:val="20"/>
              </w:rPr>
              <w:t>(21-Feb-17)</w:t>
            </w:r>
          </w:p>
        </w:tc>
        <w:tc>
          <w:tcPr>
            <w:tcW w:w="786" w:type="pct"/>
            <w:shd w:val="clear" w:color="auto" w:fill="auto"/>
            <w:vAlign w:val="center"/>
          </w:tcPr>
          <w:p w:rsidR="00FD641B" w:rsidRPr="007A70FB" w:rsidRDefault="00FD641B" w:rsidP="001331FA">
            <w:pPr>
              <w:pStyle w:val="KMC-Tabletext"/>
              <w:keepNext/>
              <w:keepLines/>
              <w:spacing w:before="20" w:after="20"/>
              <w:ind w:right="-105"/>
              <w:jc w:val="center"/>
              <w:rPr>
                <w:sz w:val="20"/>
              </w:rPr>
            </w:pPr>
            <w:r w:rsidRPr="007A70FB">
              <w:rPr>
                <w:sz w:val="20"/>
              </w:rPr>
              <w:t>FAS, 90→180 mg QD</w:t>
            </w:r>
          </w:p>
        </w:tc>
        <w:tc>
          <w:tcPr>
            <w:tcW w:w="338" w:type="pct"/>
            <w:shd w:val="clear" w:color="auto" w:fill="auto"/>
            <w:vAlign w:val="center"/>
          </w:tcPr>
          <w:p w:rsidR="00FD641B" w:rsidRPr="007A70FB" w:rsidRDefault="00FD641B" w:rsidP="001331FA">
            <w:pPr>
              <w:pStyle w:val="KMC-Tabletext"/>
              <w:keepNext/>
              <w:keepLines/>
              <w:spacing w:before="20" w:after="20"/>
              <w:jc w:val="center"/>
              <w:rPr>
                <w:sz w:val="20"/>
              </w:rPr>
            </w:pPr>
            <w:r w:rsidRPr="007A70FB">
              <w:rPr>
                <w:sz w:val="20"/>
              </w:rPr>
              <w:t>25</w:t>
            </w:r>
          </w:p>
        </w:tc>
        <w:tc>
          <w:tcPr>
            <w:tcW w:w="648" w:type="pct"/>
            <w:shd w:val="clear" w:color="auto" w:fill="auto"/>
            <w:vAlign w:val="center"/>
          </w:tcPr>
          <w:p w:rsidR="00FD641B" w:rsidRPr="007A70FB" w:rsidRDefault="00FD641B" w:rsidP="001331FA">
            <w:pPr>
              <w:pStyle w:val="KMC-Tabletext"/>
              <w:keepNext/>
              <w:keepLines/>
              <w:spacing w:before="20" w:after="20"/>
              <w:ind w:left="-21"/>
              <w:jc w:val="center"/>
              <w:rPr>
                <w:i/>
                <w:sz w:val="20"/>
              </w:rPr>
            </w:pPr>
            <w:r w:rsidRPr="007A70FB">
              <w:rPr>
                <w:i/>
                <w:sz w:val="20"/>
              </w:rPr>
              <w:t>Investigator</w:t>
            </w:r>
          </w:p>
        </w:tc>
        <w:tc>
          <w:tcPr>
            <w:tcW w:w="624" w:type="pct"/>
            <w:shd w:val="clear" w:color="auto" w:fill="auto"/>
            <w:vAlign w:val="center"/>
          </w:tcPr>
          <w:p w:rsidR="00FD641B" w:rsidRPr="007A70FB" w:rsidRDefault="00FD641B" w:rsidP="001331FA">
            <w:pPr>
              <w:pStyle w:val="KMC-Tabletext"/>
              <w:keepNext/>
              <w:keepLines/>
              <w:spacing w:before="20" w:after="20"/>
              <w:ind w:left="-51" w:right="-90"/>
              <w:jc w:val="center"/>
              <w:rPr>
                <w:i/>
                <w:sz w:val="20"/>
              </w:rPr>
            </w:pPr>
            <w:r w:rsidRPr="007A70FB">
              <w:rPr>
                <w:i/>
                <w:sz w:val="20"/>
              </w:rPr>
              <w:t>NR</w:t>
            </w:r>
          </w:p>
        </w:tc>
        <w:tc>
          <w:tcPr>
            <w:tcW w:w="690" w:type="pct"/>
            <w:shd w:val="clear" w:color="auto" w:fill="auto"/>
            <w:vAlign w:val="center"/>
          </w:tcPr>
          <w:p w:rsidR="00FD641B" w:rsidRPr="007A70FB" w:rsidRDefault="00FD641B" w:rsidP="001331FA">
            <w:pPr>
              <w:pStyle w:val="KMC-Tabletext"/>
              <w:keepNext/>
              <w:keepLines/>
              <w:spacing w:before="20" w:after="20"/>
              <w:ind w:left="-65" w:right="-128"/>
              <w:jc w:val="center"/>
              <w:rPr>
                <w:sz w:val="20"/>
              </w:rPr>
            </w:pPr>
            <w:r w:rsidRPr="007A70FB">
              <w:rPr>
                <w:sz w:val="20"/>
              </w:rPr>
              <w:t>16.3 (9.2, 28.1)</w:t>
            </w:r>
          </w:p>
        </w:tc>
        <w:tc>
          <w:tcPr>
            <w:tcW w:w="816" w:type="pct"/>
            <w:tcBorders>
              <w:top w:val="single" w:sz="4" w:space="0" w:color="auto"/>
            </w:tcBorders>
            <w:vAlign w:val="center"/>
          </w:tcPr>
          <w:p w:rsidR="00FD641B" w:rsidRPr="007A70FB" w:rsidRDefault="00FD641B" w:rsidP="001331FA">
            <w:pPr>
              <w:pStyle w:val="KMC-Tabletext"/>
              <w:keepNext/>
              <w:keepLines/>
              <w:spacing w:before="20" w:after="20"/>
              <w:ind w:left="-65" w:right="-90"/>
              <w:jc w:val="center"/>
              <w:rPr>
                <w:i/>
                <w:sz w:val="20"/>
              </w:rPr>
            </w:pPr>
            <w:r w:rsidRPr="007A70FB">
              <w:rPr>
                <w:i/>
                <w:sz w:val="20"/>
              </w:rPr>
              <w:t>NR</w:t>
            </w:r>
          </w:p>
        </w:tc>
      </w:tr>
    </w:tbl>
    <w:p w:rsidR="00FD641B" w:rsidRPr="007A70FB" w:rsidRDefault="00FD641B" w:rsidP="002C68CF">
      <w:pPr>
        <w:pStyle w:val="TableFooter"/>
        <w:keepNext/>
        <w:keepLines/>
        <w:widowControl/>
      </w:pPr>
      <w:r w:rsidRPr="007A70FB">
        <w:t xml:space="preserve">Abbreviations: CI = confidence interval; FAS = full analysis set; IRC = independent review committee; ITT = intention to treat; NE = not evaluable; NR = not reported; OS = overall survival. </w:t>
      </w:r>
    </w:p>
    <w:p w:rsidR="00FD641B" w:rsidRPr="007A70FB" w:rsidRDefault="00FD641B" w:rsidP="002C68CF">
      <w:pPr>
        <w:pStyle w:val="TableFooter"/>
        <w:keepNext/>
        <w:keepLines/>
        <w:widowControl/>
      </w:pPr>
      <w:r w:rsidRPr="007A70FB">
        <w:t xml:space="preserve">Source: </w:t>
      </w:r>
      <w:r w:rsidR="002C68CF" w:rsidRPr="007A70FB">
        <w:t>Table 2.5.5 pp128-119, Table 2.5.11 p136, Figure 2.5.8 p137 of the submission; Appendix C Table 12 p18 of the submission. ASCEND-1, Kim 2016 Appendix table 5 p7; ASCEND-2, Crino et al 2016, Table 2 p2869 and Figure 1C p2870; ASCEND-5, Shaw 2017 p879; ALTA, Kim 2017, Figure 2 p2494 and data supplement Fig S1 p8; Gettinger 2016, Bazhenova 2017</w:t>
      </w:r>
      <w:r w:rsidR="007A70FB">
        <w:t xml:space="preserve">. </w:t>
      </w:r>
    </w:p>
    <w:p w:rsidR="00FD641B" w:rsidRPr="007A70FB" w:rsidRDefault="00FD641B" w:rsidP="002C68CF">
      <w:pPr>
        <w:pStyle w:val="TableFooter"/>
        <w:keepNext/>
        <w:keepLines/>
        <w:widowControl/>
        <w:rPr>
          <w:highlight w:val="yellow"/>
        </w:rPr>
      </w:pPr>
      <w:r w:rsidRPr="007A70FB">
        <w:t xml:space="preserve">Notes: </w:t>
      </w:r>
      <w:r w:rsidR="001C6059" w:rsidRPr="007A70FB">
        <w:t xml:space="preserve">Figures in italics were extracted during evaluation; </w:t>
      </w:r>
      <w:r w:rsidR="001331FA" w:rsidRPr="007A70FB">
        <w:t>the</w:t>
      </w:r>
      <w:r w:rsidRPr="007A70FB">
        <w:t xml:space="preserve"> submission reported results for NP28761 and NP28673 </w:t>
      </w:r>
      <w:r w:rsidR="00FA7EF0" w:rsidRPr="007A70FB">
        <w:t xml:space="preserve">were </w:t>
      </w:r>
      <w:r w:rsidRPr="007A70FB">
        <w:t xml:space="preserve">obtained from the alectinib PSD and not the publications. </w:t>
      </w:r>
    </w:p>
    <w:p w:rsidR="007110AB" w:rsidRPr="007A70FB" w:rsidRDefault="007110AB" w:rsidP="006245DF">
      <w:pPr>
        <w:pStyle w:val="ListParagraph"/>
        <w:widowControl/>
        <w:numPr>
          <w:ilvl w:val="1"/>
          <w:numId w:val="1"/>
        </w:numPr>
        <w:spacing w:before="120" w:after="120"/>
        <w:rPr>
          <w:iCs/>
        </w:rPr>
      </w:pPr>
      <w:r w:rsidRPr="007A70FB">
        <w:rPr>
          <w:iCs/>
        </w:rPr>
        <w:t xml:space="preserve">The Study 1001 CSR and associated publication (Solomon 2018) did not report the Kaplan-Meier plots for OS. </w:t>
      </w:r>
      <w:r w:rsidRPr="007A70FB">
        <w:t xml:space="preserve">The Kaplan-Meier plot for PFS in Study 1001 is provided in </w:t>
      </w:r>
      <w:r w:rsidR="006245DF">
        <w:t xml:space="preserve">Figure </w:t>
      </w:r>
      <w:r w:rsidR="006245DF">
        <w:rPr>
          <w:noProof/>
        </w:rPr>
        <w:t>1</w:t>
      </w:r>
      <w:r w:rsidRPr="007A70FB">
        <w:t xml:space="preserve">. </w:t>
      </w:r>
    </w:p>
    <w:p w:rsidR="007110AB" w:rsidRPr="007A70FB" w:rsidRDefault="006245DF" w:rsidP="006245DF">
      <w:pPr>
        <w:pStyle w:val="Caption"/>
        <w:keepNext/>
        <w:keepLines/>
        <w:widowControl/>
      </w:pPr>
      <w:bookmarkStart w:id="30" w:name="_Ref20495248"/>
      <w:r>
        <w:lastRenderedPageBreak/>
        <w:t xml:space="preserve">Figure </w:t>
      </w:r>
      <w:r>
        <w:rPr>
          <w:noProof/>
        </w:rPr>
        <w:t>1</w:t>
      </w:r>
      <w:bookmarkEnd w:id="30"/>
      <w:r w:rsidR="00C663DD" w:rsidRPr="007A70FB">
        <w:t>:</w:t>
      </w:r>
      <w:r w:rsidR="007110AB" w:rsidRPr="007A70FB">
        <w:t xml:space="preserve"> Study 1001, PFS based on ICR (Phase 2) – ITT Population, Pooled and Subgroup populations</w:t>
      </w:r>
    </w:p>
    <w:tbl>
      <w:tblPr>
        <w:tblStyle w:val="TableGrid"/>
        <w:tblW w:w="0" w:type="auto"/>
        <w:tblLook w:val="04A0" w:firstRow="1" w:lastRow="0" w:firstColumn="1" w:lastColumn="0" w:noHBand="0" w:noVBand="1"/>
        <w:tblCaption w:val="Figure 1 "/>
      </w:tblPr>
      <w:tblGrid>
        <w:gridCol w:w="9017"/>
      </w:tblGrid>
      <w:tr w:rsidR="007110AB" w:rsidRPr="007A70FB" w:rsidTr="00FF49C7">
        <w:trPr>
          <w:tblHeader/>
        </w:trPr>
        <w:tc>
          <w:tcPr>
            <w:tcW w:w="9017" w:type="dxa"/>
          </w:tcPr>
          <w:p w:rsidR="006245DF" w:rsidRDefault="007110AB" w:rsidP="006245DF">
            <w:pPr>
              <w:pStyle w:val="TableHeading0"/>
              <w:keepLines/>
              <w:spacing w:before="120" w:after="120"/>
            </w:pPr>
            <w:r w:rsidRPr="007A70FB">
              <w:rPr>
                <w:noProof/>
                <w:lang w:eastAsia="en-AU"/>
              </w:rPr>
              <w:drawing>
                <wp:inline distT="0" distB="0" distL="0" distR="0" wp14:anchorId="5EF1CE4F" wp14:editId="44C64367">
                  <wp:extent cx="5731209" cy="3331596"/>
                  <wp:effectExtent l="0" t="0" r="3175" b="2540"/>
                  <wp:docPr id="17" name="Picture 17" descr="Figure 1: Study 1001, PFS based on ICR (Phase 2) – ITT Population, Pooled and Subgroup populations" title="Figure 1: Study 1001, PFS based on ICR (Phase 2) – ITT Population, Pooled and Subgroup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9355" t="25985" r="2439" b="8546"/>
                          <a:stretch/>
                        </pic:blipFill>
                        <pic:spPr bwMode="auto">
                          <a:xfrm>
                            <a:off x="0" y="0"/>
                            <a:ext cx="5736068" cy="3334420"/>
                          </a:xfrm>
                          <a:prstGeom prst="rect">
                            <a:avLst/>
                          </a:prstGeom>
                          <a:ln>
                            <a:noFill/>
                          </a:ln>
                          <a:extLst>
                            <a:ext uri="{53640926-AAD7-44D8-BBD7-CCE9431645EC}">
                              <a14:shadowObscured xmlns:a14="http://schemas.microsoft.com/office/drawing/2010/main"/>
                            </a:ext>
                          </a:extLst>
                        </pic:spPr>
                      </pic:pic>
                    </a:graphicData>
                  </a:graphic>
                </wp:inline>
              </w:drawing>
            </w:r>
          </w:p>
          <w:p w:rsidR="007110AB" w:rsidRPr="007A70FB" w:rsidRDefault="007110AB" w:rsidP="006245DF">
            <w:pPr>
              <w:pStyle w:val="Caption"/>
              <w:keepNext/>
              <w:keepLines/>
              <w:widowControl/>
              <w:jc w:val="left"/>
              <w:rPr>
                <w:highlight w:val="yellow"/>
              </w:rPr>
            </w:pPr>
          </w:p>
        </w:tc>
      </w:tr>
    </w:tbl>
    <w:p w:rsidR="007110AB" w:rsidRPr="007A70FB" w:rsidRDefault="007110AB" w:rsidP="006245DF">
      <w:pPr>
        <w:pStyle w:val="TableFooter"/>
        <w:keepNext/>
        <w:keepLines/>
        <w:widowControl/>
        <w:rPr>
          <w:iCs/>
        </w:rPr>
      </w:pPr>
      <w:r w:rsidRPr="007A70FB">
        <w:t>Source: Figure 2.5.3 p129 of the submission; Study 1001 CSR Figure 17 p193</w:t>
      </w:r>
      <w:r w:rsidRPr="007A70FB">
        <w:rPr>
          <w:iCs/>
        </w:rPr>
        <w:t xml:space="preserve">. </w:t>
      </w:r>
    </w:p>
    <w:p w:rsidR="00C663DD" w:rsidRPr="007A70FB" w:rsidRDefault="007110AB" w:rsidP="006245DF">
      <w:pPr>
        <w:pStyle w:val="TableFooter"/>
        <w:keepNext/>
        <w:keepLines/>
        <w:widowControl/>
      </w:pPr>
      <w:r w:rsidRPr="007A70FB">
        <w:t>Abbreviations: EXP</w:t>
      </w:r>
      <w:r w:rsidR="00461260" w:rsidRPr="007A70FB">
        <w:t xml:space="preserve"> </w:t>
      </w:r>
      <w:r w:rsidRPr="007A70FB">
        <w:t>=</w:t>
      </w:r>
      <w:r w:rsidR="00461260" w:rsidRPr="007A70FB">
        <w:t xml:space="preserve"> </w:t>
      </w:r>
      <w:r w:rsidRPr="007A70FB">
        <w:t>expansion; ITT = intention-to-treat.</w:t>
      </w:r>
    </w:p>
    <w:p w:rsidR="007110AB" w:rsidRPr="007A70FB" w:rsidRDefault="007110AB" w:rsidP="00FE0FA7">
      <w:pPr>
        <w:pStyle w:val="ListParagraph"/>
        <w:widowControl/>
        <w:numPr>
          <w:ilvl w:val="1"/>
          <w:numId w:val="1"/>
        </w:numPr>
        <w:spacing w:before="120" w:after="120"/>
      </w:pPr>
      <w:r w:rsidRPr="007A70FB">
        <w:rPr>
          <w:rFonts w:cs="Calibri"/>
          <w:snapToGrid/>
          <w:szCs w:val="24"/>
          <w:lang w:eastAsia="en-AU"/>
        </w:rPr>
        <w:t xml:space="preserve">The HRQoL results in Study 1001 showed that the majority of patients had either improved (42.7%) or stable (39.6%) global QoL during treatment (including all cycles). </w:t>
      </w:r>
      <w:r w:rsidRPr="007A70FB">
        <w:rPr>
          <w:rFonts w:cs="Calibri"/>
          <w:iCs/>
          <w:snapToGrid/>
          <w:szCs w:val="24"/>
          <w:lang w:eastAsia="en-AU"/>
        </w:rPr>
        <w:t xml:space="preserve">The results presented were for all cohorts including patients from EXP-1 (crizotinib naïve) and EXP-6 (ROS1 positive) and therefore included patients that are not relevant to the proposed listing. </w:t>
      </w:r>
    </w:p>
    <w:p w:rsidR="007110AB" w:rsidRPr="007A70FB" w:rsidRDefault="007110AB" w:rsidP="000345C6">
      <w:pPr>
        <w:pStyle w:val="Heading2"/>
        <w:widowControl/>
        <w:spacing w:before="120" w:after="120"/>
      </w:pPr>
      <w:bookmarkStart w:id="31" w:name="_Toc371170707"/>
      <w:bookmarkStart w:id="32" w:name="_Toc19707664"/>
      <w:r w:rsidRPr="007A70FB">
        <w:t>Comparative harms</w:t>
      </w:r>
      <w:bookmarkEnd w:id="31"/>
      <w:bookmarkEnd w:id="32"/>
    </w:p>
    <w:p w:rsidR="007110AB" w:rsidRPr="007A70FB" w:rsidRDefault="007110AB" w:rsidP="00FE0FA7">
      <w:pPr>
        <w:pStyle w:val="ListParagraph"/>
        <w:widowControl/>
        <w:numPr>
          <w:ilvl w:val="1"/>
          <w:numId w:val="1"/>
        </w:numPr>
        <w:spacing w:after="120"/>
        <w:rPr>
          <w:iCs/>
        </w:rPr>
      </w:pPr>
      <w:r w:rsidRPr="007A70FB">
        <w:t xml:space="preserve">A summary of the safety outcomes across the single arm studies </w:t>
      </w:r>
      <w:r w:rsidR="003C73EF" w:rsidRPr="007A70FB">
        <w:t xml:space="preserve">is </w:t>
      </w:r>
      <w:r w:rsidRPr="007A70FB">
        <w:t>presente</w:t>
      </w:r>
      <w:r w:rsidRPr="007A70FB">
        <w:rPr>
          <w:rFonts w:asciiTheme="minorHAnsi" w:hAnsiTheme="minorHAnsi"/>
          <w:szCs w:val="24"/>
        </w:rPr>
        <w:t>d in</w:t>
      </w:r>
      <w:r w:rsidR="000327D2" w:rsidRPr="007A70FB">
        <w:rPr>
          <w:rFonts w:asciiTheme="minorHAnsi" w:hAnsiTheme="minorHAnsi"/>
          <w:szCs w:val="24"/>
        </w:rPr>
        <w:t xml:space="preserve"> </w:t>
      </w:r>
      <w:r w:rsidR="00B0287F" w:rsidRPr="007A70FB">
        <w:rPr>
          <w:rStyle w:val="CommentReference"/>
          <w:rFonts w:asciiTheme="minorHAnsi" w:hAnsiTheme="minorHAnsi"/>
          <w:b w:val="0"/>
          <w:sz w:val="24"/>
          <w:szCs w:val="24"/>
        </w:rPr>
        <w:t>Table 9</w:t>
      </w:r>
      <w:r w:rsidRPr="007A70FB">
        <w:t>. The submission noted (p205; Appendix C p34) that there were differences in the safety profiles of lorlatinib compared to alectinib, ceritinib and brigatinib</w:t>
      </w:r>
      <w:r w:rsidRPr="007A70FB">
        <w:rPr>
          <w:iCs/>
        </w:rPr>
        <w:t>, the main differences being:</w:t>
      </w:r>
    </w:p>
    <w:p w:rsidR="007110AB" w:rsidRPr="007A70FB" w:rsidRDefault="007110AB" w:rsidP="00FE0FA7">
      <w:pPr>
        <w:widowControl/>
        <w:numPr>
          <w:ilvl w:val="0"/>
          <w:numId w:val="7"/>
        </w:numPr>
        <w:tabs>
          <w:tab w:val="clear" w:pos="720"/>
        </w:tabs>
        <w:spacing w:after="120"/>
        <w:ind w:left="993"/>
        <w:rPr>
          <w:iCs/>
        </w:rPr>
      </w:pPr>
      <w:r w:rsidRPr="007A70FB">
        <w:rPr>
          <w:iCs/>
        </w:rPr>
        <w:t>Lorlatinib: CNS effects, hyperli</w:t>
      </w:r>
      <w:r w:rsidR="000107FF">
        <w:rPr>
          <w:iCs/>
        </w:rPr>
        <w:t>pi</w:t>
      </w:r>
      <w:r w:rsidRPr="007A70FB">
        <w:rPr>
          <w:iCs/>
        </w:rPr>
        <w:t xml:space="preserve">daemia, and AV block were AEs of special interest noted </w:t>
      </w:r>
      <w:r w:rsidR="008507D8" w:rsidRPr="007A70FB">
        <w:rPr>
          <w:iCs/>
        </w:rPr>
        <w:t>i</w:t>
      </w:r>
      <w:r w:rsidRPr="007A70FB">
        <w:rPr>
          <w:iCs/>
        </w:rPr>
        <w:t xml:space="preserve">n the lorlatinib draft PI and not </w:t>
      </w:r>
      <w:r w:rsidR="008507D8" w:rsidRPr="007A70FB">
        <w:rPr>
          <w:iCs/>
        </w:rPr>
        <w:t xml:space="preserve">noted </w:t>
      </w:r>
      <w:r w:rsidRPr="007A70FB">
        <w:rPr>
          <w:iCs/>
        </w:rPr>
        <w:t xml:space="preserve">for other ALK-TKIs. </w:t>
      </w:r>
    </w:p>
    <w:p w:rsidR="007110AB" w:rsidRPr="007A70FB" w:rsidRDefault="007110AB" w:rsidP="00FE0FA7">
      <w:pPr>
        <w:widowControl/>
        <w:numPr>
          <w:ilvl w:val="0"/>
          <w:numId w:val="7"/>
        </w:numPr>
        <w:tabs>
          <w:tab w:val="clear" w:pos="720"/>
        </w:tabs>
        <w:spacing w:after="120"/>
        <w:ind w:left="993"/>
        <w:rPr>
          <w:iCs/>
        </w:rPr>
      </w:pPr>
      <w:r w:rsidRPr="007A70FB">
        <w:rPr>
          <w:iCs/>
        </w:rPr>
        <w:t xml:space="preserve">Alectinib: myalgia and creatinine phosphokinase elevation were prominent in the alectinib trials. </w:t>
      </w:r>
    </w:p>
    <w:p w:rsidR="001806E6" w:rsidRPr="007A70FB" w:rsidRDefault="007110AB" w:rsidP="00FE0FA7">
      <w:pPr>
        <w:widowControl/>
        <w:numPr>
          <w:ilvl w:val="0"/>
          <w:numId w:val="7"/>
        </w:numPr>
        <w:tabs>
          <w:tab w:val="clear" w:pos="720"/>
        </w:tabs>
        <w:spacing w:after="120"/>
        <w:ind w:left="993"/>
        <w:rPr>
          <w:iCs/>
        </w:rPr>
      </w:pPr>
      <w:r w:rsidRPr="007A70FB">
        <w:rPr>
          <w:iCs/>
        </w:rPr>
        <w:t xml:space="preserve">Ceritinib: a boxed warning on the ceritinib PI cautions for the following SAEs: QT interval prolongation; interstitial lung disease/pneumonitis, including fatal cases; </w:t>
      </w:r>
      <w:r w:rsidRPr="007A70FB">
        <w:rPr>
          <w:iCs/>
        </w:rPr>
        <w:lastRenderedPageBreak/>
        <w:t xml:space="preserve">hepatotoxicity, including drug-induced liver injury; and gastrointestinal toxicity. Ceritinib was associated with a higher incidence of Grade 3-4 diarrhoea, nausea and vomiting. </w:t>
      </w:r>
    </w:p>
    <w:p w:rsidR="007110AB" w:rsidRPr="007A70FB" w:rsidRDefault="007110AB" w:rsidP="00FE0FA7">
      <w:pPr>
        <w:widowControl/>
        <w:numPr>
          <w:ilvl w:val="0"/>
          <w:numId w:val="7"/>
        </w:numPr>
        <w:tabs>
          <w:tab w:val="clear" w:pos="720"/>
        </w:tabs>
        <w:spacing w:after="120"/>
        <w:ind w:left="993"/>
        <w:rPr>
          <w:iCs/>
        </w:rPr>
      </w:pPr>
      <w:r w:rsidRPr="007A70FB">
        <w:rPr>
          <w:iCs/>
        </w:rPr>
        <w:t xml:space="preserve">All the other ALK-TKIs (lorlatinib, alectinib and brigatinib) have precautions pertaining to interstitial lung disease/pneumonitis in their (draft) PIs/FDA prescribing information. </w:t>
      </w:r>
    </w:p>
    <w:p w:rsidR="007110AB" w:rsidRPr="007A70FB" w:rsidRDefault="007110AB" w:rsidP="00FE0FA7">
      <w:pPr>
        <w:widowControl/>
        <w:numPr>
          <w:ilvl w:val="0"/>
          <w:numId w:val="7"/>
        </w:numPr>
        <w:tabs>
          <w:tab w:val="clear" w:pos="720"/>
        </w:tabs>
        <w:spacing w:after="120"/>
        <w:ind w:left="993"/>
        <w:rPr>
          <w:rStyle w:val="CommentReference"/>
          <w:rFonts w:ascii="Calibri" w:hAnsi="Calibri"/>
          <w:b w:val="0"/>
          <w:sz w:val="24"/>
          <w:szCs w:val="22"/>
        </w:rPr>
      </w:pPr>
      <w:r w:rsidRPr="007A70FB">
        <w:rPr>
          <w:iCs/>
        </w:rPr>
        <w:t xml:space="preserve">Brigatinib: pulmonary adverse reactions, hypertension, bradycardia and visual disturbance. </w:t>
      </w:r>
    </w:p>
    <w:p w:rsidR="007110AB" w:rsidRPr="007A70FB" w:rsidRDefault="007110AB" w:rsidP="00903E55">
      <w:pPr>
        <w:pStyle w:val="ListParagraph"/>
        <w:keepNext/>
        <w:widowControl/>
        <w:spacing w:after="0"/>
        <w:ind w:left="0"/>
        <w:rPr>
          <w:rStyle w:val="CommentReference"/>
        </w:rPr>
        <w:sectPr w:rsidR="007110AB" w:rsidRPr="007A70FB" w:rsidSect="008E5AF9">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pPr>
    </w:p>
    <w:p w:rsidR="007110AB" w:rsidRPr="007A70FB" w:rsidRDefault="007110AB" w:rsidP="000327D2">
      <w:pPr>
        <w:pStyle w:val="Caption"/>
        <w:spacing w:after="0"/>
        <w:rPr>
          <w:rStyle w:val="CommentReference"/>
          <w:b/>
        </w:rPr>
      </w:pPr>
      <w:bookmarkStart w:id="33" w:name="_Ref20495425"/>
      <w:bookmarkStart w:id="34" w:name="_Ref20495420"/>
      <w:r w:rsidRPr="007A70FB">
        <w:rPr>
          <w:rStyle w:val="CommentReference"/>
          <w:b/>
        </w:rPr>
        <w:lastRenderedPageBreak/>
        <w:t xml:space="preserve">Table </w:t>
      </w:r>
      <w:r w:rsidR="008267CB" w:rsidRPr="007A70FB">
        <w:rPr>
          <w:rStyle w:val="CommentReference"/>
          <w:b/>
        </w:rPr>
        <w:t>9</w:t>
      </w:r>
      <w:bookmarkEnd w:id="33"/>
      <w:r w:rsidRPr="007A70FB">
        <w:rPr>
          <w:rStyle w:val="CommentReference"/>
          <w:b/>
        </w:rPr>
        <w:t>:  Summary of key adverse events in the trials</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0:  Summary of key adverse events in the trials"/>
      </w:tblPr>
      <w:tblGrid>
        <w:gridCol w:w="1396"/>
        <w:gridCol w:w="1293"/>
        <w:gridCol w:w="989"/>
        <w:gridCol w:w="1141"/>
        <w:gridCol w:w="1141"/>
        <w:gridCol w:w="1144"/>
        <w:gridCol w:w="1141"/>
        <w:gridCol w:w="1141"/>
        <w:gridCol w:w="1141"/>
        <w:gridCol w:w="1141"/>
        <w:gridCol w:w="1141"/>
        <w:gridCol w:w="1141"/>
      </w:tblGrid>
      <w:tr w:rsidR="00536A65" w:rsidRPr="007A70FB" w:rsidTr="003C0A1D">
        <w:trPr>
          <w:tblHeader/>
        </w:trPr>
        <w:tc>
          <w:tcPr>
            <w:tcW w:w="500" w:type="pct"/>
            <w:vMerge w:val="restart"/>
            <w:shd w:val="clear" w:color="auto" w:fill="auto"/>
            <w:vAlign w:val="center"/>
          </w:tcPr>
          <w:p w:rsidR="00536A65" w:rsidRPr="007A70FB" w:rsidRDefault="00536A65" w:rsidP="0000736B">
            <w:pPr>
              <w:pStyle w:val="Tabletext"/>
              <w:ind w:left="-38"/>
            </w:pPr>
            <w:r w:rsidRPr="007A70FB">
              <w:t>Patients, n (%)</w:t>
            </w:r>
          </w:p>
        </w:tc>
        <w:tc>
          <w:tcPr>
            <w:tcW w:w="463" w:type="pct"/>
            <w:shd w:val="clear" w:color="auto" w:fill="auto"/>
            <w:vAlign w:val="center"/>
          </w:tcPr>
          <w:p w:rsidR="00536A65" w:rsidRPr="007A70FB" w:rsidRDefault="00536A65" w:rsidP="0000736B">
            <w:pPr>
              <w:pStyle w:val="Tabletext"/>
              <w:ind w:left="-110" w:right="-94"/>
              <w:jc w:val="center"/>
              <w:rPr>
                <w:b/>
              </w:rPr>
            </w:pPr>
            <w:r w:rsidRPr="007A70FB">
              <w:rPr>
                <w:b/>
              </w:rPr>
              <w:t>Lorlatinib</w:t>
            </w:r>
          </w:p>
        </w:tc>
        <w:tc>
          <w:tcPr>
            <w:tcW w:w="1582" w:type="pct"/>
            <w:gridSpan w:val="4"/>
            <w:tcBorders>
              <w:bottom w:val="single" w:sz="4" w:space="0" w:color="auto"/>
            </w:tcBorders>
            <w:shd w:val="clear" w:color="auto" w:fill="auto"/>
            <w:vAlign w:val="center"/>
          </w:tcPr>
          <w:p w:rsidR="00536A65" w:rsidRPr="007A70FB" w:rsidRDefault="00536A65" w:rsidP="0000736B">
            <w:pPr>
              <w:pStyle w:val="Tabletext"/>
              <w:ind w:left="-110" w:right="-46"/>
              <w:jc w:val="center"/>
              <w:rPr>
                <w:b/>
                <w:iCs/>
              </w:rPr>
            </w:pPr>
            <w:r w:rsidRPr="007A70FB">
              <w:rPr>
                <w:b/>
                <w:iCs/>
              </w:rPr>
              <w:t>Alectinib</w:t>
            </w:r>
          </w:p>
        </w:tc>
        <w:tc>
          <w:tcPr>
            <w:tcW w:w="1636" w:type="pct"/>
            <w:gridSpan w:val="4"/>
            <w:tcBorders>
              <w:bottom w:val="single" w:sz="4" w:space="0" w:color="auto"/>
            </w:tcBorders>
            <w:shd w:val="clear" w:color="auto" w:fill="auto"/>
            <w:vAlign w:val="center"/>
          </w:tcPr>
          <w:p w:rsidR="00536A65" w:rsidRPr="007A70FB" w:rsidRDefault="00536A65" w:rsidP="0000736B">
            <w:pPr>
              <w:pStyle w:val="Tabletext"/>
              <w:ind w:left="-110" w:right="-46"/>
              <w:jc w:val="center"/>
              <w:rPr>
                <w:b/>
              </w:rPr>
            </w:pPr>
            <w:r w:rsidRPr="007A70FB">
              <w:rPr>
                <w:b/>
              </w:rPr>
              <w:t>Ceritinib</w:t>
            </w:r>
          </w:p>
        </w:tc>
        <w:tc>
          <w:tcPr>
            <w:tcW w:w="818" w:type="pct"/>
            <w:gridSpan w:val="2"/>
            <w:shd w:val="clear" w:color="auto" w:fill="auto"/>
            <w:vAlign w:val="center"/>
          </w:tcPr>
          <w:p w:rsidR="00536A65" w:rsidRPr="007A70FB" w:rsidRDefault="00536A65" w:rsidP="0000736B">
            <w:pPr>
              <w:pStyle w:val="Tabletext"/>
              <w:ind w:left="-110" w:right="-46"/>
              <w:jc w:val="center"/>
              <w:rPr>
                <w:b/>
              </w:rPr>
            </w:pPr>
            <w:r w:rsidRPr="007A70FB">
              <w:rPr>
                <w:b/>
              </w:rPr>
              <w:t>Brigatinib</w:t>
            </w:r>
          </w:p>
        </w:tc>
      </w:tr>
      <w:tr w:rsidR="00536A65" w:rsidRPr="007A70FB" w:rsidTr="003C0A1D">
        <w:trPr>
          <w:tblHeader/>
        </w:trPr>
        <w:tc>
          <w:tcPr>
            <w:tcW w:w="500" w:type="pct"/>
            <w:vMerge/>
            <w:shd w:val="clear" w:color="auto" w:fill="auto"/>
            <w:vAlign w:val="center"/>
          </w:tcPr>
          <w:p w:rsidR="00536A65" w:rsidRPr="007A70FB" w:rsidRDefault="00536A65" w:rsidP="0000736B">
            <w:pPr>
              <w:pStyle w:val="Tabletext"/>
              <w:ind w:left="-38"/>
              <w:rPr>
                <w:b/>
                <w:highlight w:val="yellow"/>
              </w:rPr>
            </w:pPr>
          </w:p>
        </w:tc>
        <w:tc>
          <w:tcPr>
            <w:tcW w:w="463" w:type="pct"/>
            <w:tcBorders>
              <w:bottom w:val="nil"/>
            </w:tcBorders>
            <w:shd w:val="clear" w:color="auto" w:fill="auto"/>
            <w:vAlign w:val="center"/>
          </w:tcPr>
          <w:p w:rsidR="00536A65" w:rsidRPr="007A70FB" w:rsidRDefault="00536A65" w:rsidP="0000736B">
            <w:pPr>
              <w:pStyle w:val="Tabletext"/>
              <w:ind w:left="-110" w:right="-94"/>
              <w:jc w:val="center"/>
              <w:rPr>
                <w:b/>
              </w:rPr>
            </w:pPr>
            <w:r w:rsidRPr="007A70FB">
              <w:rPr>
                <w:b/>
              </w:rPr>
              <w:t>Study 1001</w:t>
            </w:r>
          </w:p>
        </w:tc>
        <w:tc>
          <w:tcPr>
            <w:tcW w:w="354" w:type="pct"/>
            <w:tcBorders>
              <w:bottom w:val="nil"/>
            </w:tcBorders>
            <w:shd w:val="clear" w:color="auto" w:fill="auto"/>
            <w:vAlign w:val="center"/>
          </w:tcPr>
          <w:p w:rsidR="00536A65" w:rsidRPr="007A70FB" w:rsidRDefault="00536A65" w:rsidP="0000736B">
            <w:pPr>
              <w:pStyle w:val="Tabletext"/>
              <w:ind w:left="-110" w:right="-46"/>
              <w:jc w:val="center"/>
              <w:rPr>
                <w:b/>
              </w:rPr>
            </w:pPr>
            <w:r w:rsidRPr="007A70FB">
              <w:rPr>
                <w:b/>
              </w:rPr>
              <w:t>NP28761</w:t>
            </w:r>
          </w:p>
        </w:tc>
        <w:tc>
          <w:tcPr>
            <w:tcW w:w="409" w:type="pct"/>
            <w:tcBorders>
              <w:bottom w:val="nil"/>
            </w:tcBorders>
            <w:shd w:val="clear" w:color="auto" w:fill="auto"/>
            <w:vAlign w:val="center"/>
          </w:tcPr>
          <w:p w:rsidR="00536A65" w:rsidRPr="007A70FB" w:rsidRDefault="00536A65" w:rsidP="0000736B">
            <w:pPr>
              <w:pStyle w:val="Tabletext"/>
              <w:ind w:left="-110" w:right="-46"/>
              <w:jc w:val="center"/>
              <w:rPr>
                <w:b/>
              </w:rPr>
            </w:pPr>
            <w:r w:rsidRPr="007A70FB">
              <w:rPr>
                <w:b/>
              </w:rPr>
              <w:t>NP28673</w:t>
            </w:r>
          </w:p>
        </w:tc>
        <w:tc>
          <w:tcPr>
            <w:tcW w:w="409" w:type="pct"/>
            <w:tcBorders>
              <w:bottom w:val="nil"/>
            </w:tcBorders>
            <w:shd w:val="clear" w:color="auto" w:fill="auto"/>
            <w:vAlign w:val="center"/>
          </w:tcPr>
          <w:p w:rsidR="00536A65" w:rsidRPr="007A70FB" w:rsidRDefault="00536A65" w:rsidP="0000736B">
            <w:pPr>
              <w:pStyle w:val="Tabletext"/>
              <w:ind w:left="-110" w:right="-46"/>
              <w:jc w:val="center"/>
              <w:rPr>
                <w:b/>
              </w:rPr>
            </w:pPr>
            <w:r w:rsidRPr="007A70FB">
              <w:rPr>
                <w:b/>
              </w:rPr>
              <w:t>Pooled total</w:t>
            </w:r>
          </w:p>
        </w:tc>
        <w:tc>
          <w:tcPr>
            <w:tcW w:w="410" w:type="pct"/>
            <w:tcBorders>
              <w:bottom w:val="nil"/>
            </w:tcBorders>
            <w:shd w:val="clear" w:color="auto" w:fill="auto"/>
            <w:vAlign w:val="center"/>
          </w:tcPr>
          <w:p w:rsidR="00536A65" w:rsidRPr="007A70FB" w:rsidRDefault="00536A65" w:rsidP="0000736B">
            <w:pPr>
              <w:pStyle w:val="Tabletext"/>
              <w:ind w:left="-110" w:right="-46"/>
              <w:jc w:val="center"/>
              <w:rPr>
                <w:b/>
              </w:rPr>
            </w:pPr>
            <w:r w:rsidRPr="007A70FB">
              <w:rPr>
                <w:b/>
              </w:rPr>
              <w:t>ALUR</w:t>
            </w:r>
          </w:p>
        </w:tc>
        <w:tc>
          <w:tcPr>
            <w:tcW w:w="409" w:type="pct"/>
            <w:tcBorders>
              <w:bottom w:val="nil"/>
            </w:tcBorders>
            <w:shd w:val="clear" w:color="auto" w:fill="auto"/>
            <w:vAlign w:val="center"/>
          </w:tcPr>
          <w:p w:rsidR="00536A65" w:rsidRPr="007A70FB" w:rsidRDefault="00536A65" w:rsidP="0000736B">
            <w:pPr>
              <w:pStyle w:val="Tabletext"/>
              <w:ind w:left="-110" w:right="-46"/>
              <w:jc w:val="center"/>
              <w:rPr>
                <w:b/>
              </w:rPr>
            </w:pPr>
            <w:r w:rsidRPr="007A70FB">
              <w:rPr>
                <w:b/>
              </w:rPr>
              <w:t>ASCEND-1</w:t>
            </w:r>
          </w:p>
        </w:tc>
        <w:tc>
          <w:tcPr>
            <w:tcW w:w="409" w:type="pct"/>
            <w:tcBorders>
              <w:bottom w:val="nil"/>
            </w:tcBorders>
            <w:shd w:val="clear" w:color="auto" w:fill="auto"/>
            <w:vAlign w:val="center"/>
          </w:tcPr>
          <w:p w:rsidR="00536A65" w:rsidRPr="007A70FB" w:rsidRDefault="00536A65" w:rsidP="0000736B">
            <w:pPr>
              <w:pStyle w:val="Tabletext"/>
              <w:ind w:left="-110" w:right="-46"/>
              <w:jc w:val="center"/>
              <w:rPr>
                <w:b/>
              </w:rPr>
            </w:pPr>
            <w:r w:rsidRPr="007A70FB">
              <w:rPr>
                <w:b/>
              </w:rPr>
              <w:t>ASCEND-2</w:t>
            </w:r>
          </w:p>
        </w:tc>
        <w:tc>
          <w:tcPr>
            <w:tcW w:w="409" w:type="pct"/>
            <w:tcBorders>
              <w:bottom w:val="nil"/>
            </w:tcBorders>
            <w:shd w:val="clear" w:color="auto" w:fill="auto"/>
            <w:vAlign w:val="center"/>
          </w:tcPr>
          <w:p w:rsidR="00536A65" w:rsidRPr="007A70FB" w:rsidRDefault="00536A65" w:rsidP="0000736B">
            <w:pPr>
              <w:pStyle w:val="Tabletext"/>
              <w:ind w:left="-110" w:right="-46"/>
              <w:jc w:val="center"/>
              <w:rPr>
                <w:b/>
              </w:rPr>
            </w:pPr>
            <w:r w:rsidRPr="007A70FB">
              <w:rPr>
                <w:b/>
              </w:rPr>
              <w:t>ASCEND-5</w:t>
            </w:r>
          </w:p>
        </w:tc>
        <w:tc>
          <w:tcPr>
            <w:tcW w:w="409" w:type="pct"/>
            <w:tcBorders>
              <w:bottom w:val="nil"/>
            </w:tcBorders>
            <w:shd w:val="clear" w:color="auto" w:fill="auto"/>
            <w:vAlign w:val="center"/>
          </w:tcPr>
          <w:p w:rsidR="00536A65" w:rsidRPr="007A70FB" w:rsidRDefault="00536A65" w:rsidP="0000736B">
            <w:pPr>
              <w:pStyle w:val="Tabletext"/>
              <w:ind w:left="-110" w:right="-46"/>
              <w:jc w:val="center"/>
              <w:rPr>
                <w:b/>
              </w:rPr>
            </w:pPr>
            <w:r w:rsidRPr="007A70FB">
              <w:rPr>
                <w:b/>
              </w:rPr>
              <w:t>ASCEND-9</w:t>
            </w:r>
          </w:p>
        </w:tc>
        <w:tc>
          <w:tcPr>
            <w:tcW w:w="818" w:type="pct"/>
            <w:gridSpan w:val="2"/>
            <w:shd w:val="clear" w:color="auto" w:fill="auto"/>
            <w:vAlign w:val="center"/>
          </w:tcPr>
          <w:p w:rsidR="00536A65" w:rsidRPr="007A70FB" w:rsidRDefault="00536A65" w:rsidP="0000736B">
            <w:pPr>
              <w:pStyle w:val="Tabletext"/>
              <w:ind w:left="-110" w:right="-46"/>
              <w:jc w:val="center"/>
              <w:rPr>
                <w:b/>
              </w:rPr>
            </w:pPr>
            <w:r w:rsidRPr="007A70FB">
              <w:rPr>
                <w:b/>
              </w:rPr>
              <w:t>ALTA</w:t>
            </w:r>
            <w:r w:rsidR="0000736B" w:rsidRPr="007A70FB">
              <w:rPr>
                <w:b/>
                <w:vertAlign w:val="superscript"/>
              </w:rPr>
              <w:t>a</w:t>
            </w:r>
          </w:p>
        </w:tc>
      </w:tr>
      <w:tr w:rsidR="00536A65" w:rsidRPr="007A70FB" w:rsidTr="003C0A1D">
        <w:trPr>
          <w:tblHeader/>
        </w:trPr>
        <w:tc>
          <w:tcPr>
            <w:tcW w:w="500" w:type="pct"/>
            <w:vMerge/>
            <w:shd w:val="clear" w:color="auto" w:fill="auto"/>
            <w:vAlign w:val="center"/>
          </w:tcPr>
          <w:p w:rsidR="00536A65" w:rsidRPr="007A70FB" w:rsidRDefault="00536A65" w:rsidP="0000736B">
            <w:pPr>
              <w:pStyle w:val="Tabletext"/>
              <w:ind w:left="-38"/>
              <w:rPr>
                <w:b/>
                <w:highlight w:val="yellow"/>
              </w:rPr>
            </w:pPr>
          </w:p>
        </w:tc>
        <w:tc>
          <w:tcPr>
            <w:tcW w:w="463" w:type="pct"/>
            <w:tcBorders>
              <w:top w:val="nil"/>
              <w:bottom w:val="single" w:sz="4" w:space="0" w:color="auto"/>
            </w:tcBorders>
            <w:shd w:val="clear" w:color="auto" w:fill="auto"/>
            <w:vAlign w:val="center"/>
          </w:tcPr>
          <w:p w:rsidR="00536A65" w:rsidRPr="007A70FB" w:rsidRDefault="00536A65" w:rsidP="0000736B">
            <w:pPr>
              <w:pStyle w:val="Tabletext"/>
              <w:ind w:left="-110" w:right="-94"/>
              <w:jc w:val="center"/>
              <w:rPr>
                <w:b/>
              </w:rPr>
            </w:pPr>
          </w:p>
        </w:tc>
        <w:tc>
          <w:tcPr>
            <w:tcW w:w="354" w:type="pct"/>
            <w:tcBorders>
              <w:top w:val="nil"/>
              <w:bottom w:val="single" w:sz="4" w:space="0" w:color="auto"/>
            </w:tcBorders>
            <w:shd w:val="clear" w:color="auto" w:fill="auto"/>
            <w:vAlign w:val="center"/>
          </w:tcPr>
          <w:p w:rsidR="00536A65" w:rsidRPr="007A70FB" w:rsidRDefault="00536A65" w:rsidP="0000736B">
            <w:pPr>
              <w:pStyle w:val="Tabletext"/>
              <w:ind w:left="-110" w:right="-46"/>
              <w:jc w:val="center"/>
              <w:rPr>
                <w:b/>
              </w:rPr>
            </w:pPr>
          </w:p>
        </w:tc>
        <w:tc>
          <w:tcPr>
            <w:tcW w:w="409" w:type="pct"/>
            <w:tcBorders>
              <w:top w:val="nil"/>
              <w:bottom w:val="single" w:sz="4" w:space="0" w:color="auto"/>
            </w:tcBorders>
            <w:shd w:val="clear" w:color="auto" w:fill="auto"/>
            <w:vAlign w:val="center"/>
          </w:tcPr>
          <w:p w:rsidR="00536A65" w:rsidRPr="007A70FB" w:rsidRDefault="00536A65" w:rsidP="0000736B">
            <w:pPr>
              <w:pStyle w:val="Tabletext"/>
              <w:ind w:left="-110" w:right="-46"/>
              <w:jc w:val="center"/>
              <w:rPr>
                <w:b/>
              </w:rPr>
            </w:pPr>
          </w:p>
        </w:tc>
        <w:tc>
          <w:tcPr>
            <w:tcW w:w="409" w:type="pct"/>
            <w:tcBorders>
              <w:top w:val="nil"/>
              <w:bottom w:val="single" w:sz="4" w:space="0" w:color="auto"/>
            </w:tcBorders>
            <w:shd w:val="clear" w:color="auto" w:fill="auto"/>
            <w:vAlign w:val="center"/>
          </w:tcPr>
          <w:p w:rsidR="00536A65" w:rsidRPr="007A70FB" w:rsidRDefault="00536A65" w:rsidP="0000736B">
            <w:pPr>
              <w:pStyle w:val="Tabletext"/>
              <w:ind w:left="-110" w:right="-46"/>
              <w:jc w:val="center"/>
              <w:rPr>
                <w:b/>
              </w:rPr>
            </w:pPr>
          </w:p>
        </w:tc>
        <w:tc>
          <w:tcPr>
            <w:tcW w:w="410" w:type="pct"/>
            <w:tcBorders>
              <w:top w:val="nil"/>
              <w:bottom w:val="single" w:sz="4" w:space="0" w:color="auto"/>
            </w:tcBorders>
            <w:shd w:val="clear" w:color="auto" w:fill="auto"/>
            <w:vAlign w:val="center"/>
          </w:tcPr>
          <w:p w:rsidR="00536A65" w:rsidRPr="007A70FB" w:rsidRDefault="00536A65" w:rsidP="0000736B">
            <w:pPr>
              <w:pStyle w:val="Tabletext"/>
              <w:ind w:left="-110" w:right="-46"/>
              <w:jc w:val="center"/>
              <w:rPr>
                <w:b/>
              </w:rPr>
            </w:pPr>
          </w:p>
        </w:tc>
        <w:tc>
          <w:tcPr>
            <w:tcW w:w="409" w:type="pct"/>
            <w:tcBorders>
              <w:top w:val="nil"/>
              <w:bottom w:val="single" w:sz="4" w:space="0" w:color="auto"/>
            </w:tcBorders>
            <w:shd w:val="clear" w:color="auto" w:fill="auto"/>
            <w:vAlign w:val="center"/>
          </w:tcPr>
          <w:p w:rsidR="00536A65" w:rsidRPr="007A70FB" w:rsidRDefault="00536A65" w:rsidP="0000736B">
            <w:pPr>
              <w:pStyle w:val="Tabletext"/>
              <w:ind w:left="-110" w:right="-46"/>
              <w:jc w:val="center"/>
              <w:rPr>
                <w:b/>
              </w:rPr>
            </w:pPr>
          </w:p>
        </w:tc>
        <w:tc>
          <w:tcPr>
            <w:tcW w:w="409" w:type="pct"/>
            <w:tcBorders>
              <w:top w:val="nil"/>
              <w:bottom w:val="single" w:sz="4" w:space="0" w:color="auto"/>
            </w:tcBorders>
            <w:shd w:val="clear" w:color="auto" w:fill="auto"/>
            <w:vAlign w:val="center"/>
          </w:tcPr>
          <w:p w:rsidR="00536A65" w:rsidRPr="007A70FB" w:rsidRDefault="00536A65" w:rsidP="0000736B">
            <w:pPr>
              <w:pStyle w:val="Tabletext"/>
              <w:ind w:left="-110" w:right="-46"/>
              <w:jc w:val="center"/>
              <w:rPr>
                <w:b/>
              </w:rPr>
            </w:pPr>
          </w:p>
        </w:tc>
        <w:tc>
          <w:tcPr>
            <w:tcW w:w="409" w:type="pct"/>
            <w:tcBorders>
              <w:top w:val="nil"/>
              <w:bottom w:val="single" w:sz="4" w:space="0" w:color="auto"/>
            </w:tcBorders>
            <w:shd w:val="clear" w:color="auto" w:fill="auto"/>
            <w:vAlign w:val="center"/>
          </w:tcPr>
          <w:p w:rsidR="00536A65" w:rsidRPr="007A70FB" w:rsidRDefault="00536A65" w:rsidP="0000736B">
            <w:pPr>
              <w:pStyle w:val="Tabletext"/>
              <w:ind w:left="-110" w:right="-46"/>
              <w:jc w:val="center"/>
              <w:rPr>
                <w:b/>
              </w:rPr>
            </w:pPr>
          </w:p>
        </w:tc>
        <w:tc>
          <w:tcPr>
            <w:tcW w:w="409" w:type="pct"/>
            <w:tcBorders>
              <w:top w:val="nil"/>
              <w:bottom w:val="single" w:sz="4" w:space="0" w:color="auto"/>
            </w:tcBorders>
            <w:shd w:val="clear" w:color="auto" w:fill="auto"/>
            <w:vAlign w:val="center"/>
          </w:tcPr>
          <w:p w:rsidR="00536A65" w:rsidRPr="007A70FB" w:rsidRDefault="00536A65" w:rsidP="0000736B">
            <w:pPr>
              <w:pStyle w:val="Tabletext"/>
              <w:ind w:left="-110" w:right="-46"/>
              <w:jc w:val="center"/>
              <w:rPr>
                <w:b/>
              </w:rPr>
            </w:pPr>
          </w:p>
        </w:tc>
        <w:tc>
          <w:tcPr>
            <w:tcW w:w="409" w:type="pct"/>
            <w:tcBorders>
              <w:bottom w:val="single" w:sz="4" w:space="0" w:color="auto"/>
            </w:tcBorders>
            <w:shd w:val="clear" w:color="auto" w:fill="auto"/>
            <w:vAlign w:val="center"/>
          </w:tcPr>
          <w:p w:rsidR="00536A65" w:rsidRPr="007A70FB" w:rsidRDefault="00536A65" w:rsidP="0000736B">
            <w:pPr>
              <w:pStyle w:val="Tabletext"/>
              <w:ind w:left="-110" w:right="-46"/>
              <w:jc w:val="center"/>
              <w:rPr>
                <w:b/>
              </w:rPr>
            </w:pPr>
            <w:r w:rsidRPr="007A70FB">
              <w:rPr>
                <w:b/>
              </w:rPr>
              <w:t>90 mg</w:t>
            </w:r>
          </w:p>
        </w:tc>
        <w:tc>
          <w:tcPr>
            <w:tcW w:w="409" w:type="pct"/>
            <w:tcBorders>
              <w:bottom w:val="single" w:sz="4" w:space="0" w:color="auto"/>
            </w:tcBorders>
            <w:shd w:val="clear" w:color="auto" w:fill="auto"/>
            <w:vAlign w:val="center"/>
          </w:tcPr>
          <w:p w:rsidR="00536A65" w:rsidRPr="007A70FB" w:rsidRDefault="00536A65" w:rsidP="0000736B">
            <w:pPr>
              <w:pStyle w:val="Tabletext"/>
              <w:ind w:left="-110" w:right="-46"/>
              <w:jc w:val="center"/>
              <w:rPr>
                <w:b/>
              </w:rPr>
            </w:pPr>
            <w:r w:rsidRPr="007A70FB">
              <w:rPr>
                <w:b/>
              </w:rPr>
              <w:t>90→180 mg</w:t>
            </w:r>
          </w:p>
        </w:tc>
      </w:tr>
      <w:tr w:rsidR="00536A65" w:rsidRPr="007A70FB" w:rsidTr="003C0A1D">
        <w:trPr>
          <w:tblHeader/>
        </w:trPr>
        <w:tc>
          <w:tcPr>
            <w:tcW w:w="500" w:type="pct"/>
            <w:vMerge/>
            <w:tcBorders>
              <w:bottom w:val="single" w:sz="4" w:space="0" w:color="auto"/>
            </w:tcBorders>
            <w:shd w:val="clear" w:color="auto" w:fill="auto"/>
            <w:vAlign w:val="center"/>
          </w:tcPr>
          <w:p w:rsidR="00536A65" w:rsidRPr="007A70FB" w:rsidRDefault="00536A65" w:rsidP="0000736B">
            <w:pPr>
              <w:pStyle w:val="Tabletext"/>
              <w:ind w:left="-38"/>
              <w:rPr>
                <w:b/>
                <w:highlight w:val="yellow"/>
              </w:rPr>
            </w:pPr>
          </w:p>
        </w:tc>
        <w:tc>
          <w:tcPr>
            <w:tcW w:w="463" w:type="pct"/>
            <w:tcBorders>
              <w:bottom w:val="single" w:sz="4" w:space="0" w:color="auto"/>
            </w:tcBorders>
            <w:shd w:val="clear" w:color="auto" w:fill="auto"/>
            <w:vAlign w:val="center"/>
          </w:tcPr>
          <w:p w:rsidR="00536A65" w:rsidRPr="007A70FB" w:rsidRDefault="00536A65" w:rsidP="0000736B">
            <w:pPr>
              <w:pStyle w:val="Tabletext"/>
              <w:ind w:left="-110" w:right="-94"/>
              <w:jc w:val="center"/>
              <w:rPr>
                <w:b/>
              </w:rPr>
            </w:pPr>
            <w:r w:rsidRPr="007A70FB">
              <w:rPr>
                <w:b/>
              </w:rPr>
              <w:t>N= 295</w:t>
            </w:r>
            <w:r w:rsidRPr="007A70FB">
              <w:rPr>
                <w:b/>
                <w:vertAlign w:val="superscript"/>
              </w:rPr>
              <w:t>d</w:t>
            </w:r>
          </w:p>
        </w:tc>
        <w:tc>
          <w:tcPr>
            <w:tcW w:w="354" w:type="pct"/>
            <w:tcBorders>
              <w:bottom w:val="single" w:sz="4" w:space="0" w:color="auto"/>
            </w:tcBorders>
            <w:shd w:val="clear" w:color="auto" w:fill="auto"/>
            <w:vAlign w:val="center"/>
          </w:tcPr>
          <w:p w:rsidR="00536A65" w:rsidRPr="007A70FB" w:rsidRDefault="00536A65" w:rsidP="0000736B">
            <w:pPr>
              <w:pStyle w:val="Tabletext"/>
              <w:ind w:left="-110" w:right="-46"/>
              <w:jc w:val="center"/>
              <w:rPr>
                <w:b/>
              </w:rPr>
            </w:pPr>
            <w:r w:rsidRPr="007A70FB">
              <w:rPr>
                <w:b/>
              </w:rPr>
              <w:t>N=87</w:t>
            </w:r>
          </w:p>
        </w:tc>
        <w:tc>
          <w:tcPr>
            <w:tcW w:w="409" w:type="pct"/>
            <w:tcBorders>
              <w:bottom w:val="single" w:sz="4" w:space="0" w:color="auto"/>
            </w:tcBorders>
            <w:shd w:val="clear" w:color="auto" w:fill="auto"/>
            <w:vAlign w:val="center"/>
          </w:tcPr>
          <w:p w:rsidR="00536A65" w:rsidRPr="007A70FB" w:rsidRDefault="00536A65" w:rsidP="0000736B">
            <w:pPr>
              <w:pStyle w:val="Tabletext"/>
              <w:ind w:left="-110" w:right="-46"/>
              <w:jc w:val="center"/>
              <w:rPr>
                <w:b/>
              </w:rPr>
            </w:pPr>
            <w:r w:rsidRPr="007A70FB">
              <w:rPr>
                <w:b/>
              </w:rPr>
              <w:t>N=138</w:t>
            </w:r>
          </w:p>
        </w:tc>
        <w:tc>
          <w:tcPr>
            <w:tcW w:w="409" w:type="pct"/>
            <w:tcBorders>
              <w:bottom w:val="single" w:sz="4" w:space="0" w:color="auto"/>
            </w:tcBorders>
            <w:shd w:val="clear" w:color="auto" w:fill="auto"/>
            <w:vAlign w:val="center"/>
          </w:tcPr>
          <w:p w:rsidR="00536A65" w:rsidRPr="007A70FB" w:rsidRDefault="00536A65" w:rsidP="0000736B">
            <w:pPr>
              <w:pStyle w:val="Tabletext"/>
              <w:ind w:left="-110" w:right="-46"/>
              <w:jc w:val="center"/>
              <w:rPr>
                <w:b/>
              </w:rPr>
            </w:pPr>
            <w:r w:rsidRPr="007A70FB">
              <w:rPr>
                <w:b/>
              </w:rPr>
              <w:t>N=253</w:t>
            </w:r>
          </w:p>
        </w:tc>
        <w:tc>
          <w:tcPr>
            <w:tcW w:w="410" w:type="pct"/>
            <w:tcBorders>
              <w:bottom w:val="single" w:sz="4" w:space="0" w:color="auto"/>
            </w:tcBorders>
            <w:shd w:val="clear" w:color="auto" w:fill="auto"/>
            <w:vAlign w:val="center"/>
          </w:tcPr>
          <w:p w:rsidR="00536A65" w:rsidRPr="007A70FB" w:rsidRDefault="00536A65" w:rsidP="0000736B">
            <w:pPr>
              <w:pStyle w:val="Tabletext"/>
              <w:ind w:left="-110" w:right="-46"/>
              <w:jc w:val="center"/>
              <w:rPr>
                <w:b/>
              </w:rPr>
            </w:pPr>
            <w:r w:rsidRPr="007A70FB">
              <w:rPr>
                <w:b/>
              </w:rPr>
              <w:t>N=70</w:t>
            </w:r>
          </w:p>
        </w:tc>
        <w:tc>
          <w:tcPr>
            <w:tcW w:w="409" w:type="pct"/>
            <w:tcBorders>
              <w:bottom w:val="single" w:sz="4" w:space="0" w:color="auto"/>
            </w:tcBorders>
            <w:shd w:val="clear" w:color="auto" w:fill="auto"/>
            <w:vAlign w:val="center"/>
          </w:tcPr>
          <w:p w:rsidR="00536A65" w:rsidRPr="007A70FB" w:rsidRDefault="00536A65" w:rsidP="0000736B">
            <w:pPr>
              <w:pStyle w:val="Tabletext"/>
              <w:ind w:left="-110" w:right="-46"/>
              <w:jc w:val="center"/>
              <w:rPr>
                <w:b/>
              </w:rPr>
            </w:pPr>
            <w:r w:rsidRPr="007A70FB">
              <w:rPr>
                <w:b/>
              </w:rPr>
              <w:t>N=246</w:t>
            </w:r>
            <w:r w:rsidRPr="007A70FB">
              <w:rPr>
                <w:b/>
                <w:vertAlign w:val="superscript"/>
              </w:rPr>
              <w:t>b</w:t>
            </w:r>
          </w:p>
        </w:tc>
        <w:tc>
          <w:tcPr>
            <w:tcW w:w="409" w:type="pct"/>
            <w:tcBorders>
              <w:bottom w:val="single" w:sz="4" w:space="0" w:color="auto"/>
            </w:tcBorders>
            <w:shd w:val="clear" w:color="auto" w:fill="auto"/>
            <w:vAlign w:val="center"/>
          </w:tcPr>
          <w:p w:rsidR="00536A65" w:rsidRPr="007A70FB" w:rsidRDefault="00536A65" w:rsidP="0000736B">
            <w:pPr>
              <w:pStyle w:val="Tabletext"/>
              <w:ind w:left="-110" w:right="-46"/>
              <w:jc w:val="center"/>
              <w:rPr>
                <w:b/>
              </w:rPr>
            </w:pPr>
            <w:r w:rsidRPr="007A70FB">
              <w:rPr>
                <w:b/>
              </w:rPr>
              <w:t>N=140</w:t>
            </w:r>
          </w:p>
        </w:tc>
        <w:tc>
          <w:tcPr>
            <w:tcW w:w="409" w:type="pct"/>
            <w:tcBorders>
              <w:bottom w:val="single" w:sz="4" w:space="0" w:color="auto"/>
            </w:tcBorders>
            <w:shd w:val="clear" w:color="auto" w:fill="auto"/>
            <w:vAlign w:val="center"/>
          </w:tcPr>
          <w:p w:rsidR="00536A65" w:rsidRPr="007A70FB" w:rsidRDefault="00536A65" w:rsidP="0000736B">
            <w:pPr>
              <w:pStyle w:val="Tabletext"/>
              <w:ind w:left="-110" w:right="-46"/>
              <w:jc w:val="center"/>
              <w:rPr>
                <w:b/>
              </w:rPr>
            </w:pPr>
            <w:r w:rsidRPr="007A70FB">
              <w:rPr>
                <w:b/>
              </w:rPr>
              <w:t>N=115</w:t>
            </w:r>
          </w:p>
        </w:tc>
        <w:tc>
          <w:tcPr>
            <w:tcW w:w="409" w:type="pct"/>
            <w:tcBorders>
              <w:bottom w:val="single" w:sz="4" w:space="0" w:color="auto"/>
            </w:tcBorders>
            <w:shd w:val="clear" w:color="auto" w:fill="auto"/>
            <w:vAlign w:val="center"/>
          </w:tcPr>
          <w:p w:rsidR="00536A65" w:rsidRPr="007A70FB" w:rsidRDefault="00536A65" w:rsidP="0000736B">
            <w:pPr>
              <w:pStyle w:val="Tabletext"/>
              <w:ind w:left="-110" w:right="-46"/>
              <w:jc w:val="center"/>
              <w:rPr>
                <w:b/>
              </w:rPr>
            </w:pPr>
            <w:r w:rsidRPr="007A70FB">
              <w:rPr>
                <w:b/>
              </w:rPr>
              <w:t>N=20</w:t>
            </w:r>
          </w:p>
        </w:tc>
        <w:tc>
          <w:tcPr>
            <w:tcW w:w="409" w:type="pct"/>
            <w:tcBorders>
              <w:bottom w:val="single" w:sz="4" w:space="0" w:color="auto"/>
            </w:tcBorders>
            <w:shd w:val="clear" w:color="auto" w:fill="auto"/>
            <w:vAlign w:val="center"/>
          </w:tcPr>
          <w:p w:rsidR="00536A65" w:rsidRPr="007A70FB" w:rsidRDefault="00536A65" w:rsidP="0000736B">
            <w:pPr>
              <w:pStyle w:val="Tabletext"/>
              <w:ind w:left="-110" w:right="-46"/>
              <w:jc w:val="center"/>
              <w:rPr>
                <w:b/>
              </w:rPr>
            </w:pPr>
            <w:r w:rsidRPr="007A70FB">
              <w:rPr>
                <w:b/>
              </w:rPr>
              <w:t>N=109</w:t>
            </w:r>
          </w:p>
        </w:tc>
        <w:tc>
          <w:tcPr>
            <w:tcW w:w="409" w:type="pct"/>
            <w:tcBorders>
              <w:bottom w:val="single" w:sz="4" w:space="0" w:color="auto"/>
            </w:tcBorders>
            <w:shd w:val="clear" w:color="auto" w:fill="auto"/>
            <w:vAlign w:val="center"/>
          </w:tcPr>
          <w:p w:rsidR="00536A65" w:rsidRPr="007A70FB" w:rsidRDefault="00536A65" w:rsidP="0000736B">
            <w:pPr>
              <w:pStyle w:val="Tabletext"/>
              <w:ind w:left="-110" w:right="-46"/>
              <w:jc w:val="center"/>
              <w:rPr>
                <w:b/>
              </w:rPr>
            </w:pPr>
            <w:r w:rsidRPr="007A70FB">
              <w:rPr>
                <w:b/>
              </w:rPr>
              <w:t>N=110</w:t>
            </w:r>
          </w:p>
        </w:tc>
      </w:tr>
      <w:tr w:rsidR="00536A65" w:rsidRPr="007A70FB" w:rsidTr="003C0A1D">
        <w:tc>
          <w:tcPr>
            <w:tcW w:w="500" w:type="pct"/>
            <w:tcBorders>
              <w:bottom w:val="single" w:sz="4" w:space="0" w:color="auto"/>
            </w:tcBorders>
            <w:shd w:val="clear" w:color="auto" w:fill="auto"/>
            <w:vAlign w:val="center"/>
          </w:tcPr>
          <w:p w:rsidR="00536A65" w:rsidRPr="007A70FB" w:rsidRDefault="00536A65" w:rsidP="0000736B">
            <w:pPr>
              <w:pStyle w:val="Tabletext"/>
              <w:ind w:left="-78" w:right="-72"/>
              <w:rPr>
                <w:bCs/>
              </w:rPr>
            </w:pPr>
            <w:r w:rsidRPr="007A70FB">
              <w:rPr>
                <w:bCs/>
              </w:rPr>
              <w:t>Treatment duration (weeks)</w:t>
            </w:r>
            <w:r w:rsidRPr="007A70FB">
              <w:rPr>
                <w:iCs/>
                <w:vertAlign w:val="superscript"/>
              </w:rPr>
              <w:t>c</w:t>
            </w:r>
            <w:r w:rsidRPr="007A70FB">
              <w:rPr>
                <w:bCs/>
              </w:rPr>
              <w:t>,  mean (range)</w:t>
            </w:r>
          </w:p>
        </w:tc>
        <w:tc>
          <w:tcPr>
            <w:tcW w:w="463" w:type="pct"/>
            <w:tcBorders>
              <w:top w:val="single" w:sz="4" w:space="0" w:color="auto"/>
              <w:bottom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59.9</w:t>
            </w:r>
            <w:r w:rsidRPr="007A70FB">
              <w:rPr>
                <w:i/>
              </w:rPr>
              <w:br/>
              <w:t>(0.1, 172.7)</w:t>
            </w:r>
          </w:p>
        </w:tc>
        <w:tc>
          <w:tcPr>
            <w:tcW w:w="354" w:type="pct"/>
            <w:tcBorders>
              <w:top w:val="single" w:sz="4" w:space="0" w:color="auto"/>
              <w:bottom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 xml:space="preserve">51.0 </w:t>
            </w:r>
            <w:r w:rsidRPr="007A70FB">
              <w:rPr>
                <w:i/>
              </w:rPr>
              <w:br/>
              <w:t>(3.0, 124)</w:t>
            </w:r>
          </w:p>
        </w:tc>
        <w:tc>
          <w:tcPr>
            <w:tcW w:w="409" w:type="pct"/>
            <w:tcBorders>
              <w:top w:val="single" w:sz="4" w:space="0" w:color="auto"/>
              <w:bottom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 xml:space="preserve">60.7 </w:t>
            </w:r>
            <w:r w:rsidRPr="007A70FB">
              <w:rPr>
                <w:i/>
              </w:rPr>
              <w:br/>
              <w:t>(2.4, 129.0)</w:t>
            </w:r>
          </w:p>
        </w:tc>
        <w:tc>
          <w:tcPr>
            <w:tcW w:w="409" w:type="pct"/>
            <w:tcBorders>
              <w:top w:val="single" w:sz="4" w:space="0" w:color="auto"/>
              <w:bottom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 xml:space="preserve">56.9 </w:t>
            </w:r>
            <w:r w:rsidRPr="007A70FB">
              <w:rPr>
                <w:i/>
              </w:rPr>
              <w:br/>
              <w:t>(0.1, 152.6)</w:t>
            </w:r>
          </w:p>
        </w:tc>
        <w:tc>
          <w:tcPr>
            <w:tcW w:w="410" w:type="pct"/>
            <w:tcBorders>
              <w:top w:val="single" w:sz="4" w:space="0" w:color="auto"/>
              <w:bottom w:val="single" w:sz="4" w:space="0" w:color="auto"/>
            </w:tcBorders>
            <w:shd w:val="clear" w:color="auto" w:fill="auto"/>
            <w:vAlign w:val="center"/>
          </w:tcPr>
          <w:p w:rsidR="00536A65" w:rsidRPr="007A70FB" w:rsidRDefault="00536A65" w:rsidP="0000736B">
            <w:pPr>
              <w:pStyle w:val="Tabletext"/>
              <w:ind w:left="-110" w:right="-46"/>
              <w:jc w:val="center"/>
            </w:pPr>
            <w:r w:rsidRPr="007A70FB">
              <w:t>Median</w:t>
            </w:r>
          </w:p>
          <w:p w:rsidR="00536A65" w:rsidRPr="007A70FB" w:rsidRDefault="00536A65" w:rsidP="0000736B">
            <w:pPr>
              <w:pStyle w:val="Tabletext"/>
              <w:ind w:left="-110" w:right="-46"/>
              <w:jc w:val="center"/>
            </w:pPr>
            <w:r w:rsidRPr="007A70FB">
              <w:t xml:space="preserve">20.1 </w:t>
            </w:r>
            <w:r w:rsidRPr="007A70FB">
              <w:br/>
              <w:t>(0.4, 62.1)</w:t>
            </w:r>
          </w:p>
        </w:tc>
        <w:tc>
          <w:tcPr>
            <w:tcW w:w="409" w:type="pct"/>
            <w:tcBorders>
              <w:top w:val="single" w:sz="4" w:space="0" w:color="auto"/>
              <w:bottom w:val="single" w:sz="4" w:space="0" w:color="auto"/>
            </w:tcBorders>
            <w:shd w:val="clear" w:color="auto" w:fill="auto"/>
            <w:vAlign w:val="center"/>
          </w:tcPr>
          <w:p w:rsidR="00536A65" w:rsidRPr="007A70FB" w:rsidRDefault="00536A65" w:rsidP="0000736B">
            <w:pPr>
              <w:pStyle w:val="Tabletext"/>
              <w:ind w:left="-110" w:right="-46"/>
              <w:jc w:val="center"/>
            </w:pPr>
            <w:r w:rsidRPr="007A70FB">
              <w:t xml:space="preserve">Median </w:t>
            </w:r>
            <w:r w:rsidRPr="007A70FB">
              <w:br/>
              <w:t xml:space="preserve">38.6 </w:t>
            </w:r>
            <w:r w:rsidRPr="007A70FB">
              <w:br/>
              <w:t>(0.4, 105.9)</w:t>
            </w:r>
          </w:p>
        </w:tc>
        <w:tc>
          <w:tcPr>
            <w:tcW w:w="409" w:type="pct"/>
            <w:tcBorders>
              <w:top w:val="single" w:sz="4" w:space="0" w:color="auto"/>
              <w:bottom w:val="single" w:sz="4" w:space="0" w:color="auto"/>
            </w:tcBorders>
            <w:shd w:val="clear" w:color="auto" w:fill="auto"/>
            <w:vAlign w:val="center"/>
          </w:tcPr>
          <w:p w:rsidR="00536A65" w:rsidRPr="007A70FB" w:rsidRDefault="00536A65" w:rsidP="0000736B">
            <w:pPr>
              <w:pStyle w:val="Tabletext"/>
              <w:ind w:left="-110" w:right="-46"/>
              <w:jc w:val="center"/>
            </w:pPr>
            <w:r w:rsidRPr="007A70FB">
              <w:t>Median</w:t>
            </w:r>
          </w:p>
          <w:p w:rsidR="00536A65" w:rsidRPr="007A70FB" w:rsidRDefault="00536A65" w:rsidP="0000736B">
            <w:pPr>
              <w:pStyle w:val="Tabletext"/>
              <w:ind w:left="-110" w:right="-46"/>
              <w:jc w:val="center"/>
              <w:rPr>
                <w:i/>
              </w:rPr>
            </w:pPr>
            <w:r w:rsidRPr="007A70FB">
              <w:rPr>
                <w:i/>
              </w:rPr>
              <w:t>38.2</w:t>
            </w:r>
          </w:p>
          <w:p w:rsidR="00536A65" w:rsidRPr="007A70FB" w:rsidRDefault="00536A65" w:rsidP="0000736B">
            <w:pPr>
              <w:pStyle w:val="Tabletext"/>
              <w:ind w:left="-110" w:right="-46"/>
              <w:jc w:val="center"/>
              <w:rPr>
                <w:i/>
              </w:rPr>
            </w:pPr>
            <w:r w:rsidRPr="007A70FB">
              <w:rPr>
                <w:i/>
              </w:rPr>
              <w:t>(0.4-84.3)</w:t>
            </w:r>
          </w:p>
        </w:tc>
        <w:tc>
          <w:tcPr>
            <w:tcW w:w="409" w:type="pct"/>
            <w:tcBorders>
              <w:top w:val="single" w:sz="4" w:space="0" w:color="auto"/>
              <w:bottom w:val="single" w:sz="4" w:space="0" w:color="auto"/>
            </w:tcBorders>
            <w:shd w:val="clear" w:color="auto" w:fill="auto"/>
            <w:vAlign w:val="center"/>
          </w:tcPr>
          <w:p w:rsidR="00536A65" w:rsidRPr="007A70FB" w:rsidRDefault="00536A65" w:rsidP="0000736B">
            <w:pPr>
              <w:pStyle w:val="Tabletext"/>
              <w:ind w:left="-110" w:right="-46"/>
              <w:jc w:val="center"/>
            </w:pPr>
            <w:r w:rsidRPr="007A70FB">
              <w:t>Median</w:t>
            </w:r>
          </w:p>
          <w:p w:rsidR="00536A65" w:rsidRPr="007A70FB" w:rsidRDefault="00536A65" w:rsidP="0000736B">
            <w:pPr>
              <w:pStyle w:val="Tabletext"/>
              <w:ind w:left="-223" w:right="-169"/>
              <w:jc w:val="center"/>
            </w:pPr>
            <w:r w:rsidRPr="007A70FB">
              <w:t xml:space="preserve">30.3 </w:t>
            </w:r>
            <w:r w:rsidRPr="007A70FB">
              <w:br/>
              <w:t>(</w:t>
            </w:r>
            <w:r w:rsidRPr="007A70FB">
              <w:rPr>
                <w:i/>
              </w:rPr>
              <w:t>IQR</w:t>
            </w:r>
            <w:r w:rsidRPr="007A70FB">
              <w:rPr>
                <w:iCs/>
              </w:rPr>
              <w:t>:</w:t>
            </w:r>
            <w:r w:rsidRPr="007A70FB">
              <w:t>13.3, 54.1)</w:t>
            </w:r>
          </w:p>
        </w:tc>
        <w:tc>
          <w:tcPr>
            <w:tcW w:w="409" w:type="pct"/>
            <w:tcBorders>
              <w:top w:val="single" w:sz="4" w:space="0" w:color="auto"/>
              <w:bottom w:val="single" w:sz="4" w:space="0" w:color="auto"/>
            </w:tcBorders>
            <w:shd w:val="clear" w:color="auto" w:fill="auto"/>
            <w:vAlign w:val="center"/>
          </w:tcPr>
          <w:p w:rsidR="00536A65" w:rsidRPr="007A70FB" w:rsidRDefault="00536A65" w:rsidP="0000736B">
            <w:pPr>
              <w:pStyle w:val="Tabletext"/>
              <w:ind w:left="-110" w:right="-46"/>
              <w:jc w:val="center"/>
            </w:pPr>
            <w:r w:rsidRPr="007A70FB">
              <w:t>Median</w:t>
            </w:r>
          </w:p>
          <w:p w:rsidR="00536A65" w:rsidRPr="007A70FB" w:rsidRDefault="00536A65" w:rsidP="0000736B">
            <w:pPr>
              <w:pStyle w:val="Tabletext"/>
              <w:ind w:left="-110" w:right="-46"/>
              <w:jc w:val="center"/>
              <w:rPr>
                <w:iCs/>
              </w:rPr>
            </w:pPr>
            <w:r w:rsidRPr="007A70FB">
              <w:rPr>
                <w:i/>
              </w:rPr>
              <w:t>16.1</w:t>
            </w:r>
            <w:r w:rsidRPr="007A70FB">
              <w:rPr>
                <w:iCs/>
              </w:rPr>
              <w:t xml:space="preserve"> </w:t>
            </w:r>
            <w:r w:rsidRPr="007A70FB">
              <w:rPr>
                <w:iCs/>
              </w:rPr>
              <w:br/>
            </w:r>
            <w:r w:rsidRPr="007A70FB">
              <w:rPr>
                <w:i/>
              </w:rPr>
              <w:t>(1.7, 65.7)</w:t>
            </w:r>
          </w:p>
        </w:tc>
        <w:tc>
          <w:tcPr>
            <w:tcW w:w="409" w:type="pct"/>
            <w:tcBorders>
              <w:top w:val="single" w:sz="4" w:space="0" w:color="auto"/>
              <w:bottom w:val="single" w:sz="4" w:space="0" w:color="auto"/>
            </w:tcBorders>
            <w:shd w:val="clear" w:color="auto" w:fill="auto"/>
            <w:vAlign w:val="center"/>
          </w:tcPr>
          <w:p w:rsidR="00536A65" w:rsidRPr="007A70FB" w:rsidRDefault="00536A65" w:rsidP="0000736B">
            <w:pPr>
              <w:pStyle w:val="Tabletext"/>
              <w:ind w:left="-110" w:right="-46"/>
              <w:jc w:val="center"/>
              <w:rPr>
                <w:iCs/>
              </w:rPr>
            </w:pPr>
            <w:r w:rsidRPr="007A70FB">
              <w:rPr>
                <w:i/>
              </w:rPr>
              <w:t>64.9</w:t>
            </w:r>
            <w:r w:rsidRPr="007A70FB">
              <w:rPr>
                <w:iCs/>
              </w:rPr>
              <w:t xml:space="preserve"> </w:t>
            </w:r>
            <w:r w:rsidRPr="007A70FB">
              <w:rPr>
                <w:iCs/>
              </w:rPr>
              <w:br/>
            </w:r>
            <w:r w:rsidRPr="007A70FB">
              <w:rPr>
                <w:i/>
              </w:rPr>
              <w:t>(0.1, 152.3)</w:t>
            </w:r>
          </w:p>
        </w:tc>
        <w:tc>
          <w:tcPr>
            <w:tcW w:w="409" w:type="pct"/>
            <w:tcBorders>
              <w:top w:val="single" w:sz="4" w:space="0" w:color="auto"/>
              <w:bottom w:val="single" w:sz="4" w:space="0" w:color="auto"/>
            </w:tcBorders>
            <w:shd w:val="clear" w:color="auto" w:fill="auto"/>
            <w:vAlign w:val="center"/>
          </w:tcPr>
          <w:p w:rsidR="00536A65" w:rsidRPr="007A70FB" w:rsidRDefault="00536A65" w:rsidP="0000736B">
            <w:pPr>
              <w:pStyle w:val="Tabletext"/>
              <w:ind w:left="-110" w:right="-46"/>
              <w:jc w:val="center"/>
              <w:rPr>
                <w:iCs/>
              </w:rPr>
            </w:pPr>
            <w:r w:rsidRPr="007A70FB">
              <w:rPr>
                <w:i/>
              </w:rPr>
              <w:t>72.1</w:t>
            </w:r>
            <w:r w:rsidRPr="007A70FB">
              <w:rPr>
                <w:iCs/>
              </w:rPr>
              <w:t xml:space="preserve"> </w:t>
            </w:r>
            <w:r w:rsidRPr="007A70FB">
              <w:rPr>
                <w:iCs/>
              </w:rPr>
              <w:br/>
            </w:r>
            <w:r w:rsidRPr="007A70FB">
              <w:rPr>
                <w:i/>
              </w:rPr>
              <w:t>(0.3, 170.4)</w:t>
            </w:r>
          </w:p>
        </w:tc>
      </w:tr>
      <w:tr w:rsidR="00536A65" w:rsidRPr="007A70FB" w:rsidTr="003C0A1D">
        <w:tc>
          <w:tcPr>
            <w:tcW w:w="500" w:type="pct"/>
            <w:tcBorders>
              <w:bottom w:val="nil"/>
              <w:right w:val="single" w:sz="4" w:space="0" w:color="auto"/>
            </w:tcBorders>
            <w:vAlign w:val="center"/>
          </w:tcPr>
          <w:p w:rsidR="00536A65" w:rsidRPr="007A70FB" w:rsidRDefault="00536A65" w:rsidP="0000736B">
            <w:pPr>
              <w:pStyle w:val="Tabletext"/>
              <w:ind w:left="-38"/>
            </w:pPr>
            <w:r w:rsidRPr="007A70FB">
              <w:t>Any AEs</w:t>
            </w:r>
          </w:p>
        </w:tc>
        <w:tc>
          <w:tcPr>
            <w:tcW w:w="463" w:type="pct"/>
            <w:tcBorders>
              <w:left w:val="single" w:sz="4" w:space="0" w:color="auto"/>
              <w:bottom w:val="nil"/>
              <w:right w:val="single" w:sz="4" w:space="0" w:color="auto"/>
            </w:tcBorders>
            <w:vAlign w:val="center"/>
          </w:tcPr>
          <w:p w:rsidR="00536A65" w:rsidRPr="007A70FB" w:rsidRDefault="00536A65" w:rsidP="0000736B">
            <w:pPr>
              <w:pStyle w:val="Tabletext"/>
              <w:ind w:left="-110" w:right="-94"/>
              <w:jc w:val="center"/>
            </w:pPr>
          </w:p>
        </w:tc>
        <w:tc>
          <w:tcPr>
            <w:tcW w:w="354" w:type="pct"/>
            <w:tcBorders>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Cs/>
              </w:rPr>
            </w:pPr>
          </w:p>
        </w:tc>
        <w:tc>
          <w:tcPr>
            <w:tcW w:w="409" w:type="pct"/>
            <w:tcBorders>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Cs/>
              </w:rPr>
            </w:pPr>
          </w:p>
        </w:tc>
        <w:tc>
          <w:tcPr>
            <w:tcW w:w="409" w:type="pct"/>
            <w:tcBorders>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Cs/>
              </w:rPr>
            </w:pPr>
          </w:p>
        </w:tc>
        <w:tc>
          <w:tcPr>
            <w:tcW w:w="410" w:type="pct"/>
            <w:tcBorders>
              <w:left w:val="single" w:sz="4" w:space="0" w:color="auto"/>
              <w:bottom w:val="nil"/>
              <w:right w:val="single" w:sz="4" w:space="0" w:color="auto"/>
            </w:tcBorders>
            <w:vAlign w:val="center"/>
          </w:tcPr>
          <w:p w:rsidR="00536A65" w:rsidRPr="007A70FB" w:rsidRDefault="00536A65" w:rsidP="0000736B">
            <w:pPr>
              <w:pStyle w:val="Tabletext"/>
              <w:ind w:left="-110" w:right="-46"/>
              <w:jc w:val="center"/>
            </w:pPr>
          </w:p>
        </w:tc>
        <w:tc>
          <w:tcPr>
            <w:tcW w:w="409" w:type="pct"/>
            <w:tcBorders>
              <w:left w:val="single" w:sz="4" w:space="0" w:color="auto"/>
              <w:bottom w:val="nil"/>
              <w:right w:val="single" w:sz="4" w:space="0" w:color="auto"/>
            </w:tcBorders>
            <w:vAlign w:val="center"/>
          </w:tcPr>
          <w:p w:rsidR="00536A65" w:rsidRPr="007A70FB" w:rsidRDefault="00536A65" w:rsidP="0000736B">
            <w:pPr>
              <w:pStyle w:val="Tabletext"/>
              <w:ind w:left="-110" w:right="-46"/>
              <w:jc w:val="center"/>
            </w:pPr>
          </w:p>
        </w:tc>
        <w:tc>
          <w:tcPr>
            <w:tcW w:w="409" w:type="pct"/>
            <w:tcBorders>
              <w:left w:val="single" w:sz="4" w:space="0" w:color="auto"/>
              <w:bottom w:val="nil"/>
              <w:right w:val="single" w:sz="4" w:space="0" w:color="auto"/>
            </w:tcBorders>
            <w:vAlign w:val="center"/>
          </w:tcPr>
          <w:p w:rsidR="00536A65" w:rsidRPr="007A70FB" w:rsidRDefault="00536A65" w:rsidP="0000736B">
            <w:pPr>
              <w:pStyle w:val="Tabletext"/>
              <w:ind w:left="-110" w:right="-46"/>
              <w:jc w:val="center"/>
              <w:rPr>
                <w:rFonts w:ascii="Times" w:hAnsi="Times"/>
              </w:rPr>
            </w:pPr>
          </w:p>
        </w:tc>
        <w:tc>
          <w:tcPr>
            <w:tcW w:w="409" w:type="pct"/>
            <w:tcBorders>
              <w:left w:val="single" w:sz="4" w:space="0" w:color="auto"/>
              <w:bottom w:val="nil"/>
              <w:right w:val="single" w:sz="4" w:space="0" w:color="auto"/>
            </w:tcBorders>
            <w:vAlign w:val="center"/>
          </w:tcPr>
          <w:p w:rsidR="00536A65" w:rsidRPr="007A70FB" w:rsidRDefault="00536A65" w:rsidP="0000736B">
            <w:pPr>
              <w:pStyle w:val="Tabletext"/>
              <w:ind w:left="-110" w:right="-46"/>
              <w:jc w:val="center"/>
            </w:pPr>
          </w:p>
        </w:tc>
        <w:tc>
          <w:tcPr>
            <w:tcW w:w="409" w:type="pct"/>
            <w:tcBorders>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pPr>
          </w:p>
        </w:tc>
        <w:tc>
          <w:tcPr>
            <w:tcW w:w="409" w:type="pct"/>
            <w:tcBorders>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pPr>
          </w:p>
        </w:tc>
        <w:tc>
          <w:tcPr>
            <w:tcW w:w="409" w:type="pct"/>
            <w:tcBorders>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pPr>
          </w:p>
        </w:tc>
      </w:tr>
      <w:tr w:rsidR="00536A65" w:rsidRPr="007A70FB" w:rsidTr="003C0A1D">
        <w:tc>
          <w:tcPr>
            <w:tcW w:w="500" w:type="pct"/>
            <w:tcBorders>
              <w:top w:val="nil"/>
              <w:bottom w:val="nil"/>
              <w:right w:val="single" w:sz="4" w:space="0" w:color="auto"/>
            </w:tcBorders>
            <w:vAlign w:val="center"/>
          </w:tcPr>
          <w:p w:rsidR="00536A65" w:rsidRPr="007A70FB" w:rsidRDefault="00536A65" w:rsidP="0000736B">
            <w:pPr>
              <w:pStyle w:val="Tabletext"/>
              <w:ind w:left="34"/>
            </w:pPr>
            <w:r w:rsidRPr="007A70FB">
              <w:t>Total</w:t>
            </w:r>
          </w:p>
        </w:tc>
        <w:tc>
          <w:tcPr>
            <w:tcW w:w="463" w:type="pct"/>
            <w:tcBorders>
              <w:top w:val="nil"/>
              <w:left w:val="single" w:sz="4" w:space="0" w:color="auto"/>
              <w:bottom w:val="nil"/>
              <w:right w:val="single" w:sz="4" w:space="0" w:color="auto"/>
            </w:tcBorders>
            <w:vAlign w:val="center"/>
          </w:tcPr>
          <w:p w:rsidR="00536A65" w:rsidRPr="007A70FB" w:rsidRDefault="00536A65" w:rsidP="0000736B">
            <w:pPr>
              <w:pStyle w:val="Tabletext"/>
              <w:ind w:left="-110" w:right="-94"/>
              <w:jc w:val="center"/>
              <w:rPr>
                <w:iCs/>
              </w:rPr>
            </w:pPr>
            <w:r w:rsidRPr="007A70FB">
              <w:rPr>
                <w:iCs/>
              </w:rPr>
              <w:t>294 (99.7)</w:t>
            </w:r>
          </w:p>
        </w:tc>
        <w:tc>
          <w:tcPr>
            <w:tcW w:w="354" w:type="pct"/>
            <w:tcBorders>
              <w:top w:val="nil"/>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pPr>
            <w:r w:rsidRPr="007A70FB">
              <w:t>87 (100)</w:t>
            </w:r>
          </w:p>
        </w:tc>
        <w:tc>
          <w:tcPr>
            <w:tcW w:w="409" w:type="pct"/>
            <w:tcBorders>
              <w:top w:val="nil"/>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pPr>
            <w:r w:rsidRPr="007A70FB">
              <w:t>137 (99.3)</w:t>
            </w:r>
          </w:p>
        </w:tc>
        <w:tc>
          <w:tcPr>
            <w:tcW w:w="409" w:type="pct"/>
            <w:tcBorders>
              <w:top w:val="nil"/>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250 (98.8)</w:t>
            </w:r>
          </w:p>
        </w:tc>
        <w:tc>
          <w:tcPr>
            <w:tcW w:w="410" w:type="pct"/>
            <w:tcBorders>
              <w:top w:val="nil"/>
              <w:left w:val="single" w:sz="4" w:space="0" w:color="auto"/>
              <w:bottom w:val="nil"/>
              <w:right w:val="single" w:sz="4" w:space="0" w:color="auto"/>
            </w:tcBorders>
            <w:vAlign w:val="center"/>
          </w:tcPr>
          <w:p w:rsidR="00536A65" w:rsidRPr="007A70FB" w:rsidRDefault="00536A65" w:rsidP="0000736B">
            <w:pPr>
              <w:pStyle w:val="Tabletext"/>
              <w:ind w:left="-110" w:right="-46"/>
              <w:jc w:val="center"/>
            </w:pPr>
            <w:r w:rsidRPr="007A70FB">
              <w:t>54 (77.1)</w:t>
            </w:r>
          </w:p>
        </w:tc>
        <w:tc>
          <w:tcPr>
            <w:tcW w:w="409" w:type="pct"/>
            <w:tcBorders>
              <w:top w:val="nil"/>
              <w:left w:val="single" w:sz="4" w:space="0" w:color="auto"/>
              <w:bottom w:val="nil"/>
              <w:right w:val="single" w:sz="4" w:space="0" w:color="auto"/>
            </w:tcBorders>
            <w:vAlign w:val="center"/>
          </w:tcPr>
          <w:p w:rsidR="00536A65" w:rsidRPr="007A70FB" w:rsidRDefault="00536A65" w:rsidP="0000736B">
            <w:pPr>
              <w:pStyle w:val="Tabletext"/>
              <w:ind w:left="-110" w:right="-46"/>
              <w:jc w:val="center"/>
            </w:pPr>
            <w:r w:rsidRPr="007A70FB">
              <w:t>246 (100)</w:t>
            </w:r>
          </w:p>
        </w:tc>
        <w:tc>
          <w:tcPr>
            <w:tcW w:w="409" w:type="pct"/>
            <w:tcBorders>
              <w:top w:val="nil"/>
              <w:left w:val="single" w:sz="4" w:space="0" w:color="auto"/>
              <w:bottom w:val="nil"/>
              <w:right w:val="single" w:sz="4" w:space="0" w:color="auto"/>
            </w:tcBorders>
            <w:vAlign w:val="center"/>
          </w:tcPr>
          <w:p w:rsidR="00536A65" w:rsidRPr="007A70FB" w:rsidRDefault="00536A65" w:rsidP="0000736B">
            <w:pPr>
              <w:pStyle w:val="Tabletext"/>
              <w:ind w:left="-110" w:right="-46"/>
              <w:jc w:val="center"/>
              <w:rPr>
                <w:rFonts w:ascii="Times" w:hAnsi="Times"/>
              </w:rPr>
            </w:pPr>
            <w:r w:rsidRPr="007A70FB">
              <w:t>140 (100.0)</w:t>
            </w:r>
          </w:p>
        </w:tc>
        <w:tc>
          <w:tcPr>
            <w:tcW w:w="409" w:type="pct"/>
            <w:tcBorders>
              <w:top w:val="nil"/>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115 (100)</w:t>
            </w:r>
          </w:p>
        </w:tc>
        <w:tc>
          <w:tcPr>
            <w:tcW w:w="409" w:type="pct"/>
            <w:tcBorders>
              <w:top w:val="nil"/>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20 (100)</w:t>
            </w:r>
          </w:p>
        </w:tc>
        <w:tc>
          <w:tcPr>
            <w:tcW w:w="409" w:type="pct"/>
            <w:tcBorders>
              <w:top w:val="nil"/>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109 (100)</w:t>
            </w:r>
          </w:p>
        </w:tc>
        <w:tc>
          <w:tcPr>
            <w:tcW w:w="409" w:type="pct"/>
            <w:tcBorders>
              <w:top w:val="nil"/>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110 (100)</w:t>
            </w:r>
          </w:p>
        </w:tc>
      </w:tr>
      <w:tr w:rsidR="00536A65" w:rsidRPr="007A70FB" w:rsidTr="003C0A1D">
        <w:tc>
          <w:tcPr>
            <w:tcW w:w="500" w:type="pct"/>
            <w:tcBorders>
              <w:top w:val="nil"/>
              <w:bottom w:val="single" w:sz="4" w:space="0" w:color="auto"/>
              <w:right w:val="single" w:sz="4" w:space="0" w:color="auto"/>
            </w:tcBorders>
            <w:vAlign w:val="center"/>
          </w:tcPr>
          <w:p w:rsidR="00536A65" w:rsidRPr="007A70FB" w:rsidRDefault="00536A65" w:rsidP="0000736B">
            <w:pPr>
              <w:pStyle w:val="Tabletext"/>
              <w:ind w:left="34"/>
            </w:pPr>
            <w:r w:rsidRPr="007A70FB">
              <w:t>Drug related</w:t>
            </w:r>
          </w:p>
        </w:tc>
        <w:tc>
          <w:tcPr>
            <w:tcW w:w="463" w:type="pct"/>
            <w:tcBorders>
              <w:top w:val="nil"/>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94"/>
              <w:jc w:val="center"/>
              <w:rPr>
                <w:iCs/>
              </w:rPr>
            </w:pPr>
            <w:r w:rsidRPr="007A70FB">
              <w:rPr>
                <w:iCs/>
              </w:rPr>
              <w:t>280 (94.9)</w:t>
            </w:r>
          </w:p>
        </w:tc>
        <w:tc>
          <w:tcPr>
            <w:tcW w:w="354" w:type="pct"/>
            <w:tcBorders>
              <w:top w:val="nil"/>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46"/>
              <w:jc w:val="center"/>
            </w:pPr>
            <w:r w:rsidRPr="007A70FB">
              <w:t>69 (79.3)</w:t>
            </w:r>
          </w:p>
        </w:tc>
        <w:tc>
          <w:tcPr>
            <w:tcW w:w="409" w:type="pct"/>
            <w:tcBorders>
              <w:top w:val="nil"/>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46"/>
              <w:jc w:val="center"/>
            </w:pPr>
            <w:r w:rsidRPr="007A70FB">
              <w:t>104 (75.4)</w:t>
            </w:r>
          </w:p>
        </w:tc>
        <w:tc>
          <w:tcPr>
            <w:tcW w:w="409" w:type="pct"/>
            <w:tcBorders>
              <w:top w:val="nil"/>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197 (77.9)</w:t>
            </w:r>
          </w:p>
        </w:tc>
        <w:tc>
          <w:tcPr>
            <w:tcW w:w="410" w:type="pct"/>
            <w:tcBorders>
              <w:top w:val="nil"/>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46"/>
              <w:jc w:val="center"/>
            </w:pPr>
            <w:r w:rsidRPr="007A70FB">
              <w:t>NR</w:t>
            </w:r>
          </w:p>
        </w:tc>
        <w:tc>
          <w:tcPr>
            <w:tcW w:w="409" w:type="pct"/>
            <w:tcBorders>
              <w:top w:val="nil"/>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46"/>
              <w:jc w:val="center"/>
            </w:pPr>
            <w:r w:rsidRPr="007A70FB">
              <w:t>238 (97)</w:t>
            </w:r>
          </w:p>
        </w:tc>
        <w:tc>
          <w:tcPr>
            <w:tcW w:w="409" w:type="pct"/>
            <w:tcBorders>
              <w:top w:val="nil"/>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46"/>
              <w:jc w:val="center"/>
              <w:rPr>
                <w:rFonts w:ascii="Times" w:hAnsi="Times"/>
              </w:rPr>
            </w:pPr>
            <w:r w:rsidRPr="007A70FB">
              <w:t>135 (96.4)</w:t>
            </w:r>
          </w:p>
        </w:tc>
        <w:tc>
          <w:tcPr>
            <w:tcW w:w="409" w:type="pct"/>
            <w:tcBorders>
              <w:top w:val="nil"/>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46"/>
              <w:jc w:val="center"/>
            </w:pPr>
            <w:r w:rsidRPr="007A70FB">
              <w:t>110 (95.7)</w:t>
            </w:r>
          </w:p>
        </w:tc>
        <w:tc>
          <w:tcPr>
            <w:tcW w:w="409" w:type="pct"/>
            <w:tcBorders>
              <w:top w:val="nil"/>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NR</w:t>
            </w:r>
          </w:p>
        </w:tc>
        <w:tc>
          <w:tcPr>
            <w:tcW w:w="409" w:type="pct"/>
            <w:tcBorders>
              <w:top w:val="nil"/>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89 (81.7)</w:t>
            </w:r>
          </w:p>
        </w:tc>
        <w:tc>
          <w:tcPr>
            <w:tcW w:w="409" w:type="pct"/>
            <w:tcBorders>
              <w:top w:val="nil"/>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105 (95.5)</w:t>
            </w:r>
          </w:p>
        </w:tc>
      </w:tr>
      <w:tr w:rsidR="00536A65" w:rsidRPr="007A70FB" w:rsidTr="003C0A1D">
        <w:tc>
          <w:tcPr>
            <w:tcW w:w="500" w:type="pct"/>
            <w:tcBorders>
              <w:top w:val="single" w:sz="4" w:space="0" w:color="auto"/>
              <w:bottom w:val="nil"/>
              <w:right w:val="single" w:sz="4" w:space="0" w:color="auto"/>
            </w:tcBorders>
            <w:vAlign w:val="center"/>
          </w:tcPr>
          <w:p w:rsidR="00536A65" w:rsidRPr="007A70FB" w:rsidRDefault="00536A65" w:rsidP="0000736B">
            <w:pPr>
              <w:pStyle w:val="Tabletext"/>
              <w:ind w:left="-38"/>
            </w:pPr>
            <w:r w:rsidRPr="007A70FB">
              <w:t xml:space="preserve">SAEs </w:t>
            </w:r>
          </w:p>
        </w:tc>
        <w:tc>
          <w:tcPr>
            <w:tcW w:w="463" w:type="pct"/>
            <w:tcBorders>
              <w:top w:val="single" w:sz="4" w:space="0" w:color="auto"/>
              <w:left w:val="single" w:sz="4" w:space="0" w:color="auto"/>
              <w:bottom w:val="nil"/>
              <w:right w:val="single" w:sz="4" w:space="0" w:color="auto"/>
            </w:tcBorders>
            <w:vAlign w:val="center"/>
          </w:tcPr>
          <w:p w:rsidR="00536A65" w:rsidRPr="007A70FB" w:rsidRDefault="00536A65" w:rsidP="0000736B">
            <w:pPr>
              <w:pStyle w:val="Tabletext"/>
              <w:ind w:left="-110" w:right="-94"/>
              <w:jc w:val="center"/>
            </w:pPr>
          </w:p>
        </w:tc>
        <w:tc>
          <w:tcPr>
            <w:tcW w:w="354" w:type="pct"/>
            <w:tcBorders>
              <w:top w:val="single" w:sz="4" w:space="0" w:color="auto"/>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Cs/>
              </w:rPr>
            </w:pPr>
          </w:p>
        </w:tc>
        <w:tc>
          <w:tcPr>
            <w:tcW w:w="409" w:type="pct"/>
            <w:tcBorders>
              <w:top w:val="single" w:sz="4" w:space="0" w:color="auto"/>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Cs/>
              </w:rPr>
            </w:pPr>
          </w:p>
        </w:tc>
        <w:tc>
          <w:tcPr>
            <w:tcW w:w="409" w:type="pct"/>
            <w:tcBorders>
              <w:top w:val="single" w:sz="4" w:space="0" w:color="auto"/>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
              </w:rPr>
            </w:pPr>
          </w:p>
        </w:tc>
        <w:tc>
          <w:tcPr>
            <w:tcW w:w="410" w:type="pct"/>
            <w:tcBorders>
              <w:top w:val="single" w:sz="4" w:space="0" w:color="auto"/>
              <w:left w:val="single" w:sz="4" w:space="0" w:color="auto"/>
              <w:bottom w:val="nil"/>
              <w:right w:val="single" w:sz="4" w:space="0" w:color="auto"/>
            </w:tcBorders>
            <w:vAlign w:val="center"/>
          </w:tcPr>
          <w:p w:rsidR="00536A65" w:rsidRPr="007A70FB" w:rsidRDefault="00536A65" w:rsidP="0000736B">
            <w:pPr>
              <w:pStyle w:val="Tabletext"/>
              <w:ind w:left="-110" w:right="-46"/>
              <w:jc w:val="center"/>
            </w:pPr>
          </w:p>
        </w:tc>
        <w:tc>
          <w:tcPr>
            <w:tcW w:w="409" w:type="pct"/>
            <w:tcBorders>
              <w:top w:val="single" w:sz="4" w:space="0" w:color="auto"/>
              <w:left w:val="single" w:sz="4" w:space="0" w:color="auto"/>
              <w:bottom w:val="nil"/>
              <w:right w:val="single" w:sz="4" w:space="0" w:color="auto"/>
            </w:tcBorders>
            <w:vAlign w:val="center"/>
          </w:tcPr>
          <w:p w:rsidR="00536A65" w:rsidRPr="007A70FB" w:rsidRDefault="00536A65" w:rsidP="0000736B">
            <w:pPr>
              <w:pStyle w:val="Tabletext"/>
              <w:ind w:left="-110" w:right="-46"/>
              <w:jc w:val="center"/>
            </w:pPr>
          </w:p>
        </w:tc>
        <w:tc>
          <w:tcPr>
            <w:tcW w:w="409" w:type="pct"/>
            <w:tcBorders>
              <w:top w:val="single" w:sz="4" w:space="0" w:color="auto"/>
              <w:left w:val="single" w:sz="4" w:space="0" w:color="auto"/>
              <w:bottom w:val="nil"/>
              <w:right w:val="single" w:sz="4" w:space="0" w:color="auto"/>
            </w:tcBorders>
            <w:vAlign w:val="center"/>
          </w:tcPr>
          <w:p w:rsidR="00536A65" w:rsidRPr="007A70FB" w:rsidRDefault="00536A65" w:rsidP="0000736B">
            <w:pPr>
              <w:pStyle w:val="Tabletext"/>
              <w:ind w:left="-110" w:right="-46"/>
              <w:jc w:val="center"/>
            </w:pPr>
          </w:p>
        </w:tc>
        <w:tc>
          <w:tcPr>
            <w:tcW w:w="409" w:type="pct"/>
            <w:tcBorders>
              <w:top w:val="single" w:sz="4" w:space="0" w:color="auto"/>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pPr>
          </w:p>
        </w:tc>
        <w:tc>
          <w:tcPr>
            <w:tcW w:w="409" w:type="pct"/>
            <w:tcBorders>
              <w:top w:val="single" w:sz="4" w:space="0" w:color="auto"/>
              <w:left w:val="single" w:sz="4" w:space="0" w:color="auto"/>
              <w:bottom w:val="nil"/>
              <w:right w:val="single" w:sz="4" w:space="0" w:color="auto"/>
            </w:tcBorders>
            <w:vAlign w:val="center"/>
          </w:tcPr>
          <w:p w:rsidR="00536A65" w:rsidRPr="007A70FB" w:rsidRDefault="00536A65" w:rsidP="0000736B">
            <w:pPr>
              <w:pStyle w:val="Tabletext"/>
              <w:ind w:left="-110" w:right="-46"/>
              <w:jc w:val="center"/>
            </w:pPr>
          </w:p>
        </w:tc>
        <w:tc>
          <w:tcPr>
            <w:tcW w:w="409" w:type="pct"/>
            <w:tcBorders>
              <w:top w:val="single" w:sz="4" w:space="0" w:color="auto"/>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pPr>
          </w:p>
        </w:tc>
        <w:tc>
          <w:tcPr>
            <w:tcW w:w="409" w:type="pct"/>
            <w:tcBorders>
              <w:top w:val="single" w:sz="4" w:space="0" w:color="auto"/>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pPr>
          </w:p>
        </w:tc>
      </w:tr>
      <w:tr w:rsidR="00536A65" w:rsidRPr="007A70FB" w:rsidTr="003C0A1D">
        <w:tc>
          <w:tcPr>
            <w:tcW w:w="500" w:type="pct"/>
            <w:tcBorders>
              <w:top w:val="nil"/>
              <w:bottom w:val="nil"/>
              <w:right w:val="single" w:sz="4" w:space="0" w:color="auto"/>
            </w:tcBorders>
            <w:vAlign w:val="center"/>
          </w:tcPr>
          <w:p w:rsidR="00536A65" w:rsidRPr="007A70FB" w:rsidRDefault="00536A65" w:rsidP="0000736B">
            <w:pPr>
              <w:pStyle w:val="Tabletext"/>
              <w:ind w:left="34"/>
            </w:pPr>
            <w:r w:rsidRPr="007A70FB">
              <w:t>Total</w:t>
            </w:r>
          </w:p>
        </w:tc>
        <w:tc>
          <w:tcPr>
            <w:tcW w:w="463" w:type="pct"/>
            <w:tcBorders>
              <w:top w:val="nil"/>
              <w:left w:val="single" w:sz="4" w:space="0" w:color="auto"/>
              <w:bottom w:val="nil"/>
              <w:right w:val="single" w:sz="4" w:space="0" w:color="auto"/>
            </w:tcBorders>
            <w:vAlign w:val="center"/>
          </w:tcPr>
          <w:p w:rsidR="00536A65" w:rsidRPr="007A70FB" w:rsidRDefault="00536A65" w:rsidP="0000736B">
            <w:pPr>
              <w:pStyle w:val="Tabletext"/>
              <w:ind w:left="-110" w:right="-94"/>
              <w:jc w:val="center"/>
              <w:rPr>
                <w:i/>
              </w:rPr>
            </w:pPr>
            <w:r w:rsidRPr="007A70FB">
              <w:rPr>
                <w:i/>
              </w:rPr>
              <w:t>98 (33.2)</w:t>
            </w:r>
          </w:p>
        </w:tc>
        <w:tc>
          <w:tcPr>
            <w:tcW w:w="354" w:type="pct"/>
            <w:tcBorders>
              <w:top w:val="nil"/>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pPr>
            <w:r w:rsidRPr="007A70FB">
              <w:t>15 (17.2)</w:t>
            </w:r>
          </w:p>
        </w:tc>
        <w:tc>
          <w:tcPr>
            <w:tcW w:w="409" w:type="pct"/>
            <w:tcBorders>
              <w:top w:val="nil"/>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pPr>
            <w:r w:rsidRPr="007A70FB">
              <w:t>31 (22.5)</w:t>
            </w:r>
          </w:p>
        </w:tc>
        <w:tc>
          <w:tcPr>
            <w:tcW w:w="409" w:type="pct"/>
            <w:tcBorders>
              <w:top w:val="nil"/>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55 (21.7)</w:t>
            </w:r>
          </w:p>
        </w:tc>
        <w:tc>
          <w:tcPr>
            <w:tcW w:w="410" w:type="pct"/>
            <w:tcBorders>
              <w:top w:val="nil"/>
              <w:left w:val="single" w:sz="4" w:space="0" w:color="auto"/>
              <w:bottom w:val="nil"/>
              <w:right w:val="single" w:sz="4" w:space="0" w:color="auto"/>
            </w:tcBorders>
            <w:vAlign w:val="center"/>
          </w:tcPr>
          <w:p w:rsidR="00536A65" w:rsidRPr="007A70FB" w:rsidRDefault="00536A65" w:rsidP="0000736B">
            <w:pPr>
              <w:pStyle w:val="Tabletext"/>
              <w:ind w:left="-110" w:right="-46"/>
              <w:jc w:val="center"/>
            </w:pPr>
            <w:r w:rsidRPr="007A70FB">
              <w:t>13 (18.6)</w:t>
            </w:r>
          </w:p>
        </w:tc>
        <w:tc>
          <w:tcPr>
            <w:tcW w:w="409" w:type="pct"/>
            <w:tcBorders>
              <w:top w:val="nil"/>
              <w:left w:val="single" w:sz="4" w:space="0" w:color="auto"/>
              <w:bottom w:val="nil"/>
              <w:right w:val="single" w:sz="4" w:space="0" w:color="auto"/>
            </w:tcBorders>
            <w:vAlign w:val="center"/>
          </w:tcPr>
          <w:p w:rsidR="00536A65" w:rsidRPr="007A70FB" w:rsidRDefault="00536A65" w:rsidP="0000736B">
            <w:pPr>
              <w:pStyle w:val="Tabletext"/>
              <w:ind w:left="-110" w:right="-46"/>
              <w:jc w:val="center"/>
            </w:pPr>
            <w:r w:rsidRPr="007A70FB">
              <w:t>117 (48)</w:t>
            </w:r>
          </w:p>
        </w:tc>
        <w:tc>
          <w:tcPr>
            <w:tcW w:w="409" w:type="pct"/>
            <w:tcBorders>
              <w:top w:val="nil"/>
              <w:left w:val="single" w:sz="4" w:space="0" w:color="auto"/>
              <w:bottom w:val="nil"/>
              <w:right w:val="single" w:sz="4" w:space="0" w:color="auto"/>
            </w:tcBorders>
            <w:vAlign w:val="center"/>
          </w:tcPr>
          <w:p w:rsidR="00536A65" w:rsidRPr="007A70FB" w:rsidRDefault="00536A65" w:rsidP="0000736B">
            <w:pPr>
              <w:pStyle w:val="Tabletext"/>
              <w:ind w:left="-110" w:right="-46"/>
              <w:jc w:val="center"/>
            </w:pPr>
            <w:r w:rsidRPr="007A70FB">
              <w:t>57 (40.7)</w:t>
            </w:r>
          </w:p>
        </w:tc>
        <w:tc>
          <w:tcPr>
            <w:tcW w:w="409" w:type="pct"/>
            <w:tcBorders>
              <w:top w:val="nil"/>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pPr>
            <w:r w:rsidRPr="007A70FB">
              <w:t>49 (42.6)</w:t>
            </w:r>
          </w:p>
        </w:tc>
        <w:tc>
          <w:tcPr>
            <w:tcW w:w="409" w:type="pct"/>
            <w:tcBorders>
              <w:top w:val="nil"/>
              <w:left w:val="single" w:sz="4" w:space="0" w:color="auto"/>
              <w:bottom w:val="nil"/>
              <w:right w:val="single" w:sz="4" w:space="0" w:color="auto"/>
            </w:tcBorders>
            <w:vAlign w:val="center"/>
          </w:tcPr>
          <w:p w:rsidR="00536A65" w:rsidRPr="007A70FB" w:rsidRDefault="00536A65" w:rsidP="0000736B">
            <w:pPr>
              <w:pStyle w:val="Tabletext"/>
              <w:ind w:left="-110" w:right="-46"/>
              <w:jc w:val="center"/>
            </w:pPr>
            <w:r w:rsidRPr="007A70FB">
              <w:t>10 (50.0)</w:t>
            </w:r>
          </w:p>
        </w:tc>
        <w:tc>
          <w:tcPr>
            <w:tcW w:w="409" w:type="pct"/>
            <w:tcBorders>
              <w:top w:val="nil"/>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54 (49.5))</w:t>
            </w:r>
          </w:p>
        </w:tc>
        <w:tc>
          <w:tcPr>
            <w:tcW w:w="409" w:type="pct"/>
            <w:tcBorders>
              <w:top w:val="nil"/>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62 (56.4)</w:t>
            </w:r>
          </w:p>
        </w:tc>
      </w:tr>
      <w:tr w:rsidR="00536A65" w:rsidRPr="007A70FB" w:rsidTr="003C0A1D">
        <w:tc>
          <w:tcPr>
            <w:tcW w:w="500" w:type="pct"/>
            <w:tcBorders>
              <w:top w:val="nil"/>
              <w:bottom w:val="single" w:sz="4" w:space="0" w:color="auto"/>
              <w:right w:val="single" w:sz="4" w:space="0" w:color="auto"/>
            </w:tcBorders>
            <w:vAlign w:val="center"/>
          </w:tcPr>
          <w:p w:rsidR="00536A65" w:rsidRPr="007A70FB" w:rsidRDefault="00536A65" w:rsidP="0000736B">
            <w:pPr>
              <w:pStyle w:val="Tabletext"/>
              <w:ind w:left="34"/>
            </w:pPr>
            <w:r w:rsidRPr="007A70FB">
              <w:t>Drug related</w:t>
            </w:r>
          </w:p>
        </w:tc>
        <w:tc>
          <w:tcPr>
            <w:tcW w:w="463" w:type="pct"/>
            <w:tcBorders>
              <w:top w:val="nil"/>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94"/>
              <w:jc w:val="center"/>
            </w:pPr>
            <w:r w:rsidRPr="007A70FB">
              <w:t>20 (6.8)</w:t>
            </w:r>
          </w:p>
        </w:tc>
        <w:tc>
          <w:tcPr>
            <w:tcW w:w="354" w:type="pct"/>
            <w:tcBorders>
              <w:top w:val="nil"/>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46"/>
              <w:jc w:val="center"/>
            </w:pPr>
            <w:r w:rsidRPr="007A70FB">
              <w:t>3 (3.4)</w:t>
            </w:r>
          </w:p>
        </w:tc>
        <w:tc>
          <w:tcPr>
            <w:tcW w:w="409" w:type="pct"/>
            <w:tcBorders>
              <w:top w:val="nil"/>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46"/>
              <w:jc w:val="center"/>
            </w:pPr>
            <w:r w:rsidRPr="007A70FB">
              <w:t>10 (7.2)</w:t>
            </w:r>
          </w:p>
        </w:tc>
        <w:tc>
          <w:tcPr>
            <w:tcW w:w="409" w:type="pct"/>
            <w:tcBorders>
              <w:top w:val="nil"/>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15 (5.9)</w:t>
            </w:r>
          </w:p>
        </w:tc>
        <w:tc>
          <w:tcPr>
            <w:tcW w:w="410" w:type="pct"/>
            <w:tcBorders>
              <w:top w:val="nil"/>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46"/>
              <w:jc w:val="center"/>
            </w:pPr>
            <w:r w:rsidRPr="007A70FB">
              <w:t>NR</w:t>
            </w:r>
          </w:p>
        </w:tc>
        <w:tc>
          <w:tcPr>
            <w:tcW w:w="409" w:type="pct"/>
            <w:tcBorders>
              <w:top w:val="nil"/>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46"/>
              <w:jc w:val="center"/>
            </w:pPr>
            <w:r w:rsidRPr="007A70FB">
              <w:t>29 (12)</w:t>
            </w:r>
          </w:p>
        </w:tc>
        <w:tc>
          <w:tcPr>
            <w:tcW w:w="409" w:type="pct"/>
            <w:tcBorders>
              <w:top w:val="nil"/>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46"/>
              <w:jc w:val="center"/>
            </w:pPr>
            <w:r w:rsidRPr="007A70FB">
              <w:rPr>
                <w:rFonts w:eastAsia="Arial"/>
              </w:rPr>
              <w:t>24 (17.1)</w:t>
            </w:r>
          </w:p>
        </w:tc>
        <w:tc>
          <w:tcPr>
            <w:tcW w:w="409" w:type="pct"/>
            <w:tcBorders>
              <w:top w:val="nil"/>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46"/>
              <w:jc w:val="center"/>
            </w:pPr>
            <w:r w:rsidRPr="007A70FB">
              <w:t>13 (11)</w:t>
            </w:r>
          </w:p>
        </w:tc>
        <w:tc>
          <w:tcPr>
            <w:tcW w:w="409" w:type="pct"/>
            <w:tcBorders>
              <w:top w:val="nil"/>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46"/>
              <w:jc w:val="center"/>
            </w:pPr>
          </w:p>
        </w:tc>
        <w:tc>
          <w:tcPr>
            <w:tcW w:w="409" w:type="pct"/>
            <w:tcBorders>
              <w:top w:val="nil"/>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8 (7.3)</w:t>
            </w:r>
          </w:p>
        </w:tc>
        <w:tc>
          <w:tcPr>
            <w:tcW w:w="409" w:type="pct"/>
            <w:tcBorders>
              <w:top w:val="nil"/>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20 (18.2)</w:t>
            </w:r>
          </w:p>
        </w:tc>
      </w:tr>
      <w:tr w:rsidR="00536A65" w:rsidRPr="007A70FB" w:rsidTr="003C0A1D">
        <w:tc>
          <w:tcPr>
            <w:tcW w:w="500" w:type="pct"/>
            <w:tcBorders>
              <w:top w:val="single" w:sz="4" w:space="0" w:color="auto"/>
              <w:bottom w:val="single" w:sz="4" w:space="0" w:color="auto"/>
              <w:right w:val="single" w:sz="4" w:space="0" w:color="auto"/>
            </w:tcBorders>
            <w:vAlign w:val="center"/>
          </w:tcPr>
          <w:p w:rsidR="00536A65" w:rsidRPr="007A70FB" w:rsidRDefault="00536A65" w:rsidP="0000736B">
            <w:pPr>
              <w:pStyle w:val="Tabletext"/>
              <w:ind w:left="-38"/>
            </w:pPr>
            <w:r w:rsidRPr="007A70FB">
              <w:t>AE leading to disc.</w:t>
            </w:r>
          </w:p>
        </w:tc>
        <w:tc>
          <w:tcPr>
            <w:tcW w:w="463" w:type="pct"/>
            <w:tcBorders>
              <w:top w:val="single" w:sz="4" w:space="0" w:color="auto"/>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94"/>
              <w:jc w:val="center"/>
              <w:rPr>
                <w:i/>
              </w:rPr>
            </w:pPr>
            <w:r w:rsidRPr="007A70FB">
              <w:rPr>
                <w:i/>
              </w:rPr>
              <w:t>21 (7.1)</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46"/>
              <w:jc w:val="center"/>
            </w:pPr>
            <w:r w:rsidRPr="007A70FB">
              <w:t>2 (2.3)</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46"/>
              <w:jc w:val="center"/>
            </w:pPr>
            <w:r w:rsidRPr="007A70FB">
              <w:t>12 (8.7)</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15 (5.9)</w:t>
            </w:r>
          </w:p>
        </w:tc>
        <w:tc>
          <w:tcPr>
            <w:tcW w:w="410" w:type="pct"/>
            <w:tcBorders>
              <w:top w:val="single" w:sz="4" w:space="0" w:color="auto"/>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46"/>
              <w:jc w:val="center"/>
            </w:pPr>
            <w:r w:rsidRPr="007A70FB">
              <w:t>4 (5.7)</w:t>
            </w:r>
          </w:p>
        </w:tc>
        <w:tc>
          <w:tcPr>
            <w:tcW w:w="409" w:type="pct"/>
            <w:tcBorders>
              <w:top w:val="single" w:sz="4" w:space="0" w:color="auto"/>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46"/>
              <w:jc w:val="center"/>
            </w:pPr>
            <w:r w:rsidRPr="007A70FB">
              <w:t>26</w:t>
            </w:r>
            <w:r w:rsidRPr="007A70FB">
              <w:rPr>
                <w:vertAlign w:val="superscript"/>
              </w:rPr>
              <w:t>d</w:t>
            </w:r>
            <w:r w:rsidRPr="007A70FB">
              <w:t xml:space="preserve"> (11)</w:t>
            </w:r>
          </w:p>
        </w:tc>
        <w:tc>
          <w:tcPr>
            <w:tcW w:w="409" w:type="pct"/>
            <w:tcBorders>
              <w:top w:val="single" w:sz="4" w:space="0" w:color="auto"/>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46"/>
              <w:jc w:val="center"/>
            </w:pPr>
            <w:r w:rsidRPr="007A70FB">
              <w:t>11 (7.9)</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46"/>
              <w:jc w:val="center"/>
            </w:pPr>
            <w:r w:rsidRPr="007A70FB">
              <w:t>6 (5.2)</w:t>
            </w:r>
          </w:p>
        </w:tc>
        <w:tc>
          <w:tcPr>
            <w:tcW w:w="409" w:type="pct"/>
            <w:tcBorders>
              <w:top w:val="single" w:sz="4" w:space="0" w:color="auto"/>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46"/>
              <w:jc w:val="center"/>
            </w:pPr>
            <w:r w:rsidRPr="007A70FB">
              <w:t>3 (15.0)</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4 (3.7)</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12 (10.9)</w:t>
            </w:r>
          </w:p>
        </w:tc>
      </w:tr>
      <w:tr w:rsidR="00536A65" w:rsidRPr="007A70FB" w:rsidTr="003C0A1D">
        <w:tc>
          <w:tcPr>
            <w:tcW w:w="500" w:type="pct"/>
            <w:tcBorders>
              <w:top w:val="single" w:sz="4" w:space="0" w:color="auto"/>
              <w:bottom w:val="nil"/>
              <w:right w:val="single" w:sz="4" w:space="0" w:color="auto"/>
            </w:tcBorders>
            <w:vAlign w:val="center"/>
          </w:tcPr>
          <w:p w:rsidR="00536A65" w:rsidRPr="007A70FB" w:rsidRDefault="00536A65" w:rsidP="0000736B">
            <w:pPr>
              <w:pStyle w:val="Tabletext"/>
              <w:ind w:left="-38"/>
            </w:pPr>
            <w:r w:rsidRPr="007A70FB">
              <w:t>AE leading to:</w:t>
            </w:r>
          </w:p>
        </w:tc>
        <w:tc>
          <w:tcPr>
            <w:tcW w:w="463" w:type="pct"/>
            <w:tcBorders>
              <w:top w:val="single" w:sz="4" w:space="0" w:color="auto"/>
              <w:left w:val="single" w:sz="4" w:space="0" w:color="auto"/>
              <w:bottom w:val="nil"/>
              <w:right w:val="single" w:sz="4" w:space="0" w:color="auto"/>
            </w:tcBorders>
            <w:vAlign w:val="center"/>
          </w:tcPr>
          <w:p w:rsidR="00536A65" w:rsidRPr="007A70FB" w:rsidRDefault="00536A65" w:rsidP="0000736B">
            <w:pPr>
              <w:pStyle w:val="Tabletext"/>
              <w:ind w:left="-110" w:right="-94"/>
              <w:jc w:val="center"/>
            </w:pPr>
          </w:p>
        </w:tc>
        <w:tc>
          <w:tcPr>
            <w:tcW w:w="354" w:type="pct"/>
            <w:tcBorders>
              <w:top w:val="single" w:sz="4" w:space="0" w:color="auto"/>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Cs/>
              </w:rPr>
            </w:pPr>
          </w:p>
        </w:tc>
        <w:tc>
          <w:tcPr>
            <w:tcW w:w="409" w:type="pct"/>
            <w:tcBorders>
              <w:top w:val="single" w:sz="4" w:space="0" w:color="auto"/>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Cs/>
              </w:rPr>
            </w:pPr>
          </w:p>
        </w:tc>
        <w:tc>
          <w:tcPr>
            <w:tcW w:w="409" w:type="pct"/>
            <w:tcBorders>
              <w:top w:val="single" w:sz="4" w:space="0" w:color="auto"/>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
              </w:rPr>
            </w:pPr>
          </w:p>
        </w:tc>
        <w:tc>
          <w:tcPr>
            <w:tcW w:w="410" w:type="pct"/>
            <w:tcBorders>
              <w:top w:val="single" w:sz="4" w:space="0" w:color="auto"/>
              <w:left w:val="single" w:sz="4" w:space="0" w:color="auto"/>
              <w:bottom w:val="nil"/>
              <w:right w:val="single" w:sz="4" w:space="0" w:color="auto"/>
            </w:tcBorders>
            <w:vAlign w:val="center"/>
          </w:tcPr>
          <w:p w:rsidR="00536A65" w:rsidRPr="007A70FB" w:rsidRDefault="00536A65" w:rsidP="0000736B">
            <w:pPr>
              <w:pStyle w:val="Tabletext"/>
              <w:ind w:left="-110" w:right="-46"/>
              <w:jc w:val="center"/>
            </w:pPr>
          </w:p>
        </w:tc>
        <w:tc>
          <w:tcPr>
            <w:tcW w:w="409" w:type="pct"/>
            <w:tcBorders>
              <w:top w:val="single" w:sz="4" w:space="0" w:color="auto"/>
              <w:left w:val="single" w:sz="4" w:space="0" w:color="auto"/>
              <w:bottom w:val="nil"/>
              <w:right w:val="single" w:sz="4" w:space="0" w:color="auto"/>
            </w:tcBorders>
            <w:vAlign w:val="center"/>
          </w:tcPr>
          <w:p w:rsidR="00536A65" w:rsidRPr="007A70FB" w:rsidRDefault="00536A65" w:rsidP="0000736B">
            <w:pPr>
              <w:pStyle w:val="Tabletext"/>
              <w:ind w:left="-110" w:right="-46"/>
              <w:jc w:val="center"/>
            </w:pPr>
          </w:p>
        </w:tc>
        <w:tc>
          <w:tcPr>
            <w:tcW w:w="409" w:type="pct"/>
            <w:tcBorders>
              <w:top w:val="single" w:sz="4" w:space="0" w:color="auto"/>
              <w:left w:val="single" w:sz="4" w:space="0" w:color="auto"/>
              <w:bottom w:val="nil"/>
              <w:right w:val="single" w:sz="4" w:space="0" w:color="auto"/>
            </w:tcBorders>
            <w:vAlign w:val="center"/>
          </w:tcPr>
          <w:p w:rsidR="00536A65" w:rsidRPr="007A70FB" w:rsidRDefault="00536A65" w:rsidP="0000736B">
            <w:pPr>
              <w:pStyle w:val="Tabletext"/>
              <w:ind w:left="-110" w:right="-46"/>
              <w:jc w:val="center"/>
            </w:pPr>
          </w:p>
        </w:tc>
        <w:tc>
          <w:tcPr>
            <w:tcW w:w="409" w:type="pct"/>
            <w:tcBorders>
              <w:top w:val="single" w:sz="4" w:space="0" w:color="auto"/>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pPr>
          </w:p>
        </w:tc>
        <w:tc>
          <w:tcPr>
            <w:tcW w:w="409" w:type="pct"/>
            <w:tcBorders>
              <w:top w:val="single" w:sz="4" w:space="0" w:color="auto"/>
              <w:left w:val="single" w:sz="4" w:space="0" w:color="auto"/>
              <w:bottom w:val="nil"/>
              <w:right w:val="single" w:sz="4" w:space="0" w:color="auto"/>
            </w:tcBorders>
            <w:vAlign w:val="center"/>
          </w:tcPr>
          <w:p w:rsidR="00536A65" w:rsidRPr="007A70FB" w:rsidRDefault="00536A65" w:rsidP="0000736B">
            <w:pPr>
              <w:pStyle w:val="Tabletext"/>
              <w:ind w:left="-110" w:right="-46"/>
              <w:jc w:val="center"/>
            </w:pPr>
          </w:p>
        </w:tc>
        <w:tc>
          <w:tcPr>
            <w:tcW w:w="409" w:type="pct"/>
            <w:tcBorders>
              <w:top w:val="single" w:sz="4" w:space="0" w:color="auto"/>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
              </w:rPr>
            </w:pPr>
          </w:p>
        </w:tc>
        <w:tc>
          <w:tcPr>
            <w:tcW w:w="409" w:type="pct"/>
            <w:tcBorders>
              <w:top w:val="single" w:sz="4" w:space="0" w:color="auto"/>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
              </w:rPr>
            </w:pPr>
          </w:p>
        </w:tc>
      </w:tr>
      <w:tr w:rsidR="00536A65" w:rsidRPr="007A70FB" w:rsidTr="003C0A1D">
        <w:tc>
          <w:tcPr>
            <w:tcW w:w="500" w:type="pct"/>
            <w:tcBorders>
              <w:top w:val="nil"/>
              <w:bottom w:val="nil"/>
              <w:right w:val="single" w:sz="4" w:space="0" w:color="auto"/>
            </w:tcBorders>
            <w:vAlign w:val="center"/>
          </w:tcPr>
          <w:p w:rsidR="00536A65" w:rsidRPr="007A70FB" w:rsidRDefault="00536A65" w:rsidP="0000736B">
            <w:pPr>
              <w:pStyle w:val="Tabletext"/>
              <w:ind w:left="34"/>
            </w:pPr>
            <w:r w:rsidRPr="007A70FB">
              <w:t>Temp. interrupt</w:t>
            </w:r>
          </w:p>
        </w:tc>
        <w:tc>
          <w:tcPr>
            <w:tcW w:w="463" w:type="pct"/>
            <w:tcBorders>
              <w:top w:val="nil"/>
              <w:left w:val="single" w:sz="4" w:space="0" w:color="auto"/>
              <w:bottom w:val="nil"/>
              <w:right w:val="single" w:sz="4" w:space="0" w:color="auto"/>
            </w:tcBorders>
            <w:vAlign w:val="center"/>
          </w:tcPr>
          <w:p w:rsidR="00536A65" w:rsidRPr="007A70FB" w:rsidRDefault="00536A65" w:rsidP="0000736B">
            <w:pPr>
              <w:pStyle w:val="Tabletext"/>
              <w:ind w:left="-110" w:right="-94"/>
              <w:jc w:val="center"/>
            </w:pPr>
            <w:r w:rsidRPr="007A70FB">
              <w:t>132 (44.7)</w:t>
            </w:r>
          </w:p>
        </w:tc>
        <w:tc>
          <w:tcPr>
            <w:tcW w:w="354" w:type="pct"/>
            <w:tcBorders>
              <w:top w:val="nil"/>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31 (36)</w:t>
            </w:r>
          </w:p>
        </w:tc>
        <w:tc>
          <w:tcPr>
            <w:tcW w:w="409" w:type="pct"/>
            <w:tcBorders>
              <w:top w:val="nil"/>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Cs/>
              </w:rPr>
            </w:pPr>
            <w:r w:rsidRPr="007A70FB">
              <w:rPr>
                <w:iCs/>
              </w:rPr>
              <w:t>-</w:t>
            </w:r>
          </w:p>
        </w:tc>
        <w:tc>
          <w:tcPr>
            <w:tcW w:w="409" w:type="pct"/>
            <w:tcBorders>
              <w:top w:val="nil"/>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w:t>
            </w:r>
          </w:p>
        </w:tc>
        <w:tc>
          <w:tcPr>
            <w:tcW w:w="410" w:type="pct"/>
            <w:tcBorders>
              <w:top w:val="nil"/>
              <w:left w:val="single" w:sz="4" w:space="0" w:color="auto"/>
              <w:bottom w:val="nil"/>
              <w:right w:val="single" w:sz="4" w:space="0" w:color="auto"/>
            </w:tcBorders>
            <w:vAlign w:val="center"/>
          </w:tcPr>
          <w:p w:rsidR="00536A65" w:rsidRPr="007A70FB" w:rsidRDefault="00536A65" w:rsidP="0000736B">
            <w:pPr>
              <w:pStyle w:val="Tabletext"/>
              <w:ind w:left="-110" w:right="-46"/>
              <w:jc w:val="center"/>
            </w:pPr>
            <w:r w:rsidRPr="007A70FB">
              <w:t>13 (18.6)</w:t>
            </w:r>
          </w:p>
        </w:tc>
        <w:tc>
          <w:tcPr>
            <w:tcW w:w="409" w:type="pct"/>
            <w:tcBorders>
              <w:top w:val="nil"/>
              <w:left w:val="single" w:sz="4" w:space="0" w:color="auto"/>
              <w:bottom w:val="nil"/>
              <w:right w:val="single" w:sz="4" w:space="0" w:color="auto"/>
            </w:tcBorders>
            <w:vAlign w:val="center"/>
          </w:tcPr>
          <w:p w:rsidR="00536A65" w:rsidRPr="007A70FB" w:rsidRDefault="00536A65" w:rsidP="0000736B">
            <w:pPr>
              <w:pStyle w:val="Tabletext"/>
              <w:ind w:left="-110" w:right="-46"/>
              <w:jc w:val="center"/>
            </w:pPr>
            <w:r w:rsidRPr="007A70FB">
              <w:t>181 (74)</w:t>
            </w:r>
          </w:p>
        </w:tc>
        <w:tc>
          <w:tcPr>
            <w:tcW w:w="409" w:type="pct"/>
            <w:tcBorders>
              <w:top w:val="nil"/>
              <w:left w:val="single" w:sz="4" w:space="0" w:color="auto"/>
              <w:bottom w:val="nil"/>
              <w:right w:val="single" w:sz="4" w:space="0" w:color="auto"/>
            </w:tcBorders>
            <w:vAlign w:val="center"/>
          </w:tcPr>
          <w:p w:rsidR="00536A65" w:rsidRPr="007A70FB" w:rsidRDefault="00536A65" w:rsidP="0000736B">
            <w:pPr>
              <w:pStyle w:val="Tabletext"/>
              <w:ind w:left="-110" w:right="-46"/>
              <w:jc w:val="center"/>
            </w:pPr>
            <w:r w:rsidRPr="007A70FB">
              <w:rPr>
                <w:iCs/>
              </w:rPr>
              <w:t>-</w:t>
            </w:r>
          </w:p>
        </w:tc>
        <w:tc>
          <w:tcPr>
            <w:tcW w:w="409" w:type="pct"/>
            <w:tcBorders>
              <w:top w:val="nil"/>
              <w:left w:val="single" w:sz="4" w:space="0" w:color="auto"/>
              <w:bottom w:val="nil"/>
              <w:right w:val="single" w:sz="4" w:space="0" w:color="auto"/>
            </w:tcBorders>
            <w:vAlign w:val="center"/>
          </w:tcPr>
          <w:p w:rsidR="00536A65" w:rsidRPr="007A70FB" w:rsidRDefault="00536A65" w:rsidP="0000736B">
            <w:pPr>
              <w:pStyle w:val="Tabletext"/>
              <w:ind w:left="-110" w:right="-46"/>
              <w:jc w:val="center"/>
            </w:pPr>
            <w:r w:rsidRPr="007A70FB">
              <w:rPr>
                <w:iCs/>
              </w:rPr>
              <w:t>-</w:t>
            </w:r>
          </w:p>
        </w:tc>
        <w:tc>
          <w:tcPr>
            <w:tcW w:w="409" w:type="pct"/>
            <w:tcBorders>
              <w:top w:val="nil"/>
              <w:left w:val="single" w:sz="4" w:space="0" w:color="auto"/>
              <w:bottom w:val="nil"/>
              <w:right w:val="single" w:sz="4" w:space="0" w:color="auto"/>
            </w:tcBorders>
            <w:vAlign w:val="center"/>
          </w:tcPr>
          <w:p w:rsidR="00536A65" w:rsidRPr="007A70FB" w:rsidRDefault="00536A65" w:rsidP="0000736B">
            <w:pPr>
              <w:pStyle w:val="Tabletext"/>
              <w:ind w:left="-110" w:right="-46"/>
              <w:jc w:val="center"/>
            </w:pPr>
            <w:r w:rsidRPr="007A70FB">
              <w:rPr>
                <w:iCs/>
              </w:rPr>
              <w:t>-</w:t>
            </w:r>
          </w:p>
        </w:tc>
        <w:tc>
          <w:tcPr>
            <w:tcW w:w="409" w:type="pct"/>
            <w:tcBorders>
              <w:top w:val="nil"/>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45 (41.3)</w:t>
            </w:r>
          </w:p>
        </w:tc>
        <w:tc>
          <w:tcPr>
            <w:tcW w:w="409" w:type="pct"/>
            <w:tcBorders>
              <w:top w:val="nil"/>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68 (61.8)</w:t>
            </w:r>
          </w:p>
        </w:tc>
      </w:tr>
      <w:tr w:rsidR="00536A65" w:rsidRPr="007A70FB" w:rsidTr="003C0A1D">
        <w:tc>
          <w:tcPr>
            <w:tcW w:w="500" w:type="pct"/>
            <w:tcBorders>
              <w:top w:val="nil"/>
              <w:bottom w:val="nil"/>
              <w:right w:val="single" w:sz="4" w:space="0" w:color="auto"/>
            </w:tcBorders>
            <w:vAlign w:val="center"/>
          </w:tcPr>
          <w:p w:rsidR="00536A65" w:rsidRPr="007A70FB" w:rsidRDefault="00536A65" w:rsidP="0000736B">
            <w:pPr>
              <w:pStyle w:val="Tabletext"/>
              <w:ind w:left="34"/>
            </w:pPr>
            <w:r w:rsidRPr="007A70FB">
              <w:t>Dose reduction</w:t>
            </w:r>
          </w:p>
        </w:tc>
        <w:tc>
          <w:tcPr>
            <w:tcW w:w="463" w:type="pct"/>
            <w:tcBorders>
              <w:top w:val="nil"/>
              <w:left w:val="single" w:sz="4" w:space="0" w:color="auto"/>
              <w:bottom w:val="nil"/>
              <w:right w:val="single" w:sz="4" w:space="0" w:color="auto"/>
            </w:tcBorders>
            <w:vAlign w:val="center"/>
          </w:tcPr>
          <w:p w:rsidR="00536A65" w:rsidRPr="007A70FB" w:rsidRDefault="00536A65" w:rsidP="0000736B">
            <w:pPr>
              <w:pStyle w:val="Tabletext"/>
              <w:ind w:left="-110" w:right="-94"/>
              <w:jc w:val="center"/>
            </w:pPr>
            <w:r w:rsidRPr="007A70FB">
              <w:t>65 (22.0)</w:t>
            </w:r>
          </w:p>
        </w:tc>
        <w:tc>
          <w:tcPr>
            <w:tcW w:w="354" w:type="pct"/>
            <w:tcBorders>
              <w:top w:val="nil"/>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Cs/>
              </w:rPr>
            </w:pPr>
            <w:r w:rsidRPr="007A70FB">
              <w:t>14 (16)</w:t>
            </w:r>
          </w:p>
        </w:tc>
        <w:tc>
          <w:tcPr>
            <w:tcW w:w="409" w:type="pct"/>
            <w:tcBorders>
              <w:top w:val="nil"/>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Cs/>
              </w:rPr>
            </w:pPr>
            <w:r w:rsidRPr="007A70FB">
              <w:t>14 (10)</w:t>
            </w:r>
          </w:p>
        </w:tc>
        <w:tc>
          <w:tcPr>
            <w:tcW w:w="409" w:type="pct"/>
            <w:tcBorders>
              <w:top w:val="nil"/>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w:t>
            </w:r>
          </w:p>
        </w:tc>
        <w:tc>
          <w:tcPr>
            <w:tcW w:w="410" w:type="pct"/>
            <w:tcBorders>
              <w:top w:val="nil"/>
              <w:left w:val="single" w:sz="4" w:space="0" w:color="auto"/>
              <w:bottom w:val="nil"/>
              <w:right w:val="single" w:sz="4" w:space="0" w:color="auto"/>
            </w:tcBorders>
            <w:vAlign w:val="center"/>
          </w:tcPr>
          <w:p w:rsidR="00536A65" w:rsidRPr="007A70FB" w:rsidRDefault="00536A65" w:rsidP="0000736B">
            <w:pPr>
              <w:pStyle w:val="Tabletext"/>
              <w:ind w:left="-110" w:right="-46"/>
              <w:jc w:val="center"/>
            </w:pPr>
            <w:r w:rsidRPr="007A70FB">
              <w:t>3 (4.3)</w:t>
            </w:r>
          </w:p>
        </w:tc>
        <w:tc>
          <w:tcPr>
            <w:tcW w:w="409" w:type="pct"/>
            <w:tcBorders>
              <w:top w:val="nil"/>
              <w:left w:val="single" w:sz="4" w:space="0" w:color="auto"/>
              <w:bottom w:val="nil"/>
              <w:right w:val="single" w:sz="4" w:space="0" w:color="auto"/>
            </w:tcBorders>
            <w:vAlign w:val="center"/>
          </w:tcPr>
          <w:p w:rsidR="00536A65" w:rsidRPr="007A70FB" w:rsidRDefault="00536A65" w:rsidP="0000736B">
            <w:pPr>
              <w:pStyle w:val="Tabletext"/>
              <w:ind w:left="-110" w:right="-46"/>
              <w:jc w:val="center"/>
            </w:pPr>
            <w:r w:rsidRPr="007A70FB">
              <w:t>152 (62)</w:t>
            </w:r>
          </w:p>
        </w:tc>
        <w:tc>
          <w:tcPr>
            <w:tcW w:w="409" w:type="pct"/>
            <w:tcBorders>
              <w:top w:val="nil"/>
              <w:left w:val="single" w:sz="4" w:space="0" w:color="auto"/>
              <w:bottom w:val="nil"/>
              <w:right w:val="single" w:sz="4" w:space="0" w:color="auto"/>
            </w:tcBorders>
            <w:vAlign w:val="center"/>
          </w:tcPr>
          <w:p w:rsidR="00536A65" w:rsidRPr="007A70FB" w:rsidRDefault="00536A65" w:rsidP="0000736B">
            <w:pPr>
              <w:pStyle w:val="Tabletext"/>
              <w:ind w:left="-110" w:right="-46"/>
              <w:jc w:val="center"/>
            </w:pPr>
            <w:r w:rsidRPr="007A70FB">
              <w:t>76 (54.3)</w:t>
            </w:r>
          </w:p>
        </w:tc>
        <w:tc>
          <w:tcPr>
            <w:tcW w:w="409" w:type="pct"/>
            <w:tcBorders>
              <w:top w:val="nil"/>
              <w:left w:val="single" w:sz="4" w:space="0" w:color="auto"/>
              <w:bottom w:val="nil"/>
              <w:right w:val="single" w:sz="4" w:space="0" w:color="auto"/>
            </w:tcBorders>
            <w:vAlign w:val="center"/>
          </w:tcPr>
          <w:p w:rsidR="00536A65" w:rsidRPr="007A70FB" w:rsidRDefault="00536A65" w:rsidP="0000736B">
            <w:pPr>
              <w:pStyle w:val="Tabletext"/>
              <w:ind w:left="-110" w:right="-46"/>
              <w:jc w:val="center"/>
              <w:rPr>
                <w:i/>
              </w:rPr>
            </w:pPr>
            <w:r w:rsidRPr="007A70FB">
              <w:rPr>
                <w:i/>
              </w:rPr>
              <w:t>71 (</w:t>
            </w:r>
            <w:r w:rsidRPr="007A70FB">
              <w:rPr>
                <w:iCs/>
              </w:rPr>
              <w:t>61</w:t>
            </w:r>
            <w:r w:rsidRPr="007A70FB">
              <w:rPr>
                <w:i/>
              </w:rPr>
              <w:t>)</w:t>
            </w:r>
          </w:p>
        </w:tc>
        <w:tc>
          <w:tcPr>
            <w:tcW w:w="409" w:type="pct"/>
            <w:tcBorders>
              <w:top w:val="nil"/>
              <w:left w:val="single" w:sz="4" w:space="0" w:color="auto"/>
              <w:bottom w:val="nil"/>
              <w:right w:val="single" w:sz="4" w:space="0" w:color="auto"/>
            </w:tcBorders>
            <w:vAlign w:val="center"/>
          </w:tcPr>
          <w:p w:rsidR="00536A65" w:rsidRPr="007A70FB" w:rsidRDefault="00536A65" w:rsidP="0000736B">
            <w:pPr>
              <w:pStyle w:val="Tabletext"/>
              <w:ind w:left="-110" w:right="-46"/>
              <w:jc w:val="center"/>
            </w:pPr>
            <w:r w:rsidRPr="007A70FB">
              <w:rPr>
                <w:iCs/>
              </w:rPr>
              <w:t>-</w:t>
            </w:r>
          </w:p>
        </w:tc>
        <w:tc>
          <w:tcPr>
            <w:tcW w:w="409" w:type="pct"/>
            <w:tcBorders>
              <w:top w:val="nil"/>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8 (7.3)</w:t>
            </w:r>
          </w:p>
        </w:tc>
        <w:tc>
          <w:tcPr>
            <w:tcW w:w="409" w:type="pct"/>
            <w:tcBorders>
              <w:top w:val="nil"/>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32 (29.1)</w:t>
            </w:r>
          </w:p>
        </w:tc>
      </w:tr>
      <w:tr w:rsidR="00536A65" w:rsidRPr="007A70FB" w:rsidTr="003C0A1D">
        <w:tc>
          <w:tcPr>
            <w:tcW w:w="500" w:type="pct"/>
            <w:tcBorders>
              <w:top w:val="nil"/>
              <w:bottom w:val="single" w:sz="4" w:space="0" w:color="auto"/>
              <w:right w:val="single" w:sz="4" w:space="0" w:color="auto"/>
            </w:tcBorders>
            <w:vAlign w:val="center"/>
          </w:tcPr>
          <w:p w:rsidR="00536A65" w:rsidRPr="007A70FB" w:rsidRDefault="00536A65" w:rsidP="0000736B">
            <w:pPr>
              <w:pStyle w:val="Tabletext"/>
              <w:ind w:left="34"/>
            </w:pPr>
            <w:r w:rsidRPr="007A70FB">
              <w:t>Dose reduction or interruption</w:t>
            </w:r>
          </w:p>
        </w:tc>
        <w:tc>
          <w:tcPr>
            <w:tcW w:w="463" w:type="pct"/>
            <w:tcBorders>
              <w:top w:val="nil"/>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94"/>
              <w:jc w:val="center"/>
            </w:pPr>
            <w:r w:rsidRPr="007A70FB">
              <w:t>NR</w:t>
            </w:r>
          </w:p>
        </w:tc>
        <w:tc>
          <w:tcPr>
            <w:tcW w:w="354" w:type="pct"/>
            <w:tcBorders>
              <w:top w:val="nil"/>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37 (42.5)</w:t>
            </w:r>
          </w:p>
        </w:tc>
        <w:tc>
          <w:tcPr>
            <w:tcW w:w="409" w:type="pct"/>
            <w:tcBorders>
              <w:top w:val="nil"/>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38 (27.5)</w:t>
            </w:r>
          </w:p>
        </w:tc>
        <w:tc>
          <w:tcPr>
            <w:tcW w:w="409" w:type="pct"/>
            <w:tcBorders>
              <w:top w:val="nil"/>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83 (32.8)</w:t>
            </w:r>
          </w:p>
        </w:tc>
        <w:tc>
          <w:tcPr>
            <w:tcW w:w="410" w:type="pct"/>
            <w:tcBorders>
              <w:top w:val="nil"/>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46"/>
              <w:jc w:val="center"/>
            </w:pPr>
            <w:r w:rsidRPr="007A70FB">
              <w:rPr>
                <w:iCs/>
              </w:rPr>
              <w:t>-</w:t>
            </w:r>
          </w:p>
        </w:tc>
        <w:tc>
          <w:tcPr>
            <w:tcW w:w="409" w:type="pct"/>
            <w:tcBorders>
              <w:top w:val="nil"/>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46"/>
              <w:jc w:val="center"/>
            </w:pPr>
            <w:r w:rsidRPr="007A70FB">
              <w:rPr>
                <w:iCs/>
              </w:rPr>
              <w:t>-</w:t>
            </w:r>
          </w:p>
        </w:tc>
        <w:tc>
          <w:tcPr>
            <w:tcW w:w="409" w:type="pct"/>
            <w:tcBorders>
              <w:top w:val="nil"/>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46"/>
              <w:jc w:val="center"/>
            </w:pPr>
            <w:r w:rsidRPr="007A70FB">
              <w:rPr>
                <w:iCs/>
              </w:rPr>
              <w:t>-</w:t>
            </w:r>
          </w:p>
        </w:tc>
        <w:tc>
          <w:tcPr>
            <w:tcW w:w="409" w:type="pct"/>
            <w:tcBorders>
              <w:top w:val="nil"/>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46"/>
              <w:jc w:val="center"/>
            </w:pPr>
            <w:r w:rsidRPr="007A70FB">
              <w:t>92 (80.0)</w:t>
            </w:r>
          </w:p>
        </w:tc>
        <w:tc>
          <w:tcPr>
            <w:tcW w:w="409" w:type="pct"/>
            <w:tcBorders>
              <w:top w:val="nil"/>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46"/>
              <w:jc w:val="center"/>
            </w:pPr>
            <w:r w:rsidRPr="007A70FB">
              <w:t>20 (100)</w:t>
            </w:r>
          </w:p>
        </w:tc>
        <w:tc>
          <w:tcPr>
            <w:tcW w:w="409" w:type="pct"/>
            <w:tcBorders>
              <w:top w:val="nil"/>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w:t>
            </w:r>
          </w:p>
        </w:tc>
        <w:tc>
          <w:tcPr>
            <w:tcW w:w="409" w:type="pct"/>
            <w:tcBorders>
              <w:top w:val="nil"/>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w:t>
            </w:r>
          </w:p>
        </w:tc>
      </w:tr>
      <w:tr w:rsidR="00536A65" w:rsidRPr="007A70FB" w:rsidTr="003C0A1D">
        <w:tc>
          <w:tcPr>
            <w:tcW w:w="500" w:type="pct"/>
            <w:tcBorders>
              <w:top w:val="single" w:sz="4" w:space="0" w:color="auto"/>
              <w:bottom w:val="nil"/>
              <w:right w:val="single" w:sz="4" w:space="0" w:color="auto"/>
            </w:tcBorders>
            <w:vAlign w:val="center"/>
          </w:tcPr>
          <w:p w:rsidR="00536A65" w:rsidRPr="007A70FB" w:rsidRDefault="00536A65" w:rsidP="0000736B">
            <w:pPr>
              <w:pStyle w:val="Tabletext"/>
              <w:ind w:left="-38"/>
            </w:pPr>
            <w:r w:rsidRPr="007A70FB">
              <w:t>AE Grade ≥ 3</w:t>
            </w:r>
          </w:p>
        </w:tc>
        <w:tc>
          <w:tcPr>
            <w:tcW w:w="463" w:type="pct"/>
            <w:tcBorders>
              <w:top w:val="single" w:sz="4" w:space="0" w:color="auto"/>
              <w:left w:val="single" w:sz="4" w:space="0" w:color="auto"/>
              <w:bottom w:val="nil"/>
              <w:right w:val="single" w:sz="4" w:space="0" w:color="auto"/>
            </w:tcBorders>
            <w:vAlign w:val="center"/>
          </w:tcPr>
          <w:p w:rsidR="00536A65" w:rsidRPr="007A70FB" w:rsidRDefault="00536A65" w:rsidP="0000736B">
            <w:pPr>
              <w:pStyle w:val="Tabletext"/>
              <w:ind w:left="-110" w:right="-94"/>
              <w:jc w:val="center"/>
            </w:pPr>
          </w:p>
        </w:tc>
        <w:tc>
          <w:tcPr>
            <w:tcW w:w="354" w:type="pct"/>
            <w:tcBorders>
              <w:top w:val="single" w:sz="4" w:space="0" w:color="auto"/>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
              </w:rPr>
            </w:pPr>
          </w:p>
        </w:tc>
        <w:tc>
          <w:tcPr>
            <w:tcW w:w="409" w:type="pct"/>
            <w:tcBorders>
              <w:top w:val="single" w:sz="4" w:space="0" w:color="auto"/>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Cs/>
              </w:rPr>
            </w:pPr>
          </w:p>
        </w:tc>
        <w:tc>
          <w:tcPr>
            <w:tcW w:w="409" w:type="pct"/>
            <w:tcBorders>
              <w:top w:val="single" w:sz="4" w:space="0" w:color="auto"/>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
              </w:rPr>
            </w:pPr>
          </w:p>
        </w:tc>
        <w:tc>
          <w:tcPr>
            <w:tcW w:w="410" w:type="pct"/>
            <w:tcBorders>
              <w:top w:val="single" w:sz="4" w:space="0" w:color="auto"/>
              <w:left w:val="single" w:sz="4" w:space="0" w:color="auto"/>
              <w:bottom w:val="nil"/>
              <w:right w:val="single" w:sz="4" w:space="0" w:color="auto"/>
            </w:tcBorders>
            <w:vAlign w:val="center"/>
          </w:tcPr>
          <w:p w:rsidR="00536A65" w:rsidRPr="007A70FB" w:rsidRDefault="00536A65" w:rsidP="0000736B">
            <w:pPr>
              <w:pStyle w:val="Tabletext"/>
              <w:ind w:left="-110" w:right="-46"/>
              <w:jc w:val="center"/>
            </w:pPr>
          </w:p>
        </w:tc>
        <w:tc>
          <w:tcPr>
            <w:tcW w:w="409" w:type="pct"/>
            <w:tcBorders>
              <w:top w:val="single" w:sz="4" w:space="0" w:color="auto"/>
              <w:left w:val="single" w:sz="4" w:space="0" w:color="auto"/>
              <w:bottom w:val="nil"/>
              <w:right w:val="single" w:sz="4" w:space="0" w:color="auto"/>
            </w:tcBorders>
            <w:vAlign w:val="center"/>
          </w:tcPr>
          <w:p w:rsidR="00536A65" w:rsidRPr="007A70FB" w:rsidRDefault="00536A65" w:rsidP="0000736B">
            <w:pPr>
              <w:pStyle w:val="Tabletext"/>
              <w:ind w:left="-110" w:right="-46"/>
              <w:jc w:val="center"/>
            </w:pPr>
          </w:p>
        </w:tc>
        <w:tc>
          <w:tcPr>
            <w:tcW w:w="409" w:type="pct"/>
            <w:tcBorders>
              <w:top w:val="single" w:sz="4" w:space="0" w:color="auto"/>
              <w:left w:val="single" w:sz="4" w:space="0" w:color="auto"/>
              <w:bottom w:val="nil"/>
              <w:right w:val="single" w:sz="4" w:space="0" w:color="auto"/>
            </w:tcBorders>
            <w:vAlign w:val="center"/>
          </w:tcPr>
          <w:p w:rsidR="00536A65" w:rsidRPr="007A70FB" w:rsidRDefault="00536A65" w:rsidP="0000736B">
            <w:pPr>
              <w:pStyle w:val="Tabletext"/>
              <w:ind w:left="-110" w:right="-46"/>
              <w:jc w:val="center"/>
            </w:pPr>
          </w:p>
        </w:tc>
        <w:tc>
          <w:tcPr>
            <w:tcW w:w="409" w:type="pct"/>
            <w:tcBorders>
              <w:top w:val="single" w:sz="4" w:space="0" w:color="auto"/>
              <w:left w:val="single" w:sz="4" w:space="0" w:color="auto"/>
              <w:bottom w:val="nil"/>
              <w:right w:val="single" w:sz="4" w:space="0" w:color="auto"/>
            </w:tcBorders>
            <w:vAlign w:val="center"/>
          </w:tcPr>
          <w:p w:rsidR="00536A65" w:rsidRPr="007A70FB" w:rsidRDefault="00536A65" w:rsidP="0000736B">
            <w:pPr>
              <w:pStyle w:val="Tabletext"/>
              <w:ind w:left="-110" w:right="-46"/>
              <w:jc w:val="center"/>
            </w:pPr>
          </w:p>
        </w:tc>
        <w:tc>
          <w:tcPr>
            <w:tcW w:w="409" w:type="pct"/>
            <w:tcBorders>
              <w:top w:val="single" w:sz="4" w:space="0" w:color="auto"/>
              <w:left w:val="single" w:sz="4" w:space="0" w:color="auto"/>
              <w:bottom w:val="nil"/>
              <w:right w:val="single" w:sz="4" w:space="0" w:color="auto"/>
            </w:tcBorders>
            <w:vAlign w:val="center"/>
          </w:tcPr>
          <w:p w:rsidR="00536A65" w:rsidRPr="007A70FB" w:rsidRDefault="00536A65" w:rsidP="0000736B">
            <w:pPr>
              <w:pStyle w:val="Tabletext"/>
              <w:ind w:left="-110" w:right="-46"/>
              <w:jc w:val="center"/>
            </w:pPr>
          </w:p>
        </w:tc>
        <w:tc>
          <w:tcPr>
            <w:tcW w:w="409" w:type="pct"/>
            <w:tcBorders>
              <w:top w:val="single" w:sz="4" w:space="0" w:color="auto"/>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
              </w:rPr>
            </w:pPr>
          </w:p>
        </w:tc>
        <w:tc>
          <w:tcPr>
            <w:tcW w:w="409" w:type="pct"/>
            <w:tcBorders>
              <w:top w:val="single" w:sz="4" w:space="0" w:color="auto"/>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
              </w:rPr>
            </w:pPr>
          </w:p>
        </w:tc>
      </w:tr>
      <w:tr w:rsidR="00536A65" w:rsidRPr="007A70FB" w:rsidTr="003C0A1D">
        <w:tc>
          <w:tcPr>
            <w:tcW w:w="500" w:type="pct"/>
            <w:tcBorders>
              <w:top w:val="nil"/>
              <w:bottom w:val="nil"/>
              <w:right w:val="single" w:sz="4" w:space="0" w:color="auto"/>
            </w:tcBorders>
            <w:vAlign w:val="center"/>
          </w:tcPr>
          <w:p w:rsidR="00536A65" w:rsidRPr="007A70FB" w:rsidRDefault="00536A65" w:rsidP="0000736B">
            <w:pPr>
              <w:pStyle w:val="Tabletext"/>
              <w:ind w:left="34"/>
            </w:pPr>
            <w:r w:rsidRPr="007A70FB">
              <w:t>Total</w:t>
            </w:r>
          </w:p>
        </w:tc>
        <w:tc>
          <w:tcPr>
            <w:tcW w:w="463" w:type="pct"/>
            <w:tcBorders>
              <w:top w:val="nil"/>
              <w:left w:val="single" w:sz="4" w:space="0" w:color="auto"/>
              <w:bottom w:val="nil"/>
              <w:right w:val="single" w:sz="4" w:space="0" w:color="auto"/>
            </w:tcBorders>
            <w:vAlign w:val="center"/>
          </w:tcPr>
          <w:p w:rsidR="00536A65" w:rsidRPr="007A70FB" w:rsidRDefault="00536A65" w:rsidP="0000736B">
            <w:pPr>
              <w:pStyle w:val="Tabletext"/>
              <w:ind w:left="-143" w:right="-133"/>
              <w:jc w:val="center"/>
              <w:rPr>
                <w:i/>
              </w:rPr>
            </w:pPr>
            <w:r w:rsidRPr="007A70FB">
              <w:rPr>
                <w:i/>
              </w:rPr>
              <w:t>G3/4:184 (62.4)</w:t>
            </w:r>
          </w:p>
          <w:p w:rsidR="00536A65" w:rsidRPr="007A70FB" w:rsidRDefault="00536A65" w:rsidP="0000736B">
            <w:pPr>
              <w:pStyle w:val="Tabletext"/>
              <w:ind w:left="-110" w:right="-94"/>
              <w:jc w:val="center"/>
            </w:pPr>
            <w:r w:rsidRPr="007A70FB">
              <w:rPr>
                <w:i/>
              </w:rPr>
              <w:t>G5: 33 (11.2)</w:t>
            </w:r>
          </w:p>
        </w:tc>
        <w:tc>
          <w:tcPr>
            <w:tcW w:w="354" w:type="pct"/>
            <w:tcBorders>
              <w:top w:val="nil"/>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36 (41.4)</w:t>
            </w:r>
          </w:p>
        </w:tc>
        <w:tc>
          <w:tcPr>
            <w:tcW w:w="409" w:type="pct"/>
            <w:tcBorders>
              <w:top w:val="nil"/>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55 (39.9)</w:t>
            </w:r>
          </w:p>
        </w:tc>
        <w:tc>
          <w:tcPr>
            <w:tcW w:w="409" w:type="pct"/>
            <w:tcBorders>
              <w:top w:val="nil"/>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100 (39.5)</w:t>
            </w:r>
          </w:p>
        </w:tc>
        <w:tc>
          <w:tcPr>
            <w:tcW w:w="410" w:type="pct"/>
            <w:tcBorders>
              <w:top w:val="nil"/>
              <w:left w:val="single" w:sz="4" w:space="0" w:color="auto"/>
              <w:bottom w:val="nil"/>
              <w:right w:val="single" w:sz="4" w:space="0" w:color="auto"/>
            </w:tcBorders>
            <w:vAlign w:val="center"/>
          </w:tcPr>
          <w:p w:rsidR="00536A65" w:rsidRPr="007A70FB" w:rsidRDefault="00536A65" w:rsidP="0000736B">
            <w:pPr>
              <w:pStyle w:val="Tabletext"/>
              <w:ind w:left="-110" w:right="-46"/>
              <w:jc w:val="center"/>
            </w:pPr>
            <w:r w:rsidRPr="007A70FB">
              <w:t>19 (27.1)</w:t>
            </w:r>
          </w:p>
        </w:tc>
        <w:tc>
          <w:tcPr>
            <w:tcW w:w="409" w:type="pct"/>
            <w:tcBorders>
              <w:top w:val="nil"/>
              <w:left w:val="single" w:sz="4" w:space="0" w:color="auto"/>
              <w:bottom w:val="nil"/>
              <w:right w:val="single" w:sz="4" w:space="0" w:color="auto"/>
            </w:tcBorders>
            <w:vAlign w:val="center"/>
          </w:tcPr>
          <w:p w:rsidR="00536A65" w:rsidRPr="007A70FB" w:rsidRDefault="00536A65" w:rsidP="0000736B">
            <w:pPr>
              <w:pStyle w:val="Tabletext"/>
              <w:ind w:left="-110" w:right="-46"/>
              <w:jc w:val="center"/>
            </w:pPr>
            <w:r w:rsidRPr="007A70FB">
              <w:t>200 (81)</w:t>
            </w:r>
          </w:p>
        </w:tc>
        <w:tc>
          <w:tcPr>
            <w:tcW w:w="409" w:type="pct"/>
            <w:tcBorders>
              <w:top w:val="nil"/>
              <w:left w:val="single" w:sz="4" w:space="0" w:color="auto"/>
              <w:bottom w:val="nil"/>
              <w:right w:val="single" w:sz="4" w:space="0" w:color="auto"/>
            </w:tcBorders>
            <w:vAlign w:val="center"/>
          </w:tcPr>
          <w:p w:rsidR="00536A65" w:rsidRPr="007A70FB" w:rsidRDefault="00536A65" w:rsidP="0000736B">
            <w:pPr>
              <w:pStyle w:val="Tabletext"/>
              <w:ind w:left="-110" w:right="-46"/>
              <w:jc w:val="center"/>
            </w:pPr>
            <w:r w:rsidRPr="007A70FB">
              <w:t>100 (71.4)</w:t>
            </w:r>
          </w:p>
        </w:tc>
        <w:tc>
          <w:tcPr>
            <w:tcW w:w="409" w:type="pct"/>
            <w:tcBorders>
              <w:top w:val="nil"/>
              <w:left w:val="single" w:sz="4" w:space="0" w:color="auto"/>
              <w:bottom w:val="nil"/>
              <w:right w:val="single" w:sz="4" w:space="0" w:color="auto"/>
            </w:tcBorders>
            <w:vAlign w:val="center"/>
          </w:tcPr>
          <w:p w:rsidR="00536A65" w:rsidRPr="007A70FB" w:rsidRDefault="00536A65" w:rsidP="0000736B">
            <w:pPr>
              <w:pStyle w:val="Tabletext"/>
              <w:ind w:left="-110" w:right="-135"/>
              <w:jc w:val="center"/>
              <w:rPr>
                <w:i/>
              </w:rPr>
            </w:pPr>
            <w:r w:rsidRPr="007A70FB">
              <w:rPr>
                <w:i/>
              </w:rPr>
              <w:t>G3: 86 (74.8)</w:t>
            </w:r>
          </w:p>
          <w:p w:rsidR="00536A65" w:rsidRPr="007A70FB" w:rsidRDefault="00536A65" w:rsidP="0000736B">
            <w:pPr>
              <w:pStyle w:val="Tabletext"/>
              <w:ind w:left="-110" w:right="-135"/>
              <w:jc w:val="center"/>
            </w:pPr>
            <w:r w:rsidRPr="007A70FB">
              <w:rPr>
                <w:i/>
              </w:rPr>
              <w:t>G4: 18 (15.7)</w:t>
            </w:r>
          </w:p>
        </w:tc>
        <w:tc>
          <w:tcPr>
            <w:tcW w:w="409" w:type="pct"/>
            <w:tcBorders>
              <w:top w:val="nil"/>
              <w:left w:val="single" w:sz="4" w:space="0" w:color="auto"/>
              <w:bottom w:val="nil"/>
              <w:right w:val="single" w:sz="4" w:space="0" w:color="auto"/>
            </w:tcBorders>
            <w:vAlign w:val="center"/>
          </w:tcPr>
          <w:p w:rsidR="00536A65" w:rsidRPr="007A70FB" w:rsidRDefault="00536A65" w:rsidP="0000736B">
            <w:pPr>
              <w:pStyle w:val="Tabletext"/>
              <w:ind w:left="-110" w:right="-46"/>
              <w:jc w:val="center"/>
            </w:pPr>
            <w:r w:rsidRPr="007A70FB">
              <w:t>G3/4: 14 (70)</w:t>
            </w:r>
          </w:p>
        </w:tc>
        <w:tc>
          <w:tcPr>
            <w:tcW w:w="409" w:type="pct"/>
            <w:tcBorders>
              <w:top w:val="nil"/>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69 (63.3)</w:t>
            </w:r>
          </w:p>
        </w:tc>
        <w:tc>
          <w:tcPr>
            <w:tcW w:w="409" w:type="pct"/>
            <w:tcBorders>
              <w:top w:val="nil"/>
              <w:left w:val="single" w:sz="4" w:space="0" w:color="auto"/>
              <w:bottom w:val="nil"/>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78 (70.9)</w:t>
            </w:r>
          </w:p>
        </w:tc>
      </w:tr>
      <w:tr w:rsidR="00536A65" w:rsidRPr="007A70FB" w:rsidTr="003C0A1D">
        <w:tc>
          <w:tcPr>
            <w:tcW w:w="500" w:type="pct"/>
            <w:tcBorders>
              <w:top w:val="nil"/>
              <w:bottom w:val="single" w:sz="4" w:space="0" w:color="auto"/>
              <w:right w:val="single" w:sz="4" w:space="0" w:color="auto"/>
            </w:tcBorders>
            <w:vAlign w:val="center"/>
          </w:tcPr>
          <w:p w:rsidR="00536A65" w:rsidRPr="007A70FB" w:rsidRDefault="00536A65" w:rsidP="0000736B">
            <w:pPr>
              <w:pStyle w:val="Tabletext"/>
              <w:ind w:left="34"/>
            </w:pPr>
            <w:r w:rsidRPr="007A70FB">
              <w:t>Drug related</w:t>
            </w:r>
          </w:p>
        </w:tc>
        <w:tc>
          <w:tcPr>
            <w:tcW w:w="463" w:type="pct"/>
            <w:tcBorders>
              <w:top w:val="nil"/>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94"/>
              <w:jc w:val="center"/>
            </w:pPr>
            <w:r w:rsidRPr="007A70FB">
              <w:t>121 (41.0)</w:t>
            </w:r>
          </w:p>
        </w:tc>
        <w:tc>
          <w:tcPr>
            <w:tcW w:w="354" w:type="pct"/>
            <w:tcBorders>
              <w:top w:val="nil"/>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46"/>
              <w:jc w:val="center"/>
            </w:pPr>
            <w:r w:rsidRPr="007A70FB">
              <w:t>12 (13.8)</w:t>
            </w:r>
          </w:p>
        </w:tc>
        <w:tc>
          <w:tcPr>
            <w:tcW w:w="409" w:type="pct"/>
            <w:tcBorders>
              <w:top w:val="nil"/>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46"/>
              <w:jc w:val="center"/>
            </w:pPr>
            <w:r w:rsidRPr="007A70FB">
              <w:t>16 (11.6)</w:t>
            </w:r>
          </w:p>
        </w:tc>
        <w:tc>
          <w:tcPr>
            <w:tcW w:w="409" w:type="pct"/>
            <w:tcBorders>
              <w:top w:val="nil"/>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33 (13.0)</w:t>
            </w:r>
          </w:p>
        </w:tc>
        <w:tc>
          <w:tcPr>
            <w:tcW w:w="410" w:type="pct"/>
            <w:tcBorders>
              <w:top w:val="nil"/>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46"/>
              <w:jc w:val="center"/>
            </w:pPr>
          </w:p>
        </w:tc>
        <w:tc>
          <w:tcPr>
            <w:tcW w:w="409" w:type="pct"/>
            <w:tcBorders>
              <w:top w:val="nil"/>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46"/>
              <w:jc w:val="center"/>
            </w:pPr>
            <w:r w:rsidRPr="007A70FB">
              <w:t>125 (51)</w:t>
            </w:r>
          </w:p>
        </w:tc>
        <w:tc>
          <w:tcPr>
            <w:tcW w:w="409" w:type="pct"/>
            <w:tcBorders>
              <w:top w:val="nil"/>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46"/>
              <w:jc w:val="center"/>
            </w:pPr>
            <w:r w:rsidRPr="007A70FB">
              <w:t>64 (45.7)</w:t>
            </w:r>
          </w:p>
        </w:tc>
        <w:tc>
          <w:tcPr>
            <w:tcW w:w="409" w:type="pct"/>
            <w:tcBorders>
              <w:top w:val="nil"/>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46"/>
              <w:jc w:val="center"/>
            </w:pPr>
          </w:p>
        </w:tc>
        <w:tc>
          <w:tcPr>
            <w:tcW w:w="409" w:type="pct"/>
            <w:tcBorders>
              <w:top w:val="nil"/>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46"/>
              <w:jc w:val="center"/>
            </w:pPr>
            <w:r w:rsidRPr="007A70FB">
              <w:t>12 (60)</w:t>
            </w:r>
          </w:p>
        </w:tc>
        <w:tc>
          <w:tcPr>
            <w:tcW w:w="409" w:type="pct"/>
            <w:tcBorders>
              <w:top w:val="nil"/>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26 (23.9)</w:t>
            </w:r>
          </w:p>
        </w:tc>
        <w:tc>
          <w:tcPr>
            <w:tcW w:w="409" w:type="pct"/>
            <w:tcBorders>
              <w:top w:val="nil"/>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50 (45.5)</w:t>
            </w:r>
          </w:p>
        </w:tc>
      </w:tr>
      <w:tr w:rsidR="00536A65" w:rsidRPr="007A70FB" w:rsidTr="003C0A1D">
        <w:tc>
          <w:tcPr>
            <w:tcW w:w="500" w:type="pct"/>
            <w:tcBorders>
              <w:top w:val="single" w:sz="4" w:space="0" w:color="auto"/>
              <w:bottom w:val="single" w:sz="4" w:space="0" w:color="auto"/>
              <w:right w:val="single" w:sz="4" w:space="0" w:color="auto"/>
            </w:tcBorders>
            <w:vAlign w:val="center"/>
          </w:tcPr>
          <w:p w:rsidR="00536A65" w:rsidRPr="007A70FB" w:rsidRDefault="00536A65" w:rsidP="0000736B">
            <w:pPr>
              <w:pStyle w:val="Tabletext"/>
              <w:ind w:left="-38"/>
            </w:pPr>
            <w:r w:rsidRPr="007A70FB">
              <w:t>Death due to AE</w:t>
            </w:r>
          </w:p>
        </w:tc>
        <w:tc>
          <w:tcPr>
            <w:tcW w:w="463" w:type="pct"/>
            <w:tcBorders>
              <w:top w:val="single" w:sz="4" w:space="0" w:color="auto"/>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94"/>
              <w:jc w:val="center"/>
            </w:pPr>
            <w:r w:rsidRPr="007A70FB">
              <w:t>0</w:t>
            </w:r>
          </w:p>
        </w:tc>
        <w:tc>
          <w:tcPr>
            <w:tcW w:w="354" w:type="pct"/>
            <w:tcBorders>
              <w:top w:val="single" w:sz="4" w:space="0" w:color="auto"/>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46"/>
              <w:jc w:val="center"/>
            </w:pPr>
            <w:r w:rsidRPr="007A70FB">
              <w:t>2 (2.3)</w:t>
            </w:r>
          </w:p>
        </w:tc>
        <w:tc>
          <w:tcPr>
            <w:tcW w:w="409" w:type="pct"/>
            <w:tcBorders>
              <w:top w:val="single" w:sz="4" w:space="0" w:color="auto"/>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46"/>
              <w:jc w:val="center"/>
            </w:pPr>
            <w:r w:rsidRPr="007A70FB">
              <w:t>5 (3.6)</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46"/>
              <w:jc w:val="center"/>
              <w:rPr>
                <w:i/>
              </w:rPr>
            </w:pPr>
            <w:r w:rsidRPr="007A70FB">
              <w:rPr>
                <w:i/>
              </w:rPr>
              <w:t>7 (2.8)</w:t>
            </w:r>
          </w:p>
        </w:tc>
        <w:tc>
          <w:tcPr>
            <w:tcW w:w="410" w:type="pct"/>
            <w:tcBorders>
              <w:top w:val="single" w:sz="4" w:space="0" w:color="auto"/>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46"/>
              <w:jc w:val="center"/>
            </w:pPr>
            <w:r w:rsidRPr="007A70FB">
              <w:t>0</w:t>
            </w:r>
          </w:p>
        </w:tc>
        <w:tc>
          <w:tcPr>
            <w:tcW w:w="409" w:type="pct"/>
            <w:tcBorders>
              <w:top w:val="single" w:sz="4" w:space="0" w:color="auto"/>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46"/>
              <w:jc w:val="center"/>
            </w:pPr>
            <w:r w:rsidRPr="007A70FB">
              <w:t>2 (0.8)</w:t>
            </w:r>
          </w:p>
        </w:tc>
        <w:tc>
          <w:tcPr>
            <w:tcW w:w="409" w:type="pct"/>
            <w:tcBorders>
              <w:top w:val="single" w:sz="4" w:space="0" w:color="auto"/>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46"/>
              <w:jc w:val="center"/>
            </w:pPr>
            <w:r w:rsidRPr="007A70FB">
              <w:t>NR</w:t>
            </w:r>
          </w:p>
        </w:tc>
        <w:tc>
          <w:tcPr>
            <w:tcW w:w="409" w:type="pct"/>
            <w:tcBorders>
              <w:top w:val="single" w:sz="4" w:space="0" w:color="auto"/>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46"/>
              <w:jc w:val="center"/>
            </w:pPr>
            <w:r w:rsidRPr="007A70FB">
              <w:t>2 (1.7)</w:t>
            </w:r>
          </w:p>
        </w:tc>
        <w:tc>
          <w:tcPr>
            <w:tcW w:w="409" w:type="pct"/>
            <w:tcBorders>
              <w:top w:val="single" w:sz="4" w:space="0" w:color="auto"/>
              <w:left w:val="single" w:sz="4" w:space="0" w:color="auto"/>
              <w:bottom w:val="single" w:sz="4" w:space="0" w:color="auto"/>
              <w:right w:val="single" w:sz="4" w:space="0" w:color="auto"/>
            </w:tcBorders>
            <w:vAlign w:val="center"/>
          </w:tcPr>
          <w:p w:rsidR="00536A65" w:rsidRPr="007A70FB" w:rsidRDefault="00536A65" w:rsidP="0000736B">
            <w:pPr>
              <w:pStyle w:val="Tabletext"/>
              <w:ind w:left="-110" w:right="-46"/>
              <w:jc w:val="center"/>
              <w:rPr>
                <w:i/>
              </w:rPr>
            </w:pPr>
            <w:r w:rsidRPr="007A70FB">
              <w:rPr>
                <w:i/>
              </w:rPr>
              <w:t>0</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46"/>
              <w:jc w:val="center"/>
            </w:pPr>
            <w:r w:rsidRPr="007A70FB">
              <w:t>NR</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536A65" w:rsidRPr="007A70FB" w:rsidRDefault="00536A65" w:rsidP="0000736B">
            <w:pPr>
              <w:pStyle w:val="Tabletext"/>
              <w:ind w:left="-110" w:right="-46"/>
              <w:jc w:val="center"/>
            </w:pPr>
            <w:r w:rsidRPr="007A70FB">
              <w:t>NR</w:t>
            </w:r>
          </w:p>
        </w:tc>
      </w:tr>
    </w:tbl>
    <w:p w:rsidR="00973979" w:rsidRPr="007A70FB" w:rsidRDefault="00973979" w:rsidP="00B14A69">
      <w:pPr>
        <w:pStyle w:val="TableFooter"/>
        <w:widowControl/>
      </w:pPr>
      <w:r w:rsidRPr="007A70FB">
        <w:t xml:space="preserve">Note: </w:t>
      </w:r>
      <w:r w:rsidRPr="007A70FB">
        <w:rPr>
          <w:iCs/>
        </w:rPr>
        <w:t>figures in italics were calculated or extracted during evaluation.</w:t>
      </w:r>
      <w:r w:rsidR="0000736B" w:rsidRPr="007A70FB">
        <w:rPr>
          <w:iCs/>
        </w:rPr>
        <w:t xml:space="preserve"> </w:t>
      </w:r>
      <w:r w:rsidR="0000736B" w:rsidRPr="007A70FB">
        <w:t>Abbreviations: AE = adverse event; SAE = serious adverse events; Temp. interrupt = temporary interruption/discontinuation of treatment</w:t>
      </w:r>
      <w:r w:rsidR="007A70FB">
        <w:t xml:space="preserve">. </w:t>
      </w:r>
    </w:p>
    <w:p w:rsidR="000327D2" w:rsidRPr="007A70FB" w:rsidRDefault="00536A65" w:rsidP="00B14A69">
      <w:pPr>
        <w:pStyle w:val="TableFooter"/>
        <w:widowControl/>
      </w:pPr>
      <w:r w:rsidRPr="007A70FB">
        <w:t xml:space="preserve">Source: </w:t>
      </w:r>
      <w:r w:rsidR="000327D2" w:rsidRPr="007A70FB">
        <w:t xml:space="preserve">Table 2.5.20 p149, Table 2.5.21 pp151-152, p170, pp173-174, Table 2.5.32 p171, p185, pp175-176, Table 2.8.5 p206 of the submission; lorlatinib EMA Assessment Report, Table 70 p110; Table 71 p111 (URL: </w:t>
      </w:r>
      <w:r w:rsidR="007F49C9" w:rsidRPr="00EE527E">
        <w:t>https://www.ema.europa.eu/en/documents/assessment-report/lorviqua-epar-public-assessment-report_en.pdf</w:t>
      </w:r>
      <w:r w:rsidR="000327D2" w:rsidRPr="007A70FB">
        <w:t>); alectinib EMA Assessment Report, Table 56 p97, Table 57 p98; brigatinib EMA assessment Report, Table 65 p101, Table 67 p102; Kim et al (2016) p459 and Appendix table 11, table 14; Crino et al (2016), Appendix Table A2; Shaw et al (2017) p882; Hida et al (2018) p2867</w:t>
      </w:r>
      <w:r w:rsidR="007A70FB">
        <w:t xml:space="preserve">. </w:t>
      </w:r>
      <w:r w:rsidR="000327D2" w:rsidRPr="007A70FB">
        <w:t xml:space="preserve"> </w:t>
      </w:r>
    </w:p>
    <w:p w:rsidR="0000736B" w:rsidRPr="007A70FB" w:rsidRDefault="00624B72" w:rsidP="00B14A69">
      <w:pPr>
        <w:pStyle w:val="TableFooter"/>
        <w:widowControl/>
      </w:pPr>
      <w:r w:rsidRPr="007A70FB">
        <w:rPr>
          <w:iCs/>
          <w:vertAlign w:val="superscript"/>
        </w:rPr>
        <w:t>a</w:t>
      </w:r>
      <w:r w:rsidRPr="007A70FB">
        <w:rPr>
          <w:iCs/>
        </w:rPr>
        <w:t xml:space="preserve"> </w:t>
      </w:r>
      <w:r w:rsidRPr="007A70FB">
        <w:t>ALTA reported as tre</w:t>
      </w:r>
      <w:r w:rsidR="0000736B" w:rsidRPr="007A70FB">
        <w:t>atment emergent adverse events.</w:t>
      </w:r>
    </w:p>
    <w:p w:rsidR="0000736B" w:rsidRPr="007A70FB" w:rsidRDefault="00F6371D" w:rsidP="00B14A69">
      <w:pPr>
        <w:pStyle w:val="TableFooter"/>
        <w:widowControl/>
      </w:pPr>
      <w:r w:rsidRPr="007A70FB">
        <w:rPr>
          <w:vertAlign w:val="superscript"/>
        </w:rPr>
        <w:t>b</w:t>
      </w:r>
      <w:r w:rsidRPr="007A70FB">
        <w:t xml:space="preserve"> Information only available for combined ALK inhibitor naïve (N=83) and ALK inhibitor </w:t>
      </w:r>
      <w:r w:rsidR="0000736B" w:rsidRPr="007A70FB">
        <w:t>pre-treated (N=163) population.</w:t>
      </w:r>
    </w:p>
    <w:p w:rsidR="0000736B" w:rsidRPr="007A70FB" w:rsidRDefault="00F6371D" w:rsidP="00B14A69">
      <w:pPr>
        <w:pStyle w:val="TableFooter"/>
        <w:widowControl/>
      </w:pPr>
      <w:r w:rsidRPr="007A70FB">
        <w:rPr>
          <w:vertAlign w:val="superscript"/>
        </w:rPr>
        <w:t>c</w:t>
      </w:r>
      <w:r w:rsidRPr="007A70FB">
        <w:t xml:space="preserve"> Duration of treatment in Study 1001 were reported in months; duration of treatment across all studies this were recalculated during the evaluation to weeks to allow fo</w:t>
      </w:r>
      <w:r w:rsidR="0000736B" w:rsidRPr="007A70FB">
        <w:t>r comparison across the studies.</w:t>
      </w:r>
    </w:p>
    <w:p w:rsidR="0000736B" w:rsidRPr="007A70FB" w:rsidRDefault="00F6371D" w:rsidP="00973979">
      <w:pPr>
        <w:pStyle w:val="TableFooter"/>
        <w:widowControl/>
      </w:pPr>
      <w:r w:rsidRPr="007A70FB">
        <w:rPr>
          <w:vertAlign w:val="superscript"/>
        </w:rPr>
        <w:lastRenderedPageBreak/>
        <w:t>d</w:t>
      </w:r>
      <w:r w:rsidRPr="007A70FB">
        <w:t xml:space="preserve"> Source used for reporting of adverse events for Study 1001 during the evaluation was the lorlatinib EMA Assessment report</w:t>
      </w:r>
      <w:r w:rsidR="00973979" w:rsidRPr="007A70FB">
        <w:t>.</w:t>
      </w:r>
    </w:p>
    <w:p w:rsidR="005629C6" w:rsidRPr="007A70FB" w:rsidRDefault="005629C6" w:rsidP="00903E55">
      <w:pPr>
        <w:pStyle w:val="ListParagraph"/>
        <w:widowControl/>
        <w:spacing w:after="0"/>
        <w:ind w:left="0"/>
        <w:sectPr w:rsidR="005629C6" w:rsidRPr="007A70FB" w:rsidSect="00C45DFE">
          <w:headerReference w:type="default" r:id="rId15"/>
          <w:pgSz w:w="16840" w:h="11907" w:orient="landscape" w:code="9"/>
          <w:pgMar w:top="1440" w:right="1440" w:bottom="1440" w:left="1440" w:header="1440" w:footer="1440" w:gutter="0"/>
          <w:cols w:space="708"/>
          <w:docGrid w:linePitch="360"/>
        </w:sectPr>
      </w:pPr>
    </w:p>
    <w:p w:rsidR="00EA3FA6" w:rsidRPr="007A70FB" w:rsidRDefault="00EA3FA6" w:rsidP="00FE0FA7">
      <w:pPr>
        <w:pStyle w:val="ListParagraph"/>
        <w:widowControl/>
        <w:numPr>
          <w:ilvl w:val="1"/>
          <w:numId w:val="1"/>
        </w:numPr>
        <w:spacing w:before="120" w:after="120"/>
      </w:pPr>
      <w:r w:rsidRPr="007A70FB">
        <w:lastRenderedPageBreak/>
        <w:t xml:space="preserve">The ESC </w:t>
      </w:r>
      <w:r w:rsidR="00D5552C" w:rsidRPr="007A70FB">
        <w:t>noted</w:t>
      </w:r>
      <w:r w:rsidRPr="007A70FB">
        <w:t xml:space="preserve"> that lorlatinib </w:t>
      </w:r>
      <w:r w:rsidR="00D5552C" w:rsidRPr="007A70FB">
        <w:t xml:space="preserve">generally had a </w:t>
      </w:r>
      <w:r w:rsidR="00EF7D8C" w:rsidRPr="007A70FB">
        <w:t>numerically higher number of AE </w:t>
      </w:r>
      <w:r w:rsidR="00D5552C" w:rsidRPr="007A70FB">
        <w:t>Grade</w:t>
      </w:r>
      <w:r w:rsidR="00EF7D8C" w:rsidRPr="007A70FB">
        <w:t> ≥ 3</w:t>
      </w:r>
      <w:r w:rsidR="00D5552C" w:rsidRPr="007A70FB">
        <w:t xml:space="preserve"> and SAEs than alectinib, and lower number than ceritinib. It considered that lorlatinib discontinuation rates were generally similar to other ALK-TKIs, and noted that no deaths were attributed to the study drug.</w:t>
      </w:r>
      <w:r w:rsidR="000D3D50" w:rsidRPr="007A70FB">
        <w:t xml:space="preserve"> </w:t>
      </w:r>
    </w:p>
    <w:p w:rsidR="00D5552C" w:rsidRPr="007A70FB" w:rsidRDefault="007110AB" w:rsidP="00C60F76">
      <w:pPr>
        <w:pStyle w:val="ListParagraph"/>
        <w:widowControl/>
        <w:numPr>
          <w:ilvl w:val="1"/>
          <w:numId w:val="1"/>
        </w:numPr>
        <w:spacing w:before="120" w:after="120"/>
        <w:rPr>
          <w:iCs/>
        </w:rPr>
      </w:pPr>
      <w:r w:rsidRPr="007A70FB">
        <w:rPr>
          <w:iCs/>
        </w:rPr>
        <w:t>In prior considerations of ALK</w:t>
      </w:r>
      <w:r w:rsidR="0000736B" w:rsidRPr="007A70FB">
        <w:rPr>
          <w:iCs/>
        </w:rPr>
        <w:t>-</w:t>
      </w:r>
      <w:r w:rsidRPr="007A70FB">
        <w:rPr>
          <w:iCs/>
        </w:rPr>
        <w:t xml:space="preserve">TKIs (alectinib and ceritinib) for use in patients with ALK-positive advanced NSCLC, the ESC considered that there were insufficient data to fully define the safety profile of alectinib, especially in terms of the less common AEs, and clinical data comparing alectinib to other ALK inhibitors were particularly limited. The ESC </w:t>
      </w:r>
      <w:r w:rsidR="00ED2D1F" w:rsidRPr="007A70FB">
        <w:rPr>
          <w:iCs/>
        </w:rPr>
        <w:t xml:space="preserve">had </w:t>
      </w:r>
      <w:r w:rsidRPr="007A70FB">
        <w:rPr>
          <w:iCs/>
        </w:rPr>
        <w:t>considered that alectinib’s safety profile would vary with its clinical place in therapy (</w:t>
      </w:r>
      <w:r w:rsidR="00CE612E" w:rsidRPr="007A70FB">
        <w:rPr>
          <w:iCs/>
        </w:rPr>
        <w:t xml:space="preserve">paragraph 6.37, </w:t>
      </w:r>
      <w:r w:rsidRPr="007A70FB">
        <w:rPr>
          <w:iCs/>
        </w:rPr>
        <w:t>alectinib PSD, July 2017).</w:t>
      </w:r>
      <w:r w:rsidR="00D5552C" w:rsidRPr="007A70FB">
        <w:rPr>
          <w:iCs/>
        </w:rPr>
        <w:t xml:space="preserve"> </w:t>
      </w:r>
    </w:p>
    <w:p w:rsidR="007110AB" w:rsidRPr="007A70FB" w:rsidRDefault="007110AB" w:rsidP="000345C6">
      <w:pPr>
        <w:pStyle w:val="Heading2"/>
        <w:widowControl/>
        <w:spacing w:before="120" w:after="120"/>
      </w:pPr>
      <w:bookmarkStart w:id="35" w:name="_Toc371170708"/>
      <w:bookmarkStart w:id="36" w:name="_Toc19707665"/>
      <w:bookmarkStart w:id="37" w:name="_Hlk19519085"/>
      <w:r w:rsidRPr="007A70FB">
        <w:t>Benefits/harms</w:t>
      </w:r>
      <w:bookmarkEnd w:id="35"/>
      <w:bookmarkEnd w:id="36"/>
    </w:p>
    <w:p w:rsidR="007110AB" w:rsidRPr="007A70FB" w:rsidRDefault="007110AB" w:rsidP="00FE0FA7">
      <w:pPr>
        <w:pStyle w:val="ListParagraph"/>
        <w:widowControl/>
        <w:numPr>
          <w:ilvl w:val="1"/>
          <w:numId w:val="1"/>
        </w:numPr>
        <w:spacing w:before="120" w:after="120"/>
      </w:pPr>
      <w:r w:rsidRPr="007A70FB">
        <w:rPr>
          <w:rFonts w:cs="Calibri"/>
          <w:snapToGrid/>
          <w:szCs w:val="24"/>
          <w:lang w:eastAsia="en-AU"/>
        </w:rPr>
        <w:t>The naïve comparison presented in the submission did not allow for a quantitative comparison of the benefits and harms of lorlatinib, alectinib, ceritinib and brigatinib. Accordingly, a benefits/harms table has not been presented.</w:t>
      </w:r>
    </w:p>
    <w:p w:rsidR="007110AB" w:rsidRPr="007A70FB" w:rsidRDefault="007110AB" w:rsidP="000345C6">
      <w:pPr>
        <w:pStyle w:val="Heading2"/>
        <w:widowControl/>
        <w:spacing w:before="120" w:after="120"/>
      </w:pPr>
      <w:bookmarkStart w:id="38" w:name="_Toc371170709"/>
      <w:bookmarkStart w:id="39" w:name="_Toc19707666"/>
      <w:bookmarkEnd w:id="37"/>
      <w:r w:rsidRPr="007A70FB">
        <w:t>Clinical claim</w:t>
      </w:r>
      <w:bookmarkEnd w:id="38"/>
      <w:bookmarkEnd w:id="39"/>
    </w:p>
    <w:p w:rsidR="007110AB" w:rsidRPr="007A70FB" w:rsidRDefault="007110AB" w:rsidP="00FE0FA7">
      <w:pPr>
        <w:pStyle w:val="ListParagraph"/>
        <w:widowControl/>
        <w:numPr>
          <w:ilvl w:val="1"/>
          <w:numId w:val="1"/>
        </w:numPr>
        <w:spacing w:before="120" w:after="120"/>
      </w:pPr>
      <w:r w:rsidRPr="007A70FB">
        <w:t xml:space="preserve">The submission described lorlatinib as: </w:t>
      </w:r>
    </w:p>
    <w:p w:rsidR="007110AB" w:rsidRPr="007A70FB" w:rsidRDefault="007110AB" w:rsidP="00FE0FA7">
      <w:pPr>
        <w:widowControl/>
        <w:numPr>
          <w:ilvl w:val="0"/>
          <w:numId w:val="7"/>
        </w:numPr>
        <w:tabs>
          <w:tab w:val="clear" w:pos="720"/>
        </w:tabs>
        <w:spacing w:before="120" w:after="120"/>
        <w:ind w:left="993"/>
      </w:pPr>
      <w:r w:rsidRPr="007A70FB">
        <w:t xml:space="preserve">non-inferior in terms of effectiveness compared with alectinib and non-inferior in terms of safety compared to alectinib. </w:t>
      </w:r>
    </w:p>
    <w:p w:rsidR="007110AB" w:rsidRPr="007A70FB" w:rsidRDefault="007110AB" w:rsidP="00FE0FA7">
      <w:pPr>
        <w:widowControl/>
        <w:numPr>
          <w:ilvl w:val="0"/>
          <w:numId w:val="7"/>
        </w:numPr>
        <w:tabs>
          <w:tab w:val="clear" w:pos="720"/>
        </w:tabs>
        <w:spacing w:before="120" w:after="120"/>
        <w:ind w:left="993"/>
      </w:pPr>
      <w:r w:rsidRPr="007A70FB">
        <w:t xml:space="preserve">non-inferior in terms of effectiveness compared with ceritinib and non-inferior in terms of safety compared to ceritinib. </w:t>
      </w:r>
    </w:p>
    <w:p w:rsidR="007110AB" w:rsidRPr="007A70FB" w:rsidRDefault="007110AB" w:rsidP="00FE0FA7">
      <w:pPr>
        <w:widowControl/>
        <w:numPr>
          <w:ilvl w:val="0"/>
          <w:numId w:val="7"/>
        </w:numPr>
        <w:tabs>
          <w:tab w:val="clear" w:pos="720"/>
        </w:tabs>
        <w:spacing w:before="120" w:after="120"/>
        <w:ind w:left="993"/>
      </w:pPr>
      <w:r w:rsidRPr="007A70FB">
        <w:t xml:space="preserve">non-inferior in terms of effectiveness compared with brigatinib and non-inferior in terms of safety compared to brigatinib. </w:t>
      </w:r>
    </w:p>
    <w:p w:rsidR="007110AB" w:rsidRPr="007A70FB" w:rsidRDefault="0047467F" w:rsidP="00FE0FA7">
      <w:pPr>
        <w:pStyle w:val="ListParagraph"/>
        <w:widowControl/>
        <w:numPr>
          <w:ilvl w:val="1"/>
          <w:numId w:val="1"/>
        </w:numPr>
        <w:spacing w:before="120" w:after="120"/>
        <w:rPr>
          <w:iCs/>
        </w:rPr>
      </w:pPr>
      <w:r>
        <w:rPr>
          <w:iCs/>
        </w:rPr>
        <w:t>During the evaluation t</w:t>
      </w:r>
      <w:r w:rsidR="007110AB" w:rsidRPr="007A70FB">
        <w:rPr>
          <w:iCs/>
        </w:rPr>
        <w:t>he therapeutic conclusion</w:t>
      </w:r>
      <w:r>
        <w:rPr>
          <w:iCs/>
        </w:rPr>
        <w:t>s</w:t>
      </w:r>
      <w:r w:rsidR="007110AB" w:rsidRPr="007A70FB">
        <w:rPr>
          <w:iCs/>
        </w:rPr>
        <w:t xml:space="preserve"> presented in the submission </w:t>
      </w:r>
      <w:r>
        <w:rPr>
          <w:iCs/>
        </w:rPr>
        <w:t>were considered</w:t>
      </w:r>
      <w:r w:rsidRPr="007A70FB">
        <w:rPr>
          <w:iCs/>
        </w:rPr>
        <w:t xml:space="preserve"> </w:t>
      </w:r>
      <w:r w:rsidR="007110AB" w:rsidRPr="007A70FB">
        <w:rPr>
          <w:iCs/>
        </w:rPr>
        <w:t>not adequately supported by the evidence presented for the following reasons:</w:t>
      </w:r>
    </w:p>
    <w:p w:rsidR="007110AB" w:rsidRPr="007A70FB" w:rsidRDefault="007110AB" w:rsidP="00FE0FA7">
      <w:pPr>
        <w:widowControl/>
        <w:numPr>
          <w:ilvl w:val="0"/>
          <w:numId w:val="7"/>
        </w:numPr>
        <w:tabs>
          <w:tab w:val="clear" w:pos="720"/>
        </w:tabs>
        <w:spacing w:before="120" w:after="120"/>
        <w:ind w:left="993"/>
        <w:rPr>
          <w:iCs/>
        </w:rPr>
      </w:pPr>
      <w:r w:rsidRPr="007A70FB">
        <w:rPr>
          <w:iCs/>
        </w:rPr>
        <w:t xml:space="preserve">The key clinical evidence for lorlatinib presented in the submission was from a subgroup of patients from Study 1001 with ALK-positive NSCLC who had received prior treatment with one or more ALK-TKIs. Study 1001 was non-randomised, single arm, and open label. As such, the study is subject to considerable bias; the effectiveness and safety estimates are subject to considerable uncertainty. </w:t>
      </w:r>
    </w:p>
    <w:p w:rsidR="007110AB" w:rsidRPr="007A70FB" w:rsidRDefault="007110AB" w:rsidP="00C9568A">
      <w:pPr>
        <w:widowControl/>
        <w:numPr>
          <w:ilvl w:val="0"/>
          <w:numId w:val="7"/>
        </w:numPr>
        <w:tabs>
          <w:tab w:val="clear" w:pos="720"/>
        </w:tabs>
        <w:spacing w:before="120" w:after="120"/>
        <w:ind w:left="993"/>
        <w:rPr>
          <w:iCs/>
        </w:rPr>
      </w:pPr>
      <w:r w:rsidRPr="007A70FB">
        <w:rPr>
          <w:iCs/>
        </w:rPr>
        <w:t xml:space="preserve">The claim of non-inferior efficacy and safety was based on a naïve comparison of the subgroup of patients from Study 1001, and the single arms of non-comparative studies and RCTs for alectinib and ceritinib. There were significant transitivity issues with the included trials, mainly pertaining to the study design characteristics. The comparison of the studies was restricted by the baseline characteristics reported across the studies, the types of prior treatments received and the extent of use of study drug beyond progression. </w:t>
      </w:r>
    </w:p>
    <w:p w:rsidR="007110AB" w:rsidRPr="007A70FB" w:rsidRDefault="007110AB" w:rsidP="00FE0FA7">
      <w:pPr>
        <w:widowControl/>
        <w:numPr>
          <w:ilvl w:val="0"/>
          <w:numId w:val="7"/>
        </w:numPr>
        <w:tabs>
          <w:tab w:val="clear" w:pos="720"/>
        </w:tabs>
        <w:spacing w:before="120" w:after="120"/>
        <w:ind w:left="993"/>
        <w:rPr>
          <w:iCs/>
        </w:rPr>
      </w:pPr>
      <w:r w:rsidRPr="007A70FB">
        <w:rPr>
          <w:iCs/>
        </w:rPr>
        <w:lastRenderedPageBreak/>
        <w:t>The submission claimed that the results of the MAIC supported the conclusions from the naïve comparison. However, the MAIC relied on an implausible assumption that the distribution of the treatment effect modifiers did not differ between the studies, applied methods for adjustment which differed from those intended by the developers of this method, relied on a sample size that was approximately 20% of that applied to the naïve comparison, and th</w:t>
      </w:r>
      <w:r w:rsidR="005F4961" w:rsidRPr="007A70FB">
        <w:rPr>
          <w:iCs/>
        </w:rPr>
        <w:t xml:space="preserve">e inclusion of data from single </w:t>
      </w:r>
      <w:r w:rsidRPr="007A70FB">
        <w:rPr>
          <w:iCs/>
        </w:rPr>
        <w:t>arm studies in a MAIC is subject to the additional assumptions and biases incurred by these study designs.</w:t>
      </w:r>
    </w:p>
    <w:p w:rsidR="00A63A3C" w:rsidRPr="007A70FB" w:rsidRDefault="007110AB" w:rsidP="00B755AB">
      <w:pPr>
        <w:pStyle w:val="ListParagraph"/>
        <w:widowControl/>
        <w:numPr>
          <w:ilvl w:val="1"/>
          <w:numId w:val="1"/>
        </w:numPr>
        <w:spacing w:before="120" w:after="120"/>
        <w:rPr>
          <w:i/>
          <w:iCs/>
        </w:rPr>
      </w:pPr>
      <w:r w:rsidRPr="007A70FB">
        <w:rPr>
          <w:iCs/>
        </w:rPr>
        <w:t>The PBAC previously considered in the assessment of alectinib that</w:t>
      </w:r>
      <w:r w:rsidR="00D77190" w:rsidRPr="007A70FB">
        <w:rPr>
          <w:iCs/>
        </w:rPr>
        <w:t>,</w:t>
      </w:r>
      <w:r w:rsidRPr="007A70FB">
        <w:rPr>
          <w:iCs/>
        </w:rPr>
        <w:t xml:space="preserve"> notwithstanding these and other inherent limitations of indi</w:t>
      </w:r>
      <w:r w:rsidR="005F4961" w:rsidRPr="007A70FB">
        <w:rPr>
          <w:iCs/>
        </w:rPr>
        <w:t xml:space="preserve">rect comparisons between single </w:t>
      </w:r>
      <w:r w:rsidRPr="007A70FB">
        <w:rPr>
          <w:iCs/>
        </w:rPr>
        <w:t>arm studies, on balance, the submission’s claim of non-inferior comparative effectiveness against ceritinib, was acceptable</w:t>
      </w:r>
      <w:r w:rsidRPr="007A70FB">
        <w:rPr>
          <w:i/>
          <w:iCs/>
        </w:rPr>
        <w:t xml:space="preserve">. </w:t>
      </w:r>
      <w:r w:rsidR="00A63A3C" w:rsidRPr="007A70FB">
        <w:rPr>
          <w:iCs/>
        </w:rPr>
        <w:t xml:space="preserve">The PBAC had also considered that alectinib and ceritinib had different side effect profiles. The PBAC advised that, although currently available clinical data was insufficient to fully define the safety profile of alectinib, it was reasonable to conclude that it was non-inferior in terms of comparative </w:t>
      </w:r>
      <w:r w:rsidR="00C61674" w:rsidRPr="007A70FB">
        <w:rPr>
          <w:iCs/>
        </w:rPr>
        <w:t>safety, compared with ceritinib.</w:t>
      </w:r>
      <w:r w:rsidR="00492F8B" w:rsidRPr="007A70FB">
        <w:rPr>
          <w:iCs/>
        </w:rPr>
        <w:t xml:space="preserve"> </w:t>
      </w:r>
      <w:r w:rsidR="002A0962" w:rsidRPr="007A70FB">
        <w:rPr>
          <w:iCs/>
        </w:rPr>
        <w:t>In making the alectinib recommendation, the PBAC noted the relatively small population of patients with ALK-positive NSCLC and the clinical need for additional targeted therapies with different safety profiles than currently available treatments for this condition</w:t>
      </w:r>
      <w:r w:rsidR="00C61674" w:rsidRPr="007A70FB">
        <w:rPr>
          <w:iCs/>
        </w:rPr>
        <w:t xml:space="preserve"> (</w:t>
      </w:r>
      <w:r w:rsidR="00B755AB" w:rsidRPr="007A70FB">
        <w:rPr>
          <w:iCs/>
        </w:rPr>
        <w:t xml:space="preserve">paragraphs 7.5, </w:t>
      </w:r>
      <w:r w:rsidR="00B755AB" w:rsidRPr="007A70FB">
        <w:t xml:space="preserve">7.2 and 6.44, </w:t>
      </w:r>
      <w:r w:rsidR="00C61674" w:rsidRPr="007A70FB">
        <w:rPr>
          <w:iCs/>
        </w:rPr>
        <w:t>alectinib PSD, July 2017)</w:t>
      </w:r>
      <w:r w:rsidR="00537F97" w:rsidRPr="007A70FB">
        <w:rPr>
          <w:iCs/>
        </w:rPr>
        <w:t>.</w:t>
      </w:r>
    </w:p>
    <w:p w:rsidR="007110AB" w:rsidRPr="007A70FB" w:rsidRDefault="00A63A3C" w:rsidP="00F751D0">
      <w:pPr>
        <w:pStyle w:val="ListParagraph"/>
        <w:widowControl/>
        <w:numPr>
          <w:ilvl w:val="1"/>
          <w:numId w:val="1"/>
        </w:numPr>
        <w:spacing w:before="120" w:after="120"/>
      </w:pPr>
      <w:r w:rsidRPr="007A70FB">
        <w:t>The ESC considered that the available data for lorlatinib did not adequately demonstrate non</w:t>
      </w:r>
      <w:r w:rsidR="00995608" w:rsidRPr="007A70FB">
        <w:t>-</w:t>
      </w:r>
      <w:r w:rsidRPr="007A70FB">
        <w:t>inferior efficacy or safety</w:t>
      </w:r>
      <w:r w:rsidR="008267CB" w:rsidRPr="007A70FB">
        <w:t>.</w:t>
      </w:r>
    </w:p>
    <w:p w:rsidR="00E83C7D" w:rsidRDefault="00A63A3C" w:rsidP="00297875">
      <w:pPr>
        <w:pStyle w:val="ListParagraph"/>
        <w:widowControl/>
        <w:numPr>
          <w:ilvl w:val="1"/>
          <w:numId w:val="1"/>
        </w:numPr>
        <w:spacing w:before="120" w:after="120"/>
      </w:pPr>
      <w:r w:rsidRPr="007A70FB">
        <w:t xml:space="preserve">Whilst the ESC agreed that </w:t>
      </w:r>
      <w:r w:rsidR="00F822EB" w:rsidRPr="007A70FB">
        <w:t xml:space="preserve">treatments providing broader mutational coverage and CNS penetration comprised </w:t>
      </w:r>
      <w:r w:rsidRPr="007A70FB">
        <w:t xml:space="preserve">a high unmet clinical need, it </w:t>
      </w:r>
      <w:r w:rsidR="00492F8B" w:rsidRPr="007A70FB">
        <w:t xml:space="preserve">considered that </w:t>
      </w:r>
      <w:r w:rsidRPr="007A70FB">
        <w:t xml:space="preserve">the </w:t>
      </w:r>
      <w:r w:rsidR="00492F8B" w:rsidRPr="007A70FB">
        <w:t xml:space="preserve">submission had not provided adequate evidence to support the hypothesised benefit of lorlatinib in </w:t>
      </w:r>
      <w:r w:rsidR="00F822EB" w:rsidRPr="007A70FB">
        <w:t>meeting these needs</w:t>
      </w:r>
      <w:r w:rsidR="00492F8B" w:rsidRPr="007A70FB">
        <w:t xml:space="preserve"> in the treatment of ALK-positive NSCLC</w:t>
      </w:r>
      <w:r w:rsidR="00C61674" w:rsidRPr="007A70FB">
        <w:t>.</w:t>
      </w:r>
      <w:r w:rsidR="00260E09" w:rsidRPr="007A70FB">
        <w:t xml:space="preserve"> The p</w:t>
      </w:r>
      <w:r w:rsidR="00297875" w:rsidRPr="007A70FB">
        <w:t xml:space="preserve">re-PBAC </w:t>
      </w:r>
      <w:r w:rsidR="00587DBC" w:rsidRPr="007A70FB">
        <w:t>response</w:t>
      </w:r>
      <w:r w:rsidR="00297875" w:rsidRPr="007A70FB">
        <w:t xml:space="preserve"> argued that clinical evidence for </w:t>
      </w:r>
      <w:r w:rsidR="00260E09" w:rsidRPr="007A70FB">
        <w:t xml:space="preserve">activity against known ALK resistance mutations </w:t>
      </w:r>
      <w:r w:rsidR="00B55020" w:rsidRPr="007A70FB">
        <w:t>was demonstrated</w:t>
      </w:r>
      <w:r w:rsidR="00E83C7D" w:rsidRPr="007A70FB">
        <w:t xml:space="preserve"> in the publication of the primary out</w:t>
      </w:r>
      <w:r w:rsidR="00297875" w:rsidRPr="007A70FB">
        <w:t>c</w:t>
      </w:r>
      <w:r w:rsidR="00E83C7D" w:rsidRPr="007A70FB">
        <w:t xml:space="preserve">omes from Study 1001, </w:t>
      </w:r>
      <w:r w:rsidR="00E83C7D" w:rsidRPr="007A70FB">
        <w:rPr>
          <w:i/>
          <w:iCs/>
        </w:rPr>
        <w:t>“using structure-based drug design, this macrocyclic tyrosine kinase inhibitor was developed to penetrate the blood–brain barrier and to retain potency against most known ALK resistance mutations that can develop during treatment with crizotinib and second-generation tyrosine kinase inhibitors, including the ALK Gly1202Arg</w:t>
      </w:r>
      <w:r w:rsidR="00E83C7D" w:rsidRPr="007A70FB">
        <w:t>” (Solomon et al., 2018).</w:t>
      </w:r>
    </w:p>
    <w:p w:rsidR="00C84675" w:rsidRPr="00B93B36" w:rsidRDefault="00BC648C" w:rsidP="00965D84">
      <w:pPr>
        <w:pStyle w:val="ListParagraph"/>
        <w:widowControl/>
        <w:numPr>
          <w:ilvl w:val="1"/>
          <w:numId w:val="1"/>
        </w:numPr>
        <w:spacing w:before="120" w:after="120"/>
      </w:pPr>
      <w:r w:rsidRPr="00B93B36">
        <w:t xml:space="preserve">The PBAC considered that the cost-effectiveness of lorlatinib could be informed by </w:t>
      </w:r>
      <w:r w:rsidR="000019E0" w:rsidRPr="00B93B36">
        <w:t xml:space="preserve">a comparison against </w:t>
      </w:r>
      <w:r w:rsidRPr="00B93B36">
        <w:t>alectinib. On balance the PBAC considered it likely that effectiveness of lorlatinib would be similar to that of alectinib.</w:t>
      </w:r>
      <w:r w:rsidRPr="00B93B36" w:rsidDel="0047467F">
        <w:t xml:space="preserve"> </w:t>
      </w:r>
    </w:p>
    <w:p w:rsidR="00C84675" w:rsidRPr="00B93B36" w:rsidRDefault="00C84675" w:rsidP="00B93B36">
      <w:pPr>
        <w:widowControl/>
        <w:numPr>
          <w:ilvl w:val="1"/>
          <w:numId w:val="1"/>
        </w:numPr>
        <w:spacing w:after="120"/>
        <w:rPr>
          <w:rFonts w:asciiTheme="minorHAnsi" w:hAnsiTheme="minorHAnsi"/>
          <w:bCs/>
        </w:rPr>
      </w:pPr>
      <w:r w:rsidRPr="00B93B36">
        <w:rPr>
          <w:iCs/>
        </w:rPr>
        <w:t xml:space="preserve">The PBAC noted </w:t>
      </w:r>
      <w:r w:rsidRPr="00B93B36">
        <w:rPr>
          <w:rFonts w:asciiTheme="minorHAnsi" w:hAnsiTheme="minorHAnsi"/>
          <w:bCs/>
        </w:rPr>
        <w:t>that lorlatinib was associated with</w:t>
      </w:r>
      <w:r w:rsidRPr="00B93B36">
        <w:t xml:space="preserve"> a numerically higher number of Grade ≥ 3 adverse events (AE) and serious AEs</w:t>
      </w:r>
      <w:r w:rsidR="00B93B36" w:rsidRPr="00B93B36">
        <w:t>, but similar rates of discontinuation</w:t>
      </w:r>
      <w:r w:rsidR="00D275BB">
        <w:t>s</w:t>
      </w:r>
      <w:r w:rsidR="00B93B36" w:rsidRPr="00B93B36">
        <w:t xml:space="preserve"> compared to</w:t>
      </w:r>
      <w:r w:rsidRPr="00B93B36">
        <w:t xml:space="preserve"> alectinib and </w:t>
      </w:r>
      <w:r w:rsidR="002D46D9">
        <w:t xml:space="preserve">a </w:t>
      </w:r>
      <w:r w:rsidRPr="00B93B36">
        <w:t xml:space="preserve">lower number </w:t>
      </w:r>
      <w:r w:rsidR="00B93B36" w:rsidRPr="00B93B36">
        <w:t xml:space="preserve">of serious AEs </w:t>
      </w:r>
      <w:r w:rsidRPr="00B93B36">
        <w:t>than ceritinib and brigatinib</w:t>
      </w:r>
      <w:r w:rsidR="00B93B36" w:rsidRPr="00B93B36">
        <w:t xml:space="preserve"> with a longer duration of treatment</w:t>
      </w:r>
      <w:r w:rsidRPr="00B93B36">
        <w:rPr>
          <w:iCs/>
        </w:rPr>
        <w:t>.</w:t>
      </w:r>
      <w:r w:rsidR="00C92991">
        <w:rPr>
          <w:iCs/>
        </w:rPr>
        <w:t xml:space="preserve"> </w:t>
      </w:r>
      <w:r w:rsidR="00C92991">
        <w:t>T</w:t>
      </w:r>
      <w:r w:rsidRPr="00B93B36">
        <w:t xml:space="preserve">he PBAC noted that all ALK-TKIs have different </w:t>
      </w:r>
      <w:r w:rsidRPr="00B93B36">
        <w:lastRenderedPageBreak/>
        <w:t>safety profiles, making the comparison</w:t>
      </w:r>
      <w:r w:rsidR="00767364">
        <w:t>s</w:t>
      </w:r>
      <w:r w:rsidRPr="00B93B36">
        <w:t xml:space="preserve"> difficult</w:t>
      </w:r>
      <w:r w:rsidR="00C92991" w:rsidRPr="007E1812">
        <w:rPr>
          <w:iCs/>
        </w:rPr>
        <w:t>, however accepted that there is no substantive difference</w:t>
      </w:r>
      <w:r w:rsidR="00767364">
        <w:rPr>
          <w:iCs/>
        </w:rPr>
        <w:t>s</w:t>
      </w:r>
      <w:r w:rsidR="00C92991" w:rsidRPr="007E1812">
        <w:rPr>
          <w:iCs/>
        </w:rPr>
        <w:t xml:space="preserve"> in safety.</w:t>
      </w:r>
    </w:p>
    <w:p w:rsidR="007110AB" w:rsidRPr="007A70FB" w:rsidRDefault="007110AB" w:rsidP="000345C6">
      <w:pPr>
        <w:pStyle w:val="Heading2"/>
        <w:widowControl/>
        <w:spacing w:before="120" w:after="120"/>
      </w:pPr>
      <w:bookmarkStart w:id="40" w:name="_Toc371170710"/>
      <w:bookmarkStart w:id="41" w:name="_Toc19707667"/>
      <w:r w:rsidRPr="007A70FB">
        <w:t>Economic analysis</w:t>
      </w:r>
      <w:bookmarkEnd w:id="40"/>
      <w:bookmarkEnd w:id="41"/>
      <w:r w:rsidRPr="007A70FB">
        <w:t xml:space="preserve"> </w:t>
      </w:r>
    </w:p>
    <w:p w:rsidR="00F24C70" w:rsidRPr="007A70FB" w:rsidRDefault="007110AB" w:rsidP="00B1292C">
      <w:pPr>
        <w:pStyle w:val="ListParagraph"/>
        <w:widowControl/>
        <w:numPr>
          <w:ilvl w:val="1"/>
          <w:numId w:val="1"/>
        </w:numPr>
        <w:spacing w:before="120" w:after="120"/>
        <w:rPr>
          <w:iCs/>
        </w:rPr>
      </w:pPr>
      <w:r w:rsidRPr="007A70FB">
        <w:t>The equi-effective doses proposed in the submission were lorlatinib 100 mg QD and alectinib 600 mg BID. These are the daily doses recommended in the respective PIs for the two drugs, and the doses used in the lorlatinib and alectinib st</w:t>
      </w:r>
      <w:r w:rsidRPr="007A70FB">
        <w:rPr>
          <w:iCs/>
        </w:rPr>
        <w:t>udies. The submission did not estimate the equi-effective doses of lorlatinib compared with ceritinib and did not present a CMA against this comparator</w:t>
      </w:r>
      <w:r w:rsidR="007A70FB">
        <w:rPr>
          <w:iCs/>
        </w:rPr>
        <w:t xml:space="preserve">. </w:t>
      </w:r>
      <w:r w:rsidR="00E97220" w:rsidRPr="007A70FB">
        <w:rPr>
          <w:iCs/>
        </w:rPr>
        <w:t xml:space="preserve">The PSCR argued that it was not possible to determine the equi-effective doses of lorlatinib and ceritinib given that the ceritinib </w:t>
      </w:r>
      <w:r w:rsidR="0040517C" w:rsidRPr="007A70FB">
        <w:rPr>
          <w:iCs/>
        </w:rPr>
        <w:t xml:space="preserve">TGA </w:t>
      </w:r>
      <w:r w:rsidR="00E97220" w:rsidRPr="007A70FB">
        <w:rPr>
          <w:iCs/>
        </w:rPr>
        <w:t xml:space="preserve">approved dose appears to have been </w:t>
      </w:r>
      <w:r w:rsidR="00F822EB" w:rsidRPr="007A70FB">
        <w:rPr>
          <w:iCs/>
        </w:rPr>
        <w:t xml:space="preserve">adjusted </w:t>
      </w:r>
      <w:r w:rsidR="00E97220" w:rsidRPr="007A70FB">
        <w:rPr>
          <w:iCs/>
        </w:rPr>
        <w:t xml:space="preserve">based on pharmacokinetic (PK) data, </w:t>
      </w:r>
      <w:r w:rsidR="00F822EB" w:rsidRPr="007A70FB">
        <w:rPr>
          <w:iCs/>
        </w:rPr>
        <w:t xml:space="preserve">rather than </w:t>
      </w:r>
      <w:r w:rsidR="00E97220" w:rsidRPr="007A70FB">
        <w:rPr>
          <w:iCs/>
        </w:rPr>
        <w:t xml:space="preserve">outcomes data. The PK study on which the dose adjustments were based </w:t>
      </w:r>
      <w:r w:rsidR="00F24C70" w:rsidRPr="007A70FB">
        <w:rPr>
          <w:iCs/>
        </w:rPr>
        <w:t>had a</w:t>
      </w:r>
      <w:r w:rsidR="00E97220" w:rsidRPr="007A70FB">
        <w:rPr>
          <w:iCs/>
        </w:rPr>
        <w:t xml:space="preserve"> patient population</w:t>
      </w:r>
      <w:r w:rsidR="00F24C70" w:rsidRPr="007A70FB">
        <w:rPr>
          <w:iCs/>
        </w:rPr>
        <w:t xml:space="preserve"> that was </w:t>
      </w:r>
      <w:r w:rsidR="00F822EB" w:rsidRPr="007A70FB">
        <w:rPr>
          <w:iCs/>
        </w:rPr>
        <w:t>only partly</w:t>
      </w:r>
      <w:r w:rsidR="0040517C" w:rsidRPr="007A70FB">
        <w:rPr>
          <w:iCs/>
        </w:rPr>
        <w:t xml:space="preserve"> applicable </w:t>
      </w:r>
      <w:r w:rsidR="00F24C70" w:rsidRPr="007A70FB">
        <w:rPr>
          <w:iCs/>
        </w:rPr>
        <w:t>to the requested PBS population (</w:t>
      </w:r>
      <w:r w:rsidR="00E97220" w:rsidRPr="007A70FB">
        <w:rPr>
          <w:iCs/>
        </w:rPr>
        <w:t>a mix of treatment naïve (29%), post chemotherapy (22%) and post crizotinib (48%) patients</w:t>
      </w:r>
      <w:r w:rsidR="00F24C70" w:rsidRPr="007A70FB">
        <w:rPr>
          <w:iCs/>
        </w:rPr>
        <w:t>)</w:t>
      </w:r>
      <w:r w:rsidR="00E97220" w:rsidRPr="007A70FB">
        <w:rPr>
          <w:iCs/>
        </w:rPr>
        <w:t>, with limited efficacy outcomes reported.</w:t>
      </w:r>
      <w:r w:rsidR="00191538" w:rsidRPr="007A70FB">
        <w:rPr>
          <w:i/>
        </w:rPr>
        <w:t xml:space="preserve"> </w:t>
      </w:r>
    </w:p>
    <w:p w:rsidR="00BC648C" w:rsidRDefault="007110AB" w:rsidP="00FE0FA7">
      <w:pPr>
        <w:pStyle w:val="ListParagraph"/>
        <w:widowControl/>
        <w:numPr>
          <w:ilvl w:val="1"/>
          <w:numId w:val="1"/>
        </w:numPr>
        <w:spacing w:before="120" w:after="120"/>
      </w:pPr>
      <w:r w:rsidRPr="007A70FB">
        <w:t>In claiming that the equi-effective doses are the recommended daily doses of each drug</w:t>
      </w:r>
      <w:r w:rsidR="006D40C6" w:rsidRPr="007A70FB">
        <w:t xml:space="preserve"> (lorlatinib and alectinib)</w:t>
      </w:r>
      <w:r w:rsidRPr="007A70FB">
        <w:t xml:space="preserve">, the submission implicitly assumed that the mean duration of treatment and the mean </w:t>
      </w:r>
      <w:r w:rsidR="00633E1C" w:rsidRPr="007A70FB">
        <w:t xml:space="preserve">relative </w:t>
      </w:r>
      <w:r w:rsidRPr="007A70FB">
        <w:t xml:space="preserve">dose intensity in clinical practice </w:t>
      </w:r>
      <w:r w:rsidR="00633E1C" w:rsidRPr="007A70FB">
        <w:t>would</w:t>
      </w:r>
      <w:r w:rsidRPr="007A70FB">
        <w:t xml:space="preserve"> be the same for both drugs. Limited data are available to enable a robust comparison of the treatment duration of lorlatinib with alectinib</w:t>
      </w:r>
      <w:r w:rsidR="00BC648C">
        <w:t>.</w:t>
      </w:r>
    </w:p>
    <w:p w:rsidR="007110AB" w:rsidRPr="007A70FB" w:rsidRDefault="00BC648C" w:rsidP="00FE0FA7">
      <w:pPr>
        <w:pStyle w:val="ListParagraph"/>
        <w:widowControl/>
        <w:numPr>
          <w:ilvl w:val="1"/>
          <w:numId w:val="1"/>
        </w:numPr>
        <w:spacing w:before="120" w:after="120"/>
      </w:pPr>
      <w:r>
        <w:t xml:space="preserve">Of relevance to the current consideration </w:t>
      </w:r>
      <w:r w:rsidR="00B93B36">
        <w:t>for</w:t>
      </w:r>
      <w:r>
        <w:t xml:space="preserve"> lorlatinib, d</w:t>
      </w:r>
      <w:r w:rsidR="007110AB" w:rsidRPr="007A70FB">
        <w:t xml:space="preserve">uring </w:t>
      </w:r>
      <w:r>
        <w:t>the PBAC’s previous</w:t>
      </w:r>
      <w:r w:rsidRPr="007A70FB">
        <w:t xml:space="preserve"> </w:t>
      </w:r>
      <w:r w:rsidR="007110AB" w:rsidRPr="007A70FB">
        <w:t>assessment of alectinib, the ESC and PBAC considered the following issues with respect to the assumption relating to duration of treatment:</w:t>
      </w:r>
    </w:p>
    <w:p w:rsidR="007110AB" w:rsidRPr="007A70FB" w:rsidRDefault="007110AB" w:rsidP="00B755AB">
      <w:pPr>
        <w:widowControl/>
        <w:numPr>
          <w:ilvl w:val="0"/>
          <w:numId w:val="7"/>
        </w:numPr>
        <w:tabs>
          <w:tab w:val="clear" w:pos="720"/>
        </w:tabs>
        <w:spacing w:before="120" w:after="120"/>
        <w:ind w:left="993"/>
        <w:rPr>
          <w:iCs/>
        </w:rPr>
      </w:pPr>
      <w:r w:rsidRPr="007A70FB">
        <w:rPr>
          <w:iCs/>
        </w:rPr>
        <w:t>The ESC advised that alectinib should be cost-minimised to ceritinib on the basis of the total drug cost that achieved the same overall survival outcomes (</w:t>
      </w:r>
      <w:r w:rsidR="00B755AB" w:rsidRPr="007A70FB">
        <w:rPr>
          <w:iCs/>
        </w:rPr>
        <w:t>paragraph 7.9, a</w:t>
      </w:r>
      <w:r w:rsidRPr="007A70FB">
        <w:rPr>
          <w:iCs/>
        </w:rPr>
        <w:t>lectinib PSD, July 201</w:t>
      </w:r>
      <w:r w:rsidR="0021609C" w:rsidRPr="007A70FB">
        <w:rPr>
          <w:iCs/>
        </w:rPr>
        <w:t>7</w:t>
      </w:r>
      <w:r w:rsidRPr="007A70FB">
        <w:rPr>
          <w:iCs/>
        </w:rPr>
        <w:t xml:space="preserve">). </w:t>
      </w:r>
    </w:p>
    <w:p w:rsidR="0021609C" w:rsidRPr="007A70FB" w:rsidRDefault="007110AB" w:rsidP="00B755AB">
      <w:pPr>
        <w:widowControl/>
        <w:numPr>
          <w:ilvl w:val="0"/>
          <w:numId w:val="7"/>
        </w:numPr>
        <w:tabs>
          <w:tab w:val="clear" w:pos="720"/>
        </w:tabs>
        <w:spacing w:before="120" w:after="120"/>
        <w:ind w:left="993"/>
      </w:pPr>
      <w:r w:rsidRPr="007A70FB">
        <w:rPr>
          <w:iCs/>
        </w:rPr>
        <w:t>The PBAC considered that a study-based CMA, allowing for the difference in PFS/treatment duration and relative dose intensity observed in the alectinib and ceritinib studies, introduced uncertainty, as (i) such an approach would be confounded by the differences in the duration of follow-up for each of the studies; (ii) both ceritinib and alectinib studies allowed patients to continue treatment beyond disease progression and; (iii) the impact of the data for treatment duration and PFS used as a proxy for treatment duration being censored (</w:t>
      </w:r>
      <w:r w:rsidR="00B755AB" w:rsidRPr="007A70FB">
        <w:rPr>
          <w:iCs/>
        </w:rPr>
        <w:t>paragraph 7.9, a</w:t>
      </w:r>
      <w:r w:rsidRPr="007A70FB">
        <w:rPr>
          <w:iCs/>
        </w:rPr>
        <w:t>lectinib PSD, July 201</w:t>
      </w:r>
      <w:r w:rsidR="0021609C" w:rsidRPr="007A70FB">
        <w:rPr>
          <w:iCs/>
        </w:rPr>
        <w:t>7</w:t>
      </w:r>
      <w:r w:rsidRPr="007A70FB">
        <w:rPr>
          <w:iCs/>
        </w:rPr>
        <w:t xml:space="preserve">). </w:t>
      </w:r>
      <w:r w:rsidR="0021609C" w:rsidRPr="007A70FB">
        <w:t>On balance, the PBAC advised that, in order to reduce the financial risk to the Commonwealth, the differential duration of therapy be taken into account in calculating the cost-minimisation approach (</w:t>
      </w:r>
      <w:r w:rsidR="00B755AB" w:rsidRPr="007A70FB">
        <w:t>paragraph 7.10, a</w:t>
      </w:r>
      <w:r w:rsidR="0021609C" w:rsidRPr="007A70FB">
        <w:t>lectinib PSD, July 2017)</w:t>
      </w:r>
    </w:p>
    <w:p w:rsidR="00E45D12" w:rsidRPr="007A70FB" w:rsidRDefault="007214A7" w:rsidP="00B755AB">
      <w:pPr>
        <w:widowControl/>
        <w:numPr>
          <w:ilvl w:val="0"/>
          <w:numId w:val="7"/>
        </w:numPr>
        <w:tabs>
          <w:tab w:val="clear" w:pos="720"/>
        </w:tabs>
        <w:spacing w:before="120" w:after="120"/>
        <w:ind w:left="993"/>
        <w:rPr>
          <w:iCs/>
        </w:rPr>
      </w:pPr>
      <w:r w:rsidRPr="007A70FB">
        <w:rPr>
          <w:iCs/>
        </w:rPr>
        <w:t>The PBAC</w:t>
      </w:r>
      <w:r w:rsidR="009B3BF7" w:rsidRPr="007A70FB">
        <w:rPr>
          <w:iCs/>
        </w:rPr>
        <w:t xml:space="preserve"> </w:t>
      </w:r>
      <w:r w:rsidR="000E08B0">
        <w:rPr>
          <w:iCs/>
        </w:rPr>
        <w:t>further</w:t>
      </w:r>
      <w:r w:rsidR="000E08B0" w:rsidRPr="007A70FB">
        <w:rPr>
          <w:iCs/>
        </w:rPr>
        <w:t xml:space="preserve"> </w:t>
      </w:r>
      <w:r w:rsidRPr="007A70FB">
        <w:rPr>
          <w:iCs/>
        </w:rPr>
        <w:t xml:space="preserve">advised that the effective price for alectinib be no higher than the effective price for ceritinib, on the basis of cost per day of treatment, with alectinib 600 mg (4 x 150 mg capsules) twice daily and ceritinib 750 mg (5 x 150 mg capsules) </w:t>
      </w:r>
      <w:r w:rsidRPr="007A70FB">
        <w:rPr>
          <w:iCs/>
        </w:rPr>
        <w:lastRenderedPageBreak/>
        <w:t>daily considered to be the equi-effective doses, also taking into account the different durations of therapy (</w:t>
      </w:r>
      <w:r w:rsidR="00B755AB" w:rsidRPr="007A70FB">
        <w:rPr>
          <w:iCs/>
        </w:rPr>
        <w:t>paragraph 7.11, a</w:t>
      </w:r>
      <w:r w:rsidRPr="007A70FB">
        <w:rPr>
          <w:iCs/>
        </w:rPr>
        <w:t>lectinib PSD, July 2017)</w:t>
      </w:r>
      <w:r w:rsidR="00FF5CE5" w:rsidRPr="007A70FB">
        <w:rPr>
          <w:iCs/>
        </w:rPr>
        <w:t xml:space="preserve">. </w:t>
      </w:r>
    </w:p>
    <w:p w:rsidR="007110AB" w:rsidRPr="007A70FB" w:rsidRDefault="007110AB" w:rsidP="00FE0FA7">
      <w:pPr>
        <w:pStyle w:val="ListParagraph"/>
        <w:widowControl/>
        <w:numPr>
          <w:ilvl w:val="1"/>
          <w:numId w:val="1"/>
        </w:numPr>
        <w:spacing w:before="120" w:after="120"/>
      </w:pPr>
      <w:r w:rsidRPr="007A70FB">
        <w:t xml:space="preserve">The submission proposed a </w:t>
      </w:r>
      <w:r w:rsidR="00897509" w:rsidRPr="007A70FB">
        <w:rPr>
          <w:iCs/>
        </w:rPr>
        <w:t>published</w:t>
      </w:r>
      <w:r w:rsidR="00897509" w:rsidRPr="007A70FB">
        <w:rPr>
          <w:i/>
        </w:rPr>
        <w:t xml:space="preserve"> </w:t>
      </w:r>
      <w:r w:rsidRPr="007A70FB">
        <w:t>ex-manufacturer price for lorlatinib of $</w:t>
      </w:r>
      <w:r w:rsidR="00FF4479">
        <w:rPr>
          <w:noProof/>
          <w:color w:val="000000"/>
          <w:highlight w:val="black"/>
        </w:rPr>
        <w:t>''''''''''''''''''</w:t>
      </w:r>
      <w:r w:rsidRPr="007A70FB">
        <w:t xml:space="preserve"> per pack of lorlatinib for both strengths. </w:t>
      </w:r>
      <w:r w:rsidR="00597051" w:rsidRPr="007A70FB">
        <w:t>T</w:t>
      </w:r>
      <w:r w:rsidRPr="007A70FB">
        <w:t>he submission calculated the cost per day based on the dispensed price per maximum quantity (DPMQ) and not the approved ex-manufacturer price</w:t>
      </w:r>
      <w:r w:rsidR="00597051" w:rsidRPr="007A70FB">
        <w:t xml:space="preserve"> (AEMP). This was recalculated</w:t>
      </w:r>
      <w:r w:rsidRPr="007A70FB">
        <w:t xml:space="preserve"> during the evaluation. </w:t>
      </w:r>
      <w:r w:rsidR="00A3648B" w:rsidRPr="007A70FB">
        <w:rPr>
          <w:iCs/>
        </w:rPr>
        <w:t xml:space="preserve">The PSCR argued that there was no requirement for a CMA to be conducted using AEMP rather than DPMQ. </w:t>
      </w:r>
      <w:r w:rsidR="00471C65" w:rsidRPr="007A70FB">
        <w:rPr>
          <w:iCs/>
        </w:rPr>
        <w:t xml:space="preserve">The </w:t>
      </w:r>
      <w:r w:rsidR="00542E9C" w:rsidRPr="007A70FB">
        <w:rPr>
          <w:iCs/>
        </w:rPr>
        <w:t>D</w:t>
      </w:r>
      <w:r w:rsidR="00471C65" w:rsidRPr="007A70FB">
        <w:rPr>
          <w:iCs/>
        </w:rPr>
        <w:t xml:space="preserve">epartment noted </w:t>
      </w:r>
      <w:r w:rsidR="00907277" w:rsidRPr="007A70FB">
        <w:rPr>
          <w:iCs/>
        </w:rPr>
        <w:t xml:space="preserve">that </w:t>
      </w:r>
      <w:r w:rsidR="00471C65" w:rsidRPr="007A70FB">
        <w:rPr>
          <w:iCs/>
        </w:rPr>
        <w:t>p</w:t>
      </w:r>
      <w:r w:rsidR="00A3648B" w:rsidRPr="007A70FB">
        <w:rPr>
          <w:iCs/>
        </w:rPr>
        <w:t>ricing agreements are made by Government under the National Health Act 1953 at the ex-manufacturer level. It is not usually the case that pharmacy and wholesaler mark-ups are considered for the purpose of cost-minimisation as they do not relate to the cost of the medicine.</w:t>
      </w:r>
      <w:r w:rsidR="00A3648B" w:rsidRPr="007A70FB">
        <w:rPr>
          <w:i/>
        </w:rPr>
        <w:t xml:space="preserve"> </w:t>
      </w:r>
      <w:r w:rsidRPr="007A70FB">
        <w:rPr>
          <w:iCs/>
        </w:rPr>
        <w:t xml:space="preserve">The results </w:t>
      </w:r>
      <w:r w:rsidR="002E0502" w:rsidRPr="007A70FB">
        <w:rPr>
          <w:iCs/>
        </w:rPr>
        <w:t xml:space="preserve">based on published prices </w:t>
      </w:r>
      <w:r w:rsidRPr="007A70FB">
        <w:rPr>
          <w:iCs/>
        </w:rPr>
        <w:t xml:space="preserve">are presented </w:t>
      </w:r>
      <w:r w:rsidRPr="007A70FB">
        <w:rPr>
          <w:rFonts w:asciiTheme="minorHAnsi" w:hAnsiTheme="minorHAnsi"/>
          <w:iCs/>
          <w:szCs w:val="24"/>
        </w:rPr>
        <w:t xml:space="preserve">in </w:t>
      </w:r>
      <w:r w:rsidR="00B0287F" w:rsidRPr="007A70FB">
        <w:rPr>
          <w:rStyle w:val="CommentReference"/>
          <w:rFonts w:asciiTheme="minorHAnsi" w:hAnsiTheme="minorHAnsi"/>
          <w:b w:val="0"/>
          <w:sz w:val="24"/>
          <w:szCs w:val="24"/>
        </w:rPr>
        <w:t>Table 10</w:t>
      </w:r>
      <w:r w:rsidRPr="007A70FB">
        <w:rPr>
          <w:rFonts w:asciiTheme="minorHAnsi" w:hAnsiTheme="minorHAnsi"/>
          <w:iCs/>
          <w:szCs w:val="24"/>
        </w:rPr>
        <w:t>.</w:t>
      </w:r>
      <w:r w:rsidR="002E0502" w:rsidRPr="007A70FB">
        <w:rPr>
          <w:rFonts w:asciiTheme="minorHAnsi" w:hAnsiTheme="minorHAnsi"/>
          <w:iCs/>
          <w:szCs w:val="24"/>
        </w:rPr>
        <w:t xml:space="preserve"> </w:t>
      </w:r>
    </w:p>
    <w:p w:rsidR="007110AB" w:rsidRPr="007A70FB" w:rsidRDefault="007110AB" w:rsidP="000401D9">
      <w:pPr>
        <w:pStyle w:val="Caption"/>
        <w:keepNext/>
        <w:spacing w:after="0"/>
        <w:rPr>
          <w:rStyle w:val="CommentReference"/>
          <w:b/>
        </w:rPr>
      </w:pPr>
      <w:bookmarkStart w:id="42" w:name="_Ref20496039"/>
      <w:r w:rsidRPr="007A70FB">
        <w:rPr>
          <w:rStyle w:val="CommentReference"/>
          <w:b/>
        </w:rPr>
        <w:t xml:space="preserve">Table </w:t>
      </w:r>
      <w:r w:rsidR="008267CB" w:rsidRPr="007A70FB">
        <w:rPr>
          <w:rStyle w:val="CommentReference"/>
          <w:b/>
        </w:rPr>
        <w:t>10</w:t>
      </w:r>
      <w:bookmarkEnd w:id="42"/>
      <w:r w:rsidRPr="007A70FB">
        <w:rPr>
          <w:rStyle w:val="CommentReference"/>
          <w:b/>
        </w:rPr>
        <w:t>:  Results of the cost-minimisation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1:  Results of the cost-minimisation analysis"/>
      </w:tblPr>
      <w:tblGrid>
        <w:gridCol w:w="1554"/>
        <w:gridCol w:w="709"/>
        <w:gridCol w:w="967"/>
        <w:gridCol w:w="1006"/>
        <w:gridCol w:w="1006"/>
        <w:gridCol w:w="1275"/>
        <w:gridCol w:w="1277"/>
        <w:gridCol w:w="1223"/>
      </w:tblGrid>
      <w:tr w:rsidR="007110AB" w:rsidRPr="007A70FB" w:rsidTr="00C03AEF">
        <w:trPr>
          <w:tblHeader/>
        </w:trPr>
        <w:tc>
          <w:tcPr>
            <w:tcW w:w="862" w:type="pct"/>
            <w:vMerge w:val="restart"/>
            <w:shd w:val="clear" w:color="auto" w:fill="auto"/>
            <w:vAlign w:val="center"/>
          </w:tcPr>
          <w:p w:rsidR="007110AB" w:rsidRPr="007A70FB" w:rsidRDefault="007110AB" w:rsidP="00C03AEF">
            <w:pPr>
              <w:pStyle w:val="Tabletext"/>
              <w:keepNext/>
              <w:keepLines/>
              <w:ind w:left="-66" w:right="-131"/>
              <w:rPr>
                <w:b/>
              </w:rPr>
            </w:pPr>
            <w:r w:rsidRPr="007A70FB">
              <w:rPr>
                <w:b/>
              </w:rPr>
              <w:t>Name, restriction, manner of administration, form</w:t>
            </w:r>
          </w:p>
        </w:tc>
        <w:tc>
          <w:tcPr>
            <w:tcW w:w="393" w:type="pct"/>
            <w:vMerge w:val="restart"/>
            <w:shd w:val="clear" w:color="auto" w:fill="auto"/>
            <w:vAlign w:val="center"/>
          </w:tcPr>
          <w:p w:rsidR="007110AB" w:rsidRPr="007A70FB" w:rsidRDefault="007110AB" w:rsidP="00C03AEF">
            <w:pPr>
              <w:pStyle w:val="Tabletext"/>
              <w:keepNext/>
              <w:keepLines/>
              <w:ind w:left="-66"/>
              <w:jc w:val="center"/>
              <w:rPr>
                <w:b/>
              </w:rPr>
            </w:pPr>
            <w:r w:rsidRPr="007A70FB">
              <w:rPr>
                <w:b/>
              </w:rPr>
              <w:t>Max Qty (units)</w:t>
            </w:r>
          </w:p>
        </w:tc>
        <w:tc>
          <w:tcPr>
            <w:tcW w:w="536" w:type="pct"/>
            <w:vMerge w:val="restart"/>
            <w:shd w:val="clear" w:color="auto" w:fill="auto"/>
            <w:vAlign w:val="center"/>
          </w:tcPr>
          <w:p w:rsidR="007110AB" w:rsidRPr="007A70FB" w:rsidRDefault="007110AB" w:rsidP="00C03AEF">
            <w:pPr>
              <w:pStyle w:val="Tabletext"/>
              <w:keepNext/>
              <w:keepLines/>
              <w:ind w:left="-66"/>
              <w:jc w:val="center"/>
              <w:rPr>
                <w:b/>
              </w:rPr>
            </w:pPr>
            <w:r w:rsidRPr="007A70FB">
              <w:rPr>
                <w:b/>
              </w:rPr>
              <w:t>Days of treatment per pack</w:t>
            </w:r>
          </w:p>
        </w:tc>
        <w:tc>
          <w:tcPr>
            <w:tcW w:w="558" w:type="pct"/>
            <w:vMerge w:val="restart"/>
            <w:shd w:val="clear" w:color="auto" w:fill="auto"/>
            <w:vAlign w:val="center"/>
          </w:tcPr>
          <w:p w:rsidR="007110AB" w:rsidRPr="007A70FB" w:rsidRDefault="007110AB" w:rsidP="00C03AEF">
            <w:pPr>
              <w:pStyle w:val="Tabletext"/>
              <w:keepNext/>
              <w:keepLines/>
              <w:ind w:left="-66" w:right="-82"/>
              <w:jc w:val="center"/>
              <w:rPr>
                <w:b/>
              </w:rPr>
            </w:pPr>
            <w:r w:rsidRPr="007A70FB">
              <w:rPr>
                <w:b/>
              </w:rPr>
              <w:t>DPMQ (</w:t>
            </w:r>
            <w:r w:rsidR="00C83FAF" w:rsidRPr="007A70FB">
              <w:rPr>
                <w:b/>
              </w:rPr>
              <w:t>p</w:t>
            </w:r>
            <w:r w:rsidRPr="007A70FB">
              <w:rPr>
                <w:b/>
              </w:rPr>
              <w:t>ublished)</w:t>
            </w:r>
          </w:p>
        </w:tc>
        <w:tc>
          <w:tcPr>
            <w:tcW w:w="558" w:type="pct"/>
            <w:vMerge w:val="restart"/>
            <w:vAlign w:val="center"/>
          </w:tcPr>
          <w:p w:rsidR="007110AB" w:rsidRPr="007A70FB" w:rsidRDefault="007110AB" w:rsidP="00C03AEF">
            <w:pPr>
              <w:pStyle w:val="Tabletext"/>
              <w:keepNext/>
              <w:keepLines/>
              <w:ind w:left="-66" w:right="-82"/>
              <w:jc w:val="center"/>
              <w:rPr>
                <w:b/>
              </w:rPr>
            </w:pPr>
            <w:r w:rsidRPr="007A70FB">
              <w:rPr>
                <w:b/>
              </w:rPr>
              <w:t>AEMP (published)</w:t>
            </w:r>
          </w:p>
        </w:tc>
        <w:tc>
          <w:tcPr>
            <w:tcW w:w="1415" w:type="pct"/>
            <w:gridSpan w:val="2"/>
            <w:vAlign w:val="center"/>
          </w:tcPr>
          <w:p w:rsidR="007110AB" w:rsidRPr="007A70FB" w:rsidRDefault="007110AB" w:rsidP="00C03AEF">
            <w:pPr>
              <w:pStyle w:val="Tabletext"/>
              <w:keepNext/>
              <w:keepLines/>
              <w:ind w:left="-66"/>
              <w:jc w:val="center"/>
              <w:rPr>
                <w:b/>
              </w:rPr>
            </w:pPr>
            <w:r w:rsidRPr="007A70FB">
              <w:rPr>
                <w:b/>
              </w:rPr>
              <w:t>Treatment Cost (daily)</w:t>
            </w:r>
          </w:p>
        </w:tc>
        <w:tc>
          <w:tcPr>
            <w:tcW w:w="678" w:type="pct"/>
            <w:vMerge w:val="restart"/>
            <w:vAlign w:val="center"/>
          </w:tcPr>
          <w:p w:rsidR="007110AB" w:rsidRPr="007A70FB" w:rsidRDefault="007110AB" w:rsidP="00C03AEF">
            <w:pPr>
              <w:pStyle w:val="Tabletext"/>
              <w:keepNext/>
              <w:keepLines/>
              <w:ind w:left="-66"/>
              <w:jc w:val="center"/>
              <w:rPr>
                <w:b/>
              </w:rPr>
            </w:pPr>
            <w:r w:rsidRPr="007A70FB">
              <w:rPr>
                <w:b/>
              </w:rPr>
              <w:t>Dosage regimen assumption</w:t>
            </w:r>
          </w:p>
        </w:tc>
      </w:tr>
      <w:tr w:rsidR="007110AB" w:rsidRPr="007A70FB" w:rsidTr="00C03AEF">
        <w:trPr>
          <w:tblHeader/>
        </w:trPr>
        <w:tc>
          <w:tcPr>
            <w:tcW w:w="862" w:type="pct"/>
            <w:vMerge/>
            <w:shd w:val="clear" w:color="auto" w:fill="auto"/>
          </w:tcPr>
          <w:p w:rsidR="007110AB" w:rsidRPr="007A70FB" w:rsidRDefault="007110AB" w:rsidP="000345C6">
            <w:pPr>
              <w:pStyle w:val="Tabletext"/>
              <w:keepNext/>
              <w:keepLines/>
              <w:ind w:left="-66"/>
            </w:pPr>
          </w:p>
        </w:tc>
        <w:tc>
          <w:tcPr>
            <w:tcW w:w="393" w:type="pct"/>
            <w:vMerge/>
            <w:shd w:val="clear" w:color="auto" w:fill="auto"/>
          </w:tcPr>
          <w:p w:rsidR="007110AB" w:rsidRPr="007A70FB" w:rsidRDefault="007110AB" w:rsidP="000345C6">
            <w:pPr>
              <w:pStyle w:val="Tabletext"/>
              <w:keepNext/>
              <w:keepLines/>
              <w:ind w:left="-66"/>
            </w:pPr>
          </w:p>
        </w:tc>
        <w:tc>
          <w:tcPr>
            <w:tcW w:w="536" w:type="pct"/>
            <w:vMerge/>
            <w:shd w:val="clear" w:color="auto" w:fill="auto"/>
          </w:tcPr>
          <w:p w:rsidR="007110AB" w:rsidRPr="007A70FB" w:rsidRDefault="007110AB" w:rsidP="000345C6">
            <w:pPr>
              <w:pStyle w:val="Tabletext"/>
              <w:keepNext/>
              <w:keepLines/>
              <w:ind w:left="-66"/>
            </w:pPr>
          </w:p>
        </w:tc>
        <w:tc>
          <w:tcPr>
            <w:tcW w:w="558" w:type="pct"/>
            <w:vMerge/>
            <w:shd w:val="clear" w:color="auto" w:fill="auto"/>
          </w:tcPr>
          <w:p w:rsidR="007110AB" w:rsidRPr="007A70FB" w:rsidRDefault="007110AB" w:rsidP="000345C6">
            <w:pPr>
              <w:pStyle w:val="Tabletext"/>
              <w:keepNext/>
              <w:keepLines/>
              <w:ind w:left="-66" w:right="-82"/>
            </w:pPr>
          </w:p>
        </w:tc>
        <w:tc>
          <w:tcPr>
            <w:tcW w:w="558" w:type="pct"/>
            <w:vMerge/>
          </w:tcPr>
          <w:p w:rsidR="007110AB" w:rsidRPr="007A70FB" w:rsidRDefault="007110AB" w:rsidP="000345C6">
            <w:pPr>
              <w:pStyle w:val="Tabletext"/>
              <w:keepNext/>
              <w:keepLines/>
              <w:ind w:left="-66" w:right="-82"/>
            </w:pPr>
          </w:p>
        </w:tc>
        <w:tc>
          <w:tcPr>
            <w:tcW w:w="707" w:type="pct"/>
            <w:vAlign w:val="center"/>
          </w:tcPr>
          <w:p w:rsidR="007110AB" w:rsidRPr="00B93B36" w:rsidRDefault="005C10BA" w:rsidP="00C03AEF">
            <w:pPr>
              <w:pStyle w:val="Tabletext"/>
              <w:keepNext/>
              <w:keepLines/>
              <w:ind w:left="-66"/>
              <w:jc w:val="center"/>
              <w:rPr>
                <w:b/>
                <w:bCs/>
              </w:rPr>
            </w:pPr>
            <w:r w:rsidRPr="00B93B36">
              <w:rPr>
                <w:b/>
                <w:bCs/>
              </w:rPr>
              <w:t>DPMQ</w:t>
            </w:r>
            <w:r w:rsidRPr="00B93B36">
              <w:rPr>
                <w:b/>
                <w:bCs/>
                <w:vertAlign w:val="superscript"/>
              </w:rPr>
              <w:t>a</w:t>
            </w:r>
          </w:p>
        </w:tc>
        <w:tc>
          <w:tcPr>
            <w:tcW w:w="708" w:type="pct"/>
            <w:vAlign w:val="center"/>
          </w:tcPr>
          <w:p w:rsidR="007110AB" w:rsidRPr="00B93B36" w:rsidRDefault="005C10BA" w:rsidP="00C03AEF">
            <w:pPr>
              <w:pStyle w:val="Tabletext"/>
              <w:keepNext/>
              <w:keepLines/>
              <w:ind w:left="-66"/>
              <w:jc w:val="center"/>
              <w:rPr>
                <w:b/>
                <w:bCs/>
              </w:rPr>
            </w:pPr>
            <w:r w:rsidRPr="00B93B36">
              <w:rPr>
                <w:b/>
                <w:bCs/>
              </w:rPr>
              <w:t>AEMP</w:t>
            </w:r>
            <w:r w:rsidRPr="00B93B36">
              <w:rPr>
                <w:b/>
                <w:bCs/>
                <w:vertAlign w:val="superscript"/>
              </w:rPr>
              <w:t>b</w:t>
            </w:r>
          </w:p>
        </w:tc>
        <w:tc>
          <w:tcPr>
            <w:tcW w:w="678" w:type="pct"/>
            <w:vMerge/>
          </w:tcPr>
          <w:p w:rsidR="007110AB" w:rsidRPr="007A70FB" w:rsidRDefault="007110AB" w:rsidP="000345C6">
            <w:pPr>
              <w:pStyle w:val="Tabletext"/>
              <w:keepNext/>
              <w:keepLines/>
              <w:ind w:left="-66"/>
              <w:rPr>
                <w:iCs/>
              </w:rPr>
            </w:pPr>
          </w:p>
        </w:tc>
      </w:tr>
      <w:tr w:rsidR="007110AB" w:rsidRPr="007A70FB" w:rsidTr="00C03AEF">
        <w:tc>
          <w:tcPr>
            <w:tcW w:w="862" w:type="pct"/>
            <w:vAlign w:val="center"/>
          </w:tcPr>
          <w:p w:rsidR="007110AB" w:rsidRPr="007A70FB" w:rsidRDefault="007110AB" w:rsidP="000401D9">
            <w:pPr>
              <w:pStyle w:val="Tabletext"/>
              <w:keepNext/>
              <w:keepLines/>
              <w:ind w:left="-66"/>
            </w:pPr>
            <w:r w:rsidRPr="007A70FB">
              <w:t>Alectinib 150 mg</w:t>
            </w:r>
            <w:r w:rsidR="000401D9" w:rsidRPr="007A70FB">
              <w:t xml:space="preserve"> capsule</w:t>
            </w:r>
          </w:p>
        </w:tc>
        <w:tc>
          <w:tcPr>
            <w:tcW w:w="393" w:type="pct"/>
            <w:vAlign w:val="center"/>
          </w:tcPr>
          <w:p w:rsidR="007110AB" w:rsidRPr="007A70FB" w:rsidRDefault="007110AB" w:rsidP="000345C6">
            <w:pPr>
              <w:pStyle w:val="Tabletext"/>
              <w:keepNext/>
              <w:keepLines/>
              <w:ind w:left="-66"/>
              <w:jc w:val="center"/>
            </w:pPr>
            <w:r w:rsidRPr="007A70FB">
              <w:t>224</w:t>
            </w:r>
          </w:p>
        </w:tc>
        <w:tc>
          <w:tcPr>
            <w:tcW w:w="536" w:type="pct"/>
            <w:vAlign w:val="center"/>
          </w:tcPr>
          <w:p w:rsidR="007110AB" w:rsidRPr="007A70FB" w:rsidRDefault="007110AB" w:rsidP="000345C6">
            <w:pPr>
              <w:pStyle w:val="Tabletext"/>
              <w:keepNext/>
              <w:keepLines/>
              <w:ind w:left="-66"/>
              <w:jc w:val="center"/>
            </w:pPr>
            <w:r w:rsidRPr="007A70FB">
              <w:t>28</w:t>
            </w:r>
          </w:p>
        </w:tc>
        <w:tc>
          <w:tcPr>
            <w:tcW w:w="558" w:type="pct"/>
            <w:vAlign w:val="center"/>
          </w:tcPr>
          <w:p w:rsidR="007110AB" w:rsidRPr="007A70FB" w:rsidRDefault="007110AB" w:rsidP="000345C6">
            <w:pPr>
              <w:pStyle w:val="Tabletext"/>
              <w:keepNext/>
              <w:keepLines/>
              <w:ind w:left="-66" w:right="-82"/>
              <w:jc w:val="center"/>
            </w:pPr>
            <w:r w:rsidRPr="007A70FB">
              <w:t>$6,805.20</w:t>
            </w:r>
          </w:p>
        </w:tc>
        <w:tc>
          <w:tcPr>
            <w:tcW w:w="558" w:type="pct"/>
            <w:vAlign w:val="center"/>
          </w:tcPr>
          <w:p w:rsidR="007110AB" w:rsidRPr="007A70FB" w:rsidRDefault="007110AB" w:rsidP="000345C6">
            <w:pPr>
              <w:pStyle w:val="Tabletext"/>
              <w:keepNext/>
              <w:keepLines/>
              <w:ind w:left="-66" w:right="-82"/>
              <w:jc w:val="center"/>
            </w:pPr>
            <w:r w:rsidRPr="007A70FB">
              <w:t>$6,653.08</w:t>
            </w:r>
          </w:p>
        </w:tc>
        <w:tc>
          <w:tcPr>
            <w:tcW w:w="707" w:type="pct"/>
            <w:vAlign w:val="center"/>
          </w:tcPr>
          <w:p w:rsidR="007110AB" w:rsidRPr="007A70FB" w:rsidRDefault="007110AB" w:rsidP="000345C6">
            <w:pPr>
              <w:pStyle w:val="Tabletext"/>
              <w:keepNext/>
              <w:keepLines/>
              <w:ind w:left="-66"/>
              <w:jc w:val="center"/>
            </w:pPr>
            <w:r w:rsidRPr="007A70FB">
              <w:t>$243.04</w:t>
            </w:r>
          </w:p>
        </w:tc>
        <w:tc>
          <w:tcPr>
            <w:tcW w:w="708" w:type="pct"/>
            <w:vAlign w:val="center"/>
          </w:tcPr>
          <w:p w:rsidR="007110AB" w:rsidRPr="007A70FB" w:rsidRDefault="007110AB" w:rsidP="000345C6">
            <w:pPr>
              <w:pStyle w:val="Tabletext"/>
              <w:keepNext/>
              <w:keepLines/>
              <w:ind w:left="-66"/>
              <w:jc w:val="center"/>
              <w:rPr>
                <w:i/>
                <w:iCs/>
              </w:rPr>
            </w:pPr>
            <w:r w:rsidRPr="007A70FB">
              <w:rPr>
                <w:i/>
                <w:iCs/>
              </w:rPr>
              <w:t>$237.61</w:t>
            </w:r>
          </w:p>
        </w:tc>
        <w:tc>
          <w:tcPr>
            <w:tcW w:w="678" w:type="pct"/>
            <w:vAlign w:val="center"/>
          </w:tcPr>
          <w:p w:rsidR="007110AB" w:rsidRPr="007A70FB" w:rsidRDefault="007110AB" w:rsidP="000345C6">
            <w:pPr>
              <w:pStyle w:val="Tabletext"/>
              <w:keepNext/>
              <w:keepLines/>
              <w:ind w:left="-66"/>
              <w:jc w:val="center"/>
              <w:rPr>
                <w:i/>
              </w:rPr>
            </w:pPr>
            <w:r w:rsidRPr="007A70FB">
              <w:rPr>
                <w:i/>
                <w:iCs/>
              </w:rPr>
              <w:t>600 mg BID</w:t>
            </w:r>
          </w:p>
        </w:tc>
      </w:tr>
      <w:tr w:rsidR="007110AB" w:rsidRPr="007A70FB" w:rsidTr="00C03AEF">
        <w:tc>
          <w:tcPr>
            <w:tcW w:w="862" w:type="pct"/>
            <w:vAlign w:val="center"/>
          </w:tcPr>
          <w:p w:rsidR="007110AB" w:rsidRPr="007A70FB" w:rsidRDefault="007110AB" w:rsidP="000345C6">
            <w:pPr>
              <w:pStyle w:val="Tabletext"/>
              <w:keepNext/>
              <w:keepLines/>
              <w:ind w:left="-66"/>
            </w:pPr>
            <w:r w:rsidRPr="007A70FB">
              <w:t xml:space="preserve">Lorlatinib 100 mg tablet </w:t>
            </w:r>
          </w:p>
        </w:tc>
        <w:tc>
          <w:tcPr>
            <w:tcW w:w="393" w:type="pct"/>
            <w:vAlign w:val="center"/>
          </w:tcPr>
          <w:p w:rsidR="007110AB" w:rsidRPr="007A70FB" w:rsidRDefault="007110AB" w:rsidP="000345C6">
            <w:pPr>
              <w:pStyle w:val="Tabletext"/>
              <w:keepNext/>
              <w:keepLines/>
              <w:ind w:left="-66"/>
              <w:jc w:val="center"/>
            </w:pPr>
            <w:r w:rsidRPr="007A70FB">
              <w:t>30</w:t>
            </w:r>
          </w:p>
        </w:tc>
        <w:tc>
          <w:tcPr>
            <w:tcW w:w="536" w:type="pct"/>
            <w:vAlign w:val="center"/>
          </w:tcPr>
          <w:p w:rsidR="007110AB" w:rsidRPr="007A70FB" w:rsidRDefault="007110AB" w:rsidP="000345C6">
            <w:pPr>
              <w:pStyle w:val="Tabletext"/>
              <w:keepNext/>
              <w:keepLines/>
              <w:ind w:left="-66"/>
              <w:jc w:val="center"/>
            </w:pPr>
            <w:r w:rsidRPr="007A70FB">
              <w:t>30</w:t>
            </w:r>
          </w:p>
        </w:tc>
        <w:tc>
          <w:tcPr>
            <w:tcW w:w="558" w:type="pct"/>
            <w:vAlign w:val="center"/>
          </w:tcPr>
          <w:p w:rsidR="007110AB" w:rsidRPr="00896704" w:rsidRDefault="007110AB" w:rsidP="000345C6">
            <w:pPr>
              <w:pStyle w:val="Tabletext"/>
              <w:keepNext/>
              <w:keepLines/>
              <w:ind w:left="-66" w:right="-82"/>
              <w:jc w:val="center"/>
            </w:pPr>
            <w:r w:rsidRPr="00896704">
              <w:t>$</w:t>
            </w:r>
            <w:r w:rsidR="00FF4479">
              <w:rPr>
                <w:noProof/>
                <w:color w:val="000000"/>
                <w:highlight w:val="black"/>
              </w:rPr>
              <w:t>'''''''''''''''''''</w:t>
            </w:r>
          </w:p>
        </w:tc>
        <w:tc>
          <w:tcPr>
            <w:tcW w:w="558" w:type="pct"/>
            <w:vAlign w:val="center"/>
          </w:tcPr>
          <w:p w:rsidR="007110AB" w:rsidRPr="00896704" w:rsidRDefault="007110AB" w:rsidP="000345C6">
            <w:pPr>
              <w:pStyle w:val="Tabletext"/>
              <w:keepNext/>
              <w:keepLines/>
              <w:ind w:left="-66" w:right="-82"/>
              <w:jc w:val="center"/>
            </w:pPr>
            <w:r w:rsidRPr="00896704">
              <w:t>$</w:t>
            </w:r>
            <w:r w:rsidR="00FF4479">
              <w:rPr>
                <w:noProof/>
                <w:color w:val="000000"/>
                <w:highlight w:val="black"/>
              </w:rPr>
              <w:t>'''''''''''''''''''''</w:t>
            </w:r>
          </w:p>
        </w:tc>
        <w:tc>
          <w:tcPr>
            <w:tcW w:w="707" w:type="pct"/>
            <w:vAlign w:val="center"/>
          </w:tcPr>
          <w:p w:rsidR="007110AB" w:rsidRPr="007A70FB" w:rsidRDefault="007110AB" w:rsidP="000345C6">
            <w:pPr>
              <w:pStyle w:val="Tabletext"/>
              <w:keepNext/>
              <w:keepLines/>
              <w:ind w:left="-66"/>
              <w:jc w:val="center"/>
            </w:pPr>
            <w:r w:rsidRPr="007A70FB">
              <w:t>$</w:t>
            </w:r>
            <w:r w:rsidR="00FF4479">
              <w:rPr>
                <w:noProof/>
                <w:color w:val="000000"/>
                <w:highlight w:val="black"/>
              </w:rPr>
              <w:t>'''''''''''''''''</w:t>
            </w:r>
          </w:p>
        </w:tc>
        <w:tc>
          <w:tcPr>
            <w:tcW w:w="708" w:type="pct"/>
            <w:vAlign w:val="center"/>
          </w:tcPr>
          <w:p w:rsidR="007110AB" w:rsidRPr="007A70FB" w:rsidRDefault="007110AB" w:rsidP="000345C6">
            <w:pPr>
              <w:pStyle w:val="Tabletext"/>
              <w:keepNext/>
              <w:keepLines/>
              <w:ind w:left="-66"/>
              <w:jc w:val="center"/>
              <w:rPr>
                <w:i/>
                <w:iCs/>
              </w:rPr>
            </w:pPr>
            <w:r w:rsidRPr="007A70FB">
              <w:rPr>
                <w:i/>
                <w:iCs/>
              </w:rPr>
              <w:t>$</w:t>
            </w:r>
            <w:r w:rsidR="00FF4479">
              <w:rPr>
                <w:i/>
                <w:iCs/>
                <w:noProof/>
                <w:color w:val="000000"/>
                <w:highlight w:val="black"/>
              </w:rPr>
              <w:t>'''''''''''''''</w:t>
            </w:r>
            <w:r w:rsidRPr="007A70FB">
              <w:rPr>
                <w:i/>
                <w:iCs/>
                <w:vertAlign w:val="superscript"/>
              </w:rPr>
              <w:t>c</w:t>
            </w:r>
          </w:p>
        </w:tc>
        <w:tc>
          <w:tcPr>
            <w:tcW w:w="678" w:type="pct"/>
            <w:vAlign w:val="center"/>
          </w:tcPr>
          <w:p w:rsidR="007110AB" w:rsidRPr="007A70FB" w:rsidRDefault="007110AB" w:rsidP="000345C6">
            <w:pPr>
              <w:pStyle w:val="Tabletext"/>
              <w:keepNext/>
              <w:keepLines/>
              <w:ind w:left="-66"/>
              <w:jc w:val="center"/>
              <w:rPr>
                <w:i/>
              </w:rPr>
            </w:pPr>
            <w:r w:rsidRPr="007A70FB">
              <w:rPr>
                <w:i/>
                <w:iCs/>
              </w:rPr>
              <w:t>100 mg</w:t>
            </w:r>
            <w:r w:rsidR="003C73EF" w:rsidRPr="007A70FB">
              <w:rPr>
                <w:i/>
                <w:iCs/>
              </w:rPr>
              <w:t xml:space="preserve"> </w:t>
            </w:r>
            <w:r w:rsidRPr="007A70FB">
              <w:rPr>
                <w:i/>
                <w:iCs/>
              </w:rPr>
              <w:t>QD</w:t>
            </w:r>
          </w:p>
        </w:tc>
      </w:tr>
      <w:tr w:rsidR="007110AB" w:rsidRPr="007A70FB" w:rsidTr="00C03AEF">
        <w:tc>
          <w:tcPr>
            <w:tcW w:w="862" w:type="pct"/>
            <w:vAlign w:val="center"/>
          </w:tcPr>
          <w:p w:rsidR="007110AB" w:rsidRPr="007A70FB" w:rsidRDefault="007110AB" w:rsidP="000345C6">
            <w:pPr>
              <w:pStyle w:val="Tabletext"/>
              <w:keepNext/>
              <w:keepLines/>
              <w:ind w:left="-66"/>
            </w:pPr>
            <w:r w:rsidRPr="007A70FB">
              <w:t>Lorlatinib 25 mg tablet</w:t>
            </w:r>
          </w:p>
        </w:tc>
        <w:tc>
          <w:tcPr>
            <w:tcW w:w="393" w:type="pct"/>
            <w:vAlign w:val="center"/>
          </w:tcPr>
          <w:p w:rsidR="007110AB" w:rsidRPr="007A70FB" w:rsidRDefault="007110AB" w:rsidP="000345C6">
            <w:pPr>
              <w:pStyle w:val="Tabletext"/>
              <w:keepNext/>
              <w:keepLines/>
              <w:ind w:left="-66"/>
              <w:jc w:val="center"/>
            </w:pPr>
            <w:r w:rsidRPr="007A70FB">
              <w:t>90</w:t>
            </w:r>
          </w:p>
        </w:tc>
        <w:tc>
          <w:tcPr>
            <w:tcW w:w="536" w:type="pct"/>
            <w:vAlign w:val="center"/>
          </w:tcPr>
          <w:p w:rsidR="007110AB" w:rsidRPr="007A70FB" w:rsidRDefault="007110AB" w:rsidP="000345C6">
            <w:pPr>
              <w:pStyle w:val="Tabletext"/>
              <w:keepNext/>
              <w:keepLines/>
              <w:ind w:left="-66"/>
              <w:jc w:val="center"/>
            </w:pPr>
            <w:r w:rsidRPr="007A70FB">
              <w:t>30</w:t>
            </w:r>
          </w:p>
        </w:tc>
        <w:tc>
          <w:tcPr>
            <w:tcW w:w="558" w:type="pct"/>
            <w:vAlign w:val="center"/>
          </w:tcPr>
          <w:p w:rsidR="007110AB" w:rsidRPr="007A70FB" w:rsidRDefault="007110AB" w:rsidP="000345C6">
            <w:pPr>
              <w:pStyle w:val="Tabletext"/>
              <w:keepNext/>
              <w:keepLines/>
              <w:ind w:left="-66" w:right="-82"/>
              <w:jc w:val="center"/>
            </w:pPr>
            <w:r w:rsidRPr="007A70FB">
              <w:t>$</w:t>
            </w:r>
            <w:r w:rsidR="00FF4479">
              <w:rPr>
                <w:noProof/>
                <w:color w:val="000000"/>
                <w:highlight w:val="black"/>
              </w:rPr>
              <w:t>''''''''''''''''''''''</w:t>
            </w:r>
          </w:p>
        </w:tc>
        <w:tc>
          <w:tcPr>
            <w:tcW w:w="558" w:type="pct"/>
            <w:vAlign w:val="center"/>
          </w:tcPr>
          <w:p w:rsidR="007110AB" w:rsidRPr="007A70FB" w:rsidRDefault="007110AB" w:rsidP="000345C6">
            <w:pPr>
              <w:pStyle w:val="Tabletext"/>
              <w:keepNext/>
              <w:keepLines/>
              <w:ind w:left="-66" w:right="-82"/>
              <w:jc w:val="center"/>
            </w:pPr>
            <w:r w:rsidRPr="007A70FB">
              <w:t>$</w:t>
            </w:r>
            <w:r w:rsidR="00FF4479">
              <w:rPr>
                <w:noProof/>
                <w:color w:val="000000"/>
                <w:highlight w:val="black"/>
              </w:rPr>
              <w:t>'''''''''''''''''''</w:t>
            </w:r>
          </w:p>
        </w:tc>
        <w:tc>
          <w:tcPr>
            <w:tcW w:w="707" w:type="pct"/>
            <w:vAlign w:val="center"/>
          </w:tcPr>
          <w:p w:rsidR="007110AB" w:rsidRPr="007A70FB" w:rsidRDefault="007110AB" w:rsidP="000345C6">
            <w:pPr>
              <w:pStyle w:val="Tabletext"/>
              <w:keepNext/>
              <w:keepLines/>
              <w:ind w:left="-66"/>
              <w:jc w:val="center"/>
            </w:pPr>
            <w:r w:rsidRPr="007A70FB">
              <w:t>$</w:t>
            </w:r>
            <w:r w:rsidR="00FF4479">
              <w:rPr>
                <w:noProof/>
                <w:color w:val="000000"/>
                <w:highlight w:val="black"/>
              </w:rPr>
              <w:t>''''''''''''''''</w:t>
            </w:r>
          </w:p>
        </w:tc>
        <w:tc>
          <w:tcPr>
            <w:tcW w:w="708" w:type="pct"/>
            <w:vAlign w:val="center"/>
          </w:tcPr>
          <w:p w:rsidR="007110AB" w:rsidRPr="007A70FB" w:rsidRDefault="007110AB" w:rsidP="000345C6">
            <w:pPr>
              <w:pStyle w:val="Tabletext"/>
              <w:keepNext/>
              <w:keepLines/>
              <w:ind w:left="-66"/>
              <w:jc w:val="center"/>
              <w:rPr>
                <w:i/>
                <w:iCs/>
              </w:rPr>
            </w:pPr>
            <w:r w:rsidRPr="007A70FB">
              <w:rPr>
                <w:i/>
                <w:iCs/>
              </w:rPr>
              <w:t>$</w:t>
            </w:r>
            <w:r w:rsidR="00FF4479">
              <w:rPr>
                <w:i/>
                <w:iCs/>
                <w:noProof/>
                <w:color w:val="000000"/>
                <w:highlight w:val="black"/>
              </w:rPr>
              <w:t>''''''''''''''''</w:t>
            </w:r>
          </w:p>
        </w:tc>
        <w:tc>
          <w:tcPr>
            <w:tcW w:w="678" w:type="pct"/>
            <w:vAlign w:val="center"/>
          </w:tcPr>
          <w:p w:rsidR="007110AB" w:rsidRPr="007A70FB" w:rsidRDefault="007110AB" w:rsidP="000345C6">
            <w:pPr>
              <w:pStyle w:val="Tabletext"/>
              <w:keepNext/>
              <w:keepLines/>
              <w:ind w:left="-66"/>
              <w:jc w:val="center"/>
              <w:rPr>
                <w:i/>
                <w:iCs/>
              </w:rPr>
            </w:pPr>
            <w:r w:rsidRPr="007A70FB">
              <w:rPr>
                <w:i/>
                <w:iCs/>
              </w:rPr>
              <w:t>75 mg QD</w:t>
            </w:r>
            <w:r w:rsidRPr="007A70FB">
              <w:rPr>
                <w:i/>
                <w:iCs/>
                <w:vertAlign w:val="superscript"/>
              </w:rPr>
              <w:t>d</w:t>
            </w:r>
          </w:p>
        </w:tc>
      </w:tr>
      <w:tr w:rsidR="007110AB" w:rsidRPr="007A70FB" w:rsidTr="00C03AEF">
        <w:tc>
          <w:tcPr>
            <w:tcW w:w="862" w:type="pct"/>
            <w:vAlign w:val="center"/>
          </w:tcPr>
          <w:p w:rsidR="007110AB" w:rsidRPr="007A70FB" w:rsidRDefault="007110AB" w:rsidP="000345C6">
            <w:pPr>
              <w:pStyle w:val="Tabletext"/>
              <w:keepNext/>
              <w:keepLines/>
              <w:ind w:left="-66"/>
              <w:rPr>
                <w:i/>
                <w:iCs/>
              </w:rPr>
            </w:pPr>
            <w:r w:rsidRPr="007A70FB">
              <w:rPr>
                <w:i/>
                <w:iCs/>
              </w:rPr>
              <w:t>Lorlatinib 25 mg tablet</w:t>
            </w:r>
          </w:p>
        </w:tc>
        <w:tc>
          <w:tcPr>
            <w:tcW w:w="393" w:type="pct"/>
            <w:vAlign w:val="center"/>
          </w:tcPr>
          <w:p w:rsidR="007110AB" w:rsidRPr="007A70FB" w:rsidRDefault="007110AB" w:rsidP="000345C6">
            <w:pPr>
              <w:pStyle w:val="Tabletext"/>
              <w:keepNext/>
              <w:keepLines/>
              <w:ind w:left="-66"/>
              <w:jc w:val="center"/>
              <w:rPr>
                <w:i/>
              </w:rPr>
            </w:pPr>
            <w:r w:rsidRPr="007A70FB">
              <w:rPr>
                <w:i/>
              </w:rPr>
              <w:t>90</w:t>
            </w:r>
          </w:p>
        </w:tc>
        <w:tc>
          <w:tcPr>
            <w:tcW w:w="536" w:type="pct"/>
            <w:vAlign w:val="center"/>
          </w:tcPr>
          <w:p w:rsidR="007110AB" w:rsidRPr="007A70FB" w:rsidRDefault="007110AB" w:rsidP="000345C6">
            <w:pPr>
              <w:pStyle w:val="Tabletext"/>
              <w:keepNext/>
              <w:keepLines/>
              <w:ind w:left="-66"/>
              <w:jc w:val="center"/>
              <w:rPr>
                <w:i/>
              </w:rPr>
            </w:pPr>
            <w:r w:rsidRPr="007A70FB">
              <w:rPr>
                <w:i/>
              </w:rPr>
              <w:t>45</w:t>
            </w:r>
          </w:p>
        </w:tc>
        <w:tc>
          <w:tcPr>
            <w:tcW w:w="558" w:type="pct"/>
            <w:vAlign w:val="center"/>
          </w:tcPr>
          <w:p w:rsidR="007110AB" w:rsidRPr="007A70FB" w:rsidRDefault="007110AB" w:rsidP="000345C6">
            <w:pPr>
              <w:pStyle w:val="Tabletext"/>
              <w:keepNext/>
              <w:keepLines/>
              <w:ind w:left="-66" w:right="-82"/>
              <w:jc w:val="center"/>
              <w:rPr>
                <w:i/>
                <w:iCs/>
              </w:rPr>
            </w:pPr>
            <w:r w:rsidRPr="007A70FB">
              <w:rPr>
                <w:i/>
                <w:iCs/>
              </w:rPr>
              <w:t>$</w:t>
            </w:r>
            <w:r w:rsidR="00FF4479">
              <w:rPr>
                <w:i/>
                <w:iCs/>
                <w:noProof/>
                <w:color w:val="000000"/>
                <w:highlight w:val="black"/>
              </w:rPr>
              <w:t>''''''''''''''''''''</w:t>
            </w:r>
          </w:p>
        </w:tc>
        <w:tc>
          <w:tcPr>
            <w:tcW w:w="558" w:type="pct"/>
            <w:vAlign w:val="center"/>
          </w:tcPr>
          <w:p w:rsidR="007110AB" w:rsidRPr="007A70FB" w:rsidRDefault="007110AB" w:rsidP="000345C6">
            <w:pPr>
              <w:pStyle w:val="Tabletext"/>
              <w:keepNext/>
              <w:keepLines/>
              <w:ind w:left="-66" w:right="-82"/>
              <w:jc w:val="center"/>
              <w:rPr>
                <w:i/>
                <w:iCs/>
              </w:rPr>
            </w:pPr>
            <w:r w:rsidRPr="007A70FB">
              <w:rPr>
                <w:i/>
                <w:iCs/>
              </w:rPr>
              <w:t>$</w:t>
            </w:r>
            <w:r w:rsidR="00FF4479">
              <w:rPr>
                <w:i/>
                <w:iCs/>
                <w:noProof/>
                <w:color w:val="000000"/>
                <w:highlight w:val="black"/>
              </w:rPr>
              <w:t>'''''''''''''''''''''''</w:t>
            </w:r>
          </w:p>
        </w:tc>
        <w:tc>
          <w:tcPr>
            <w:tcW w:w="707" w:type="pct"/>
            <w:vAlign w:val="center"/>
          </w:tcPr>
          <w:p w:rsidR="007110AB" w:rsidRPr="00FF4479" w:rsidRDefault="00FF4479" w:rsidP="00EF2E52">
            <w:pPr>
              <w:pStyle w:val="Tabletext"/>
              <w:keepNext/>
              <w:keepLines/>
              <w:ind w:left="-66"/>
              <w:jc w:val="center"/>
              <w:rPr>
                <w:i/>
                <w:iCs/>
                <w:highlight w:val="black"/>
              </w:rPr>
            </w:pPr>
            <w:r>
              <w:rPr>
                <w:i/>
                <w:iCs/>
                <w:noProof/>
                <w:color w:val="000000"/>
                <w:highlight w:val="black"/>
              </w:rPr>
              <w:t>''''''''</w:t>
            </w:r>
          </w:p>
        </w:tc>
        <w:tc>
          <w:tcPr>
            <w:tcW w:w="708" w:type="pct"/>
            <w:vAlign w:val="center"/>
          </w:tcPr>
          <w:p w:rsidR="007110AB" w:rsidRPr="007A70FB" w:rsidRDefault="007110AB" w:rsidP="000345C6">
            <w:pPr>
              <w:pStyle w:val="Tabletext"/>
              <w:keepNext/>
              <w:keepLines/>
              <w:ind w:left="-66"/>
              <w:jc w:val="center"/>
              <w:rPr>
                <w:i/>
                <w:iCs/>
              </w:rPr>
            </w:pPr>
            <w:r w:rsidRPr="007A70FB">
              <w:rPr>
                <w:i/>
                <w:iCs/>
              </w:rPr>
              <w:t>$</w:t>
            </w:r>
            <w:r w:rsidR="00FF4479">
              <w:rPr>
                <w:i/>
                <w:iCs/>
                <w:noProof/>
                <w:color w:val="000000"/>
                <w:highlight w:val="black"/>
              </w:rPr>
              <w:t>''''''''''''''''</w:t>
            </w:r>
          </w:p>
        </w:tc>
        <w:tc>
          <w:tcPr>
            <w:tcW w:w="678" w:type="pct"/>
            <w:vAlign w:val="center"/>
          </w:tcPr>
          <w:p w:rsidR="007110AB" w:rsidRPr="007A70FB" w:rsidRDefault="007110AB" w:rsidP="000345C6">
            <w:pPr>
              <w:pStyle w:val="Tabletext"/>
              <w:keepNext/>
              <w:keepLines/>
              <w:ind w:left="-66"/>
              <w:jc w:val="center"/>
              <w:rPr>
                <w:i/>
                <w:iCs/>
              </w:rPr>
            </w:pPr>
            <w:r w:rsidRPr="007A70FB">
              <w:rPr>
                <w:i/>
                <w:iCs/>
              </w:rPr>
              <w:t>50 mg QD</w:t>
            </w:r>
            <w:r w:rsidRPr="007A70FB">
              <w:rPr>
                <w:i/>
                <w:iCs/>
                <w:vertAlign w:val="superscript"/>
              </w:rPr>
              <w:t>d</w:t>
            </w:r>
          </w:p>
        </w:tc>
      </w:tr>
      <w:tr w:rsidR="007110AB" w:rsidRPr="007A70FB" w:rsidTr="00C03AEF">
        <w:tc>
          <w:tcPr>
            <w:tcW w:w="862" w:type="pct"/>
          </w:tcPr>
          <w:p w:rsidR="007110AB" w:rsidRPr="007A70FB" w:rsidRDefault="007110AB" w:rsidP="000345C6">
            <w:pPr>
              <w:pStyle w:val="Tabletext"/>
              <w:keepNext/>
              <w:keepLines/>
              <w:ind w:left="-66"/>
              <w:rPr>
                <w:i/>
                <w:iCs/>
              </w:rPr>
            </w:pPr>
            <w:r w:rsidRPr="007A70FB">
              <w:rPr>
                <w:i/>
                <w:iCs/>
              </w:rPr>
              <w:t>Ceritinib 150 mg capsule</w:t>
            </w:r>
          </w:p>
        </w:tc>
        <w:tc>
          <w:tcPr>
            <w:tcW w:w="393" w:type="pct"/>
            <w:vAlign w:val="center"/>
          </w:tcPr>
          <w:p w:rsidR="007110AB" w:rsidRPr="007A70FB" w:rsidRDefault="007110AB" w:rsidP="000345C6">
            <w:pPr>
              <w:pStyle w:val="Tabletext"/>
              <w:keepNext/>
              <w:keepLines/>
              <w:ind w:left="-66"/>
              <w:jc w:val="center"/>
              <w:rPr>
                <w:i/>
              </w:rPr>
            </w:pPr>
            <w:r w:rsidRPr="007A70FB">
              <w:rPr>
                <w:i/>
              </w:rPr>
              <w:t>150</w:t>
            </w:r>
          </w:p>
        </w:tc>
        <w:tc>
          <w:tcPr>
            <w:tcW w:w="536" w:type="pct"/>
            <w:vAlign w:val="center"/>
          </w:tcPr>
          <w:p w:rsidR="007110AB" w:rsidRPr="007A70FB" w:rsidRDefault="007110AB" w:rsidP="000345C6">
            <w:pPr>
              <w:pStyle w:val="Tabletext"/>
              <w:keepNext/>
              <w:keepLines/>
              <w:ind w:left="-66"/>
              <w:jc w:val="center"/>
              <w:rPr>
                <w:i/>
              </w:rPr>
            </w:pPr>
            <w:r w:rsidRPr="007A70FB">
              <w:rPr>
                <w:i/>
              </w:rPr>
              <w:t>50</w:t>
            </w:r>
          </w:p>
        </w:tc>
        <w:tc>
          <w:tcPr>
            <w:tcW w:w="558" w:type="pct"/>
            <w:vAlign w:val="center"/>
          </w:tcPr>
          <w:p w:rsidR="007110AB" w:rsidRPr="007A70FB" w:rsidRDefault="007110AB" w:rsidP="000345C6">
            <w:pPr>
              <w:pStyle w:val="Tabletext"/>
              <w:keepNext/>
              <w:keepLines/>
              <w:ind w:left="-66" w:right="-82"/>
              <w:jc w:val="center"/>
              <w:rPr>
                <w:i/>
                <w:iCs/>
              </w:rPr>
            </w:pPr>
            <w:r w:rsidRPr="007A70FB">
              <w:rPr>
                <w:i/>
                <w:iCs/>
              </w:rPr>
              <w:t>$</w:t>
            </w:r>
            <w:r w:rsidRPr="00FF0E06">
              <w:rPr>
                <w:i/>
                <w:iCs/>
              </w:rPr>
              <w:t>7,280.42</w:t>
            </w:r>
          </w:p>
        </w:tc>
        <w:tc>
          <w:tcPr>
            <w:tcW w:w="558" w:type="pct"/>
            <w:vAlign w:val="center"/>
          </w:tcPr>
          <w:p w:rsidR="007110AB" w:rsidRPr="007A70FB" w:rsidRDefault="007110AB" w:rsidP="000345C6">
            <w:pPr>
              <w:pStyle w:val="Tabletext"/>
              <w:keepNext/>
              <w:keepLines/>
              <w:ind w:left="-66" w:right="-82"/>
              <w:jc w:val="center"/>
              <w:rPr>
                <w:i/>
                <w:iCs/>
              </w:rPr>
            </w:pPr>
            <w:r w:rsidRPr="007A70FB">
              <w:rPr>
                <w:i/>
                <w:iCs/>
              </w:rPr>
              <w:t>$</w:t>
            </w:r>
            <w:r w:rsidRPr="00FF0E06">
              <w:rPr>
                <w:i/>
                <w:iCs/>
              </w:rPr>
              <w:t>7,128.30</w:t>
            </w:r>
          </w:p>
        </w:tc>
        <w:tc>
          <w:tcPr>
            <w:tcW w:w="707" w:type="pct"/>
            <w:vAlign w:val="center"/>
          </w:tcPr>
          <w:p w:rsidR="007110AB" w:rsidRPr="007A70FB" w:rsidRDefault="00F011E9" w:rsidP="000345C6">
            <w:pPr>
              <w:pStyle w:val="Tabletext"/>
              <w:keepNext/>
              <w:keepLines/>
              <w:ind w:left="-66"/>
              <w:jc w:val="center"/>
              <w:rPr>
                <w:i/>
                <w:iCs/>
              </w:rPr>
            </w:pPr>
            <w:r w:rsidRPr="007A70FB">
              <w:rPr>
                <w:i/>
                <w:iCs/>
              </w:rPr>
              <w:t>N</w:t>
            </w:r>
            <w:r w:rsidR="001F04BF" w:rsidRPr="007A70FB">
              <w:rPr>
                <w:i/>
                <w:iCs/>
              </w:rPr>
              <w:t>R</w:t>
            </w:r>
          </w:p>
        </w:tc>
        <w:tc>
          <w:tcPr>
            <w:tcW w:w="708" w:type="pct"/>
            <w:vAlign w:val="center"/>
          </w:tcPr>
          <w:p w:rsidR="007110AB" w:rsidRPr="007A70FB" w:rsidRDefault="007110AB" w:rsidP="000345C6">
            <w:pPr>
              <w:pStyle w:val="Tabletext"/>
              <w:keepNext/>
              <w:keepLines/>
              <w:ind w:left="-66"/>
              <w:jc w:val="center"/>
              <w:rPr>
                <w:i/>
                <w:iCs/>
              </w:rPr>
            </w:pPr>
            <w:r w:rsidRPr="007A70FB">
              <w:rPr>
                <w:i/>
                <w:iCs/>
              </w:rPr>
              <w:t>$</w:t>
            </w:r>
            <w:r w:rsidRPr="00FF0E06">
              <w:rPr>
                <w:i/>
                <w:iCs/>
              </w:rPr>
              <w:t>142.57</w:t>
            </w:r>
          </w:p>
        </w:tc>
        <w:tc>
          <w:tcPr>
            <w:tcW w:w="678" w:type="pct"/>
            <w:vAlign w:val="center"/>
          </w:tcPr>
          <w:p w:rsidR="007110AB" w:rsidRPr="007A70FB" w:rsidRDefault="007110AB" w:rsidP="000345C6">
            <w:pPr>
              <w:pStyle w:val="Tabletext"/>
              <w:keepNext/>
              <w:keepLines/>
              <w:ind w:left="-66"/>
              <w:jc w:val="center"/>
              <w:rPr>
                <w:i/>
                <w:iCs/>
              </w:rPr>
            </w:pPr>
            <w:r w:rsidRPr="007A70FB">
              <w:rPr>
                <w:i/>
                <w:iCs/>
              </w:rPr>
              <w:t>450 mg QD</w:t>
            </w:r>
          </w:p>
        </w:tc>
      </w:tr>
      <w:tr w:rsidR="007110AB" w:rsidRPr="007A70FB" w:rsidTr="00C03AEF">
        <w:tc>
          <w:tcPr>
            <w:tcW w:w="862" w:type="pct"/>
          </w:tcPr>
          <w:p w:rsidR="007110AB" w:rsidRPr="007A70FB" w:rsidRDefault="007110AB" w:rsidP="000345C6">
            <w:pPr>
              <w:pStyle w:val="Tabletext"/>
              <w:keepNext/>
              <w:keepLines/>
              <w:ind w:left="-66"/>
              <w:rPr>
                <w:i/>
                <w:iCs/>
              </w:rPr>
            </w:pPr>
            <w:r w:rsidRPr="007A70FB">
              <w:rPr>
                <w:i/>
                <w:iCs/>
              </w:rPr>
              <w:t>Ceritinib 150 mg capsule</w:t>
            </w:r>
          </w:p>
        </w:tc>
        <w:tc>
          <w:tcPr>
            <w:tcW w:w="393" w:type="pct"/>
            <w:vAlign w:val="center"/>
          </w:tcPr>
          <w:p w:rsidR="007110AB" w:rsidRPr="007A70FB" w:rsidRDefault="007110AB" w:rsidP="000345C6">
            <w:pPr>
              <w:pStyle w:val="Tabletext"/>
              <w:keepNext/>
              <w:keepLines/>
              <w:ind w:left="-66"/>
              <w:jc w:val="center"/>
              <w:rPr>
                <w:i/>
              </w:rPr>
            </w:pPr>
            <w:r w:rsidRPr="007A70FB">
              <w:rPr>
                <w:i/>
              </w:rPr>
              <w:t>150</w:t>
            </w:r>
          </w:p>
        </w:tc>
        <w:tc>
          <w:tcPr>
            <w:tcW w:w="536" w:type="pct"/>
            <w:vAlign w:val="center"/>
          </w:tcPr>
          <w:p w:rsidR="007110AB" w:rsidRPr="007A70FB" w:rsidRDefault="007110AB" w:rsidP="000345C6">
            <w:pPr>
              <w:pStyle w:val="Tabletext"/>
              <w:keepNext/>
              <w:keepLines/>
              <w:ind w:left="-66"/>
              <w:jc w:val="center"/>
              <w:rPr>
                <w:i/>
              </w:rPr>
            </w:pPr>
            <w:r w:rsidRPr="007A70FB">
              <w:rPr>
                <w:i/>
              </w:rPr>
              <w:t>30</w:t>
            </w:r>
          </w:p>
        </w:tc>
        <w:tc>
          <w:tcPr>
            <w:tcW w:w="558" w:type="pct"/>
            <w:vAlign w:val="center"/>
          </w:tcPr>
          <w:p w:rsidR="007110AB" w:rsidRPr="007A70FB" w:rsidRDefault="007110AB" w:rsidP="000345C6">
            <w:pPr>
              <w:pStyle w:val="Tabletext"/>
              <w:keepNext/>
              <w:keepLines/>
              <w:ind w:left="-66" w:right="-82"/>
              <w:jc w:val="center"/>
              <w:rPr>
                <w:i/>
                <w:iCs/>
              </w:rPr>
            </w:pPr>
            <w:r w:rsidRPr="007A70FB">
              <w:rPr>
                <w:i/>
                <w:iCs/>
              </w:rPr>
              <w:t>$</w:t>
            </w:r>
            <w:r w:rsidRPr="00FF0E06">
              <w:rPr>
                <w:i/>
                <w:iCs/>
              </w:rPr>
              <w:t>7,280.42</w:t>
            </w:r>
          </w:p>
        </w:tc>
        <w:tc>
          <w:tcPr>
            <w:tcW w:w="558" w:type="pct"/>
            <w:vAlign w:val="center"/>
          </w:tcPr>
          <w:p w:rsidR="007110AB" w:rsidRPr="007A70FB" w:rsidRDefault="007110AB" w:rsidP="000345C6">
            <w:pPr>
              <w:pStyle w:val="Tabletext"/>
              <w:keepNext/>
              <w:keepLines/>
              <w:ind w:left="-66" w:right="-82"/>
              <w:jc w:val="center"/>
              <w:rPr>
                <w:i/>
                <w:iCs/>
              </w:rPr>
            </w:pPr>
            <w:r w:rsidRPr="007A70FB">
              <w:rPr>
                <w:i/>
                <w:iCs/>
              </w:rPr>
              <w:t>$</w:t>
            </w:r>
            <w:r w:rsidRPr="00FF0E06">
              <w:rPr>
                <w:i/>
                <w:iCs/>
              </w:rPr>
              <w:t>7,128.30</w:t>
            </w:r>
          </w:p>
        </w:tc>
        <w:tc>
          <w:tcPr>
            <w:tcW w:w="707" w:type="pct"/>
            <w:vAlign w:val="center"/>
          </w:tcPr>
          <w:p w:rsidR="007110AB" w:rsidRPr="007A70FB" w:rsidRDefault="00F011E9" w:rsidP="000345C6">
            <w:pPr>
              <w:pStyle w:val="Tabletext"/>
              <w:keepNext/>
              <w:keepLines/>
              <w:ind w:left="-66"/>
              <w:jc w:val="center"/>
              <w:rPr>
                <w:i/>
                <w:iCs/>
              </w:rPr>
            </w:pPr>
            <w:r w:rsidRPr="007A70FB">
              <w:rPr>
                <w:i/>
                <w:iCs/>
              </w:rPr>
              <w:t>N</w:t>
            </w:r>
            <w:r w:rsidR="001F04BF" w:rsidRPr="007A70FB">
              <w:rPr>
                <w:i/>
                <w:iCs/>
              </w:rPr>
              <w:t>R</w:t>
            </w:r>
          </w:p>
        </w:tc>
        <w:tc>
          <w:tcPr>
            <w:tcW w:w="708" w:type="pct"/>
            <w:vAlign w:val="center"/>
          </w:tcPr>
          <w:p w:rsidR="007110AB" w:rsidRPr="007A70FB" w:rsidRDefault="007110AB" w:rsidP="000345C6">
            <w:pPr>
              <w:pStyle w:val="Tabletext"/>
              <w:keepNext/>
              <w:keepLines/>
              <w:ind w:left="-66"/>
              <w:jc w:val="center"/>
              <w:rPr>
                <w:i/>
                <w:iCs/>
              </w:rPr>
            </w:pPr>
            <w:r w:rsidRPr="007A70FB">
              <w:rPr>
                <w:i/>
                <w:iCs/>
              </w:rPr>
              <w:t>$</w:t>
            </w:r>
            <w:r w:rsidRPr="00FF0E06">
              <w:rPr>
                <w:i/>
                <w:iCs/>
              </w:rPr>
              <w:t>237.61</w:t>
            </w:r>
          </w:p>
        </w:tc>
        <w:tc>
          <w:tcPr>
            <w:tcW w:w="678" w:type="pct"/>
            <w:vAlign w:val="center"/>
          </w:tcPr>
          <w:p w:rsidR="007110AB" w:rsidRPr="007A70FB" w:rsidRDefault="007110AB" w:rsidP="000345C6">
            <w:pPr>
              <w:pStyle w:val="Tabletext"/>
              <w:keepNext/>
              <w:keepLines/>
              <w:ind w:left="-66"/>
              <w:jc w:val="center"/>
              <w:rPr>
                <w:i/>
                <w:iCs/>
              </w:rPr>
            </w:pPr>
            <w:r w:rsidRPr="007A70FB">
              <w:rPr>
                <w:i/>
                <w:iCs/>
              </w:rPr>
              <w:t>750 mg QD</w:t>
            </w:r>
          </w:p>
        </w:tc>
      </w:tr>
    </w:tbl>
    <w:p w:rsidR="007110AB" w:rsidRPr="007A70FB" w:rsidRDefault="007110AB" w:rsidP="000345C6">
      <w:pPr>
        <w:pStyle w:val="TableFooter"/>
        <w:keepNext/>
        <w:keepLines/>
        <w:widowControl/>
      </w:pPr>
      <w:r w:rsidRPr="007A70FB">
        <w:t>Source: Att4_Section 3_lorlatinib.xlsx and Table 3.4.1 p212 of the submission.</w:t>
      </w:r>
    </w:p>
    <w:p w:rsidR="003E5869" w:rsidRPr="007A70FB" w:rsidRDefault="003E5869" w:rsidP="000345C6">
      <w:pPr>
        <w:pStyle w:val="TableFooter"/>
        <w:keepNext/>
        <w:keepLines/>
        <w:widowControl/>
      </w:pPr>
      <w:r w:rsidRPr="007A70FB">
        <w:t xml:space="preserve">Abbreviations: AEMP = Approved ex-manufacturer price; BID = Twice Daily; DPMQ = Dispensed price for maximum quantity; </w:t>
      </w:r>
      <w:r w:rsidR="00E746FD" w:rsidRPr="007A70FB">
        <w:t xml:space="preserve">NR = not reported; </w:t>
      </w:r>
      <w:r w:rsidRPr="007A70FB">
        <w:t xml:space="preserve">QD = </w:t>
      </w:r>
      <w:r w:rsidR="00E07E82" w:rsidRPr="007A70FB">
        <w:t>once daily</w:t>
      </w:r>
      <w:r w:rsidRPr="007A70FB">
        <w:t xml:space="preserve">; Qty = Quantity. </w:t>
      </w:r>
    </w:p>
    <w:p w:rsidR="00C95284" w:rsidRPr="007A70FB" w:rsidRDefault="009064DF" w:rsidP="000345C6">
      <w:pPr>
        <w:pStyle w:val="TableFooter"/>
        <w:keepNext/>
        <w:keepLines/>
        <w:widowControl/>
        <w:rPr>
          <w:iCs/>
        </w:rPr>
      </w:pPr>
      <w:r w:rsidRPr="007A70FB">
        <w:rPr>
          <w:iCs/>
        </w:rPr>
        <w:t xml:space="preserve">Notes: </w:t>
      </w:r>
      <w:r w:rsidR="00152724" w:rsidRPr="007A70FB">
        <w:rPr>
          <w:iCs/>
        </w:rPr>
        <w:t xml:space="preserve">Figures in italics were extracted during evaluation. </w:t>
      </w:r>
    </w:p>
    <w:p w:rsidR="007110AB" w:rsidRPr="007A70FB" w:rsidRDefault="007110AB" w:rsidP="0014708B">
      <w:pPr>
        <w:pStyle w:val="TableFooter"/>
        <w:keepNext/>
        <w:keepLines/>
        <w:widowControl/>
        <w:rPr>
          <w:iCs/>
        </w:rPr>
      </w:pPr>
      <w:r w:rsidRPr="007A70FB">
        <w:rPr>
          <w:iCs/>
          <w:vertAlign w:val="superscript"/>
        </w:rPr>
        <w:t>a</w:t>
      </w:r>
      <w:r w:rsidRPr="007A70FB">
        <w:rPr>
          <w:iCs/>
        </w:rPr>
        <w:t xml:space="preserve"> DPMQ divided by days of treatment per pack. </w:t>
      </w:r>
    </w:p>
    <w:p w:rsidR="007110AB" w:rsidRPr="007A70FB" w:rsidRDefault="007110AB" w:rsidP="0014708B">
      <w:pPr>
        <w:pStyle w:val="TableFooter"/>
        <w:keepNext/>
        <w:keepLines/>
        <w:widowControl/>
        <w:rPr>
          <w:iCs/>
        </w:rPr>
      </w:pPr>
      <w:r w:rsidRPr="007A70FB">
        <w:rPr>
          <w:iCs/>
          <w:vertAlign w:val="superscript"/>
        </w:rPr>
        <w:t>b</w:t>
      </w:r>
      <w:r w:rsidRPr="007A70FB">
        <w:rPr>
          <w:iCs/>
        </w:rPr>
        <w:t xml:space="preserve"> AEMP divided by days of treatment per pack.</w:t>
      </w:r>
    </w:p>
    <w:p w:rsidR="007110AB" w:rsidRPr="007A70FB" w:rsidRDefault="007110AB" w:rsidP="000345C6">
      <w:pPr>
        <w:pStyle w:val="TableFooter"/>
        <w:keepNext/>
        <w:keepLines/>
        <w:widowControl/>
        <w:rPr>
          <w:iCs/>
        </w:rPr>
      </w:pPr>
      <w:r w:rsidRPr="007A70FB">
        <w:rPr>
          <w:iCs/>
          <w:vertAlign w:val="superscript"/>
        </w:rPr>
        <w:t>c</w:t>
      </w:r>
      <w:r w:rsidRPr="007A70FB">
        <w:rPr>
          <w:iCs/>
        </w:rPr>
        <w:t xml:space="preserve"> Price difference between lorlatinib and alectinib for daily cost of treatment is </w:t>
      </w:r>
      <w:r w:rsidR="00FF4479">
        <w:rPr>
          <w:iCs/>
          <w:noProof/>
          <w:color w:val="000000"/>
          <w:highlight w:val="black"/>
        </w:rPr>
        <w:t>''''''</w:t>
      </w:r>
      <w:r w:rsidRPr="00FF0E06">
        <w:rPr>
          <w:iCs/>
        </w:rPr>
        <w:t xml:space="preserve"> cents</w:t>
      </w:r>
      <w:r w:rsidRPr="007A70FB">
        <w:rPr>
          <w:iCs/>
        </w:rPr>
        <w:t>. Over 30 days the difference in cost is $</w:t>
      </w:r>
      <w:r w:rsidR="00FF4479">
        <w:rPr>
          <w:iCs/>
          <w:noProof/>
          <w:color w:val="000000"/>
          <w:highlight w:val="black"/>
        </w:rPr>
        <w:t>'''''''''''''</w:t>
      </w:r>
      <w:r w:rsidRPr="007A70FB">
        <w:rPr>
          <w:iCs/>
        </w:rPr>
        <w:t xml:space="preserve">. </w:t>
      </w:r>
    </w:p>
    <w:p w:rsidR="007110AB" w:rsidRPr="007A70FB" w:rsidRDefault="007110AB" w:rsidP="000345C6">
      <w:pPr>
        <w:pStyle w:val="TableFooter"/>
        <w:keepNext/>
        <w:keepLines/>
        <w:widowControl/>
        <w:rPr>
          <w:iCs/>
        </w:rPr>
      </w:pPr>
      <w:r w:rsidRPr="007A70FB">
        <w:rPr>
          <w:iCs/>
          <w:vertAlign w:val="superscript"/>
        </w:rPr>
        <w:t>d</w:t>
      </w:r>
      <w:r w:rsidRPr="007A70FB">
        <w:rPr>
          <w:iCs/>
        </w:rPr>
        <w:t xml:space="preserve"> Assumed dose reduction due to AE.</w:t>
      </w:r>
    </w:p>
    <w:p w:rsidR="00E97220" w:rsidRPr="007A70FB" w:rsidRDefault="00E97CDD" w:rsidP="001C5443">
      <w:pPr>
        <w:pStyle w:val="ListParagraph"/>
        <w:widowControl/>
        <w:numPr>
          <w:ilvl w:val="1"/>
          <w:numId w:val="1"/>
        </w:numPr>
        <w:spacing w:before="120" w:after="120"/>
        <w:rPr>
          <w:iCs/>
        </w:rPr>
      </w:pPr>
      <w:r w:rsidRPr="007A70FB">
        <w:t>Based on the proposed published AEMP, t</w:t>
      </w:r>
      <w:r w:rsidR="007110AB" w:rsidRPr="007A70FB">
        <w:t>he estimated cost per day of lorlatinib 100 mg QD is $</w:t>
      </w:r>
      <w:r w:rsidR="00FF4479">
        <w:rPr>
          <w:noProof/>
          <w:color w:val="000000"/>
          <w:highlight w:val="black"/>
        </w:rPr>
        <w:t>''''''''</w:t>
      </w:r>
      <w:r w:rsidR="007110AB" w:rsidRPr="007A70FB">
        <w:t xml:space="preserve"> higher than the cost per day of alectinib 600 mg BID and ceritinib at 750 mg QD, with the difference in price over 30 days of supply being $</w:t>
      </w:r>
      <w:r w:rsidR="00FF4479">
        <w:rPr>
          <w:noProof/>
          <w:color w:val="000000"/>
          <w:highlight w:val="black"/>
        </w:rPr>
        <w:t>'''''''''</w:t>
      </w:r>
      <w:r w:rsidR="007110AB" w:rsidRPr="007A70FB">
        <w:t xml:space="preserve">. </w:t>
      </w:r>
      <w:r w:rsidR="007110AB" w:rsidRPr="007A70FB">
        <w:rPr>
          <w:iCs/>
        </w:rPr>
        <w:t xml:space="preserve">The cost per day of the ceritinib dose of 450 mg QD is </w:t>
      </w:r>
      <w:r w:rsidR="00503F3D" w:rsidRPr="007A70FB">
        <w:rPr>
          <w:iCs/>
        </w:rPr>
        <w:t xml:space="preserve">considerably </w:t>
      </w:r>
      <w:r w:rsidR="007110AB" w:rsidRPr="007A70FB">
        <w:rPr>
          <w:iCs/>
        </w:rPr>
        <w:t>lower than lorlatinib 100 mg QD, where the daily difference in price was $</w:t>
      </w:r>
      <w:r w:rsidR="00FF4479">
        <w:rPr>
          <w:iCs/>
          <w:noProof/>
          <w:color w:val="000000"/>
          <w:highlight w:val="black"/>
        </w:rPr>
        <w:t>'''''''''''</w:t>
      </w:r>
      <w:r w:rsidR="007110AB" w:rsidRPr="007A70FB">
        <w:rPr>
          <w:iCs/>
        </w:rPr>
        <w:t xml:space="preserve"> per day, and over 30 days was $</w:t>
      </w:r>
      <w:r w:rsidR="00FF4479">
        <w:rPr>
          <w:iCs/>
          <w:noProof/>
          <w:color w:val="000000"/>
          <w:highlight w:val="black"/>
        </w:rPr>
        <w:t>''''''''''''''''</w:t>
      </w:r>
      <w:r w:rsidR="007110AB" w:rsidRPr="007A70FB">
        <w:rPr>
          <w:iCs/>
        </w:rPr>
        <w:t xml:space="preserve">. </w:t>
      </w:r>
      <w:r w:rsidR="00DE30D6" w:rsidRPr="007A70FB">
        <w:t>The</w:t>
      </w:r>
      <w:r w:rsidR="0007184B" w:rsidRPr="007A70FB">
        <w:t xml:space="preserve"> ESC noted</w:t>
      </w:r>
      <w:r w:rsidR="007110AB" w:rsidRPr="007A70FB">
        <w:rPr>
          <w:iCs/>
        </w:rPr>
        <w:t xml:space="preserve"> that a similar difference is observed between the cost per day for alectinib 600 mg and ceritinib 450 mg.</w:t>
      </w:r>
      <w:r w:rsidR="001E183A" w:rsidRPr="007A70FB">
        <w:rPr>
          <w:iCs/>
        </w:rPr>
        <w:t xml:space="preserve"> </w:t>
      </w:r>
    </w:p>
    <w:p w:rsidR="007110AB" w:rsidRPr="007A70FB" w:rsidRDefault="007110AB" w:rsidP="00FE0FA7">
      <w:pPr>
        <w:pStyle w:val="ListParagraph"/>
        <w:widowControl/>
        <w:numPr>
          <w:ilvl w:val="1"/>
          <w:numId w:val="1"/>
        </w:numPr>
        <w:spacing w:before="120" w:after="120"/>
        <w:rPr>
          <w:iCs/>
        </w:rPr>
      </w:pPr>
      <w:r w:rsidRPr="007A70FB">
        <w:rPr>
          <w:iCs/>
        </w:rPr>
        <w:t xml:space="preserve">The cost-minimisation analysis has not included costs of AEs and treatment monitoring as per draft PI for lorlatinib, and PI for alectinib and ceritinib. </w:t>
      </w:r>
      <w:r w:rsidR="00191538" w:rsidRPr="007A70FB">
        <w:t xml:space="preserve">The </w:t>
      </w:r>
      <w:r w:rsidR="00191538" w:rsidRPr="007A70FB">
        <w:lastRenderedPageBreak/>
        <w:t xml:space="preserve">evaluation had stated that </w:t>
      </w:r>
      <w:r w:rsidR="00191538" w:rsidRPr="007A70FB">
        <w:rPr>
          <w:iCs/>
        </w:rPr>
        <w:t>it was</w:t>
      </w:r>
      <w:r w:rsidRPr="007A70FB">
        <w:rPr>
          <w:iCs/>
        </w:rPr>
        <w:t xml:space="preserve"> possible that the analysis is biased in favour of lorlatinib as additional costs may be incurred due to </w:t>
      </w:r>
      <w:r w:rsidR="00405871" w:rsidRPr="007A70FB">
        <w:rPr>
          <w:iCs/>
        </w:rPr>
        <w:t xml:space="preserve">the </w:t>
      </w:r>
      <w:r w:rsidRPr="007A70FB">
        <w:rPr>
          <w:iCs/>
        </w:rPr>
        <w:t xml:space="preserve">AE </w:t>
      </w:r>
      <w:r w:rsidR="00405871" w:rsidRPr="007A70FB">
        <w:rPr>
          <w:iCs/>
        </w:rPr>
        <w:t xml:space="preserve">of </w:t>
      </w:r>
      <w:r w:rsidRPr="007A70FB">
        <w:rPr>
          <w:iCs/>
        </w:rPr>
        <w:t xml:space="preserve">hyperlipidaemia (approximately 80% of patients treated with lorlatinib in Study 1001 received treatment for hyperlipidaemia), which would include prescription, monitoring and treatment costs, and due to </w:t>
      </w:r>
      <w:r w:rsidR="00405871" w:rsidRPr="007A70FB">
        <w:rPr>
          <w:iCs/>
        </w:rPr>
        <w:t xml:space="preserve">the </w:t>
      </w:r>
      <w:r w:rsidRPr="007A70FB">
        <w:rPr>
          <w:iCs/>
        </w:rPr>
        <w:t xml:space="preserve">AE </w:t>
      </w:r>
      <w:r w:rsidR="00405871" w:rsidRPr="007A70FB">
        <w:rPr>
          <w:iCs/>
        </w:rPr>
        <w:t xml:space="preserve">of </w:t>
      </w:r>
      <w:r w:rsidRPr="007A70FB">
        <w:rPr>
          <w:iCs/>
        </w:rPr>
        <w:t>AV block where ECG monitoring is recommended.</w:t>
      </w:r>
      <w:r w:rsidR="001C6313" w:rsidRPr="007A70FB">
        <w:rPr>
          <w:iCs/>
        </w:rPr>
        <w:t xml:space="preserve"> </w:t>
      </w:r>
      <w:r w:rsidR="00EB2335" w:rsidRPr="007A70FB">
        <w:rPr>
          <w:rFonts w:asciiTheme="minorHAnsi" w:hAnsiTheme="minorHAnsi" w:cstheme="minorHAnsi"/>
          <w:iCs/>
        </w:rPr>
        <w:t xml:space="preserve">The PSCR argued that no additional costs or cost offsets were considered with </w:t>
      </w:r>
      <w:r w:rsidR="00DE30D6" w:rsidRPr="007A70FB">
        <w:rPr>
          <w:rFonts w:asciiTheme="minorHAnsi" w:hAnsiTheme="minorHAnsi" w:cstheme="minorHAnsi"/>
          <w:iCs/>
        </w:rPr>
        <w:t>respect</w:t>
      </w:r>
      <w:r w:rsidR="00EB2335" w:rsidRPr="007A70FB">
        <w:rPr>
          <w:rFonts w:asciiTheme="minorHAnsi" w:hAnsiTheme="minorHAnsi" w:cstheme="minorHAnsi"/>
          <w:iCs/>
        </w:rPr>
        <w:t xml:space="preserve"> to safety </w:t>
      </w:r>
      <w:r w:rsidR="00E97CDD" w:rsidRPr="007A70FB">
        <w:rPr>
          <w:rFonts w:asciiTheme="minorHAnsi" w:hAnsiTheme="minorHAnsi" w:cstheme="minorHAnsi"/>
          <w:iCs/>
        </w:rPr>
        <w:t xml:space="preserve">as </w:t>
      </w:r>
      <w:r w:rsidR="00192491" w:rsidRPr="007A70FB">
        <w:rPr>
          <w:rFonts w:asciiTheme="minorHAnsi" w:hAnsiTheme="minorHAnsi" w:cstheme="minorHAnsi"/>
          <w:iCs/>
        </w:rPr>
        <w:t>they</w:t>
      </w:r>
      <w:r w:rsidR="00EB2335" w:rsidRPr="007A70FB">
        <w:rPr>
          <w:rFonts w:asciiTheme="minorHAnsi" w:hAnsiTheme="minorHAnsi" w:cstheme="minorHAnsi"/>
          <w:iCs/>
        </w:rPr>
        <w:t xml:space="preserve"> were likely to </w:t>
      </w:r>
      <w:r w:rsidR="00EC3B1C" w:rsidRPr="007A70FB">
        <w:rPr>
          <w:rFonts w:asciiTheme="minorHAnsi" w:hAnsiTheme="minorHAnsi" w:cstheme="minorHAnsi"/>
          <w:iCs/>
        </w:rPr>
        <w:t xml:space="preserve">be </w:t>
      </w:r>
      <w:r w:rsidR="00EB2335" w:rsidRPr="007A70FB">
        <w:rPr>
          <w:rFonts w:asciiTheme="minorHAnsi" w:hAnsiTheme="minorHAnsi" w:cstheme="minorHAnsi"/>
          <w:iCs/>
        </w:rPr>
        <w:t>balance</w:t>
      </w:r>
      <w:r w:rsidR="00EC3B1C" w:rsidRPr="007A70FB">
        <w:rPr>
          <w:rFonts w:asciiTheme="minorHAnsi" w:hAnsiTheme="minorHAnsi" w:cstheme="minorHAnsi"/>
          <w:iCs/>
        </w:rPr>
        <w:t>d</w:t>
      </w:r>
      <w:r w:rsidR="00EB2335" w:rsidRPr="007A70FB">
        <w:rPr>
          <w:rFonts w:asciiTheme="minorHAnsi" w:hAnsiTheme="minorHAnsi" w:cstheme="minorHAnsi"/>
          <w:iCs/>
        </w:rPr>
        <w:t xml:space="preserve"> between treatments</w:t>
      </w:r>
      <w:r w:rsidR="00192491" w:rsidRPr="007A70FB">
        <w:rPr>
          <w:rFonts w:asciiTheme="minorHAnsi" w:hAnsiTheme="minorHAnsi" w:cstheme="minorHAnsi"/>
          <w:iCs/>
        </w:rPr>
        <w:t xml:space="preserve">, </w:t>
      </w:r>
      <w:r w:rsidR="00EC3B1C" w:rsidRPr="007A70FB">
        <w:rPr>
          <w:rFonts w:asciiTheme="minorHAnsi" w:hAnsiTheme="minorHAnsi" w:cstheme="minorHAnsi"/>
          <w:iCs/>
        </w:rPr>
        <w:t>in line with the claim of non</w:t>
      </w:r>
      <w:r w:rsidR="00587DBC" w:rsidRPr="007A70FB">
        <w:rPr>
          <w:rFonts w:asciiTheme="minorHAnsi" w:hAnsiTheme="minorHAnsi" w:cstheme="minorHAnsi"/>
          <w:iCs/>
        </w:rPr>
        <w:t>-</w:t>
      </w:r>
      <w:r w:rsidR="00EC3B1C" w:rsidRPr="007A70FB">
        <w:rPr>
          <w:rFonts w:asciiTheme="minorHAnsi" w:hAnsiTheme="minorHAnsi" w:cstheme="minorHAnsi"/>
          <w:iCs/>
        </w:rPr>
        <w:t>inferior safety</w:t>
      </w:r>
      <w:r w:rsidR="00EB2335" w:rsidRPr="007A70FB">
        <w:rPr>
          <w:rFonts w:asciiTheme="minorHAnsi" w:hAnsiTheme="minorHAnsi" w:cstheme="minorHAnsi"/>
          <w:iCs/>
        </w:rPr>
        <w:t xml:space="preserve">. </w:t>
      </w:r>
      <w:r w:rsidR="00D77B99" w:rsidRPr="007A70FB">
        <w:rPr>
          <w:rFonts w:asciiTheme="minorHAnsi" w:hAnsiTheme="minorHAnsi" w:cstheme="minorHAnsi"/>
          <w:iCs/>
        </w:rPr>
        <w:t xml:space="preserve">The ESC </w:t>
      </w:r>
      <w:r w:rsidR="00EC3B1C" w:rsidRPr="007A70FB">
        <w:rPr>
          <w:rFonts w:asciiTheme="minorHAnsi" w:hAnsiTheme="minorHAnsi" w:cstheme="minorHAnsi"/>
          <w:iCs/>
        </w:rPr>
        <w:t>agreed, noting that the</w:t>
      </w:r>
      <w:r w:rsidR="00192491" w:rsidRPr="007A70FB">
        <w:rPr>
          <w:rFonts w:asciiTheme="minorHAnsi" w:hAnsiTheme="minorHAnsi" w:cstheme="minorHAnsi"/>
          <w:iCs/>
        </w:rPr>
        <w:t xml:space="preserve"> cost of managing</w:t>
      </w:r>
      <w:r w:rsidR="00EB2335" w:rsidRPr="007A70FB">
        <w:rPr>
          <w:iCs/>
        </w:rPr>
        <w:t xml:space="preserve"> </w:t>
      </w:r>
      <w:r w:rsidR="00EC3B1C" w:rsidRPr="007A70FB">
        <w:rPr>
          <w:iCs/>
        </w:rPr>
        <w:t xml:space="preserve">hyperlipidaemia </w:t>
      </w:r>
      <w:r w:rsidR="00EB2335" w:rsidRPr="007A70FB">
        <w:rPr>
          <w:iCs/>
        </w:rPr>
        <w:t xml:space="preserve">would likely be minimal due to poor prognosis of </w:t>
      </w:r>
      <w:r w:rsidR="00EF7D8C" w:rsidRPr="007A70FB">
        <w:rPr>
          <w:iCs/>
        </w:rPr>
        <w:t>late stage NSCLC</w:t>
      </w:r>
      <w:r w:rsidR="00EB2335" w:rsidRPr="007A70FB">
        <w:rPr>
          <w:iCs/>
        </w:rPr>
        <w:t>.</w:t>
      </w:r>
    </w:p>
    <w:p w:rsidR="007110AB" w:rsidRPr="007A70FB" w:rsidRDefault="007110AB" w:rsidP="000345C6">
      <w:pPr>
        <w:pStyle w:val="Heading2"/>
        <w:widowControl/>
        <w:spacing w:before="120" w:after="120"/>
      </w:pPr>
      <w:bookmarkStart w:id="43" w:name="_Toc371170711"/>
      <w:bookmarkStart w:id="44" w:name="_Toc19707668"/>
      <w:r w:rsidRPr="007A70FB">
        <w:t>Drug cost/patient/cours</w:t>
      </w:r>
      <w:bookmarkEnd w:id="43"/>
      <w:r w:rsidRPr="007A70FB">
        <w:t>e:</w:t>
      </w:r>
      <w:bookmarkEnd w:id="44"/>
      <w:r w:rsidRPr="007A70FB">
        <w:t xml:space="preserve"> </w:t>
      </w:r>
    </w:p>
    <w:p w:rsidR="006A306A" w:rsidRPr="007A70FB" w:rsidRDefault="007110AB" w:rsidP="00DC2FFD">
      <w:pPr>
        <w:pStyle w:val="ListParagraph"/>
        <w:widowControl/>
        <w:numPr>
          <w:ilvl w:val="1"/>
          <w:numId w:val="1"/>
        </w:numPr>
        <w:spacing w:before="120" w:after="120"/>
        <w:rPr>
          <w:color w:val="000000" w:themeColor="text1"/>
        </w:rPr>
      </w:pPr>
      <w:r w:rsidRPr="007A70FB">
        <w:t>The cost/patient/course for a patient treated with lorlatinib was estimated to be $</w:t>
      </w:r>
      <w:r w:rsidR="00FF4479">
        <w:rPr>
          <w:noProof/>
          <w:color w:val="000000"/>
          <w:highlight w:val="black"/>
        </w:rPr>
        <w:t>''''''''''''''</w:t>
      </w:r>
      <w:r w:rsidRPr="007A70FB">
        <w:t xml:space="preserve">. </w:t>
      </w:r>
      <w:r w:rsidRPr="007A70FB">
        <w:rPr>
          <w:color w:val="000000" w:themeColor="text1"/>
        </w:rPr>
        <w:t xml:space="preserve">This was calculated using the proposed published </w:t>
      </w:r>
      <w:r w:rsidR="00DC2FFD">
        <w:rPr>
          <w:color w:val="000000" w:themeColor="text1"/>
        </w:rPr>
        <w:t>DPMQ</w:t>
      </w:r>
      <w:r w:rsidRPr="007A70FB">
        <w:rPr>
          <w:color w:val="000000" w:themeColor="text1"/>
        </w:rPr>
        <w:t xml:space="preserve"> of $</w:t>
      </w:r>
      <w:r w:rsidR="00FF4479">
        <w:rPr>
          <w:noProof/>
          <w:color w:val="000000"/>
          <w:highlight w:val="black"/>
        </w:rPr>
        <w:t>'''''''''''''''</w:t>
      </w:r>
      <w:r w:rsidRPr="007A70FB">
        <w:rPr>
          <w:color w:val="000000" w:themeColor="text1"/>
        </w:rPr>
        <w:t xml:space="preserve"> for 30 </w:t>
      </w:r>
      <w:r w:rsidR="00DE30D6" w:rsidRPr="007A70FB">
        <w:rPr>
          <w:color w:val="000000" w:themeColor="text1"/>
        </w:rPr>
        <w:t>days’</w:t>
      </w:r>
      <w:r w:rsidRPr="007A70FB">
        <w:rPr>
          <w:color w:val="000000" w:themeColor="text1"/>
        </w:rPr>
        <w:t xml:space="preserve"> supply, and assuming </w:t>
      </w:r>
      <w:r w:rsidR="00761D7E" w:rsidRPr="007A70FB">
        <w:rPr>
          <w:color w:val="000000" w:themeColor="text1"/>
        </w:rPr>
        <w:t xml:space="preserve">an </w:t>
      </w:r>
      <w:r w:rsidR="00A53216" w:rsidRPr="007A70FB">
        <w:rPr>
          <w:iCs/>
          <w:color w:val="000000" w:themeColor="text1"/>
        </w:rPr>
        <w:t xml:space="preserve">estimated </w:t>
      </w:r>
      <w:r w:rsidR="00761D7E" w:rsidRPr="007A70FB">
        <w:rPr>
          <w:color w:val="000000" w:themeColor="text1"/>
        </w:rPr>
        <w:t>average treatment duration</w:t>
      </w:r>
      <w:r w:rsidR="000339E1" w:rsidRPr="007A70FB">
        <w:rPr>
          <w:color w:val="000000" w:themeColor="text1"/>
        </w:rPr>
        <w:t xml:space="preserve"> of 8</w:t>
      </w:r>
      <w:r w:rsidR="000D257E" w:rsidRPr="007A70FB">
        <w:rPr>
          <w:color w:val="000000" w:themeColor="text1"/>
        </w:rPr>
        <w:t> </w:t>
      </w:r>
      <w:r w:rsidR="000339E1" w:rsidRPr="007A70FB">
        <w:rPr>
          <w:color w:val="000000" w:themeColor="text1"/>
        </w:rPr>
        <w:t>months</w:t>
      </w:r>
      <w:r w:rsidR="00761D7E" w:rsidRPr="007A70FB">
        <w:rPr>
          <w:color w:val="000000" w:themeColor="text1"/>
        </w:rPr>
        <w:t xml:space="preserve"> (the median PFS used as a proxy</w:t>
      </w:r>
      <w:r w:rsidR="00C24568" w:rsidRPr="007A70FB">
        <w:rPr>
          <w:color w:val="000000" w:themeColor="text1"/>
        </w:rPr>
        <w:t xml:space="preserve"> for treatment duration</w:t>
      </w:r>
      <w:r w:rsidR="00761D7E" w:rsidRPr="007A70FB">
        <w:rPr>
          <w:color w:val="000000" w:themeColor="text1"/>
        </w:rPr>
        <w:t xml:space="preserve">) </w:t>
      </w:r>
      <w:r w:rsidRPr="007A70FB">
        <w:rPr>
          <w:color w:val="000000" w:themeColor="text1"/>
        </w:rPr>
        <w:t xml:space="preserve">based on the </w:t>
      </w:r>
      <w:r w:rsidR="00FB7E6C" w:rsidRPr="007A70FB">
        <w:rPr>
          <w:color w:val="000000" w:themeColor="text1"/>
        </w:rPr>
        <w:t xml:space="preserve">cost-minimisation </w:t>
      </w:r>
      <w:r w:rsidR="00DE30D6" w:rsidRPr="007A70FB">
        <w:rPr>
          <w:color w:val="000000" w:themeColor="text1"/>
        </w:rPr>
        <w:t>analysis</w:t>
      </w:r>
      <w:r w:rsidR="00FB7E6C" w:rsidRPr="007A70FB">
        <w:rPr>
          <w:color w:val="000000" w:themeColor="text1"/>
        </w:rPr>
        <w:t xml:space="preserve"> in the submission</w:t>
      </w:r>
      <w:r w:rsidRPr="007A70FB">
        <w:rPr>
          <w:color w:val="000000" w:themeColor="text1"/>
        </w:rPr>
        <w:t xml:space="preserve">. </w:t>
      </w:r>
      <w:r w:rsidR="0009358D" w:rsidRPr="007A70FB">
        <w:rPr>
          <w:color w:val="000000" w:themeColor="text1"/>
        </w:rPr>
        <w:t xml:space="preserve">Applying the mean duration of treatment of </w:t>
      </w:r>
      <w:r w:rsidR="00FF4479">
        <w:rPr>
          <w:noProof/>
          <w:color w:val="000000"/>
          <w:highlight w:val="black"/>
        </w:rPr>
        <w:t>'''''''''''</w:t>
      </w:r>
      <w:r w:rsidR="0009358D" w:rsidRPr="007A70FB">
        <w:rPr>
          <w:color w:val="000000" w:themeColor="text1"/>
        </w:rPr>
        <w:t xml:space="preserve"> months in Study 1001</w:t>
      </w:r>
      <w:r w:rsidR="00E97CDD" w:rsidRPr="007A70FB">
        <w:rPr>
          <w:color w:val="000000" w:themeColor="text1"/>
        </w:rPr>
        <w:t>, which included</w:t>
      </w:r>
      <w:r w:rsidR="0009358D" w:rsidRPr="007A70FB">
        <w:rPr>
          <w:color w:val="000000" w:themeColor="text1"/>
        </w:rPr>
        <w:t xml:space="preserve"> treatment beyond progression, the cost/patient/course was estimated to be $</w:t>
      </w:r>
      <w:r w:rsidR="00FF4479">
        <w:rPr>
          <w:noProof/>
          <w:color w:val="000000"/>
          <w:highlight w:val="black"/>
        </w:rPr>
        <w:t>''''''''''''''</w:t>
      </w:r>
      <w:r w:rsidR="0009358D" w:rsidRPr="007A70FB">
        <w:rPr>
          <w:color w:val="000000" w:themeColor="text1"/>
        </w:rPr>
        <w:t xml:space="preserve">. </w:t>
      </w:r>
      <w:r w:rsidRPr="007A70FB">
        <w:rPr>
          <w:color w:val="000000" w:themeColor="text1"/>
        </w:rPr>
        <w:t xml:space="preserve">These estimates assume a </w:t>
      </w:r>
      <w:r w:rsidR="007129C9" w:rsidRPr="007A70FB">
        <w:rPr>
          <w:color w:val="000000" w:themeColor="text1"/>
        </w:rPr>
        <w:t xml:space="preserve">relative </w:t>
      </w:r>
      <w:r w:rsidRPr="007A70FB">
        <w:rPr>
          <w:color w:val="000000" w:themeColor="text1"/>
        </w:rPr>
        <w:t xml:space="preserve">dose intensity of 100%. </w:t>
      </w:r>
    </w:p>
    <w:p w:rsidR="000D39BC" w:rsidRPr="007A70FB" w:rsidRDefault="000D39BC" w:rsidP="00E97CDD">
      <w:pPr>
        <w:pStyle w:val="ListParagraph"/>
        <w:widowControl/>
        <w:numPr>
          <w:ilvl w:val="1"/>
          <w:numId w:val="1"/>
        </w:numPr>
        <w:spacing w:before="120" w:after="120"/>
      </w:pPr>
      <w:r w:rsidRPr="007A70FB">
        <w:t>A summary of the drug cost per patient of lorlatinib</w:t>
      </w:r>
      <w:r w:rsidR="002E0502" w:rsidRPr="007A70FB">
        <w:t xml:space="preserve"> based on published prices</w:t>
      </w:r>
      <w:r w:rsidRPr="007A70FB">
        <w:t xml:space="preserve"> is </w:t>
      </w:r>
      <w:r w:rsidRPr="007A70FB">
        <w:rPr>
          <w:rFonts w:asciiTheme="minorHAnsi" w:hAnsiTheme="minorHAnsi"/>
          <w:szCs w:val="24"/>
        </w:rPr>
        <w:t xml:space="preserve">provided in </w:t>
      </w:r>
      <w:r w:rsidR="00B0287F" w:rsidRPr="007A70FB">
        <w:rPr>
          <w:rFonts w:asciiTheme="minorHAnsi" w:hAnsiTheme="minorHAnsi"/>
          <w:bCs/>
          <w:szCs w:val="24"/>
        </w:rPr>
        <w:t>Table 11</w:t>
      </w:r>
      <w:r w:rsidR="0012589F" w:rsidRPr="007A70FB">
        <w:rPr>
          <w:rFonts w:asciiTheme="minorHAnsi" w:hAnsiTheme="minorHAnsi"/>
          <w:szCs w:val="24"/>
        </w:rPr>
        <w:t>.</w:t>
      </w:r>
      <w:r w:rsidR="0012589F" w:rsidRPr="007A70FB">
        <w:t xml:space="preserve"> </w:t>
      </w:r>
    </w:p>
    <w:p w:rsidR="008E20D3" w:rsidRPr="007A70FB" w:rsidRDefault="000D39BC" w:rsidP="00905963">
      <w:pPr>
        <w:pStyle w:val="Caption"/>
        <w:keepNext/>
        <w:keepLines/>
        <w:widowControl/>
        <w:spacing w:after="0"/>
        <w:rPr>
          <w:rStyle w:val="CommentReference"/>
        </w:rPr>
      </w:pPr>
      <w:bookmarkStart w:id="45" w:name="_Ref6926786"/>
      <w:bookmarkStart w:id="46" w:name="_Ref20497359"/>
      <w:bookmarkStart w:id="47" w:name="_Toc371170712"/>
      <w:r w:rsidRPr="007A70FB">
        <w:rPr>
          <w:bCs w:val="0"/>
        </w:rPr>
        <w:t xml:space="preserve">Table </w:t>
      </w:r>
      <w:bookmarkEnd w:id="45"/>
      <w:r w:rsidR="008267CB" w:rsidRPr="007A70FB">
        <w:rPr>
          <w:bCs w:val="0"/>
        </w:rPr>
        <w:t>11</w:t>
      </w:r>
      <w:bookmarkEnd w:id="46"/>
      <w:r w:rsidRPr="007A70FB">
        <w:rPr>
          <w:rStyle w:val="CommentReference"/>
          <w:b/>
        </w:rPr>
        <w:t xml:space="preserve">: Drug cost per patient for </w:t>
      </w:r>
      <w:r w:rsidR="00D544C5" w:rsidRPr="007A70FB">
        <w:rPr>
          <w:rStyle w:val="CommentReference"/>
          <w:b/>
        </w:rPr>
        <w:t>lorlatinib</w:t>
      </w:r>
      <w:bookmarkStart w:id="48" w:name="_Hlk18957133"/>
      <w:r w:rsidR="00B934DA" w:rsidRPr="007A70FB">
        <w:rPr>
          <w:rStyle w:val="CommentReference"/>
          <w:b/>
        </w:rPr>
        <w:t xml:space="preserve"> and alectinib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2: Drug cost per patient for lorlatinib and alectinib"/>
      </w:tblPr>
      <w:tblGrid>
        <w:gridCol w:w="1261"/>
        <w:gridCol w:w="1291"/>
        <w:gridCol w:w="1293"/>
        <w:gridCol w:w="1293"/>
        <w:gridCol w:w="1378"/>
        <w:gridCol w:w="1208"/>
        <w:gridCol w:w="1293"/>
      </w:tblGrid>
      <w:tr w:rsidR="00CC4722" w:rsidRPr="007A70FB" w:rsidTr="004B1853">
        <w:trPr>
          <w:jc w:val="center"/>
        </w:trPr>
        <w:tc>
          <w:tcPr>
            <w:tcW w:w="699" w:type="pct"/>
            <w:vMerge w:val="restart"/>
            <w:tcBorders>
              <w:top w:val="single" w:sz="4" w:space="0" w:color="auto"/>
              <w:left w:val="single" w:sz="4" w:space="0" w:color="auto"/>
              <w:right w:val="single" w:sz="4" w:space="0" w:color="auto"/>
            </w:tcBorders>
            <w:vAlign w:val="center"/>
          </w:tcPr>
          <w:p w:rsidR="00CC4722" w:rsidRPr="007A70FB" w:rsidRDefault="00CC4722" w:rsidP="00905963">
            <w:pPr>
              <w:keepNext/>
              <w:keepLines/>
              <w:widowControl/>
              <w:jc w:val="left"/>
              <w:rPr>
                <w:szCs w:val="20"/>
              </w:rPr>
            </w:pPr>
          </w:p>
        </w:tc>
        <w:tc>
          <w:tcPr>
            <w:tcW w:w="2150" w:type="pct"/>
            <w:gridSpan w:val="3"/>
            <w:tcBorders>
              <w:top w:val="single" w:sz="4" w:space="0" w:color="auto"/>
              <w:left w:val="single" w:sz="4" w:space="0" w:color="auto"/>
              <w:bottom w:val="single" w:sz="4" w:space="0" w:color="auto"/>
              <w:right w:val="single" w:sz="4" w:space="0" w:color="auto"/>
            </w:tcBorders>
            <w:vAlign w:val="center"/>
          </w:tcPr>
          <w:p w:rsidR="00CC4722" w:rsidRPr="007A70FB" w:rsidRDefault="00CC4722" w:rsidP="00905963">
            <w:pPr>
              <w:keepNext/>
              <w:keepLines/>
              <w:widowControl/>
              <w:jc w:val="center"/>
              <w:rPr>
                <w:rFonts w:ascii="Arial Narrow" w:hAnsi="Arial Narrow"/>
                <w:b/>
                <w:sz w:val="20"/>
              </w:rPr>
            </w:pPr>
            <w:r w:rsidRPr="007A70FB">
              <w:rPr>
                <w:rFonts w:ascii="Arial Narrow" w:hAnsi="Arial Narrow"/>
                <w:b/>
                <w:sz w:val="20"/>
              </w:rPr>
              <w:t>Lorlatinib</w:t>
            </w:r>
          </w:p>
        </w:tc>
        <w:tc>
          <w:tcPr>
            <w:tcW w:w="215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722" w:rsidRPr="007A70FB" w:rsidRDefault="00CC4722" w:rsidP="00905963">
            <w:pPr>
              <w:keepNext/>
              <w:keepLines/>
              <w:widowControl/>
              <w:jc w:val="center"/>
              <w:rPr>
                <w:rFonts w:ascii="Arial Narrow" w:hAnsi="Arial Narrow"/>
                <w:b/>
                <w:sz w:val="20"/>
              </w:rPr>
            </w:pPr>
            <w:r w:rsidRPr="007A70FB">
              <w:rPr>
                <w:rFonts w:ascii="Arial Narrow" w:hAnsi="Arial Narrow"/>
                <w:b/>
                <w:sz w:val="20"/>
              </w:rPr>
              <w:t>Alectinib</w:t>
            </w:r>
          </w:p>
        </w:tc>
      </w:tr>
      <w:tr w:rsidR="00CC4722" w:rsidRPr="007A70FB" w:rsidTr="00A70006">
        <w:trPr>
          <w:jc w:val="center"/>
        </w:trPr>
        <w:tc>
          <w:tcPr>
            <w:tcW w:w="699" w:type="pct"/>
            <w:vMerge/>
            <w:tcBorders>
              <w:left w:val="single" w:sz="4" w:space="0" w:color="auto"/>
              <w:bottom w:val="single" w:sz="4" w:space="0" w:color="auto"/>
              <w:right w:val="single" w:sz="4" w:space="0" w:color="auto"/>
            </w:tcBorders>
            <w:vAlign w:val="center"/>
          </w:tcPr>
          <w:p w:rsidR="00CC4722" w:rsidRPr="007A70FB" w:rsidRDefault="00CC4722" w:rsidP="00905963">
            <w:pPr>
              <w:keepNext/>
              <w:keepLines/>
              <w:widowControl/>
              <w:jc w:val="left"/>
              <w:rPr>
                <w:szCs w:val="20"/>
              </w:rPr>
            </w:pPr>
          </w:p>
        </w:tc>
        <w:tc>
          <w:tcPr>
            <w:tcW w:w="716" w:type="pct"/>
            <w:tcBorders>
              <w:top w:val="single" w:sz="4" w:space="0" w:color="auto"/>
              <w:left w:val="single" w:sz="4" w:space="0" w:color="auto"/>
              <w:bottom w:val="single" w:sz="4" w:space="0" w:color="auto"/>
              <w:right w:val="single" w:sz="4" w:space="0" w:color="auto"/>
            </w:tcBorders>
            <w:vAlign w:val="center"/>
          </w:tcPr>
          <w:p w:rsidR="00CC4722" w:rsidRPr="007A70FB" w:rsidRDefault="00CC4722" w:rsidP="00905963">
            <w:pPr>
              <w:keepNext/>
              <w:keepLines/>
              <w:widowControl/>
              <w:jc w:val="center"/>
              <w:rPr>
                <w:rFonts w:ascii="Arial Narrow" w:hAnsi="Arial Narrow"/>
                <w:b/>
                <w:sz w:val="20"/>
              </w:rPr>
            </w:pPr>
            <w:r w:rsidRPr="007A70FB">
              <w:rPr>
                <w:rFonts w:ascii="Arial Narrow" w:hAnsi="Arial Narrow"/>
                <w:b/>
                <w:sz w:val="20"/>
              </w:rPr>
              <w:t>Trial dose and duration</w:t>
            </w:r>
          </w:p>
        </w:tc>
        <w:tc>
          <w:tcPr>
            <w:tcW w:w="717" w:type="pct"/>
            <w:tcBorders>
              <w:top w:val="single" w:sz="4" w:space="0" w:color="auto"/>
              <w:left w:val="single" w:sz="4" w:space="0" w:color="auto"/>
              <w:bottom w:val="single" w:sz="4" w:space="0" w:color="auto"/>
              <w:right w:val="single" w:sz="4" w:space="0" w:color="auto"/>
            </w:tcBorders>
            <w:vAlign w:val="center"/>
          </w:tcPr>
          <w:p w:rsidR="00CC4722" w:rsidRPr="007A70FB" w:rsidRDefault="003175D2" w:rsidP="00905963">
            <w:pPr>
              <w:keepNext/>
              <w:keepLines/>
              <w:widowControl/>
              <w:jc w:val="center"/>
              <w:rPr>
                <w:rFonts w:ascii="Arial Narrow" w:hAnsi="Arial Narrow"/>
                <w:b/>
                <w:sz w:val="20"/>
              </w:rPr>
            </w:pPr>
            <w:r w:rsidRPr="007A70FB">
              <w:rPr>
                <w:rFonts w:ascii="Arial Narrow" w:hAnsi="Arial Narrow"/>
                <w:b/>
                <w:sz w:val="20"/>
              </w:rPr>
              <w:t>CMA</w:t>
            </w:r>
          </w:p>
        </w:tc>
        <w:tc>
          <w:tcPr>
            <w:tcW w:w="717" w:type="pct"/>
            <w:tcBorders>
              <w:top w:val="single" w:sz="4" w:space="0" w:color="auto"/>
              <w:left w:val="single" w:sz="4" w:space="0" w:color="auto"/>
              <w:bottom w:val="single" w:sz="4" w:space="0" w:color="auto"/>
              <w:right w:val="single" w:sz="4" w:space="0" w:color="auto"/>
            </w:tcBorders>
            <w:vAlign w:val="center"/>
          </w:tcPr>
          <w:p w:rsidR="00CC4722" w:rsidRPr="007A70FB" w:rsidRDefault="00CC4722" w:rsidP="00905963">
            <w:pPr>
              <w:keepNext/>
              <w:keepLines/>
              <w:widowControl/>
              <w:jc w:val="center"/>
              <w:rPr>
                <w:rFonts w:ascii="Arial Narrow" w:hAnsi="Arial Narrow"/>
                <w:b/>
                <w:sz w:val="20"/>
              </w:rPr>
            </w:pPr>
            <w:r w:rsidRPr="007A70FB">
              <w:rPr>
                <w:rFonts w:ascii="Arial Narrow" w:hAnsi="Arial Narrow"/>
                <w:b/>
                <w:sz w:val="20"/>
              </w:rPr>
              <w:t>Financial estimates</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CC4722" w:rsidRPr="007A70FB" w:rsidRDefault="00CC4722" w:rsidP="00905963">
            <w:pPr>
              <w:keepNext/>
              <w:keepLines/>
              <w:widowControl/>
              <w:jc w:val="center"/>
              <w:rPr>
                <w:rFonts w:ascii="Arial Narrow" w:hAnsi="Arial Narrow"/>
                <w:b/>
                <w:sz w:val="20"/>
              </w:rPr>
            </w:pPr>
            <w:r w:rsidRPr="007A70FB">
              <w:rPr>
                <w:rFonts w:ascii="Arial Narrow" w:hAnsi="Arial Narrow"/>
                <w:b/>
                <w:sz w:val="20"/>
              </w:rPr>
              <w:t>Trial dose and duration</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CC4722" w:rsidRPr="007A70FB" w:rsidRDefault="003175D2" w:rsidP="00905963">
            <w:pPr>
              <w:keepNext/>
              <w:keepLines/>
              <w:widowControl/>
              <w:jc w:val="center"/>
              <w:rPr>
                <w:rFonts w:ascii="Arial Narrow" w:hAnsi="Arial Narrow"/>
                <w:b/>
                <w:sz w:val="20"/>
              </w:rPr>
            </w:pPr>
            <w:r w:rsidRPr="007A70FB">
              <w:rPr>
                <w:rFonts w:ascii="Arial Narrow" w:hAnsi="Arial Narrow"/>
                <w:b/>
                <w:sz w:val="20"/>
              </w:rPr>
              <w:t>CMA</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CC4722" w:rsidRPr="007A70FB" w:rsidRDefault="00CC4722" w:rsidP="00905963">
            <w:pPr>
              <w:keepNext/>
              <w:keepLines/>
              <w:widowControl/>
              <w:jc w:val="center"/>
              <w:rPr>
                <w:rFonts w:ascii="Arial Narrow" w:hAnsi="Arial Narrow"/>
                <w:b/>
                <w:sz w:val="20"/>
              </w:rPr>
            </w:pPr>
            <w:r w:rsidRPr="007A70FB">
              <w:rPr>
                <w:rFonts w:ascii="Arial Narrow" w:hAnsi="Arial Narrow"/>
                <w:b/>
                <w:sz w:val="20"/>
              </w:rPr>
              <w:t>Financial estimates</w:t>
            </w:r>
          </w:p>
        </w:tc>
      </w:tr>
      <w:tr w:rsidR="008E20D3" w:rsidRPr="007A70FB" w:rsidTr="00A70006">
        <w:trPr>
          <w:jc w:val="center"/>
        </w:trPr>
        <w:tc>
          <w:tcPr>
            <w:tcW w:w="699" w:type="pct"/>
            <w:tcBorders>
              <w:top w:val="single" w:sz="4" w:space="0" w:color="auto"/>
              <w:left w:val="single" w:sz="4" w:space="0" w:color="auto"/>
              <w:bottom w:val="single" w:sz="4" w:space="0" w:color="auto"/>
              <w:right w:val="single" w:sz="4" w:space="0" w:color="auto"/>
            </w:tcBorders>
            <w:vAlign w:val="center"/>
            <w:hideMark/>
          </w:tcPr>
          <w:p w:rsidR="008E20D3" w:rsidRPr="007A70FB" w:rsidRDefault="00C45DFE" w:rsidP="00905963">
            <w:pPr>
              <w:keepNext/>
              <w:keepLines/>
              <w:widowControl/>
              <w:ind w:right="-110"/>
              <w:jc w:val="left"/>
              <w:rPr>
                <w:rFonts w:ascii="Arial Narrow" w:hAnsi="Arial Narrow"/>
                <w:sz w:val="20"/>
              </w:rPr>
            </w:pPr>
            <w:r w:rsidRPr="007A70FB">
              <w:rPr>
                <w:rFonts w:ascii="Arial Narrow" w:hAnsi="Arial Narrow"/>
                <w:sz w:val="20"/>
                <w:szCs w:val="20"/>
              </w:rPr>
              <w:t>Equi-effective dose (</w:t>
            </w:r>
            <w:r w:rsidR="00D67754" w:rsidRPr="007A70FB">
              <w:rPr>
                <w:rFonts w:ascii="Arial Narrow" w:hAnsi="Arial Narrow"/>
                <w:sz w:val="20"/>
                <w:szCs w:val="20"/>
              </w:rPr>
              <w:t xml:space="preserve">as per </w:t>
            </w:r>
            <w:r w:rsidRPr="007A70FB">
              <w:rPr>
                <w:rFonts w:ascii="Arial Narrow" w:hAnsi="Arial Narrow"/>
                <w:sz w:val="20"/>
                <w:szCs w:val="20"/>
              </w:rPr>
              <w:t>submission)</w:t>
            </w:r>
          </w:p>
        </w:tc>
        <w:tc>
          <w:tcPr>
            <w:tcW w:w="716" w:type="pct"/>
            <w:tcBorders>
              <w:top w:val="single" w:sz="4" w:space="0" w:color="auto"/>
              <w:left w:val="single" w:sz="4" w:space="0" w:color="auto"/>
              <w:bottom w:val="single" w:sz="4" w:space="0" w:color="auto"/>
              <w:right w:val="single" w:sz="4" w:space="0" w:color="auto"/>
            </w:tcBorders>
            <w:vAlign w:val="center"/>
            <w:hideMark/>
          </w:tcPr>
          <w:p w:rsidR="008E20D3" w:rsidRPr="007A70FB" w:rsidRDefault="00C45DFE" w:rsidP="00905963">
            <w:pPr>
              <w:keepNext/>
              <w:keepLines/>
              <w:widowControl/>
              <w:jc w:val="center"/>
              <w:rPr>
                <w:rFonts w:ascii="Arial Narrow" w:hAnsi="Arial Narrow"/>
                <w:sz w:val="20"/>
              </w:rPr>
            </w:pPr>
            <w:r w:rsidRPr="007A70FB">
              <w:rPr>
                <w:rFonts w:ascii="Arial Narrow" w:hAnsi="Arial Narrow"/>
                <w:sz w:val="20"/>
              </w:rPr>
              <w:t>100 mg QD</w:t>
            </w:r>
          </w:p>
        </w:tc>
        <w:tc>
          <w:tcPr>
            <w:tcW w:w="717" w:type="pct"/>
            <w:tcBorders>
              <w:top w:val="single" w:sz="4" w:space="0" w:color="auto"/>
              <w:left w:val="single" w:sz="4" w:space="0" w:color="auto"/>
              <w:bottom w:val="single" w:sz="4" w:space="0" w:color="auto"/>
              <w:right w:val="single" w:sz="4" w:space="0" w:color="auto"/>
            </w:tcBorders>
            <w:vAlign w:val="center"/>
            <w:hideMark/>
          </w:tcPr>
          <w:p w:rsidR="008E20D3" w:rsidRPr="007A70FB" w:rsidRDefault="00C45DFE" w:rsidP="00905963">
            <w:pPr>
              <w:keepNext/>
              <w:keepLines/>
              <w:widowControl/>
              <w:jc w:val="center"/>
              <w:rPr>
                <w:rFonts w:ascii="Arial Narrow" w:hAnsi="Arial Narrow"/>
                <w:sz w:val="20"/>
              </w:rPr>
            </w:pPr>
            <w:r w:rsidRPr="007A70FB">
              <w:rPr>
                <w:rFonts w:ascii="Arial Narrow" w:hAnsi="Arial Narrow"/>
                <w:sz w:val="20"/>
              </w:rPr>
              <w:t>100 </w:t>
            </w:r>
            <w:r w:rsidR="008E20D3" w:rsidRPr="007A70FB">
              <w:rPr>
                <w:rFonts w:ascii="Arial Narrow" w:hAnsi="Arial Narrow"/>
                <w:sz w:val="20"/>
              </w:rPr>
              <w:t>mg</w:t>
            </w:r>
            <w:r w:rsidRPr="007A70FB">
              <w:rPr>
                <w:rFonts w:ascii="Arial Narrow" w:hAnsi="Arial Narrow"/>
                <w:sz w:val="20"/>
              </w:rPr>
              <w:t xml:space="preserve"> QD</w:t>
            </w:r>
            <w:r w:rsidR="008E20D3" w:rsidRPr="007A70FB">
              <w:rPr>
                <w:rFonts w:ascii="Arial Narrow" w:hAnsi="Arial Narrow"/>
                <w:sz w:val="20"/>
                <w:vertAlign w:val="superscript"/>
              </w:rPr>
              <w:t>b</w:t>
            </w:r>
          </w:p>
        </w:tc>
        <w:tc>
          <w:tcPr>
            <w:tcW w:w="717" w:type="pct"/>
            <w:tcBorders>
              <w:top w:val="single" w:sz="4" w:space="0" w:color="auto"/>
              <w:left w:val="single" w:sz="4" w:space="0" w:color="auto"/>
              <w:bottom w:val="single" w:sz="4" w:space="0" w:color="auto"/>
              <w:right w:val="single" w:sz="4" w:space="0" w:color="auto"/>
            </w:tcBorders>
            <w:vAlign w:val="center"/>
            <w:hideMark/>
          </w:tcPr>
          <w:p w:rsidR="00C45DFE" w:rsidRPr="007A70FB" w:rsidRDefault="00C45DFE" w:rsidP="00905963">
            <w:pPr>
              <w:keepNext/>
              <w:keepLines/>
              <w:widowControl/>
              <w:jc w:val="center"/>
              <w:rPr>
                <w:rFonts w:ascii="Arial Narrow" w:hAnsi="Arial Narrow"/>
                <w:sz w:val="20"/>
              </w:rPr>
            </w:pPr>
            <w:r w:rsidRPr="007A70FB">
              <w:rPr>
                <w:rFonts w:ascii="Arial Narrow" w:hAnsi="Arial Narrow"/>
                <w:sz w:val="20"/>
              </w:rPr>
              <w:t>100 </w:t>
            </w:r>
            <w:r w:rsidR="008E20D3" w:rsidRPr="007A70FB">
              <w:rPr>
                <w:rFonts w:ascii="Arial Narrow" w:hAnsi="Arial Narrow"/>
                <w:sz w:val="20"/>
              </w:rPr>
              <w:t>mg</w:t>
            </w:r>
            <w:r w:rsidRPr="007A70FB">
              <w:rPr>
                <w:rFonts w:ascii="Arial Narrow" w:hAnsi="Arial Narrow"/>
                <w:sz w:val="20"/>
              </w:rPr>
              <w:t xml:space="preserve"> QD</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8E20D3" w:rsidRPr="007A70FB" w:rsidRDefault="00C45DFE" w:rsidP="00905963">
            <w:pPr>
              <w:keepNext/>
              <w:keepLines/>
              <w:widowControl/>
              <w:jc w:val="center"/>
              <w:rPr>
                <w:rFonts w:ascii="Arial Narrow" w:hAnsi="Arial Narrow"/>
                <w:bCs/>
                <w:sz w:val="20"/>
              </w:rPr>
            </w:pPr>
            <w:r w:rsidRPr="007A70FB">
              <w:rPr>
                <w:rFonts w:ascii="Arial Narrow" w:hAnsi="Arial Narrow"/>
                <w:bCs/>
                <w:sz w:val="20"/>
              </w:rPr>
              <w:t>600 mg BID</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8E20D3" w:rsidRPr="007A70FB" w:rsidRDefault="00C45DFE" w:rsidP="00905963">
            <w:pPr>
              <w:keepNext/>
              <w:keepLines/>
              <w:widowControl/>
              <w:jc w:val="center"/>
              <w:rPr>
                <w:rFonts w:ascii="Arial Narrow" w:hAnsi="Arial Narrow"/>
                <w:bCs/>
                <w:sz w:val="20"/>
              </w:rPr>
            </w:pPr>
            <w:r w:rsidRPr="007A70FB">
              <w:rPr>
                <w:rFonts w:ascii="Arial Narrow" w:hAnsi="Arial Narrow"/>
                <w:bCs/>
                <w:sz w:val="20"/>
              </w:rPr>
              <w:t>600 mg BID</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8E20D3" w:rsidRPr="007A70FB" w:rsidRDefault="00C45DFE" w:rsidP="00905963">
            <w:pPr>
              <w:keepNext/>
              <w:keepLines/>
              <w:widowControl/>
              <w:jc w:val="center"/>
              <w:rPr>
                <w:rFonts w:ascii="Arial Narrow" w:hAnsi="Arial Narrow"/>
                <w:bCs/>
                <w:sz w:val="20"/>
              </w:rPr>
            </w:pPr>
            <w:r w:rsidRPr="007A70FB">
              <w:rPr>
                <w:rFonts w:ascii="Arial Narrow" w:hAnsi="Arial Narrow"/>
                <w:bCs/>
                <w:sz w:val="20"/>
              </w:rPr>
              <w:t>600 mg BID</w:t>
            </w:r>
          </w:p>
        </w:tc>
      </w:tr>
      <w:tr w:rsidR="003C441C" w:rsidRPr="007A70FB" w:rsidTr="004B1853">
        <w:trPr>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3C441C" w:rsidRPr="007A70FB" w:rsidRDefault="003C441C" w:rsidP="00905963">
            <w:pPr>
              <w:keepNext/>
              <w:keepLines/>
              <w:widowControl/>
              <w:jc w:val="left"/>
              <w:rPr>
                <w:rFonts w:ascii="Arial Narrow" w:hAnsi="Arial Narrow"/>
                <w:bCs/>
                <w:sz w:val="20"/>
              </w:rPr>
            </w:pPr>
            <w:r w:rsidRPr="007A70FB">
              <w:rPr>
                <w:rFonts w:ascii="Arial Narrow" w:hAnsi="Arial Narrow"/>
                <w:sz w:val="20"/>
              </w:rPr>
              <w:t>Duration of treatment</w:t>
            </w:r>
          </w:p>
        </w:tc>
      </w:tr>
      <w:tr w:rsidR="003C441C" w:rsidRPr="007A70FB" w:rsidTr="00A70006">
        <w:trPr>
          <w:jc w:val="center"/>
        </w:trPr>
        <w:tc>
          <w:tcPr>
            <w:tcW w:w="699" w:type="pct"/>
            <w:tcBorders>
              <w:top w:val="single" w:sz="4" w:space="0" w:color="auto"/>
              <w:left w:val="single" w:sz="4" w:space="0" w:color="auto"/>
              <w:bottom w:val="single" w:sz="4" w:space="0" w:color="auto"/>
              <w:right w:val="single" w:sz="4" w:space="0" w:color="auto"/>
            </w:tcBorders>
            <w:vAlign w:val="center"/>
          </w:tcPr>
          <w:p w:rsidR="003C441C" w:rsidRPr="007A70FB" w:rsidRDefault="003C441C" w:rsidP="00905963">
            <w:pPr>
              <w:keepNext/>
              <w:keepLines/>
              <w:widowControl/>
              <w:jc w:val="left"/>
              <w:rPr>
                <w:rFonts w:ascii="Arial Narrow" w:hAnsi="Arial Narrow"/>
                <w:sz w:val="20"/>
              </w:rPr>
            </w:pPr>
            <w:r w:rsidRPr="007A70FB">
              <w:rPr>
                <w:rFonts w:ascii="Arial Narrow" w:hAnsi="Arial Narrow"/>
                <w:sz w:val="20"/>
              </w:rPr>
              <w:t xml:space="preserve">Mean </w:t>
            </w:r>
          </w:p>
        </w:tc>
        <w:tc>
          <w:tcPr>
            <w:tcW w:w="716" w:type="pct"/>
            <w:tcBorders>
              <w:top w:val="single" w:sz="4" w:space="0" w:color="auto"/>
              <w:left w:val="single" w:sz="4" w:space="0" w:color="auto"/>
              <w:bottom w:val="single" w:sz="4" w:space="0" w:color="auto"/>
              <w:right w:val="single" w:sz="4" w:space="0" w:color="auto"/>
            </w:tcBorders>
            <w:vAlign w:val="center"/>
          </w:tcPr>
          <w:p w:rsidR="003C441C" w:rsidRPr="007A70FB" w:rsidRDefault="00FF4479" w:rsidP="00905963">
            <w:pPr>
              <w:keepNext/>
              <w:keepLines/>
              <w:widowControl/>
              <w:jc w:val="center"/>
              <w:rPr>
                <w:rFonts w:ascii="Arial Narrow" w:hAnsi="Arial Narrow"/>
                <w:sz w:val="20"/>
              </w:rPr>
            </w:pPr>
            <w:r>
              <w:rPr>
                <w:rFonts w:ascii="Arial Narrow" w:hAnsi="Arial Narrow"/>
                <w:noProof/>
                <w:color w:val="000000"/>
                <w:sz w:val="20"/>
                <w:highlight w:val="black"/>
              </w:rPr>
              <w:t>'''''''''''''</w:t>
            </w:r>
            <w:r w:rsidR="003C441C" w:rsidRPr="007A70FB">
              <w:rPr>
                <w:rFonts w:ascii="Arial Narrow" w:hAnsi="Arial Narrow"/>
                <w:sz w:val="20"/>
              </w:rPr>
              <w:t xml:space="preserve"> months</w:t>
            </w:r>
          </w:p>
        </w:tc>
        <w:tc>
          <w:tcPr>
            <w:tcW w:w="717" w:type="pct"/>
            <w:tcBorders>
              <w:top w:val="single" w:sz="4" w:space="0" w:color="auto"/>
              <w:left w:val="single" w:sz="4" w:space="0" w:color="auto"/>
              <w:bottom w:val="single" w:sz="4" w:space="0" w:color="auto"/>
              <w:right w:val="single" w:sz="4" w:space="0" w:color="auto"/>
            </w:tcBorders>
            <w:vAlign w:val="center"/>
          </w:tcPr>
          <w:p w:rsidR="00D67754" w:rsidRPr="007A70FB" w:rsidRDefault="003C441C" w:rsidP="00905963">
            <w:pPr>
              <w:keepNext/>
              <w:keepLines/>
              <w:widowControl/>
              <w:jc w:val="center"/>
              <w:rPr>
                <w:rFonts w:ascii="Arial Narrow" w:hAnsi="Arial Narrow"/>
                <w:sz w:val="20"/>
              </w:rPr>
            </w:pPr>
            <w:r w:rsidRPr="007A70FB">
              <w:rPr>
                <w:rFonts w:ascii="Arial Narrow" w:hAnsi="Arial Narrow"/>
                <w:sz w:val="20"/>
              </w:rPr>
              <w:t>8 months</w:t>
            </w:r>
            <w:r w:rsidR="00400924" w:rsidRPr="007A70FB">
              <w:rPr>
                <w:rFonts w:ascii="Arial Narrow" w:hAnsi="Arial Narrow"/>
                <w:sz w:val="20"/>
                <w:vertAlign w:val="superscript"/>
              </w:rPr>
              <w:t>a</w:t>
            </w:r>
          </w:p>
        </w:tc>
        <w:tc>
          <w:tcPr>
            <w:tcW w:w="717" w:type="pct"/>
            <w:tcBorders>
              <w:top w:val="single" w:sz="4" w:space="0" w:color="auto"/>
              <w:left w:val="single" w:sz="4" w:space="0" w:color="auto"/>
              <w:bottom w:val="single" w:sz="4" w:space="0" w:color="auto"/>
              <w:right w:val="single" w:sz="4" w:space="0" w:color="auto"/>
            </w:tcBorders>
            <w:vAlign w:val="center"/>
          </w:tcPr>
          <w:p w:rsidR="00526059" w:rsidRPr="007A70FB" w:rsidRDefault="003C441C" w:rsidP="00905963">
            <w:pPr>
              <w:keepNext/>
              <w:keepLines/>
              <w:widowControl/>
              <w:jc w:val="center"/>
            </w:pPr>
            <w:r w:rsidRPr="007A70FB">
              <w:rPr>
                <w:rFonts w:ascii="Arial Narrow" w:hAnsi="Arial Narrow"/>
                <w:sz w:val="20"/>
              </w:rPr>
              <w:t>8.13 months</w:t>
            </w:r>
            <w:r w:rsidR="00526059" w:rsidRPr="007A70FB">
              <w:rPr>
                <w:rFonts w:ascii="Arial Narrow" w:hAnsi="Arial Narrow"/>
                <w:sz w:val="20"/>
                <w:vertAlign w:val="superscript"/>
              </w:rPr>
              <w:t>b</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3C441C" w:rsidRPr="007A70FB" w:rsidRDefault="00733496" w:rsidP="00905963">
            <w:pPr>
              <w:keepNext/>
              <w:keepLines/>
              <w:widowControl/>
              <w:jc w:val="center"/>
              <w:rPr>
                <w:rFonts w:ascii="Arial Narrow" w:hAnsi="Arial Narrow"/>
                <w:bCs/>
                <w:sz w:val="20"/>
              </w:rPr>
            </w:pPr>
            <w:r w:rsidRPr="007A70FB">
              <w:rPr>
                <w:rFonts w:ascii="Arial Narrow" w:hAnsi="Arial Narrow"/>
                <w:bCs/>
                <w:sz w:val="20"/>
              </w:rPr>
              <w:t>NP28671/</w:t>
            </w:r>
            <w:r w:rsidR="004B1853" w:rsidRPr="007A70FB">
              <w:rPr>
                <w:rFonts w:ascii="Arial Narrow" w:hAnsi="Arial Narrow"/>
                <w:bCs/>
                <w:sz w:val="20"/>
              </w:rPr>
              <w:t xml:space="preserve"> </w:t>
            </w:r>
            <w:r w:rsidRPr="007A70FB">
              <w:rPr>
                <w:rFonts w:ascii="Arial Narrow" w:hAnsi="Arial Narrow"/>
                <w:bCs/>
                <w:sz w:val="20"/>
              </w:rPr>
              <w:t>NP28673:</w:t>
            </w:r>
          </w:p>
          <w:p w:rsidR="00733496" w:rsidRPr="007A70FB" w:rsidRDefault="00733496" w:rsidP="00905963">
            <w:pPr>
              <w:keepNext/>
              <w:keepLines/>
              <w:widowControl/>
              <w:jc w:val="center"/>
              <w:rPr>
                <w:rFonts w:ascii="Arial Narrow" w:hAnsi="Arial Narrow"/>
                <w:bCs/>
                <w:sz w:val="20"/>
              </w:rPr>
            </w:pPr>
            <w:r w:rsidRPr="007A70FB">
              <w:rPr>
                <w:rFonts w:ascii="Arial Narrow" w:hAnsi="Arial Narrow"/>
                <w:bCs/>
                <w:sz w:val="20"/>
              </w:rPr>
              <w:t>56.9 weeks</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3C441C" w:rsidRPr="007A70FB" w:rsidRDefault="003C441C" w:rsidP="00905963">
            <w:pPr>
              <w:keepNext/>
              <w:keepLines/>
              <w:widowControl/>
              <w:jc w:val="center"/>
              <w:rPr>
                <w:rFonts w:ascii="Arial Narrow" w:hAnsi="Arial Narrow"/>
                <w:sz w:val="20"/>
              </w:rPr>
            </w:pPr>
            <w:r w:rsidRPr="007A70FB">
              <w:rPr>
                <w:rFonts w:ascii="Arial Narrow" w:hAnsi="Arial Narrow"/>
                <w:sz w:val="20"/>
              </w:rPr>
              <w:t>8 months</w:t>
            </w:r>
            <w:r w:rsidR="00400924" w:rsidRPr="007A70FB">
              <w:rPr>
                <w:rFonts w:ascii="Arial Narrow" w:hAnsi="Arial Narrow"/>
                <w:sz w:val="20"/>
                <w:vertAlign w:val="superscript"/>
              </w:rPr>
              <w:t>a</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3C441C" w:rsidRPr="007A70FB" w:rsidRDefault="003C441C" w:rsidP="00905963">
            <w:pPr>
              <w:keepNext/>
              <w:keepLines/>
              <w:widowControl/>
              <w:jc w:val="center"/>
              <w:rPr>
                <w:rFonts w:ascii="Arial Narrow" w:hAnsi="Arial Narrow"/>
                <w:sz w:val="20"/>
              </w:rPr>
            </w:pPr>
            <w:r w:rsidRPr="007A70FB">
              <w:rPr>
                <w:rFonts w:ascii="Arial Narrow" w:hAnsi="Arial Narrow"/>
                <w:sz w:val="20"/>
              </w:rPr>
              <w:t>8.13 months</w:t>
            </w:r>
            <w:r w:rsidR="00526059" w:rsidRPr="007A70FB">
              <w:rPr>
                <w:rFonts w:ascii="Arial Narrow" w:hAnsi="Arial Narrow"/>
                <w:sz w:val="20"/>
                <w:vertAlign w:val="superscript"/>
              </w:rPr>
              <w:t>b</w:t>
            </w:r>
          </w:p>
        </w:tc>
      </w:tr>
      <w:tr w:rsidR="00CC4722" w:rsidRPr="007A70FB" w:rsidTr="00A70006">
        <w:trPr>
          <w:jc w:val="center"/>
        </w:trPr>
        <w:tc>
          <w:tcPr>
            <w:tcW w:w="699" w:type="pct"/>
            <w:tcBorders>
              <w:top w:val="single" w:sz="4" w:space="0" w:color="auto"/>
              <w:left w:val="single" w:sz="4" w:space="0" w:color="auto"/>
              <w:bottom w:val="single" w:sz="4" w:space="0" w:color="auto"/>
              <w:right w:val="single" w:sz="4" w:space="0" w:color="auto"/>
            </w:tcBorders>
            <w:vAlign w:val="center"/>
          </w:tcPr>
          <w:p w:rsidR="00CC4722" w:rsidRPr="007A70FB" w:rsidRDefault="00CC4722" w:rsidP="00905963">
            <w:pPr>
              <w:keepNext/>
              <w:keepLines/>
              <w:widowControl/>
              <w:jc w:val="left"/>
              <w:rPr>
                <w:rFonts w:ascii="Arial Narrow" w:hAnsi="Arial Narrow"/>
                <w:sz w:val="20"/>
              </w:rPr>
            </w:pPr>
            <w:r w:rsidRPr="007A70FB">
              <w:rPr>
                <w:rFonts w:ascii="Arial Narrow" w:hAnsi="Arial Narrow"/>
                <w:sz w:val="20"/>
              </w:rPr>
              <w:t xml:space="preserve">Median </w:t>
            </w:r>
          </w:p>
        </w:tc>
        <w:tc>
          <w:tcPr>
            <w:tcW w:w="716" w:type="pct"/>
            <w:tcBorders>
              <w:top w:val="single" w:sz="4" w:space="0" w:color="auto"/>
              <w:left w:val="single" w:sz="4" w:space="0" w:color="auto"/>
              <w:bottom w:val="single" w:sz="4" w:space="0" w:color="auto"/>
              <w:right w:val="single" w:sz="4" w:space="0" w:color="auto"/>
            </w:tcBorders>
            <w:vAlign w:val="center"/>
          </w:tcPr>
          <w:p w:rsidR="00CC4722" w:rsidRPr="007A70FB" w:rsidRDefault="00FF4479" w:rsidP="00905963">
            <w:pPr>
              <w:keepNext/>
              <w:keepLines/>
              <w:widowControl/>
              <w:jc w:val="center"/>
              <w:rPr>
                <w:rFonts w:ascii="Arial Narrow" w:hAnsi="Arial Narrow"/>
                <w:sz w:val="20"/>
              </w:rPr>
            </w:pPr>
            <w:r>
              <w:rPr>
                <w:rFonts w:ascii="Arial Narrow" w:hAnsi="Arial Narrow"/>
                <w:noProof/>
                <w:color w:val="000000"/>
                <w:sz w:val="20"/>
                <w:highlight w:val="black"/>
              </w:rPr>
              <w:t>''''''''''''</w:t>
            </w:r>
            <w:r w:rsidR="00CC4722" w:rsidRPr="007A70FB">
              <w:rPr>
                <w:rFonts w:ascii="Arial Narrow" w:hAnsi="Arial Narrow"/>
                <w:sz w:val="20"/>
              </w:rPr>
              <w:t xml:space="preserve"> months</w:t>
            </w:r>
          </w:p>
        </w:tc>
        <w:tc>
          <w:tcPr>
            <w:tcW w:w="717" w:type="pct"/>
            <w:tcBorders>
              <w:top w:val="single" w:sz="4" w:space="0" w:color="auto"/>
              <w:left w:val="single" w:sz="4" w:space="0" w:color="auto"/>
              <w:bottom w:val="single" w:sz="4" w:space="0" w:color="auto"/>
              <w:right w:val="single" w:sz="4" w:space="0" w:color="auto"/>
            </w:tcBorders>
            <w:vAlign w:val="center"/>
          </w:tcPr>
          <w:p w:rsidR="00CC4722" w:rsidRPr="007A70FB" w:rsidRDefault="00CC4722" w:rsidP="00905963">
            <w:pPr>
              <w:keepNext/>
              <w:keepLines/>
              <w:widowControl/>
              <w:jc w:val="center"/>
              <w:rPr>
                <w:rFonts w:ascii="Arial Narrow" w:hAnsi="Arial Narrow"/>
                <w:sz w:val="20"/>
              </w:rPr>
            </w:pPr>
            <w:r w:rsidRPr="007A70FB">
              <w:rPr>
                <w:rFonts w:ascii="Arial Narrow" w:hAnsi="Arial Narrow"/>
                <w:sz w:val="20"/>
              </w:rPr>
              <w:t>NA</w:t>
            </w:r>
          </w:p>
        </w:tc>
        <w:tc>
          <w:tcPr>
            <w:tcW w:w="717" w:type="pct"/>
            <w:tcBorders>
              <w:top w:val="single" w:sz="4" w:space="0" w:color="auto"/>
              <w:left w:val="single" w:sz="4" w:space="0" w:color="auto"/>
              <w:bottom w:val="single" w:sz="4" w:space="0" w:color="auto"/>
              <w:right w:val="single" w:sz="4" w:space="0" w:color="auto"/>
            </w:tcBorders>
            <w:vAlign w:val="center"/>
          </w:tcPr>
          <w:p w:rsidR="00CC4722" w:rsidRPr="007A70FB" w:rsidRDefault="00CC4722" w:rsidP="00905963">
            <w:pPr>
              <w:keepNext/>
              <w:keepLines/>
              <w:widowControl/>
              <w:jc w:val="center"/>
              <w:rPr>
                <w:rFonts w:ascii="Arial Narrow" w:hAnsi="Arial Narrow"/>
                <w:sz w:val="20"/>
              </w:rPr>
            </w:pPr>
            <w:r w:rsidRPr="007A70FB">
              <w:rPr>
                <w:rFonts w:ascii="Arial Narrow" w:hAnsi="Arial Narrow"/>
                <w:sz w:val="20"/>
              </w:rPr>
              <w:t>NA</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CC4722" w:rsidRPr="007A70FB" w:rsidRDefault="00CC4722" w:rsidP="00905963">
            <w:pPr>
              <w:keepNext/>
              <w:keepLines/>
              <w:widowControl/>
              <w:jc w:val="center"/>
              <w:rPr>
                <w:rFonts w:ascii="Arial Narrow" w:hAnsi="Arial Narrow"/>
                <w:bCs/>
                <w:sz w:val="20"/>
              </w:rPr>
            </w:pPr>
            <w:r w:rsidRPr="007A70FB">
              <w:rPr>
                <w:rFonts w:ascii="Arial Narrow" w:hAnsi="Arial Narrow"/>
                <w:bCs/>
                <w:sz w:val="20"/>
              </w:rPr>
              <w:t>(ALUR: 20.1 wks)</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CC4722" w:rsidRPr="007A70FB" w:rsidRDefault="00CC4722" w:rsidP="00905963">
            <w:pPr>
              <w:keepNext/>
              <w:keepLines/>
              <w:widowControl/>
              <w:jc w:val="center"/>
              <w:rPr>
                <w:rFonts w:ascii="Arial Narrow" w:hAnsi="Arial Narrow"/>
                <w:sz w:val="20"/>
              </w:rPr>
            </w:pPr>
            <w:r w:rsidRPr="007A70FB">
              <w:rPr>
                <w:rFonts w:ascii="Arial Narrow" w:hAnsi="Arial Narrow"/>
                <w:sz w:val="20"/>
              </w:rPr>
              <w:t>NA</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CC4722" w:rsidRPr="007A70FB" w:rsidRDefault="00CC4722" w:rsidP="00905963">
            <w:pPr>
              <w:keepNext/>
              <w:keepLines/>
              <w:widowControl/>
              <w:jc w:val="center"/>
              <w:rPr>
                <w:rFonts w:ascii="Arial Narrow" w:hAnsi="Arial Narrow"/>
                <w:sz w:val="20"/>
              </w:rPr>
            </w:pPr>
            <w:r w:rsidRPr="007A70FB">
              <w:rPr>
                <w:rFonts w:ascii="Arial Narrow" w:hAnsi="Arial Narrow"/>
                <w:sz w:val="20"/>
              </w:rPr>
              <w:t>NA</w:t>
            </w:r>
          </w:p>
        </w:tc>
      </w:tr>
      <w:tr w:rsidR="00EA7A76" w:rsidRPr="007A70FB" w:rsidTr="00902D08">
        <w:trPr>
          <w:jc w:val="center"/>
        </w:trPr>
        <w:tc>
          <w:tcPr>
            <w:tcW w:w="699" w:type="pct"/>
            <w:tcBorders>
              <w:top w:val="single" w:sz="4" w:space="0" w:color="auto"/>
              <w:left w:val="single" w:sz="4" w:space="0" w:color="auto"/>
              <w:bottom w:val="single" w:sz="4" w:space="0" w:color="auto"/>
              <w:right w:val="single" w:sz="4" w:space="0" w:color="auto"/>
            </w:tcBorders>
            <w:vAlign w:val="center"/>
            <w:hideMark/>
          </w:tcPr>
          <w:p w:rsidR="00EA7A76" w:rsidRPr="007A70FB" w:rsidRDefault="00EA7A76" w:rsidP="00905963">
            <w:pPr>
              <w:keepNext/>
              <w:keepLines/>
              <w:widowControl/>
              <w:jc w:val="left"/>
              <w:rPr>
                <w:rFonts w:ascii="Arial Narrow" w:hAnsi="Arial Narrow"/>
                <w:sz w:val="20"/>
              </w:rPr>
            </w:pPr>
            <w:r w:rsidRPr="007A70FB">
              <w:rPr>
                <w:rFonts w:ascii="Arial Narrow" w:hAnsi="Arial Narrow"/>
                <w:sz w:val="20"/>
              </w:rPr>
              <w:t>Cost/patient/ month</w:t>
            </w:r>
          </w:p>
        </w:tc>
        <w:tc>
          <w:tcPr>
            <w:tcW w:w="2150" w:type="pct"/>
            <w:gridSpan w:val="3"/>
            <w:tcBorders>
              <w:top w:val="single" w:sz="4" w:space="0" w:color="auto"/>
              <w:left w:val="single" w:sz="4" w:space="0" w:color="auto"/>
              <w:bottom w:val="single" w:sz="4" w:space="0" w:color="auto"/>
              <w:right w:val="single" w:sz="4" w:space="0" w:color="auto"/>
            </w:tcBorders>
            <w:vAlign w:val="center"/>
            <w:hideMark/>
          </w:tcPr>
          <w:p w:rsidR="00EA7A76" w:rsidRPr="007A70FB" w:rsidRDefault="00EA7A76" w:rsidP="00905963">
            <w:pPr>
              <w:keepNext/>
              <w:keepLines/>
              <w:widowControl/>
              <w:jc w:val="center"/>
              <w:rPr>
                <w:rFonts w:ascii="Arial Narrow" w:hAnsi="Arial Narrow"/>
                <w:iCs/>
                <w:sz w:val="20"/>
              </w:rPr>
            </w:pPr>
            <w:r w:rsidRPr="007A70FB">
              <w:rPr>
                <w:rFonts w:ascii="Arial Narrow" w:hAnsi="Arial Narrow"/>
                <w:iCs/>
                <w:sz w:val="20"/>
              </w:rPr>
              <w:t>$7,291.29</w:t>
            </w:r>
            <w:r w:rsidRPr="007A70FB">
              <w:rPr>
                <w:rFonts w:ascii="Arial Narrow" w:hAnsi="Arial Narrow"/>
                <w:bCs/>
                <w:sz w:val="20"/>
                <w:vertAlign w:val="superscript"/>
              </w:rPr>
              <w:t>c</w:t>
            </w:r>
          </w:p>
        </w:tc>
        <w:tc>
          <w:tcPr>
            <w:tcW w:w="215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7A76" w:rsidRPr="007A70FB" w:rsidRDefault="00EA7A76" w:rsidP="00905963">
            <w:pPr>
              <w:keepNext/>
              <w:keepLines/>
              <w:widowControl/>
              <w:jc w:val="center"/>
              <w:rPr>
                <w:rFonts w:ascii="Arial Narrow" w:hAnsi="Arial Narrow"/>
                <w:bCs/>
                <w:sz w:val="20"/>
              </w:rPr>
            </w:pPr>
            <w:r w:rsidRPr="007A70FB">
              <w:rPr>
                <w:rFonts w:ascii="Arial Narrow" w:hAnsi="Arial Narrow"/>
                <w:bCs/>
                <w:sz w:val="20"/>
              </w:rPr>
              <w:t>$7,</w:t>
            </w:r>
            <w:r w:rsidRPr="00F94912">
              <w:rPr>
                <w:rFonts w:ascii="Arial Narrow" w:hAnsi="Arial Narrow"/>
                <w:bCs/>
                <w:sz w:val="20"/>
              </w:rPr>
              <w:t>291.</w:t>
            </w:r>
            <w:r w:rsidR="00F94912" w:rsidRPr="00F94912">
              <w:rPr>
                <w:rFonts w:ascii="Arial Narrow" w:hAnsi="Arial Narrow"/>
                <w:bCs/>
                <w:sz w:val="20"/>
              </w:rPr>
              <w:t>29</w:t>
            </w:r>
            <w:r w:rsidR="00F94912" w:rsidRPr="00F94912">
              <w:rPr>
                <w:rFonts w:ascii="Arial Narrow" w:hAnsi="Arial Narrow"/>
                <w:bCs/>
                <w:sz w:val="20"/>
                <w:vertAlign w:val="superscript"/>
              </w:rPr>
              <w:t>c</w:t>
            </w:r>
          </w:p>
        </w:tc>
      </w:tr>
      <w:tr w:rsidR="008E20D3" w:rsidRPr="007A70FB" w:rsidTr="00A70006">
        <w:trPr>
          <w:jc w:val="center"/>
        </w:trPr>
        <w:tc>
          <w:tcPr>
            <w:tcW w:w="699" w:type="pct"/>
            <w:tcBorders>
              <w:top w:val="single" w:sz="4" w:space="0" w:color="auto"/>
              <w:left w:val="single" w:sz="4" w:space="0" w:color="auto"/>
              <w:bottom w:val="single" w:sz="4" w:space="0" w:color="auto"/>
              <w:right w:val="single" w:sz="4" w:space="0" w:color="auto"/>
            </w:tcBorders>
            <w:vAlign w:val="center"/>
            <w:hideMark/>
          </w:tcPr>
          <w:p w:rsidR="008E20D3" w:rsidRPr="007A70FB" w:rsidRDefault="008E20D3" w:rsidP="00905963">
            <w:pPr>
              <w:keepNext/>
              <w:keepLines/>
              <w:widowControl/>
              <w:jc w:val="left"/>
              <w:rPr>
                <w:rFonts w:ascii="Arial Narrow" w:hAnsi="Arial Narrow"/>
                <w:sz w:val="20"/>
              </w:rPr>
            </w:pPr>
            <w:r w:rsidRPr="007A70FB">
              <w:rPr>
                <w:rFonts w:ascii="Arial Narrow" w:hAnsi="Arial Narrow"/>
                <w:sz w:val="20"/>
              </w:rPr>
              <w:t>Cost/patient/</w:t>
            </w:r>
            <w:r w:rsidR="00B32898" w:rsidRPr="007A70FB">
              <w:rPr>
                <w:rFonts w:ascii="Arial Narrow" w:hAnsi="Arial Narrow"/>
                <w:sz w:val="20"/>
              </w:rPr>
              <w:t xml:space="preserve"> </w:t>
            </w:r>
            <w:r w:rsidRPr="007A70FB">
              <w:rPr>
                <w:rFonts w:ascii="Arial Narrow" w:hAnsi="Arial Narrow"/>
                <w:sz w:val="20"/>
              </w:rPr>
              <w:t>course</w:t>
            </w:r>
            <w:r w:rsidR="00EA7A76" w:rsidRPr="007A70FB">
              <w:rPr>
                <w:rFonts w:ascii="Arial Narrow" w:hAnsi="Arial Narrow"/>
                <w:sz w:val="20"/>
                <w:vertAlign w:val="superscript"/>
              </w:rPr>
              <w:t>d</w:t>
            </w:r>
          </w:p>
        </w:tc>
        <w:tc>
          <w:tcPr>
            <w:tcW w:w="716" w:type="pct"/>
            <w:tcBorders>
              <w:top w:val="single" w:sz="4" w:space="0" w:color="auto"/>
              <w:left w:val="single" w:sz="4" w:space="0" w:color="auto"/>
              <w:bottom w:val="single" w:sz="4" w:space="0" w:color="auto"/>
              <w:right w:val="single" w:sz="4" w:space="0" w:color="auto"/>
            </w:tcBorders>
            <w:vAlign w:val="center"/>
            <w:hideMark/>
          </w:tcPr>
          <w:p w:rsidR="008E20D3" w:rsidRPr="007A70FB" w:rsidRDefault="00526059" w:rsidP="00905963">
            <w:pPr>
              <w:keepNext/>
              <w:keepLines/>
              <w:widowControl/>
              <w:jc w:val="center"/>
              <w:rPr>
                <w:rFonts w:ascii="Arial Narrow" w:hAnsi="Arial Narrow"/>
                <w:i/>
                <w:iCs/>
                <w:sz w:val="20"/>
              </w:rPr>
            </w:pPr>
            <w:r w:rsidRPr="007A70FB">
              <w:rPr>
                <w:rFonts w:ascii="Arial Narrow" w:hAnsi="Arial Narrow"/>
                <w:i/>
                <w:iCs/>
                <w:sz w:val="20"/>
              </w:rPr>
              <w:t>$</w:t>
            </w:r>
            <w:r w:rsidR="00FF4479">
              <w:rPr>
                <w:rFonts w:ascii="Arial Narrow" w:hAnsi="Arial Narrow"/>
                <w:i/>
                <w:iCs/>
                <w:noProof/>
                <w:color w:val="000000"/>
                <w:sz w:val="20"/>
                <w:highlight w:val="black"/>
              </w:rPr>
              <w:t>'''''''''''''''''</w:t>
            </w:r>
          </w:p>
        </w:tc>
        <w:tc>
          <w:tcPr>
            <w:tcW w:w="717" w:type="pct"/>
            <w:tcBorders>
              <w:top w:val="single" w:sz="4" w:space="0" w:color="auto"/>
              <w:left w:val="single" w:sz="4" w:space="0" w:color="auto"/>
              <w:bottom w:val="single" w:sz="4" w:space="0" w:color="auto"/>
              <w:right w:val="single" w:sz="4" w:space="0" w:color="auto"/>
            </w:tcBorders>
            <w:vAlign w:val="center"/>
            <w:hideMark/>
          </w:tcPr>
          <w:p w:rsidR="008E20D3" w:rsidRPr="007A70FB" w:rsidRDefault="0078794E" w:rsidP="00905963">
            <w:pPr>
              <w:keepNext/>
              <w:keepLines/>
              <w:widowControl/>
              <w:jc w:val="center"/>
              <w:rPr>
                <w:rFonts w:ascii="Arial Narrow" w:hAnsi="Arial Narrow"/>
                <w:i/>
                <w:iCs/>
                <w:sz w:val="20"/>
              </w:rPr>
            </w:pPr>
            <w:r w:rsidRPr="007A70FB">
              <w:rPr>
                <w:rFonts w:ascii="Arial Narrow" w:hAnsi="Arial Narrow"/>
                <w:i/>
                <w:iCs/>
                <w:sz w:val="20"/>
              </w:rPr>
              <w:t>$</w:t>
            </w:r>
            <w:r w:rsidR="00FF4479">
              <w:rPr>
                <w:rFonts w:ascii="Arial Narrow" w:hAnsi="Arial Narrow"/>
                <w:i/>
                <w:iCs/>
                <w:noProof/>
                <w:color w:val="000000"/>
                <w:sz w:val="20"/>
                <w:highlight w:val="black"/>
              </w:rPr>
              <w:t>''''''''''''''''</w:t>
            </w:r>
          </w:p>
        </w:tc>
        <w:tc>
          <w:tcPr>
            <w:tcW w:w="717" w:type="pct"/>
            <w:tcBorders>
              <w:top w:val="single" w:sz="4" w:space="0" w:color="auto"/>
              <w:left w:val="single" w:sz="4" w:space="0" w:color="auto"/>
              <w:bottom w:val="single" w:sz="4" w:space="0" w:color="auto"/>
              <w:right w:val="single" w:sz="4" w:space="0" w:color="auto"/>
            </w:tcBorders>
            <w:vAlign w:val="center"/>
            <w:hideMark/>
          </w:tcPr>
          <w:p w:rsidR="008E20D3" w:rsidRPr="007A70FB" w:rsidRDefault="004D52AF" w:rsidP="00905963">
            <w:pPr>
              <w:keepNext/>
              <w:keepLines/>
              <w:widowControl/>
              <w:jc w:val="center"/>
              <w:rPr>
                <w:rFonts w:ascii="Arial Narrow" w:hAnsi="Arial Narrow"/>
                <w:i/>
                <w:sz w:val="20"/>
              </w:rPr>
            </w:pPr>
            <w:r w:rsidRPr="007A70FB">
              <w:rPr>
                <w:rFonts w:ascii="Arial Narrow" w:hAnsi="Arial Narrow"/>
                <w:i/>
                <w:sz w:val="20"/>
              </w:rPr>
              <w:t>$</w:t>
            </w:r>
            <w:r w:rsidR="00FF4479">
              <w:rPr>
                <w:rFonts w:ascii="Arial Narrow" w:hAnsi="Arial Narrow"/>
                <w:i/>
                <w:noProof/>
                <w:color w:val="000000"/>
                <w:sz w:val="20"/>
                <w:highlight w:val="black"/>
              </w:rPr>
              <w:t>'''''''''''''''</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8E20D3" w:rsidRPr="007A70FB" w:rsidRDefault="003C441C" w:rsidP="00905963">
            <w:pPr>
              <w:keepNext/>
              <w:keepLines/>
              <w:widowControl/>
              <w:jc w:val="center"/>
              <w:rPr>
                <w:rFonts w:ascii="Arial Narrow" w:hAnsi="Arial Narrow"/>
                <w:bCs/>
                <w:i/>
                <w:iCs/>
                <w:sz w:val="20"/>
              </w:rPr>
            </w:pPr>
            <w:r w:rsidRPr="007A70FB">
              <w:rPr>
                <w:rFonts w:ascii="Arial Narrow" w:hAnsi="Arial Narrow"/>
                <w:bCs/>
                <w:i/>
                <w:iCs/>
                <w:sz w:val="20"/>
              </w:rPr>
              <w:t>$</w:t>
            </w:r>
            <w:r w:rsidR="008E65D2" w:rsidRPr="007A70FB">
              <w:rPr>
                <w:rFonts w:ascii="Arial Narrow" w:hAnsi="Arial Narrow"/>
                <w:bCs/>
                <w:i/>
                <w:iCs/>
                <w:sz w:val="20"/>
              </w:rPr>
              <w:t>96,482</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8E20D3" w:rsidRPr="007A70FB" w:rsidRDefault="00B36B73" w:rsidP="00905963">
            <w:pPr>
              <w:keepNext/>
              <w:keepLines/>
              <w:widowControl/>
              <w:jc w:val="center"/>
              <w:rPr>
                <w:rFonts w:ascii="Arial Narrow" w:hAnsi="Arial Narrow"/>
                <w:bCs/>
                <w:i/>
                <w:sz w:val="20"/>
              </w:rPr>
            </w:pPr>
            <w:r w:rsidRPr="007A70FB">
              <w:rPr>
                <w:rFonts w:ascii="Arial Narrow" w:hAnsi="Arial Narrow"/>
                <w:i/>
                <w:sz w:val="20"/>
              </w:rPr>
              <w:t>$</w:t>
            </w:r>
            <w:r w:rsidR="00BE7336" w:rsidRPr="007A70FB">
              <w:rPr>
                <w:rFonts w:ascii="Arial Narrow" w:hAnsi="Arial Narrow"/>
                <w:i/>
                <w:sz w:val="20"/>
              </w:rPr>
              <w:t>58,330</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8E20D3" w:rsidRPr="007A70FB" w:rsidRDefault="004A2ABD" w:rsidP="00905963">
            <w:pPr>
              <w:keepNext/>
              <w:keepLines/>
              <w:widowControl/>
              <w:jc w:val="center"/>
              <w:rPr>
                <w:rFonts w:ascii="Arial Narrow" w:hAnsi="Arial Narrow"/>
                <w:bCs/>
                <w:i/>
                <w:sz w:val="20"/>
              </w:rPr>
            </w:pPr>
            <w:r w:rsidRPr="007A70FB">
              <w:rPr>
                <w:rFonts w:ascii="Arial Narrow" w:hAnsi="Arial Narrow"/>
                <w:i/>
                <w:sz w:val="20"/>
              </w:rPr>
              <w:t>$59,278</w:t>
            </w:r>
          </w:p>
        </w:tc>
      </w:tr>
    </w:tbl>
    <w:p w:rsidR="003C441C" w:rsidRPr="007A70FB" w:rsidRDefault="003C441C" w:rsidP="00905963">
      <w:pPr>
        <w:keepNext/>
        <w:keepLines/>
        <w:widowControl/>
        <w:rPr>
          <w:rFonts w:ascii="Arial Narrow" w:hAnsi="Arial Narrow"/>
          <w:snapToGrid/>
          <w:sz w:val="18"/>
          <w:szCs w:val="18"/>
        </w:rPr>
      </w:pPr>
      <w:r w:rsidRPr="007A70FB">
        <w:rPr>
          <w:rFonts w:ascii="Arial Narrow" w:hAnsi="Arial Narrow"/>
          <w:sz w:val="18"/>
          <w:szCs w:val="18"/>
        </w:rPr>
        <w:t xml:space="preserve">Abbreviations: </w:t>
      </w:r>
      <w:r w:rsidR="007E35A5" w:rsidRPr="007A70FB">
        <w:rPr>
          <w:rFonts w:ascii="Arial Narrow" w:hAnsi="Arial Narrow"/>
          <w:sz w:val="18"/>
          <w:szCs w:val="18"/>
        </w:rPr>
        <w:t xml:space="preserve">BID = twice a day; </w:t>
      </w:r>
      <w:r w:rsidRPr="007A70FB">
        <w:rPr>
          <w:rFonts w:ascii="Arial Narrow" w:hAnsi="Arial Narrow"/>
          <w:sz w:val="18"/>
          <w:szCs w:val="18"/>
        </w:rPr>
        <w:t xml:space="preserve">CMA = cost-minimisation analysis; mg = milligram; NA = not </w:t>
      </w:r>
      <w:r w:rsidR="0042249B" w:rsidRPr="007A70FB">
        <w:rPr>
          <w:rFonts w:ascii="Arial Narrow" w:hAnsi="Arial Narrow"/>
          <w:sz w:val="18"/>
          <w:szCs w:val="18"/>
        </w:rPr>
        <w:t>applicable</w:t>
      </w:r>
      <w:r w:rsidRPr="007A70FB">
        <w:rPr>
          <w:rFonts w:ascii="Arial Narrow" w:hAnsi="Arial Narrow"/>
          <w:sz w:val="18"/>
          <w:szCs w:val="18"/>
        </w:rPr>
        <w:t>; NR = not reported</w:t>
      </w:r>
      <w:r w:rsidR="00102342" w:rsidRPr="007A70FB">
        <w:rPr>
          <w:rFonts w:ascii="Arial Narrow" w:hAnsi="Arial Narrow"/>
          <w:sz w:val="18"/>
          <w:szCs w:val="18"/>
        </w:rPr>
        <w:t>; QD = daily</w:t>
      </w:r>
      <w:r w:rsidR="00411750" w:rsidRPr="007A70FB">
        <w:rPr>
          <w:rFonts w:ascii="Arial Narrow" w:hAnsi="Arial Narrow"/>
          <w:sz w:val="18"/>
          <w:szCs w:val="18"/>
        </w:rPr>
        <w:t xml:space="preserve">; </w:t>
      </w:r>
    </w:p>
    <w:p w:rsidR="008E20D3" w:rsidRPr="007A70FB" w:rsidRDefault="008E20D3" w:rsidP="00905963">
      <w:pPr>
        <w:pStyle w:val="TableFooter"/>
        <w:keepNext/>
        <w:keepLines/>
        <w:widowControl/>
        <w:rPr>
          <w:szCs w:val="20"/>
        </w:rPr>
      </w:pPr>
      <w:r w:rsidRPr="007A70FB">
        <w:t xml:space="preserve">Source: Table </w:t>
      </w:r>
      <w:r w:rsidR="00400924" w:rsidRPr="007A70FB">
        <w:t>2.4.2</w:t>
      </w:r>
      <w:r w:rsidR="00817359" w:rsidRPr="007A70FB">
        <w:t xml:space="preserve"> </w:t>
      </w:r>
      <w:r w:rsidR="00AF63F6" w:rsidRPr="007A70FB">
        <w:t>p86, p1</w:t>
      </w:r>
      <w:r w:rsidR="000B69AD" w:rsidRPr="007A70FB">
        <w:t>70, pp173-174, pp175-176, Table 3.4.1 p213 of the submission</w:t>
      </w:r>
      <w:r w:rsidR="00400924" w:rsidRPr="007A70FB">
        <w:t xml:space="preserve">; </w:t>
      </w:r>
      <w:r w:rsidRPr="007A70FB">
        <w:t xml:space="preserve">Section </w:t>
      </w:r>
      <w:r w:rsidR="00D67754" w:rsidRPr="007A70FB">
        <w:t>4</w:t>
      </w:r>
      <w:r w:rsidRPr="007A70FB">
        <w:t xml:space="preserve"> workbook,</w:t>
      </w:r>
      <w:r w:rsidR="00D67754" w:rsidRPr="007A70FB">
        <w:t xml:space="preserve"> spreadsheet</w:t>
      </w:r>
      <w:r w:rsidRPr="007A70FB">
        <w:t xml:space="preserve"> t 3a</w:t>
      </w:r>
      <w:r w:rsidR="000D257E" w:rsidRPr="007A70FB">
        <w:t>.</w:t>
      </w:r>
    </w:p>
    <w:p w:rsidR="0078794E" w:rsidRPr="007A70FB" w:rsidRDefault="009064DF" w:rsidP="00905963">
      <w:pPr>
        <w:pStyle w:val="TableFooter"/>
        <w:keepNext/>
        <w:keepLines/>
        <w:widowControl/>
        <w:rPr>
          <w:iCs/>
        </w:rPr>
      </w:pPr>
      <w:r w:rsidRPr="007A70FB">
        <w:rPr>
          <w:iCs/>
        </w:rPr>
        <w:t xml:space="preserve">Notes: </w:t>
      </w:r>
      <w:r w:rsidR="0078794E" w:rsidRPr="007A70FB">
        <w:t>Assuming one month equals 30 days</w:t>
      </w:r>
      <w:r w:rsidR="004028E5" w:rsidRPr="007A70FB">
        <w:t xml:space="preserve"> or 4.3 weeks</w:t>
      </w:r>
      <w:r w:rsidR="002A3031" w:rsidRPr="007A70FB">
        <w:t xml:space="preserve">; </w:t>
      </w:r>
      <w:r w:rsidR="009C7244" w:rsidRPr="007A70FB">
        <w:t>Number in italics indicate values calculated during evaluation</w:t>
      </w:r>
      <w:r w:rsidR="007A70FB">
        <w:t xml:space="preserve">. </w:t>
      </w:r>
    </w:p>
    <w:p w:rsidR="00400924" w:rsidRPr="007A70FB" w:rsidRDefault="008E20D3" w:rsidP="00905963">
      <w:pPr>
        <w:pStyle w:val="TableFooter"/>
        <w:keepNext/>
        <w:keepLines/>
        <w:widowControl/>
      </w:pPr>
      <w:r w:rsidRPr="007A70FB">
        <w:rPr>
          <w:vertAlign w:val="superscript"/>
        </w:rPr>
        <w:t xml:space="preserve">a </w:t>
      </w:r>
      <w:r w:rsidR="00400924" w:rsidRPr="007A70FB">
        <w:t>D</w:t>
      </w:r>
      <w:r w:rsidR="00D67754" w:rsidRPr="007A70FB">
        <w:t>uration of treatment is based on PFS</w:t>
      </w:r>
      <w:r w:rsidR="00400924" w:rsidRPr="007A70FB">
        <w:t xml:space="preserve">, which is assumed to be the same for both drugs. </w:t>
      </w:r>
    </w:p>
    <w:p w:rsidR="008E20D3" w:rsidRPr="007A70FB" w:rsidRDefault="00526059" w:rsidP="00905963">
      <w:pPr>
        <w:pStyle w:val="TableFooter"/>
        <w:keepNext/>
        <w:keepLines/>
        <w:widowControl/>
      </w:pPr>
      <w:r w:rsidRPr="007A70FB">
        <w:rPr>
          <w:vertAlign w:val="superscript"/>
        </w:rPr>
        <w:t>b</w:t>
      </w:r>
      <w:r w:rsidRPr="007A70FB">
        <w:t xml:space="preserve"> </w:t>
      </w:r>
      <w:r w:rsidR="0052565D" w:rsidRPr="007A70FB">
        <w:t>Assuming 8.13 scripts are dispensed</w:t>
      </w:r>
      <w:r w:rsidR="00FB07A3" w:rsidRPr="007A70FB">
        <w:t xml:space="preserve"> per patient per year and no wastage</w:t>
      </w:r>
      <w:r w:rsidR="007A70FB">
        <w:t xml:space="preserve">. </w:t>
      </w:r>
    </w:p>
    <w:p w:rsidR="008E20D3" w:rsidRPr="007A70FB" w:rsidRDefault="008E20D3" w:rsidP="00905963">
      <w:pPr>
        <w:pStyle w:val="TableFooter"/>
        <w:keepNext/>
        <w:keepLines/>
        <w:widowControl/>
      </w:pPr>
      <w:r w:rsidRPr="007A70FB">
        <w:rPr>
          <w:vertAlign w:val="superscript"/>
        </w:rPr>
        <w:t>c</w:t>
      </w:r>
      <w:r w:rsidRPr="007A70FB">
        <w:t xml:space="preserve"> </w:t>
      </w:r>
      <w:r w:rsidR="00EF2E9E" w:rsidRPr="007A70FB">
        <w:t>DPMQ of lorlatinib is $</w:t>
      </w:r>
      <w:r w:rsidR="00FF4479">
        <w:rPr>
          <w:noProof/>
          <w:color w:val="000000"/>
          <w:highlight w:val="black"/>
        </w:rPr>
        <w:t>''''''''''''''''''</w:t>
      </w:r>
      <w:r w:rsidR="00EF2E9E" w:rsidRPr="007A70FB">
        <w:t>; D</w:t>
      </w:r>
      <w:r w:rsidR="0002341C" w:rsidRPr="007A70FB">
        <w:t>PMQ of alectinib is $6,805.20</w:t>
      </w:r>
      <w:r w:rsidR="00EF2E9E" w:rsidRPr="007A70FB">
        <w:t>, cost per patient per month</w:t>
      </w:r>
      <w:r w:rsidR="00DC2FFD">
        <w:t xml:space="preserve"> (30 days)</w:t>
      </w:r>
      <w:r w:rsidR="00EF2E9E" w:rsidRPr="007A70FB">
        <w:t>: ($6,805.20/28)*30 = $7,291.29.</w:t>
      </w:r>
    </w:p>
    <w:p w:rsidR="008C3FE1" w:rsidRPr="007A70FB" w:rsidRDefault="00EA7A76" w:rsidP="00905963">
      <w:pPr>
        <w:pStyle w:val="TableFooter"/>
      </w:pPr>
      <w:r w:rsidRPr="007A70FB">
        <w:rPr>
          <w:vertAlign w:val="superscript"/>
        </w:rPr>
        <w:t>d</w:t>
      </w:r>
      <w:r w:rsidR="008C3FE1" w:rsidRPr="007A70FB">
        <w:t xml:space="preserve"> cost/patient/month x duration of treatment. </w:t>
      </w:r>
    </w:p>
    <w:p w:rsidR="007110AB" w:rsidRPr="007A70FB" w:rsidRDefault="007110AB" w:rsidP="00905963">
      <w:pPr>
        <w:pStyle w:val="Heading2"/>
        <w:keepNext/>
        <w:widowControl/>
        <w:spacing w:before="120" w:after="120"/>
      </w:pPr>
      <w:bookmarkStart w:id="49" w:name="_Toc19707669"/>
      <w:bookmarkEnd w:id="48"/>
      <w:r w:rsidRPr="007A70FB">
        <w:lastRenderedPageBreak/>
        <w:t>Estimated PBS usage &amp; financial implications</w:t>
      </w:r>
      <w:bookmarkEnd w:id="47"/>
      <w:bookmarkEnd w:id="49"/>
    </w:p>
    <w:p w:rsidR="007110AB" w:rsidRPr="003022F1" w:rsidRDefault="006A65A3" w:rsidP="003022F1">
      <w:pPr>
        <w:pStyle w:val="ListParagraph"/>
        <w:widowControl/>
        <w:numPr>
          <w:ilvl w:val="1"/>
          <w:numId w:val="1"/>
        </w:numPr>
        <w:spacing w:before="120" w:after="120"/>
        <w:rPr>
          <w:iCs/>
        </w:rPr>
      </w:pPr>
      <w:r w:rsidRPr="007A70FB">
        <w:t>This submission was not</w:t>
      </w:r>
      <w:r w:rsidR="007110AB" w:rsidRPr="007A70FB">
        <w:t xml:space="preserve"> considered by DUSC.</w:t>
      </w:r>
      <w:r w:rsidR="00EC1D41" w:rsidRPr="007A70FB">
        <w:t xml:space="preserve"> </w:t>
      </w:r>
      <w:r w:rsidR="007110AB" w:rsidRPr="007A70FB">
        <w:t xml:space="preserve">The submission used a combined epidemiological and market share approach to estimate the extent of use and financial impact of listing lorlatinib 100 mg on the PBS. A summary of the estimated use and financial implications for listing lorlatinib on the PBS is </w:t>
      </w:r>
      <w:r w:rsidR="007110AB" w:rsidRPr="007A70FB">
        <w:rPr>
          <w:rFonts w:asciiTheme="minorHAnsi" w:hAnsiTheme="minorHAnsi"/>
          <w:szCs w:val="24"/>
        </w:rPr>
        <w:t xml:space="preserve">presented in </w:t>
      </w:r>
      <w:r w:rsidR="00B0287F" w:rsidRPr="007A70FB">
        <w:rPr>
          <w:rStyle w:val="CommentReference"/>
          <w:rFonts w:asciiTheme="minorHAnsi" w:hAnsiTheme="minorHAnsi"/>
          <w:b w:val="0"/>
          <w:sz w:val="24"/>
          <w:szCs w:val="24"/>
        </w:rPr>
        <w:t>Table 12</w:t>
      </w:r>
      <w:r w:rsidR="002E0502" w:rsidRPr="007A70FB">
        <w:rPr>
          <w:rFonts w:asciiTheme="minorHAnsi" w:hAnsiTheme="minorHAnsi"/>
          <w:szCs w:val="24"/>
        </w:rPr>
        <w:t>.</w:t>
      </w:r>
      <w:r w:rsidR="002E0502" w:rsidRPr="007A70FB">
        <w:t xml:space="preserve"> </w:t>
      </w:r>
      <w:r w:rsidR="002E0502" w:rsidRPr="007A70FB">
        <w:rPr>
          <w:iCs/>
        </w:rPr>
        <w:t>These estimates are based on published prices</w:t>
      </w:r>
      <w:r w:rsidR="00EC1D41" w:rsidRPr="007A70FB">
        <w:rPr>
          <w:iCs/>
        </w:rPr>
        <w:t xml:space="preserve">. </w:t>
      </w:r>
      <w:r w:rsidR="003022F1" w:rsidRPr="003022F1">
        <w:rPr>
          <w:iCs/>
        </w:rPr>
        <w:t>The results based on effective prices are presented in</w:t>
      </w:r>
      <w:r w:rsidR="003022F1">
        <w:rPr>
          <w:iCs/>
        </w:rPr>
        <w:t xml:space="preserve"> Table 13</w:t>
      </w:r>
      <w:r w:rsidR="003022F1" w:rsidRPr="003022F1">
        <w:rPr>
          <w:rFonts w:asciiTheme="minorHAnsi" w:hAnsiTheme="minorHAnsi"/>
          <w:iCs/>
          <w:szCs w:val="24"/>
        </w:rPr>
        <w:t>.</w:t>
      </w:r>
    </w:p>
    <w:p w:rsidR="007110AB" w:rsidRPr="007A70FB" w:rsidRDefault="007110AB" w:rsidP="002E0502">
      <w:pPr>
        <w:pStyle w:val="Caption"/>
        <w:keepNext/>
        <w:spacing w:after="0"/>
        <w:rPr>
          <w:b w:val="0"/>
        </w:rPr>
      </w:pPr>
      <w:bookmarkStart w:id="50" w:name="_Ref20497401"/>
      <w:r w:rsidRPr="007A70FB">
        <w:rPr>
          <w:rStyle w:val="CommentReference"/>
          <w:b/>
        </w:rPr>
        <w:t xml:space="preserve">Table </w:t>
      </w:r>
      <w:r w:rsidR="008267CB" w:rsidRPr="007A70FB">
        <w:rPr>
          <w:rStyle w:val="CommentReference"/>
          <w:b/>
        </w:rPr>
        <w:t>12</w:t>
      </w:r>
      <w:bookmarkEnd w:id="50"/>
      <w:r w:rsidRPr="007A70FB">
        <w:rPr>
          <w:rStyle w:val="CommentReference"/>
          <w:b/>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3: Estimated use and financial implications"/>
      </w:tblPr>
      <w:tblGrid>
        <w:gridCol w:w="1826"/>
        <w:gridCol w:w="1186"/>
        <w:gridCol w:w="1185"/>
        <w:gridCol w:w="1185"/>
        <w:gridCol w:w="1185"/>
        <w:gridCol w:w="1185"/>
        <w:gridCol w:w="1187"/>
      </w:tblGrid>
      <w:tr w:rsidR="007110AB" w:rsidRPr="007A70FB" w:rsidTr="00D106BA">
        <w:trPr>
          <w:tblHeader/>
        </w:trPr>
        <w:tc>
          <w:tcPr>
            <w:tcW w:w="1021" w:type="pct"/>
            <w:shd w:val="clear" w:color="auto" w:fill="auto"/>
            <w:vAlign w:val="center"/>
          </w:tcPr>
          <w:p w:rsidR="007110AB" w:rsidRPr="007A70FB" w:rsidRDefault="007110AB" w:rsidP="002E0502">
            <w:pPr>
              <w:pStyle w:val="Tabletext"/>
              <w:keepNext/>
              <w:keepLines/>
            </w:pPr>
          </w:p>
        </w:tc>
        <w:tc>
          <w:tcPr>
            <w:tcW w:w="663" w:type="pct"/>
            <w:shd w:val="clear" w:color="auto" w:fill="auto"/>
            <w:vAlign w:val="center"/>
          </w:tcPr>
          <w:p w:rsidR="007110AB" w:rsidRPr="007A70FB" w:rsidRDefault="007110AB" w:rsidP="002E0502">
            <w:pPr>
              <w:pStyle w:val="Tabletext"/>
              <w:keepNext/>
              <w:keepLines/>
              <w:jc w:val="center"/>
              <w:rPr>
                <w:b/>
              </w:rPr>
            </w:pPr>
            <w:r w:rsidRPr="007A70FB">
              <w:rPr>
                <w:b/>
              </w:rPr>
              <w:t>Year 1</w:t>
            </w:r>
          </w:p>
        </w:tc>
        <w:tc>
          <w:tcPr>
            <w:tcW w:w="663" w:type="pct"/>
            <w:shd w:val="clear" w:color="auto" w:fill="auto"/>
            <w:vAlign w:val="center"/>
          </w:tcPr>
          <w:p w:rsidR="007110AB" w:rsidRPr="007A70FB" w:rsidRDefault="007110AB" w:rsidP="002E0502">
            <w:pPr>
              <w:pStyle w:val="Tabletext"/>
              <w:keepNext/>
              <w:keepLines/>
              <w:jc w:val="center"/>
              <w:rPr>
                <w:b/>
              </w:rPr>
            </w:pPr>
            <w:r w:rsidRPr="007A70FB">
              <w:rPr>
                <w:b/>
              </w:rPr>
              <w:t>Year 2</w:t>
            </w:r>
          </w:p>
        </w:tc>
        <w:tc>
          <w:tcPr>
            <w:tcW w:w="663" w:type="pct"/>
            <w:shd w:val="clear" w:color="auto" w:fill="auto"/>
            <w:vAlign w:val="center"/>
          </w:tcPr>
          <w:p w:rsidR="007110AB" w:rsidRPr="007A70FB" w:rsidRDefault="007110AB" w:rsidP="002E0502">
            <w:pPr>
              <w:pStyle w:val="Tabletext"/>
              <w:keepNext/>
              <w:keepLines/>
              <w:jc w:val="center"/>
              <w:rPr>
                <w:b/>
              </w:rPr>
            </w:pPr>
            <w:r w:rsidRPr="007A70FB">
              <w:rPr>
                <w:b/>
              </w:rPr>
              <w:t>Year 3</w:t>
            </w:r>
          </w:p>
        </w:tc>
        <w:tc>
          <w:tcPr>
            <w:tcW w:w="663" w:type="pct"/>
            <w:shd w:val="clear" w:color="auto" w:fill="auto"/>
            <w:vAlign w:val="center"/>
          </w:tcPr>
          <w:p w:rsidR="007110AB" w:rsidRPr="007A70FB" w:rsidRDefault="007110AB" w:rsidP="002E0502">
            <w:pPr>
              <w:pStyle w:val="Tabletext"/>
              <w:keepNext/>
              <w:keepLines/>
              <w:jc w:val="center"/>
              <w:rPr>
                <w:b/>
              </w:rPr>
            </w:pPr>
            <w:r w:rsidRPr="007A70FB">
              <w:rPr>
                <w:b/>
              </w:rPr>
              <w:t>Year 4</w:t>
            </w:r>
          </w:p>
        </w:tc>
        <w:tc>
          <w:tcPr>
            <w:tcW w:w="663" w:type="pct"/>
            <w:shd w:val="clear" w:color="auto" w:fill="auto"/>
            <w:vAlign w:val="center"/>
          </w:tcPr>
          <w:p w:rsidR="007110AB" w:rsidRPr="007A70FB" w:rsidRDefault="007110AB" w:rsidP="002E0502">
            <w:pPr>
              <w:pStyle w:val="Tabletext"/>
              <w:keepNext/>
              <w:keepLines/>
              <w:jc w:val="center"/>
              <w:rPr>
                <w:b/>
              </w:rPr>
            </w:pPr>
            <w:r w:rsidRPr="007A70FB">
              <w:rPr>
                <w:b/>
              </w:rPr>
              <w:t>Year 5</w:t>
            </w:r>
          </w:p>
        </w:tc>
        <w:tc>
          <w:tcPr>
            <w:tcW w:w="664" w:type="pct"/>
          </w:tcPr>
          <w:p w:rsidR="007110AB" w:rsidRPr="007A70FB" w:rsidRDefault="007110AB" w:rsidP="002E0502">
            <w:pPr>
              <w:pStyle w:val="Tabletext"/>
              <w:keepNext/>
              <w:keepLines/>
              <w:jc w:val="center"/>
              <w:rPr>
                <w:b/>
              </w:rPr>
            </w:pPr>
            <w:r w:rsidRPr="007A70FB">
              <w:rPr>
                <w:b/>
              </w:rPr>
              <w:t>Year 6</w:t>
            </w:r>
          </w:p>
        </w:tc>
      </w:tr>
      <w:tr w:rsidR="007110AB" w:rsidRPr="007A70FB" w:rsidTr="00C45DFE">
        <w:tc>
          <w:tcPr>
            <w:tcW w:w="5000" w:type="pct"/>
            <w:gridSpan w:val="7"/>
            <w:shd w:val="clear" w:color="auto" w:fill="auto"/>
            <w:vAlign w:val="center"/>
          </w:tcPr>
          <w:p w:rsidR="007110AB" w:rsidRPr="007A70FB" w:rsidRDefault="007110AB" w:rsidP="002E0502">
            <w:pPr>
              <w:pStyle w:val="Tabletext"/>
              <w:keepNext/>
              <w:keepLines/>
              <w:rPr>
                <w:b/>
                <w:bCs/>
                <w:color w:val="000000"/>
              </w:rPr>
            </w:pPr>
            <w:r w:rsidRPr="007A70FB">
              <w:rPr>
                <w:b/>
                <w:bCs/>
                <w:color w:val="000000"/>
              </w:rPr>
              <w:t>Estimated extent of use</w:t>
            </w:r>
          </w:p>
        </w:tc>
      </w:tr>
      <w:tr w:rsidR="007110AB" w:rsidRPr="007A70FB" w:rsidTr="00BC6433">
        <w:tc>
          <w:tcPr>
            <w:tcW w:w="1021" w:type="pct"/>
            <w:shd w:val="clear" w:color="auto" w:fill="auto"/>
            <w:vAlign w:val="center"/>
          </w:tcPr>
          <w:p w:rsidR="007110AB" w:rsidRPr="007A70FB" w:rsidRDefault="007110AB" w:rsidP="002E0502">
            <w:pPr>
              <w:pStyle w:val="Tabletext"/>
              <w:keepNext/>
              <w:keepLines/>
              <w:rPr>
                <w:rFonts w:ascii="Times" w:hAnsi="Times"/>
              </w:rPr>
            </w:pPr>
            <w:r w:rsidRPr="007A70FB">
              <w:t>Number of patients treated</w:t>
            </w:r>
          </w:p>
        </w:tc>
        <w:tc>
          <w:tcPr>
            <w:tcW w:w="663" w:type="pct"/>
            <w:shd w:val="clear" w:color="auto" w:fill="auto"/>
            <w:vAlign w:val="center"/>
          </w:tcPr>
          <w:p w:rsidR="007110AB" w:rsidRPr="007A70FB" w:rsidRDefault="00FF4479" w:rsidP="00BC6433">
            <w:pPr>
              <w:pStyle w:val="Tabletext"/>
              <w:keepNext/>
              <w:keepLines/>
              <w:jc w:val="center"/>
              <w:rPr>
                <w:bCs/>
                <w:color w:val="000000"/>
                <w:vertAlign w:val="superscript"/>
              </w:rPr>
            </w:pPr>
            <w:r>
              <w:rPr>
                <w:noProof/>
                <w:color w:val="000000"/>
                <w:highlight w:val="black"/>
              </w:rPr>
              <w:t>'''''''''</w:t>
            </w:r>
            <w:r w:rsidR="00DF5CE7">
              <w:rPr>
                <w:color w:val="000000"/>
                <w:vertAlign w:val="superscript"/>
              </w:rPr>
              <w:t>b</w:t>
            </w:r>
          </w:p>
        </w:tc>
        <w:tc>
          <w:tcPr>
            <w:tcW w:w="663" w:type="pct"/>
            <w:shd w:val="clear" w:color="auto" w:fill="auto"/>
            <w:vAlign w:val="center"/>
          </w:tcPr>
          <w:p w:rsidR="007110AB" w:rsidRPr="00FF4479" w:rsidRDefault="00FF4479" w:rsidP="00BC6433">
            <w:pPr>
              <w:pStyle w:val="Tabletext"/>
              <w:keepNext/>
              <w:keepLines/>
              <w:jc w:val="center"/>
              <w:rPr>
                <w:bCs/>
                <w:color w:val="000000"/>
                <w:highlight w:val="black"/>
              </w:rPr>
            </w:pPr>
            <w:r>
              <w:rPr>
                <w:noProof/>
                <w:color w:val="000000"/>
                <w:highlight w:val="black"/>
              </w:rPr>
              <w:t>'''''''''</w:t>
            </w:r>
          </w:p>
        </w:tc>
        <w:tc>
          <w:tcPr>
            <w:tcW w:w="663" w:type="pct"/>
            <w:shd w:val="clear" w:color="auto" w:fill="auto"/>
            <w:vAlign w:val="center"/>
          </w:tcPr>
          <w:p w:rsidR="007110AB" w:rsidRPr="00FF4479" w:rsidRDefault="00FF4479" w:rsidP="00BC6433">
            <w:pPr>
              <w:pStyle w:val="Tabletext"/>
              <w:keepNext/>
              <w:keepLines/>
              <w:jc w:val="center"/>
              <w:rPr>
                <w:bCs/>
                <w:color w:val="000000"/>
                <w:highlight w:val="black"/>
              </w:rPr>
            </w:pPr>
            <w:r>
              <w:rPr>
                <w:noProof/>
                <w:color w:val="000000"/>
                <w:highlight w:val="black"/>
              </w:rPr>
              <w:t>'''''''''</w:t>
            </w:r>
          </w:p>
        </w:tc>
        <w:tc>
          <w:tcPr>
            <w:tcW w:w="663" w:type="pct"/>
            <w:shd w:val="clear" w:color="auto" w:fill="auto"/>
            <w:vAlign w:val="center"/>
          </w:tcPr>
          <w:p w:rsidR="007110AB" w:rsidRPr="00FF4479" w:rsidRDefault="00FF4479" w:rsidP="00BC6433">
            <w:pPr>
              <w:pStyle w:val="Tabletext"/>
              <w:keepNext/>
              <w:keepLines/>
              <w:jc w:val="center"/>
              <w:rPr>
                <w:bCs/>
                <w:color w:val="000000"/>
                <w:highlight w:val="black"/>
              </w:rPr>
            </w:pPr>
            <w:r>
              <w:rPr>
                <w:noProof/>
                <w:color w:val="000000"/>
                <w:highlight w:val="black"/>
              </w:rPr>
              <w:t>''''''''''</w:t>
            </w:r>
          </w:p>
        </w:tc>
        <w:tc>
          <w:tcPr>
            <w:tcW w:w="663" w:type="pct"/>
            <w:shd w:val="clear" w:color="auto" w:fill="auto"/>
            <w:vAlign w:val="center"/>
          </w:tcPr>
          <w:p w:rsidR="007110AB" w:rsidRPr="00FF4479" w:rsidRDefault="00FF4479" w:rsidP="00BC6433">
            <w:pPr>
              <w:pStyle w:val="Tabletext"/>
              <w:keepNext/>
              <w:keepLines/>
              <w:jc w:val="center"/>
              <w:rPr>
                <w:bCs/>
                <w:color w:val="000000"/>
                <w:highlight w:val="black"/>
              </w:rPr>
            </w:pPr>
            <w:r>
              <w:rPr>
                <w:noProof/>
                <w:color w:val="000000"/>
                <w:highlight w:val="black"/>
              </w:rPr>
              <w:t>''''''''''</w:t>
            </w:r>
          </w:p>
        </w:tc>
        <w:tc>
          <w:tcPr>
            <w:tcW w:w="664" w:type="pct"/>
            <w:vAlign w:val="center"/>
          </w:tcPr>
          <w:p w:rsidR="007110AB" w:rsidRPr="00FF4479" w:rsidRDefault="00FF4479" w:rsidP="00BC6433">
            <w:pPr>
              <w:pStyle w:val="Tabletext"/>
              <w:keepNext/>
              <w:keepLines/>
              <w:jc w:val="center"/>
              <w:rPr>
                <w:bCs/>
                <w:color w:val="000000"/>
                <w:highlight w:val="black"/>
              </w:rPr>
            </w:pPr>
            <w:r>
              <w:rPr>
                <w:noProof/>
                <w:color w:val="000000"/>
                <w:highlight w:val="black"/>
              </w:rPr>
              <w:t>'''''''''</w:t>
            </w:r>
          </w:p>
        </w:tc>
      </w:tr>
      <w:tr w:rsidR="007110AB" w:rsidRPr="007A70FB" w:rsidTr="00BC6433">
        <w:tc>
          <w:tcPr>
            <w:tcW w:w="1021" w:type="pct"/>
            <w:shd w:val="clear" w:color="auto" w:fill="auto"/>
            <w:vAlign w:val="center"/>
          </w:tcPr>
          <w:p w:rsidR="007110AB" w:rsidRPr="007A70FB" w:rsidRDefault="007110AB" w:rsidP="00BE1C76">
            <w:pPr>
              <w:pStyle w:val="Tabletext"/>
              <w:keepNext/>
              <w:keepLines/>
              <w:rPr>
                <w:rFonts w:ascii="Times" w:hAnsi="Times"/>
              </w:rPr>
            </w:pPr>
            <w:r w:rsidRPr="007A70FB">
              <w:t>Number of scripts dispensed</w:t>
            </w:r>
            <w:r w:rsidRPr="007A70FB">
              <w:rPr>
                <w:vertAlign w:val="superscript"/>
              </w:rPr>
              <w:t>a</w:t>
            </w:r>
          </w:p>
        </w:tc>
        <w:tc>
          <w:tcPr>
            <w:tcW w:w="663" w:type="pct"/>
            <w:shd w:val="clear" w:color="auto" w:fill="auto"/>
            <w:vAlign w:val="center"/>
          </w:tcPr>
          <w:p w:rsidR="007110AB" w:rsidRPr="00FF4479" w:rsidRDefault="00FF4479" w:rsidP="00BC6433">
            <w:pPr>
              <w:pStyle w:val="Tabletext"/>
              <w:keepNext/>
              <w:keepLines/>
              <w:jc w:val="center"/>
              <w:rPr>
                <w:bCs/>
                <w:color w:val="000000"/>
                <w:highlight w:val="black"/>
              </w:rPr>
            </w:pPr>
            <w:r>
              <w:rPr>
                <w:noProof/>
                <w:color w:val="000000"/>
                <w:highlight w:val="black"/>
              </w:rPr>
              <w:t>'''''''''''''</w:t>
            </w:r>
          </w:p>
        </w:tc>
        <w:tc>
          <w:tcPr>
            <w:tcW w:w="663" w:type="pct"/>
            <w:shd w:val="clear" w:color="auto" w:fill="auto"/>
            <w:vAlign w:val="center"/>
          </w:tcPr>
          <w:p w:rsidR="007110AB" w:rsidRPr="00FF4479" w:rsidRDefault="00FF4479" w:rsidP="00BC6433">
            <w:pPr>
              <w:pStyle w:val="Tabletext"/>
              <w:keepNext/>
              <w:keepLines/>
              <w:jc w:val="center"/>
              <w:rPr>
                <w:bCs/>
                <w:color w:val="000000"/>
                <w:highlight w:val="black"/>
              </w:rPr>
            </w:pPr>
            <w:r>
              <w:rPr>
                <w:noProof/>
                <w:color w:val="000000"/>
                <w:highlight w:val="black"/>
              </w:rPr>
              <w:t>''''''''''''</w:t>
            </w:r>
          </w:p>
        </w:tc>
        <w:tc>
          <w:tcPr>
            <w:tcW w:w="663" w:type="pct"/>
            <w:shd w:val="clear" w:color="auto" w:fill="auto"/>
            <w:vAlign w:val="center"/>
          </w:tcPr>
          <w:p w:rsidR="007110AB" w:rsidRPr="00FF4479" w:rsidRDefault="00FF4479" w:rsidP="00BC6433">
            <w:pPr>
              <w:pStyle w:val="Tabletext"/>
              <w:keepNext/>
              <w:keepLines/>
              <w:jc w:val="center"/>
              <w:rPr>
                <w:bCs/>
                <w:color w:val="000000"/>
                <w:highlight w:val="black"/>
              </w:rPr>
            </w:pPr>
            <w:r>
              <w:rPr>
                <w:noProof/>
                <w:color w:val="000000"/>
                <w:highlight w:val="black"/>
              </w:rPr>
              <w:t>''''''''''''</w:t>
            </w:r>
          </w:p>
        </w:tc>
        <w:tc>
          <w:tcPr>
            <w:tcW w:w="663" w:type="pct"/>
            <w:shd w:val="clear" w:color="auto" w:fill="auto"/>
            <w:vAlign w:val="center"/>
          </w:tcPr>
          <w:p w:rsidR="007110AB" w:rsidRPr="00FF4479" w:rsidRDefault="00FF4479" w:rsidP="00BC6433">
            <w:pPr>
              <w:pStyle w:val="Tabletext"/>
              <w:keepNext/>
              <w:keepLines/>
              <w:jc w:val="center"/>
              <w:rPr>
                <w:bCs/>
                <w:color w:val="000000"/>
                <w:highlight w:val="black"/>
              </w:rPr>
            </w:pPr>
            <w:r>
              <w:rPr>
                <w:noProof/>
                <w:color w:val="000000"/>
                <w:highlight w:val="black"/>
              </w:rPr>
              <w:t>'''''''''''''''</w:t>
            </w:r>
          </w:p>
        </w:tc>
        <w:tc>
          <w:tcPr>
            <w:tcW w:w="663" w:type="pct"/>
            <w:shd w:val="clear" w:color="auto" w:fill="auto"/>
            <w:vAlign w:val="center"/>
          </w:tcPr>
          <w:p w:rsidR="007110AB" w:rsidRPr="00FF4479" w:rsidRDefault="00FF4479" w:rsidP="00BC6433">
            <w:pPr>
              <w:pStyle w:val="Tabletext"/>
              <w:keepNext/>
              <w:keepLines/>
              <w:jc w:val="center"/>
              <w:rPr>
                <w:bCs/>
                <w:color w:val="000000"/>
                <w:highlight w:val="black"/>
              </w:rPr>
            </w:pPr>
            <w:r>
              <w:rPr>
                <w:noProof/>
                <w:color w:val="000000"/>
                <w:highlight w:val="black"/>
              </w:rPr>
              <w:t>''''''''''''</w:t>
            </w:r>
          </w:p>
        </w:tc>
        <w:tc>
          <w:tcPr>
            <w:tcW w:w="664" w:type="pct"/>
            <w:vAlign w:val="center"/>
          </w:tcPr>
          <w:p w:rsidR="007110AB" w:rsidRPr="00FF4479" w:rsidRDefault="00FF4479" w:rsidP="00BC6433">
            <w:pPr>
              <w:pStyle w:val="Tabletext"/>
              <w:keepNext/>
              <w:keepLines/>
              <w:jc w:val="center"/>
              <w:rPr>
                <w:bCs/>
                <w:color w:val="000000"/>
                <w:highlight w:val="black"/>
              </w:rPr>
            </w:pPr>
            <w:r>
              <w:rPr>
                <w:noProof/>
                <w:color w:val="000000"/>
                <w:highlight w:val="black"/>
              </w:rPr>
              <w:t>''''''''''''</w:t>
            </w:r>
          </w:p>
        </w:tc>
      </w:tr>
      <w:tr w:rsidR="007110AB" w:rsidRPr="007A70FB" w:rsidTr="00C45DFE">
        <w:tc>
          <w:tcPr>
            <w:tcW w:w="5000" w:type="pct"/>
            <w:gridSpan w:val="7"/>
            <w:shd w:val="clear" w:color="auto" w:fill="auto"/>
            <w:vAlign w:val="center"/>
          </w:tcPr>
          <w:p w:rsidR="007110AB" w:rsidRPr="007A70FB" w:rsidRDefault="007110AB" w:rsidP="00BE1C76">
            <w:pPr>
              <w:pStyle w:val="Tabletext"/>
              <w:keepNext/>
              <w:keepLines/>
              <w:rPr>
                <w:b/>
                <w:bCs/>
                <w:color w:val="000000"/>
              </w:rPr>
            </w:pPr>
            <w:r w:rsidRPr="007A70FB">
              <w:rPr>
                <w:b/>
                <w:bCs/>
                <w:color w:val="000000"/>
              </w:rPr>
              <w:t>Estimated financial implications of lorlatinib</w:t>
            </w:r>
          </w:p>
        </w:tc>
      </w:tr>
      <w:tr w:rsidR="007110AB" w:rsidRPr="007A70FB" w:rsidTr="00BC6433">
        <w:tc>
          <w:tcPr>
            <w:tcW w:w="1021" w:type="pct"/>
            <w:shd w:val="clear" w:color="auto" w:fill="auto"/>
            <w:vAlign w:val="center"/>
          </w:tcPr>
          <w:p w:rsidR="007110AB" w:rsidRPr="007A70FB" w:rsidRDefault="007110AB" w:rsidP="00BE1C76">
            <w:pPr>
              <w:pStyle w:val="Tabletext"/>
              <w:keepNext/>
              <w:keepLines/>
              <w:rPr>
                <w:rFonts w:ascii="Times" w:hAnsi="Times"/>
              </w:rPr>
            </w:pPr>
            <w:r w:rsidRPr="007A70FB">
              <w:rPr>
                <w:sz w:val="19"/>
                <w:szCs w:val="19"/>
              </w:rPr>
              <w:t>Cost to PBS/RPBS</w:t>
            </w:r>
          </w:p>
        </w:tc>
        <w:tc>
          <w:tcPr>
            <w:tcW w:w="663" w:type="pct"/>
            <w:shd w:val="clear" w:color="auto" w:fill="auto"/>
            <w:vAlign w:val="center"/>
          </w:tcPr>
          <w:p w:rsidR="007110AB" w:rsidRPr="007A70FB" w:rsidRDefault="007110AB" w:rsidP="00BC6433">
            <w:pPr>
              <w:pStyle w:val="Tabletext"/>
              <w:keepNext/>
              <w:keepLines/>
              <w:jc w:val="center"/>
              <w:rPr>
                <w:bCs/>
                <w:color w:val="000000"/>
              </w:rPr>
            </w:pPr>
            <w:r w:rsidRPr="007A70FB">
              <w:t>$</w:t>
            </w:r>
            <w:r w:rsidR="00FF4479">
              <w:rPr>
                <w:noProof/>
                <w:color w:val="000000"/>
                <w:highlight w:val="black"/>
              </w:rPr>
              <w:t>'''''''''''''''''''''''''</w:t>
            </w:r>
          </w:p>
        </w:tc>
        <w:tc>
          <w:tcPr>
            <w:tcW w:w="663" w:type="pct"/>
            <w:shd w:val="clear" w:color="auto" w:fill="auto"/>
            <w:vAlign w:val="center"/>
          </w:tcPr>
          <w:p w:rsidR="007110AB" w:rsidRPr="007A70FB" w:rsidRDefault="007110AB" w:rsidP="00BC6433">
            <w:pPr>
              <w:pStyle w:val="Tabletext"/>
              <w:keepNext/>
              <w:keepLines/>
              <w:jc w:val="center"/>
              <w:rPr>
                <w:bCs/>
                <w:color w:val="000000"/>
              </w:rPr>
            </w:pPr>
            <w:r w:rsidRPr="007A70FB">
              <w:t>$</w:t>
            </w:r>
            <w:r w:rsidR="00FF4479">
              <w:rPr>
                <w:noProof/>
                <w:color w:val="000000"/>
                <w:highlight w:val="black"/>
              </w:rPr>
              <w:t>''''''''''''''''''''''</w:t>
            </w:r>
          </w:p>
        </w:tc>
        <w:tc>
          <w:tcPr>
            <w:tcW w:w="663" w:type="pct"/>
            <w:shd w:val="clear" w:color="auto" w:fill="auto"/>
            <w:vAlign w:val="center"/>
          </w:tcPr>
          <w:p w:rsidR="007110AB" w:rsidRPr="007A70FB" w:rsidRDefault="007110AB" w:rsidP="00BC6433">
            <w:pPr>
              <w:pStyle w:val="Tabletext"/>
              <w:keepNext/>
              <w:keepLines/>
              <w:jc w:val="center"/>
              <w:rPr>
                <w:bCs/>
                <w:color w:val="000000"/>
              </w:rPr>
            </w:pPr>
            <w:r w:rsidRPr="007A70FB">
              <w:t>$</w:t>
            </w:r>
            <w:r w:rsidR="00FF4479">
              <w:rPr>
                <w:noProof/>
                <w:color w:val="000000"/>
                <w:highlight w:val="black"/>
              </w:rPr>
              <w:t>''''''''''''''''''''''''</w:t>
            </w:r>
          </w:p>
        </w:tc>
        <w:tc>
          <w:tcPr>
            <w:tcW w:w="663" w:type="pct"/>
            <w:shd w:val="clear" w:color="auto" w:fill="auto"/>
            <w:vAlign w:val="center"/>
          </w:tcPr>
          <w:p w:rsidR="007110AB" w:rsidRPr="007A70FB" w:rsidRDefault="007110AB" w:rsidP="00BC6433">
            <w:pPr>
              <w:pStyle w:val="Tabletext"/>
              <w:keepNext/>
              <w:keepLines/>
              <w:jc w:val="center"/>
              <w:rPr>
                <w:bCs/>
                <w:color w:val="000000"/>
              </w:rPr>
            </w:pPr>
            <w:r w:rsidRPr="007A70FB">
              <w:t>$</w:t>
            </w:r>
            <w:r w:rsidR="00FF4479">
              <w:rPr>
                <w:noProof/>
                <w:color w:val="000000"/>
                <w:highlight w:val="black"/>
              </w:rPr>
              <w:t>'''''''''''''''''''''''''</w:t>
            </w:r>
          </w:p>
        </w:tc>
        <w:tc>
          <w:tcPr>
            <w:tcW w:w="663" w:type="pct"/>
            <w:shd w:val="clear" w:color="auto" w:fill="auto"/>
            <w:vAlign w:val="center"/>
          </w:tcPr>
          <w:p w:rsidR="007110AB" w:rsidRPr="007A70FB" w:rsidRDefault="007110AB" w:rsidP="00BC6433">
            <w:pPr>
              <w:pStyle w:val="Tabletext"/>
              <w:keepNext/>
              <w:keepLines/>
              <w:jc w:val="center"/>
              <w:rPr>
                <w:bCs/>
                <w:color w:val="000000"/>
              </w:rPr>
            </w:pPr>
            <w:r w:rsidRPr="007A70FB">
              <w:t>$</w:t>
            </w:r>
            <w:r w:rsidR="00FF4479">
              <w:rPr>
                <w:noProof/>
                <w:color w:val="000000"/>
                <w:highlight w:val="black"/>
              </w:rPr>
              <w:t>'''''''''''''''''''''''''</w:t>
            </w:r>
          </w:p>
        </w:tc>
        <w:tc>
          <w:tcPr>
            <w:tcW w:w="664" w:type="pct"/>
            <w:vAlign w:val="center"/>
          </w:tcPr>
          <w:p w:rsidR="007110AB" w:rsidRPr="007A70FB" w:rsidRDefault="007110AB" w:rsidP="00BC6433">
            <w:pPr>
              <w:pStyle w:val="Tabletext"/>
              <w:keepNext/>
              <w:keepLines/>
              <w:jc w:val="center"/>
              <w:rPr>
                <w:bCs/>
                <w:color w:val="000000"/>
              </w:rPr>
            </w:pPr>
            <w:r w:rsidRPr="007A70FB">
              <w:t>$</w:t>
            </w:r>
            <w:r w:rsidR="00FF4479">
              <w:rPr>
                <w:noProof/>
                <w:color w:val="000000"/>
                <w:highlight w:val="black"/>
              </w:rPr>
              <w:t>'''''''''''''''''''''</w:t>
            </w:r>
          </w:p>
        </w:tc>
      </w:tr>
      <w:tr w:rsidR="007110AB" w:rsidRPr="007A70FB" w:rsidTr="00BC6433">
        <w:tc>
          <w:tcPr>
            <w:tcW w:w="1021" w:type="pct"/>
            <w:shd w:val="clear" w:color="auto" w:fill="auto"/>
            <w:vAlign w:val="center"/>
          </w:tcPr>
          <w:p w:rsidR="007110AB" w:rsidRPr="007A70FB" w:rsidRDefault="007110AB" w:rsidP="00BE1C76">
            <w:pPr>
              <w:pStyle w:val="Tabletext"/>
              <w:keepNext/>
              <w:keepLines/>
              <w:rPr>
                <w:sz w:val="19"/>
                <w:szCs w:val="19"/>
              </w:rPr>
            </w:pPr>
            <w:r w:rsidRPr="007A70FB">
              <w:rPr>
                <w:sz w:val="19"/>
                <w:szCs w:val="19"/>
              </w:rPr>
              <w:t>Copayments</w:t>
            </w:r>
          </w:p>
        </w:tc>
        <w:tc>
          <w:tcPr>
            <w:tcW w:w="663" w:type="pct"/>
            <w:shd w:val="clear" w:color="auto" w:fill="auto"/>
            <w:vAlign w:val="center"/>
          </w:tcPr>
          <w:p w:rsidR="007110AB" w:rsidRPr="007A70FB" w:rsidRDefault="007110AB" w:rsidP="00BC6433">
            <w:pPr>
              <w:pStyle w:val="Tabletext"/>
              <w:keepNext/>
              <w:keepLines/>
              <w:jc w:val="center"/>
              <w:rPr>
                <w:bCs/>
                <w:color w:val="000000"/>
              </w:rPr>
            </w:pPr>
            <w:r w:rsidRPr="007A70FB">
              <w:t>-$</w:t>
            </w:r>
            <w:r w:rsidR="00FF4479">
              <w:rPr>
                <w:noProof/>
                <w:color w:val="000000"/>
                <w:highlight w:val="black"/>
              </w:rPr>
              <w:t>'''''''''''''''''</w:t>
            </w:r>
          </w:p>
        </w:tc>
        <w:tc>
          <w:tcPr>
            <w:tcW w:w="663" w:type="pct"/>
            <w:shd w:val="clear" w:color="auto" w:fill="auto"/>
            <w:vAlign w:val="center"/>
          </w:tcPr>
          <w:p w:rsidR="007110AB" w:rsidRPr="007A70FB" w:rsidRDefault="007110AB" w:rsidP="00BC6433">
            <w:pPr>
              <w:pStyle w:val="Tabletext"/>
              <w:keepNext/>
              <w:keepLines/>
              <w:jc w:val="center"/>
              <w:rPr>
                <w:bCs/>
                <w:color w:val="000000"/>
              </w:rPr>
            </w:pPr>
            <w:r w:rsidRPr="007A70FB">
              <w:t>-$</w:t>
            </w:r>
            <w:r w:rsidR="00FF4479">
              <w:rPr>
                <w:noProof/>
                <w:color w:val="000000"/>
                <w:highlight w:val="black"/>
              </w:rPr>
              <w:t>'''''''''''''''</w:t>
            </w:r>
          </w:p>
        </w:tc>
        <w:tc>
          <w:tcPr>
            <w:tcW w:w="663" w:type="pct"/>
            <w:shd w:val="clear" w:color="auto" w:fill="auto"/>
            <w:vAlign w:val="center"/>
          </w:tcPr>
          <w:p w:rsidR="007110AB" w:rsidRPr="007A70FB" w:rsidRDefault="007110AB" w:rsidP="00BC6433">
            <w:pPr>
              <w:pStyle w:val="Tabletext"/>
              <w:keepNext/>
              <w:keepLines/>
              <w:jc w:val="center"/>
              <w:rPr>
                <w:bCs/>
                <w:color w:val="000000"/>
              </w:rPr>
            </w:pPr>
            <w:r w:rsidRPr="007A70FB">
              <w:t>-$</w:t>
            </w:r>
            <w:r w:rsidR="00FF4479">
              <w:rPr>
                <w:noProof/>
                <w:color w:val="000000"/>
                <w:highlight w:val="black"/>
              </w:rPr>
              <w:t>'''''''''''''''</w:t>
            </w:r>
          </w:p>
        </w:tc>
        <w:tc>
          <w:tcPr>
            <w:tcW w:w="663" w:type="pct"/>
            <w:shd w:val="clear" w:color="auto" w:fill="auto"/>
            <w:vAlign w:val="center"/>
          </w:tcPr>
          <w:p w:rsidR="007110AB" w:rsidRPr="007A70FB" w:rsidRDefault="007110AB" w:rsidP="00BC6433">
            <w:pPr>
              <w:pStyle w:val="Tabletext"/>
              <w:keepNext/>
              <w:keepLines/>
              <w:jc w:val="center"/>
              <w:rPr>
                <w:bCs/>
                <w:color w:val="000000"/>
              </w:rPr>
            </w:pPr>
            <w:r w:rsidRPr="007A70FB">
              <w:t>-$</w:t>
            </w:r>
            <w:r w:rsidR="00FF4479">
              <w:rPr>
                <w:noProof/>
                <w:color w:val="000000"/>
                <w:highlight w:val="black"/>
              </w:rPr>
              <w:t>''''''''''''''''</w:t>
            </w:r>
          </w:p>
        </w:tc>
        <w:tc>
          <w:tcPr>
            <w:tcW w:w="663" w:type="pct"/>
            <w:shd w:val="clear" w:color="auto" w:fill="auto"/>
            <w:vAlign w:val="center"/>
          </w:tcPr>
          <w:p w:rsidR="007110AB" w:rsidRPr="007A70FB" w:rsidRDefault="007110AB" w:rsidP="00BC6433">
            <w:pPr>
              <w:pStyle w:val="Tabletext"/>
              <w:keepNext/>
              <w:keepLines/>
              <w:jc w:val="center"/>
              <w:rPr>
                <w:bCs/>
                <w:color w:val="000000"/>
              </w:rPr>
            </w:pPr>
            <w:r w:rsidRPr="007A70FB">
              <w:t>-$</w:t>
            </w:r>
            <w:r w:rsidR="00FF4479">
              <w:rPr>
                <w:noProof/>
                <w:color w:val="000000"/>
                <w:highlight w:val="black"/>
              </w:rPr>
              <w:t>'''''''''''''''''</w:t>
            </w:r>
          </w:p>
        </w:tc>
        <w:tc>
          <w:tcPr>
            <w:tcW w:w="664" w:type="pct"/>
            <w:vAlign w:val="center"/>
          </w:tcPr>
          <w:p w:rsidR="007110AB" w:rsidRPr="007A70FB" w:rsidRDefault="007110AB" w:rsidP="00BC6433">
            <w:pPr>
              <w:pStyle w:val="Tabletext"/>
              <w:keepNext/>
              <w:keepLines/>
              <w:jc w:val="center"/>
              <w:rPr>
                <w:bCs/>
                <w:color w:val="000000"/>
              </w:rPr>
            </w:pPr>
            <w:r w:rsidRPr="007A70FB">
              <w:t>-$</w:t>
            </w:r>
            <w:r w:rsidR="00FF4479">
              <w:rPr>
                <w:noProof/>
                <w:color w:val="000000"/>
                <w:highlight w:val="black"/>
              </w:rPr>
              <w:t>'''''''''''''''</w:t>
            </w:r>
          </w:p>
        </w:tc>
      </w:tr>
      <w:tr w:rsidR="007110AB" w:rsidRPr="007A70FB" w:rsidTr="00BC6433">
        <w:tc>
          <w:tcPr>
            <w:tcW w:w="1021" w:type="pct"/>
            <w:shd w:val="clear" w:color="auto" w:fill="auto"/>
            <w:vAlign w:val="center"/>
          </w:tcPr>
          <w:p w:rsidR="007110AB" w:rsidRPr="007A70FB" w:rsidRDefault="007110AB" w:rsidP="00BE1C76">
            <w:pPr>
              <w:pStyle w:val="Tabletext"/>
              <w:keepNext/>
              <w:keepLines/>
              <w:rPr>
                <w:sz w:val="19"/>
                <w:szCs w:val="19"/>
              </w:rPr>
            </w:pPr>
            <w:r w:rsidRPr="007A70FB">
              <w:rPr>
                <w:sz w:val="19"/>
                <w:szCs w:val="19"/>
              </w:rPr>
              <w:t>Cost to PBS/RPBS less copayments</w:t>
            </w:r>
          </w:p>
        </w:tc>
        <w:tc>
          <w:tcPr>
            <w:tcW w:w="663" w:type="pct"/>
            <w:shd w:val="clear" w:color="auto" w:fill="auto"/>
            <w:vAlign w:val="center"/>
          </w:tcPr>
          <w:p w:rsidR="007110AB" w:rsidRPr="007A70FB" w:rsidRDefault="007110AB" w:rsidP="00BC6433">
            <w:pPr>
              <w:pStyle w:val="Tabletext"/>
              <w:keepNext/>
              <w:keepLines/>
              <w:jc w:val="center"/>
              <w:rPr>
                <w:bCs/>
                <w:color w:val="000000"/>
              </w:rPr>
            </w:pPr>
            <w:r w:rsidRPr="007A70FB">
              <w:t>$</w:t>
            </w:r>
            <w:r w:rsidR="00FF4479">
              <w:rPr>
                <w:noProof/>
                <w:color w:val="000000"/>
                <w:highlight w:val="black"/>
              </w:rPr>
              <w:t>''''''''''''''''''''''</w:t>
            </w:r>
          </w:p>
        </w:tc>
        <w:tc>
          <w:tcPr>
            <w:tcW w:w="663" w:type="pct"/>
            <w:shd w:val="clear" w:color="auto" w:fill="auto"/>
            <w:vAlign w:val="center"/>
          </w:tcPr>
          <w:p w:rsidR="007110AB" w:rsidRPr="007A70FB" w:rsidRDefault="007110AB" w:rsidP="00BC6433">
            <w:pPr>
              <w:pStyle w:val="Tabletext"/>
              <w:keepNext/>
              <w:keepLines/>
              <w:jc w:val="center"/>
              <w:rPr>
                <w:bCs/>
                <w:color w:val="000000"/>
              </w:rPr>
            </w:pPr>
            <w:r w:rsidRPr="007A70FB">
              <w:t>$</w:t>
            </w:r>
            <w:r w:rsidR="00FF4479">
              <w:rPr>
                <w:noProof/>
                <w:color w:val="000000"/>
                <w:highlight w:val="black"/>
              </w:rPr>
              <w:t>'''''''''''''''''''''</w:t>
            </w:r>
          </w:p>
        </w:tc>
        <w:tc>
          <w:tcPr>
            <w:tcW w:w="663" w:type="pct"/>
            <w:shd w:val="clear" w:color="auto" w:fill="auto"/>
            <w:vAlign w:val="center"/>
          </w:tcPr>
          <w:p w:rsidR="007110AB" w:rsidRPr="007A70FB" w:rsidRDefault="007110AB" w:rsidP="00BC6433">
            <w:pPr>
              <w:pStyle w:val="Tabletext"/>
              <w:keepNext/>
              <w:keepLines/>
              <w:jc w:val="center"/>
              <w:rPr>
                <w:bCs/>
                <w:color w:val="000000"/>
              </w:rPr>
            </w:pPr>
            <w:r w:rsidRPr="007A70FB">
              <w:t>$</w:t>
            </w:r>
            <w:r w:rsidR="00FF4479">
              <w:rPr>
                <w:noProof/>
                <w:color w:val="000000"/>
                <w:highlight w:val="black"/>
              </w:rPr>
              <w:t>'''''''''''''''''''''''</w:t>
            </w:r>
          </w:p>
        </w:tc>
        <w:tc>
          <w:tcPr>
            <w:tcW w:w="663" w:type="pct"/>
            <w:shd w:val="clear" w:color="auto" w:fill="auto"/>
            <w:vAlign w:val="center"/>
          </w:tcPr>
          <w:p w:rsidR="007110AB" w:rsidRPr="007A70FB" w:rsidRDefault="007110AB" w:rsidP="00BC6433">
            <w:pPr>
              <w:pStyle w:val="Tabletext"/>
              <w:keepNext/>
              <w:keepLines/>
              <w:jc w:val="center"/>
              <w:rPr>
                <w:bCs/>
                <w:color w:val="000000"/>
              </w:rPr>
            </w:pPr>
            <w:r w:rsidRPr="007A70FB">
              <w:t>$</w:t>
            </w:r>
            <w:r w:rsidR="00FF4479">
              <w:rPr>
                <w:noProof/>
                <w:color w:val="000000"/>
                <w:highlight w:val="black"/>
              </w:rPr>
              <w:t>''''''''''''''''''''''''''</w:t>
            </w:r>
          </w:p>
        </w:tc>
        <w:tc>
          <w:tcPr>
            <w:tcW w:w="663" w:type="pct"/>
            <w:shd w:val="clear" w:color="auto" w:fill="auto"/>
            <w:vAlign w:val="center"/>
          </w:tcPr>
          <w:p w:rsidR="007110AB" w:rsidRPr="007A70FB" w:rsidRDefault="007110AB" w:rsidP="00BC6433">
            <w:pPr>
              <w:pStyle w:val="Tabletext"/>
              <w:keepNext/>
              <w:keepLines/>
              <w:jc w:val="center"/>
              <w:rPr>
                <w:bCs/>
                <w:color w:val="000000"/>
              </w:rPr>
            </w:pPr>
            <w:r w:rsidRPr="007A70FB">
              <w:t>$</w:t>
            </w:r>
            <w:r w:rsidR="00FF4479">
              <w:rPr>
                <w:noProof/>
                <w:color w:val="000000"/>
                <w:highlight w:val="black"/>
              </w:rPr>
              <w:t>'''''''''''''''''''''''</w:t>
            </w:r>
          </w:p>
        </w:tc>
        <w:tc>
          <w:tcPr>
            <w:tcW w:w="664" w:type="pct"/>
            <w:vAlign w:val="center"/>
          </w:tcPr>
          <w:p w:rsidR="007110AB" w:rsidRPr="007A70FB" w:rsidRDefault="007110AB" w:rsidP="00BC6433">
            <w:pPr>
              <w:pStyle w:val="Tabletext"/>
              <w:keepNext/>
              <w:keepLines/>
              <w:jc w:val="center"/>
              <w:rPr>
                <w:bCs/>
                <w:color w:val="000000"/>
              </w:rPr>
            </w:pPr>
            <w:r w:rsidRPr="007A70FB">
              <w:t>$</w:t>
            </w:r>
            <w:r w:rsidR="00FF4479">
              <w:rPr>
                <w:noProof/>
                <w:color w:val="000000"/>
                <w:highlight w:val="black"/>
              </w:rPr>
              <w:t>''''''''''''''''''''''''</w:t>
            </w:r>
          </w:p>
        </w:tc>
      </w:tr>
      <w:tr w:rsidR="007110AB" w:rsidRPr="007A70FB" w:rsidTr="00C45DFE">
        <w:tc>
          <w:tcPr>
            <w:tcW w:w="5000" w:type="pct"/>
            <w:gridSpan w:val="7"/>
            <w:shd w:val="clear" w:color="auto" w:fill="auto"/>
            <w:vAlign w:val="center"/>
          </w:tcPr>
          <w:p w:rsidR="007110AB" w:rsidRPr="000E08B0" w:rsidRDefault="007110AB" w:rsidP="00BE1C76">
            <w:pPr>
              <w:pStyle w:val="Tabletext"/>
              <w:keepNext/>
              <w:keepLines/>
              <w:rPr>
                <w:bCs/>
                <w:color w:val="000000"/>
              </w:rPr>
            </w:pPr>
            <w:r w:rsidRPr="000E08B0">
              <w:rPr>
                <w:b/>
                <w:bCs/>
                <w:color w:val="000000"/>
              </w:rPr>
              <w:t>Estimated financial implications for alectinib and ceritinib</w:t>
            </w:r>
          </w:p>
        </w:tc>
      </w:tr>
      <w:tr w:rsidR="005F3ED9" w:rsidRPr="007A70FB" w:rsidTr="009332C6">
        <w:tc>
          <w:tcPr>
            <w:tcW w:w="1021" w:type="pct"/>
            <w:shd w:val="clear" w:color="auto" w:fill="auto"/>
            <w:vAlign w:val="center"/>
          </w:tcPr>
          <w:p w:rsidR="005F3ED9" w:rsidRPr="000E08B0" w:rsidRDefault="005F3ED9" w:rsidP="00E63133">
            <w:pPr>
              <w:pStyle w:val="Tabletext"/>
              <w:keepNext/>
              <w:keepLines/>
              <w:rPr>
                <w:sz w:val="19"/>
                <w:szCs w:val="19"/>
              </w:rPr>
            </w:pPr>
            <w:r w:rsidRPr="000E08B0">
              <w:rPr>
                <w:sz w:val="19"/>
                <w:szCs w:val="19"/>
              </w:rPr>
              <w:t xml:space="preserve">Alectinib scripts </w:t>
            </w:r>
            <w:r w:rsidR="00E63133" w:rsidRPr="000E08B0">
              <w:rPr>
                <w:sz w:val="19"/>
                <w:szCs w:val="19"/>
              </w:rPr>
              <w:t>displaced</w:t>
            </w:r>
          </w:p>
        </w:tc>
        <w:tc>
          <w:tcPr>
            <w:tcW w:w="663" w:type="pct"/>
            <w:shd w:val="clear" w:color="auto" w:fill="auto"/>
            <w:vAlign w:val="center"/>
          </w:tcPr>
          <w:p w:rsidR="005F3ED9" w:rsidRPr="00FF4479" w:rsidRDefault="00FF4479" w:rsidP="009332C6">
            <w:pPr>
              <w:pStyle w:val="Tabletext"/>
              <w:keepNext/>
              <w:keepLines/>
              <w:jc w:val="center"/>
              <w:rPr>
                <w:highlight w:val="black"/>
              </w:rPr>
            </w:pPr>
            <w:r>
              <w:rPr>
                <w:noProof/>
                <w:color w:val="000000"/>
                <w:highlight w:val="black"/>
              </w:rPr>
              <w:t>''''''''''</w:t>
            </w:r>
          </w:p>
        </w:tc>
        <w:tc>
          <w:tcPr>
            <w:tcW w:w="663" w:type="pct"/>
            <w:shd w:val="clear" w:color="auto" w:fill="auto"/>
            <w:vAlign w:val="center"/>
          </w:tcPr>
          <w:p w:rsidR="005F3ED9" w:rsidRPr="00FF4479" w:rsidRDefault="00FF4479" w:rsidP="009332C6">
            <w:pPr>
              <w:pStyle w:val="Tabletext"/>
              <w:keepNext/>
              <w:keepLines/>
              <w:jc w:val="center"/>
              <w:rPr>
                <w:highlight w:val="black"/>
              </w:rPr>
            </w:pPr>
            <w:r>
              <w:rPr>
                <w:noProof/>
                <w:color w:val="000000"/>
                <w:highlight w:val="black"/>
              </w:rPr>
              <w:t>''''''''''</w:t>
            </w:r>
          </w:p>
        </w:tc>
        <w:tc>
          <w:tcPr>
            <w:tcW w:w="663" w:type="pct"/>
            <w:shd w:val="clear" w:color="auto" w:fill="auto"/>
            <w:vAlign w:val="center"/>
          </w:tcPr>
          <w:p w:rsidR="005F3ED9" w:rsidRPr="00FF4479" w:rsidRDefault="00FF4479" w:rsidP="009332C6">
            <w:pPr>
              <w:pStyle w:val="Tabletext"/>
              <w:keepNext/>
              <w:keepLines/>
              <w:jc w:val="center"/>
              <w:rPr>
                <w:highlight w:val="black"/>
              </w:rPr>
            </w:pPr>
            <w:r>
              <w:rPr>
                <w:noProof/>
                <w:color w:val="000000"/>
                <w:highlight w:val="black"/>
              </w:rPr>
              <w:t>''''''''''''</w:t>
            </w:r>
          </w:p>
        </w:tc>
        <w:tc>
          <w:tcPr>
            <w:tcW w:w="663" w:type="pct"/>
            <w:shd w:val="clear" w:color="auto" w:fill="auto"/>
            <w:vAlign w:val="center"/>
          </w:tcPr>
          <w:p w:rsidR="005F3ED9" w:rsidRPr="00FF4479" w:rsidRDefault="00FF4479" w:rsidP="009332C6">
            <w:pPr>
              <w:pStyle w:val="Tabletext"/>
              <w:keepNext/>
              <w:keepLines/>
              <w:jc w:val="center"/>
              <w:rPr>
                <w:highlight w:val="black"/>
              </w:rPr>
            </w:pPr>
            <w:r>
              <w:rPr>
                <w:noProof/>
                <w:color w:val="000000"/>
                <w:highlight w:val="black"/>
              </w:rPr>
              <w:t>'''''''''''''</w:t>
            </w:r>
          </w:p>
        </w:tc>
        <w:tc>
          <w:tcPr>
            <w:tcW w:w="663" w:type="pct"/>
            <w:shd w:val="clear" w:color="auto" w:fill="auto"/>
            <w:vAlign w:val="center"/>
          </w:tcPr>
          <w:p w:rsidR="005F3ED9" w:rsidRPr="00FF4479" w:rsidRDefault="00FF4479" w:rsidP="009332C6">
            <w:pPr>
              <w:pStyle w:val="Tabletext"/>
              <w:keepNext/>
              <w:keepLines/>
              <w:jc w:val="center"/>
              <w:rPr>
                <w:highlight w:val="black"/>
              </w:rPr>
            </w:pPr>
            <w:r>
              <w:rPr>
                <w:noProof/>
                <w:color w:val="000000"/>
                <w:highlight w:val="black"/>
              </w:rPr>
              <w:t>''''''''''''</w:t>
            </w:r>
          </w:p>
        </w:tc>
        <w:tc>
          <w:tcPr>
            <w:tcW w:w="664" w:type="pct"/>
            <w:vAlign w:val="center"/>
          </w:tcPr>
          <w:p w:rsidR="005F3ED9" w:rsidRPr="00FF4479" w:rsidRDefault="00FF4479" w:rsidP="009332C6">
            <w:pPr>
              <w:pStyle w:val="Tabletext"/>
              <w:keepNext/>
              <w:keepLines/>
              <w:jc w:val="center"/>
              <w:rPr>
                <w:highlight w:val="black"/>
              </w:rPr>
            </w:pPr>
            <w:r>
              <w:rPr>
                <w:noProof/>
                <w:color w:val="000000"/>
                <w:highlight w:val="black"/>
              </w:rPr>
              <w:t>''''''''''''''</w:t>
            </w:r>
          </w:p>
        </w:tc>
      </w:tr>
      <w:tr w:rsidR="005F3ED9" w:rsidRPr="007A70FB" w:rsidTr="009332C6">
        <w:tc>
          <w:tcPr>
            <w:tcW w:w="1021" w:type="pct"/>
            <w:shd w:val="clear" w:color="auto" w:fill="auto"/>
            <w:vAlign w:val="center"/>
          </w:tcPr>
          <w:p w:rsidR="005F3ED9" w:rsidRPr="000E08B0" w:rsidRDefault="005F3ED9" w:rsidP="00E63133">
            <w:pPr>
              <w:pStyle w:val="Tabletext"/>
              <w:keepNext/>
              <w:keepLines/>
              <w:rPr>
                <w:sz w:val="19"/>
                <w:szCs w:val="19"/>
              </w:rPr>
            </w:pPr>
            <w:r w:rsidRPr="000E08B0">
              <w:rPr>
                <w:sz w:val="19"/>
                <w:szCs w:val="19"/>
              </w:rPr>
              <w:t xml:space="preserve">Ceritinib scripts </w:t>
            </w:r>
            <w:r w:rsidR="00E63133" w:rsidRPr="000E08B0">
              <w:rPr>
                <w:sz w:val="19"/>
                <w:szCs w:val="19"/>
              </w:rPr>
              <w:t>displaced</w:t>
            </w:r>
          </w:p>
        </w:tc>
        <w:tc>
          <w:tcPr>
            <w:tcW w:w="663" w:type="pct"/>
            <w:shd w:val="clear" w:color="auto" w:fill="auto"/>
            <w:vAlign w:val="center"/>
          </w:tcPr>
          <w:p w:rsidR="005F3ED9" w:rsidRPr="00FF4479" w:rsidRDefault="00FF4479" w:rsidP="009332C6">
            <w:pPr>
              <w:pStyle w:val="Tabletext"/>
              <w:keepNext/>
              <w:keepLines/>
              <w:jc w:val="center"/>
              <w:rPr>
                <w:highlight w:val="black"/>
              </w:rPr>
            </w:pPr>
            <w:r>
              <w:rPr>
                <w:noProof/>
                <w:color w:val="000000"/>
                <w:highlight w:val="black"/>
              </w:rPr>
              <w:t>''''''''''</w:t>
            </w:r>
          </w:p>
        </w:tc>
        <w:tc>
          <w:tcPr>
            <w:tcW w:w="663" w:type="pct"/>
            <w:shd w:val="clear" w:color="auto" w:fill="auto"/>
            <w:vAlign w:val="center"/>
          </w:tcPr>
          <w:p w:rsidR="005F3ED9" w:rsidRPr="00FF4479" w:rsidRDefault="00FF4479" w:rsidP="009332C6">
            <w:pPr>
              <w:pStyle w:val="Tabletext"/>
              <w:keepNext/>
              <w:keepLines/>
              <w:jc w:val="center"/>
              <w:rPr>
                <w:highlight w:val="black"/>
              </w:rPr>
            </w:pPr>
            <w:r>
              <w:rPr>
                <w:noProof/>
                <w:color w:val="000000"/>
                <w:highlight w:val="black"/>
              </w:rPr>
              <w:t>''''''''''</w:t>
            </w:r>
          </w:p>
        </w:tc>
        <w:tc>
          <w:tcPr>
            <w:tcW w:w="663" w:type="pct"/>
            <w:shd w:val="clear" w:color="auto" w:fill="auto"/>
            <w:vAlign w:val="center"/>
          </w:tcPr>
          <w:p w:rsidR="005F3ED9" w:rsidRPr="00FF4479" w:rsidRDefault="00FF4479" w:rsidP="009332C6">
            <w:pPr>
              <w:pStyle w:val="Tabletext"/>
              <w:keepNext/>
              <w:keepLines/>
              <w:jc w:val="center"/>
              <w:rPr>
                <w:highlight w:val="black"/>
              </w:rPr>
            </w:pPr>
            <w:r>
              <w:rPr>
                <w:noProof/>
                <w:color w:val="000000"/>
                <w:highlight w:val="black"/>
              </w:rPr>
              <w:t>'''''''''</w:t>
            </w:r>
          </w:p>
        </w:tc>
        <w:tc>
          <w:tcPr>
            <w:tcW w:w="663" w:type="pct"/>
            <w:shd w:val="clear" w:color="auto" w:fill="auto"/>
            <w:vAlign w:val="center"/>
          </w:tcPr>
          <w:p w:rsidR="005F3ED9" w:rsidRPr="00FF4479" w:rsidRDefault="00FF4479" w:rsidP="009332C6">
            <w:pPr>
              <w:pStyle w:val="Tabletext"/>
              <w:keepNext/>
              <w:keepLines/>
              <w:jc w:val="center"/>
              <w:rPr>
                <w:highlight w:val="black"/>
              </w:rPr>
            </w:pPr>
            <w:r>
              <w:rPr>
                <w:noProof/>
                <w:color w:val="000000"/>
                <w:highlight w:val="black"/>
              </w:rPr>
              <w:t>''''''''''</w:t>
            </w:r>
          </w:p>
        </w:tc>
        <w:tc>
          <w:tcPr>
            <w:tcW w:w="663" w:type="pct"/>
            <w:shd w:val="clear" w:color="auto" w:fill="auto"/>
            <w:vAlign w:val="center"/>
          </w:tcPr>
          <w:p w:rsidR="005F3ED9" w:rsidRPr="00FF4479" w:rsidRDefault="00FF4479" w:rsidP="009332C6">
            <w:pPr>
              <w:pStyle w:val="Tabletext"/>
              <w:keepNext/>
              <w:keepLines/>
              <w:jc w:val="center"/>
              <w:rPr>
                <w:highlight w:val="black"/>
              </w:rPr>
            </w:pPr>
            <w:r>
              <w:rPr>
                <w:noProof/>
                <w:color w:val="000000"/>
                <w:highlight w:val="black"/>
              </w:rPr>
              <w:t>''''''''</w:t>
            </w:r>
          </w:p>
        </w:tc>
        <w:tc>
          <w:tcPr>
            <w:tcW w:w="664" w:type="pct"/>
            <w:vAlign w:val="center"/>
          </w:tcPr>
          <w:p w:rsidR="005F3ED9" w:rsidRPr="00FF4479" w:rsidRDefault="00FF4479" w:rsidP="009332C6">
            <w:pPr>
              <w:pStyle w:val="Tabletext"/>
              <w:keepNext/>
              <w:keepLines/>
              <w:jc w:val="center"/>
              <w:rPr>
                <w:highlight w:val="black"/>
              </w:rPr>
            </w:pPr>
            <w:r>
              <w:rPr>
                <w:noProof/>
                <w:color w:val="000000"/>
                <w:highlight w:val="black"/>
              </w:rPr>
              <w:t>'''''''''</w:t>
            </w:r>
          </w:p>
        </w:tc>
      </w:tr>
      <w:tr w:rsidR="005F3ED9" w:rsidRPr="007A70FB" w:rsidTr="009332C6">
        <w:tc>
          <w:tcPr>
            <w:tcW w:w="1021" w:type="pct"/>
            <w:shd w:val="clear" w:color="auto" w:fill="auto"/>
            <w:vAlign w:val="center"/>
          </w:tcPr>
          <w:p w:rsidR="005F3ED9" w:rsidRPr="000E08B0" w:rsidRDefault="005F3ED9" w:rsidP="005F3ED9">
            <w:pPr>
              <w:pStyle w:val="Tabletext"/>
              <w:keepNext/>
              <w:keepLines/>
              <w:rPr>
                <w:sz w:val="19"/>
                <w:szCs w:val="19"/>
                <w:vertAlign w:val="superscript"/>
              </w:rPr>
            </w:pPr>
            <w:r w:rsidRPr="000E08B0">
              <w:rPr>
                <w:sz w:val="19"/>
                <w:szCs w:val="19"/>
              </w:rPr>
              <w:t>Total number of scripts displaced</w:t>
            </w:r>
            <w:r w:rsidR="00DF5CE7">
              <w:rPr>
                <w:sz w:val="19"/>
                <w:szCs w:val="19"/>
                <w:vertAlign w:val="superscript"/>
              </w:rPr>
              <w:t>c</w:t>
            </w:r>
          </w:p>
        </w:tc>
        <w:tc>
          <w:tcPr>
            <w:tcW w:w="663" w:type="pct"/>
            <w:shd w:val="clear" w:color="auto" w:fill="auto"/>
            <w:vAlign w:val="center"/>
          </w:tcPr>
          <w:p w:rsidR="005F3ED9" w:rsidRPr="00FF4479" w:rsidRDefault="00FF4479" w:rsidP="009332C6">
            <w:pPr>
              <w:pStyle w:val="Tabletext"/>
              <w:keepNext/>
              <w:keepLines/>
              <w:jc w:val="center"/>
              <w:rPr>
                <w:highlight w:val="black"/>
              </w:rPr>
            </w:pPr>
            <w:r>
              <w:rPr>
                <w:noProof/>
                <w:color w:val="000000"/>
                <w:highlight w:val="black"/>
              </w:rPr>
              <w:t>'''''''''</w:t>
            </w:r>
          </w:p>
        </w:tc>
        <w:tc>
          <w:tcPr>
            <w:tcW w:w="663" w:type="pct"/>
            <w:shd w:val="clear" w:color="auto" w:fill="auto"/>
            <w:vAlign w:val="center"/>
          </w:tcPr>
          <w:p w:rsidR="005F3ED9" w:rsidRPr="00FF4479" w:rsidRDefault="00FF4479" w:rsidP="009332C6">
            <w:pPr>
              <w:pStyle w:val="Tabletext"/>
              <w:keepNext/>
              <w:keepLines/>
              <w:jc w:val="center"/>
              <w:rPr>
                <w:highlight w:val="black"/>
              </w:rPr>
            </w:pPr>
            <w:r>
              <w:rPr>
                <w:noProof/>
                <w:color w:val="000000"/>
                <w:highlight w:val="black"/>
              </w:rPr>
              <w:t>''''''''''''''</w:t>
            </w:r>
          </w:p>
        </w:tc>
        <w:tc>
          <w:tcPr>
            <w:tcW w:w="663" w:type="pct"/>
            <w:shd w:val="clear" w:color="auto" w:fill="auto"/>
            <w:vAlign w:val="center"/>
          </w:tcPr>
          <w:p w:rsidR="005F3ED9" w:rsidRPr="00FF4479" w:rsidRDefault="00FF4479" w:rsidP="009332C6">
            <w:pPr>
              <w:pStyle w:val="Tabletext"/>
              <w:keepNext/>
              <w:keepLines/>
              <w:jc w:val="center"/>
              <w:rPr>
                <w:highlight w:val="black"/>
              </w:rPr>
            </w:pPr>
            <w:r>
              <w:rPr>
                <w:noProof/>
                <w:color w:val="000000"/>
                <w:highlight w:val="black"/>
              </w:rPr>
              <w:t>'''''''''''''</w:t>
            </w:r>
          </w:p>
        </w:tc>
        <w:tc>
          <w:tcPr>
            <w:tcW w:w="663" w:type="pct"/>
            <w:shd w:val="clear" w:color="auto" w:fill="auto"/>
            <w:vAlign w:val="center"/>
          </w:tcPr>
          <w:p w:rsidR="005F3ED9" w:rsidRPr="00FF4479" w:rsidRDefault="00FF4479" w:rsidP="009332C6">
            <w:pPr>
              <w:pStyle w:val="Tabletext"/>
              <w:keepNext/>
              <w:keepLines/>
              <w:jc w:val="center"/>
              <w:rPr>
                <w:highlight w:val="black"/>
              </w:rPr>
            </w:pPr>
            <w:r>
              <w:rPr>
                <w:noProof/>
                <w:color w:val="000000"/>
                <w:highlight w:val="black"/>
              </w:rPr>
              <w:t>'''''''''''''''</w:t>
            </w:r>
          </w:p>
        </w:tc>
        <w:tc>
          <w:tcPr>
            <w:tcW w:w="663" w:type="pct"/>
            <w:shd w:val="clear" w:color="auto" w:fill="auto"/>
            <w:vAlign w:val="center"/>
          </w:tcPr>
          <w:p w:rsidR="005F3ED9" w:rsidRPr="00FF4479" w:rsidRDefault="00FF4479" w:rsidP="009332C6">
            <w:pPr>
              <w:pStyle w:val="Tabletext"/>
              <w:keepNext/>
              <w:keepLines/>
              <w:jc w:val="center"/>
              <w:rPr>
                <w:highlight w:val="black"/>
              </w:rPr>
            </w:pPr>
            <w:r>
              <w:rPr>
                <w:noProof/>
                <w:color w:val="000000"/>
                <w:highlight w:val="black"/>
              </w:rPr>
              <w:t>''''''''''''</w:t>
            </w:r>
          </w:p>
        </w:tc>
        <w:tc>
          <w:tcPr>
            <w:tcW w:w="664" w:type="pct"/>
            <w:vAlign w:val="center"/>
          </w:tcPr>
          <w:p w:rsidR="005F3ED9" w:rsidRPr="00FF4479" w:rsidRDefault="00FF4479" w:rsidP="009332C6">
            <w:pPr>
              <w:pStyle w:val="Tabletext"/>
              <w:keepNext/>
              <w:keepLines/>
              <w:jc w:val="center"/>
              <w:rPr>
                <w:highlight w:val="black"/>
              </w:rPr>
            </w:pPr>
            <w:r>
              <w:rPr>
                <w:noProof/>
                <w:color w:val="000000"/>
                <w:highlight w:val="black"/>
              </w:rPr>
              <w:t>''''''''''''''</w:t>
            </w:r>
          </w:p>
        </w:tc>
      </w:tr>
      <w:tr w:rsidR="007110AB" w:rsidRPr="007A70FB" w:rsidTr="00BC6433">
        <w:tc>
          <w:tcPr>
            <w:tcW w:w="1021" w:type="pct"/>
            <w:shd w:val="clear" w:color="auto" w:fill="auto"/>
            <w:vAlign w:val="center"/>
          </w:tcPr>
          <w:p w:rsidR="007110AB" w:rsidRPr="007A70FB" w:rsidRDefault="007110AB" w:rsidP="00BE1C76">
            <w:pPr>
              <w:pStyle w:val="Tabletext"/>
              <w:keepNext/>
              <w:keepLines/>
              <w:rPr>
                <w:sz w:val="19"/>
                <w:szCs w:val="19"/>
              </w:rPr>
            </w:pPr>
            <w:r w:rsidRPr="007A70FB">
              <w:rPr>
                <w:sz w:val="19"/>
                <w:szCs w:val="19"/>
              </w:rPr>
              <w:t>Cost to PBS/RPBS</w:t>
            </w:r>
          </w:p>
        </w:tc>
        <w:tc>
          <w:tcPr>
            <w:tcW w:w="663" w:type="pct"/>
            <w:shd w:val="clear" w:color="auto" w:fill="auto"/>
            <w:vAlign w:val="center"/>
          </w:tcPr>
          <w:p w:rsidR="007110AB" w:rsidRPr="007A70FB" w:rsidRDefault="007110AB" w:rsidP="00BC6433">
            <w:pPr>
              <w:pStyle w:val="Tabletext"/>
              <w:keepNext/>
              <w:keepLines/>
              <w:jc w:val="center"/>
              <w:rPr>
                <w:bCs/>
                <w:color w:val="000000"/>
              </w:rPr>
            </w:pPr>
            <w:r w:rsidRPr="007A70FB">
              <w:t>$</w:t>
            </w:r>
            <w:r w:rsidR="00FF4479">
              <w:rPr>
                <w:noProof/>
                <w:color w:val="000000"/>
                <w:highlight w:val="black"/>
              </w:rPr>
              <w:t>'''''''''''''''''''''''</w:t>
            </w:r>
          </w:p>
        </w:tc>
        <w:tc>
          <w:tcPr>
            <w:tcW w:w="663" w:type="pct"/>
            <w:shd w:val="clear" w:color="auto" w:fill="auto"/>
            <w:vAlign w:val="center"/>
          </w:tcPr>
          <w:p w:rsidR="007110AB" w:rsidRPr="007A70FB" w:rsidRDefault="007110AB" w:rsidP="00BC6433">
            <w:pPr>
              <w:pStyle w:val="Tabletext"/>
              <w:keepNext/>
              <w:keepLines/>
              <w:jc w:val="center"/>
              <w:rPr>
                <w:bCs/>
                <w:color w:val="000000"/>
              </w:rPr>
            </w:pPr>
            <w:r w:rsidRPr="007A70FB">
              <w:t>$</w:t>
            </w:r>
            <w:r w:rsidR="00FF4479">
              <w:rPr>
                <w:noProof/>
                <w:color w:val="000000"/>
                <w:highlight w:val="black"/>
              </w:rPr>
              <w:t>'''''''''''''''''''''</w:t>
            </w:r>
          </w:p>
        </w:tc>
        <w:tc>
          <w:tcPr>
            <w:tcW w:w="663" w:type="pct"/>
            <w:shd w:val="clear" w:color="auto" w:fill="auto"/>
            <w:vAlign w:val="center"/>
          </w:tcPr>
          <w:p w:rsidR="007110AB" w:rsidRPr="007A70FB" w:rsidRDefault="007110AB" w:rsidP="00BC6433">
            <w:pPr>
              <w:pStyle w:val="Tabletext"/>
              <w:keepNext/>
              <w:keepLines/>
              <w:jc w:val="center"/>
              <w:rPr>
                <w:bCs/>
                <w:color w:val="000000"/>
              </w:rPr>
            </w:pPr>
            <w:r w:rsidRPr="007A70FB">
              <w:t>$</w:t>
            </w:r>
            <w:r w:rsidR="00FF4479">
              <w:rPr>
                <w:noProof/>
                <w:color w:val="000000"/>
                <w:highlight w:val="black"/>
              </w:rPr>
              <w:t>'''''''''''''''''''''</w:t>
            </w:r>
          </w:p>
        </w:tc>
        <w:tc>
          <w:tcPr>
            <w:tcW w:w="663" w:type="pct"/>
            <w:shd w:val="clear" w:color="auto" w:fill="auto"/>
            <w:vAlign w:val="center"/>
          </w:tcPr>
          <w:p w:rsidR="007110AB" w:rsidRPr="007A70FB" w:rsidRDefault="007110AB" w:rsidP="00BC6433">
            <w:pPr>
              <w:pStyle w:val="Tabletext"/>
              <w:keepNext/>
              <w:keepLines/>
              <w:jc w:val="center"/>
              <w:rPr>
                <w:bCs/>
                <w:color w:val="000000"/>
              </w:rPr>
            </w:pPr>
            <w:r w:rsidRPr="007A70FB">
              <w:t>$</w:t>
            </w:r>
            <w:r w:rsidR="00FF4479">
              <w:rPr>
                <w:noProof/>
                <w:color w:val="000000"/>
                <w:highlight w:val="black"/>
              </w:rPr>
              <w:t>'''''''''''''''''''''''</w:t>
            </w:r>
          </w:p>
        </w:tc>
        <w:tc>
          <w:tcPr>
            <w:tcW w:w="663" w:type="pct"/>
            <w:shd w:val="clear" w:color="auto" w:fill="auto"/>
            <w:vAlign w:val="center"/>
          </w:tcPr>
          <w:p w:rsidR="007110AB" w:rsidRPr="007A70FB" w:rsidRDefault="007110AB" w:rsidP="00BC6433">
            <w:pPr>
              <w:pStyle w:val="Tabletext"/>
              <w:keepNext/>
              <w:keepLines/>
              <w:jc w:val="center"/>
              <w:rPr>
                <w:bCs/>
                <w:color w:val="000000"/>
              </w:rPr>
            </w:pPr>
            <w:r w:rsidRPr="007A70FB">
              <w:t>$</w:t>
            </w:r>
            <w:r w:rsidR="00FF4479">
              <w:rPr>
                <w:noProof/>
                <w:color w:val="000000"/>
                <w:highlight w:val="black"/>
              </w:rPr>
              <w:t>'''''''''''''''''''''</w:t>
            </w:r>
          </w:p>
        </w:tc>
        <w:tc>
          <w:tcPr>
            <w:tcW w:w="664" w:type="pct"/>
            <w:vAlign w:val="center"/>
          </w:tcPr>
          <w:p w:rsidR="007110AB" w:rsidRPr="007A70FB" w:rsidRDefault="007110AB" w:rsidP="00BC6433">
            <w:pPr>
              <w:pStyle w:val="Tabletext"/>
              <w:keepNext/>
              <w:keepLines/>
              <w:jc w:val="center"/>
              <w:rPr>
                <w:bCs/>
                <w:color w:val="000000"/>
              </w:rPr>
            </w:pPr>
            <w:r w:rsidRPr="007A70FB">
              <w:t>$</w:t>
            </w:r>
            <w:r w:rsidR="00FF4479">
              <w:rPr>
                <w:noProof/>
                <w:color w:val="000000"/>
                <w:highlight w:val="black"/>
              </w:rPr>
              <w:t>'''''''''''''''''''''''</w:t>
            </w:r>
          </w:p>
        </w:tc>
      </w:tr>
      <w:tr w:rsidR="007110AB" w:rsidRPr="007A70FB" w:rsidTr="00BC6433">
        <w:tc>
          <w:tcPr>
            <w:tcW w:w="1021" w:type="pct"/>
            <w:shd w:val="clear" w:color="auto" w:fill="auto"/>
            <w:vAlign w:val="center"/>
          </w:tcPr>
          <w:p w:rsidR="007110AB" w:rsidRPr="007A70FB" w:rsidRDefault="007110AB" w:rsidP="00BE1C76">
            <w:pPr>
              <w:pStyle w:val="Tabletext"/>
              <w:keepNext/>
              <w:keepLines/>
              <w:rPr>
                <w:sz w:val="19"/>
                <w:szCs w:val="19"/>
              </w:rPr>
            </w:pPr>
            <w:r w:rsidRPr="007A70FB">
              <w:rPr>
                <w:sz w:val="19"/>
                <w:szCs w:val="19"/>
              </w:rPr>
              <w:t>Copayments</w:t>
            </w:r>
          </w:p>
        </w:tc>
        <w:tc>
          <w:tcPr>
            <w:tcW w:w="663" w:type="pct"/>
            <w:shd w:val="clear" w:color="auto" w:fill="auto"/>
            <w:vAlign w:val="center"/>
          </w:tcPr>
          <w:p w:rsidR="007110AB" w:rsidRPr="007A70FB" w:rsidRDefault="007110AB" w:rsidP="00BC6433">
            <w:pPr>
              <w:pStyle w:val="Tabletext"/>
              <w:keepNext/>
              <w:keepLines/>
              <w:jc w:val="center"/>
              <w:rPr>
                <w:bCs/>
                <w:color w:val="000000"/>
              </w:rPr>
            </w:pPr>
            <w:r w:rsidRPr="007A70FB">
              <w:t>-$</w:t>
            </w:r>
            <w:r w:rsidR="00FF4479">
              <w:rPr>
                <w:noProof/>
                <w:color w:val="000000"/>
                <w:highlight w:val="black"/>
              </w:rPr>
              <w:t>'''''''''''''''''</w:t>
            </w:r>
          </w:p>
        </w:tc>
        <w:tc>
          <w:tcPr>
            <w:tcW w:w="663" w:type="pct"/>
            <w:shd w:val="clear" w:color="auto" w:fill="auto"/>
            <w:vAlign w:val="center"/>
          </w:tcPr>
          <w:p w:rsidR="007110AB" w:rsidRPr="007A70FB" w:rsidRDefault="007110AB" w:rsidP="00BC6433">
            <w:pPr>
              <w:pStyle w:val="Tabletext"/>
              <w:keepNext/>
              <w:keepLines/>
              <w:jc w:val="center"/>
              <w:rPr>
                <w:bCs/>
                <w:color w:val="000000"/>
              </w:rPr>
            </w:pPr>
            <w:r w:rsidRPr="007A70FB">
              <w:t>-$</w:t>
            </w:r>
            <w:r w:rsidR="00FF4479">
              <w:rPr>
                <w:noProof/>
                <w:color w:val="000000"/>
                <w:highlight w:val="black"/>
              </w:rPr>
              <w:t>''''''''''''''''</w:t>
            </w:r>
          </w:p>
        </w:tc>
        <w:tc>
          <w:tcPr>
            <w:tcW w:w="663" w:type="pct"/>
            <w:shd w:val="clear" w:color="auto" w:fill="auto"/>
            <w:vAlign w:val="center"/>
          </w:tcPr>
          <w:p w:rsidR="007110AB" w:rsidRPr="007A70FB" w:rsidRDefault="007110AB" w:rsidP="00BC6433">
            <w:pPr>
              <w:pStyle w:val="Tabletext"/>
              <w:keepNext/>
              <w:keepLines/>
              <w:jc w:val="center"/>
              <w:rPr>
                <w:bCs/>
                <w:color w:val="000000"/>
              </w:rPr>
            </w:pPr>
            <w:r w:rsidRPr="007A70FB">
              <w:t>-$</w:t>
            </w:r>
            <w:r w:rsidR="00FF4479">
              <w:rPr>
                <w:noProof/>
                <w:color w:val="000000"/>
                <w:highlight w:val="black"/>
              </w:rPr>
              <w:t>'''''''''''''''</w:t>
            </w:r>
          </w:p>
        </w:tc>
        <w:tc>
          <w:tcPr>
            <w:tcW w:w="663" w:type="pct"/>
            <w:shd w:val="clear" w:color="auto" w:fill="auto"/>
            <w:vAlign w:val="center"/>
          </w:tcPr>
          <w:p w:rsidR="007110AB" w:rsidRPr="007A70FB" w:rsidRDefault="007110AB" w:rsidP="00BC6433">
            <w:pPr>
              <w:pStyle w:val="Tabletext"/>
              <w:keepNext/>
              <w:keepLines/>
              <w:jc w:val="center"/>
              <w:rPr>
                <w:bCs/>
                <w:color w:val="000000"/>
              </w:rPr>
            </w:pPr>
            <w:r w:rsidRPr="007A70FB">
              <w:t>-$</w:t>
            </w:r>
            <w:r w:rsidR="00FF4479">
              <w:rPr>
                <w:noProof/>
                <w:color w:val="000000"/>
                <w:highlight w:val="black"/>
              </w:rPr>
              <w:t>''''''''''''''''</w:t>
            </w:r>
          </w:p>
        </w:tc>
        <w:tc>
          <w:tcPr>
            <w:tcW w:w="663" w:type="pct"/>
            <w:shd w:val="clear" w:color="auto" w:fill="auto"/>
            <w:vAlign w:val="center"/>
          </w:tcPr>
          <w:p w:rsidR="007110AB" w:rsidRPr="007A70FB" w:rsidRDefault="007110AB" w:rsidP="00BC6433">
            <w:pPr>
              <w:pStyle w:val="Tabletext"/>
              <w:keepNext/>
              <w:keepLines/>
              <w:jc w:val="center"/>
              <w:rPr>
                <w:bCs/>
                <w:color w:val="000000"/>
              </w:rPr>
            </w:pPr>
            <w:r w:rsidRPr="007A70FB">
              <w:t>-$</w:t>
            </w:r>
            <w:r w:rsidR="00FF4479">
              <w:rPr>
                <w:noProof/>
                <w:color w:val="000000"/>
                <w:highlight w:val="black"/>
              </w:rPr>
              <w:t>'''''''''''''''</w:t>
            </w:r>
          </w:p>
        </w:tc>
        <w:tc>
          <w:tcPr>
            <w:tcW w:w="664" w:type="pct"/>
            <w:vAlign w:val="center"/>
          </w:tcPr>
          <w:p w:rsidR="007110AB" w:rsidRPr="007A70FB" w:rsidRDefault="007110AB" w:rsidP="00BC6433">
            <w:pPr>
              <w:pStyle w:val="Tabletext"/>
              <w:keepNext/>
              <w:keepLines/>
              <w:jc w:val="center"/>
              <w:rPr>
                <w:bCs/>
                <w:color w:val="000000"/>
              </w:rPr>
            </w:pPr>
            <w:r w:rsidRPr="007A70FB">
              <w:t>-$</w:t>
            </w:r>
            <w:r w:rsidR="00FF4479">
              <w:rPr>
                <w:noProof/>
                <w:color w:val="000000"/>
                <w:highlight w:val="black"/>
              </w:rPr>
              <w:t>''''''''''''''''</w:t>
            </w:r>
          </w:p>
        </w:tc>
      </w:tr>
      <w:tr w:rsidR="007110AB" w:rsidRPr="007A70FB" w:rsidTr="00BC6433">
        <w:tc>
          <w:tcPr>
            <w:tcW w:w="1021" w:type="pct"/>
            <w:shd w:val="clear" w:color="auto" w:fill="auto"/>
            <w:vAlign w:val="center"/>
          </w:tcPr>
          <w:p w:rsidR="007110AB" w:rsidRPr="007A70FB" w:rsidRDefault="007110AB" w:rsidP="00BE1C76">
            <w:pPr>
              <w:pStyle w:val="Tabletext"/>
              <w:keepNext/>
              <w:keepLines/>
              <w:rPr>
                <w:sz w:val="19"/>
                <w:szCs w:val="19"/>
              </w:rPr>
            </w:pPr>
            <w:r w:rsidRPr="007A70FB">
              <w:rPr>
                <w:sz w:val="19"/>
                <w:szCs w:val="19"/>
              </w:rPr>
              <w:t>Cost to PBS/RPBS less copayments</w:t>
            </w:r>
          </w:p>
        </w:tc>
        <w:tc>
          <w:tcPr>
            <w:tcW w:w="663" w:type="pct"/>
            <w:shd w:val="clear" w:color="auto" w:fill="auto"/>
            <w:vAlign w:val="center"/>
          </w:tcPr>
          <w:p w:rsidR="007110AB" w:rsidRPr="007A70FB" w:rsidRDefault="007110AB" w:rsidP="00BC6433">
            <w:pPr>
              <w:pStyle w:val="Tabletext"/>
              <w:keepNext/>
              <w:keepLines/>
              <w:jc w:val="center"/>
            </w:pPr>
            <w:r w:rsidRPr="007A70FB">
              <w:t>$</w:t>
            </w:r>
            <w:r w:rsidR="00FF4479">
              <w:rPr>
                <w:noProof/>
                <w:color w:val="000000"/>
                <w:highlight w:val="black"/>
              </w:rPr>
              <w:t>'''''''''''''''''''''''''</w:t>
            </w:r>
          </w:p>
        </w:tc>
        <w:tc>
          <w:tcPr>
            <w:tcW w:w="663" w:type="pct"/>
            <w:shd w:val="clear" w:color="auto" w:fill="auto"/>
            <w:vAlign w:val="center"/>
          </w:tcPr>
          <w:p w:rsidR="007110AB" w:rsidRPr="007A70FB" w:rsidRDefault="007110AB" w:rsidP="00BC6433">
            <w:pPr>
              <w:pStyle w:val="Tabletext"/>
              <w:keepNext/>
              <w:keepLines/>
              <w:jc w:val="center"/>
            </w:pPr>
            <w:r w:rsidRPr="007A70FB">
              <w:t>$</w:t>
            </w:r>
            <w:r w:rsidR="00FF4479">
              <w:rPr>
                <w:noProof/>
                <w:color w:val="000000"/>
                <w:highlight w:val="black"/>
              </w:rPr>
              <w:t>'''''''''''''''''''''''''</w:t>
            </w:r>
          </w:p>
        </w:tc>
        <w:tc>
          <w:tcPr>
            <w:tcW w:w="663" w:type="pct"/>
            <w:shd w:val="clear" w:color="auto" w:fill="auto"/>
            <w:vAlign w:val="center"/>
          </w:tcPr>
          <w:p w:rsidR="007110AB" w:rsidRPr="007A70FB" w:rsidRDefault="007110AB" w:rsidP="00BC6433">
            <w:pPr>
              <w:pStyle w:val="Tabletext"/>
              <w:keepNext/>
              <w:keepLines/>
              <w:jc w:val="center"/>
            </w:pPr>
            <w:r w:rsidRPr="007A70FB">
              <w:t>$</w:t>
            </w:r>
            <w:r w:rsidR="00FF4479">
              <w:rPr>
                <w:noProof/>
                <w:color w:val="000000"/>
                <w:highlight w:val="black"/>
              </w:rPr>
              <w:t>''''''''''''''''''''''''</w:t>
            </w:r>
          </w:p>
        </w:tc>
        <w:tc>
          <w:tcPr>
            <w:tcW w:w="663" w:type="pct"/>
            <w:shd w:val="clear" w:color="auto" w:fill="auto"/>
            <w:vAlign w:val="center"/>
          </w:tcPr>
          <w:p w:rsidR="007110AB" w:rsidRPr="007A70FB" w:rsidRDefault="007110AB" w:rsidP="00BC6433">
            <w:pPr>
              <w:pStyle w:val="Tabletext"/>
              <w:keepNext/>
              <w:keepLines/>
              <w:jc w:val="center"/>
            </w:pPr>
            <w:r w:rsidRPr="007A70FB">
              <w:t>$</w:t>
            </w:r>
            <w:r w:rsidR="00FF4479">
              <w:rPr>
                <w:noProof/>
                <w:color w:val="000000"/>
                <w:highlight w:val="black"/>
              </w:rPr>
              <w:t>''''''''''''''''''''''''</w:t>
            </w:r>
          </w:p>
        </w:tc>
        <w:tc>
          <w:tcPr>
            <w:tcW w:w="663" w:type="pct"/>
            <w:shd w:val="clear" w:color="auto" w:fill="auto"/>
            <w:vAlign w:val="center"/>
          </w:tcPr>
          <w:p w:rsidR="007110AB" w:rsidRPr="007A70FB" w:rsidRDefault="007110AB" w:rsidP="00BC6433">
            <w:pPr>
              <w:pStyle w:val="Tabletext"/>
              <w:keepNext/>
              <w:keepLines/>
              <w:jc w:val="center"/>
            </w:pPr>
            <w:r w:rsidRPr="007A70FB">
              <w:t>$</w:t>
            </w:r>
            <w:r w:rsidR="00FF4479">
              <w:rPr>
                <w:noProof/>
                <w:color w:val="000000"/>
                <w:highlight w:val="black"/>
              </w:rPr>
              <w:t>''''''''''''''''''''''</w:t>
            </w:r>
          </w:p>
        </w:tc>
        <w:tc>
          <w:tcPr>
            <w:tcW w:w="664" w:type="pct"/>
            <w:vAlign w:val="center"/>
          </w:tcPr>
          <w:p w:rsidR="007110AB" w:rsidRPr="007A70FB" w:rsidRDefault="007110AB" w:rsidP="00BC6433">
            <w:pPr>
              <w:pStyle w:val="Tabletext"/>
              <w:keepNext/>
              <w:keepLines/>
              <w:jc w:val="center"/>
            </w:pPr>
            <w:r w:rsidRPr="007A70FB">
              <w:t>$</w:t>
            </w:r>
            <w:r w:rsidR="00FF4479">
              <w:rPr>
                <w:noProof/>
                <w:color w:val="000000"/>
                <w:highlight w:val="black"/>
              </w:rPr>
              <w:t>''''''''''''''''''''''''''</w:t>
            </w:r>
          </w:p>
        </w:tc>
      </w:tr>
      <w:tr w:rsidR="007110AB" w:rsidRPr="007A70FB" w:rsidTr="00C45DFE">
        <w:tc>
          <w:tcPr>
            <w:tcW w:w="5000" w:type="pct"/>
            <w:gridSpan w:val="7"/>
            <w:shd w:val="clear" w:color="auto" w:fill="auto"/>
            <w:vAlign w:val="center"/>
          </w:tcPr>
          <w:p w:rsidR="007110AB" w:rsidRPr="007A70FB" w:rsidRDefault="007110AB" w:rsidP="00BE1C76">
            <w:pPr>
              <w:pStyle w:val="Tabletext"/>
              <w:keepNext/>
              <w:keepLines/>
              <w:rPr>
                <w:b/>
                <w:bCs/>
                <w:color w:val="000000"/>
              </w:rPr>
            </w:pPr>
            <w:r w:rsidRPr="007A70FB">
              <w:rPr>
                <w:b/>
                <w:bCs/>
                <w:color w:val="000000"/>
              </w:rPr>
              <w:t>Net financial implications</w:t>
            </w:r>
          </w:p>
        </w:tc>
      </w:tr>
      <w:tr w:rsidR="007110AB" w:rsidRPr="007A70FB" w:rsidTr="00D106BA">
        <w:tc>
          <w:tcPr>
            <w:tcW w:w="1021" w:type="pct"/>
            <w:tcBorders>
              <w:bottom w:val="single" w:sz="4" w:space="0" w:color="auto"/>
            </w:tcBorders>
            <w:shd w:val="clear" w:color="auto" w:fill="auto"/>
            <w:vAlign w:val="center"/>
          </w:tcPr>
          <w:p w:rsidR="007110AB" w:rsidRPr="007A70FB" w:rsidRDefault="007110AB" w:rsidP="00BE1C76">
            <w:pPr>
              <w:pStyle w:val="Tabletext"/>
              <w:keepNext/>
              <w:keepLines/>
              <w:rPr>
                <w:sz w:val="19"/>
                <w:szCs w:val="19"/>
              </w:rPr>
            </w:pPr>
            <w:r w:rsidRPr="007A70FB">
              <w:rPr>
                <w:sz w:val="19"/>
                <w:szCs w:val="19"/>
              </w:rPr>
              <w:t>Net cost to PBS/RPBS</w:t>
            </w:r>
            <w:r w:rsidR="00DF5CE7">
              <w:rPr>
                <w:sz w:val="19"/>
                <w:szCs w:val="19"/>
                <w:vertAlign w:val="superscript"/>
              </w:rPr>
              <w:t>d</w:t>
            </w:r>
            <w:r w:rsidRPr="007A70FB">
              <w:rPr>
                <w:sz w:val="19"/>
                <w:szCs w:val="19"/>
              </w:rPr>
              <w:t xml:space="preserve"> </w:t>
            </w:r>
          </w:p>
        </w:tc>
        <w:tc>
          <w:tcPr>
            <w:tcW w:w="663" w:type="pct"/>
            <w:tcBorders>
              <w:bottom w:val="single" w:sz="4" w:space="0" w:color="auto"/>
            </w:tcBorders>
            <w:shd w:val="clear" w:color="auto" w:fill="auto"/>
          </w:tcPr>
          <w:p w:rsidR="007110AB" w:rsidRPr="007A70FB" w:rsidRDefault="007110AB" w:rsidP="00BE1C76">
            <w:pPr>
              <w:pStyle w:val="Tabletext"/>
              <w:keepNext/>
              <w:keepLines/>
              <w:jc w:val="center"/>
              <w:rPr>
                <w:bCs/>
                <w:color w:val="000000"/>
              </w:rPr>
            </w:pPr>
            <w:r w:rsidRPr="007A70FB">
              <w:t>$</w:t>
            </w:r>
            <w:r w:rsidR="00FF4479">
              <w:rPr>
                <w:noProof/>
                <w:color w:val="000000"/>
                <w:highlight w:val="black"/>
              </w:rPr>
              <w:t>''''''''''''''''''''''</w:t>
            </w:r>
          </w:p>
        </w:tc>
        <w:tc>
          <w:tcPr>
            <w:tcW w:w="663" w:type="pct"/>
            <w:tcBorders>
              <w:bottom w:val="single" w:sz="4" w:space="0" w:color="auto"/>
            </w:tcBorders>
            <w:shd w:val="clear" w:color="auto" w:fill="auto"/>
          </w:tcPr>
          <w:p w:rsidR="007110AB" w:rsidRPr="007A70FB" w:rsidRDefault="007110AB" w:rsidP="00BE1C76">
            <w:pPr>
              <w:pStyle w:val="Tabletext"/>
              <w:keepNext/>
              <w:keepLines/>
              <w:jc w:val="center"/>
              <w:rPr>
                <w:bCs/>
                <w:color w:val="000000"/>
              </w:rPr>
            </w:pPr>
            <w:r w:rsidRPr="007A70FB">
              <w:t>$</w:t>
            </w:r>
            <w:r w:rsidR="00FF4479">
              <w:rPr>
                <w:noProof/>
                <w:color w:val="000000"/>
                <w:highlight w:val="black"/>
              </w:rPr>
              <w:t>'''''''''''''''''</w:t>
            </w:r>
          </w:p>
        </w:tc>
        <w:tc>
          <w:tcPr>
            <w:tcW w:w="663" w:type="pct"/>
            <w:tcBorders>
              <w:bottom w:val="single" w:sz="4" w:space="0" w:color="auto"/>
            </w:tcBorders>
            <w:shd w:val="clear" w:color="auto" w:fill="auto"/>
          </w:tcPr>
          <w:p w:rsidR="007110AB" w:rsidRPr="007A70FB" w:rsidRDefault="007110AB" w:rsidP="00BE1C76">
            <w:pPr>
              <w:pStyle w:val="Tabletext"/>
              <w:keepNext/>
              <w:keepLines/>
              <w:jc w:val="center"/>
              <w:rPr>
                <w:bCs/>
                <w:color w:val="000000"/>
              </w:rPr>
            </w:pPr>
            <w:r w:rsidRPr="007A70FB">
              <w:t>$</w:t>
            </w:r>
            <w:r w:rsidR="00FF4479">
              <w:rPr>
                <w:noProof/>
                <w:color w:val="000000"/>
                <w:highlight w:val="black"/>
              </w:rPr>
              <w:t>'''''''''''''''''''''</w:t>
            </w:r>
          </w:p>
        </w:tc>
        <w:tc>
          <w:tcPr>
            <w:tcW w:w="663" w:type="pct"/>
            <w:tcBorders>
              <w:bottom w:val="single" w:sz="4" w:space="0" w:color="auto"/>
            </w:tcBorders>
            <w:shd w:val="clear" w:color="auto" w:fill="auto"/>
          </w:tcPr>
          <w:p w:rsidR="007110AB" w:rsidRPr="007A70FB" w:rsidRDefault="007110AB" w:rsidP="00BE1C76">
            <w:pPr>
              <w:pStyle w:val="Tabletext"/>
              <w:keepNext/>
              <w:keepLines/>
              <w:jc w:val="center"/>
              <w:rPr>
                <w:bCs/>
                <w:color w:val="000000"/>
              </w:rPr>
            </w:pPr>
            <w:r w:rsidRPr="007A70FB">
              <w:t>$</w:t>
            </w:r>
            <w:r w:rsidR="00FF4479">
              <w:rPr>
                <w:noProof/>
                <w:color w:val="000000"/>
                <w:highlight w:val="black"/>
              </w:rPr>
              <w:t>'''''''''''''''''''</w:t>
            </w:r>
          </w:p>
        </w:tc>
        <w:tc>
          <w:tcPr>
            <w:tcW w:w="663" w:type="pct"/>
            <w:tcBorders>
              <w:bottom w:val="single" w:sz="4" w:space="0" w:color="auto"/>
            </w:tcBorders>
            <w:shd w:val="clear" w:color="auto" w:fill="auto"/>
          </w:tcPr>
          <w:p w:rsidR="007110AB" w:rsidRPr="007A70FB" w:rsidRDefault="007110AB" w:rsidP="00BE1C76">
            <w:pPr>
              <w:pStyle w:val="Tabletext"/>
              <w:keepNext/>
              <w:keepLines/>
              <w:jc w:val="center"/>
              <w:rPr>
                <w:bCs/>
                <w:color w:val="000000"/>
              </w:rPr>
            </w:pPr>
            <w:r w:rsidRPr="007A70FB">
              <w:t>$</w:t>
            </w:r>
            <w:r w:rsidR="00FF4479">
              <w:rPr>
                <w:noProof/>
                <w:color w:val="000000"/>
                <w:highlight w:val="black"/>
              </w:rPr>
              <w:t>'''''''''''''''''''</w:t>
            </w:r>
          </w:p>
        </w:tc>
        <w:tc>
          <w:tcPr>
            <w:tcW w:w="664" w:type="pct"/>
            <w:tcBorders>
              <w:bottom w:val="single" w:sz="4" w:space="0" w:color="auto"/>
            </w:tcBorders>
          </w:tcPr>
          <w:p w:rsidR="007110AB" w:rsidRPr="007A70FB" w:rsidRDefault="007110AB" w:rsidP="00BE1C76">
            <w:pPr>
              <w:pStyle w:val="Tabletext"/>
              <w:keepNext/>
              <w:keepLines/>
              <w:jc w:val="center"/>
              <w:rPr>
                <w:bCs/>
                <w:color w:val="000000"/>
              </w:rPr>
            </w:pPr>
            <w:r w:rsidRPr="007A70FB">
              <w:t>$</w:t>
            </w:r>
            <w:r w:rsidR="00FF4479">
              <w:rPr>
                <w:noProof/>
                <w:color w:val="000000"/>
                <w:highlight w:val="black"/>
              </w:rPr>
              <w:t>''''''''''''''''''</w:t>
            </w:r>
          </w:p>
        </w:tc>
      </w:tr>
    </w:tbl>
    <w:p w:rsidR="00D106BA" w:rsidRPr="007A70FB" w:rsidRDefault="00D106BA" w:rsidP="00BE1C76">
      <w:pPr>
        <w:pStyle w:val="TableFooter"/>
        <w:keepNext/>
        <w:keepLines/>
        <w:widowControl/>
      </w:pPr>
      <w:r w:rsidRPr="007A70FB">
        <w:t>Source: Table 4.2.8 pp28-229, Table 4.3.2 pp231-232</w:t>
      </w:r>
      <w:r w:rsidR="00F46C71" w:rsidRPr="007A70FB">
        <w:t>,</w:t>
      </w:r>
      <w:r w:rsidRPr="007A70FB">
        <w:t xml:space="preserve"> Table 4.4.1 p233</w:t>
      </w:r>
      <w:r w:rsidR="001342A1" w:rsidRPr="007A70FB">
        <w:t xml:space="preserve">, </w:t>
      </w:r>
      <w:r w:rsidR="00F46C71" w:rsidRPr="007A70FB">
        <w:t xml:space="preserve">Table 4.6.1 p236, </w:t>
      </w:r>
      <w:r w:rsidR="001342A1" w:rsidRPr="007A70FB">
        <w:t>Table 4.6.2 pp236-237 of the submission.</w:t>
      </w:r>
      <w:r w:rsidRPr="007A70FB">
        <w:t xml:space="preserve"> </w:t>
      </w:r>
    </w:p>
    <w:p w:rsidR="0026351A" w:rsidRPr="007A70FB" w:rsidRDefault="0026351A" w:rsidP="00BE1C76">
      <w:pPr>
        <w:keepNext/>
        <w:keepLines/>
        <w:widowControl/>
        <w:rPr>
          <w:rFonts w:ascii="Arial Narrow" w:hAnsi="Arial Narrow"/>
          <w:iCs/>
          <w:snapToGrid/>
          <w:sz w:val="18"/>
          <w:szCs w:val="18"/>
          <w:lang w:eastAsia="en-AU"/>
        </w:rPr>
      </w:pPr>
      <w:r w:rsidRPr="007A70FB">
        <w:rPr>
          <w:rFonts w:ascii="Arial Narrow" w:hAnsi="Arial Narrow"/>
          <w:iCs/>
          <w:snapToGrid/>
          <w:sz w:val="18"/>
          <w:szCs w:val="18"/>
          <w:lang w:eastAsia="en-AU"/>
        </w:rPr>
        <w:t xml:space="preserve">Abbreviations: PBS = Pharmaceutical Benefit Scheme; RPBS = Repatriation Pharmaceutical Benefits Scheme. </w:t>
      </w:r>
    </w:p>
    <w:p w:rsidR="00BC6433" w:rsidRPr="007A70FB" w:rsidRDefault="00CE4EAB" w:rsidP="00DE6AA3">
      <w:pPr>
        <w:pStyle w:val="TableFooter"/>
        <w:keepNext/>
        <w:keepLines/>
        <w:widowControl/>
        <w:tabs>
          <w:tab w:val="left" w:pos="142"/>
        </w:tabs>
      </w:pPr>
      <w:r w:rsidRPr="007A70FB">
        <w:t xml:space="preserve">Notes: </w:t>
      </w:r>
    </w:p>
    <w:p w:rsidR="007110AB" w:rsidRPr="007A70FB" w:rsidRDefault="000C5516" w:rsidP="00DE6AA3">
      <w:pPr>
        <w:pStyle w:val="TableFooter"/>
        <w:keepNext/>
        <w:keepLines/>
        <w:widowControl/>
        <w:tabs>
          <w:tab w:val="left" w:pos="142"/>
        </w:tabs>
      </w:pPr>
      <w:r w:rsidRPr="007A70FB">
        <w:rPr>
          <w:vertAlign w:val="superscript"/>
        </w:rPr>
        <w:t>a</w:t>
      </w:r>
      <w:r w:rsidRPr="007A70FB">
        <w:t xml:space="preserve"> </w:t>
      </w:r>
      <w:r w:rsidR="007110AB" w:rsidRPr="007A70FB">
        <w:t xml:space="preserve">Assuming </w:t>
      </w:r>
      <w:r w:rsidRPr="007A70FB">
        <w:t>8.13</w:t>
      </w:r>
      <w:r w:rsidR="007110AB" w:rsidRPr="007A70FB">
        <w:t xml:space="preserve"> </w:t>
      </w:r>
      <w:r w:rsidRPr="007A70FB">
        <w:t xml:space="preserve">scripts </w:t>
      </w:r>
      <w:r w:rsidR="00463229" w:rsidRPr="007A70FB">
        <w:t xml:space="preserve">are dispensed per patient per year </w:t>
      </w:r>
      <w:r w:rsidR="007110AB" w:rsidRPr="007A70FB">
        <w:t>as estimated by the submission</w:t>
      </w:r>
      <w:r w:rsidR="002A3031" w:rsidRPr="007A70FB">
        <w:t xml:space="preserve">. </w:t>
      </w:r>
    </w:p>
    <w:p w:rsidR="000E48E7" w:rsidRPr="007A70FB" w:rsidRDefault="00DF5CE7" w:rsidP="00DF5CE7">
      <w:pPr>
        <w:pStyle w:val="TableFooter"/>
        <w:keepNext/>
        <w:keepLines/>
        <w:widowControl/>
        <w:tabs>
          <w:tab w:val="left" w:pos="142"/>
        </w:tabs>
        <w:rPr>
          <w:iCs/>
          <w:vertAlign w:val="superscript"/>
        </w:rPr>
      </w:pPr>
      <w:r w:rsidRPr="00DF5CE7">
        <w:rPr>
          <w:vertAlign w:val="superscript"/>
        </w:rPr>
        <w:t>b</w:t>
      </w:r>
      <w:r w:rsidR="000E48E7" w:rsidRPr="007A70FB">
        <w:rPr>
          <w:i/>
          <w:vertAlign w:val="superscript"/>
        </w:rPr>
        <w:t xml:space="preserve"> </w:t>
      </w:r>
      <w:r w:rsidR="007C36C1" w:rsidRPr="007A70FB">
        <w:rPr>
          <w:iCs/>
        </w:rPr>
        <w:t xml:space="preserve">Includes </w:t>
      </w:r>
      <w:r w:rsidR="00FF4479">
        <w:rPr>
          <w:iCs/>
          <w:noProof/>
          <w:color w:val="000000"/>
          <w:highlight w:val="black"/>
        </w:rPr>
        <w:t xml:space="preserve">'''''' </w:t>
      </w:r>
      <w:r w:rsidR="007C36C1" w:rsidRPr="007A70FB">
        <w:rPr>
          <w:iCs/>
        </w:rPr>
        <w:t>grandfathered patients.</w:t>
      </w:r>
      <w:r w:rsidR="007C36C1" w:rsidRPr="007A70FB">
        <w:rPr>
          <w:iCs/>
          <w:vertAlign w:val="superscript"/>
        </w:rPr>
        <w:t xml:space="preserve"> </w:t>
      </w:r>
    </w:p>
    <w:p w:rsidR="005F3ED9" w:rsidRDefault="00DF5CE7" w:rsidP="00BE1C76">
      <w:pPr>
        <w:pStyle w:val="TableFooter"/>
        <w:keepNext/>
        <w:keepLines/>
        <w:widowControl/>
        <w:tabs>
          <w:tab w:val="left" w:pos="142"/>
        </w:tabs>
        <w:rPr>
          <w:iCs/>
        </w:rPr>
      </w:pPr>
      <w:r>
        <w:rPr>
          <w:iCs/>
          <w:vertAlign w:val="superscript"/>
        </w:rPr>
        <w:t>c</w:t>
      </w:r>
      <w:r w:rsidR="005F3ED9" w:rsidRPr="007A70FB">
        <w:rPr>
          <w:iCs/>
          <w:vertAlign w:val="superscript"/>
        </w:rPr>
        <w:t xml:space="preserve"> </w:t>
      </w:r>
      <w:r w:rsidR="005F3ED9" w:rsidRPr="007A70FB">
        <w:rPr>
          <w:iCs/>
        </w:rPr>
        <w:t>Assuming 8.7 scripts per course of alectinib treatment, and 4.9 scripts per course of ceritinib treatment.</w:t>
      </w:r>
    </w:p>
    <w:p w:rsidR="00DF5CE7" w:rsidRDefault="00DF5CE7" w:rsidP="00DF5CE7">
      <w:pPr>
        <w:pStyle w:val="TableFooter"/>
        <w:keepNext/>
        <w:keepLines/>
        <w:widowControl/>
        <w:tabs>
          <w:tab w:val="left" w:pos="142"/>
        </w:tabs>
        <w:rPr>
          <w:iCs/>
        </w:rPr>
      </w:pPr>
      <w:r>
        <w:rPr>
          <w:vertAlign w:val="superscript"/>
        </w:rPr>
        <w:t>d</w:t>
      </w:r>
      <w:r w:rsidRPr="007A70FB">
        <w:t xml:space="preserve"> </w:t>
      </w:r>
      <w:r w:rsidRPr="007A70FB">
        <w:rPr>
          <w:iCs/>
        </w:rPr>
        <w:t xml:space="preserve">Submission base case assumed substitution of alectinib was </w:t>
      </w:r>
      <w:r w:rsidR="00FF4479">
        <w:rPr>
          <w:iCs/>
          <w:noProof/>
          <w:color w:val="000000"/>
          <w:highlight w:val="black"/>
        </w:rPr>
        <w:t>''''''</w:t>
      </w:r>
      <w:r w:rsidRPr="007A70FB">
        <w:rPr>
          <w:iCs/>
        </w:rPr>
        <w:t xml:space="preserve">% and ceritinib </w:t>
      </w:r>
      <w:r w:rsidRPr="005660D9">
        <w:rPr>
          <w:iCs/>
        </w:rPr>
        <w:t xml:space="preserve">was </w:t>
      </w:r>
      <w:r w:rsidR="00FF4479">
        <w:rPr>
          <w:iCs/>
          <w:noProof/>
          <w:color w:val="000000"/>
          <w:highlight w:val="black"/>
        </w:rPr>
        <w:t>'''''''</w:t>
      </w:r>
      <w:r w:rsidRPr="005660D9">
        <w:rPr>
          <w:iCs/>
        </w:rPr>
        <w:t>%.</w:t>
      </w:r>
      <w:r w:rsidRPr="007A70FB">
        <w:rPr>
          <w:iCs/>
        </w:rPr>
        <w:t xml:space="preserve"> </w:t>
      </w:r>
    </w:p>
    <w:p w:rsidR="003022F1" w:rsidRDefault="003022F1" w:rsidP="00DF5CE7">
      <w:pPr>
        <w:pStyle w:val="TableFooter"/>
        <w:keepNext/>
        <w:keepLines/>
        <w:widowControl/>
        <w:tabs>
          <w:tab w:val="left" w:pos="142"/>
        </w:tabs>
        <w:rPr>
          <w:iCs/>
        </w:rPr>
      </w:pPr>
    </w:p>
    <w:p w:rsidR="007C54E6" w:rsidRDefault="00914DE9">
      <w:pPr>
        <w:widowControl/>
        <w:jc w:val="left"/>
        <w:rPr>
          <w:rFonts w:asciiTheme="minorHAnsi" w:hAnsiTheme="minorHAnsi" w:cstheme="minorHAnsi"/>
          <w:b/>
          <w:szCs w:val="24"/>
        </w:rPr>
      </w:pPr>
      <w:r>
        <w:rPr>
          <w:rFonts w:cstheme="minorHAnsi"/>
          <w:szCs w:val="24"/>
        </w:rPr>
        <w:t xml:space="preserve">The redacted table shows that at Year 6, the estimated number of patients was less than 10,000 and the net cost to the PBS/RPBS would be less than $10 million. </w:t>
      </w:r>
      <w:r w:rsidR="007C54E6">
        <w:rPr>
          <w:rFonts w:cstheme="minorHAnsi"/>
          <w:b/>
          <w:i/>
          <w:szCs w:val="24"/>
        </w:rPr>
        <w:br w:type="page"/>
      </w:r>
    </w:p>
    <w:p w:rsidR="003022F1" w:rsidRPr="005F4582" w:rsidRDefault="003022F1" w:rsidP="003022F1">
      <w:pPr>
        <w:pStyle w:val="Bodytextitalics"/>
        <w:ind w:firstLine="0"/>
        <w:jc w:val="center"/>
        <w:rPr>
          <w:rFonts w:eastAsia="Times New Roman" w:cstheme="minorHAnsi"/>
          <w:b/>
          <w:i w:val="0"/>
          <w:snapToGrid w:val="0"/>
          <w:szCs w:val="24"/>
          <w:lang w:eastAsia="en-US"/>
        </w:rPr>
      </w:pPr>
      <w:r w:rsidRPr="005F4582">
        <w:rPr>
          <w:rFonts w:eastAsia="Times New Roman" w:cstheme="minorHAnsi"/>
          <w:b/>
          <w:i w:val="0"/>
          <w:snapToGrid w:val="0"/>
          <w:szCs w:val="24"/>
          <w:lang w:eastAsia="en-US"/>
        </w:rPr>
        <w:lastRenderedPageBreak/>
        <w:t>Committee-in-Confidence information</w:t>
      </w:r>
    </w:p>
    <w:p w:rsidR="003022F1" w:rsidRPr="002609E0" w:rsidRDefault="003022F1" w:rsidP="002609E0">
      <w:pPr>
        <w:pStyle w:val="Caption"/>
        <w:keepNext/>
        <w:spacing w:after="0"/>
        <w:rPr>
          <w:rStyle w:val="CommentReference"/>
          <w:b/>
          <w:iCs w:val="0"/>
          <w:szCs w:val="20"/>
        </w:rPr>
      </w:pPr>
      <w:r w:rsidRPr="002609E0">
        <w:rPr>
          <w:iCs w:val="0"/>
        </w:rPr>
        <w:t xml:space="preserve">Table </w:t>
      </w:r>
      <w:r w:rsidR="002609E0" w:rsidRPr="002609E0">
        <w:rPr>
          <w:iCs w:val="0"/>
        </w:rPr>
        <w:t>13</w:t>
      </w:r>
      <w:r w:rsidRPr="002609E0">
        <w:rPr>
          <w:rStyle w:val="CommentReference"/>
          <w:b/>
          <w:iCs w:val="0"/>
        </w:rPr>
        <w:t>: Estimated use and financial implications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Estimated use and financial implications"/>
      </w:tblPr>
      <w:tblGrid>
        <w:gridCol w:w="1978"/>
        <w:gridCol w:w="1019"/>
        <w:gridCol w:w="1184"/>
        <w:gridCol w:w="1184"/>
        <w:gridCol w:w="1184"/>
        <w:gridCol w:w="1184"/>
        <w:gridCol w:w="1194"/>
      </w:tblGrid>
      <w:tr w:rsidR="003022F1" w:rsidRPr="002609E0" w:rsidTr="002609E0">
        <w:trPr>
          <w:tblHeader/>
        </w:trPr>
        <w:tc>
          <w:tcPr>
            <w:tcW w:w="1108" w:type="pct"/>
            <w:tcBorders>
              <w:top w:val="single" w:sz="4" w:space="0" w:color="auto"/>
              <w:left w:val="single" w:sz="4" w:space="0" w:color="auto"/>
              <w:bottom w:val="single" w:sz="4" w:space="0" w:color="auto"/>
              <w:right w:val="single" w:sz="4" w:space="0" w:color="auto"/>
            </w:tcBorders>
            <w:vAlign w:val="center"/>
          </w:tcPr>
          <w:p w:rsidR="003022F1" w:rsidRPr="00EF7D8C" w:rsidRDefault="003022F1" w:rsidP="00D26016">
            <w:pPr>
              <w:pStyle w:val="Tabletext"/>
              <w:keepNext/>
              <w:keepLines/>
              <w:spacing w:line="276" w:lineRule="auto"/>
              <w:rPr>
                <w:i/>
              </w:rPr>
            </w:pPr>
          </w:p>
        </w:tc>
        <w:tc>
          <w:tcPr>
            <w:tcW w:w="571" w:type="pct"/>
            <w:tcBorders>
              <w:top w:val="single" w:sz="4" w:space="0" w:color="auto"/>
              <w:left w:val="single" w:sz="4" w:space="0" w:color="auto"/>
              <w:bottom w:val="single" w:sz="4" w:space="0" w:color="auto"/>
              <w:right w:val="single" w:sz="4" w:space="0" w:color="auto"/>
            </w:tcBorders>
            <w:vAlign w:val="center"/>
            <w:hideMark/>
          </w:tcPr>
          <w:p w:rsidR="003022F1" w:rsidRPr="005706EA" w:rsidRDefault="003022F1" w:rsidP="00D26016">
            <w:pPr>
              <w:pStyle w:val="Tabletext"/>
              <w:keepNext/>
              <w:keepLines/>
              <w:spacing w:line="276" w:lineRule="auto"/>
              <w:jc w:val="center"/>
              <w:rPr>
                <w:b/>
                <w:iCs/>
              </w:rPr>
            </w:pPr>
            <w:r w:rsidRPr="005706EA">
              <w:rPr>
                <w:b/>
                <w:iCs/>
              </w:rPr>
              <w:t>Year 1</w:t>
            </w:r>
          </w:p>
        </w:tc>
        <w:tc>
          <w:tcPr>
            <w:tcW w:w="663" w:type="pct"/>
            <w:tcBorders>
              <w:top w:val="single" w:sz="4" w:space="0" w:color="auto"/>
              <w:left w:val="single" w:sz="4" w:space="0" w:color="auto"/>
              <w:bottom w:val="single" w:sz="4" w:space="0" w:color="auto"/>
              <w:right w:val="single" w:sz="4" w:space="0" w:color="auto"/>
            </w:tcBorders>
            <w:vAlign w:val="center"/>
            <w:hideMark/>
          </w:tcPr>
          <w:p w:rsidR="003022F1" w:rsidRPr="005706EA" w:rsidRDefault="003022F1" w:rsidP="00D26016">
            <w:pPr>
              <w:pStyle w:val="Tabletext"/>
              <w:keepNext/>
              <w:keepLines/>
              <w:spacing w:line="276" w:lineRule="auto"/>
              <w:jc w:val="center"/>
              <w:rPr>
                <w:b/>
                <w:iCs/>
              </w:rPr>
            </w:pPr>
            <w:r w:rsidRPr="005706EA">
              <w:rPr>
                <w:b/>
                <w:iCs/>
              </w:rPr>
              <w:t>Year 2</w:t>
            </w:r>
          </w:p>
        </w:tc>
        <w:tc>
          <w:tcPr>
            <w:tcW w:w="663" w:type="pct"/>
            <w:tcBorders>
              <w:top w:val="single" w:sz="4" w:space="0" w:color="auto"/>
              <w:left w:val="single" w:sz="4" w:space="0" w:color="auto"/>
              <w:bottom w:val="single" w:sz="4" w:space="0" w:color="auto"/>
              <w:right w:val="single" w:sz="4" w:space="0" w:color="auto"/>
            </w:tcBorders>
            <w:vAlign w:val="center"/>
            <w:hideMark/>
          </w:tcPr>
          <w:p w:rsidR="003022F1" w:rsidRPr="005706EA" w:rsidRDefault="003022F1" w:rsidP="00D26016">
            <w:pPr>
              <w:pStyle w:val="Tabletext"/>
              <w:keepNext/>
              <w:keepLines/>
              <w:spacing w:line="276" w:lineRule="auto"/>
              <w:jc w:val="center"/>
              <w:rPr>
                <w:b/>
                <w:iCs/>
              </w:rPr>
            </w:pPr>
            <w:r w:rsidRPr="005706EA">
              <w:rPr>
                <w:b/>
                <w:iCs/>
              </w:rPr>
              <w:t>Year 3</w:t>
            </w:r>
          </w:p>
        </w:tc>
        <w:tc>
          <w:tcPr>
            <w:tcW w:w="663" w:type="pct"/>
            <w:tcBorders>
              <w:top w:val="single" w:sz="4" w:space="0" w:color="auto"/>
              <w:left w:val="single" w:sz="4" w:space="0" w:color="auto"/>
              <w:bottom w:val="single" w:sz="4" w:space="0" w:color="auto"/>
              <w:right w:val="single" w:sz="4" w:space="0" w:color="auto"/>
            </w:tcBorders>
            <w:vAlign w:val="center"/>
            <w:hideMark/>
          </w:tcPr>
          <w:p w:rsidR="003022F1" w:rsidRPr="005706EA" w:rsidRDefault="003022F1" w:rsidP="00D26016">
            <w:pPr>
              <w:pStyle w:val="Tabletext"/>
              <w:keepNext/>
              <w:keepLines/>
              <w:spacing w:line="276" w:lineRule="auto"/>
              <w:jc w:val="center"/>
              <w:rPr>
                <w:b/>
                <w:iCs/>
              </w:rPr>
            </w:pPr>
            <w:r w:rsidRPr="005706EA">
              <w:rPr>
                <w:b/>
                <w:iCs/>
              </w:rPr>
              <w:t>Year 4</w:t>
            </w:r>
          </w:p>
        </w:tc>
        <w:tc>
          <w:tcPr>
            <w:tcW w:w="663" w:type="pct"/>
            <w:tcBorders>
              <w:top w:val="single" w:sz="4" w:space="0" w:color="auto"/>
              <w:left w:val="single" w:sz="4" w:space="0" w:color="auto"/>
              <w:bottom w:val="single" w:sz="4" w:space="0" w:color="auto"/>
              <w:right w:val="single" w:sz="4" w:space="0" w:color="auto"/>
            </w:tcBorders>
            <w:vAlign w:val="center"/>
            <w:hideMark/>
          </w:tcPr>
          <w:p w:rsidR="003022F1" w:rsidRPr="005706EA" w:rsidRDefault="003022F1" w:rsidP="00D26016">
            <w:pPr>
              <w:pStyle w:val="Tabletext"/>
              <w:keepNext/>
              <w:keepLines/>
              <w:spacing w:line="276" w:lineRule="auto"/>
              <w:jc w:val="center"/>
              <w:rPr>
                <w:b/>
                <w:iCs/>
              </w:rPr>
            </w:pPr>
            <w:r w:rsidRPr="005706EA">
              <w:rPr>
                <w:b/>
                <w:iCs/>
              </w:rPr>
              <w:t>Year 5</w:t>
            </w:r>
          </w:p>
        </w:tc>
        <w:tc>
          <w:tcPr>
            <w:tcW w:w="669" w:type="pct"/>
            <w:tcBorders>
              <w:top w:val="single" w:sz="4" w:space="0" w:color="auto"/>
              <w:left w:val="single" w:sz="4" w:space="0" w:color="auto"/>
              <w:bottom w:val="single" w:sz="4" w:space="0" w:color="auto"/>
              <w:right w:val="single" w:sz="4" w:space="0" w:color="auto"/>
            </w:tcBorders>
            <w:hideMark/>
          </w:tcPr>
          <w:p w:rsidR="003022F1" w:rsidRPr="005706EA" w:rsidRDefault="003022F1" w:rsidP="00D26016">
            <w:pPr>
              <w:pStyle w:val="Tabletext"/>
              <w:keepNext/>
              <w:keepLines/>
              <w:spacing w:line="276" w:lineRule="auto"/>
              <w:jc w:val="center"/>
              <w:rPr>
                <w:b/>
                <w:iCs/>
              </w:rPr>
            </w:pPr>
            <w:r w:rsidRPr="005706EA">
              <w:rPr>
                <w:b/>
                <w:iCs/>
              </w:rPr>
              <w:t>Year 6</w:t>
            </w:r>
          </w:p>
        </w:tc>
      </w:tr>
      <w:tr w:rsidR="003022F1" w:rsidRPr="002609E0" w:rsidTr="00D26016">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3022F1" w:rsidRPr="005706EA" w:rsidRDefault="003022F1" w:rsidP="00D26016">
            <w:pPr>
              <w:pStyle w:val="Tabletext"/>
              <w:keepNext/>
              <w:keepLines/>
              <w:spacing w:line="276" w:lineRule="auto"/>
              <w:rPr>
                <w:b/>
                <w:bCs/>
                <w:iCs/>
                <w:color w:val="000000"/>
              </w:rPr>
            </w:pPr>
            <w:r w:rsidRPr="005706EA">
              <w:rPr>
                <w:b/>
                <w:bCs/>
                <w:iCs/>
                <w:color w:val="000000"/>
              </w:rPr>
              <w:t>Estimated extent of use</w:t>
            </w:r>
          </w:p>
        </w:tc>
      </w:tr>
      <w:tr w:rsidR="003022F1" w:rsidRPr="002609E0" w:rsidTr="002609E0">
        <w:tc>
          <w:tcPr>
            <w:tcW w:w="1108" w:type="pct"/>
            <w:tcBorders>
              <w:top w:val="single" w:sz="4" w:space="0" w:color="auto"/>
              <w:left w:val="single" w:sz="4" w:space="0" w:color="auto"/>
              <w:bottom w:val="single" w:sz="4" w:space="0" w:color="auto"/>
              <w:right w:val="single" w:sz="4" w:space="0" w:color="auto"/>
            </w:tcBorders>
            <w:vAlign w:val="center"/>
            <w:hideMark/>
          </w:tcPr>
          <w:p w:rsidR="003022F1" w:rsidRPr="005706EA" w:rsidRDefault="003022F1" w:rsidP="00D26016">
            <w:pPr>
              <w:pStyle w:val="Tabletext"/>
              <w:keepNext/>
              <w:keepLines/>
              <w:spacing w:line="276" w:lineRule="auto"/>
              <w:rPr>
                <w:rFonts w:ascii="Times" w:hAnsi="Times"/>
                <w:iCs/>
              </w:rPr>
            </w:pPr>
            <w:r w:rsidRPr="005706EA">
              <w:rPr>
                <w:iCs/>
              </w:rPr>
              <w:t>Number of patients treated</w:t>
            </w:r>
          </w:p>
        </w:tc>
        <w:tc>
          <w:tcPr>
            <w:tcW w:w="571" w:type="pct"/>
            <w:tcBorders>
              <w:top w:val="single" w:sz="4" w:space="0" w:color="auto"/>
              <w:left w:val="single" w:sz="4" w:space="0" w:color="auto"/>
              <w:bottom w:val="single" w:sz="4" w:space="0" w:color="auto"/>
              <w:right w:val="single" w:sz="4" w:space="0" w:color="auto"/>
            </w:tcBorders>
            <w:vAlign w:val="center"/>
            <w:hideMark/>
          </w:tcPr>
          <w:p w:rsidR="003022F1" w:rsidRPr="002609E0" w:rsidRDefault="00FF4479" w:rsidP="00D26016">
            <w:pPr>
              <w:pStyle w:val="Tabletext"/>
              <w:keepNext/>
              <w:keepLines/>
              <w:spacing w:line="276" w:lineRule="auto"/>
              <w:jc w:val="center"/>
              <w:rPr>
                <w:bCs/>
                <w:iCs/>
                <w:color w:val="000000"/>
              </w:rPr>
            </w:pPr>
            <w:r>
              <w:rPr>
                <w:iCs/>
                <w:noProof/>
                <w:color w:val="000000"/>
                <w:highlight w:val="black"/>
              </w:rPr>
              <w:t>''''''''</w:t>
            </w:r>
            <w:r w:rsidR="002609E0" w:rsidRPr="002609E0">
              <w:rPr>
                <w:iCs/>
                <w:color w:val="000000"/>
                <w:vertAlign w:val="superscript"/>
              </w:rPr>
              <w:t>b</w:t>
            </w:r>
          </w:p>
        </w:tc>
        <w:tc>
          <w:tcPr>
            <w:tcW w:w="663" w:type="pct"/>
            <w:tcBorders>
              <w:top w:val="single" w:sz="4" w:space="0" w:color="auto"/>
              <w:left w:val="single" w:sz="4" w:space="0" w:color="auto"/>
              <w:bottom w:val="single" w:sz="4" w:space="0" w:color="auto"/>
              <w:right w:val="single" w:sz="4" w:space="0" w:color="auto"/>
            </w:tcBorders>
            <w:vAlign w:val="center"/>
            <w:hideMark/>
          </w:tcPr>
          <w:p w:rsidR="003022F1" w:rsidRPr="00FF4479" w:rsidRDefault="00FF4479" w:rsidP="00D26016">
            <w:pPr>
              <w:pStyle w:val="Tabletext"/>
              <w:keepNext/>
              <w:keepLines/>
              <w:spacing w:line="276" w:lineRule="auto"/>
              <w:jc w:val="center"/>
              <w:rPr>
                <w:bCs/>
                <w:iCs/>
                <w:color w:val="000000"/>
                <w:highlight w:val="black"/>
              </w:rPr>
            </w:pPr>
            <w:r>
              <w:rPr>
                <w:iCs/>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center"/>
            <w:hideMark/>
          </w:tcPr>
          <w:p w:rsidR="003022F1" w:rsidRPr="00FF4479" w:rsidRDefault="00FF4479" w:rsidP="00D26016">
            <w:pPr>
              <w:pStyle w:val="Tabletext"/>
              <w:keepNext/>
              <w:keepLines/>
              <w:spacing w:line="276" w:lineRule="auto"/>
              <w:jc w:val="center"/>
              <w:rPr>
                <w:bCs/>
                <w:iCs/>
                <w:color w:val="000000"/>
                <w:highlight w:val="black"/>
              </w:rPr>
            </w:pPr>
            <w:r>
              <w:rPr>
                <w:iCs/>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center"/>
            <w:hideMark/>
          </w:tcPr>
          <w:p w:rsidR="003022F1" w:rsidRPr="00FF4479" w:rsidRDefault="00FF4479" w:rsidP="00D26016">
            <w:pPr>
              <w:pStyle w:val="Tabletext"/>
              <w:keepNext/>
              <w:keepLines/>
              <w:spacing w:line="276" w:lineRule="auto"/>
              <w:jc w:val="center"/>
              <w:rPr>
                <w:bCs/>
                <w:iCs/>
                <w:color w:val="000000"/>
                <w:highlight w:val="black"/>
              </w:rPr>
            </w:pPr>
            <w:r>
              <w:rPr>
                <w:iCs/>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center"/>
            <w:hideMark/>
          </w:tcPr>
          <w:p w:rsidR="003022F1" w:rsidRPr="00FF4479" w:rsidRDefault="00FF4479" w:rsidP="00D26016">
            <w:pPr>
              <w:pStyle w:val="Tabletext"/>
              <w:keepNext/>
              <w:keepLines/>
              <w:spacing w:line="276" w:lineRule="auto"/>
              <w:jc w:val="center"/>
              <w:rPr>
                <w:bCs/>
                <w:iCs/>
                <w:color w:val="000000"/>
                <w:highlight w:val="black"/>
              </w:rPr>
            </w:pPr>
            <w:r>
              <w:rPr>
                <w:iCs/>
                <w:noProof/>
                <w:color w:val="000000"/>
                <w:highlight w:val="black"/>
              </w:rPr>
              <w:t>''''''''</w:t>
            </w:r>
          </w:p>
        </w:tc>
        <w:tc>
          <w:tcPr>
            <w:tcW w:w="669" w:type="pct"/>
            <w:tcBorders>
              <w:top w:val="single" w:sz="4" w:space="0" w:color="auto"/>
              <w:left w:val="single" w:sz="4" w:space="0" w:color="auto"/>
              <w:bottom w:val="single" w:sz="4" w:space="0" w:color="auto"/>
              <w:right w:val="single" w:sz="4" w:space="0" w:color="auto"/>
            </w:tcBorders>
            <w:vAlign w:val="center"/>
            <w:hideMark/>
          </w:tcPr>
          <w:p w:rsidR="003022F1" w:rsidRPr="00FF4479" w:rsidRDefault="00FF4479" w:rsidP="00D26016">
            <w:pPr>
              <w:pStyle w:val="Tabletext"/>
              <w:keepNext/>
              <w:keepLines/>
              <w:spacing w:line="276" w:lineRule="auto"/>
              <w:jc w:val="center"/>
              <w:rPr>
                <w:bCs/>
                <w:iCs/>
                <w:color w:val="000000"/>
                <w:highlight w:val="black"/>
              </w:rPr>
            </w:pPr>
            <w:r>
              <w:rPr>
                <w:iCs/>
                <w:noProof/>
                <w:color w:val="000000"/>
                <w:highlight w:val="black"/>
              </w:rPr>
              <w:t>''''''''''</w:t>
            </w:r>
          </w:p>
        </w:tc>
      </w:tr>
      <w:tr w:rsidR="003022F1" w:rsidRPr="002609E0" w:rsidTr="002609E0">
        <w:tc>
          <w:tcPr>
            <w:tcW w:w="1108" w:type="pct"/>
            <w:tcBorders>
              <w:top w:val="single" w:sz="4" w:space="0" w:color="auto"/>
              <w:left w:val="single" w:sz="4" w:space="0" w:color="auto"/>
              <w:bottom w:val="single" w:sz="4" w:space="0" w:color="auto"/>
              <w:right w:val="single" w:sz="4" w:space="0" w:color="auto"/>
            </w:tcBorders>
            <w:vAlign w:val="center"/>
            <w:hideMark/>
          </w:tcPr>
          <w:p w:rsidR="003022F1" w:rsidRPr="005706EA" w:rsidRDefault="003022F1" w:rsidP="00D26016">
            <w:pPr>
              <w:pStyle w:val="Tabletext"/>
              <w:keepNext/>
              <w:keepLines/>
              <w:spacing w:line="276" w:lineRule="auto"/>
              <w:rPr>
                <w:rFonts w:ascii="Times" w:hAnsi="Times"/>
                <w:iCs/>
              </w:rPr>
            </w:pPr>
            <w:r w:rsidRPr="005706EA">
              <w:rPr>
                <w:iCs/>
              </w:rPr>
              <w:t>Number of scripts dispensed</w:t>
            </w:r>
            <w:r w:rsidRPr="005706EA">
              <w:rPr>
                <w:iCs/>
                <w:vertAlign w:val="superscript"/>
              </w:rPr>
              <w:t>a</w:t>
            </w:r>
          </w:p>
        </w:tc>
        <w:tc>
          <w:tcPr>
            <w:tcW w:w="571" w:type="pct"/>
            <w:tcBorders>
              <w:top w:val="single" w:sz="4" w:space="0" w:color="auto"/>
              <w:left w:val="single" w:sz="4" w:space="0" w:color="auto"/>
              <w:bottom w:val="single" w:sz="4" w:space="0" w:color="auto"/>
              <w:right w:val="single" w:sz="4" w:space="0" w:color="auto"/>
            </w:tcBorders>
            <w:hideMark/>
          </w:tcPr>
          <w:p w:rsidR="003022F1" w:rsidRPr="00FF4479" w:rsidRDefault="00FF4479" w:rsidP="00D26016">
            <w:pPr>
              <w:pStyle w:val="Tabletext"/>
              <w:keepNext/>
              <w:keepLines/>
              <w:spacing w:line="276" w:lineRule="auto"/>
              <w:jc w:val="center"/>
              <w:rPr>
                <w:bCs/>
                <w:iCs/>
                <w:color w:val="000000"/>
                <w:highlight w:val="black"/>
              </w:rPr>
            </w:pPr>
            <w:r>
              <w:rPr>
                <w:iCs/>
                <w:noProof/>
                <w:color w:val="000000"/>
                <w:highlight w:val="black"/>
              </w:rPr>
              <w:t xml:space="preserve">''''''''''''''' </w:t>
            </w:r>
          </w:p>
        </w:tc>
        <w:tc>
          <w:tcPr>
            <w:tcW w:w="663" w:type="pct"/>
            <w:tcBorders>
              <w:top w:val="single" w:sz="4" w:space="0" w:color="auto"/>
              <w:left w:val="single" w:sz="4" w:space="0" w:color="auto"/>
              <w:bottom w:val="single" w:sz="4" w:space="0" w:color="auto"/>
              <w:right w:val="single" w:sz="4" w:space="0" w:color="auto"/>
            </w:tcBorders>
            <w:hideMark/>
          </w:tcPr>
          <w:p w:rsidR="003022F1" w:rsidRPr="00FF4479" w:rsidRDefault="00FF4479" w:rsidP="00D26016">
            <w:pPr>
              <w:pStyle w:val="Tabletext"/>
              <w:keepNext/>
              <w:keepLines/>
              <w:spacing w:line="276" w:lineRule="auto"/>
              <w:jc w:val="center"/>
              <w:rPr>
                <w:bCs/>
                <w:iCs/>
                <w:color w:val="000000"/>
                <w:highlight w:val="black"/>
              </w:rPr>
            </w:pPr>
            <w:r>
              <w:rPr>
                <w:iCs/>
                <w:noProof/>
                <w:color w:val="000000"/>
                <w:highlight w:val="black"/>
              </w:rPr>
              <w:t xml:space="preserve">''''''''''''''' </w:t>
            </w:r>
          </w:p>
        </w:tc>
        <w:tc>
          <w:tcPr>
            <w:tcW w:w="663" w:type="pct"/>
            <w:tcBorders>
              <w:top w:val="single" w:sz="4" w:space="0" w:color="auto"/>
              <w:left w:val="single" w:sz="4" w:space="0" w:color="auto"/>
              <w:bottom w:val="single" w:sz="4" w:space="0" w:color="auto"/>
              <w:right w:val="single" w:sz="4" w:space="0" w:color="auto"/>
            </w:tcBorders>
            <w:hideMark/>
          </w:tcPr>
          <w:p w:rsidR="003022F1" w:rsidRPr="00FF4479" w:rsidRDefault="00FF4479" w:rsidP="00D26016">
            <w:pPr>
              <w:pStyle w:val="Tabletext"/>
              <w:keepNext/>
              <w:keepLines/>
              <w:spacing w:line="276" w:lineRule="auto"/>
              <w:jc w:val="center"/>
              <w:rPr>
                <w:bCs/>
                <w:iCs/>
                <w:color w:val="000000"/>
                <w:highlight w:val="black"/>
              </w:rPr>
            </w:pPr>
            <w:r>
              <w:rPr>
                <w:iCs/>
                <w:noProof/>
                <w:color w:val="000000"/>
                <w:highlight w:val="black"/>
              </w:rPr>
              <w:t xml:space="preserve">'''''''''''''' </w:t>
            </w:r>
          </w:p>
        </w:tc>
        <w:tc>
          <w:tcPr>
            <w:tcW w:w="663" w:type="pct"/>
            <w:tcBorders>
              <w:top w:val="single" w:sz="4" w:space="0" w:color="auto"/>
              <w:left w:val="single" w:sz="4" w:space="0" w:color="auto"/>
              <w:bottom w:val="single" w:sz="4" w:space="0" w:color="auto"/>
              <w:right w:val="single" w:sz="4" w:space="0" w:color="auto"/>
            </w:tcBorders>
            <w:hideMark/>
          </w:tcPr>
          <w:p w:rsidR="003022F1" w:rsidRPr="00FF4479" w:rsidRDefault="00FF4479" w:rsidP="00D26016">
            <w:pPr>
              <w:pStyle w:val="Tabletext"/>
              <w:keepNext/>
              <w:keepLines/>
              <w:spacing w:line="276" w:lineRule="auto"/>
              <w:jc w:val="center"/>
              <w:rPr>
                <w:bCs/>
                <w:iCs/>
                <w:color w:val="000000"/>
                <w:highlight w:val="black"/>
              </w:rPr>
            </w:pPr>
            <w:r>
              <w:rPr>
                <w:iCs/>
                <w:noProof/>
                <w:color w:val="000000"/>
                <w:highlight w:val="black"/>
              </w:rPr>
              <w:t xml:space="preserve">'''''''''''''' </w:t>
            </w:r>
          </w:p>
        </w:tc>
        <w:tc>
          <w:tcPr>
            <w:tcW w:w="663" w:type="pct"/>
            <w:tcBorders>
              <w:top w:val="single" w:sz="4" w:space="0" w:color="auto"/>
              <w:left w:val="single" w:sz="4" w:space="0" w:color="auto"/>
              <w:bottom w:val="single" w:sz="4" w:space="0" w:color="auto"/>
              <w:right w:val="single" w:sz="4" w:space="0" w:color="auto"/>
            </w:tcBorders>
            <w:hideMark/>
          </w:tcPr>
          <w:p w:rsidR="003022F1" w:rsidRPr="00FF4479" w:rsidRDefault="00FF4479" w:rsidP="00D26016">
            <w:pPr>
              <w:pStyle w:val="Tabletext"/>
              <w:keepNext/>
              <w:keepLines/>
              <w:spacing w:line="276" w:lineRule="auto"/>
              <w:jc w:val="center"/>
              <w:rPr>
                <w:bCs/>
                <w:iCs/>
                <w:color w:val="000000"/>
                <w:highlight w:val="black"/>
              </w:rPr>
            </w:pPr>
            <w:r>
              <w:rPr>
                <w:iCs/>
                <w:noProof/>
                <w:color w:val="000000"/>
                <w:highlight w:val="black"/>
              </w:rPr>
              <w:t xml:space="preserve">''''''''''''' </w:t>
            </w:r>
          </w:p>
        </w:tc>
        <w:tc>
          <w:tcPr>
            <w:tcW w:w="669" w:type="pct"/>
            <w:tcBorders>
              <w:top w:val="single" w:sz="4" w:space="0" w:color="auto"/>
              <w:left w:val="single" w:sz="4" w:space="0" w:color="auto"/>
              <w:bottom w:val="single" w:sz="4" w:space="0" w:color="auto"/>
              <w:right w:val="single" w:sz="4" w:space="0" w:color="auto"/>
            </w:tcBorders>
            <w:hideMark/>
          </w:tcPr>
          <w:p w:rsidR="003022F1" w:rsidRPr="00FF4479" w:rsidRDefault="00FF4479" w:rsidP="00D26016">
            <w:pPr>
              <w:pStyle w:val="Tabletext"/>
              <w:keepNext/>
              <w:keepLines/>
              <w:spacing w:line="276" w:lineRule="auto"/>
              <w:jc w:val="center"/>
              <w:rPr>
                <w:bCs/>
                <w:iCs/>
                <w:color w:val="000000"/>
                <w:highlight w:val="black"/>
              </w:rPr>
            </w:pPr>
            <w:r>
              <w:rPr>
                <w:iCs/>
                <w:noProof/>
                <w:color w:val="000000"/>
                <w:highlight w:val="black"/>
              </w:rPr>
              <w:t xml:space="preserve">''''''''''''' </w:t>
            </w:r>
          </w:p>
        </w:tc>
      </w:tr>
      <w:tr w:rsidR="003022F1" w:rsidRPr="002609E0" w:rsidTr="00D26016">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3022F1" w:rsidRPr="005706EA" w:rsidRDefault="003022F1" w:rsidP="00D26016">
            <w:pPr>
              <w:pStyle w:val="Tabletext"/>
              <w:keepNext/>
              <w:keepLines/>
              <w:spacing w:line="276" w:lineRule="auto"/>
              <w:rPr>
                <w:b/>
                <w:bCs/>
                <w:iCs/>
                <w:color w:val="000000"/>
              </w:rPr>
            </w:pPr>
            <w:r w:rsidRPr="005706EA">
              <w:rPr>
                <w:b/>
                <w:bCs/>
                <w:iCs/>
                <w:color w:val="000000"/>
              </w:rPr>
              <w:t>Estimated financial implications of lorlatinib</w:t>
            </w:r>
          </w:p>
        </w:tc>
      </w:tr>
      <w:tr w:rsidR="003022F1" w:rsidRPr="002609E0" w:rsidTr="002609E0">
        <w:tc>
          <w:tcPr>
            <w:tcW w:w="1108" w:type="pct"/>
            <w:tcBorders>
              <w:top w:val="single" w:sz="4" w:space="0" w:color="auto"/>
              <w:left w:val="single" w:sz="4" w:space="0" w:color="auto"/>
              <w:bottom w:val="single" w:sz="4" w:space="0" w:color="auto"/>
              <w:right w:val="single" w:sz="4" w:space="0" w:color="auto"/>
            </w:tcBorders>
            <w:vAlign w:val="center"/>
            <w:hideMark/>
          </w:tcPr>
          <w:p w:rsidR="003022F1" w:rsidRPr="005706EA" w:rsidRDefault="003022F1" w:rsidP="00D26016">
            <w:pPr>
              <w:pStyle w:val="Tabletext"/>
              <w:keepNext/>
              <w:keepLines/>
              <w:spacing w:line="276" w:lineRule="auto"/>
              <w:rPr>
                <w:rFonts w:ascii="Times" w:hAnsi="Times"/>
                <w:iCs/>
              </w:rPr>
            </w:pPr>
            <w:r w:rsidRPr="005706EA">
              <w:rPr>
                <w:iCs/>
                <w:sz w:val="19"/>
                <w:szCs w:val="19"/>
              </w:rPr>
              <w:t>Cost to PBS/RPBS</w:t>
            </w:r>
          </w:p>
        </w:tc>
        <w:tc>
          <w:tcPr>
            <w:tcW w:w="571" w:type="pct"/>
            <w:tcBorders>
              <w:top w:val="single" w:sz="4" w:space="0" w:color="auto"/>
              <w:left w:val="single" w:sz="4" w:space="0" w:color="auto"/>
              <w:bottom w:val="single" w:sz="4" w:space="0" w:color="auto"/>
              <w:right w:val="single" w:sz="4" w:space="0" w:color="auto"/>
            </w:tcBorders>
            <w:vAlign w:val="bottom"/>
            <w:hideMark/>
          </w:tcPr>
          <w:p w:rsidR="003022F1" w:rsidRPr="00EE527E" w:rsidRDefault="00EE527E" w:rsidP="00D26016">
            <w:pPr>
              <w:pStyle w:val="Tabletext"/>
              <w:keepNext/>
              <w:keepLines/>
              <w:spacing w:line="276" w:lineRule="auto"/>
              <w:jc w:val="center"/>
              <w:rPr>
                <w:i/>
                <w:highlight w:val="black"/>
              </w:rPr>
            </w:pPr>
            <w:r>
              <w:rPr>
                <w:i/>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bottom"/>
            <w:hideMark/>
          </w:tcPr>
          <w:p w:rsidR="003022F1" w:rsidRPr="00EE527E" w:rsidRDefault="00EE527E" w:rsidP="00D26016">
            <w:pPr>
              <w:pStyle w:val="Tabletext"/>
              <w:keepNext/>
              <w:keepLines/>
              <w:spacing w:line="276" w:lineRule="auto"/>
              <w:jc w:val="center"/>
              <w:rPr>
                <w:i/>
                <w:highlight w:val="black"/>
              </w:rPr>
            </w:pPr>
            <w:r>
              <w:rPr>
                <w:i/>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bottom"/>
            <w:hideMark/>
          </w:tcPr>
          <w:p w:rsidR="003022F1" w:rsidRPr="00EE527E" w:rsidRDefault="00EE527E" w:rsidP="00D26016">
            <w:pPr>
              <w:pStyle w:val="Tabletext"/>
              <w:keepNext/>
              <w:keepLines/>
              <w:spacing w:line="276" w:lineRule="auto"/>
              <w:jc w:val="center"/>
              <w:rPr>
                <w:i/>
                <w:highlight w:val="black"/>
              </w:rPr>
            </w:pPr>
            <w:r>
              <w:rPr>
                <w:i/>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bottom"/>
            <w:hideMark/>
          </w:tcPr>
          <w:p w:rsidR="003022F1" w:rsidRPr="00EE527E" w:rsidRDefault="00EE527E" w:rsidP="00D26016">
            <w:pPr>
              <w:pStyle w:val="Tabletext"/>
              <w:keepNext/>
              <w:keepLines/>
              <w:spacing w:line="276" w:lineRule="auto"/>
              <w:jc w:val="center"/>
              <w:rPr>
                <w:i/>
                <w:highlight w:val="black"/>
              </w:rPr>
            </w:pPr>
            <w:r>
              <w:rPr>
                <w:i/>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bottom"/>
            <w:hideMark/>
          </w:tcPr>
          <w:p w:rsidR="003022F1" w:rsidRPr="00EE527E" w:rsidRDefault="00EE527E" w:rsidP="00D26016">
            <w:pPr>
              <w:pStyle w:val="Tabletext"/>
              <w:keepNext/>
              <w:keepLines/>
              <w:spacing w:line="276" w:lineRule="auto"/>
              <w:jc w:val="center"/>
              <w:rPr>
                <w:i/>
                <w:highlight w:val="black"/>
              </w:rPr>
            </w:pPr>
            <w:r>
              <w:rPr>
                <w:i/>
                <w:noProof/>
                <w:color w:val="000000"/>
                <w:highlight w:val="black"/>
              </w:rPr>
              <w:t>'''''''''''''''''''''''''''</w:t>
            </w:r>
          </w:p>
        </w:tc>
        <w:tc>
          <w:tcPr>
            <w:tcW w:w="669" w:type="pct"/>
            <w:tcBorders>
              <w:top w:val="single" w:sz="4" w:space="0" w:color="auto"/>
              <w:left w:val="single" w:sz="4" w:space="0" w:color="auto"/>
              <w:bottom w:val="single" w:sz="4" w:space="0" w:color="auto"/>
              <w:right w:val="single" w:sz="4" w:space="0" w:color="auto"/>
            </w:tcBorders>
            <w:vAlign w:val="bottom"/>
            <w:hideMark/>
          </w:tcPr>
          <w:p w:rsidR="003022F1" w:rsidRPr="00EE527E" w:rsidRDefault="00EE527E" w:rsidP="00D26016">
            <w:pPr>
              <w:pStyle w:val="Tabletext"/>
              <w:keepNext/>
              <w:keepLines/>
              <w:spacing w:line="276" w:lineRule="auto"/>
              <w:jc w:val="center"/>
              <w:rPr>
                <w:i/>
                <w:highlight w:val="black"/>
              </w:rPr>
            </w:pPr>
            <w:r>
              <w:rPr>
                <w:i/>
                <w:noProof/>
                <w:color w:val="000000"/>
                <w:highlight w:val="black"/>
              </w:rPr>
              <w:t>''''''''''''''''''''''''</w:t>
            </w:r>
          </w:p>
        </w:tc>
      </w:tr>
      <w:tr w:rsidR="003022F1" w:rsidRPr="002609E0" w:rsidTr="002609E0">
        <w:tc>
          <w:tcPr>
            <w:tcW w:w="1108" w:type="pct"/>
            <w:tcBorders>
              <w:top w:val="single" w:sz="4" w:space="0" w:color="auto"/>
              <w:left w:val="single" w:sz="4" w:space="0" w:color="auto"/>
              <w:bottom w:val="single" w:sz="4" w:space="0" w:color="auto"/>
              <w:right w:val="single" w:sz="4" w:space="0" w:color="auto"/>
            </w:tcBorders>
            <w:vAlign w:val="center"/>
            <w:hideMark/>
          </w:tcPr>
          <w:p w:rsidR="003022F1" w:rsidRPr="005706EA" w:rsidRDefault="003022F1" w:rsidP="00D26016">
            <w:pPr>
              <w:pStyle w:val="Tabletext"/>
              <w:keepNext/>
              <w:keepLines/>
              <w:spacing w:line="276" w:lineRule="auto"/>
              <w:rPr>
                <w:iCs/>
                <w:sz w:val="19"/>
                <w:szCs w:val="19"/>
              </w:rPr>
            </w:pPr>
            <w:r w:rsidRPr="005706EA">
              <w:rPr>
                <w:iCs/>
                <w:sz w:val="19"/>
                <w:szCs w:val="19"/>
              </w:rPr>
              <w:t>Copayments</w:t>
            </w:r>
          </w:p>
        </w:tc>
        <w:tc>
          <w:tcPr>
            <w:tcW w:w="571" w:type="pct"/>
            <w:tcBorders>
              <w:top w:val="single" w:sz="4" w:space="0" w:color="auto"/>
              <w:left w:val="single" w:sz="4" w:space="0" w:color="auto"/>
              <w:bottom w:val="single" w:sz="4" w:space="0" w:color="auto"/>
              <w:right w:val="single" w:sz="4" w:space="0" w:color="auto"/>
            </w:tcBorders>
            <w:hideMark/>
          </w:tcPr>
          <w:p w:rsidR="003022F1" w:rsidRPr="002609E0" w:rsidRDefault="003022F1" w:rsidP="00D26016">
            <w:pPr>
              <w:pStyle w:val="Tabletext"/>
              <w:keepNext/>
              <w:keepLines/>
              <w:spacing w:line="276" w:lineRule="auto"/>
              <w:jc w:val="center"/>
              <w:rPr>
                <w:bCs/>
                <w:iCs/>
                <w:color w:val="000000"/>
              </w:rPr>
            </w:pPr>
            <w:r w:rsidRPr="002609E0">
              <w:rPr>
                <w:iCs/>
              </w:rPr>
              <w:t>-$</w:t>
            </w:r>
            <w:r w:rsidR="00FF4479">
              <w:rPr>
                <w:iCs/>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hideMark/>
          </w:tcPr>
          <w:p w:rsidR="003022F1" w:rsidRPr="002609E0" w:rsidRDefault="003022F1" w:rsidP="00D26016">
            <w:pPr>
              <w:pStyle w:val="Tabletext"/>
              <w:keepNext/>
              <w:keepLines/>
              <w:spacing w:line="276" w:lineRule="auto"/>
              <w:jc w:val="center"/>
              <w:rPr>
                <w:bCs/>
                <w:iCs/>
                <w:color w:val="000000"/>
              </w:rPr>
            </w:pPr>
            <w:r w:rsidRPr="002609E0">
              <w:rPr>
                <w:iCs/>
              </w:rPr>
              <w:t>-$</w:t>
            </w:r>
            <w:r w:rsidR="00FF4479">
              <w:rPr>
                <w:iCs/>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hideMark/>
          </w:tcPr>
          <w:p w:rsidR="003022F1" w:rsidRPr="002609E0" w:rsidRDefault="003022F1" w:rsidP="00D26016">
            <w:pPr>
              <w:pStyle w:val="Tabletext"/>
              <w:keepNext/>
              <w:keepLines/>
              <w:spacing w:line="276" w:lineRule="auto"/>
              <w:jc w:val="center"/>
              <w:rPr>
                <w:bCs/>
                <w:iCs/>
                <w:color w:val="000000"/>
              </w:rPr>
            </w:pPr>
            <w:r w:rsidRPr="002609E0">
              <w:rPr>
                <w:iCs/>
              </w:rPr>
              <w:t>-$</w:t>
            </w:r>
            <w:r w:rsidR="00FF4479">
              <w:rPr>
                <w:iCs/>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hideMark/>
          </w:tcPr>
          <w:p w:rsidR="003022F1" w:rsidRPr="002609E0" w:rsidRDefault="003022F1" w:rsidP="00D26016">
            <w:pPr>
              <w:pStyle w:val="Tabletext"/>
              <w:keepNext/>
              <w:keepLines/>
              <w:spacing w:line="276" w:lineRule="auto"/>
              <w:jc w:val="center"/>
              <w:rPr>
                <w:bCs/>
                <w:iCs/>
                <w:color w:val="000000"/>
              </w:rPr>
            </w:pPr>
            <w:r w:rsidRPr="002609E0">
              <w:rPr>
                <w:iCs/>
              </w:rPr>
              <w:t>-$</w:t>
            </w:r>
            <w:r w:rsidR="00FF4479">
              <w:rPr>
                <w:iCs/>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hideMark/>
          </w:tcPr>
          <w:p w:rsidR="003022F1" w:rsidRPr="002609E0" w:rsidRDefault="003022F1" w:rsidP="00D26016">
            <w:pPr>
              <w:pStyle w:val="Tabletext"/>
              <w:keepNext/>
              <w:keepLines/>
              <w:spacing w:line="276" w:lineRule="auto"/>
              <w:jc w:val="center"/>
              <w:rPr>
                <w:bCs/>
                <w:iCs/>
                <w:color w:val="000000"/>
              </w:rPr>
            </w:pPr>
            <w:r w:rsidRPr="002609E0">
              <w:rPr>
                <w:iCs/>
              </w:rPr>
              <w:t>-$</w:t>
            </w:r>
            <w:r w:rsidR="00FF4479">
              <w:rPr>
                <w:iCs/>
                <w:noProof/>
                <w:color w:val="000000"/>
                <w:highlight w:val="black"/>
              </w:rPr>
              <w:t>'''''''''''''''''</w:t>
            </w:r>
          </w:p>
        </w:tc>
        <w:tc>
          <w:tcPr>
            <w:tcW w:w="669" w:type="pct"/>
            <w:tcBorders>
              <w:top w:val="single" w:sz="4" w:space="0" w:color="auto"/>
              <w:left w:val="single" w:sz="4" w:space="0" w:color="auto"/>
              <w:bottom w:val="single" w:sz="4" w:space="0" w:color="auto"/>
              <w:right w:val="single" w:sz="4" w:space="0" w:color="auto"/>
            </w:tcBorders>
            <w:hideMark/>
          </w:tcPr>
          <w:p w:rsidR="003022F1" w:rsidRPr="002609E0" w:rsidRDefault="003022F1" w:rsidP="00D26016">
            <w:pPr>
              <w:pStyle w:val="Tabletext"/>
              <w:keepNext/>
              <w:keepLines/>
              <w:spacing w:line="276" w:lineRule="auto"/>
              <w:jc w:val="center"/>
              <w:rPr>
                <w:bCs/>
                <w:iCs/>
                <w:color w:val="000000"/>
              </w:rPr>
            </w:pPr>
            <w:r w:rsidRPr="002609E0">
              <w:rPr>
                <w:iCs/>
              </w:rPr>
              <w:t>-$</w:t>
            </w:r>
            <w:r w:rsidR="00FF4479">
              <w:rPr>
                <w:iCs/>
                <w:noProof/>
                <w:color w:val="000000"/>
                <w:highlight w:val="black"/>
              </w:rPr>
              <w:t>'''''''''''''''</w:t>
            </w:r>
          </w:p>
        </w:tc>
      </w:tr>
      <w:tr w:rsidR="003022F1" w:rsidRPr="002609E0" w:rsidTr="002609E0">
        <w:tc>
          <w:tcPr>
            <w:tcW w:w="1108" w:type="pct"/>
            <w:tcBorders>
              <w:top w:val="single" w:sz="4" w:space="0" w:color="auto"/>
              <w:left w:val="single" w:sz="4" w:space="0" w:color="auto"/>
              <w:bottom w:val="single" w:sz="4" w:space="0" w:color="auto"/>
              <w:right w:val="single" w:sz="4" w:space="0" w:color="auto"/>
            </w:tcBorders>
            <w:vAlign w:val="center"/>
            <w:hideMark/>
          </w:tcPr>
          <w:p w:rsidR="003022F1" w:rsidRPr="005706EA" w:rsidRDefault="003022F1" w:rsidP="00D26016">
            <w:pPr>
              <w:pStyle w:val="Tabletext"/>
              <w:keepNext/>
              <w:keepLines/>
              <w:spacing w:line="276" w:lineRule="auto"/>
              <w:rPr>
                <w:iCs/>
                <w:sz w:val="19"/>
                <w:szCs w:val="19"/>
              </w:rPr>
            </w:pPr>
            <w:r w:rsidRPr="005706EA">
              <w:rPr>
                <w:iCs/>
                <w:sz w:val="19"/>
                <w:szCs w:val="19"/>
              </w:rPr>
              <w:t>Cost to PBS/RPBS less copayments</w:t>
            </w:r>
          </w:p>
        </w:tc>
        <w:tc>
          <w:tcPr>
            <w:tcW w:w="571" w:type="pct"/>
            <w:tcBorders>
              <w:top w:val="single" w:sz="4" w:space="0" w:color="auto"/>
              <w:left w:val="single" w:sz="4" w:space="0" w:color="auto"/>
              <w:bottom w:val="single" w:sz="4" w:space="0" w:color="auto"/>
              <w:right w:val="single" w:sz="4" w:space="0" w:color="auto"/>
            </w:tcBorders>
            <w:vAlign w:val="bottom"/>
            <w:hideMark/>
          </w:tcPr>
          <w:p w:rsidR="003022F1" w:rsidRPr="00EE527E" w:rsidRDefault="00EE527E" w:rsidP="00D26016">
            <w:pPr>
              <w:pStyle w:val="Tabletext"/>
              <w:keepNext/>
              <w:keepLines/>
              <w:spacing w:line="276" w:lineRule="auto"/>
              <w:jc w:val="center"/>
              <w:rPr>
                <w:i/>
                <w:highlight w:val="black"/>
              </w:rPr>
            </w:pPr>
            <w:r>
              <w:rPr>
                <w:i/>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bottom"/>
            <w:hideMark/>
          </w:tcPr>
          <w:p w:rsidR="003022F1" w:rsidRPr="00EE527E" w:rsidRDefault="00EE527E" w:rsidP="00D26016">
            <w:pPr>
              <w:pStyle w:val="Tabletext"/>
              <w:keepNext/>
              <w:keepLines/>
              <w:spacing w:line="276" w:lineRule="auto"/>
              <w:jc w:val="center"/>
              <w:rPr>
                <w:i/>
                <w:highlight w:val="black"/>
              </w:rPr>
            </w:pPr>
            <w:r>
              <w:rPr>
                <w:i/>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bottom"/>
            <w:hideMark/>
          </w:tcPr>
          <w:p w:rsidR="003022F1" w:rsidRPr="00EE527E" w:rsidRDefault="00EE527E" w:rsidP="00D26016">
            <w:pPr>
              <w:pStyle w:val="Tabletext"/>
              <w:keepNext/>
              <w:keepLines/>
              <w:spacing w:line="276" w:lineRule="auto"/>
              <w:jc w:val="center"/>
              <w:rPr>
                <w:i/>
                <w:highlight w:val="black"/>
              </w:rPr>
            </w:pPr>
            <w:r>
              <w:rPr>
                <w:i/>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bottom"/>
            <w:hideMark/>
          </w:tcPr>
          <w:p w:rsidR="003022F1" w:rsidRPr="00EE527E" w:rsidRDefault="00EE527E" w:rsidP="00D26016">
            <w:pPr>
              <w:pStyle w:val="Tabletext"/>
              <w:keepNext/>
              <w:keepLines/>
              <w:spacing w:line="276" w:lineRule="auto"/>
              <w:jc w:val="center"/>
              <w:rPr>
                <w:i/>
                <w:highlight w:val="black"/>
              </w:rPr>
            </w:pPr>
            <w:r>
              <w:rPr>
                <w:i/>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bottom"/>
            <w:hideMark/>
          </w:tcPr>
          <w:p w:rsidR="003022F1" w:rsidRPr="00EE527E" w:rsidRDefault="00EE527E" w:rsidP="00D26016">
            <w:pPr>
              <w:pStyle w:val="Tabletext"/>
              <w:keepNext/>
              <w:keepLines/>
              <w:spacing w:line="276" w:lineRule="auto"/>
              <w:jc w:val="center"/>
              <w:rPr>
                <w:i/>
                <w:highlight w:val="black"/>
              </w:rPr>
            </w:pPr>
            <w:r>
              <w:rPr>
                <w:i/>
                <w:noProof/>
                <w:color w:val="000000"/>
                <w:highlight w:val="black"/>
              </w:rPr>
              <w:t>'''''''''''''''''''''''''''</w:t>
            </w:r>
          </w:p>
        </w:tc>
        <w:tc>
          <w:tcPr>
            <w:tcW w:w="669" w:type="pct"/>
            <w:tcBorders>
              <w:top w:val="single" w:sz="4" w:space="0" w:color="auto"/>
              <w:left w:val="single" w:sz="4" w:space="0" w:color="auto"/>
              <w:bottom w:val="single" w:sz="4" w:space="0" w:color="auto"/>
              <w:right w:val="single" w:sz="4" w:space="0" w:color="auto"/>
            </w:tcBorders>
            <w:vAlign w:val="bottom"/>
            <w:hideMark/>
          </w:tcPr>
          <w:p w:rsidR="003022F1" w:rsidRPr="00EE527E" w:rsidRDefault="00EE527E" w:rsidP="00D26016">
            <w:pPr>
              <w:pStyle w:val="Tabletext"/>
              <w:keepNext/>
              <w:keepLines/>
              <w:spacing w:line="276" w:lineRule="auto"/>
              <w:jc w:val="center"/>
              <w:rPr>
                <w:i/>
                <w:highlight w:val="black"/>
              </w:rPr>
            </w:pPr>
            <w:r>
              <w:rPr>
                <w:i/>
                <w:noProof/>
                <w:color w:val="000000"/>
                <w:highlight w:val="black"/>
              </w:rPr>
              <w:t>''''''''''''''''''''''''</w:t>
            </w:r>
          </w:p>
        </w:tc>
      </w:tr>
      <w:tr w:rsidR="003022F1" w:rsidRPr="002609E0" w:rsidTr="00D26016">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3022F1" w:rsidRPr="005706EA" w:rsidRDefault="003022F1" w:rsidP="00D26016">
            <w:pPr>
              <w:pStyle w:val="Tabletext"/>
              <w:keepNext/>
              <w:keepLines/>
              <w:spacing w:line="276" w:lineRule="auto"/>
              <w:rPr>
                <w:bCs/>
                <w:iCs/>
                <w:color w:val="000000"/>
              </w:rPr>
            </w:pPr>
            <w:r w:rsidRPr="005706EA">
              <w:rPr>
                <w:b/>
                <w:bCs/>
                <w:iCs/>
                <w:color w:val="000000"/>
              </w:rPr>
              <w:t>Estimated financial implications for alectinib and ceritinib</w:t>
            </w:r>
          </w:p>
        </w:tc>
      </w:tr>
      <w:tr w:rsidR="003022F1" w:rsidRPr="002609E0" w:rsidTr="002609E0">
        <w:tc>
          <w:tcPr>
            <w:tcW w:w="1108" w:type="pct"/>
            <w:tcBorders>
              <w:top w:val="single" w:sz="4" w:space="0" w:color="auto"/>
              <w:left w:val="single" w:sz="4" w:space="0" w:color="auto"/>
              <w:bottom w:val="single" w:sz="4" w:space="0" w:color="auto"/>
              <w:right w:val="single" w:sz="4" w:space="0" w:color="auto"/>
            </w:tcBorders>
            <w:vAlign w:val="center"/>
          </w:tcPr>
          <w:p w:rsidR="003022F1" w:rsidRPr="005706EA" w:rsidRDefault="003022F1" w:rsidP="00D26016">
            <w:pPr>
              <w:pStyle w:val="Tabletext"/>
              <w:keepNext/>
              <w:keepLines/>
              <w:spacing w:line="276" w:lineRule="auto"/>
              <w:rPr>
                <w:iCs/>
                <w:sz w:val="19"/>
                <w:szCs w:val="19"/>
              </w:rPr>
            </w:pPr>
            <w:r w:rsidRPr="005706EA">
              <w:rPr>
                <w:iCs/>
                <w:sz w:val="19"/>
                <w:szCs w:val="19"/>
              </w:rPr>
              <w:t>Alectinib scripts displaced</w:t>
            </w:r>
          </w:p>
        </w:tc>
        <w:tc>
          <w:tcPr>
            <w:tcW w:w="571" w:type="pct"/>
            <w:tcBorders>
              <w:top w:val="single" w:sz="4" w:space="0" w:color="auto"/>
              <w:left w:val="single" w:sz="4" w:space="0" w:color="auto"/>
              <w:bottom w:val="single" w:sz="4" w:space="0" w:color="auto"/>
              <w:right w:val="single" w:sz="4" w:space="0" w:color="auto"/>
            </w:tcBorders>
            <w:vAlign w:val="center"/>
          </w:tcPr>
          <w:p w:rsidR="003022F1" w:rsidRPr="00FF4479" w:rsidRDefault="00FF4479" w:rsidP="00D26016">
            <w:pPr>
              <w:pStyle w:val="Tabletext"/>
              <w:keepNext/>
              <w:keepLines/>
              <w:spacing w:line="276" w:lineRule="auto"/>
              <w:jc w:val="center"/>
              <w:rPr>
                <w:iCs/>
                <w:highlight w:val="black"/>
              </w:rPr>
            </w:pPr>
            <w:r>
              <w:rPr>
                <w:iCs/>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center"/>
          </w:tcPr>
          <w:p w:rsidR="003022F1" w:rsidRPr="00FF4479" w:rsidRDefault="00FF4479" w:rsidP="00D26016">
            <w:pPr>
              <w:pStyle w:val="Tabletext"/>
              <w:keepNext/>
              <w:keepLines/>
              <w:spacing w:line="276" w:lineRule="auto"/>
              <w:jc w:val="center"/>
              <w:rPr>
                <w:iCs/>
                <w:highlight w:val="black"/>
              </w:rPr>
            </w:pPr>
            <w:r>
              <w:rPr>
                <w:iCs/>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center"/>
          </w:tcPr>
          <w:p w:rsidR="003022F1" w:rsidRPr="00FF4479" w:rsidRDefault="00FF4479" w:rsidP="00D26016">
            <w:pPr>
              <w:pStyle w:val="Tabletext"/>
              <w:keepNext/>
              <w:keepLines/>
              <w:spacing w:line="276" w:lineRule="auto"/>
              <w:jc w:val="center"/>
              <w:rPr>
                <w:iCs/>
                <w:highlight w:val="black"/>
              </w:rPr>
            </w:pPr>
            <w:r>
              <w:rPr>
                <w:iCs/>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center"/>
          </w:tcPr>
          <w:p w:rsidR="003022F1" w:rsidRPr="00FF4479" w:rsidRDefault="00FF4479" w:rsidP="00D26016">
            <w:pPr>
              <w:pStyle w:val="Tabletext"/>
              <w:keepNext/>
              <w:keepLines/>
              <w:spacing w:line="276" w:lineRule="auto"/>
              <w:jc w:val="center"/>
              <w:rPr>
                <w:iCs/>
                <w:highlight w:val="black"/>
              </w:rPr>
            </w:pPr>
            <w:r>
              <w:rPr>
                <w:iCs/>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center"/>
          </w:tcPr>
          <w:p w:rsidR="003022F1" w:rsidRPr="00FF4479" w:rsidRDefault="00FF4479" w:rsidP="00D26016">
            <w:pPr>
              <w:pStyle w:val="Tabletext"/>
              <w:keepNext/>
              <w:keepLines/>
              <w:spacing w:line="276" w:lineRule="auto"/>
              <w:jc w:val="center"/>
              <w:rPr>
                <w:iCs/>
                <w:highlight w:val="black"/>
              </w:rPr>
            </w:pPr>
            <w:r>
              <w:rPr>
                <w:iCs/>
                <w:noProof/>
                <w:color w:val="000000"/>
                <w:highlight w:val="black"/>
              </w:rPr>
              <w:t>'''''''''''''</w:t>
            </w:r>
          </w:p>
        </w:tc>
        <w:tc>
          <w:tcPr>
            <w:tcW w:w="669" w:type="pct"/>
            <w:tcBorders>
              <w:top w:val="single" w:sz="4" w:space="0" w:color="auto"/>
              <w:left w:val="single" w:sz="4" w:space="0" w:color="auto"/>
              <w:bottom w:val="single" w:sz="4" w:space="0" w:color="auto"/>
              <w:right w:val="single" w:sz="4" w:space="0" w:color="auto"/>
            </w:tcBorders>
            <w:vAlign w:val="center"/>
          </w:tcPr>
          <w:p w:rsidR="003022F1" w:rsidRPr="00FF4479" w:rsidRDefault="00FF4479" w:rsidP="00D26016">
            <w:pPr>
              <w:pStyle w:val="Tabletext"/>
              <w:keepNext/>
              <w:keepLines/>
              <w:spacing w:line="276" w:lineRule="auto"/>
              <w:jc w:val="center"/>
              <w:rPr>
                <w:iCs/>
                <w:highlight w:val="black"/>
              </w:rPr>
            </w:pPr>
            <w:r>
              <w:rPr>
                <w:iCs/>
                <w:noProof/>
                <w:color w:val="000000"/>
                <w:highlight w:val="black"/>
              </w:rPr>
              <w:t>''''''''''''''</w:t>
            </w:r>
          </w:p>
        </w:tc>
      </w:tr>
      <w:tr w:rsidR="003022F1" w:rsidRPr="002609E0" w:rsidTr="002609E0">
        <w:tc>
          <w:tcPr>
            <w:tcW w:w="1108" w:type="pct"/>
            <w:tcBorders>
              <w:top w:val="single" w:sz="4" w:space="0" w:color="auto"/>
              <w:left w:val="single" w:sz="4" w:space="0" w:color="auto"/>
              <w:bottom w:val="single" w:sz="4" w:space="0" w:color="auto"/>
              <w:right w:val="single" w:sz="4" w:space="0" w:color="auto"/>
            </w:tcBorders>
            <w:vAlign w:val="center"/>
          </w:tcPr>
          <w:p w:rsidR="003022F1" w:rsidRPr="005706EA" w:rsidRDefault="003022F1" w:rsidP="00D26016">
            <w:pPr>
              <w:pStyle w:val="Tabletext"/>
              <w:keepNext/>
              <w:keepLines/>
              <w:spacing w:line="276" w:lineRule="auto"/>
              <w:rPr>
                <w:iCs/>
                <w:sz w:val="19"/>
                <w:szCs w:val="19"/>
              </w:rPr>
            </w:pPr>
            <w:r w:rsidRPr="005706EA">
              <w:rPr>
                <w:iCs/>
                <w:sz w:val="19"/>
                <w:szCs w:val="19"/>
              </w:rPr>
              <w:t>Ceritinib scripts displaced</w:t>
            </w:r>
          </w:p>
        </w:tc>
        <w:tc>
          <w:tcPr>
            <w:tcW w:w="571" w:type="pct"/>
            <w:tcBorders>
              <w:top w:val="single" w:sz="4" w:space="0" w:color="auto"/>
              <w:left w:val="single" w:sz="4" w:space="0" w:color="auto"/>
              <w:bottom w:val="single" w:sz="4" w:space="0" w:color="auto"/>
              <w:right w:val="single" w:sz="4" w:space="0" w:color="auto"/>
            </w:tcBorders>
            <w:vAlign w:val="center"/>
          </w:tcPr>
          <w:p w:rsidR="003022F1" w:rsidRPr="00FF4479" w:rsidRDefault="00FF4479" w:rsidP="00D26016">
            <w:pPr>
              <w:pStyle w:val="Tabletext"/>
              <w:keepNext/>
              <w:keepLines/>
              <w:spacing w:line="276" w:lineRule="auto"/>
              <w:jc w:val="center"/>
              <w:rPr>
                <w:iCs/>
                <w:highlight w:val="black"/>
              </w:rPr>
            </w:pPr>
            <w:r>
              <w:rPr>
                <w:iCs/>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center"/>
          </w:tcPr>
          <w:p w:rsidR="003022F1" w:rsidRPr="00FF4479" w:rsidRDefault="00FF4479" w:rsidP="00D26016">
            <w:pPr>
              <w:pStyle w:val="Tabletext"/>
              <w:keepNext/>
              <w:keepLines/>
              <w:spacing w:line="276" w:lineRule="auto"/>
              <w:jc w:val="center"/>
              <w:rPr>
                <w:iCs/>
                <w:highlight w:val="black"/>
              </w:rPr>
            </w:pPr>
            <w:r>
              <w:rPr>
                <w:iCs/>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center"/>
          </w:tcPr>
          <w:p w:rsidR="003022F1" w:rsidRPr="00FF4479" w:rsidRDefault="00FF4479" w:rsidP="00D26016">
            <w:pPr>
              <w:pStyle w:val="Tabletext"/>
              <w:keepNext/>
              <w:keepLines/>
              <w:spacing w:line="276" w:lineRule="auto"/>
              <w:jc w:val="center"/>
              <w:rPr>
                <w:iCs/>
                <w:highlight w:val="black"/>
              </w:rPr>
            </w:pPr>
            <w:r>
              <w:rPr>
                <w:iCs/>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center"/>
          </w:tcPr>
          <w:p w:rsidR="003022F1" w:rsidRPr="00FF4479" w:rsidRDefault="00FF4479" w:rsidP="00D26016">
            <w:pPr>
              <w:pStyle w:val="Tabletext"/>
              <w:keepNext/>
              <w:keepLines/>
              <w:spacing w:line="276" w:lineRule="auto"/>
              <w:jc w:val="center"/>
              <w:rPr>
                <w:iCs/>
                <w:highlight w:val="black"/>
              </w:rPr>
            </w:pPr>
            <w:r>
              <w:rPr>
                <w:iCs/>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center"/>
          </w:tcPr>
          <w:p w:rsidR="003022F1" w:rsidRPr="00FF4479" w:rsidRDefault="00FF4479" w:rsidP="00D26016">
            <w:pPr>
              <w:pStyle w:val="Tabletext"/>
              <w:keepNext/>
              <w:keepLines/>
              <w:spacing w:line="276" w:lineRule="auto"/>
              <w:jc w:val="center"/>
              <w:rPr>
                <w:iCs/>
                <w:highlight w:val="black"/>
              </w:rPr>
            </w:pPr>
            <w:r>
              <w:rPr>
                <w:iCs/>
                <w:noProof/>
                <w:color w:val="000000"/>
                <w:highlight w:val="black"/>
              </w:rPr>
              <w:t>'''''''''</w:t>
            </w:r>
          </w:p>
        </w:tc>
        <w:tc>
          <w:tcPr>
            <w:tcW w:w="669" w:type="pct"/>
            <w:tcBorders>
              <w:top w:val="single" w:sz="4" w:space="0" w:color="auto"/>
              <w:left w:val="single" w:sz="4" w:space="0" w:color="auto"/>
              <w:bottom w:val="single" w:sz="4" w:space="0" w:color="auto"/>
              <w:right w:val="single" w:sz="4" w:space="0" w:color="auto"/>
            </w:tcBorders>
            <w:vAlign w:val="center"/>
          </w:tcPr>
          <w:p w:rsidR="003022F1" w:rsidRPr="00FF4479" w:rsidRDefault="00FF4479" w:rsidP="00D26016">
            <w:pPr>
              <w:pStyle w:val="Tabletext"/>
              <w:keepNext/>
              <w:keepLines/>
              <w:spacing w:line="276" w:lineRule="auto"/>
              <w:jc w:val="center"/>
              <w:rPr>
                <w:iCs/>
                <w:highlight w:val="black"/>
              </w:rPr>
            </w:pPr>
            <w:r>
              <w:rPr>
                <w:iCs/>
                <w:noProof/>
                <w:color w:val="000000"/>
                <w:highlight w:val="black"/>
              </w:rPr>
              <w:t>''''''''''</w:t>
            </w:r>
          </w:p>
        </w:tc>
      </w:tr>
      <w:tr w:rsidR="003022F1" w:rsidRPr="002609E0" w:rsidTr="002609E0">
        <w:tc>
          <w:tcPr>
            <w:tcW w:w="1108" w:type="pct"/>
            <w:tcBorders>
              <w:top w:val="single" w:sz="4" w:space="0" w:color="auto"/>
              <w:left w:val="single" w:sz="4" w:space="0" w:color="auto"/>
              <w:bottom w:val="single" w:sz="4" w:space="0" w:color="auto"/>
              <w:right w:val="single" w:sz="4" w:space="0" w:color="auto"/>
            </w:tcBorders>
            <w:vAlign w:val="center"/>
          </w:tcPr>
          <w:p w:rsidR="003022F1" w:rsidRPr="005706EA" w:rsidRDefault="003022F1" w:rsidP="00D26016">
            <w:pPr>
              <w:pStyle w:val="Tabletext"/>
              <w:keepNext/>
              <w:keepLines/>
              <w:spacing w:line="276" w:lineRule="auto"/>
              <w:rPr>
                <w:iCs/>
                <w:sz w:val="19"/>
                <w:szCs w:val="19"/>
              </w:rPr>
            </w:pPr>
            <w:r w:rsidRPr="005706EA">
              <w:rPr>
                <w:iCs/>
                <w:sz w:val="19"/>
                <w:szCs w:val="19"/>
              </w:rPr>
              <w:t>Total number of scripts displaced</w:t>
            </w:r>
            <w:r w:rsidRPr="005706EA">
              <w:rPr>
                <w:iCs/>
                <w:sz w:val="19"/>
                <w:szCs w:val="19"/>
                <w:vertAlign w:val="superscript"/>
              </w:rPr>
              <w:t>c</w:t>
            </w:r>
          </w:p>
        </w:tc>
        <w:tc>
          <w:tcPr>
            <w:tcW w:w="571" w:type="pct"/>
            <w:tcBorders>
              <w:top w:val="single" w:sz="4" w:space="0" w:color="auto"/>
              <w:left w:val="single" w:sz="4" w:space="0" w:color="auto"/>
              <w:bottom w:val="single" w:sz="4" w:space="0" w:color="auto"/>
              <w:right w:val="single" w:sz="4" w:space="0" w:color="auto"/>
            </w:tcBorders>
            <w:vAlign w:val="center"/>
          </w:tcPr>
          <w:p w:rsidR="003022F1" w:rsidRPr="00FF4479" w:rsidRDefault="00FF4479" w:rsidP="00D26016">
            <w:pPr>
              <w:pStyle w:val="Tabletext"/>
              <w:keepNext/>
              <w:keepLines/>
              <w:spacing w:line="276" w:lineRule="auto"/>
              <w:jc w:val="center"/>
              <w:rPr>
                <w:iCs/>
                <w:highlight w:val="black"/>
              </w:rPr>
            </w:pPr>
            <w:r>
              <w:rPr>
                <w:iCs/>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center"/>
          </w:tcPr>
          <w:p w:rsidR="003022F1" w:rsidRPr="00FF4479" w:rsidRDefault="00FF4479" w:rsidP="00D26016">
            <w:pPr>
              <w:pStyle w:val="Tabletext"/>
              <w:keepNext/>
              <w:keepLines/>
              <w:spacing w:line="276" w:lineRule="auto"/>
              <w:jc w:val="center"/>
              <w:rPr>
                <w:iCs/>
                <w:highlight w:val="black"/>
              </w:rPr>
            </w:pPr>
            <w:r>
              <w:rPr>
                <w:iCs/>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center"/>
          </w:tcPr>
          <w:p w:rsidR="003022F1" w:rsidRPr="00FF4479" w:rsidRDefault="00FF4479" w:rsidP="00D26016">
            <w:pPr>
              <w:pStyle w:val="Tabletext"/>
              <w:keepNext/>
              <w:keepLines/>
              <w:spacing w:line="276" w:lineRule="auto"/>
              <w:jc w:val="center"/>
              <w:rPr>
                <w:iCs/>
                <w:highlight w:val="black"/>
              </w:rPr>
            </w:pPr>
            <w:r>
              <w:rPr>
                <w:iCs/>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center"/>
          </w:tcPr>
          <w:p w:rsidR="003022F1" w:rsidRPr="00FF4479" w:rsidRDefault="00FF4479" w:rsidP="00D26016">
            <w:pPr>
              <w:pStyle w:val="Tabletext"/>
              <w:keepNext/>
              <w:keepLines/>
              <w:spacing w:line="276" w:lineRule="auto"/>
              <w:jc w:val="center"/>
              <w:rPr>
                <w:iCs/>
                <w:highlight w:val="black"/>
              </w:rPr>
            </w:pPr>
            <w:r>
              <w:rPr>
                <w:iCs/>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center"/>
          </w:tcPr>
          <w:p w:rsidR="003022F1" w:rsidRPr="00FF4479" w:rsidRDefault="00FF4479" w:rsidP="00D26016">
            <w:pPr>
              <w:pStyle w:val="Tabletext"/>
              <w:keepNext/>
              <w:keepLines/>
              <w:spacing w:line="276" w:lineRule="auto"/>
              <w:jc w:val="center"/>
              <w:rPr>
                <w:iCs/>
                <w:highlight w:val="black"/>
              </w:rPr>
            </w:pPr>
            <w:r>
              <w:rPr>
                <w:iCs/>
                <w:noProof/>
                <w:color w:val="000000"/>
                <w:highlight w:val="black"/>
              </w:rPr>
              <w:t>''''''''''''''</w:t>
            </w:r>
          </w:p>
        </w:tc>
        <w:tc>
          <w:tcPr>
            <w:tcW w:w="669" w:type="pct"/>
            <w:tcBorders>
              <w:top w:val="single" w:sz="4" w:space="0" w:color="auto"/>
              <w:left w:val="single" w:sz="4" w:space="0" w:color="auto"/>
              <w:bottom w:val="single" w:sz="4" w:space="0" w:color="auto"/>
              <w:right w:val="single" w:sz="4" w:space="0" w:color="auto"/>
            </w:tcBorders>
            <w:vAlign w:val="center"/>
          </w:tcPr>
          <w:p w:rsidR="003022F1" w:rsidRPr="00FF4479" w:rsidRDefault="00FF4479" w:rsidP="00D26016">
            <w:pPr>
              <w:pStyle w:val="Tabletext"/>
              <w:keepNext/>
              <w:keepLines/>
              <w:spacing w:line="276" w:lineRule="auto"/>
              <w:jc w:val="center"/>
              <w:rPr>
                <w:iCs/>
                <w:highlight w:val="black"/>
              </w:rPr>
            </w:pPr>
            <w:r>
              <w:rPr>
                <w:iCs/>
                <w:noProof/>
                <w:color w:val="000000"/>
                <w:highlight w:val="black"/>
              </w:rPr>
              <w:t>''''''''''''''</w:t>
            </w:r>
          </w:p>
        </w:tc>
      </w:tr>
      <w:tr w:rsidR="003022F1" w:rsidRPr="002609E0" w:rsidTr="002609E0">
        <w:tc>
          <w:tcPr>
            <w:tcW w:w="1108" w:type="pct"/>
            <w:tcBorders>
              <w:top w:val="single" w:sz="4" w:space="0" w:color="auto"/>
              <w:left w:val="single" w:sz="4" w:space="0" w:color="auto"/>
              <w:bottom w:val="single" w:sz="4" w:space="0" w:color="auto"/>
              <w:right w:val="single" w:sz="4" w:space="0" w:color="auto"/>
            </w:tcBorders>
            <w:vAlign w:val="center"/>
            <w:hideMark/>
          </w:tcPr>
          <w:p w:rsidR="003022F1" w:rsidRPr="005706EA" w:rsidRDefault="003022F1" w:rsidP="00D26016">
            <w:pPr>
              <w:pStyle w:val="Tabletext"/>
              <w:keepNext/>
              <w:keepLines/>
              <w:spacing w:line="276" w:lineRule="auto"/>
              <w:rPr>
                <w:iCs/>
                <w:sz w:val="19"/>
                <w:szCs w:val="19"/>
                <w:vertAlign w:val="superscript"/>
              </w:rPr>
            </w:pPr>
            <w:r w:rsidRPr="005706EA">
              <w:rPr>
                <w:iCs/>
                <w:sz w:val="19"/>
                <w:szCs w:val="19"/>
              </w:rPr>
              <w:t>Cost to PBS/RPBS</w:t>
            </w:r>
          </w:p>
        </w:tc>
        <w:tc>
          <w:tcPr>
            <w:tcW w:w="571" w:type="pct"/>
            <w:tcBorders>
              <w:top w:val="single" w:sz="4" w:space="0" w:color="auto"/>
              <w:left w:val="single" w:sz="4" w:space="0" w:color="auto"/>
              <w:bottom w:val="single" w:sz="4" w:space="0" w:color="auto"/>
              <w:right w:val="single" w:sz="4" w:space="0" w:color="auto"/>
            </w:tcBorders>
            <w:vAlign w:val="bottom"/>
            <w:hideMark/>
          </w:tcPr>
          <w:p w:rsidR="003022F1" w:rsidRPr="00EE527E" w:rsidRDefault="00EE527E" w:rsidP="00D26016">
            <w:pPr>
              <w:pStyle w:val="Tabletext"/>
              <w:keepNext/>
              <w:keepLines/>
              <w:spacing w:line="276" w:lineRule="auto"/>
              <w:jc w:val="center"/>
              <w:rPr>
                <w:i/>
                <w:highlight w:val="black"/>
              </w:rPr>
            </w:pPr>
            <w:r>
              <w:rPr>
                <w:i/>
                <w:noProof/>
                <w:color w:val="000000"/>
                <w:highlight w:val="black"/>
              </w:rPr>
              <w:t>'''''''''''''''''''''''''</w:t>
            </w:r>
            <w:r w:rsidR="003022F1" w:rsidRPr="00EE527E">
              <w:rPr>
                <w:i/>
                <w:highlight w:val="black"/>
              </w:rPr>
              <w:t xml:space="preserve"> </w:t>
            </w:r>
          </w:p>
        </w:tc>
        <w:tc>
          <w:tcPr>
            <w:tcW w:w="663" w:type="pct"/>
            <w:tcBorders>
              <w:top w:val="single" w:sz="4" w:space="0" w:color="auto"/>
              <w:left w:val="single" w:sz="4" w:space="0" w:color="auto"/>
              <w:bottom w:val="single" w:sz="4" w:space="0" w:color="auto"/>
              <w:right w:val="single" w:sz="4" w:space="0" w:color="auto"/>
            </w:tcBorders>
            <w:vAlign w:val="bottom"/>
            <w:hideMark/>
          </w:tcPr>
          <w:p w:rsidR="003022F1" w:rsidRPr="00EE527E" w:rsidRDefault="00EE527E" w:rsidP="00D26016">
            <w:pPr>
              <w:pStyle w:val="Tabletext"/>
              <w:keepNext/>
              <w:keepLines/>
              <w:spacing w:line="276" w:lineRule="auto"/>
              <w:jc w:val="center"/>
              <w:rPr>
                <w:i/>
                <w:highlight w:val="black"/>
              </w:rPr>
            </w:pPr>
            <w:r>
              <w:rPr>
                <w:i/>
                <w:noProof/>
                <w:color w:val="000000"/>
                <w:highlight w:val="black"/>
              </w:rPr>
              <w:t>''''''''''''''''''''''''''''</w:t>
            </w:r>
            <w:r w:rsidR="003022F1" w:rsidRPr="00EE527E">
              <w:rPr>
                <w:i/>
                <w:highlight w:val="black"/>
              </w:rPr>
              <w:t xml:space="preserve"> </w:t>
            </w:r>
          </w:p>
        </w:tc>
        <w:tc>
          <w:tcPr>
            <w:tcW w:w="663" w:type="pct"/>
            <w:tcBorders>
              <w:top w:val="single" w:sz="4" w:space="0" w:color="auto"/>
              <w:left w:val="single" w:sz="4" w:space="0" w:color="auto"/>
              <w:bottom w:val="single" w:sz="4" w:space="0" w:color="auto"/>
              <w:right w:val="single" w:sz="4" w:space="0" w:color="auto"/>
            </w:tcBorders>
            <w:vAlign w:val="bottom"/>
            <w:hideMark/>
          </w:tcPr>
          <w:p w:rsidR="003022F1" w:rsidRPr="00EE527E" w:rsidRDefault="00EE527E" w:rsidP="00D26016">
            <w:pPr>
              <w:pStyle w:val="Tabletext"/>
              <w:keepNext/>
              <w:keepLines/>
              <w:spacing w:line="276" w:lineRule="auto"/>
              <w:jc w:val="center"/>
              <w:rPr>
                <w:i/>
                <w:highlight w:val="black"/>
              </w:rPr>
            </w:pPr>
            <w:r>
              <w:rPr>
                <w:i/>
                <w:noProof/>
                <w:color w:val="000000"/>
                <w:highlight w:val="black"/>
              </w:rPr>
              <w:t>'''''''''''''''''''''''''</w:t>
            </w:r>
            <w:r w:rsidR="003022F1" w:rsidRPr="00EE527E">
              <w:rPr>
                <w:i/>
                <w:highlight w:val="black"/>
              </w:rPr>
              <w:t xml:space="preserve"> </w:t>
            </w:r>
          </w:p>
        </w:tc>
        <w:tc>
          <w:tcPr>
            <w:tcW w:w="663" w:type="pct"/>
            <w:tcBorders>
              <w:top w:val="single" w:sz="4" w:space="0" w:color="auto"/>
              <w:left w:val="single" w:sz="4" w:space="0" w:color="auto"/>
              <w:bottom w:val="single" w:sz="4" w:space="0" w:color="auto"/>
              <w:right w:val="single" w:sz="4" w:space="0" w:color="auto"/>
            </w:tcBorders>
            <w:vAlign w:val="bottom"/>
            <w:hideMark/>
          </w:tcPr>
          <w:p w:rsidR="003022F1" w:rsidRPr="00EE527E" w:rsidRDefault="00EE527E" w:rsidP="00D26016">
            <w:pPr>
              <w:pStyle w:val="Tabletext"/>
              <w:keepNext/>
              <w:keepLines/>
              <w:spacing w:line="276" w:lineRule="auto"/>
              <w:jc w:val="center"/>
              <w:rPr>
                <w:i/>
                <w:highlight w:val="black"/>
              </w:rPr>
            </w:pPr>
            <w:r>
              <w:rPr>
                <w:i/>
                <w:noProof/>
                <w:color w:val="000000"/>
                <w:highlight w:val="black"/>
              </w:rPr>
              <w:t>''''''''''''''''''''''''''</w:t>
            </w:r>
            <w:r w:rsidR="003022F1" w:rsidRPr="00EE527E">
              <w:rPr>
                <w:i/>
                <w:highlight w:val="black"/>
              </w:rPr>
              <w:t xml:space="preserve"> </w:t>
            </w:r>
          </w:p>
        </w:tc>
        <w:tc>
          <w:tcPr>
            <w:tcW w:w="663" w:type="pct"/>
            <w:tcBorders>
              <w:top w:val="single" w:sz="4" w:space="0" w:color="auto"/>
              <w:left w:val="single" w:sz="4" w:space="0" w:color="auto"/>
              <w:bottom w:val="single" w:sz="4" w:space="0" w:color="auto"/>
              <w:right w:val="single" w:sz="4" w:space="0" w:color="auto"/>
            </w:tcBorders>
            <w:vAlign w:val="bottom"/>
            <w:hideMark/>
          </w:tcPr>
          <w:p w:rsidR="003022F1" w:rsidRPr="00EE527E" w:rsidRDefault="00EE527E" w:rsidP="00D26016">
            <w:pPr>
              <w:pStyle w:val="Tabletext"/>
              <w:keepNext/>
              <w:keepLines/>
              <w:spacing w:line="276" w:lineRule="auto"/>
              <w:jc w:val="center"/>
              <w:rPr>
                <w:i/>
                <w:highlight w:val="black"/>
              </w:rPr>
            </w:pPr>
            <w:r>
              <w:rPr>
                <w:i/>
                <w:noProof/>
                <w:color w:val="000000"/>
                <w:highlight w:val="black"/>
              </w:rPr>
              <w:t>''''''''''''''''''''''''</w:t>
            </w:r>
            <w:r w:rsidR="003022F1" w:rsidRPr="00EE527E">
              <w:rPr>
                <w:i/>
                <w:highlight w:val="black"/>
              </w:rPr>
              <w:t xml:space="preserve"> </w:t>
            </w:r>
          </w:p>
        </w:tc>
        <w:tc>
          <w:tcPr>
            <w:tcW w:w="669" w:type="pct"/>
            <w:tcBorders>
              <w:top w:val="single" w:sz="4" w:space="0" w:color="auto"/>
              <w:left w:val="single" w:sz="4" w:space="0" w:color="auto"/>
              <w:bottom w:val="single" w:sz="4" w:space="0" w:color="auto"/>
              <w:right w:val="single" w:sz="4" w:space="0" w:color="auto"/>
            </w:tcBorders>
            <w:vAlign w:val="bottom"/>
            <w:hideMark/>
          </w:tcPr>
          <w:p w:rsidR="003022F1" w:rsidRPr="00EE527E" w:rsidRDefault="00EE527E" w:rsidP="00D26016">
            <w:pPr>
              <w:pStyle w:val="Tabletext"/>
              <w:keepNext/>
              <w:keepLines/>
              <w:spacing w:line="276" w:lineRule="auto"/>
              <w:jc w:val="center"/>
              <w:rPr>
                <w:i/>
                <w:highlight w:val="black"/>
              </w:rPr>
            </w:pPr>
            <w:r>
              <w:rPr>
                <w:i/>
                <w:noProof/>
                <w:color w:val="000000"/>
                <w:highlight w:val="black"/>
              </w:rPr>
              <w:t>'''''''''''''''''''''''''''''</w:t>
            </w:r>
            <w:r w:rsidR="003022F1" w:rsidRPr="00EE527E">
              <w:rPr>
                <w:i/>
                <w:highlight w:val="black"/>
              </w:rPr>
              <w:t xml:space="preserve"> </w:t>
            </w:r>
          </w:p>
        </w:tc>
      </w:tr>
      <w:tr w:rsidR="003022F1" w:rsidRPr="002609E0" w:rsidTr="002609E0">
        <w:tc>
          <w:tcPr>
            <w:tcW w:w="1108" w:type="pct"/>
            <w:tcBorders>
              <w:top w:val="single" w:sz="4" w:space="0" w:color="auto"/>
              <w:left w:val="single" w:sz="4" w:space="0" w:color="auto"/>
              <w:bottom w:val="single" w:sz="4" w:space="0" w:color="auto"/>
              <w:right w:val="single" w:sz="4" w:space="0" w:color="auto"/>
            </w:tcBorders>
            <w:vAlign w:val="center"/>
            <w:hideMark/>
          </w:tcPr>
          <w:p w:rsidR="003022F1" w:rsidRPr="005706EA" w:rsidRDefault="003022F1" w:rsidP="00D26016">
            <w:pPr>
              <w:pStyle w:val="Tabletext"/>
              <w:keepNext/>
              <w:keepLines/>
              <w:spacing w:line="276" w:lineRule="auto"/>
              <w:rPr>
                <w:iCs/>
                <w:sz w:val="19"/>
                <w:szCs w:val="19"/>
              </w:rPr>
            </w:pPr>
            <w:r w:rsidRPr="005706EA">
              <w:rPr>
                <w:iCs/>
                <w:sz w:val="19"/>
                <w:szCs w:val="19"/>
              </w:rPr>
              <w:t>Copayments</w:t>
            </w:r>
          </w:p>
        </w:tc>
        <w:tc>
          <w:tcPr>
            <w:tcW w:w="571" w:type="pct"/>
            <w:tcBorders>
              <w:top w:val="single" w:sz="4" w:space="0" w:color="auto"/>
              <w:left w:val="single" w:sz="4" w:space="0" w:color="auto"/>
              <w:bottom w:val="single" w:sz="4" w:space="0" w:color="auto"/>
              <w:right w:val="single" w:sz="4" w:space="0" w:color="auto"/>
            </w:tcBorders>
            <w:hideMark/>
          </w:tcPr>
          <w:p w:rsidR="003022F1" w:rsidRPr="002609E0" w:rsidRDefault="003022F1" w:rsidP="00D26016">
            <w:pPr>
              <w:pStyle w:val="Tabletext"/>
              <w:keepNext/>
              <w:keepLines/>
              <w:spacing w:line="276" w:lineRule="auto"/>
              <w:jc w:val="center"/>
              <w:rPr>
                <w:bCs/>
                <w:iCs/>
                <w:color w:val="000000"/>
              </w:rPr>
            </w:pPr>
            <w:r w:rsidRPr="002609E0">
              <w:rPr>
                <w:iCs/>
              </w:rPr>
              <w:t>-$</w:t>
            </w:r>
            <w:r w:rsidR="00FF4479">
              <w:rPr>
                <w:iCs/>
                <w:noProof/>
                <w:color w:val="000000"/>
                <w:highlight w:val="black"/>
              </w:rPr>
              <w:t>''''''''''''''''</w:t>
            </w:r>
            <w:r w:rsidRPr="002609E0">
              <w:rPr>
                <w:iCs/>
              </w:rPr>
              <w:t xml:space="preserve"> </w:t>
            </w:r>
          </w:p>
        </w:tc>
        <w:tc>
          <w:tcPr>
            <w:tcW w:w="663" w:type="pct"/>
            <w:tcBorders>
              <w:top w:val="single" w:sz="4" w:space="0" w:color="auto"/>
              <w:left w:val="single" w:sz="4" w:space="0" w:color="auto"/>
              <w:bottom w:val="single" w:sz="4" w:space="0" w:color="auto"/>
              <w:right w:val="single" w:sz="4" w:space="0" w:color="auto"/>
            </w:tcBorders>
            <w:hideMark/>
          </w:tcPr>
          <w:p w:rsidR="003022F1" w:rsidRPr="002609E0" w:rsidRDefault="003022F1" w:rsidP="00D26016">
            <w:pPr>
              <w:pStyle w:val="Tabletext"/>
              <w:keepNext/>
              <w:keepLines/>
              <w:spacing w:line="276" w:lineRule="auto"/>
              <w:jc w:val="center"/>
              <w:rPr>
                <w:bCs/>
                <w:iCs/>
                <w:color w:val="000000"/>
              </w:rPr>
            </w:pPr>
            <w:r w:rsidRPr="002609E0">
              <w:rPr>
                <w:iCs/>
              </w:rPr>
              <w:t>-$</w:t>
            </w:r>
            <w:r w:rsidR="00FF4479">
              <w:rPr>
                <w:iCs/>
                <w:noProof/>
                <w:color w:val="000000"/>
                <w:highlight w:val="black"/>
              </w:rPr>
              <w:t>''''''''''''''''</w:t>
            </w:r>
            <w:r w:rsidRPr="002609E0">
              <w:rPr>
                <w:iCs/>
              </w:rPr>
              <w:t xml:space="preserve"> </w:t>
            </w:r>
          </w:p>
        </w:tc>
        <w:tc>
          <w:tcPr>
            <w:tcW w:w="663" w:type="pct"/>
            <w:tcBorders>
              <w:top w:val="single" w:sz="4" w:space="0" w:color="auto"/>
              <w:left w:val="single" w:sz="4" w:space="0" w:color="auto"/>
              <w:bottom w:val="single" w:sz="4" w:space="0" w:color="auto"/>
              <w:right w:val="single" w:sz="4" w:space="0" w:color="auto"/>
            </w:tcBorders>
            <w:hideMark/>
          </w:tcPr>
          <w:p w:rsidR="003022F1" w:rsidRPr="002609E0" w:rsidRDefault="003022F1" w:rsidP="00D26016">
            <w:pPr>
              <w:pStyle w:val="Tabletext"/>
              <w:keepNext/>
              <w:keepLines/>
              <w:spacing w:line="276" w:lineRule="auto"/>
              <w:jc w:val="center"/>
              <w:rPr>
                <w:bCs/>
                <w:iCs/>
                <w:color w:val="000000"/>
              </w:rPr>
            </w:pPr>
            <w:r w:rsidRPr="002609E0">
              <w:rPr>
                <w:iCs/>
              </w:rPr>
              <w:t>-$</w:t>
            </w:r>
            <w:r w:rsidR="00FF4479">
              <w:rPr>
                <w:iCs/>
                <w:noProof/>
                <w:color w:val="000000"/>
                <w:highlight w:val="black"/>
              </w:rPr>
              <w:t>''''''''''''''''</w:t>
            </w:r>
            <w:r w:rsidRPr="002609E0">
              <w:rPr>
                <w:iCs/>
              </w:rPr>
              <w:t xml:space="preserve"> </w:t>
            </w:r>
          </w:p>
        </w:tc>
        <w:tc>
          <w:tcPr>
            <w:tcW w:w="663" w:type="pct"/>
            <w:tcBorders>
              <w:top w:val="single" w:sz="4" w:space="0" w:color="auto"/>
              <w:left w:val="single" w:sz="4" w:space="0" w:color="auto"/>
              <w:bottom w:val="single" w:sz="4" w:space="0" w:color="auto"/>
              <w:right w:val="single" w:sz="4" w:space="0" w:color="auto"/>
            </w:tcBorders>
            <w:hideMark/>
          </w:tcPr>
          <w:p w:rsidR="003022F1" w:rsidRPr="002609E0" w:rsidRDefault="003022F1" w:rsidP="00D26016">
            <w:pPr>
              <w:pStyle w:val="Tabletext"/>
              <w:keepNext/>
              <w:keepLines/>
              <w:spacing w:line="276" w:lineRule="auto"/>
              <w:jc w:val="center"/>
              <w:rPr>
                <w:bCs/>
                <w:iCs/>
                <w:color w:val="000000"/>
              </w:rPr>
            </w:pPr>
            <w:r w:rsidRPr="002609E0">
              <w:rPr>
                <w:iCs/>
              </w:rPr>
              <w:t>-$</w:t>
            </w:r>
            <w:r w:rsidR="00FF4479">
              <w:rPr>
                <w:iCs/>
                <w:noProof/>
                <w:color w:val="000000"/>
                <w:highlight w:val="black"/>
              </w:rPr>
              <w:t>''''''''''''''''</w:t>
            </w:r>
            <w:r w:rsidRPr="002609E0">
              <w:rPr>
                <w:iCs/>
              </w:rPr>
              <w:t xml:space="preserve"> </w:t>
            </w:r>
          </w:p>
        </w:tc>
        <w:tc>
          <w:tcPr>
            <w:tcW w:w="663" w:type="pct"/>
            <w:tcBorders>
              <w:top w:val="single" w:sz="4" w:space="0" w:color="auto"/>
              <w:left w:val="single" w:sz="4" w:space="0" w:color="auto"/>
              <w:bottom w:val="single" w:sz="4" w:space="0" w:color="auto"/>
              <w:right w:val="single" w:sz="4" w:space="0" w:color="auto"/>
            </w:tcBorders>
            <w:hideMark/>
          </w:tcPr>
          <w:p w:rsidR="003022F1" w:rsidRPr="002609E0" w:rsidRDefault="003022F1" w:rsidP="00D26016">
            <w:pPr>
              <w:pStyle w:val="Tabletext"/>
              <w:keepNext/>
              <w:keepLines/>
              <w:spacing w:line="276" w:lineRule="auto"/>
              <w:jc w:val="center"/>
              <w:rPr>
                <w:bCs/>
                <w:iCs/>
                <w:color w:val="000000"/>
              </w:rPr>
            </w:pPr>
            <w:r w:rsidRPr="002609E0">
              <w:rPr>
                <w:iCs/>
              </w:rPr>
              <w:t>-$</w:t>
            </w:r>
            <w:r w:rsidR="00FF4479">
              <w:rPr>
                <w:iCs/>
                <w:noProof/>
                <w:color w:val="000000"/>
                <w:highlight w:val="black"/>
              </w:rPr>
              <w:t>''''''''''''''''</w:t>
            </w:r>
            <w:r w:rsidRPr="002609E0">
              <w:rPr>
                <w:iCs/>
              </w:rPr>
              <w:t xml:space="preserve"> </w:t>
            </w:r>
          </w:p>
        </w:tc>
        <w:tc>
          <w:tcPr>
            <w:tcW w:w="669" w:type="pct"/>
            <w:tcBorders>
              <w:top w:val="single" w:sz="4" w:space="0" w:color="auto"/>
              <w:left w:val="single" w:sz="4" w:space="0" w:color="auto"/>
              <w:bottom w:val="single" w:sz="4" w:space="0" w:color="auto"/>
              <w:right w:val="single" w:sz="4" w:space="0" w:color="auto"/>
            </w:tcBorders>
            <w:hideMark/>
          </w:tcPr>
          <w:p w:rsidR="003022F1" w:rsidRPr="002609E0" w:rsidRDefault="003022F1" w:rsidP="00D26016">
            <w:pPr>
              <w:pStyle w:val="Tabletext"/>
              <w:keepNext/>
              <w:keepLines/>
              <w:spacing w:line="276" w:lineRule="auto"/>
              <w:jc w:val="center"/>
              <w:rPr>
                <w:bCs/>
                <w:iCs/>
                <w:color w:val="000000"/>
              </w:rPr>
            </w:pPr>
            <w:r w:rsidRPr="002609E0">
              <w:rPr>
                <w:iCs/>
              </w:rPr>
              <w:t>-$</w:t>
            </w:r>
            <w:r w:rsidR="00FF4479">
              <w:rPr>
                <w:iCs/>
                <w:noProof/>
                <w:color w:val="000000"/>
                <w:highlight w:val="black"/>
              </w:rPr>
              <w:t>''''''''''''''''</w:t>
            </w:r>
            <w:r w:rsidRPr="002609E0">
              <w:rPr>
                <w:iCs/>
              </w:rPr>
              <w:t xml:space="preserve"> </w:t>
            </w:r>
          </w:p>
        </w:tc>
      </w:tr>
      <w:tr w:rsidR="003022F1" w:rsidRPr="002609E0" w:rsidTr="002609E0">
        <w:tc>
          <w:tcPr>
            <w:tcW w:w="1108" w:type="pct"/>
            <w:tcBorders>
              <w:top w:val="single" w:sz="4" w:space="0" w:color="auto"/>
              <w:left w:val="single" w:sz="4" w:space="0" w:color="auto"/>
              <w:bottom w:val="single" w:sz="4" w:space="0" w:color="auto"/>
              <w:right w:val="single" w:sz="4" w:space="0" w:color="auto"/>
            </w:tcBorders>
            <w:vAlign w:val="center"/>
            <w:hideMark/>
          </w:tcPr>
          <w:p w:rsidR="003022F1" w:rsidRPr="005706EA" w:rsidRDefault="003022F1" w:rsidP="00D26016">
            <w:pPr>
              <w:pStyle w:val="Tabletext"/>
              <w:keepNext/>
              <w:keepLines/>
              <w:spacing w:line="276" w:lineRule="auto"/>
              <w:rPr>
                <w:iCs/>
                <w:sz w:val="19"/>
                <w:szCs w:val="19"/>
              </w:rPr>
            </w:pPr>
            <w:r w:rsidRPr="005706EA">
              <w:rPr>
                <w:iCs/>
                <w:sz w:val="19"/>
                <w:szCs w:val="19"/>
              </w:rPr>
              <w:t>Cost to PBS/RPBS less copayments</w:t>
            </w:r>
          </w:p>
        </w:tc>
        <w:tc>
          <w:tcPr>
            <w:tcW w:w="571" w:type="pct"/>
            <w:tcBorders>
              <w:top w:val="single" w:sz="4" w:space="0" w:color="auto"/>
              <w:left w:val="single" w:sz="4" w:space="0" w:color="auto"/>
              <w:bottom w:val="single" w:sz="4" w:space="0" w:color="auto"/>
              <w:right w:val="single" w:sz="4" w:space="0" w:color="auto"/>
            </w:tcBorders>
            <w:vAlign w:val="bottom"/>
            <w:hideMark/>
          </w:tcPr>
          <w:p w:rsidR="003022F1" w:rsidRPr="00EE527E" w:rsidRDefault="00EE527E" w:rsidP="00D26016">
            <w:pPr>
              <w:pStyle w:val="Tabletext"/>
              <w:keepNext/>
              <w:keepLines/>
              <w:spacing w:line="276" w:lineRule="auto"/>
              <w:jc w:val="center"/>
              <w:rPr>
                <w:i/>
                <w:highlight w:val="black"/>
              </w:rPr>
            </w:pPr>
            <w:r>
              <w:rPr>
                <w:i/>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bottom"/>
            <w:hideMark/>
          </w:tcPr>
          <w:p w:rsidR="003022F1" w:rsidRPr="00EE527E" w:rsidRDefault="00EE527E" w:rsidP="00D26016">
            <w:pPr>
              <w:pStyle w:val="Tabletext"/>
              <w:keepNext/>
              <w:keepLines/>
              <w:spacing w:line="276" w:lineRule="auto"/>
              <w:jc w:val="center"/>
              <w:rPr>
                <w:i/>
                <w:highlight w:val="black"/>
              </w:rPr>
            </w:pPr>
            <w:r>
              <w:rPr>
                <w:i/>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bottom"/>
            <w:hideMark/>
          </w:tcPr>
          <w:p w:rsidR="003022F1" w:rsidRPr="00EE527E" w:rsidRDefault="00EE527E" w:rsidP="00D26016">
            <w:pPr>
              <w:pStyle w:val="Tabletext"/>
              <w:keepNext/>
              <w:keepLines/>
              <w:spacing w:line="276" w:lineRule="auto"/>
              <w:jc w:val="center"/>
              <w:rPr>
                <w:i/>
                <w:highlight w:val="black"/>
              </w:rPr>
            </w:pPr>
            <w:r>
              <w:rPr>
                <w:i/>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bottom"/>
            <w:hideMark/>
          </w:tcPr>
          <w:p w:rsidR="003022F1" w:rsidRPr="00EE527E" w:rsidRDefault="00EE527E" w:rsidP="00D26016">
            <w:pPr>
              <w:pStyle w:val="Tabletext"/>
              <w:keepNext/>
              <w:keepLines/>
              <w:spacing w:line="276" w:lineRule="auto"/>
              <w:jc w:val="center"/>
              <w:rPr>
                <w:i/>
                <w:highlight w:val="black"/>
              </w:rPr>
            </w:pPr>
            <w:r>
              <w:rPr>
                <w:i/>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bottom"/>
            <w:hideMark/>
          </w:tcPr>
          <w:p w:rsidR="003022F1" w:rsidRPr="00EE527E" w:rsidRDefault="00EE527E" w:rsidP="00D26016">
            <w:pPr>
              <w:pStyle w:val="Tabletext"/>
              <w:keepNext/>
              <w:keepLines/>
              <w:spacing w:line="276" w:lineRule="auto"/>
              <w:jc w:val="center"/>
              <w:rPr>
                <w:i/>
                <w:highlight w:val="black"/>
              </w:rPr>
            </w:pPr>
            <w:r>
              <w:rPr>
                <w:i/>
                <w:noProof/>
                <w:color w:val="000000"/>
                <w:highlight w:val="black"/>
              </w:rPr>
              <w:t>'''''''''''''''''''''''''''''</w:t>
            </w:r>
          </w:p>
        </w:tc>
        <w:tc>
          <w:tcPr>
            <w:tcW w:w="669" w:type="pct"/>
            <w:tcBorders>
              <w:top w:val="single" w:sz="4" w:space="0" w:color="auto"/>
              <w:left w:val="single" w:sz="4" w:space="0" w:color="auto"/>
              <w:bottom w:val="single" w:sz="4" w:space="0" w:color="auto"/>
              <w:right w:val="single" w:sz="4" w:space="0" w:color="auto"/>
            </w:tcBorders>
            <w:vAlign w:val="bottom"/>
            <w:hideMark/>
          </w:tcPr>
          <w:p w:rsidR="003022F1" w:rsidRPr="00EE527E" w:rsidRDefault="00EE527E" w:rsidP="00D26016">
            <w:pPr>
              <w:pStyle w:val="Tabletext"/>
              <w:keepNext/>
              <w:keepLines/>
              <w:spacing w:line="276" w:lineRule="auto"/>
              <w:jc w:val="center"/>
              <w:rPr>
                <w:i/>
                <w:highlight w:val="black"/>
              </w:rPr>
            </w:pPr>
            <w:r>
              <w:rPr>
                <w:i/>
                <w:noProof/>
                <w:color w:val="000000"/>
                <w:highlight w:val="black"/>
              </w:rPr>
              <w:t>''''''''''''''''''''''''</w:t>
            </w:r>
          </w:p>
        </w:tc>
      </w:tr>
      <w:tr w:rsidR="003022F1" w:rsidRPr="002609E0" w:rsidTr="00D26016">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3022F1" w:rsidRPr="005706EA" w:rsidRDefault="003022F1" w:rsidP="00D26016">
            <w:pPr>
              <w:pStyle w:val="Tabletext"/>
              <w:keepNext/>
              <w:keepLines/>
              <w:spacing w:line="276" w:lineRule="auto"/>
              <w:rPr>
                <w:b/>
                <w:bCs/>
                <w:iCs/>
                <w:color w:val="000000"/>
              </w:rPr>
            </w:pPr>
            <w:r w:rsidRPr="005706EA">
              <w:rPr>
                <w:b/>
                <w:bCs/>
                <w:iCs/>
                <w:color w:val="000000"/>
              </w:rPr>
              <w:t>Net financial implications</w:t>
            </w:r>
          </w:p>
        </w:tc>
      </w:tr>
      <w:tr w:rsidR="003022F1" w:rsidRPr="00EF7D8C" w:rsidTr="002609E0">
        <w:tc>
          <w:tcPr>
            <w:tcW w:w="1108" w:type="pct"/>
            <w:tcBorders>
              <w:top w:val="single" w:sz="4" w:space="0" w:color="auto"/>
              <w:left w:val="single" w:sz="4" w:space="0" w:color="auto"/>
              <w:bottom w:val="single" w:sz="4" w:space="0" w:color="auto"/>
              <w:right w:val="single" w:sz="4" w:space="0" w:color="auto"/>
            </w:tcBorders>
            <w:vAlign w:val="center"/>
            <w:hideMark/>
          </w:tcPr>
          <w:p w:rsidR="003022F1" w:rsidRPr="005706EA" w:rsidRDefault="003022F1" w:rsidP="00D26016">
            <w:pPr>
              <w:pStyle w:val="Tabletext"/>
              <w:keepNext/>
              <w:keepLines/>
              <w:spacing w:line="276" w:lineRule="auto"/>
              <w:rPr>
                <w:iCs/>
                <w:sz w:val="19"/>
                <w:szCs w:val="19"/>
              </w:rPr>
            </w:pPr>
            <w:r w:rsidRPr="005706EA">
              <w:rPr>
                <w:iCs/>
                <w:sz w:val="19"/>
                <w:szCs w:val="19"/>
              </w:rPr>
              <w:t>Net cost to PBS/RPBS</w:t>
            </w:r>
            <w:r w:rsidR="002609E0" w:rsidRPr="005706EA">
              <w:rPr>
                <w:iCs/>
                <w:sz w:val="19"/>
                <w:szCs w:val="19"/>
                <w:vertAlign w:val="superscript"/>
              </w:rPr>
              <w:t>d</w:t>
            </w:r>
            <w:r w:rsidRPr="005706EA">
              <w:rPr>
                <w:iCs/>
                <w:sz w:val="19"/>
                <w:szCs w:val="19"/>
              </w:rPr>
              <w:t xml:space="preserve"> </w:t>
            </w:r>
          </w:p>
        </w:tc>
        <w:tc>
          <w:tcPr>
            <w:tcW w:w="571" w:type="pct"/>
            <w:tcBorders>
              <w:top w:val="single" w:sz="4" w:space="0" w:color="auto"/>
              <w:left w:val="single" w:sz="4" w:space="0" w:color="auto"/>
              <w:bottom w:val="single" w:sz="4" w:space="0" w:color="auto"/>
              <w:right w:val="single" w:sz="4" w:space="0" w:color="auto"/>
            </w:tcBorders>
            <w:vAlign w:val="bottom"/>
            <w:hideMark/>
          </w:tcPr>
          <w:p w:rsidR="003022F1" w:rsidRPr="00EE527E" w:rsidRDefault="00EE527E" w:rsidP="00D26016">
            <w:pPr>
              <w:pStyle w:val="Tabletext"/>
              <w:keepNext/>
              <w:keepLines/>
              <w:spacing w:line="276" w:lineRule="auto"/>
              <w:jc w:val="center"/>
              <w:rPr>
                <w:i/>
                <w:highlight w:val="black"/>
              </w:rPr>
            </w:pPr>
            <w:r>
              <w:rPr>
                <w:i/>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bottom"/>
            <w:hideMark/>
          </w:tcPr>
          <w:p w:rsidR="003022F1" w:rsidRPr="00EE527E" w:rsidRDefault="00EE527E" w:rsidP="00D26016">
            <w:pPr>
              <w:pStyle w:val="Tabletext"/>
              <w:keepNext/>
              <w:keepLines/>
              <w:spacing w:line="276" w:lineRule="auto"/>
              <w:jc w:val="center"/>
              <w:rPr>
                <w:i/>
                <w:highlight w:val="black"/>
              </w:rPr>
            </w:pPr>
            <w:r>
              <w:rPr>
                <w:i/>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bottom"/>
            <w:hideMark/>
          </w:tcPr>
          <w:p w:rsidR="003022F1" w:rsidRPr="00EE527E" w:rsidRDefault="00EE527E" w:rsidP="00D26016">
            <w:pPr>
              <w:pStyle w:val="Tabletext"/>
              <w:keepNext/>
              <w:keepLines/>
              <w:spacing w:line="276" w:lineRule="auto"/>
              <w:jc w:val="center"/>
              <w:rPr>
                <w:i/>
                <w:highlight w:val="black"/>
              </w:rPr>
            </w:pPr>
            <w:r>
              <w:rPr>
                <w:i/>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bottom"/>
            <w:hideMark/>
          </w:tcPr>
          <w:p w:rsidR="003022F1" w:rsidRPr="00EE527E" w:rsidRDefault="00EE527E" w:rsidP="00D26016">
            <w:pPr>
              <w:pStyle w:val="Tabletext"/>
              <w:keepNext/>
              <w:keepLines/>
              <w:spacing w:line="276" w:lineRule="auto"/>
              <w:jc w:val="center"/>
              <w:rPr>
                <w:i/>
                <w:highlight w:val="black"/>
              </w:rPr>
            </w:pPr>
            <w:r>
              <w:rPr>
                <w:i/>
                <w:noProof/>
                <w:color w:val="000000"/>
                <w:highlight w:val="black"/>
              </w:rPr>
              <w:t>'''''''''''''''''''</w:t>
            </w:r>
          </w:p>
        </w:tc>
        <w:tc>
          <w:tcPr>
            <w:tcW w:w="663" w:type="pct"/>
            <w:tcBorders>
              <w:top w:val="single" w:sz="4" w:space="0" w:color="auto"/>
              <w:left w:val="single" w:sz="4" w:space="0" w:color="auto"/>
              <w:bottom w:val="single" w:sz="4" w:space="0" w:color="auto"/>
              <w:right w:val="single" w:sz="4" w:space="0" w:color="auto"/>
            </w:tcBorders>
            <w:vAlign w:val="bottom"/>
            <w:hideMark/>
          </w:tcPr>
          <w:p w:rsidR="003022F1" w:rsidRPr="00EE527E" w:rsidRDefault="00EE527E" w:rsidP="00D26016">
            <w:pPr>
              <w:pStyle w:val="Tabletext"/>
              <w:keepNext/>
              <w:keepLines/>
              <w:spacing w:line="276" w:lineRule="auto"/>
              <w:jc w:val="center"/>
              <w:rPr>
                <w:i/>
                <w:highlight w:val="black"/>
              </w:rPr>
            </w:pPr>
            <w:r>
              <w:rPr>
                <w:i/>
                <w:noProof/>
                <w:color w:val="000000"/>
                <w:highlight w:val="black"/>
              </w:rPr>
              <w:t>'''''''''''''''''''''</w:t>
            </w:r>
          </w:p>
        </w:tc>
        <w:tc>
          <w:tcPr>
            <w:tcW w:w="669" w:type="pct"/>
            <w:tcBorders>
              <w:top w:val="single" w:sz="4" w:space="0" w:color="auto"/>
              <w:left w:val="single" w:sz="4" w:space="0" w:color="auto"/>
              <w:bottom w:val="single" w:sz="4" w:space="0" w:color="auto"/>
              <w:right w:val="single" w:sz="4" w:space="0" w:color="auto"/>
            </w:tcBorders>
            <w:vAlign w:val="bottom"/>
            <w:hideMark/>
          </w:tcPr>
          <w:p w:rsidR="003022F1" w:rsidRPr="00EE527E" w:rsidRDefault="00EE527E" w:rsidP="00D26016">
            <w:pPr>
              <w:pStyle w:val="Tabletext"/>
              <w:keepNext/>
              <w:keepLines/>
              <w:spacing w:line="276" w:lineRule="auto"/>
              <w:jc w:val="center"/>
              <w:rPr>
                <w:i/>
                <w:highlight w:val="black"/>
              </w:rPr>
            </w:pPr>
            <w:r>
              <w:rPr>
                <w:i/>
                <w:noProof/>
                <w:color w:val="000000"/>
                <w:highlight w:val="black"/>
              </w:rPr>
              <w:t>'''''''''''''''''''</w:t>
            </w:r>
          </w:p>
        </w:tc>
      </w:tr>
    </w:tbl>
    <w:p w:rsidR="003022F1" w:rsidRPr="002609E0" w:rsidRDefault="003022F1" w:rsidP="003022F1">
      <w:pPr>
        <w:pStyle w:val="TableFooter"/>
        <w:keepNext/>
        <w:keepLines/>
        <w:widowControl/>
        <w:rPr>
          <w:iCs/>
          <w:snapToGrid/>
        </w:rPr>
      </w:pPr>
      <w:r w:rsidRPr="002609E0">
        <w:rPr>
          <w:iCs/>
        </w:rPr>
        <w:t>Source: Table 4.2.8 pp28-229, Table 4.3.2 pp231-232, Table 4.4.1 p233, Table 4.6.1 p236, Table 4.6.2 pp236-237 of the submission.</w:t>
      </w:r>
    </w:p>
    <w:p w:rsidR="003022F1" w:rsidRPr="002609E0" w:rsidRDefault="003022F1" w:rsidP="003022F1">
      <w:pPr>
        <w:keepNext/>
        <w:keepLines/>
        <w:widowControl/>
        <w:rPr>
          <w:rFonts w:ascii="Arial Narrow" w:hAnsi="Arial Narrow"/>
          <w:iCs/>
          <w:sz w:val="18"/>
          <w:szCs w:val="18"/>
          <w:lang w:val="en-US" w:eastAsia="en-AU"/>
        </w:rPr>
      </w:pPr>
      <w:r w:rsidRPr="002609E0">
        <w:rPr>
          <w:rFonts w:ascii="Arial Narrow" w:hAnsi="Arial Narrow"/>
          <w:iCs/>
          <w:sz w:val="18"/>
          <w:szCs w:val="18"/>
          <w:lang w:val="en-US" w:eastAsia="en-AU"/>
        </w:rPr>
        <w:t xml:space="preserve">Abbreviations: PBS = Pharmaceutical Benefit Scheme; RPBS = Repatriation Pharmaceutical Benefits Scheme. </w:t>
      </w:r>
    </w:p>
    <w:p w:rsidR="003022F1" w:rsidRPr="002609E0" w:rsidRDefault="003022F1" w:rsidP="003022F1">
      <w:pPr>
        <w:pStyle w:val="TableFooter"/>
        <w:keepNext/>
        <w:keepLines/>
        <w:widowControl/>
        <w:tabs>
          <w:tab w:val="left" w:pos="142"/>
        </w:tabs>
        <w:rPr>
          <w:iCs/>
        </w:rPr>
      </w:pPr>
      <w:r w:rsidRPr="002609E0">
        <w:rPr>
          <w:iCs/>
        </w:rPr>
        <w:t xml:space="preserve">Notes: </w:t>
      </w:r>
    </w:p>
    <w:p w:rsidR="003022F1" w:rsidRPr="002609E0" w:rsidRDefault="003022F1" w:rsidP="003022F1">
      <w:pPr>
        <w:pStyle w:val="TableFooter"/>
        <w:keepNext/>
        <w:keepLines/>
        <w:widowControl/>
        <w:tabs>
          <w:tab w:val="left" w:pos="142"/>
        </w:tabs>
        <w:rPr>
          <w:iCs/>
        </w:rPr>
      </w:pPr>
      <w:r w:rsidRPr="002609E0">
        <w:rPr>
          <w:iCs/>
          <w:vertAlign w:val="superscript"/>
        </w:rPr>
        <w:t>a</w:t>
      </w:r>
      <w:r w:rsidRPr="002609E0">
        <w:rPr>
          <w:iCs/>
        </w:rPr>
        <w:t xml:space="preserve"> Assuming 8.13 scripts are dispensed per patient per year as estimated by the submission.</w:t>
      </w:r>
    </w:p>
    <w:p w:rsidR="002609E0" w:rsidRPr="00EF0884" w:rsidRDefault="002609E0" w:rsidP="002609E0">
      <w:pPr>
        <w:pStyle w:val="TableFooter"/>
        <w:keepNext/>
        <w:keepLines/>
        <w:widowControl/>
        <w:tabs>
          <w:tab w:val="left" w:pos="142"/>
        </w:tabs>
        <w:rPr>
          <w:i/>
          <w:iCs/>
        </w:rPr>
      </w:pPr>
      <w:r>
        <w:rPr>
          <w:iCs/>
          <w:vertAlign w:val="superscript"/>
        </w:rPr>
        <w:t>b</w:t>
      </w:r>
      <w:r w:rsidRPr="002609E0">
        <w:rPr>
          <w:iCs/>
          <w:vertAlign w:val="superscript"/>
        </w:rPr>
        <w:t xml:space="preserve"> </w:t>
      </w:r>
      <w:r w:rsidRPr="002609E0">
        <w:rPr>
          <w:iCs/>
        </w:rPr>
        <w:t xml:space="preserve">Includes </w:t>
      </w:r>
      <w:r w:rsidR="00FF4479">
        <w:rPr>
          <w:iCs/>
          <w:noProof/>
          <w:color w:val="000000"/>
          <w:highlight w:val="black"/>
        </w:rPr>
        <w:t>''''''</w:t>
      </w:r>
      <w:r w:rsidRPr="002609E0">
        <w:rPr>
          <w:iCs/>
        </w:rPr>
        <w:t xml:space="preserve"> grandfathered patients</w:t>
      </w:r>
    </w:p>
    <w:p w:rsidR="003022F1" w:rsidRDefault="003022F1" w:rsidP="003022F1">
      <w:pPr>
        <w:pStyle w:val="TableFooter"/>
        <w:keepNext/>
        <w:keepLines/>
        <w:widowControl/>
        <w:tabs>
          <w:tab w:val="left" w:pos="142"/>
        </w:tabs>
        <w:rPr>
          <w:iCs/>
        </w:rPr>
      </w:pPr>
      <w:r w:rsidRPr="002609E0">
        <w:rPr>
          <w:iCs/>
          <w:vertAlign w:val="superscript"/>
        </w:rPr>
        <w:t>c</w:t>
      </w:r>
      <w:r w:rsidRPr="002609E0">
        <w:rPr>
          <w:iCs/>
        </w:rPr>
        <w:t xml:space="preserve"> Assuming 8.7 scripts per course of alectinib treatment, and 4.9 scripts per course of ceritinib treatment.</w:t>
      </w:r>
    </w:p>
    <w:p w:rsidR="002609E0" w:rsidRPr="002609E0" w:rsidRDefault="002609E0" w:rsidP="002609E0">
      <w:pPr>
        <w:pStyle w:val="TableFooter"/>
        <w:keepNext/>
        <w:keepLines/>
        <w:widowControl/>
        <w:tabs>
          <w:tab w:val="left" w:pos="142"/>
        </w:tabs>
        <w:rPr>
          <w:iCs/>
        </w:rPr>
      </w:pPr>
      <w:r>
        <w:rPr>
          <w:iCs/>
          <w:vertAlign w:val="superscript"/>
        </w:rPr>
        <w:t>d</w:t>
      </w:r>
      <w:r w:rsidRPr="002609E0">
        <w:rPr>
          <w:iCs/>
          <w:vertAlign w:val="superscript"/>
        </w:rPr>
        <w:t xml:space="preserve"> </w:t>
      </w:r>
      <w:r w:rsidRPr="002609E0">
        <w:rPr>
          <w:iCs/>
        </w:rPr>
        <w:t>Submission base case assumed substitution of alectinib</w:t>
      </w:r>
      <w:r>
        <w:rPr>
          <w:iCs/>
        </w:rPr>
        <w:t xml:space="preserve"> was </w:t>
      </w:r>
      <w:r w:rsidR="00FF4479">
        <w:rPr>
          <w:iCs/>
          <w:noProof/>
          <w:color w:val="000000"/>
          <w:highlight w:val="black"/>
        </w:rPr>
        <w:t>'''''''</w:t>
      </w:r>
      <w:r>
        <w:rPr>
          <w:iCs/>
        </w:rPr>
        <w:t xml:space="preserve">% and ceritinib was </w:t>
      </w:r>
      <w:r w:rsidR="00FF4479">
        <w:rPr>
          <w:iCs/>
          <w:noProof/>
          <w:color w:val="000000"/>
          <w:highlight w:val="black"/>
        </w:rPr>
        <w:t>''''''</w:t>
      </w:r>
      <w:r>
        <w:rPr>
          <w:iCs/>
        </w:rPr>
        <w:t>%.</w:t>
      </w:r>
    </w:p>
    <w:p w:rsidR="002609E0" w:rsidRPr="002609E0" w:rsidRDefault="002609E0" w:rsidP="003022F1">
      <w:pPr>
        <w:pStyle w:val="TableFooter"/>
        <w:keepNext/>
        <w:keepLines/>
        <w:widowControl/>
        <w:tabs>
          <w:tab w:val="left" w:pos="142"/>
        </w:tabs>
        <w:rPr>
          <w:iCs/>
        </w:rPr>
      </w:pPr>
    </w:p>
    <w:p w:rsidR="003022F1" w:rsidRPr="005F6BE7" w:rsidRDefault="003022F1" w:rsidP="003022F1">
      <w:pPr>
        <w:pStyle w:val="Bodytextitalics"/>
        <w:ind w:firstLine="0"/>
        <w:jc w:val="center"/>
        <w:rPr>
          <w:rFonts w:cstheme="minorHAnsi"/>
          <w:szCs w:val="24"/>
        </w:rPr>
      </w:pPr>
      <w:r w:rsidRPr="005F6BE7">
        <w:rPr>
          <w:rFonts w:eastAsia="Times New Roman" w:cstheme="minorHAnsi"/>
          <w:b/>
          <w:i w:val="0"/>
          <w:snapToGrid w:val="0"/>
          <w:szCs w:val="24"/>
          <w:lang w:eastAsia="en-US"/>
        </w:rPr>
        <w:t>End Committee-In-Confidence information</w:t>
      </w:r>
    </w:p>
    <w:p w:rsidR="007110AB" w:rsidRPr="007A70FB" w:rsidRDefault="007110AB" w:rsidP="00FE0FA7">
      <w:pPr>
        <w:pStyle w:val="ListParagraph"/>
        <w:widowControl/>
        <w:numPr>
          <w:ilvl w:val="1"/>
          <w:numId w:val="1"/>
        </w:numPr>
        <w:spacing w:before="120" w:after="120"/>
        <w:rPr>
          <w:iCs/>
        </w:rPr>
      </w:pPr>
      <w:r w:rsidRPr="007A70FB">
        <w:t xml:space="preserve">The submission noted </w:t>
      </w:r>
      <w:r w:rsidRPr="007A70FB">
        <w:rPr>
          <w:lang w:eastAsia="en-AU"/>
        </w:rPr>
        <w:t xml:space="preserve">that costs to the PBS/RPBS </w:t>
      </w:r>
      <w:r w:rsidR="009B4BB0" w:rsidRPr="007A70FB">
        <w:rPr>
          <w:iCs/>
          <w:lang w:eastAsia="en-AU"/>
        </w:rPr>
        <w:t>for lorlatinib</w:t>
      </w:r>
      <w:r w:rsidR="009B4BB0" w:rsidRPr="007A70FB">
        <w:rPr>
          <w:lang w:eastAsia="en-AU"/>
        </w:rPr>
        <w:t xml:space="preserve"> </w:t>
      </w:r>
      <w:r w:rsidRPr="007A70FB">
        <w:rPr>
          <w:lang w:eastAsia="en-AU"/>
        </w:rPr>
        <w:t xml:space="preserve">were most influenced by the change to the </w:t>
      </w:r>
      <w:r w:rsidR="003C5B4C" w:rsidRPr="007A70FB">
        <w:rPr>
          <w:lang w:eastAsia="en-AU"/>
        </w:rPr>
        <w:t>mean</w:t>
      </w:r>
      <w:r w:rsidRPr="007A70FB">
        <w:rPr>
          <w:lang w:eastAsia="en-AU"/>
        </w:rPr>
        <w:t xml:space="preserve"> duration of treatment of lorlatinib (i.e. </w:t>
      </w:r>
      <w:r w:rsidR="002E1294" w:rsidRPr="007A70FB">
        <w:rPr>
          <w:lang w:eastAsia="en-AU"/>
        </w:rPr>
        <w:t xml:space="preserve">proxied by the </w:t>
      </w:r>
      <w:r w:rsidRPr="007A70FB">
        <w:rPr>
          <w:lang w:eastAsia="en-AU"/>
        </w:rPr>
        <w:t>median PFS), the prevalence of ALK re-arrangement in the NSCLC population, the proportion of patients with disease progression, and the number of patients seeking second-line treatment for NSCLC.</w:t>
      </w:r>
    </w:p>
    <w:p w:rsidR="007110AB" w:rsidRPr="007A70FB" w:rsidRDefault="007110AB" w:rsidP="00FE0FA7">
      <w:pPr>
        <w:pStyle w:val="ListParagraph"/>
        <w:widowControl/>
        <w:numPr>
          <w:ilvl w:val="1"/>
          <w:numId w:val="1"/>
        </w:numPr>
        <w:spacing w:before="120" w:after="120"/>
        <w:rPr>
          <w:iCs/>
        </w:rPr>
      </w:pPr>
      <w:r w:rsidRPr="007A70FB">
        <w:rPr>
          <w:iCs/>
        </w:rPr>
        <w:t>Concomitant medications associated with toxicity of ALK</w:t>
      </w:r>
      <w:r w:rsidR="00BC6433" w:rsidRPr="007A70FB">
        <w:rPr>
          <w:iCs/>
        </w:rPr>
        <w:t>-</w:t>
      </w:r>
      <w:r w:rsidRPr="007A70FB">
        <w:rPr>
          <w:iCs/>
        </w:rPr>
        <w:t xml:space="preserve">TKIs and the different AE profiles were not included in the financial estimates. </w:t>
      </w:r>
      <w:r w:rsidR="00EA55CE" w:rsidRPr="007A70FB">
        <w:rPr>
          <w:iCs/>
        </w:rPr>
        <w:t>A</w:t>
      </w:r>
      <w:r w:rsidRPr="007A70FB">
        <w:rPr>
          <w:iCs/>
        </w:rPr>
        <w:t>pproximately 80% of patients treated with lorlatinib in Study 1001 received treatment for hyperlipidaemia. Prescription and treatment costs associated with hyperli</w:t>
      </w:r>
      <w:r w:rsidR="000107FF">
        <w:rPr>
          <w:iCs/>
        </w:rPr>
        <w:t>pi</w:t>
      </w:r>
      <w:r w:rsidRPr="007A70FB">
        <w:rPr>
          <w:iCs/>
        </w:rPr>
        <w:t>daemia were not included in the analysis. Including these costs would increase the costs to the PBS/RPBS</w:t>
      </w:r>
      <w:r w:rsidR="00411380" w:rsidRPr="007A70FB">
        <w:rPr>
          <w:iCs/>
        </w:rPr>
        <w:t xml:space="preserve">, but would not materially alter the overall cost-effectiveness. </w:t>
      </w:r>
    </w:p>
    <w:p w:rsidR="00EC1D41" w:rsidRPr="007A70FB" w:rsidRDefault="007110AB" w:rsidP="00C26ECC">
      <w:pPr>
        <w:pStyle w:val="ListParagraph"/>
        <w:widowControl/>
        <w:numPr>
          <w:ilvl w:val="1"/>
          <w:numId w:val="1"/>
        </w:numPr>
        <w:spacing w:before="120" w:after="120"/>
      </w:pPr>
      <w:r w:rsidRPr="007A70FB">
        <w:lastRenderedPageBreak/>
        <w:t xml:space="preserve">The submission assumed that lorlatinib will substitute for alectinib and ceritinib such that their relative (remaining) market share proportions are </w:t>
      </w:r>
      <w:r w:rsidRPr="00F07FF2">
        <w:t xml:space="preserve">maintained </w:t>
      </w:r>
      <w:r w:rsidR="009B4BB0" w:rsidRPr="00F07FF2">
        <w:t>at</w:t>
      </w:r>
      <w:r w:rsidRPr="00F07FF2">
        <w:t xml:space="preserve"> </w:t>
      </w:r>
      <w:r w:rsidR="00FF4479">
        <w:rPr>
          <w:noProof/>
          <w:color w:val="000000"/>
          <w:highlight w:val="black"/>
        </w:rPr>
        <w:t>'''''</w:t>
      </w:r>
      <w:r w:rsidRPr="00F07FF2">
        <w:t>% and</w:t>
      </w:r>
      <w:r w:rsidRPr="007A70FB">
        <w:t xml:space="preserve"> </w:t>
      </w:r>
      <w:r w:rsidR="00FF4479">
        <w:rPr>
          <w:noProof/>
          <w:color w:val="000000"/>
          <w:highlight w:val="black"/>
        </w:rPr>
        <w:t>'''''</w:t>
      </w:r>
      <w:r w:rsidRPr="007A70FB">
        <w:t xml:space="preserve">% over </w:t>
      </w:r>
      <w:r w:rsidR="009B4BB0" w:rsidRPr="007A70FB">
        <w:t xml:space="preserve">the </w:t>
      </w:r>
      <w:r w:rsidRPr="007A70FB">
        <w:t>six years. The use of ceritinib decreased when alectinib was listed on the PBS in both first and second-</w:t>
      </w:r>
      <w:r w:rsidR="005D13FA" w:rsidRPr="007A70FB">
        <w:t>line</w:t>
      </w:r>
      <w:r w:rsidR="005D13FA">
        <w:t xml:space="preserve"> therap</w:t>
      </w:r>
      <w:r w:rsidR="00FC393F">
        <w:t>ies</w:t>
      </w:r>
      <w:r w:rsidRPr="007A70FB">
        <w:t xml:space="preserve">. </w:t>
      </w:r>
    </w:p>
    <w:p w:rsidR="00EC1D41" w:rsidRPr="007A70FB" w:rsidRDefault="007110AB" w:rsidP="00FE0FA7">
      <w:pPr>
        <w:pStyle w:val="ListParagraph"/>
        <w:widowControl/>
        <w:numPr>
          <w:ilvl w:val="1"/>
          <w:numId w:val="1"/>
        </w:numPr>
        <w:spacing w:before="120" w:after="120"/>
        <w:rPr>
          <w:b/>
          <w:iCs/>
        </w:rPr>
      </w:pPr>
      <w:r w:rsidRPr="007A70FB">
        <w:t xml:space="preserve">Costs associated with displacement of comparator treatments or chemotherapy to later-line use were not included in the submission. The presence of displacement rather than substitution would have the effect of reducing the claimed cost-offsets. </w:t>
      </w:r>
      <w:r w:rsidR="00D967F3" w:rsidRPr="007A70FB">
        <w:rPr>
          <w:iCs/>
        </w:rPr>
        <w:t>T</w:t>
      </w:r>
      <w:r w:rsidR="00413BE3" w:rsidRPr="007A70FB">
        <w:rPr>
          <w:iCs/>
        </w:rPr>
        <w:t xml:space="preserve">he ESC </w:t>
      </w:r>
      <w:r w:rsidR="00D967F3" w:rsidRPr="007A70FB">
        <w:rPr>
          <w:iCs/>
        </w:rPr>
        <w:t>considered</w:t>
      </w:r>
      <w:r w:rsidR="00413BE3" w:rsidRPr="007A70FB">
        <w:rPr>
          <w:iCs/>
        </w:rPr>
        <w:t xml:space="preserve"> that use of ALK</w:t>
      </w:r>
      <w:r w:rsidR="00EC1D41" w:rsidRPr="007A70FB">
        <w:rPr>
          <w:iCs/>
        </w:rPr>
        <w:t>-</w:t>
      </w:r>
      <w:r w:rsidR="00413BE3" w:rsidRPr="007A70FB">
        <w:rPr>
          <w:iCs/>
        </w:rPr>
        <w:t>TKI therapy after disease prog</w:t>
      </w:r>
      <w:r w:rsidR="004D3066" w:rsidRPr="007A70FB">
        <w:rPr>
          <w:iCs/>
        </w:rPr>
        <w:t xml:space="preserve">ression on lorlatinib </w:t>
      </w:r>
      <w:r w:rsidR="00F822EB" w:rsidRPr="007A70FB">
        <w:rPr>
          <w:iCs/>
        </w:rPr>
        <w:t xml:space="preserve">used in the second-line setting (hence </w:t>
      </w:r>
      <w:r w:rsidR="00914615" w:rsidRPr="007A70FB">
        <w:rPr>
          <w:iCs/>
        </w:rPr>
        <w:t>third</w:t>
      </w:r>
      <w:r w:rsidR="00F822EB" w:rsidRPr="007A70FB">
        <w:rPr>
          <w:iCs/>
        </w:rPr>
        <w:t xml:space="preserve"> or subsequent line therapy) </w:t>
      </w:r>
      <w:r w:rsidR="004D3066" w:rsidRPr="007A70FB">
        <w:rPr>
          <w:iCs/>
        </w:rPr>
        <w:t>would be</w:t>
      </w:r>
      <w:r w:rsidR="00000746" w:rsidRPr="007A70FB">
        <w:rPr>
          <w:iCs/>
        </w:rPr>
        <w:t xml:space="preserve"> very </w:t>
      </w:r>
      <w:r w:rsidR="004D3066" w:rsidRPr="007A70FB">
        <w:rPr>
          <w:iCs/>
        </w:rPr>
        <w:t>limited</w:t>
      </w:r>
      <w:r w:rsidR="00413BE3" w:rsidRPr="007A70FB">
        <w:rPr>
          <w:iCs/>
        </w:rPr>
        <w:t xml:space="preserve"> and</w:t>
      </w:r>
      <w:r w:rsidR="00D967F3" w:rsidRPr="007A70FB">
        <w:rPr>
          <w:iCs/>
        </w:rPr>
        <w:t xml:space="preserve"> also that</w:t>
      </w:r>
      <w:r w:rsidR="00413BE3" w:rsidRPr="007A70FB">
        <w:rPr>
          <w:iCs/>
        </w:rPr>
        <w:t xml:space="preserve"> chemotherapy was more likely to be offered after lorlatinib</w:t>
      </w:r>
      <w:r w:rsidR="00D967F3" w:rsidRPr="007A70FB">
        <w:rPr>
          <w:iCs/>
        </w:rPr>
        <w:t>. However, it considered that utilisation of chemotherapy in this setting would be relatively low, given poor survival outcomes at this late stage of disease</w:t>
      </w:r>
      <w:r w:rsidR="00413BE3" w:rsidRPr="007A70FB">
        <w:rPr>
          <w:iCs/>
        </w:rPr>
        <w:t xml:space="preserve">. </w:t>
      </w:r>
    </w:p>
    <w:p w:rsidR="007110AB" w:rsidRPr="007A70FB" w:rsidRDefault="007110AB" w:rsidP="00EC1D41">
      <w:pPr>
        <w:pStyle w:val="Heading2"/>
        <w:widowControl/>
        <w:spacing w:before="120" w:after="120"/>
      </w:pPr>
      <w:bookmarkStart w:id="51" w:name="_Toc371170713"/>
      <w:bookmarkStart w:id="52" w:name="_Toc19707670"/>
      <w:r w:rsidRPr="007A70FB">
        <w:t>Quality Use of Medicines</w:t>
      </w:r>
      <w:bookmarkEnd w:id="51"/>
      <w:bookmarkEnd w:id="52"/>
    </w:p>
    <w:p w:rsidR="007110AB" w:rsidRPr="007A70FB" w:rsidRDefault="007110AB" w:rsidP="00B86EF5">
      <w:pPr>
        <w:pStyle w:val="ListParagraph"/>
        <w:widowControl/>
        <w:numPr>
          <w:ilvl w:val="1"/>
          <w:numId w:val="1"/>
        </w:numPr>
        <w:spacing w:before="120" w:after="120"/>
        <w:contextualSpacing/>
      </w:pPr>
      <w:r w:rsidRPr="007A70FB">
        <w:t>The submission presented a discussion of quality use of medicine issues</w:t>
      </w:r>
      <w:r w:rsidR="00A126CC" w:rsidRPr="007A70FB">
        <w:t xml:space="preserve">. </w:t>
      </w:r>
      <w:r w:rsidR="00CE4EAB" w:rsidRPr="007A70FB">
        <w:rPr>
          <w:iCs/>
        </w:rPr>
        <w:t xml:space="preserve">However, the submission did not propose the implementation of any specific initiatives to address </w:t>
      </w:r>
      <w:r w:rsidRPr="007A70FB">
        <w:rPr>
          <w:iCs/>
        </w:rPr>
        <w:t xml:space="preserve">Quality Use of Medicines </w:t>
      </w:r>
      <w:r w:rsidR="00CE4EAB" w:rsidRPr="007A70FB">
        <w:rPr>
          <w:iCs/>
        </w:rPr>
        <w:t>issues associated with the listing of lorlatinib</w:t>
      </w:r>
      <w:r w:rsidRPr="007A70FB">
        <w:rPr>
          <w:iCs/>
        </w:rPr>
        <w:t>.</w:t>
      </w:r>
    </w:p>
    <w:p w:rsidR="00B93531" w:rsidRPr="007A70FB" w:rsidRDefault="00B93531" w:rsidP="00B86EF5">
      <w:pPr>
        <w:pStyle w:val="ListParagraph"/>
        <w:widowControl/>
        <w:spacing w:after="120"/>
        <w:rPr>
          <w:i/>
        </w:rPr>
      </w:pPr>
      <w:r w:rsidRPr="007A70FB">
        <w:rPr>
          <w:i/>
        </w:rPr>
        <w:t>For more detail on PBAC’s view, see section 7 PBAC outcome.</w:t>
      </w:r>
    </w:p>
    <w:bookmarkEnd w:id="0"/>
    <w:bookmarkEnd w:id="1"/>
    <w:bookmarkEnd w:id="2"/>
    <w:bookmarkEnd w:id="3"/>
    <w:bookmarkEnd w:id="4"/>
    <w:bookmarkEnd w:id="5"/>
    <w:bookmarkEnd w:id="6"/>
    <w:bookmarkEnd w:id="7"/>
    <w:bookmarkEnd w:id="8"/>
    <w:p w:rsidR="0045786E" w:rsidRPr="007A70FB" w:rsidRDefault="0045786E" w:rsidP="00386F03">
      <w:pPr>
        <w:pStyle w:val="PBACHeading1"/>
        <w:spacing w:before="120" w:after="120"/>
        <w:ind w:left="720"/>
      </w:pPr>
      <w:r w:rsidRPr="007A70FB">
        <w:t>PBAC Outcome</w:t>
      </w:r>
    </w:p>
    <w:p w:rsidR="0045786E" w:rsidRPr="00FD5C1A" w:rsidRDefault="0045786E" w:rsidP="007449A6">
      <w:pPr>
        <w:numPr>
          <w:ilvl w:val="1"/>
          <w:numId w:val="1"/>
        </w:numPr>
        <w:spacing w:after="120"/>
        <w:rPr>
          <w:rFonts w:asciiTheme="minorHAnsi" w:hAnsiTheme="minorHAnsi"/>
          <w:bCs/>
        </w:rPr>
      </w:pPr>
      <w:r w:rsidRPr="00FD5C1A">
        <w:rPr>
          <w:rFonts w:asciiTheme="minorHAnsi" w:hAnsiTheme="minorHAnsi"/>
          <w:bCs/>
        </w:rPr>
        <w:t xml:space="preserve">The PBAC recommended the </w:t>
      </w:r>
      <w:r w:rsidRPr="00FD5C1A">
        <w:t xml:space="preserve">Authority Required </w:t>
      </w:r>
      <w:r w:rsidRPr="00FD5C1A">
        <w:rPr>
          <w:rFonts w:asciiTheme="minorHAnsi" w:hAnsiTheme="minorHAnsi"/>
          <w:bCs/>
        </w:rPr>
        <w:t xml:space="preserve">listing of lorlatinib </w:t>
      </w:r>
      <w:r w:rsidR="000F01E5" w:rsidRPr="00FD5C1A">
        <w:rPr>
          <w:rFonts w:asciiTheme="minorHAnsi" w:hAnsiTheme="minorHAnsi"/>
          <w:bCs/>
        </w:rPr>
        <w:t xml:space="preserve">as monotherapy </w:t>
      </w:r>
      <w:r w:rsidRPr="00FD5C1A">
        <w:t xml:space="preserve">for the treatment of patients with metastatic (Stage IV) anaplastic lymphoma kinase (ALK)-positive non-small cell lung cancer (NSCLC) who have disease progression </w:t>
      </w:r>
      <w:r w:rsidR="0051008F" w:rsidRPr="00FD5C1A">
        <w:t xml:space="preserve">either </w:t>
      </w:r>
      <w:r w:rsidRPr="00FD5C1A">
        <w:t>following treatment with crizotinib and at least one other ALK tyrosine kinase inhibitor</w:t>
      </w:r>
      <w:r w:rsidR="0051008F" w:rsidRPr="00FD5C1A">
        <w:t xml:space="preserve"> </w:t>
      </w:r>
      <w:r w:rsidRPr="00FD5C1A">
        <w:t xml:space="preserve">(TKI) or </w:t>
      </w:r>
      <w:r w:rsidR="0051008F" w:rsidRPr="00FD5C1A">
        <w:t xml:space="preserve">following </w:t>
      </w:r>
      <w:r w:rsidRPr="00FD5C1A">
        <w:t>a</w:t>
      </w:r>
      <w:r w:rsidR="0051008F" w:rsidRPr="00FD5C1A">
        <w:t>n</w:t>
      </w:r>
      <w:r w:rsidRPr="00FD5C1A">
        <w:t xml:space="preserve"> ALK</w:t>
      </w:r>
      <w:r w:rsidR="00BE2CD0" w:rsidRPr="00FD5C1A">
        <w:t>-</w:t>
      </w:r>
      <w:r w:rsidRPr="00FD5C1A">
        <w:t>TKI other than crizotinib</w:t>
      </w:r>
      <w:r w:rsidR="0051008F" w:rsidRPr="00FD5C1A">
        <w:t xml:space="preserve"> (</w:t>
      </w:r>
      <w:r w:rsidR="00640F0F" w:rsidRPr="00FD5C1A">
        <w:t>s</w:t>
      </w:r>
      <w:r w:rsidRPr="00FD5C1A">
        <w:t>econd</w:t>
      </w:r>
      <w:r w:rsidR="00640F0F" w:rsidRPr="00FD5C1A">
        <w:t>-line</w:t>
      </w:r>
      <w:r w:rsidRPr="00FD5C1A">
        <w:t xml:space="preserve"> and subsequent-line settings</w:t>
      </w:r>
      <w:r w:rsidR="0051008F" w:rsidRPr="00FD5C1A">
        <w:t>)</w:t>
      </w:r>
      <w:r w:rsidR="000F01E5" w:rsidRPr="00FD5C1A">
        <w:t>. The PBAC’s recommendation for listing was based on, among other matters, its assessment that the cost-</w:t>
      </w:r>
      <w:r w:rsidR="007449A6" w:rsidRPr="00FD5C1A">
        <w:t>effec</w:t>
      </w:r>
      <w:r w:rsidR="007449A6">
        <w:t>tiveness</w:t>
      </w:r>
      <w:r w:rsidR="000F01E5" w:rsidRPr="00FD5C1A">
        <w:t xml:space="preserve"> of lorlatinib would be acceptable if </w:t>
      </w:r>
      <w:r w:rsidR="004B34A2">
        <w:t xml:space="preserve">it </w:t>
      </w:r>
      <w:r w:rsidR="00DD3903" w:rsidRPr="007E1812">
        <w:t xml:space="preserve">were </w:t>
      </w:r>
      <w:r w:rsidR="00DD3903" w:rsidRPr="007E1812">
        <w:rPr>
          <w:szCs w:val="24"/>
        </w:rPr>
        <w:t>cost-minimised against alectinib</w:t>
      </w:r>
      <w:r w:rsidR="00DD3903">
        <w:rPr>
          <w:szCs w:val="24"/>
        </w:rPr>
        <w:t>.</w:t>
      </w:r>
      <w:r w:rsidR="00DD3903">
        <w:t xml:space="preserve"> </w:t>
      </w:r>
      <w:r w:rsidR="00567F93" w:rsidRPr="00FD5C1A">
        <w:t>In making this recommendation</w:t>
      </w:r>
      <w:r w:rsidR="008D404C" w:rsidRPr="00FD5C1A">
        <w:t>, t</w:t>
      </w:r>
      <w:r w:rsidRPr="00FD5C1A">
        <w:t xml:space="preserve">he </w:t>
      </w:r>
      <w:r w:rsidRPr="00FD5C1A">
        <w:rPr>
          <w:rFonts w:asciiTheme="minorHAnsi" w:hAnsiTheme="minorHAnsi"/>
          <w:bCs/>
        </w:rPr>
        <w:t xml:space="preserve">PBAC considered that there is a high unmet clinical need for </w:t>
      </w:r>
      <w:r w:rsidR="0058054F" w:rsidRPr="00FD5C1A">
        <w:rPr>
          <w:rFonts w:asciiTheme="minorHAnsi" w:hAnsiTheme="minorHAnsi"/>
          <w:bCs/>
        </w:rPr>
        <w:t>effective treatment</w:t>
      </w:r>
      <w:r w:rsidR="0051008F" w:rsidRPr="00FD5C1A">
        <w:rPr>
          <w:rFonts w:asciiTheme="minorHAnsi" w:hAnsiTheme="minorHAnsi"/>
          <w:bCs/>
        </w:rPr>
        <w:t>s</w:t>
      </w:r>
      <w:r w:rsidRPr="00FD5C1A">
        <w:rPr>
          <w:rFonts w:asciiTheme="minorHAnsi" w:hAnsiTheme="minorHAnsi"/>
          <w:bCs/>
        </w:rPr>
        <w:t xml:space="preserve"> with broader mutational coverage and </w:t>
      </w:r>
      <w:r w:rsidRPr="00FD5C1A">
        <w:t>intracranial activity</w:t>
      </w:r>
      <w:r w:rsidRPr="00FD5C1A">
        <w:rPr>
          <w:rFonts w:asciiTheme="minorHAnsi" w:hAnsiTheme="minorHAnsi"/>
          <w:bCs/>
        </w:rPr>
        <w:t xml:space="preserve"> for this patient population</w:t>
      </w:r>
      <w:r w:rsidR="00744B36" w:rsidRPr="00FD5C1A">
        <w:rPr>
          <w:rFonts w:asciiTheme="minorHAnsi" w:hAnsiTheme="minorHAnsi"/>
          <w:bCs/>
        </w:rPr>
        <w:t>.</w:t>
      </w:r>
      <w:r w:rsidR="0058054F" w:rsidRPr="00FD5C1A">
        <w:rPr>
          <w:rFonts w:asciiTheme="minorHAnsi" w:hAnsiTheme="minorHAnsi"/>
          <w:bCs/>
        </w:rPr>
        <w:t xml:space="preserve"> </w:t>
      </w:r>
    </w:p>
    <w:p w:rsidR="0045786E" w:rsidRDefault="0045786E" w:rsidP="003F2E59">
      <w:pPr>
        <w:numPr>
          <w:ilvl w:val="1"/>
          <w:numId w:val="1"/>
        </w:numPr>
        <w:spacing w:after="120"/>
        <w:rPr>
          <w:rFonts w:asciiTheme="minorHAnsi" w:hAnsiTheme="minorHAnsi"/>
          <w:bCs/>
        </w:rPr>
      </w:pPr>
      <w:r w:rsidRPr="007A70FB">
        <w:rPr>
          <w:rFonts w:asciiTheme="minorHAnsi" w:hAnsiTheme="minorHAnsi"/>
          <w:bCs/>
        </w:rPr>
        <w:t xml:space="preserve">The PBAC </w:t>
      </w:r>
      <w:r w:rsidR="0051282C" w:rsidRPr="007A70FB">
        <w:rPr>
          <w:rFonts w:asciiTheme="minorHAnsi" w:hAnsiTheme="minorHAnsi"/>
          <w:bCs/>
        </w:rPr>
        <w:t xml:space="preserve">was satisfied </w:t>
      </w:r>
      <w:r w:rsidRPr="007A70FB">
        <w:rPr>
          <w:rFonts w:asciiTheme="minorHAnsi" w:hAnsiTheme="minorHAnsi"/>
          <w:bCs/>
        </w:rPr>
        <w:t xml:space="preserve">that </w:t>
      </w:r>
      <w:r w:rsidR="00196C24" w:rsidRPr="007A70FB">
        <w:rPr>
          <w:rFonts w:asciiTheme="minorHAnsi" w:hAnsiTheme="minorHAnsi"/>
          <w:bCs/>
        </w:rPr>
        <w:t>intracranial activity of lorlatinib provides clinical benefit in patients with CNS metastases</w:t>
      </w:r>
      <w:r w:rsidR="007A6E45" w:rsidRPr="007A70FB">
        <w:rPr>
          <w:rFonts w:asciiTheme="minorHAnsi" w:hAnsiTheme="minorHAnsi"/>
          <w:bCs/>
        </w:rPr>
        <w:t xml:space="preserve">, based on the primary </w:t>
      </w:r>
      <w:r w:rsidR="00866137" w:rsidRPr="007A70FB">
        <w:rPr>
          <w:rFonts w:asciiTheme="minorHAnsi" w:hAnsiTheme="minorHAnsi"/>
          <w:bCs/>
        </w:rPr>
        <w:t>outcomes</w:t>
      </w:r>
      <w:r w:rsidR="007A6E45" w:rsidRPr="007A70FB">
        <w:rPr>
          <w:rFonts w:asciiTheme="minorHAnsi" w:hAnsiTheme="minorHAnsi"/>
          <w:bCs/>
        </w:rPr>
        <w:t xml:space="preserve"> (ORR and IC-ORR)</w:t>
      </w:r>
      <w:r w:rsidR="00B34AB1" w:rsidRPr="007A70FB">
        <w:rPr>
          <w:rFonts w:asciiTheme="minorHAnsi" w:hAnsiTheme="minorHAnsi"/>
          <w:bCs/>
        </w:rPr>
        <w:t xml:space="preserve"> </w:t>
      </w:r>
      <w:r w:rsidR="007A6E45" w:rsidRPr="007A70FB">
        <w:rPr>
          <w:rFonts w:asciiTheme="minorHAnsi" w:hAnsiTheme="minorHAnsi"/>
          <w:bCs/>
        </w:rPr>
        <w:t>of Study 1001</w:t>
      </w:r>
      <w:r w:rsidR="00492EA1">
        <w:rPr>
          <w:rFonts w:asciiTheme="minorHAnsi" w:hAnsiTheme="minorHAnsi"/>
          <w:bCs/>
        </w:rPr>
        <w:t>,</w:t>
      </w:r>
      <w:r w:rsidR="007A6E45" w:rsidRPr="007A70FB">
        <w:rPr>
          <w:rFonts w:asciiTheme="minorHAnsi" w:hAnsiTheme="minorHAnsi"/>
          <w:bCs/>
        </w:rPr>
        <w:t xml:space="preserve"> </w:t>
      </w:r>
      <w:r w:rsidR="00B34AB1" w:rsidRPr="007A70FB">
        <w:rPr>
          <w:rFonts w:asciiTheme="minorHAnsi" w:hAnsiTheme="minorHAnsi"/>
          <w:bCs/>
        </w:rPr>
        <w:t xml:space="preserve">despite the lack of comparative efficacy data for lorlatinib. </w:t>
      </w:r>
      <w:r w:rsidR="00420AFC" w:rsidRPr="007A70FB">
        <w:rPr>
          <w:rFonts w:asciiTheme="minorHAnsi" w:hAnsiTheme="minorHAnsi"/>
          <w:bCs/>
        </w:rPr>
        <w:t xml:space="preserve">However, the PBAC noted that </w:t>
      </w:r>
      <w:r w:rsidR="00444F1F" w:rsidRPr="007A70FB">
        <w:rPr>
          <w:rFonts w:asciiTheme="minorHAnsi" w:hAnsiTheme="minorHAnsi"/>
          <w:bCs/>
        </w:rPr>
        <w:t xml:space="preserve">activity against </w:t>
      </w:r>
      <w:r w:rsidR="000130D3" w:rsidRPr="007A70FB">
        <w:rPr>
          <w:rFonts w:asciiTheme="minorHAnsi" w:hAnsiTheme="minorHAnsi"/>
          <w:bCs/>
        </w:rPr>
        <w:t>secondary</w:t>
      </w:r>
      <w:r w:rsidR="0017297D" w:rsidRPr="007A70FB">
        <w:rPr>
          <w:rFonts w:asciiTheme="minorHAnsi" w:hAnsiTheme="minorHAnsi"/>
          <w:bCs/>
        </w:rPr>
        <w:t xml:space="preserve"> </w:t>
      </w:r>
      <w:r w:rsidR="00444F1F" w:rsidRPr="007A70FB">
        <w:rPr>
          <w:rFonts w:asciiTheme="minorHAnsi" w:hAnsiTheme="minorHAnsi"/>
          <w:bCs/>
        </w:rPr>
        <w:t xml:space="preserve">ALK mutations was not supported by </w:t>
      </w:r>
      <w:r w:rsidR="00E356BA">
        <w:rPr>
          <w:rFonts w:asciiTheme="minorHAnsi" w:hAnsiTheme="minorHAnsi"/>
          <w:bCs/>
        </w:rPr>
        <w:t xml:space="preserve">specific </w:t>
      </w:r>
      <w:r w:rsidR="00444F1F" w:rsidRPr="007A70FB">
        <w:rPr>
          <w:rFonts w:asciiTheme="minorHAnsi" w:hAnsiTheme="minorHAnsi"/>
          <w:bCs/>
        </w:rPr>
        <w:t xml:space="preserve">evidence in the submission. Instead, </w:t>
      </w:r>
      <w:r w:rsidR="00F645FB" w:rsidRPr="007A70FB">
        <w:rPr>
          <w:rFonts w:asciiTheme="minorHAnsi" w:hAnsiTheme="minorHAnsi"/>
          <w:bCs/>
        </w:rPr>
        <w:t xml:space="preserve">the use of lorlatinib </w:t>
      </w:r>
      <w:r w:rsidR="00D0670B" w:rsidRPr="007A70FB">
        <w:rPr>
          <w:rFonts w:asciiTheme="minorHAnsi" w:hAnsiTheme="minorHAnsi"/>
          <w:bCs/>
        </w:rPr>
        <w:t xml:space="preserve">as second-line therapy </w:t>
      </w:r>
      <w:r w:rsidR="00F645FB" w:rsidRPr="007A70FB">
        <w:rPr>
          <w:rFonts w:asciiTheme="minorHAnsi" w:hAnsiTheme="minorHAnsi"/>
          <w:bCs/>
        </w:rPr>
        <w:t xml:space="preserve">was </w:t>
      </w:r>
      <w:r w:rsidR="00C30FB0" w:rsidRPr="007A70FB">
        <w:rPr>
          <w:rFonts w:asciiTheme="minorHAnsi" w:hAnsiTheme="minorHAnsi"/>
          <w:bCs/>
        </w:rPr>
        <w:t xml:space="preserve">justified </w:t>
      </w:r>
      <w:r w:rsidR="00F645FB" w:rsidRPr="007A70FB">
        <w:rPr>
          <w:rFonts w:asciiTheme="minorHAnsi" w:hAnsiTheme="minorHAnsi"/>
          <w:bCs/>
        </w:rPr>
        <w:t xml:space="preserve">by a biological rationale that </w:t>
      </w:r>
      <w:r w:rsidR="0051008F" w:rsidRPr="007A70FB">
        <w:rPr>
          <w:rFonts w:asciiTheme="minorHAnsi" w:hAnsiTheme="minorHAnsi"/>
          <w:bCs/>
        </w:rPr>
        <w:t xml:space="preserve">the </w:t>
      </w:r>
      <w:r w:rsidR="00F645FB" w:rsidRPr="007A70FB">
        <w:rPr>
          <w:rFonts w:asciiTheme="minorHAnsi" w:hAnsiTheme="minorHAnsi"/>
          <w:bCs/>
        </w:rPr>
        <w:t>different pharmacological profile for lorlatinib would likely offer a clinically meaningful effect</w:t>
      </w:r>
      <w:r w:rsidR="00783C0A" w:rsidRPr="007A70FB">
        <w:rPr>
          <w:rFonts w:asciiTheme="minorHAnsi" w:hAnsiTheme="minorHAnsi"/>
          <w:bCs/>
        </w:rPr>
        <w:t xml:space="preserve"> </w:t>
      </w:r>
      <w:r w:rsidR="00722574" w:rsidRPr="007A70FB">
        <w:rPr>
          <w:rFonts w:asciiTheme="minorHAnsi" w:hAnsiTheme="minorHAnsi"/>
          <w:bCs/>
        </w:rPr>
        <w:t xml:space="preserve">against </w:t>
      </w:r>
      <w:r w:rsidR="00783C0A" w:rsidRPr="007A70FB">
        <w:rPr>
          <w:rFonts w:asciiTheme="minorHAnsi" w:hAnsiTheme="minorHAnsi"/>
          <w:bCs/>
        </w:rPr>
        <w:t>specific mutations that confer treatment resistance to prior ALK therapies.</w:t>
      </w:r>
    </w:p>
    <w:p w:rsidR="000E08B0" w:rsidRPr="005379D1" w:rsidRDefault="000E08B0" w:rsidP="002E54E8">
      <w:pPr>
        <w:pStyle w:val="ListParagraph"/>
        <w:widowControl/>
        <w:numPr>
          <w:ilvl w:val="1"/>
          <w:numId w:val="1"/>
        </w:numPr>
        <w:spacing w:before="120" w:after="120"/>
        <w:rPr>
          <w:rFonts w:asciiTheme="minorHAnsi" w:hAnsiTheme="minorHAnsi"/>
          <w:bCs/>
          <w:iCs/>
        </w:rPr>
      </w:pPr>
      <w:r w:rsidRPr="00BB2557">
        <w:rPr>
          <w:rFonts w:asciiTheme="minorHAnsi" w:hAnsiTheme="minorHAnsi"/>
          <w:bCs/>
        </w:rPr>
        <w:t xml:space="preserve">The PBAC </w:t>
      </w:r>
      <w:r w:rsidRPr="005379D1">
        <w:rPr>
          <w:rFonts w:asciiTheme="minorHAnsi" w:hAnsiTheme="minorHAnsi"/>
          <w:bCs/>
        </w:rPr>
        <w:t xml:space="preserve">noted </w:t>
      </w:r>
      <w:r w:rsidR="00B13AEB" w:rsidRPr="005379D1">
        <w:rPr>
          <w:rFonts w:asciiTheme="minorHAnsi" w:hAnsiTheme="minorHAnsi"/>
          <w:bCs/>
        </w:rPr>
        <w:t xml:space="preserve">that </w:t>
      </w:r>
      <w:r w:rsidRPr="005379D1">
        <w:rPr>
          <w:rFonts w:asciiTheme="minorHAnsi" w:hAnsiTheme="minorHAnsi"/>
          <w:bCs/>
        </w:rPr>
        <w:t>the submission</w:t>
      </w:r>
      <w:r w:rsidR="00B13AEB" w:rsidRPr="005379D1">
        <w:rPr>
          <w:rFonts w:asciiTheme="minorHAnsi" w:hAnsiTheme="minorHAnsi"/>
          <w:bCs/>
        </w:rPr>
        <w:t xml:space="preserve"> nominated </w:t>
      </w:r>
      <w:r w:rsidRPr="005379D1">
        <w:rPr>
          <w:rFonts w:asciiTheme="minorHAnsi" w:hAnsiTheme="minorHAnsi"/>
          <w:bCs/>
        </w:rPr>
        <w:t xml:space="preserve">alectinib </w:t>
      </w:r>
      <w:r w:rsidR="005B4961" w:rsidRPr="005379D1">
        <w:rPr>
          <w:rFonts w:asciiTheme="minorHAnsi" w:hAnsiTheme="minorHAnsi"/>
          <w:bCs/>
        </w:rPr>
        <w:t xml:space="preserve">as </w:t>
      </w:r>
      <w:r w:rsidRPr="005379D1">
        <w:rPr>
          <w:rFonts w:asciiTheme="minorHAnsi" w:hAnsiTheme="minorHAnsi"/>
          <w:bCs/>
        </w:rPr>
        <w:t xml:space="preserve">the main comparator.  </w:t>
      </w:r>
      <w:r w:rsidR="005F7B6C" w:rsidRPr="005379D1">
        <w:rPr>
          <w:rFonts w:asciiTheme="minorHAnsi" w:hAnsiTheme="minorHAnsi"/>
          <w:bCs/>
        </w:rPr>
        <w:t>T</w:t>
      </w:r>
      <w:r w:rsidRPr="005379D1">
        <w:rPr>
          <w:rFonts w:asciiTheme="minorHAnsi" w:hAnsiTheme="minorHAnsi"/>
          <w:bCs/>
        </w:rPr>
        <w:t xml:space="preserve">he PBAC was </w:t>
      </w:r>
      <w:r w:rsidR="005F7B6C" w:rsidRPr="005379D1">
        <w:rPr>
          <w:rFonts w:asciiTheme="minorHAnsi" w:hAnsiTheme="minorHAnsi"/>
          <w:bCs/>
        </w:rPr>
        <w:t>mindful</w:t>
      </w:r>
      <w:r w:rsidRPr="005379D1">
        <w:rPr>
          <w:rFonts w:asciiTheme="minorHAnsi" w:hAnsiTheme="minorHAnsi"/>
          <w:bCs/>
        </w:rPr>
        <w:t xml:space="preserve"> that, in most circumstances, alectinib would be used before lorlatinib in the clinical </w:t>
      </w:r>
      <w:r w:rsidR="00CA4C6D" w:rsidRPr="005379D1">
        <w:rPr>
          <w:rFonts w:asciiTheme="minorHAnsi" w:hAnsiTheme="minorHAnsi"/>
          <w:bCs/>
        </w:rPr>
        <w:t>management</w:t>
      </w:r>
      <w:r w:rsidRPr="005379D1">
        <w:rPr>
          <w:rFonts w:asciiTheme="minorHAnsi" w:hAnsiTheme="minorHAnsi"/>
          <w:bCs/>
        </w:rPr>
        <w:t xml:space="preserve"> </w:t>
      </w:r>
      <w:r w:rsidR="005F7B6C" w:rsidRPr="005379D1">
        <w:rPr>
          <w:rFonts w:asciiTheme="minorHAnsi" w:hAnsiTheme="minorHAnsi"/>
          <w:bCs/>
        </w:rPr>
        <w:t xml:space="preserve">algorithm. However, the PBAC </w:t>
      </w:r>
      <w:r w:rsidR="00C004DD" w:rsidRPr="005379D1">
        <w:rPr>
          <w:rFonts w:asciiTheme="minorHAnsi" w:hAnsiTheme="minorHAnsi"/>
          <w:bCs/>
        </w:rPr>
        <w:t xml:space="preserve">took the </w:t>
      </w:r>
      <w:r w:rsidR="00C004DD" w:rsidRPr="005379D1">
        <w:rPr>
          <w:rFonts w:asciiTheme="minorHAnsi" w:hAnsiTheme="minorHAnsi"/>
          <w:bCs/>
        </w:rPr>
        <w:lastRenderedPageBreak/>
        <w:t>pragmatic view</w:t>
      </w:r>
      <w:r w:rsidR="005F7B6C" w:rsidRPr="005379D1">
        <w:rPr>
          <w:rFonts w:asciiTheme="minorHAnsi" w:hAnsiTheme="minorHAnsi"/>
          <w:bCs/>
        </w:rPr>
        <w:t xml:space="preserve"> that </w:t>
      </w:r>
      <w:r w:rsidR="00C004DD" w:rsidRPr="005379D1">
        <w:rPr>
          <w:rFonts w:asciiTheme="minorHAnsi" w:hAnsiTheme="minorHAnsi"/>
          <w:bCs/>
        </w:rPr>
        <w:t xml:space="preserve">a comparison with alectinib would be acceptable to inform </w:t>
      </w:r>
      <w:r w:rsidR="005F7B6C" w:rsidRPr="005379D1">
        <w:rPr>
          <w:rFonts w:asciiTheme="minorHAnsi" w:hAnsiTheme="minorHAnsi"/>
          <w:bCs/>
        </w:rPr>
        <w:t>the cost-effectiveness of lorlatinib</w:t>
      </w:r>
      <w:r w:rsidR="00AC0EF0" w:rsidRPr="005379D1">
        <w:rPr>
          <w:rFonts w:asciiTheme="minorHAnsi" w:hAnsiTheme="minorHAnsi"/>
          <w:bCs/>
        </w:rPr>
        <w:t>.</w:t>
      </w:r>
    </w:p>
    <w:p w:rsidR="005F7B6C" w:rsidRPr="005F7B6C" w:rsidRDefault="000E08B0" w:rsidP="00AF36C7">
      <w:pPr>
        <w:numPr>
          <w:ilvl w:val="1"/>
          <w:numId w:val="1"/>
        </w:numPr>
        <w:spacing w:after="120"/>
        <w:rPr>
          <w:rFonts w:asciiTheme="minorHAnsi" w:hAnsiTheme="minorHAnsi"/>
          <w:bCs/>
        </w:rPr>
      </w:pPr>
      <w:r w:rsidRPr="007A70FB">
        <w:rPr>
          <w:rFonts w:asciiTheme="minorHAnsi" w:hAnsiTheme="minorHAnsi"/>
          <w:bCs/>
        </w:rPr>
        <w:t xml:space="preserve">The PBAC also considered that </w:t>
      </w:r>
      <w:r w:rsidRPr="007A70FB">
        <w:rPr>
          <w:iCs/>
        </w:rPr>
        <w:t xml:space="preserve">a potential comparator was chemotherapy including the combination therapy with </w:t>
      </w:r>
      <w:r w:rsidRPr="007A70FB">
        <w:t xml:space="preserve">atezolizumab, bevacizumab and platinum doublet chemotherapy (paclitaxel and carboplatin), which is listed on the PBS for metastatic NSCLC following treatment with an ALK inhibitor. </w:t>
      </w:r>
      <w:r w:rsidRPr="007A70FB">
        <w:rPr>
          <w:iCs/>
        </w:rPr>
        <w:t xml:space="preserve">In this setting, lorlatinib would likely substitute for chemotherapy </w:t>
      </w:r>
      <w:r w:rsidR="005F7B6C">
        <w:rPr>
          <w:iCs/>
        </w:rPr>
        <w:t xml:space="preserve">or displace it to a later line. However, the PBAC decided that, on balance, </w:t>
      </w:r>
      <w:r w:rsidR="00492EA1">
        <w:rPr>
          <w:iCs/>
        </w:rPr>
        <w:t>an acceptable</w:t>
      </w:r>
      <w:r w:rsidR="005F7B6C">
        <w:rPr>
          <w:iCs/>
        </w:rPr>
        <w:t xml:space="preserve"> approach to </w:t>
      </w:r>
      <w:r w:rsidR="00E80036">
        <w:rPr>
          <w:iCs/>
        </w:rPr>
        <w:t>assess</w:t>
      </w:r>
      <w:r w:rsidR="005F7B6C">
        <w:rPr>
          <w:iCs/>
        </w:rPr>
        <w:t xml:space="preserve"> lorlatinib’s cost-effectiveness would be </w:t>
      </w:r>
      <w:r w:rsidR="00AF36C7">
        <w:rPr>
          <w:iCs/>
        </w:rPr>
        <w:t xml:space="preserve">a </w:t>
      </w:r>
      <w:r w:rsidR="00492EA1">
        <w:rPr>
          <w:iCs/>
        </w:rPr>
        <w:t>comparison with alectinib</w:t>
      </w:r>
      <w:r w:rsidR="005F7B6C">
        <w:rPr>
          <w:iCs/>
        </w:rPr>
        <w:t>.</w:t>
      </w:r>
    </w:p>
    <w:p w:rsidR="0045786E" w:rsidRDefault="0045786E" w:rsidP="00EC1032">
      <w:pPr>
        <w:pStyle w:val="ListParagraph"/>
        <w:widowControl/>
        <w:numPr>
          <w:ilvl w:val="1"/>
          <w:numId w:val="1"/>
        </w:numPr>
      </w:pPr>
      <w:r w:rsidRPr="007A70FB">
        <w:rPr>
          <w:rFonts w:asciiTheme="minorHAnsi" w:hAnsiTheme="minorHAnsi"/>
          <w:bCs/>
        </w:rPr>
        <w:t>The PBAC noted that the submission presented a naïve comparison of a subgroup (</w:t>
      </w:r>
      <w:r w:rsidRPr="007A70FB">
        <w:t xml:space="preserve">EXP-2 to EXP-5) </w:t>
      </w:r>
      <w:r w:rsidRPr="007A70FB">
        <w:rPr>
          <w:rFonts w:asciiTheme="minorHAnsi" w:hAnsiTheme="minorHAnsi"/>
          <w:bCs/>
        </w:rPr>
        <w:t xml:space="preserve">of patients from the single arm </w:t>
      </w:r>
      <w:r w:rsidRPr="007A70FB">
        <w:t xml:space="preserve">phase 1/2 </w:t>
      </w:r>
      <w:r w:rsidRPr="007A70FB">
        <w:rPr>
          <w:rFonts w:asciiTheme="minorHAnsi" w:hAnsiTheme="minorHAnsi"/>
          <w:bCs/>
        </w:rPr>
        <w:t xml:space="preserve">Study 1001 (n=198) and single arms of non-comparative studies and randomised controlled trials (RCTs) for the </w:t>
      </w:r>
      <w:r w:rsidR="001D79FE">
        <w:rPr>
          <w:rFonts w:asciiTheme="minorHAnsi" w:hAnsiTheme="minorHAnsi"/>
          <w:bCs/>
        </w:rPr>
        <w:t xml:space="preserve">proposed </w:t>
      </w:r>
      <w:r w:rsidRPr="007A70FB">
        <w:rPr>
          <w:rFonts w:asciiTheme="minorHAnsi" w:hAnsiTheme="minorHAnsi"/>
          <w:bCs/>
        </w:rPr>
        <w:t xml:space="preserve">comparators (alectinib, ceritinib, and brigatinib). In the absence of a common reference arm, it was not possible to </w:t>
      </w:r>
      <w:r w:rsidR="00D61F91" w:rsidRPr="007A70FB">
        <w:rPr>
          <w:rFonts w:asciiTheme="minorHAnsi" w:hAnsiTheme="minorHAnsi"/>
          <w:bCs/>
        </w:rPr>
        <w:t xml:space="preserve">conclude </w:t>
      </w:r>
      <w:r w:rsidRPr="007A70FB">
        <w:rPr>
          <w:rFonts w:asciiTheme="minorHAnsi" w:hAnsiTheme="minorHAnsi"/>
          <w:bCs/>
        </w:rPr>
        <w:t xml:space="preserve">that the lorlatinib results are non-inferior in efficacy or safety. </w:t>
      </w:r>
      <w:r w:rsidRPr="007A70FB">
        <w:t xml:space="preserve">The matching-adjusted indirect comparison (MAIC), </w:t>
      </w:r>
      <w:r w:rsidR="00C81E77" w:rsidRPr="007A70FB">
        <w:t>employed to</w:t>
      </w:r>
      <w:r w:rsidRPr="007A70FB">
        <w:t xml:space="preserve"> support the naïve comparison, had a range of methodological issues and inadequately supported assumptions, </w:t>
      </w:r>
      <w:r w:rsidR="00132592" w:rsidRPr="007A70FB">
        <w:t xml:space="preserve">and </w:t>
      </w:r>
      <w:r w:rsidRPr="007A70FB">
        <w:t>was based on a very small number of patients</w:t>
      </w:r>
      <w:r w:rsidR="007C0641" w:rsidRPr="007A70FB">
        <w:t xml:space="preserve"> (n</w:t>
      </w:r>
      <w:r w:rsidR="00BD1B77" w:rsidRPr="007A70FB">
        <w:t>=59)</w:t>
      </w:r>
      <w:r w:rsidRPr="007A70FB">
        <w:t xml:space="preserve">. Overall, the unanchored MAIC could not overcome transitivity issues and did not provide </w:t>
      </w:r>
      <w:r w:rsidR="001D79FE">
        <w:t xml:space="preserve">useful </w:t>
      </w:r>
      <w:r w:rsidRPr="007A70FB">
        <w:t xml:space="preserve">comparative information, particularly for survival outcomes. </w:t>
      </w:r>
    </w:p>
    <w:p w:rsidR="00630524" w:rsidRPr="00B13AEB" w:rsidRDefault="00630524" w:rsidP="004233EB">
      <w:pPr>
        <w:pStyle w:val="ListParagraph"/>
        <w:widowControl/>
        <w:numPr>
          <w:ilvl w:val="1"/>
          <w:numId w:val="1"/>
        </w:numPr>
      </w:pPr>
      <w:r w:rsidRPr="00B13AEB">
        <w:t xml:space="preserve">The PBAC </w:t>
      </w:r>
      <w:r w:rsidRPr="00B13AEB">
        <w:rPr>
          <w:rFonts w:asciiTheme="minorHAnsi" w:hAnsiTheme="minorHAnsi"/>
          <w:bCs/>
        </w:rPr>
        <w:t xml:space="preserve">considered that </w:t>
      </w:r>
      <w:r w:rsidRPr="00B13AEB">
        <w:rPr>
          <w:iCs/>
        </w:rPr>
        <w:t>the claim of non-inferior effectiveness compared with</w:t>
      </w:r>
      <w:r w:rsidR="00AC0EF0">
        <w:rPr>
          <w:iCs/>
        </w:rPr>
        <w:t xml:space="preserve"> the proposed comparators </w:t>
      </w:r>
      <w:r w:rsidR="004233EB" w:rsidRPr="007A70FB">
        <w:t xml:space="preserve">in this specific population and treatment setting </w:t>
      </w:r>
      <w:r w:rsidRPr="00B13AEB">
        <w:t xml:space="preserve">was not </w:t>
      </w:r>
      <w:r w:rsidR="00B13AEB">
        <w:t>adequately</w:t>
      </w:r>
      <w:r w:rsidRPr="00B13AEB">
        <w:t xml:space="preserve"> supported by </w:t>
      </w:r>
      <w:r w:rsidR="00791EF7">
        <w:t xml:space="preserve">the evidence in </w:t>
      </w:r>
      <w:r w:rsidRPr="00B13AEB">
        <w:t xml:space="preserve">the submission. However, the PBAC </w:t>
      </w:r>
      <w:r w:rsidR="00D374AA" w:rsidRPr="00B13AEB">
        <w:t>considered, on balance,</w:t>
      </w:r>
      <w:r w:rsidRPr="00B13AEB">
        <w:t xml:space="preserve"> it was </w:t>
      </w:r>
      <w:r w:rsidR="00D374AA" w:rsidRPr="00B13AEB">
        <w:t>reasonable</w:t>
      </w:r>
      <w:r w:rsidRPr="00B13AEB">
        <w:t xml:space="preserve"> to conclude that the effectiveness of lorlatinib </w:t>
      </w:r>
      <w:r w:rsidR="00D374AA" w:rsidRPr="00B13AEB">
        <w:t xml:space="preserve">would </w:t>
      </w:r>
      <w:r w:rsidRPr="00B13AEB">
        <w:t xml:space="preserve">be similar </w:t>
      </w:r>
      <w:r w:rsidR="001D79FE" w:rsidRPr="00B13AEB">
        <w:t xml:space="preserve">to </w:t>
      </w:r>
      <w:r w:rsidR="00E356BA" w:rsidRPr="00B13AEB">
        <w:t>that of</w:t>
      </w:r>
      <w:r w:rsidRPr="00B13AEB">
        <w:t xml:space="preserve"> alectinib. </w:t>
      </w:r>
    </w:p>
    <w:p w:rsidR="00630524" w:rsidRPr="00D275BB" w:rsidRDefault="00E74C44" w:rsidP="00D275BB">
      <w:pPr>
        <w:widowControl/>
        <w:numPr>
          <w:ilvl w:val="1"/>
          <w:numId w:val="1"/>
        </w:numPr>
        <w:spacing w:after="120"/>
        <w:rPr>
          <w:rFonts w:asciiTheme="minorHAnsi" w:hAnsiTheme="minorHAnsi"/>
          <w:bCs/>
        </w:rPr>
      </w:pPr>
      <w:r w:rsidRPr="00D275BB">
        <w:rPr>
          <w:iCs/>
        </w:rPr>
        <w:t xml:space="preserve">The PBAC noted </w:t>
      </w:r>
      <w:r w:rsidRPr="00D275BB">
        <w:rPr>
          <w:rFonts w:asciiTheme="minorHAnsi" w:hAnsiTheme="minorHAnsi"/>
          <w:bCs/>
        </w:rPr>
        <w:t>that lorlatinib was associated with</w:t>
      </w:r>
      <w:r w:rsidRPr="00B13AEB">
        <w:t xml:space="preserve"> a numerically higher number of Grade ≥ 3 adverse events (AE) and serious AEs</w:t>
      </w:r>
      <w:r w:rsidR="00AC0EF0">
        <w:t xml:space="preserve"> but similar rates of </w:t>
      </w:r>
      <w:r w:rsidR="00D275BB">
        <w:t>discontinuations</w:t>
      </w:r>
      <w:r w:rsidR="00AC0EF0">
        <w:t xml:space="preserve"> compared with</w:t>
      </w:r>
      <w:r w:rsidR="00D275BB">
        <w:t xml:space="preserve"> </w:t>
      </w:r>
      <w:r w:rsidRPr="00B13AEB">
        <w:t>alectinib</w:t>
      </w:r>
      <w:r w:rsidR="00D275BB">
        <w:t>,</w:t>
      </w:r>
      <w:r w:rsidR="00D275BB" w:rsidRPr="00B13AEB">
        <w:t xml:space="preserve"> and</w:t>
      </w:r>
      <w:r w:rsidR="00D275BB">
        <w:t xml:space="preserve"> </w:t>
      </w:r>
      <w:r w:rsidR="00630524" w:rsidRPr="00B13AEB">
        <w:t xml:space="preserve">a </w:t>
      </w:r>
      <w:r w:rsidRPr="00B13AEB">
        <w:t xml:space="preserve">lower number </w:t>
      </w:r>
      <w:r w:rsidR="00E356BA" w:rsidRPr="00B13AEB">
        <w:t xml:space="preserve">of such AEs </w:t>
      </w:r>
      <w:r w:rsidRPr="00B13AEB">
        <w:t xml:space="preserve">than ceritinib </w:t>
      </w:r>
      <w:r w:rsidR="00630524" w:rsidRPr="00B13AEB">
        <w:t xml:space="preserve">or </w:t>
      </w:r>
      <w:r w:rsidRPr="00B13AEB">
        <w:t>brigatinib</w:t>
      </w:r>
      <w:r w:rsidRPr="00D275BB">
        <w:rPr>
          <w:iCs/>
        </w:rPr>
        <w:t xml:space="preserve">. However, </w:t>
      </w:r>
      <w:r w:rsidRPr="00B13AEB">
        <w:t xml:space="preserve">the PBAC </w:t>
      </w:r>
      <w:r w:rsidR="00AC2641" w:rsidRPr="00B13AEB">
        <w:t xml:space="preserve">considered </w:t>
      </w:r>
      <w:r w:rsidRPr="00B13AEB">
        <w:t xml:space="preserve">that </w:t>
      </w:r>
      <w:r w:rsidR="00D275BB">
        <w:t xml:space="preserve">all </w:t>
      </w:r>
      <w:r w:rsidRPr="00B13AEB">
        <w:t>ALK-TKIs have different safety profiles</w:t>
      </w:r>
      <w:r w:rsidR="00E356BA" w:rsidRPr="00B13AEB">
        <w:t>, making such comparisons difficult</w:t>
      </w:r>
      <w:r w:rsidR="00D275BB" w:rsidRPr="007E1812">
        <w:t xml:space="preserve">, </w:t>
      </w:r>
      <w:r w:rsidR="00D275BB" w:rsidRPr="007E1812">
        <w:rPr>
          <w:iCs/>
        </w:rPr>
        <w:t>and</w:t>
      </w:r>
      <w:r w:rsidR="00D275BB">
        <w:rPr>
          <w:iCs/>
        </w:rPr>
        <w:t xml:space="preserve"> accepted that there are</w:t>
      </w:r>
      <w:r w:rsidR="00D275BB" w:rsidRPr="007E1812">
        <w:rPr>
          <w:iCs/>
        </w:rPr>
        <w:t xml:space="preserve"> </w:t>
      </w:r>
      <w:r w:rsidR="005D13FA">
        <w:rPr>
          <w:iCs/>
        </w:rPr>
        <w:t xml:space="preserve">likely </w:t>
      </w:r>
      <w:r w:rsidR="00D275BB" w:rsidRPr="007E1812">
        <w:rPr>
          <w:iCs/>
        </w:rPr>
        <w:t>no substantive difference</w:t>
      </w:r>
      <w:r w:rsidR="00A42166">
        <w:rPr>
          <w:iCs/>
        </w:rPr>
        <w:t>s</w:t>
      </w:r>
      <w:r w:rsidR="00D275BB" w:rsidRPr="007E1812">
        <w:rPr>
          <w:iCs/>
        </w:rPr>
        <w:t xml:space="preserve"> in safety across </w:t>
      </w:r>
      <w:r w:rsidR="00D275BB">
        <w:rPr>
          <w:iCs/>
        </w:rPr>
        <w:t>all drugs in the submission</w:t>
      </w:r>
      <w:r w:rsidR="00D275BB" w:rsidRPr="007E1812">
        <w:t>.</w:t>
      </w:r>
    </w:p>
    <w:p w:rsidR="00C93338" w:rsidRPr="00C93338" w:rsidRDefault="0045786E" w:rsidP="00A00385">
      <w:pPr>
        <w:numPr>
          <w:ilvl w:val="1"/>
          <w:numId w:val="1"/>
        </w:numPr>
        <w:spacing w:after="120"/>
        <w:rPr>
          <w:rFonts w:asciiTheme="minorHAnsi" w:hAnsiTheme="minorHAnsi"/>
          <w:bCs/>
          <w:szCs w:val="24"/>
        </w:rPr>
      </w:pPr>
      <w:r w:rsidRPr="007A70FB">
        <w:rPr>
          <w:rFonts w:asciiTheme="minorHAnsi" w:hAnsiTheme="minorHAnsi"/>
          <w:bCs/>
        </w:rPr>
        <w:t xml:space="preserve">The equi-effective doses proposed in the submission were lorlatinib 100 mg QD and alectinib 600 mg BID, based on the assumptions that the mean duration of treatment and the mean relative dose intensity in clinical practice would be the same for both drugs. </w:t>
      </w:r>
      <w:r w:rsidR="00A56447" w:rsidRPr="007A70FB">
        <w:rPr>
          <w:rFonts w:asciiTheme="minorHAnsi" w:hAnsiTheme="minorHAnsi"/>
          <w:bCs/>
        </w:rPr>
        <w:t>T</w:t>
      </w:r>
      <w:r w:rsidRPr="007A70FB">
        <w:rPr>
          <w:rFonts w:asciiTheme="minorHAnsi" w:hAnsiTheme="minorHAnsi"/>
          <w:bCs/>
        </w:rPr>
        <w:t xml:space="preserve">he cost-minimisation approach taken in the submission was to equate the cost per day of lorlatinib with the cost per day of alectinib, assuming that the treatment duration with lorlatinib </w:t>
      </w:r>
      <w:r w:rsidR="00A56447" w:rsidRPr="007A70FB">
        <w:rPr>
          <w:color w:val="000000" w:themeColor="text1"/>
        </w:rPr>
        <w:t xml:space="preserve">was going to </w:t>
      </w:r>
      <w:r w:rsidRPr="007A70FB">
        <w:rPr>
          <w:color w:val="000000" w:themeColor="text1"/>
        </w:rPr>
        <w:t xml:space="preserve">be the same as alectinib. </w:t>
      </w:r>
      <w:r w:rsidR="00754033" w:rsidRPr="007A70FB">
        <w:rPr>
          <w:color w:val="000000" w:themeColor="text1"/>
        </w:rPr>
        <w:t>T</w:t>
      </w:r>
      <w:r w:rsidRPr="007A70FB">
        <w:rPr>
          <w:color w:val="000000" w:themeColor="text1"/>
        </w:rPr>
        <w:t xml:space="preserve">he comparison of the point estimates </w:t>
      </w:r>
      <w:r w:rsidR="003064FB" w:rsidRPr="007A70FB">
        <w:rPr>
          <w:color w:val="000000" w:themeColor="text1"/>
        </w:rPr>
        <w:t xml:space="preserve">for PFS </w:t>
      </w:r>
      <w:r w:rsidRPr="007A70FB">
        <w:rPr>
          <w:color w:val="000000" w:themeColor="text1"/>
        </w:rPr>
        <w:t>suggested the treatment duration</w:t>
      </w:r>
      <w:r w:rsidR="00754033" w:rsidRPr="007A70FB">
        <w:rPr>
          <w:color w:val="000000" w:themeColor="text1"/>
        </w:rPr>
        <w:t>s</w:t>
      </w:r>
      <w:r w:rsidRPr="007A70FB">
        <w:rPr>
          <w:color w:val="000000" w:themeColor="text1"/>
        </w:rPr>
        <w:t xml:space="preserve"> for lorlatinib and alectinib </w:t>
      </w:r>
      <w:r w:rsidR="00754033" w:rsidRPr="007A70FB">
        <w:rPr>
          <w:color w:val="000000" w:themeColor="text1"/>
        </w:rPr>
        <w:t>were</w:t>
      </w:r>
      <w:r w:rsidR="00D6695A" w:rsidRPr="007A70FB">
        <w:rPr>
          <w:color w:val="000000" w:themeColor="text1"/>
        </w:rPr>
        <w:t xml:space="preserve"> </w:t>
      </w:r>
      <w:r w:rsidRPr="007A70FB">
        <w:rPr>
          <w:color w:val="000000" w:themeColor="text1"/>
        </w:rPr>
        <w:t>likely to be similar</w:t>
      </w:r>
      <w:r w:rsidR="00A00385">
        <w:rPr>
          <w:color w:val="000000" w:themeColor="text1"/>
        </w:rPr>
        <w:t xml:space="preserve"> thus </w:t>
      </w:r>
      <w:r w:rsidR="007C2B9B" w:rsidRPr="007A70FB">
        <w:rPr>
          <w:color w:val="000000" w:themeColor="text1"/>
        </w:rPr>
        <w:t xml:space="preserve">the </w:t>
      </w:r>
      <w:r w:rsidR="00782CA8" w:rsidRPr="007A70FB">
        <w:rPr>
          <w:color w:val="000000" w:themeColor="text1"/>
        </w:rPr>
        <w:t xml:space="preserve">PBAC </w:t>
      </w:r>
      <w:r w:rsidR="00A00385">
        <w:rPr>
          <w:color w:val="000000" w:themeColor="text1"/>
        </w:rPr>
        <w:t>accepted</w:t>
      </w:r>
      <w:r w:rsidR="00A00385" w:rsidRPr="007A70FB">
        <w:rPr>
          <w:color w:val="000000" w:themeColor="text1"/>
        </w:rPr>
        <w:t xml:space="preserve"> </w:t>
      </w:r>
      <w:r w:rsidR="00067C38" w:rsidRPr="007A70FB">
        <w:rPr>
          <w:color w:val="000000" w:themeColor="text1"/>
        </w:rPr>
        <w:t>the</w:t>
      </w:r>
      <w:r w:rsidRPr="007A70FB">
        <w:rPr>
          <w:color w:val="000000" w:themeColor="text1"/>
        </w:rPr>
        <w:t xml:space="preserve"> cost per day approach</w:t>
      </w:r>
      <w:r w:rsidR="00A00385">
        <w:rPr>
          <w:color w:val="000000" w:themeColor="text1"/>
        </w:rPr>
        <w:t xml:space="preserve"> using the equi-effective dose of </w:t>
      </w:r>
      <w:r w:rsidR="00292DE8">
        <w:rPr>
          <w:color w:val="000000" w:themeColor="text1"/>
        </w:rPr>
        <w:t xml:space="preserve">lorlatinib 100 mg </w:t>
      </w:r>
      <w:r w:rsidR="00A00385">
        <w:rPr>
          <w:color w:val="000000" w:themeColor="text1"/>
        </w:rPr>
        <w:t xml:space="preserve">per day and </w:t>
      </w:r>
      <w:r w:rsidR="00292DE8">
        <w:rPr>
          <w:color w:val="000000" w:themeColor="text1"/>
        </w:rPr>
        <w:t xml:space="preserve">alectinib </w:t>
      </w:r>
      <w:r w:rsidR="00A00385">
        <w:rPr>
          <w:color w:val="000000" w:themeColor="text1"/>
        </w:rPr>
        <w:t>1200</w:t>
      </w:r>
      <w:r w:rsidR="00292DE8">
        <w:rPr>
          <w:color w:val="000000" w:themeColor="text1"/>
        </w:rPr>
        <w:t xml:space="preserve"> mg </w:t>
      </w:r>
      <w:r w:rsidR="00A00385">
        <w:rPr>
          <w:color w:val="000000" w:themeColor="text1"/>
        </w:rPr>
        <w:t>per day.</w:t>
      </w:r>
      <w:r w:rsidR="00292DE8">
        <w:rPr>
          <w:color w:val="000000" w:themeColor="text1"/>
        </w:rPr>
        <w:t xml:space="preserve"> </w:t>
      </w:r>
      <w:r w:rsidR="008D76BF">
        <w:rPr>
          <w:color w:val="000000" w:themeColor="text1"/>
        </w:rPr>
        <w:t xml:space="preserve">The </w:t>
      </w:r>
      <w:r w:rsidR="008D76BF">
        <w:rPr>
          <w:color w:val="000000" w:themeColor="text1"/>
        </w:rPr>
        <w:lastRenderedPageBreak/>
        <w:t xml:space="preserve">PBAC advised that the cost per day of lorlatinib should be no more than the cost per day of alectinib. </w:t>
      </w:r>
    </w:p>
    <w:p w:rsidR="0045786E" w:rsidRPr="00B31789" w:rsidRDefault="00FA57F9" w:rsidP="00FC393F">
      <w:pPr>
        <w:numPr>
          <w:ilvl w:val="1"/>
          <w:numId w:val="1"/>
        </w:numPr>
        <w:spacing w:after="120"/>
        <w:rPr>
          <w:rFonts w:asciiTheme="minorHAnsi" w:hAnsiTheme="minorHAnsi"/>
          <w:bCs/>
          <w:szCs w:val="24"/>
        </w:rPr>
      </w:pPr>
      <w:r w:rsidRPr="00207EF5">
        <w:rPr>
          <w:rFonts w:asciiTheme="minorHAnsi" w:hAnsiTheme="minorHAnsi"/>
          <w:bCs/>
        </w:rPr>
        <w:t xml:space="preserve">The PBAC noted that alectinib was listed on a cost minimisation basis compared with ceritinib, and </w:t>
      </w:r>
      <w:r w:rsidR="00C93338" w:rsidRPr="00207EF5">
        <w:rPr>
          <w:rFonts w:asciiTheme="minorHAnsi" w:hAnsiTheme="minorHAnsi"/>
          <w:bCs/>
        </w:rPr>
        <w:t xml:space="preserve">that </w:t>
      </w:r>
      <w:r w:rsidR="00C93338" w:rsidRPr="00207EF5">
        <w:rPr>
          <w:iCs/>
        </w:rPr>
        <w:t xml:space="preserve">the recommended dose for ceritinib had changed from 750 mg </w:t>
      </w:r>
      <w:r w:rsidR="00207EF5" w:rsidRPr="00207EF5">
        <w:rPr>
          <w:iCs/>
        </w:rPr>
        <w:t>to 450 mg</w:t>
      </w:r>
      <w:r w:rsidR="00C93338" w:rsidRPr="00207EF5">
        <w:rPr>
          <w:iCs/>
        </w:rPr>
        <w:t xml:space="preserve"> based on pharmacokinetic (PK) data</w:t>
      </w:r>
      <w:r w:rsidR="005D13FA">
        <w:rPr>
          <w:iCs/>
        </w:rPr>
        <w:t>. H</w:t>
      </w:r>
      <w:r w:rsidR="00207EF5" w:rsidRPr="00207EF5">
        <w:rPr>
          <w:iCs/>
        </w:rPr>
        <w:t>owever</w:t>
      </w:r>
      <w:r w:rsidR="005D13FA">
        <w:rPr>
          <w:iCs/>
        </w:rPr>
        <w:t>,</w:t>
      </w:r>
      <w:r w:rsidR="00C93338" w:rsidRPr="00207EF5">
        <w:rPr>
          <w:iCs/>
        </w:rPr>
        <w:t xml:space="preserve"> based on PBS data the lower dose does not yet appear to be used in clinical </w:t>
      </w:r>
      <w:r w:rsidR="00C93338" w:rsidRPr="00B31789">
        <w:rPr>
          <w:iCs/>
        </w:rPr>
        <w:t>practice (</w:t>
      </w:r>
      <w:r w:rsidR="00C93338" w:rsidRPr="00B31789">
        <w:rPr>
          <w:rFonts w:asciiTheme="minorHAnsi" w:eastAsiaTheme="minorHAnsi" w:hAnsiTheme="minorHAnsi" w:cstheme="minorHAnsi"/>
          <w:snapToGrid/>
          <w:lang w:bidi="ar-JO"/>
        </w:rPr>
        <w:t xml:space="preserve">paragraph </w:t>
      </w:r>
      <w:r w:rsidR="005379D1" w:rsidRPr="00B31789">
        <w:rPr>
          <w:rFonts w:asciiTheme="minorHAnsi" w:eastAsiaTheme="minorHAnsi" w:hAnsiTheme="minorHAnsi" w:cstheme="minorHAnsi"/>
          <w:snapToGrid/>
          <w:lang w:bidi="ar-JO"/>
        </w:rPr>
        <w:t>5.8</w:t>
      </w:r>
      <w:r w:rsidR="00C93338" w:rsidRPr="00B31789">
        <w:rPr>
          <w:rFonts w:asciiTheme="minorHAnsi" w:eastAsiaTheme="minorHAnsi" w:hAnsiTheme="minorHAnsi" w:cstheme="minorHAnsi"/>
          <w:snapToGrid/>
          <w:lang w:bidi="ar-JO"/>
        </w:rPr>
        <w:t>), and there is a lack of clinical data at the lower dose.</w:t>
      </w:r>
      <w:r w:rsidR="00207EF5" w:rsidRPr="00B31789">
        <w:rPr>
          <w:rFonts w:asciiTheme="minorHAnsi" w:eastAsiaTheme="minorHAnsi" w:hAnsiTheme="minorHAnsi" w:cstheme="minorHAnsi"/>
          <w:snapToGrid/>
          <w:lang w:bidi="ar-JO"/>
        </w:rPr>
        <w:t xml:space="preserve"> A</w:t>
      </w:r>
      <w:r w:rsidR="00C93338" w:rsidRPr="00B31789">
        <w:rPr>
          <w:rFonts w:asciiTheme="minorHAnsi" w:hAnsiTheme="minorHAnsi"/>
          <w:bCs/>
        </w:rPr>
        <w:t>s an improvement in efficacy or reduction in toxicity with lorlatinib over ceritinib was not demonstrated for some patients,</w:t>
      </w:r>
      <w:r w:rsidR="00207EF5" w:rsidRPr="00B31789">
        <w:rPr>
          <w:rFonts w:asciiTheme="minorHAnsi" w:hAnsiTheme="minorHAnsi"/>
          <w:bCs/>
        </w:rPr>
        <w:t xml:space="preserve"> the PBAC considered </w:t>
      </w:r>
      <w:r w:rsidRPr="00B31789">
        <w:rPr>
          <w:rFonts w:asciiTheme="minorHAnsi" w:hAnsiTheme="minorHAnsi"/>
          <w:bCs/>
        </w:rPr>
        <w:t>that lorlatini</w:t>
      </w:r>
      <w:r w:rsidR="00C93338" w:rsidRPr="00B31789">
        <w:rPr>
          <w:rFonts w:asciiTheme="minorHAnsi" w:hAnsiTheme="minorHAnsi"/>
          <w:bCs/>
        </w:rPr>
        <w:t>b</w:t>
      </w:r>
      <w:r w:rsidRPr="00B31789">
        <w:rPr>
          <w:rFonts w:asciiTheme="minorHAnsi" w:hAnsiTheme="minorHAnsi"/>
          <w:bCs/>
        </w:rPr>
        <w:t xml:space="preserve"> 100 mg daily should also be no more costly than ceritinib 750 mg daily</w:t>
      </w:r>
      <w:r w:rsidRPr="00B31789">
        <w:t>.</w:t>
      </w:r>
    </w:p>
    <w:p w:rsidR="005F7B6C" w:rsidRPr="005903B1" w:rsidRDefault="00B06299" w:rsidP="00730127">
      <w:pPr>
        <w:numPr>
          <w:ilvl w:val="1"/>
          <w:numId w:val="1"/>
        </w:numPr>
        <w:spacing w:after="120"/>
        <w:rPr>
          <w:rFonts w:asciiTheme="minorHAnsi" w:hAnsiTheme="minorHAnsi"/>
          <w:bCs/>
          <w:szCs w:val="24"/>
        </w:rPr>
      </w:pPr>
      <w:r>
        <w:rPr>
          <w:iCs/>
        </w:rPr>
        <w:t>T</w:t>
      </w:r>
      <w:r w:rsidR="006D0D00" w:rsidRPr="00B31789">
        <w:rPr>
          <w:iCs/>
        </w:rPr>
        <w:t>he PBAC considered the cost-offset</w:t>
      </w:r>
      <w:r w:rsidR="00CE7FFE" w:rsidRPr="00B31789">
        <w:rPr>
          <w:iCs/>
        </w:rPr>
        <w:t>s</w:t>
      </w:r>
      <w:r w:rsidR="006D0D00" w:rsidRPr="00B31789">
        <w:rPr>
          <w:iCs/>
        </w:rPr>
        <w:t xml:space="preserve"> due to replacement of alectinib and ceritinib to be overestimated</w:t>
      </w:r>
      <w:r w:rsidR="00746559" w:rsidRPr="00B31789">
        <w:rPr>
          <w:iCs/>
        </w:rPr>
        <w:t xml:space="preserve">, as lorlatinib would be used after alectinib </w:t>
      </w:r>
      <w:r w:rsidR="006D0D00" w:rsidRPr="00B31789">
        <w:rPr>
          <w:rFonts w:asciiTheme="minorHAnsi" w:hAnsiTheme="minorHAnsi"/>
          <w:bCs/>
        </w:rPr>
        <w:t>(</w:t>
      </w:r>
      <w:r w:rsidR="006D0D00" w:rsidRPr="00B31789">
        <w:rPr>
          <w:iCs/>
        </w:rPr>
        <w:t>paragraph 7.3)</w:t>
      </w:r>
      <w:r w:rsidR="006D0D00" w:rsidRPr="00B31789">
        <w:rPr>
          <w:rFonts w:asciiTheme="minorHAnsi" w:hAnsiTheme="minorHAnsi"/>
          <w:bCs/>
        </w:rPr>
        <w:t xml:space="preserve"> and the current use of ceritinib is minimal (paragraph 5.8).</w:t>
      </w:r>
      <w:r w:rsidR="00746559" w:rsidRPr="00B31789">
        <w:rPr>
          <w:rFonts w:asciiTheme="minorHAnsi" w:hAnsiTheme="minorHAnsi"/>
          <w:bCs/>
        </w:rPr>
        <w:t xml:space="preserve"> At</w:t>
      </w:r>
      <w:r w:rsidR="00746559">
        <w:rPr>
          <w:rFonts w:asciiTheme="minorHAnsi" w:hAnsiTheme="minorHAnsi"/>
          <w:bCs/>
        </w:rPr>
        <w:t xml:space="preserve"> least partly countering this</w:t>
      </w:r>
      <w:r w:rsidR="00CE7FFE">
        <w:rPr>
          <w:rFonts w:asciiTheme="minorHAnsi" w:hAnsiTheme="minorHAnsi"/>
          <w:bCs/>
        </w:rPr>
        <w:t>,</w:t>
      </w:r>
      <w:r w:rsidR="00746559">
        <w:rPr>
          <w:rFonts w:asciiTheme="minorHAnsi" w:hAnsiTheme="minorHAnsi"/>
          <w:bCs/>
        </w:rPr>
        <w:t xml:space="preserve"> the PBAC noted the cost-offsets associated with a potential reduction in chemotherapy, including atezolizumab combination therapy, were not included.</w:t>
      </w:r>
      <w:r>
        <w:rPr>
          <w:rFonts w:asciiTheme="minorHAnsi" w:hAnsiTheme="minorHAnsi"/>
          <w:bCs/>
        </w:rPr>
        <w:t xml:space="preserve"> The PBAC </w:t>
      </w:r>
      <w:r w:rsidR="007D221D">
        <w:rPr>
          <w:rFonts w:asciiTheme="minorHAnsi" w:hAnsiTheme="minorHAnsi"/>
          <w:bCs/>
        </w:rPr>
        <w:t xml:space="preserve">therefore </w:t>
      </w:r>
      <w:r>
        <w:rPr>
          <w:rFonts w:asciiTheme="minorHAnsi" w:hAnsiTheme="minorHAnsi"/>
          <w:bCs/>
        </w:rPr>
        <w:t xml:space="preserve">considered that </w:t>
      </w:r>
      <w:r w:rsidR="007D221D">
        <w:rPr>
          <w:rFonts w:asciiTheme="minorHAnsi" w:hAnsiTheme="minorHAnsi"/>
          <w:bCs/>
        </w:rPr>
        <w:t xml:space="preserve">the residual uncertainty around financial impact due to lorlatinib use subsequent to alectinib would need to be managed by a risk share </w:t>
      </w:r>
      <w:r w:rsidR="00BD7C13">
        <w:rPr>
          <w:rFonts w:asciiTheme="minorHAnsi" w:hAnsiTheme="minorHAnsi"/>
          <w:bCs/>
        </w:rPr>
        <w:t>arrangement</w:t>
      </w:r>
      <w:r w:rsidR="007D221D">
        <w:rPr>
          <w:rFonts w:asciiTheme="minorHAnsi" w:hAnsiTheme="minorHAnsi"/>
          <w:bCs/>
        </w:rPr>
        <w:t xml:space="preserve"> and expenditure caps as for alectinib</w:t>
      </w:r>
      <w:r w:rsidR="00163064">
        <w:rPr>
          <w:rFonts w:asciiTheme="minorHAnsi" w:hAnsiTheme="minorHAnsi"/>
          <w:bCs/>
        </w:rPr>
        <w:t>.</w:t>
      </w:r>
      <w:r w:rsidR="00730127">
        <w:rPr>
          <w:rFonts w:asciiTheme="minorHAnsi" w:hAnsiTheme="minorHAnsi"/>
          <w:bCs/>
        </w:rPr>
        <w:t xml:space="preserve"> The PBAC also considered</w:t>
      </w:r>
      <w:r w:rsidR="00163064">
        <w:rPr>
          <w:rFonts w:asciiTheme="minorHAnsi" w:hAnsiTheme="minorHAnsi"/>
          <w:bCs/>
        </w:rPr>
        <w:t xml:space="preserve"> it may be appropriate that the two </w:t>
      </w:r>
      <w:r w:rsidR="00730127">
        <w:rPr>
          <w:rFonts w:asciiTheme="minorHAnsi" w:hAnsiTheme="minorHAnsi"/>
          <w:bCs/>
        </w:rPr>
        <w:t xml:space="preserve">drugs </w:t>
      </w:r>
      <w:r w:rsidR="00163064">
        <w:rPr>
          <w:rFonts w:asciiTheme="minorHAnsi" w:hAnsiTheme="minorHAnsi"/>
          <w:bCs/>
        </w:rPr>
        <w:t>share the current RSA cap</w:t>
      </w:r>
      <w:r w:rsidR="00730127">
        <w:rPr>
          <w:rFonts w:asciiTheme="minorHAnsi" w:hAnsiTheme="minorHAnsi"/>
          <w:bCs/>
        </w:rPr>
        <w:t>s, but with an increase to the c</w:t>
      </w:r>
      <w:r w:rsidR="00163064">
        <w:rPr>
          <w:rFonts w:asciiTheme="minorHAnsi" w:hAnsiTheme="minorHAnsi"/>
          <w:bCs/>
        </w:rPr>
        <w:t xml:space="preserve">ap based on the </w:t>
      </w:r>
      <w:r w:rsidR="00730127">
        <w:rPr>
          <w:rFonts w:asciiTheme="minorHAnsi" w:hAnsiTheme="minorHAnsi"/>
          <w:bCs/>
        </w:rPr>
        <w:t>estimated</w:t>
      </w:r>
      <w:r w:rsidR="00163064">
        <w:rPr>
          <w:rFonts w:asciiTheme="minorHAnsi" w:hAnsiTheme="minorHAnsi"/>
          <w:bCs/>
        </w:rPr>
        <w:t xml:space="preserve"> use of lorlatinib in Table 13.</w:t>
      </w:r>
    </w:p>
    <w:p w:rsidR="0045786E" w:rsidRPr="007A70FB" w:rsidRDefault="0045786E" w:rsidP="0074753E">
      <w:pPr>
        <w:numPr>
          <w:ilvl w:val="1"/>
          <w:numId w:val="1"/>
        </w:numPr>
        <w:spacing w:after="120"/>
        <w:rPr>
          <w:rFonts w:asciiTheme="minorHAnsi" w:hAnsiTheme="minorHAnsi"/>
          <w:bCs/>
        </w:rPr>
      </w:pPr>
      <w:r w:rsidRPr="007A70FB">
        <w:rPr>
          <w:rFonts w:asciiTheme="minorHAnsi" w:hAnsiTheme="minorHAnsi"/>
          <w:bCs/>
        </w:rPr>
        <w:t xml:space="preserve">The PBAC noted that all previous </w:t>
      </w:r>
      <w:r w:rsidR="00754033" w:rsidRPr="007A70FB">
        <w:rPr>
          <w:rFonts w:asciiTheme="minorHAnsi" w:hAnsiTheme="minorHAnsi"/>
          <w:bCs/>
        </w:rPr>
        <w:t xml:space="preserve">ALK-TKI </w:t>
      </w:r>
      <w:r w:rsidRPr="007A70FB">
        <w:rPr>
          <w:rFonts w:asciiTheme="minorHAnsi" w:hAnsiTheme="minorHAnsi"/>
          <w:bCs/>
        </w:rPr>
        <w:t xml:space="preserve">decisions were line-agnostic but the </w:t>
      </w:r>
      <w:r w:rsidR="00754033" w:rsidRPr="007A70FB">
        <w:rPr>
          <w:rFonts w:asciiTheme="minorHAnsi" w:hAnsiTheme="minorHAnsi"/>
          <w:bCs/>
        </w:rPr>
        <w:t xml:space="preserve">lorlatinib </w:t>
      </w:r>
      <w:r w:rsidRPr="007A70FB">
        <w:rPr>
          <w:rFonts w:asciiTheme="minorHAnsi" w:hAnsiTheme="minorHAnsi"/>
          <w:bCs/>
        </w:rPr>
        <w:t>submission did not request a line-agnostic listing</w:t>
      </w:r>
      <w:r w:rsidR="007A70FB">
        <w:rPr>
          <w:rFonts w:asciiTheme="minorHAnsi" w:hAnsiTheme="minorHAnsi"/>
          <w:bCs/>
        </w:rPr>
        <w:t xml:space="preserve">. </w:t>
      </w:r>
      <w:r w:rsidR="00754033" w:rsidRPr="007A70FB">
        <w:rPr>
          <w:rFonts w:asciiTheme="minorHAnsi" w:hAnsiTheme="minorHAnsi"/>
          <w:bCs/>
        </w:rPr>
        <w:t>The PBAC</w:t>
      </w:r>
      <w:r w:rsidRPr="007A70FB">
        <w:rPr>
          <w:rFonts w:asciiTheme="minorHAnsi" w:hAnsiTheme="minorHAnsi"/>
          <w:bCs/>
        </w:rPr>
        <w:t xml:space="preserve"> considered that </w:t>
      </w:r>
      <w:r w:rsidR="00DB7428" w:rsidRPr="007A70FB">
        <w:rPr>
          <w:rFonts w:asciiTheme="minorHAnsi" w:hAnsiTheme="minorHAnsi"/>
          <w:bCs/>
        </w:rPr>
        <w:t xml:space="preserve">the </w:t>
      </w:r>
      <w:r w:rsidR="00782CA8" w:rsidRPr="007A70FB">
        <w:rPr>
          <w:rFonts w:asciiTheme="minorHAnsi" w:hAnsiTheme="minorHAnsi"/>
          <w:bCs/>
        </w:rPr>
        <w:t>proposed</w:t>
      </w:r>
      <w:r w:rsidR="00DB7428" w:rsidRPr="007A70FB">
        <w:rPr>
          <w:rFonts w:asciiTheme="minorHAnsi" w:hAnsiTheme="minorHAnsi"/>
          <w:bCs/>
        </w:rPr>
        <w:t xml:space="preserve"> listing in the second</w:t>
      </w:r>
      <w:r w:rsidR="00EE06C9" w:rsidRPr="007A70FB">
        <w:rPr>
          <w:rFonts w:asciiTheme="minorHAnsi" w:hAnsiTheme="minorHAnsi"/>
          <w:bCs/>
        </w:rPr>
        <w:t>-line and subsequent-line settings</w:t>
      </w:r>
      <w:r w:rsidRPr="007A70FB">
        <w:rPr>
          <w:rFonts w:asciiTheme="minorHAnsi" w:hAnsiTheme="minorHAnsi"/>
          <w:bCs/>
        </w:rPr>
        <w:t xml:space="preserve"> was </w:t>
      </w:r>
      <w:r w:rsidR="00E462E1" w:rsidRPr="007A70FB">
        <w:rPr>
          <w:rFonts w:asciiTheme="minorHAnsi" w:hAnsiTheme="minorHAnsi"/>
          <w:bCs/>
        </w:rPr>
        <w:t>appropriate,</w:t>
      </w:r>
      <w:r w:rsidRPr="007A70FB">
        <w:rPr>
          <w:rFonts w:asciiTheme="minorHAnsi" w:hAnsiTheme="minorHAnsi"/>
          <w:bCs/>
        </w:rPr>
        <w:t xml:space="preserve"> as there </w:t>
      </w:r>
      <w:r w:rsidR="00754033" w:rsidRPr="007A70FB">
        <w:rPr>
          <w:rFonts w:asciiTheme="minorHAnsi" w:hAnsiTheme="minorHAnsi"/>
          <w:bCs/>
        </w:rPr>
        <w:t xml:space="preserve">were </w:t>
      </w:r>
      <w:r w:rsidRPr="007A70FB">
        <w:rPr>
          <w:rFonts w:asciiTheme="minorHAnsi" w:hAnsiTheme="minorHAnsi"/>
          <w:bCs/>
        </w:rPr>
        <w:t xml:space="preserve">no </w:t>
      </w:r>
      <w:r w:rsidR="00F97EA1">
        <w:rPr>
          <w:rFonts w:asciiTheme="minorHAnsi" w:hAnsiTheme="minorHAnsi"/>
          <w:bCs/>
        </w:rPr>
        <w:t xml:space="preserve">comparative </w:t>
      </w:r>
      <w:r w:rsidRPr="007A70FB">
        <w:rPr>
          <w:rFonts w:asciiTheme="minorHAnsi" w:hAnsiTheme="minorHAnsi"/>
          <w:bCs/>
        </w:rPr>
        <w:t>data prese</w:t>
      </w:r>
      <w:r w:rsidR="00CE3CCA" w:rsidRPr="007A70FB">
        <w:rPr>
          <w:rFonts w:asciiTheme="minorHAnsi" w:hAnsiTheme="minorHAnsi"/>
          <w:bCs/>
        </w:rPr>
        <w:t xml:space="preserve">nted in </w:t>
      </w:r>
      <w:r w:rsidR="005C64D5" w:rsidRPr="007A70FB">
        <w:rPr>
          <w:rFonts w:asciiTheme="minorHAnsi" w:hAnsiTheme="minorHAnsi"/>
          <w:bCs/>
        </w:rPr>
        <w:t xml:space="preserve">the submission </w:t>
      </w:r>
      <w:r w:rsidR="00103D5D" w:rsidRPr="007A70FB">
        <w:rPr>
          <w:rFonts w:asciiTheme="minorHAnsi" w:hAnsiTheme="minorHAnsi"/>
          <w:bCs/>
        </w:rPr>
        <w:t>to</w:t>
      </w:r>
      <w:r w:rsidR="00BB750E" w:rsidRPr="007A70FB">
        <w:rPr>
          <w:rFonts w:asciiTheme="minorHAnsi" w:hAnsiTheme="minorHAnsi"/>
          <w:bCs/>
        </w:rPr>
        <w:t xml:space="preserve"> support use of lorlatinib as first-line </w:t>
      </w:r>
      <w:r w:rsidR="00916D33" w:rsidRPr="007A70FB">
        <w:rPr>
          <w:rFonts w:asciiTheme="minorHAnsi" w:hAnsiTheme="minorHAnsi"/>
          <w:bCs/>
        </w:rPr>
        <w:t>therapy</w:t>
      </w:r>
      <w:r w:rsidR="00CE3CCA" w:rsidRPr="007A70FB">
        <w:rPr>
          <w:rFonts w:asciiTheme="minorHAnsi" w:hAnsiTheme="minorHAnsi"/>
          <w:bCs/>
        </w:rPr>
        <w:t>.</w:t>
      </w:r>
    </w:p>
    <w:p w:rsidR="0045786E" w:rsidRPr="007A70FB" w:rsidRDefault="0045786E" w:rsidP="004F108D">
      <w:pPr>
        <w:pStyle w:val="ListParagraph"/>
        <w:widowControl/>
        <w:numPr>
          <w:ilvl w:val="1"/>
          <w:numId w:val="1"/>
        </w:numPr>
        <w:spacing w:before="120" w:after="120"/>
      </w:pPr>
      <w:r w:rsidRPr="007A70FB">
        <w:t xml:space="preserve">The PBAC noted that the requested PBS restriction for lorlatinib would allow its use as second-line therapy post crizotinib, which is broader than the proposed TGA indication. </w:t>
      </w:r>
      <w:r w:rsidR="000019E0">
        <w:t>T</w:t>
      </w:r>
      <w:r w:rsidRPr="007A70FB">
        <w:t xml:space="preserve">he PBAC advised </w:t>
      </w:r>
      <w:r w:rsidR="00754033" w:rsidRPr="007A70FB">
        <w:t xml:space="preserve">that </w:t>
      </w:r>
      <w:r w:rsidR="001871B6">
        <w:t xml:space="preserve">it would be appropriate to amend </w:t>
      </w:r>
      <w:r w:rsidRPr="007A70FB">
        <w:t>the requested restriction to</w:t>
      </w:r>
      <w:r w:rsidR="001871B6">
        <w:t xml:space="preserve"> </w:t>
      </w:r>
      <w:r w:rsidR="004F108D">
        <w:t>specify</w:t>
      </w:r>
      <w:r w:rsidRPr="007A70FB">
        <w:t>, “The condition must have progressed following treatment with a</w:t>
      </w:r>
      <w:r w:rsidR="00504FBB" w:rsidRPr="007A70FB">
        <w:t>n</w:t>
      </w:r>
      <w:r w:rsidRPr="007A70FB">
        <w:t xml:space="preserve"> ALK TKI other than crizotinib”</w:t>
      </w:r>
      <w:r w:rsidR="001871B6">
        <w:t xml:space="preserve">, in line with the </w:t>
      </w:r>
      <w:r w:rsidR="000019E0">
        <w:t xml:space="preserve">proposed </w:t>
      </w:r>
      <w:r w:rsidR="001871B6">
        <w:t>TGA</w:t>
      </w:r>
      <w:r w:rsidR="000019E0">
        <w:t xml:space="preserve"> </w:t>
      </w:r>
      <w:r w:rsidR="001871B6">
        <w:t>indication</w:t>
      </w:r>
      <w:r w:rsidR="000019E0">
        <w:t xml:space="preserve"> (see paragraph 3.1)</w:t>
      </w:r>
      <w:r w:rsidR="001871B6">
        <w:t>.</w:t>
      </w:r>
      <w:r w:rsidR="00623866" w:rsidRPr="007A70FB">
        <w:t xml:space="preserve"> </w:t>
      </w:r>
      <w:r w:rsidRPr="007A70FB">
        <w:t xml:space="preserve"> </w:t>
      </w:r>
    </w:p>
    <w:p w:rsidR="0045786E" w:rsidRPr="007A70FB" w:rsidRDefault="0045786E" w:rsidP="000A10E9">
      <w:pPr>
        <w:pStyle w:val="ListParagraph"/>
        <w:widowControl/>
        <w:numPr>
          <w:ilvl w:val="1"/>
          <w:numId w:val="1"/>
        </w:numPr>
        <w:spacing w:before="120" w:after="120"/>
      </w:pPr>
      <w:r w:rsidRPr="007A70FB">
        <w:t>The PBAC considered that the inclusion of a criterion to allow access to lorlatinib due to intolerance to a prior ALK inhibitor was not appropriate.</w:t>
      </w:r>
    </w:p>
    <w:p w:rsidR="00931212" w:rsidRPr="007A70FB" w:rsidRDefault="00931212" w:rsidP="00744B36">
      <w:pPr>
        <w:pStyle w:val="ListParagraph"/>
        <w:widowControl/>
        <w:numPr>
          <w:ilvl w:val="1"/>
          <w:numId w:val="1"/>
        </w:numPr>
        <w:spacing w:before="120" w:after="120"/>
      </w:pPr>
      <w:r w:rsidRPr="007A70FB">
        <w:t>The PBAC noted that</w:t>
      </w:r>
      <w:r w:rsidRPr="007A70FB">
        <w:rPr>
          <w:rFonts w:asciiTheme="minorHAnsi" w:hAnsiTheme="minorHAnsi" w:cstheme="minorHAnsi"/>
          <w:bCs/>
        </w:rPr>
        <w:t xml:space="preserve"> the requested maximum quantity and repeats was the same </w:t>
      </w:r>
      <w:r w:rsidR="00314F12" w:rsidRPr="007A70FB">
        <w:rPr>
          <w:rFonts w:asciiTheme="minorHAnsi" w:hAnsiTheme="minorHAnsi" w:cstheme="minorHAnsi"/>
          <w:bCs/>
        </w:rPr>
        <w:t xml:space="preserve">as </w:t>
      </w:r>
      <w:r w:rsidR="000019E0">
        <w:rPr>
          <w:rFonts w:asciiTheme="minorHAnsi" w:hAnsiTheme="minorHAnsi" w:cstheme="minorHAnsi"/>
          <w:bCs/>
        </w:rPr>
        <w:t xml:space="preserve">the current listing for </w:t>
      </w:r>
      <w:r w:rsidRPr="007A70FB">
        <w:rPr>
          <w:rFonts w:asciiTheme="minorHAnsi" w:hAnsiTheme="minorHAnsi" w:cstheme="minorHAnsi"/>
          <w:bCs/>
        </w:rPr>
        <w:t>alectinib</w:t>
      </w:r>
      <w:r w:rsidR="00744B36" w:rsidRPr="007A70FB">
        <w:rPr>
          <w:rFonts w:asciiTheme="minorHAnsi" w:hAnsiTheme="minorHAnsi" w:cstheme="minorHAnsi"/>
          <w:bCs/>
        </w:rPr>
        <w:t>,</w:t>
      </w:r>
      <w:r w:rsidRPr="007A70FB">
        <w:rPr>
          <w:rFonts w:asciiTheme="minorHAnsi" w:hAnsiTheme="minorHAnsi" w:cstheme="minorHAnsi"/>
          <w:bCs/>
        </w:rPr>
        <w:t xml:space="preserve"> and </w:t>
      </w:r>
      <w:r w:rsidR="00744B36" w:rsidRPr="007A70FB">
        <w:rPr>
          <w:rFonts w:asciiTheme="minorHAnsi" w:hAnsiTheme="minorHAnsi" w:cstheme="minorHAnsi"/>
          <w:bCs/>
        </w:rPr>
        <w:t xml:space="preserve">advised that </w:t>
      </w:r>
      <w:r w:rsidRPr="007A70FB">
        <w:rPr>
          <w:rFonts w:asciiTheme="minorHAnsi" w:hAnsiTheme="minorHAnsi" w:cstheme="minorHAnsi"/>
          <w:bCs/>
        </w:rPr>
        <w:t xml:space="preserve">all ALK </w:t>
      </w:r>
      <w:r w:rsidR="0013285A" w:rsidRPr="007A70FB">
        <w:rPr>
          <w:rFonts w:asciiTheme="minorHAnsi" w:hAnsiTheme="minorHAnsi" w:cstheme="minorHAnsi"/>
          <w:bCs/>
        </w:rPr>
        <w:t>inhibitors</w:t>
      </w:r>
      <w:r w:rsidR="000019E0">
        <w:rPr>
          <w:rFonts w:asciiTheme="minorHAnsi" w:hAnsiTheme="minorHAnsi" w:cstheme="minorHAnsi"/>
          <w:bCs/>
        </w:rPr>
        <w:t xml:space="preserve"> should be listed with maximum quantity and repeats that provide for consistent lengths of treatment</w:t>
      </w:r>
      <w:r w:rsidR="003406B6">
        <w:rPr>
          <w:rFonts w:asciiTheme="minorHAnsi" w:hAnsiTheme="minorHAnsi" w:cstheme="minorHAnsi"/>
          <w:bCs/>
        </w:rPr>
        <w:t>.</w:t>
      </w:r>
      <w:r w:rsidR="00744B36" w:rsidRPr="007A70FB">
        <w:rPr>
          <w:rFonts w:asciiTheme="minorHAnsi" w:hAnsiTheme="minorHAnsi" w:cstheme="minorHAnsi"/>
          <w:bCs/>
        </w:rPr>
        <w:t xml:space="preserve"> </w:t>
      </w:r>
    </w:p>
    <w:p w:rsidR="0045786E" w:rsidRPr="007A70FB" w:rsidRDefault="00955838" w:rsidP="00955838">
      <w:pPr>
        <w:pStyle w:val="ListParagraph"/>
        <w:widowControl/>
        <w:numPr>
          <w:ilvl w:val="1"/>
          <w:numId w:val="1"/>
        </w:numPr>
        <w:spacing w:before="120" w:after="120"/>
      </w:pPr>
      <w:r w:rsidRPr="007A70FB">
        <w:t>The PBAC recommended the inclusion of a grandfathering restriction as proposed by the submission. The PBAC noted the pre-PBAC response</w:t>
      </w:r>
      <w:r w:rsidR="008257E4" w:rsidRPr="007A70FB">
        <w:t xml:space="preserve"> </w:t>
      </w:r>
      <w:r w:rsidRPr="007A70FB">
        <w:t xml:space="preserve">indicated </w:t>
      </w:r>
      <w:r w:rsidR="00904827" w:rsidRPr="007A70FB">
        <w:t xml:space="preserve">that </w:t>
      </w:r>
      <w:r w:rsidR="00904827" w:rsidRPr="00B2325A">
        <w:t xml:space="preserve">approximately </w:t>
      </w:r>
      <w:r w:rsidR="00B2325A">
        <w:lastRenderedPageBreak/>
        <w:t xml:space="preserve">less than 10,000 </w:t>
      </w:r>
      <w:r w:rsidRPr="00B2325A">
        <w:t>patients</w:t>
      </w:r>
      <w:r w:rsidRPr="007A70FB">
        <w:t xml:space="preserve"> </w:t>
      </w:r>
      <w:r w:rsidR="00A650BD" w:rsidRPr="007A70FB">
        <w:t xml:space="preserve">would be </w:t>
      </w:r>
      <w:r w:rsidR="0045786E" w:rsidRPr="007A70FB">
        <w:t xml:space="preserve">receiving </w:t>
      </w:r>
      <w:r w:rsidR="00A650BD" w:rsidRPr="007A70FB">
        <w:t>treatment through the sponsor’s patient access program</w:t>
      </w:r>
      <w:r w:rsidR="0045786E" w:rsidRPr="007A70FB">
        <w:t xml:space="preserve"> at the time of the proposed PBS listing. </w:t>
      </w:r>
    </w:p>
    <w:p w:rsidR="0045786E" w:rsidRPr="007A70FB" w:rsidRDefault="0045786E" w:rsidP="004D7EC5">
      <w:pPr>
        <w:pStyle w:val="ListParagraph"/>
        <w:widowControl/>
        <w:numPr>
          <w:ilvl w:val="1"/>
          <w:numId w:val="1"/>
        </w:numPr>
        <w:spacing w:before="120" w:after="120"/>
      </w:pPr>
      <w:r w:rsidRPr="007A70FB">
        <w:t xml:space="preserve">The </w:t>
      </w:r>
      <w:r w:rsidR="00326144" w:rsidRPr="007A70FB">
        <w:t>PB</w:t>
      </w:r>
      <w:r w:rsidR="00326144">
        <w:t xml:space="preserve">AC </w:t>
      </w:r>
      <w:r w:rsidRPr="007A70FB">
        <w:t xml:space="preserve">considered that expansion of </w:t>
      </w:r>
      <w:r w:rsidR="000608AE" w:rsidRPr="007A70FB">
        <w:t xml:space="preserve">MBS </w:t>
      </w:r>
      <w:r w:rsidR="00C92C90" w:rsidRPr="007A70FB">
        <w:t>I</w:t>
      </w:r>
      <w:r w:rsidRPr="007A70FB">
        <w:t xml:space="preserve">tem 73341 to include access to lorlatinib would not be required as patients would have had their ALK status confirmed to access a first-line ALK-TKI on the PBS, </w:t>
      </w:r>
      <w:r w:rsidR="000608AE" w:rsidRPr="007A70FB">
        <w:t xml:space="preserve">and </w:t>
      </w:r>
      <w:r w:rsidRPr="007A70FB">
        <w:t xml:space="preserve">instead </w:t>
      </w:r>
      <w:r w:rsidR="004D7EC5" w:rsidRPr="007A70FB">
        <w:t xml:space="preserve">advised </w:t>
      </w:r>
      <w:r w:rsidRPr="007A70FB">
        <w:t>to include the criterion, “The patient must have evidence of an anaplastic lymphoma kinase (ALK) gene rearrangement”.</w:t>
      </w:r>
    </w:p>
    <w:p w:rsidR="0045786E" w:rsidRPr="007A70FB" w:rsidRDefault="0045786E" w:rsidP="004C3A7B">
      <w:pPr>
        <w:widowControl/>
        <w:numPr>
          <w:ilvl w:val="1"/>
          <w:numId w:val="1"/>
        </w:numPr>
        <w:spacing w:after="120"/>
        <w:rPr>
          <w:rFonts w:asciiTheme="minorHAnsi" w:hAnsiTheme="minorHAnsi"/>
          <w:bCs/>
        </w:rPr>
      </w:pPr>
      <w:r w:rsidRPr="007A70FB">
        <w:rPr>
          <w:rFonts w:asciiTheme="minorHAnsi" w:hAnsiTheme="minorHAnsi"/>
          <w:bCs/>
        </w:rPr>
        <w:t xml:space="preserve">The PBAC advised that under Section 101(3BA) of the </w:t>
      </w:r>
      <w:r w:rsidRPr="007A70FB">
        <w:rPr>
          <w:rFonts w:asciiTheme="minorHAnsi" w:hAnsiTheme="minorHAnsi"/>
          <w:bCs/>
          <w:i/>
        </w:rPr>
        <w:t>National Health Act 1953</w:t>
      </w:r>
      <w:r w:rsidRPr="007A70FB">
        <w:rPr>
          <w:rFonts w:asciiTheme="minorHAnsi" w:hAnsiTheme="minorHAnsi"/>
          <w:bCs/>
        </w:rPr>
        <w:t xml:space="preserve"> lorlatinib shou</w:t>
      </w:r>
      <w:r w:rsidR="004C3A7B" w:rsidRPr="007A70FB">
        <w:rPr>
          <w:rFonts w:asciiTheme="minorHAnsi" w:hAnsiTheme="minorHAnsi"/>
          <w:bCs/>
        </w:rPr>
        <w:t>l</w:t>
      </w:r>
      <w:r w:rsidRPr="007A70FB">
        <w:rPr>
          <w:rFonts w:asciiTheme="minorHAnsi" w:hAnsiTheme="minorHAnsi"/>
          <w:bCs/>
        </w:rPr>
        <w:t>d not be treated as interchangeable with any other drugs on an individual patient basis</w:t>
      </w:r>
      <w:r w:rsidR="007A70FB">
        <w:rPr>
          <w:rFonts w:asciiTheme="minorHAnsi" w:hAnsiTheme="minorHAnsi"/>
          <w:bCs/>
        </w:rPr>
        <w:t xml:space="preserve">. </w:t>
      </w:r>
    </w:p>
    <w:p w:rsidR="0045786E" w:rsidRPr="007A70FB" w:rsidRDefault="0045786E" w:rsidP="0045786E">
      <w:pPr>
        <w:widowControl/>
        <w:numPr>
          <w:ilvl w:val="1"/>
          <w:numId w:val="1"/>
        </w:numPr>
        <w:spacing w:after="120"/>
        <w:rPr>
          <w:rFonts w:asciiTheme="minorHAnsi" w:hAnsiTheme="minorHAnsi"/>
          <w:bCs/>
        </w:rPr>
      </w:pPr>
      <w:r w:rsidRPr="007A70FB">
        <w:rPr>
          <w:rFonts w:asciiTheme="minorHAnsi" w:hAnsiTheme="minorHAnsi"/>
          <w:bCs/>
        </w:rPr>
        <w:t>The PBAC advised that lorlatinib is not suitable for prescribing by nurse practitioners.</w:t>
      </w:r>
    </w:p>
    <w:p w:rsidR="0045786E" w:rsidRPr="005903B1" w:rsidRDefault="0045786E" w:rsidP="005903B1">
      <w:pPr>
        <w:widowControl/>
        <w:numPr>
          <w:ilvl w:val="1"/>
          <w:numId w:val="1"/>
        </w:numPr>
        <w:spacing w:after="120"/>
        <w:rPr>
          <w:rFonts w:asciiTheme="minorHAnsi" w:hAnsiTheme="minorHAnsi"/>
          <w:bCs/>
        </w:rPr>
      </w:pPr>
      <w:r w:rsidRPr="007A70FB">
        <w:rPr>
          <w:rFonts w:asciiTheme="minorHAnsi" w:hAnsiTheme="minorHAnsi"/>
          <w:bCs/>
        </w:rPr>
        <w:t>The PBAC recommended that the Early Supply Rule should not apply as it currently does not apply to alectinib.</w:t>
      </w:r>
    </w:p>
    <w:p w:rsidR="005F02AC" w:rsidRPr="00906975" w:rsidRDefault="005F02AC" w:rsidP="005F02AC">
      <w:pPr>
        <w:pStyle w:val="Bodytextitalics"/>
        <w:numPr>
          <w:ilvl w:val="1"/>
          <w:numId w:val="1"/>
        </w:numPr>
        <w:jc w:val="both"/>
        <w:rPr>
          <w:i w:val="0"/>
        </w:rPr>
      </w:pPr>
      <w:r w:rsidRPr="00906975">
        <w:rPr>
          <w:i w:val="0"/>
        </w:rPr>
        <w:t xml:space="preserve">The PBAC found that the criteria prescribed by </w:t>
      </w:r>
      <w:r w:rsidRPr="005903B1">
        <w:rPr>
          <w:iCs/>
        </w:rPr>
        <w:t>the National Health (Pharmaceuticals and Vaccines – Cost Recovery) Regulations 2009</w:t>
      </w:r>
      <w:r w:rsidRPr="00906975">
        <w:rPr>
          <w:i w:val="0"/>
        </w:rPr>
        <w:t xml:space="preserve"> for Pricing Pathway A were not met. Specifically the PBAC found that in the circumstances of its recommendation for </w:t>
      </w:r>
      <w:r>
        <w:rPr>
          <w:i w:val="0"/>
        </w:rPr>
        <w:t>lorlatinib</w:t>
      </w:r>
      <w:r w:rsidRPr="00906975">
        <w:rPr>
          <w:i w:val="0"/>
        </w:rPr>
        <w:t>:</w:t>
      </w:r>
    </w:p>
    <w:p w:rsidR="005F02AC" w:rsidRPr="00906975" w:rsidRDefault="005F02AC" w:rsidP="005F02AC">
      <w:pPr>
        <w:pStyle w:val="Bodytextitalics"/>
        <w:numPr>
          <w:ilvl w:val="0"/>
          <w:numId w:val="35"/>
        </w:numPr>
        <w:jc w:val="both"/>
        <w:rPr>
          <w:i w:val="0"/>
        </w:rPr>
      </w:pPr>
      <w:r w:rsidRPr="00906975">
        <w:rPr>
          <w:i w:val="0"/>
        </w:rPr>
        <w:t>The treatment may not provide a substantial and clinically relevant improvement in efficacy over alternative therapies</w:t>
      </w:r>
      <w:r>
        <w:rPr>
          <w:i w:val="0"/>
        </w:rPr>
        <w:t xml:space="preserve"> including chemotherapy and alternative ALK therapies</w:t>
      </w:r>
      <w:r w:rsidRPr="00906975">
        <w:rPr>
          <w:i w:val="0"/>
        </w:rPr>
        <w:t xml:space="preserve">. </w:t>
      </w:r>
    </w:p>
    <w:p w:rsidR="005F02AC" w:rsidRPr="00906975" w:rsidRDefault="005F02AC" w:rsidP="005F02AC">
      <w:pPr>
        <w:pStyle w:val="Bodytextitalics"/>
        <w:numPr>
          <w:ilvl w:val="0"/>
          <w:numId w:val="35"/>
        </w:numPr>
        <w:jc w:val="both"/>
        <w:rPr>
          <w:i w:val="0"/>
        </w:rPr>
      </w:pPr>
      <w:r w:rsidRPr="00906975">
        <w:rPr>
          <w:i w:val="0"/>
        </w:rPr>
        <w:t xml:space="preserve">The treatment is expected to address a high and urgent unmet clinical need. </w:t>
      </w:r>
    </w:p>
    <w:p w:rsidR="005F02AC" w:rsidRPr="005F02AC" w:rsidRDefault="005F02AC" w:rsidP="005F02AC">
      <w:pPr>
        <w:pStyle w:val="Bodytextitalics"/>
        <w:numPr>
          <w:ilvl w:val="0"/>
          <w:numId w:val="35"/>
        </w:numPr>
        <w:jc w:val="both"/>
        <w:rPr>
          <w:i w:val="0"/>
        </w:rPr>
      </w:pPr>
      <w:r w:rsidRPr="00906975">
        <w:rPr>
          <w:i w:val="0"/>
        </w:rPr>
        <w:t>It was not necessary to make a finding in relation to whether it would be in the public interest for the subsequent pricing application to be progressed under Pricing Pathway A because one or more of the preceding tests had failed.</w:t>
      </w:r>
    </w:p>
    <w:p w:rsidR="0045786E" w:rsidRPr="007A70FB" w:rsidRDefault="0045786E" w:rsidP="0045786E">
      <w:pPr>
        <w:widowControl/>
        <w:numPr>
          <w:ilvl w:val="1"/>
          <w:numId w:val="1"/>
        </w:numPr>
        <w:spacing w:after="120"/>
        <w:rPr>
          <w:rFonts w:asciiTheme="minorHAnsi" w:hAnsiTheme="minorHAnsi"/>
          <w:bCs/>
        </w:rPr>
      </w:pPr>
      <w:r w:rsidRPr="007A70FB">
        <w:rPr>
          <w:rFonts w:asciiTheme="minorHAnsi" w:hAnsiTheme="minorHAnsi"/>
          <w:bCs/>
        </w:rPr>
        <w:t>The PBAC noted that this submission is not eligible for an Independent Review, as it received a positive recommendation.</w:t>
      </w:r>
    </w:p>
    <w:p w:rsidR="0045786E" w:rsidRPr="007A70FB" w:rsidRDefault="0045786E" w:rsidP="0045786E">
      <w:pPr>
        <w:spacing w:before="240"/>
        <w:rPr>
          <w:rFonts w:asciiTheme="minorHAnsi" w:hAnsiTheme="minorHAnsi"/>
          <w:b/>
          <w:bCs/>
        </w:rPr>
      </w:pPr>
      <w:r w:rsidRPr="007A70FB">
        <w:rPr>
          <w:rFonts w:asciiTheme="minorHAnsi" w:hAnsiTheme="minorHAnsi"/>
          <w:b/>
          <w:bCs/>
        </w:rPr>
        <w:t>Outcome:</w:t>
      </w:r>
    </w:p>
    <w:p w:rsidR="0045786E" w:rsidRDefault="0045786E" w:rsidP="005903B1">
      <w:pPr>
        <w:rPr>
          <w:rFonts w:asciiTheme="minorHAnsi" w:hAnsiTheme="minorHAnsi"/>
          <w:bCs/>
        </w:rPr>
      </w:pPr>
      <w:r w:rsidRPr="007A70FB">
        <w:rPr>
          <w:rFonts w:asciiTheme="minorHAnsi" w:hAnsiTheme="minorHAnsi"/>
          <w:bCs/>
        </w:rPr>
        <w:t>Recommended</w:t>
      </w:r>
    </w:p>
    <w:p w:rsidR="00914FBB" w:rsidRDefault="00914FBB" w:rsidP="005903B1">
      <w:pPr>
        <w:rPr>
          <w:rFonts w:asciiTheme="minorHAnsi" w:hAnsiTheme="minorHAnsi"/>
          <w:bCs/>
        </w:rPr>
      </w:pPr>
    </w:p>
    <w:p w:rsidR="0045786E" w:rsidRPr="007A70FB" w:rsidRDefault="0045786E" w:rsidP="00386F03">
      <w:pPr>
        <w:pStyle w:val="PBACHeading1"/>
        <w:spacing w:before="120" w:after="120"/>
        <w:ind w:left="720"/>
      </w:pPr>
      <w:r w:rsidRPr="007A70FB">
        <w:t>Recommended listing</w:t>
      </w:r>
    </w:p>
    <w:p w:rsidR="0045786E" w:rsidRPr="007A70FB" w:rsidRDefault="0045786E" w:rsidP="0045786E">
      <w:pPr>
        <w:numPr>
          <w:ilvl w:val="1"/>
          <w:numId w:val="1"/>
        </w:numPr>
        <w:spacing w:after="120"/>
        <w:rPr>
          <w:rFonts w:asciiTheme="minorHAnsi" w:hAnsiTheme="minorHAnsi"/>
          <w:bCs/>
        </w:rPr>
      </w:pPr>
      <w:r w:rsidRPr="007A70FB">
        <w:rPr>
          <w:rFonts w:asciiTheme="minorHAnsi" w:hAnsiTheme="minorHAnsi"/>
          <w:bCs/>
        </w:rPr>
        <w:t>Add new item:</w:t>
      </w:r>
    </w:p>
    <w:tbl>
      <w:tblPr>
        <w:tblW w:w="9214" w:type="dxa"/>
        <w:tblLayout w:type="fixed"/>
        <w:tblLook w:val="0000" w:firstRow="0" w:lastRow="0" w:firstColumn="0" w:lastColumn="0" w:noHBand="0" w:noVBand="0"/>
      </w:tblPr>
      <w:tblGrid>
        <w:gridCol w:w="2835"/>
        <w:gridCol w:w="426"/>
        <w:gridCol w:w="850"/>
        <w:gridCol w:w="992"/>
        <w:gridCol w:w="1276"/>
        <w:gridCol w:w="2835"/>
      </w:tblGrid>
      <w:tr w:rsidR="0045786E" w:rsidRPr="007A70FB" w:rsidTr="00094E72">
        <w:trPr>
          <w:cantSplit/>
          <w:trHeight w:val="471"/>
        </w:trPr>
        <w:tc>
          <w:tcPr>
            <w:tcW w:w="3261" w:type="dxa"/>
            <w:gridSpan w:val="2"/>
            <w:tcBorders>
              <w:bottom w:val="single" w:sz="4" w:space="0" w:color="auto"/>
            </w:tcBorders>
          </w:tcPr>
          <w:p w:rsidR="0045786E" w:rsidRPr="007A70FB" w:rsidRDefault="0045786E" w:rsidP="00094E72">
            <w:pPr>
              <w:keepNext/>
              <w:ind w:left="-108"/>
              <w:rPr>
                <w:rFonts w:ascii="Arial Narrow" w:hAnsi="Arial Narrow"/>
                <w:sz w:val="20"/>
                <w:szCs w:val="20"/>
              </w:rPr>
            </w:pPr>
            <w:r w:rsidRPr="007A70FB">
              <w:rPr>
                <w:rFonts w:ascii="Arial Narrow" w:hAnsi="Arial Narrow"/>
                <w:sz w:val="20"/>
                <w:szCs w:val="20"/>
              </w:rPr>
              <w:t>Name, Restriction,</w:t>
            </w:r>
          </w:p>
          <w:p w:rsidR="0045786E" w:rsidRPr="007A70FB" w:rsidRDefault="0045786E" w:rsidP="00094E72">
            <w:pPr>
              <w:keepNext/>
              <w:ind w:left="-108"/>
              <w:rPr>
                <w:rFonts w:ascii="Arial Narrow" w:hAnsi="Arial Narrow"/>
                <w:sz w:val="20"/>
                <w:szCs w:val="20"/>
              </w:rPr>
            </w:pPr>
            <w:r w:rsidRPr="007A70FB">
              <w:rPr>
                <w:rFonts w:ascii="Arial Narrow" w:hAnsi="Arial Narrow"/>
                <w:sz w:val="20"/>
                <w:szCs w:val="20"/>
              </w:rPr>
              <w:t>Manner of administration and form</w:t>
            </w:r>
          </w:p>
        </w:tc>
        <w:tc>
          <w:tcPr>
            <w:tcW w:w="850" w:type="dxa"/>
            <w:tcBorders>
              <w:bottom w:val="single" w:sz="4" w:space="0" w:color="auto"/>
            </w:tcBorders>
          </w:tcPr>
          <w:p w:rsidR="0045786E" w:rsidRPr="007A70FB" w:rsidRDefault="0045786E" w:rsidP="00094E72">
            <w:pPr>
              <w:keepNext/>
              <w:ind w:left="-108"/>
              <w:rPr>
                <w:rFonts w:ascii="Arial Narrow" w:hAnsi="Arial Narrow"/>
                <w:sz w:val="20"/>
                <w:szCs w:val="20"/>
              </w:rPr>
            </w:pPr>
            <w:r w:rsidRPr="007A70FB">
              <w:rPr>
                <w:rFonts w:ascii="Arial Narrow" w:hAnsi="Arial Narrow"/>
                <w:sz w:val="20"/>
                <w:szCs w:val="20"/>
              </w:rPr>
              <w:t>Max.</w:t>
            </w:r>
          </w:p>
          <w:p w:rsidR="0045786E" w:rsidRPr="007A70FB" w:rsidRDefault="0045786E" w:rsidP="00094E72">
            <w:pPr>
              <w:keepNext/>
              <w:ind w:left="-108"/>
              <w:rPr>
                <w:rFonts w:ascii="Arial Narrow" w:hAnsi="Arial Narrow"/>
                <w:sz w:val="20"/>
                <w:szCs w:val="20"/>
              </w:rPr>
            </w:pPr>
            <w:r w:rsidRPr="007A70FB">
              <w:rPr>
                <w:rFonts w:ascii="Arial Narrow" w:hAnsi="Arial Narrow"/>
                <w:sz w:val="20"/>
                <w:szCs w:val="20"/>
              </w:rPr>
              <w:t>Qty</w:t>
            </w:r>
          </w:p>
        </w:tc>
        <w:tc>
          <w:tcPr>
            <w:tcW w:w="992" w:type="dxa"/>
            <w:tcBorders>
              <w:bottom w:val="single" w:sz="4" w:space="0" w:color="auto"/>
            </w:tcBorders>
          </w:tcPr>
          <w:p w:rsidR="0045786E" w:rsidRPr="007A70FB" w:rsidRDefault="0045786E" w:rsidP="00094E72">
            <w:pPr>
              <w:keepNext/>
              <w:ind w:left="-108"/>
              <w:rPr>
                <w:rFonts w:ascii="Arial Narrow" w:hAnsi="Arial Narrow"/>
                <w:sz w:val="20"/>
                <w:szCs w:val="20"/>
              </w:rPr>
            </w:pPr>
            <w:r w:rsidRPr="007A70FB">
              <w:rPr>
                <w:rFonts w:ascii="Arial Narrow" w:hAnsi="Arial Narrow"/>
                <w:sz w:val="20"/>
                <w:szCs w:val="20"/>
              </w:rPr>
              <w:t>№.of</w:t>
            </w:r>
          </w:p>
          <w:p w:rsidR="0045786E" w:rsidRPr="007A70FB" w:rsidRDefault="0045786E" w:rsidP="00094E72">
            <w:pPr>
              <w:keepNext/>
              <w:ind w:left="-108"/>
              <w:rPr>
                <w:rFonts w:ascii="Arial Narrow" w:hAnsi="Arial Narrow"/>
                <w:sz w:val="20"/>
                <w:szCs w:val="20"/>
              </w:rPr>
            </w:pPr>
            <w:r w:rsidRPr="007A70FB">
              <w:rPr>
                <w:rFonts w:ascii="Arial Narrow" w:hAnsi="Arial Narrow"/>
                <w:sz w:val="20"/>
                <w:szCs w:val="20"/>
              </w:rPr>
              <w:t>Rpts</w:t>
            </w:r>
          </w:p>
        </w:tc>
        <w:tc>
          <w:tcPr>
            <w:tcW w:w="4111" w:type="dxa"/>
            <w:gridSpan w:val="2"/>
            <w:tcBorders>
              <w:bottom w:val="single" w:sz="4" w:space="0" w:color="auto"/>
            </w:tcBorders>
          </w:tcPr>
          <w:p w:rsidR="0045786E" w:rsidRPr="007A70FB" w:rsidRDefault="0045786E" w:rsidP="00094E72">
            <w:pPr>
              <w:keepNext/>
              <w:rPr>
                <w:rFonts w:ascii="Arial Narrow" w:hAnsi="Arial Narrow"/>
                <w:sz w:val="20"/>
                <w:szCs w:val="20"/>
              </w:rPr>
            </w:pPr>
            <w:r w:rsidRPr="007A70FB">
              <w:rPr>
                <w:rFonts w:ascii="Arial Narrow" w:hAnsi="Arial Narrow"/>
                <w:sz w:val="20"/>
                <w:szCs w:val="20"/>
              </w:rPr>
              <w:t>Proprietary Name and Manufacturer</w:t>
            </w:r>
          </w:p>
        </w:tc>
      </w:tr>
      <w:tr w:rsidR="0045786E" w:rsidRPr="007A70FB" w:rsidTr="00094E72">
        <w:trPr>
          <w:cantSplit/>
          <w:trHeight w:val="577"/>
        </w:trPr>
        <w:tc>
          <w:tcPr>
            <w:tcW w:w="3261" w:type="dxa"/>
            <w:gridSpan w:val="2"/>
          </w:tcPr>
          <w:p w:rsidR="0045786E" w:rsidRPr="007A70FB" w:rsidRDefault="0045786E" w:rsidP="00094E72">
            <w:pPr>
              <w:keepNext/>
              <w:ind w:left="-108"/>
              <w:rPr>
                <w:rFonts w:ascii="Arial Narrow" w:hAnsi="Arial Narrow"/>
                <w:sz w:val="20"/>
                <w:szCs w:val="20"/>
              </w:rPr>
            </w:pPr>
            <w:r w:rsidRPr="007A70FB">
              <w:rPr>
                <w:rFonts w:ascii="Arial Narrow" w:hAnsi="Arial Narrow"/>
                <w:sz w:val="20"/>
                <w:szCs w:val="20"/>
              </w:rPr>
              <w:t>LORLATINIB</w:t>
            </w:r>
          </w:p>
          <w:p w:rsidR="0045786E" w:rsidRPr="007A70FB" w:rsidRDefault="0045786E" w:rsidP="00094E72">
            <w:pPr>
              <w:keepNext/>
              <w:ind w:left="-108"/>
              <w:rPr>
                <w:rFonts w:ascii="Arial Narrow" w:hAnsi="Arial Narrow"/>
                <w:sz w:val="20"/>
                <w:szCs w:val="20"/>
              </w:rPr>
            </w:pPr>
            <w:r w:rsidRPr="007A70FB">
              <w:rPr>
                <w:rFonts w:ascii="Arial Narrow" w:hAnsi="Arial Narrow"/>
                <w:sz w:val="20"/>
                <w:szCs w:val="20"/>
              </w:rPr>
              <w:t>25 mg tablet, 90</w:t>
            </w:r>
          </w:p>
          <w:p w:rsidR="0045786E" w:rsidRPr="007A70FB" w:rsidRDefault="0045786E" w:rsidP="00094E72">
            <w:pPr>
              <w:keepNext/>
              <w:ind w:left="-108"/>
              <w:rPr>
                <w:rFonts w:ascii="Arial Narrow" w:hAnsi="Arial Narrow"/>
                <w:color w:val="FF0000"/>
                <w:sz w:val="20"/>
                <w:szCs w:val="20"/>
              </w:rPr>
            </w:pPr>
            <w:r w:rsidRPr="007A70FB">
              <w:rPr>
                <w:rFonts w:ascii="Arial Narrow" w:hAnsi="Arial Narrow"/>
                <w:sz w:val="20"/>
                <w:szCs w:val="20"/>
              </w:rPr>
              <w:t>100 mg tablet, 30</w:t>
            </w:r>
          </w:p>
        </w:tc>
        <w:tc>
          <w:tcPr>
            <w:tcW w:w="850" w:type="dxa"/>
          </w:tcPr>
          <w:p w:rsidR="0045786E" w:rsidRPr="007A70FB" w:rsidRDefault="0045786E" w:rsidP="00094E72">
            <w:pPr>
              <w:keepNext/>
              <w:ind w:left="-108"/>
              <w:rPr>
                <w:rFonts w:ascii="Arial Narrow" w:hAnsi="Arial Narrow"/>
                <w:sz w:val="20"/>
                <w:szCs w:val="20"/>
              </w:rPr>
            </w:pPr>
          </w:p>
          <w:p w:rsidR="0045786E" w:rsidRPr="007A70FB" w:rsidRDefault="0045786E" w:rsidP="00094E72">
            <w:pPr>
              <w:keepNext/>
              <w:ind w:left="-108"/>
              <w:rPr>
                <w:rFonts w:ascii="Arial Narrow" w:hAnsi="Arial Narrow"/>
                <w:sz w:val="20"/>
                <w:szCs w:val="20"/>
              </w:rPr>
            </w:pPr>
            <w:r w:rsidRPr="007A70FB">
              <w:rPr>
                <w:rFonts w:ascii="Arial Narrow" w:hAnsi="Arial Narrow"/>
                <w:sz w:val="20"/>
                <w:szCs w:val="20"/>
              </w:rPr>
              <w:t>1</w:t>
            </w:r>
          </w:p>
          <w:p w:rsidR="0045786E" w:rsidRPr="007A70FB" w:rsidRDefault="0045786E" w:rsidP="00094E72">
            <w:pPr>
              <w:keepNext/>
              <w:ind w:left="-108"/>
              <w:rPr>
                <w:rFonts w:ascii="Arial Narrow" w:hAnsi="Arial Narrow"/>
                <w:sz w:val="20"/>
                <w:szCs w:val="20"/>
              </w:rPr>
            </w:pPr>
            <w:r w:rsidRPr="007A70FB">
              <w:rPr>
                <w:rFonts w:ascii="Arial Narrow" w:hAnsi="Arial Narrow"/>
                <w:sz w:val="20"/>
                <w:szCs w:val="20"/>
              </w:rPr>
              <w:t>1</w:t>
            </w:r>
          </w:p>
        </w:tc>
        <w:tc>
          <w:tcPr>
            <w:tcW w:w="992" w:type="dxa"/>
          </w:tcPr>
          <w:p w:rsidR="0045786E" w:rsidRPr="007A70FB" w:rsidRDefault="0045786E" w:rsidP="00094E72">
            <w:pPr>
              <w:keepNext/>
              <w:ind w:left="-108"/>
              <w:rPr>
                <w:rFonts w:ascii="Arial Narrow" w:hAnsi="Arial Narrow"/>
                <w:sz w:val="20"/>
                <w:szCs w:val="20"/>
              </w:rPr>
            </w:pPr>
          </w:p>
          <w:p w:rsidR="0045786E" w:rsidRPr="007A70FB" w:rsidRDefault="0030790D" w:rsidP="00094E72">
            <w:pPr>
              <w:keepNext/>
              <w:ind w:left="-108"/>
              <w:rPr>
                <w:rFonts w:ascii="Arial Narrow" w:hAnsi="Arial Narrow"/>
                <w:sz w:val="20"/>
                <w:szCs w:val="20"/>
              </w:rPr>
            </w:pPr>
            <w:r w:rsidRPr="007A70FB">
              <w:rPr>
                <w:rFonts w:ascii="Arial Narrow" w:hAnsi="Arial Narrow"/>
                <w:sz w:val="20"/>
                <w:szCs w:val="20"/>
              </w:rPr>
              <w:t>1</w:t>
            </w:r>
          </w:p>
          <w:p w:rsidR="0045786E" w:rsidRPr="007A70FB" w:rsidRDefault="0030790D" w:rsidP="00094E72">
            <w:pPr>
              <w:keepNext/>
              <w:ind w:left="-108"/>
              <w:rPr>
                <w:rFonts w:ascii="Arial Narrow" w:hAnsi="Arial Narrow"/>
                <w:sz w:val="20"/>
                <w:szCs w:val="20"/>
              </w:rPr>
            </w:pPr>
            <w:r w:rsidRPr="007A70FB">
              <w:rPr>
                <w:rFonts w:ascii="Arial Narrow" w:hAnsi="Arial Narrow"/>
                <w:sz w:val="20"/>
                <w:szCs w:val="20"/>
              </w:rPr>
              <w:t>1</w:t>
            </w:r>
          </w:p>
        </w:tc>
        <w:tc>
          <w:tcPr>
            <w:tcW w:w="1276" w:type="dxa"/>
          </w:tcPr>
          <w:p w:rsidR="0045786E" w:rsidRPr="007A70FB" w:rsidRDefault="0045786E" w:rsidP="00094E72">
            <w:pPr>
              <w:keepNext/>
              <w:rPr>
                <w:rFonts w:ascii="Arial Narrow" w:hAnsi="Arial Narrow"/>
                <w:sz w:val="20"/>
                <w:szCs w:val="20"/>
              </w:rPr>
            </w:pPr>
            <w:r w:rsidRPr="007A70FB">
              <w:rPr>
                <w:rFonts w:ascii="Arial Narrow" w:hAnsi="Arial Narrow"/>
                <w:sz w:val="20"/>
                <w:szCs w:val="20"/>
              </w:rPr>
              <w:t>Lorviqua®</w:t>
            </w:r>
          </w:p>
        </w:tc>
        <w:tc>
          <w:tcPr>
            <w:tcW w:w="2835" w:type="dxa"/>
          </w:tcPr>
          <w:p w:rsidR="0045786E" w:rsidRPr="007A70FB" w:rsidRDefault="0045786E" w:rsidP="00094E72">
            <w:pPr>
              <w:keepNext/>
              <w:rPr>
                <w:rFonts w:ascii="Arial Narrow" w:hAnsi="Arial Narrow"/>
                <w:sz w:val="20"/>
                <w:szCs w:val="20"/>
              </w:rPr>
            </w:pPr>
            <w:r w:rsidRPr="007A70FB">
              <w:rPr>
                <w:rFonts w:ascii="Arial Narrow" w:hAnsi="Arial Narrow"/>
                <w:sz w:val="20"/>
                <w:szCs w:val="20"/>
              </w:rPr>
              <w:t>Pfizer Australia Pty Ltd</w:t>
            </w:r>
          </w:p>
        </w:tc>
      </w:tr>
      <w:tr w:rsidR="0045786E" w:rsidRPr="007A70FB" w:rsidTr="00094E72">
        <w:trPr>
          <w:cantSplit/>
          <w:trHeight w:val="360"/>
        </w:trPr>
        <w:tc>
          <w:tcPr>
            <w:tcW w:w="9214" w:type="dxa"/>
            <w:gridSpan w:val="6"/>
            <w:tcBorders>
              <w:bottom w:val="single" w:sz="4" w:space="0" w:color="auto"/>
            </w:tcBorders>
          </w:tcPr>
          <w:p w:rsidR="0045786E" w:rsidRPr="007A70FB" w:rsidRDefault="0045786E" w:rsidP="00094E72">
            <w:pPr>
              <w:rPr>
                <w:rFonts w:ascii="Arial Narrow" w:hAnsi="Arial Narrow"/>
                <w:sz w:val="20"/>
                <w:szCs w:val="20"/>
              </w:rPr>
            </w:pPr>
          </w:p>
        </w:tc>
      </w:tr>
      <w:tr w:rsidR="0045786E" w:rsidRPr="007A70FB" w:rsidTr="00094E72">
        <w:trPr>
          <w:cantSplit/>
          <w:trHeight w:val="360"/>
        </w:trPr>
        <w:tc>
          <w:tcPr>
            <w:tcW w:w="2835" w:type="dxa"/>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b/>
                <w:sz w:val="20"/>
                <w:szCs w:val="20"/>
              </w:rPr>
            </w:pPr>
            <w:r w:rsidRPr="007A70FB">
              <w:rPr>
                <w:rFonts w:ascii="Arial Narrow" w:hAnsi="Arial Narrow"/>
                <w:b/>
                <w:sz w:val="20"/>
                <w:szCs w:val="20"/>
              </w:rPr>
              <w:lastRenderedPageBreak/>
              <w:t>Category / Program:</w:t>
            </w:r>
          </w:p>
        </w:tc>
        <w:tc>
          <w:tcPr>
            <w:tcW w:w="6379" w:type="dxa"/>
            <w:gridSpan w:val="5"/>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sz w:val="20"/>
                <w:szCs w:val="20"/>
              </w:rPr>
            </w:pPr>
            <w:r w:rsidRPr="007A70FB">
              <w:rPr>
                <w:rFonts w:ascii="Arial Narrow" w:hAnsi="Arial Narrow"/>
                <w:sz w:val="20"/>
                <w:szCs w:val="20"/>
              </w:rPr>
              <w:t>GENERAL – General Schedule (Code GE)</w:t>
            </w:r>
          </w:p>
        </w:tc>
      </w:tr>
      <w:tr w:rsidR="0045786E" w:rsidRPr="007A70FB" w:rsidTr="00094E72">
        <w:trPr>
          <w:cantSplit/>
          <w:trHeight w:val="360"/>
        </w:trPr>
        <w:tc>
          <w:tcPr>
            <w:tcW w:w="2835" w:type="dxa"/>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b/>
                <w:sz w:val="20"/>
                <w:szCs w:val="20"/>
              </w:rPr>
            </w:pPr>
            <w:r w:rsidRPr="007A70FB">
              <w:rPr>
                <w:rFonts w:ascii="Arial Narrow" w:hAnsi="Arial Narrow"/>
                <w:b/>
                <w:sz w:val="20"/>
                <w:szCs w:val="20"/>
              </w:rPr>
              <w:t>Prescriber type:</w:t>
            </w:r>
          </w:p>
          <w:p w:rsidR="0045786E" w:rsidRPr="007A70FB" w:rsidRDefault="0045786E" w:rsidP="00094E72">
            <w:pPr>
              <w:rPr>
                <w:rFonts w:ascii="Arial Narrow" w:hAnsi="Arial Narrow"/>
                <w:b/>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sz w:val="20"/>
                <w:szCs w:val="20"/>
              </w:rPr>
            </w:pPr>
            <w:r w:rsidRPr="007A70FB">
              <w:rPr>
                <w:rFonts w:ascii="Arial Narrow" w:hAnsi="Arial Narrow"/>
                <w:sz w:val="20"/>
                <w:szCs w:val="20"/>
              </w:rPr>
              <w:fldChar w:fldCharType="begin">
                <w:ffData>
                  <w:name w:val="Check1"/>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 xml:space="preserve">Dental  </w:t>
            </w:r>
            <w:r w:rsidRPr="007A70FB">
              <w:rPr>
                <w:rFonts w:ascii="Arial Narrow" w:hAnsi="Arial Narrow"/>
                <w:sz w:val="20"/>
                <w:szCs w:val="20"/>
              </w:rPr>
              <w:fldChar w:fldCharType="begin">
                <w:ffData>
                  <w:name w:val=""/>
                  <w:enabled/>
                  <w:calcOnExit w:val="0"/>
                  <w:checkBox>
                    <w:sizeAuto/>
                    <w:default w:val="1"/>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 xml:space="preserve">Medical Practitioners  </w:t>
            </w:r>
            <w:r w:rsidRPr="007A70FB">
              <w:rPr>
                <w:rFonts w:ascii="Arial Narrow" w:hAnsi="Arial Narrow"/>
                <w:sz w:val="20"/>
                <w:szCs w:val="20"/>
              </w:rPr>
              <w:fldChar w:fldCharType="begin">
                <w:ffData>
                  <w:name w:val="Check3"/>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 xml:space="preserve">Nurse practitioners  </w:t>
            </w:r>
            <w:r w:rsidRPr="007A70FB">
              <w:rPr>
                <w:rFonts w:ascii="Arial Narrow" w:hAnsi="Arial Narrow"/>
                <w:sz w:val="20"/>
                <w:szCs w:val="20"/>
              </w:rPr>
              <w:fldChar w:fldCharType="begin">
                <w:ffData>
                  <w:name w:val=""/>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Optometrists</w:t>
            </w:r>
          </w:p>
          <w:p w:rsidR="0045786E" w:rsidRPr="007A70FB" w:rsidRDefault="0045786E" w:rsidP="00094E72">
            <w:pPr>
              <w:rPr>
                <w:rFonts w:ascii="Arial Narrow" w:hAnsi="Arial Narrow"/>
                <w:sz w:val="20"/>
                <w:szCs w:val="20"/>
              </w:rPr>
            </w:pPr>
            <w:r w:rsidRPr="007A70FB">
              <w:rPr>
                <w:rFonts w:ascii="Arial Narrow" w:hAnsi="Arial Narrow"/>
                <w:sz w:val="20"/>
                <w:szCs w:val="20"/>
              </w:rPr>
              <w:fldChar w:fldCharType="begin">
                <w:ffData>
                  <w:name w:val="Check5"/>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Midwives</w:t>
            </w:r>
          </w:p>
        </w:tc>
      </w:tr>
      <w:tr w:rsidR="0045786E" w:rsidRPr="007A70FB" w:rsidTr="00094E72">
        <w:trPr>
          <w:cantSplit/>
          <w:trHeight w:val="360"/>
        </w:trPr>
        <w:tc>
          <w:tcPr>
            <w:tcW w:w="2835" w:type="dxa"/>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b/>
                <w:sz w:val="20"/>
                <w:szCs w:val="20"/>
              </w:rPr>
            </w:pPr>
            <w:r w:rsidRPr="007A70FB">
              <w:rPr>
                <w:rFonts w:ascii="Arial Narrow" w:hAnsi="Arial Narrow"/>
                <w:b/>
                <w:sz w:val="20"/>
                <w:szCs w:val="20"/>
              </w:rPr>
              <w:t>Severity:</w:t>
            </w:r>
          </w:p>
        </w:tc>
        <w:tc>
          <w:tcPr>
            <w:tcW w:w="6379" w:type="dxa"/>
            <w:gridSpan w:val="5"/>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sz w:val="20"/>
                <w:szCs w:val="20"/>
              </w:rPr>
            </w:pPr>
            <w:r w:rsidRPr="007A70FB">
              <w:rPr>
                <w:rFonts w:ascii="Arial Narrow" w:hAnsi="Arial Narrow"/>
                <w:sz w:val="20"/>
                <w:szCs w:val="20"/>
              </w:rPr>
              <w:t>Stage IV (metastatic)</w:t>
            </w:r>
          </w:p>
        </w:tc>
      </w:tr>
      <w:tr w:rsidR="0045786E" w:rsidRPr="007A70FB" w:rsidTr="00094E72">
        <w:trPr>
          <w:cantSplit/>
          <w:trHeight w:val="360"/>
        </w:trPr>
        <w:tc>
          <w:tcPr>
            <w:tcW w:w="2835" w:type="dxa"/>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b/>
                <w:sz w:val="20"/>
                <w:szCs w:val="20"/>
              </w:rPr>
            </w:pPr>
            <w:r w:rsidRPr="007A70FB">
              <w:rPr>
                <w:rFonts w:ascii="Arial Narrow" w:hAnsi="Arial Narrow"/>
                <w:b/>
                <w:sz w:val="20"/>
                <w:szCs w:val="20"/>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sz w:val="20"/>
                <w:szCs w:val="20"/>
              </w:rPr>
            </w:pPr>
            <w:r w:rsidRPr="007A70FB">
              <w:rPr>
                <w:rFonts w:ascii="Arial Narrow" w:hAnsi="Arial Narrow"/>
                <w:iCs/>
                <w:sz w:val="20"/>
                <w:szCs w:val="20"/>
              </w:rPr>
              <w:t>n</w:t>
            </w:r>
            <w:r w:rsidRPr="007A70FB">
              <w:rPr>
                <w:rFonts w:ascii="Arial Narrow" w:hAnsi="Arial Narrow"/>
                <w:sz w:val="20"/>
                <w:szCs w:val="20"/>
              </w:rPr>
              <w:t>on-small cell lung cancer (NSCLC)</w:t>
            </w:r>
          </w:p>
        </w:tc>
      </w:tr>
      <w:tr w:rsidR="0045786E" w:rsidRPr="007A70FB" w:rsidTr="00094E72">
        <w:trPr>
          <w:cantSplit/>
          <w:trHeight w:val="369"/>
        </w:trPr>
        <w:tc>
          <w:tcPr>
            <w:tcW w:w="2835" w:type="dxa"/>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b/>
                <w:sz w:val="20"/>
                <w:szCs w:val="20"/>
              </w:rPr>
            </w:pPr>
            <w:r w:rsidRPr="007A70FB">
              <w:rPr>
                <w:rFonts w:ascii="Arial Narrow" w:hAnsi="Arial Narrow"/>
                <w:b/>
                <w:sz w:val="20"/>
                <w:szCs w:val="20"/>
              </w:rPr>
              <w:t>PBS Indication:</w:t>
            </w:r>
          </w:p>
          <w:p w:rsidR="0045786E" w:rsidRPr="007A70FB" w:rsidRDefault="0045786E" w:rsidP="00094E72">
            <w:pPr>
              <w:rPr>
                <w:rFonts w:ascii="Arial Narrow" w:hAnsi="Arial Narrow"/>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sz w:val="20"/>
                <w:szCs w:val="20"/>
              </w:rPr>
            </w:pPr>
            <w:r w:rsidRPr="007A70FB">
              <w:rPr>
                <w:rFonts w:ascii="Arial Narrow" w:hAnsi="Arial Narrow"/>
                <w:sz w:val="20"/>
                <w:szCs w:val="20"/>
              </w:rPr>
              <w:t>Stage IV (metastatic) non-small cell lung cancer (NSCLC)</w:t>
            </w:r>
          </w:p>
        </w:tc>
      </w:tr>
      <w:tr w:rsidR="0045786E" w:rsidRPr="007A70FB" w:rsidTr="00094E72">
        <w:trPr>
          <w:cantSplit/>
          <w:trHeight w:val="360"/>
        </w:trPr>
        <w:tc>
          <w:tcPr>
            <w:tcW w:w="2835" w:type="dxa"/>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b/>
                <w:sz w:val="20"/>
                <w:szCs w:val="20"/>
              </w:rPr>
            </w:pPr>
            <w:r w:rsidRPr="007A70FB">
              <w:rPr>
                <w:rFonts w:ascii="Arial Narrow" w:hAnsi="Arial Narrow"/>
                <w:b/>
                <w:sz w:val="20"/>
                <w:szCs w:val="20"/>
              </w:rPr>
              <w:t>Treatment phase:</w:t>
            </w:r>
          </w:p>
        </w:tc>
        <w:tc>
          <w:tcPr>
            <w:tcW w:w="6379" w:type="dxa"/>
            <w:gridSpan w:val="5"/>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sz w:val="20"/>
                <w:szCs w:val="20"/>
              </w:rPr>
            </w:pPr>
            <w:r w:rsidRPr="007A70FB">
              <w:rPr>
                <w:rFonts w:ascii="Arial Narrow" w:hAnsi="Arial Narrow"/>
                <w:sz w:val="20"/>
                <w:szCs w:val="20"/>
              </w:rPr>
              <w:t>Initial treatment</w:t>
            </w:r>
          </w:p>
        </w:tc>
      </w:tr>
      <w:tr w:rsidR="0045786E" w:rsidRPr="007A70FB" w:rsidTr="00094E72">
        <w:trPr>
          <w:cantSplit/>
          <w:trHeight w:val="360"/>
        </w:trPr>
        <w:tc>
          <w:tcPr>
            <w:tcW w:w="2835" w:type="dxa"/>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b/>
                <w:sz w:val="20"/>
                <w:szCs w:val="20"/>
              </w:rPr>
            </w:pPr>
            <w:r w:rsidRPr="007A70FB">
              <w:rPr>
                <w:rFonts w:ascii="Arial Narrow" w:hAnsi="Arial Narrow"/>
                <w:b/>
                <w:sz w:val="20"/>
                <w:szCs w:val="20"/>
              </w:rPr>
              <w:t>Restriction Level / Method:</w:t>
            </w:r>
          </w:p>
          <w:p w:rsidR="0045786E" w:rsidRPr="007A70FB" w:rsidRDefault="0045786E" w:rsidP="00094E72">
            <w:pPr>
              <w:rPr>
                <w:rFonts w:ascii="Arial Narrow" w:hAnsi="Arial Narrow"/>
                <w:i/>
                <w:sz w:val="20"/>
                <w:szCs w:val="20"/>
              </w:rPr>
            </w:pPr>
          </w:p>
          <w:p w:rsidR="0045786E" w:rsidRPr="007A70FB" w:rsidRDefault="0045786E" w:rsidP="00094E72">
            <w:pPr>
              <w:rPr>
                <w:rFonts w:ascii="Arial Narrow" w:hAnsi="Arial Narrow"/>
                <w:i/>
                <w:sz w:val="20"/>
                <w:szCs w:val="20"/>
              </w:rPr>
            </w:pPr>
          </w:p>
          <w:p w:rsidR="0045786E" w:rsidRPr="007A70FB" w:rsidRDefault="0045786E" w:rsidP="00094E72">
            <w:pPr>
              <w:rPr>
                <w:rFonts w:ascii="Arial Narrow" w:hAnsi="Arial Narrow"/>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sz w:val="20"/>
                <w:szCs w:val="20"/>
              </w:rPr>
            </w:pPr>
            <w:r w:rsidRPr="007A70FB">
              <w:rPr>
                <w:rFonts w:ascii="Arial Narrow" w:hAnsi="Arial Narrow"/>
                <w:sz w:val="20"/>
                <w:szCs w:val="20"/>
              </w:rPr>
              <w:fldChar w:fldCharType="begin">
                <w:ffData>
                  <w:name w:val="Check1"/>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Restricted benefit</w:t>
            </w:r>
          </w:p>
          <w:p w:rsidR="0045786E" w:rsidRPr="007A70FB" w:rsidRDefault="0045786E" w:rsidP="00094E72">
            <w:pPr>
              <w:rPr>
                <w:rFonts w:ascii="Arial Narrow" w:hAnsi="Arial Narrow"/>
                <w:sz w:val="20"/>
                <w:szCs w:val="20"/>
              </w:rPr>
            </w:pPr>
            <w:r w:rsidRPr="007A70FB">
              <w:rPr>
                <w:rFonts w:ascii="Arial Narrow" w:hAnsi="Arial Narrow"/>
                <w:sz w:val="20"/>
                <w:szCs w:val="20"/>
              </w:rPr>
              <w:fldChar w:fldCharType="begin">
                <w:ffData>
                  <w:name w:val=""/>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Authority Required – In Writing</w:t>
            </w:r>
          </w:p>
          <w:p w:rsidR="0045786E" w:rsidRPr="007A70FB" w:rsidRDefault="0045786E" w:rsidP="00094E72">
            <w:pPr>
              <w:rPr>
                <w:rFonts w:ascii="Arial Narrow" w:hAnsi="Arial Narrow"/>
                <w:sz w:val="20"/>
                <w:szCs w:val="20"/>
              </w:rPr>
            </w:pPr>
            <w:r w:rsidRPr="007A70FB">
              <w:rPr>
                <w:rFonts w:ascii="Arial Narrow" w:hAnsi="Arial Narrow"/>
                <w:sz w:val="20"/>
                <w:szCs w:val="20"/>
              </w:rPr>
              <w:fldChar w:fldCharType="begin">
                <w:ffData>
                  <w:name w:val="Check3"/>
                  <w:enabled/>
                  <w:calcOnExit w:val="0"/>
                  <w:checkBox>
                    <w:sizeAuto/>
                    <w:default w:val="1"/>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Authority Required – Telephone/Electronic/Emergency</w:t>
            </w:r>
          </w:p>
          <w:p w:rsidR="0045786E" w:rsidRPr="007A70FB" w:rsidRDefault="0045786E" w:rsidP="00094E72">
            <w:pPr>
              <w:rPr>
                <w:rFonts w:ascii="Arial Narrow" w:hAnsi="Arial Narrow"/>
                <w:sz w:val="20"/>
                <w:szCs w:val="20"/>
              </w:rPr>
            </w:pPr>
            <w:r w:rsidRPr="007A70FB">
              <w:rPr>
                <w:rFonts w:ascii="Arial Narrow" w:hAnsi="Arial Narrow"/>
                <w:sz w:val="20"/>
                <w:szCs w:val="20"/>
              </w:rPr>
              <w:fldChar w:fldCharType="begin">
                <w:ffData>
                  <w:name w:val="Check5"/>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Streamlined</w:t>
            </w:r>
          </w:p>
        </w:tc>
      </w:tr>
      <w:tr w:rsidR="0045786E" w:rsidRPr="007A70FB" w:rsidTr="00094E72">
        <w:trPr>
          <w:cantSplit/>
          <w:trHeight w:val="657"/>
        </w:trPr>
        <w:tc>
          <w:tcPr>
            <w:tcW w:w="2835" w:type="dxa"/>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b/>
                <w:sz w:val="20"/>
                <w:szCs w:val="20"/>
              </w:rPr>
            </w:pPr>
            <w:r w:rsidRPr="007A70FB">
              <w:rPr>
                <w:rFonts w:ascii="Arial Narrow" w:hAnsi="Arial Narrow"/>
                <w:b/>
                <w:sz w:val="20"/>
                <w:szCs w:val="20"/>
              </w:rPr>
              <w:t>Clinical criteria:</w:t>
            </w:r>
          </w:p>
        </w:tc>
        <w:tc>
          <w:tcPr>
            <w:tcW w:w="6379" w:type="dxa"/>
            <w:gridSpan w:val="5"/>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sz w:val="20"/>
                <w:szCs w:val="20"/>
              </w:rPr>
            </w:pPr>
            <w:r w:rsidRPr="007A70FB">
              <w:rPr>
                <w:rFonts w:ascii="Arial Narrow" w:hAnsi="Arial Narrow"/>
                <w:sz w:val="20"/>
                <w:szCs w:val="20"/>
              </w:rPr>
              <w:t xml:space="preserve">The treatment must be as monotherapy, </w:t>
            </w:r>
          </w:p>
          <w:p w:rsidR="0045786E" w:rsidRPr="007A70FB" w:rsidRDefault="0045786E" w:rsidP="00094E72">
            <w:pPr>
              <w:rPr>
                <w:rFonts w:ascii="Arial Narrow" w:hAnsi="Arial Narrow"/>
                <w:sz w:val="20"/>
                <w:szCs w:val="20"/>
              </w:rPr>
            </w:pPr>
            <w:r w:rsidRPr="007A70FB">
              <w:rPr>
                <w:rFonts w:ascii="Arial Narrow" w:hAnsi="Arial Narrow"/>
                <w:sz w:val="20"/>
                <w:szCs w:val="20"/>
              </w:rPr>
              <w:t>AND</w:t>
            </w:r>
          </w:p>
          <w:p w:rsidR="0045786E" w:rsidRPr="007A70FB" w:rsidRDefault="0045786E" w:rsidP="00094E72">
            <w:pPr>
              <w:rPr>
                <w:rFonts w:ascii="Arial Narrow" w:hAnsi="Arial Narrow"/>
                <w:sz w:val="20"/>
                <w:szCs w:val="20"/>
              </w:rPr>
            </w:pPr>
          </w:p>
          <w:p w:rsidR="0045786E" w:rsidRPr="007A70FB" w:rsidRDefault="0045786E" w:rsidP="00094E72">
            <w:pPr>
              <w:rPr>
                <w:rFonts w:ascii="Arial Narrow" w:hAnsi="Arial Narrow"/>
                <w:iCs/>
                <w:sz w:val="20"/>
                <w:szCs w:val="20"/>
              </w:rPr>
            </w:pPr>
            <w:r w:rsidRPr="007A70FB">
              <w:rPr>
                <w:rFonts w:ascii="Arial Narrow" w:hAnsi="Arial Narrow"/>
                <w:iCs/>
                <w:sz w:val="20"/>
                <w:szCs w:val="20"/>
              </w:rPr>
              <w:t>The patient must have evidence of an anaplastic lymphoma kinase (ALK) gene rearrangement,</w:t>
            </w:r>
          </w:p>
          <w:p w:rsidR="0045786E" w:rsidRPr="007A70FB" w:rsidRDefault="0045786E" w:rsidP="00094E72">
            <w:pPr>
              <w:rPr>
                <w:rFonts w:ascii="Arial Narrow" w:hAnsi="Arial Narrow"/>
                <w:iCs/>
                <w:sz w:val="20"/>
                <w:szCs w:val="20"/>
              </w:rPr>
            </w:pPr>
            <w:r w:rsidRPr="007A70FB">
              <w:rPr>
                <w:rFonts w:ascii="Arial Narrow" w:hAnsi="Arial Narrow"/>
                <w:iCs/>
                <w:sz w:val="20"/>
                <w:szCs w:val="20"/>
              </w:rPr>
              <w:t>AND</w:t>
            </w:r>
          </w:p>
          <w:p w:rsidR="0045786E" w:rsidRPr="007A70FB" w:rsidRDefault="0045786E" w:rsidP="00094E72">
            <w:pPr>
              <w:rPr>
                <w:rFonts w:ascii="Arial Narrow" w:hAnsi="Arial Narrow"/>
                <w:i/>
                <w:sz w:val="20"/>
                <w:szCs w:val="20"/>
              </w:rPr>
            </w:pPr>
          </w:p>
          <w:p w:rsidR="0045786E" w:rsidRPr="007A70FB" w:rsidRDefault="0045786E" w:rsidP="00094E72">
            <w:pPr>
              <w:rPr>
                <w:rFonts w:ascii="Arial Narrow" w:hAnsi="Arial Narrow"/>
                <w:sz w:val="20"/>
                <w:szCs w:val="20"/>
              </w:rPr>
            </w:pPr>
            <w:r w:rsidRPr="007A70FB">
              <w:rPr>
                <w:rFonts w:ascii="Arial Narrow" w:hAnsi="Arial Narrow"/>
                <w:sz w:val="20"/>
                <w:szCs w:val="20"/>
              </w:rPr>
              <w:t xml:space="preserve">The condition must be non-squamous type non-small cell lung cancer (NSCLC) or not otherwise specified type NSCLC, </w:t>
            </w:r>
          </w:p>
          <w:p w:rsidR="0045786E" w:rsidRPr="007A70FB" w:rsidRDefault="0045786E" w:rsidP="00094E72">
            <w:pPr>
              <w:rPr>
                <w:rFonts w:ascii="Arial Narrow" w:hAnsi="Arial Narrow"/>
                <w:sz w:val="20"/>
                <w:szCs w:val="20"/>
              </w:rPr>
            </w:pPr>
            <w:r w:rsidRPr="007A70FB">
              <w:rPr>
                <w:rFonts w:ascii="Arial Narrow" w:hAnsi="Arial Narrow"/>
                <w:sz w:val="20"/>
                <w:szCs w:val="20"/>
              </w:rPr>
              <w:t xml:space="preserve">AND </w:t>
            </w:r>
          </w:p>
          <w:p w:rsidR="0045786E" w:rsidRPr="007A70FB" w:rsidRDefault="0045786E" w:rsidP="00094E72">
            <w:pPr>
              <w:rPr>
                <w:rFonts w:ascii="Arial Narrow" w:hAnsi="Arial Narrow"/>
                <w:sz w:val="20"/>
                <w:szCs w:val="20"/>
              </w:rPr>
            </w:pPr>
          </w:p>
          <w:p w:rsidR="0045786E" w:rsidRPr="007A70FB" w:rsidRDefault="0045786E" w:rsidP="00094E72">
            <w:pPr>
              <w:rPr>
                <w:rFonts w:ascii="Arial Narrow" w:hAnsi="Arial Narrow"/>
                <w:sz w:val="20"/>
                <w:szCs w:val="20"/>
              </w:rPr>
            </w:pPr>
            <w:r w:rsidRPr="007A70FB">
              <w:rPr>
                <w:rFonts w:ascii="Arial Narrow" w:hAnsi="Arial Narrow"/>
                <w:sz w:val="20"/>
                <w:szCs w:val="20"/>
              </w:rPr>
              <w:t>Patient must have a WHO performance status of 2 or less,</w:t>
            </w:r>
          </w:p>
          <w:p w:rsidR="0045786E" w:rsidRPr="007A70FB" w:rsidRDefault="0045786E" w:rsidP="00094E72">
            <w:pPr>
              <w:rPr>
                <w:rFonts w:ascii="Arial Narrow" w:hAnsi="Arial Narrow"/>
                <w:sz w:val="20"/>
                <w:szCs w:val="20"/>
              </w:rPr>
            </w:pPr>
            <w:r w:rsidRPr="007A70FB">
              <w:rPr>
                <w:rFonts w:ascii="Arial Narrow" w:hAnsi="Arial Narrow"/>
                <w:sz w:val="20"/>
                <w:szCs w:val="20"/>
              </w:rPr>
              <w:t xml:space="preserve">AND </w:t>
            </w:r>
          </w:p>
          <w:p w:rsidR="0045786E" w:rsidRPr="007A70FB" w:rsidRDefault="0045786E" w:rsidP="00094E72">
            <w:pPr>
              <w:rPr>
                <w:rFonts w:ascii="Arial Narrow" w:hAnsi="Arial Narrow"/>
                <w:sz w:val="20"/>
                <w:szCs w:val="20"/>
              </w:rPr>
            </w:pPr>
          </w:p>
          <w:p w:rsidR="0045786E" w:rsidRPr="007A70FB" w:rsidRDefault="0030790D" w:rsidP="0030790D">
            <w:pPr>
              <w:rPr>
                <w:rFonts w:ascii="Arial Narrow" w:hAnsi="Arial Narrow"/>
                <w:sz w:val="20"/>
                <w:szCs w:val="20"/>
              </w:rPr>
            </w:pPr>
            <w:r w:rsidRPr="007A70FB">
              <w:rPr>
                <w:rFonts w:ascii="Arial Narrow" w:hAnsi="Arial Narrow"/>
                <w:sz w:val="20"/>
                <w:szCs w:val="20"/>
              </w:rPr>
              <w:t xml:space="preserve">The condition must have progressed following treatment with an ALK inhibitor other than crizotinib. </w:t>
            </w:r>
          </w:p>
        </w:tc>
      </w:tr>
      <w:tr w:rsidR="0045786E" w:rsidRPr="007A70FB" w:rsidTr="00094E72">
        <w:trPr>
          <w:cantSplit/>
          <w:trHeight w:val="360"/>
        </w:trPr>
        <w:tc>
          <w:tcPr>
            <w:tcW w:w="2835" w:type="dxa"/>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b/>
                <w:sz w:val="20"/>
                <w:szCs w:val="20"/>
              </w:rPr>
            </w:pPr>
            <w:r w:rsidRPr="007A70FB">
              <w:rPr>
                <w:rFonts w:ascii="Arial Narrow" w:hAnsi="Arial Narrow"/>
                <w:b/>
                <w:sz w:val="20"/>
                <w:szCs w:val="20"/>
              </w:rPr>
              <w:t>Administrative Advice:</w:t>
            </w:r>
          </w:p>
          <w:p w:rsidR="0045786E" w:rsidRPr="007A70FB" w:rsidRDefault="0045786E" w:rsidP="00094E72">
            <w:pPr>
              <w:rPr>
                <w:rFonts w:ascii="Arial Narrow" w:hAnsi="Arial Narrow"/>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sz w:val="20"/>
                <w:szCs w:val="20"/>
              </w:rPr>
            </w:pPr>
            <w:r w:rsidRPr="007A70FB">
              <w:rPr>
                <w:rFonts w:ascii="Arial Narrow" w:hAnsi="Arial Narrow"/>
                <w:sz w:val="20"/>
                <w:szCs w:val="20"/>
              </w:rPr>
              <w:t>No increase in the maximum quantity or number of units may be authorised.</w:t>
            </w:r>
          </w:p>
          <w:p w:rsidR="0045786E" w:rsidRPr="007A70FB" w:rsidRDefault="0045786E" w:rsidP="00094E72">
            <w:pPr>
              <w:rPr>
                <w:rFonts w:ascii="Arial Narrow" w:hAnsi="Arial Narrow"/>
                <w:sz w:val="20"/>
                <w:szCs w:val="20"/>
              </w:rPr>
            </w:pPr>
          </w:p>
          <w:p w:rsidR="0045786E" w:rsidRPr="007A70FB" w:rsidRDefault="0045786E" w:rsidP="00094E72">
            <w:pPr>
              <w:rPr>
                <w:rFonts w:ascii="Arial Narrow" w:hAnsi="Arial Narrow"/>
                <w:sz w:val="20"/>
                <w:szCs w:val="20"/>
              </w:rPr>
            </w:pPr>
            <w:r w:rsidRPr="007A70FB">
              <w:rPr>
                <w:rFonts w:ascii="Arial Narrow" w:hAnsi="Arial Narrow"/>
                <w:sz w:val="20"/>
                <w:szCs w:val="20"/>
              </w:rPr>
              <w:t xml:space="preserve">No increase in the maximum number of repeats may be authorised. </w:t>
            </w:r>
          </w:p>
          <w:p w:rsidR="0045786E" w:rsidRPr="007A70FB" w:rsidRDefault="0045786E" w:rsidP="00094E72">
            <w:pPr>
              <w:rPr>
                <w:rFonts w:ascii="Arial Narrow" w:hAnsi="Arial Narrow"/>
                <w:sz w:val="20"/>
                <w:szCs w:val="20"/>
              </w:rPr>
            </w:pPr>
          </w:p>
          <w:p w:rsidR="0045786E" w:rsidRPr="007A70FB" w:rsidRDefault="0045786E" w:rsidP="00094E72">
            <w:pPr>
              <w:rPr>
                <w:rFonts w:ascii="Arial Narrow" w:hAnsi="Arial Narrow"/>
                <w:sz w:val="20"/>
                <w:szCs w:val="20"/>
              </w:rPr>
            </w:pPr>
            <w:r w:rsidRPr="007A70FB">
              <w:rPr>
                <w:rFonts w:ascii="Arial Narrow" w:hAnsi="Arial Narrow"/>
                <w:sz w:val="20"/>
                <w:szCs w:val="20"/>
              </w:rPr>
              <w:t xml:space="preserve">Special Pricing Arrangements apply. </w:t>
            </w:r>
          </w:p>
        </w:tc>
      </w:tr>
    </w:tbl>
    <w:p w:rsidR="0045786E" w:rsidRPr="007A70FB" w:rsidRDefault="0045786E" w:rsidP="0045786E">
      <w:pPr>
        <w:spacing w:after="120"/>
        <w:ind w:left="720"/>
        <w:rPr>
          <w:rFonts w:asciiTheme="minorHAnsi" w:hAnsiTheme="minorHAnsi"/>
          <w:bCs/>
        </w:rPr>
      </w:pPr>
    </w:p>
    <w:tbl>
      <w:tblPr>
        <w:tblW w:w="9214" w:type="dxa"/>
        <w:tblLayout w:type="fixed"/>
        <w:tblLook w:val="0000" w:firstRow="0" w:lastRow="0" w:firstColumn="0" w:lastColumn="0" w:noHBand="0" w:noVBand="0"/>
      </w:tblPr>
      <w:tblGrid>
        <w:gridCol w:w="2835"/>
        <w:gridCol w:w="426"/>
        <w:gridCol w:w="850"/>
        <w:gridCol w:w="992"/>
        <w:gridCol w:w="1276"/>
        <w:gridCol w:w="2835"/>
      </w:tblGrid>
      <w:tr w:rsidR="0045786E" w:rsidRPr="007A70FB" w:rsidTr="00094E72">
        <w:trPr>
          <w:cantSplit/>
          <w:trHeight w:val="170"/>
        </w:trPr>
        <w:tc>
          <w:tcPr>
            <w:tcW w:w="3261" w:type="dxa"/>
            <w:gridSpan w:val="2"/>
            <w:tcBorders>
              <w:bottom w:val="single" w:sz="4" w:space="0" w:color="auto"/>
            </w:tcBorders>
          </w:tcPr>
          <w:p w:rsidR="0045786E" w:rsidRPr="007A70FB" w:rsidRDefault="0045786E" w:rsidP="00094E72">
            <w:pPr>
              <w:keepNext/>
              <w:ind w:left="-108"/>
              <w:rPr>
                <w:rFonts w:ascii="Arial Narrow" w:hAnsi="Arial Narrow"/>
                <w:sz w:val="20"/>
                <w:szCs w:val="20"/>
              </w:rPr>
            </w:pPr>
            <w:r w:rsidRPr="007A70FB">
              <w:rPr>
                <w:rFonts w:ascii="Arial Narrow" w:hAnsi="Arial Narrow"/>
                <w:sz w:val="20"/>
                <w:szCs w:val="20"/>
              </w:rPr>
              <w:t>Name, Restriction,</w:t>
            </w:r>
          </w:p>
          <w:p w:rsidR="0045786E" w:rsidRPr="007A70FB" w:rsidRDefault="0045786E" w:rsidP="00094E72">
            <w:pPr>
              <w:keepNext/>
              <w:ind w:left="-108"/>
              <w:rPr>
                <w:rFonts w:ascii="Arial Narrow" w:hAnsi="Arial Narrow"/>
                <w:sz w:val="20"/>
                <w:szCs w:val="20"/>
              </w:rPr>
            </w:pPr>
            <w:r w:rsidRPr="007A70FB">
              <w:rPr>
                <w:rFonts w:ascii="Arial Narrow" w:hAnsi="Arial Narrow"/>
                <w:sz w:val="20"/>
                <w:szCs w:val="20"/>
              </w:rPr>
              <w:t>Manner of administration and form</w:t>
            </w:r>
          </w:p>
        </w:tc>
        <w:tc>
          <w:tcPr>
            <w:tcW w:w="850" w:type="dxa"/>
            <w:tcBorders>
              <w:bottom w:val="single" w:sz="4" w:space="0" w:color="auto"/>
            </w:tcBorders>
          </w:tcPr>
          <w:p w:rsidR="0045786E" w:rsidRPr="007A70FB" w:rsidRDefault="0045786E" w:rsidP="00094E72">
            <w:pPr>
              <w:keepNext/>
              <w:ind w:left="-108"/>
              <w:rPr>
                <w:rFonts w:ascii="Arial Narrow" w:hAnsi="Arial Narrow"/>
                <w:sz w:val="20"/>
                <w:szCs w:val="20"/>
              </w:rPr>
            </w:pPr>
            <w:r w:rsidRPr="007A70FB">
              <w:rPr>
                <w:rFonts w:ascii="Arial Narrow" w:hAnsi="Arial Narrow"/>
                <w:sz w:val="20"/>
                <w:szCs w:val="20"/>
              </w:rPr>
              <w:t>Max.</w:t>
            </w:r>
          </w:p>
          <w:p w:rsidR="0045786E" w:rsidRPr="007A70FB" w:rsidRDefault="0045786E" w:rsidP="00094E72">
            <w:pPr>
              <w:keepNext/>
              <w:ind w:left="-108"/>
              <w:rPr>
                <w:rFonts w:ascii="Arial Narrow" w:hAnsi="Arial Narrow"/>
                <w:sz w:val="20"/>
                <w:szCs w:val="20"/>
              </w:rPr>
            </w:pPr>
            <w:r w:rsidRPr="007A70FB">
              <w:rPr>
                <w:rFonts w:ascii="Arial Narrow" w:hAnsi="Arial Narrow"/>
                <w:sz w:val="20"/>
                <w:szCs w:val="20"/>
              </w:rPr>
              <w:t>Qty</w:t>
            </w:r>
          </w:p>
        </w:tc>
        <w:tc>
          <w:tcPr>
            <w:tcW w:w="992" w:type="dxa"/>
            <w:tcBorders>
              <w:bottom w:val="single" w:sz="4" w:space="0" w:color="auto"/>
            </w:tcBorders>
          </w:tcPr>
          <w:p w:rsidR="0045786E" w:rsidRPr="007A70FB" w:rsidRDefault="0045786E" w:rsidP="00094E72">
            <w:pPr>
              <w:keepNext/>
              <w:ind w:left="-108"/>
              <w:rPr>
                <w:rFonts w:ascii="Arial Narrow" w:hAnsi="Arial Narrow"/>
                <w:sz w:val="20"/>
                <w:szCs w:val="20"/>
              </w:rPr>
            </w:pPr>
            <w:r w:rsidRPr="007A70FB">
              <w:rPr>
                <w:rFonts w:ascii="Arial Narrow" w:hAnsi="Arial Narrow"/>
                <w:sz w:val="20"/>
                <w:szCs w:val="20"/>
              </w:rPr>
              <w:t>№.of</w:t>
            </w:r>
          </w:p>
          <w:p w:rsidR="0045786E" w:rsidRPr="007A70FB" w:rsidRDefault="0045786E" w:rsidP="00094E72">
            <w:pPr>
              <w:keepNext/>
              <w:ind w:left="-108"/>
              <w:rPr>
                <w:rFonts w:ascii="Arial Narrow" w:hAnsi="Arial Narrow"/>
                <w:sz w:val="20"/>
                <w:szCs w:val="20"/>
              </w:rPr>
            </w:pPr>
            <w:r w:rsidRPr="007A70FB">
              <w:rPr>
                <w:rFonts w:ascii="Arial Narrow" w:hAnsi="Arial Narrow"/>
                <w:sz w:val="20"/>
                <w:szCs w:val="20"/>
              </w:rPr>
              <w:t>Rpts</w:t>
            </w:r>
          </w:p>
        </w:tc>
        <w:tc>
          <w:tcPr>
            <w:tcW w:w="4111" w:type="dxa"/>
            <w:gridSpan w:val="2"/>
            <w:tcBorders>
              <w:bottom w:val="single" w:sz="4" w:space="0" w:color="auto"/>
            </w:tcBorders>
          </w:tcPr>
          <w:p w:rsidR="0045786E" w:rsidRPr="007A70FB" w:rsidRDefault="0045786E" w:rsidP="00094E72">
            <w:pPr>
              <w:keepNext/>
              <w:rPr>
                <w:rFonts w:ascii="Arial Narrow" w:hAnsi="Arial Narrow"/>
                <w:sz w:val="20"/>
                <w:szCs w:val="20"/>
              </w:rPr>
            </w:pPr>
            <w:r w:rsidRPr="007A70FB">
              <w:rPr>
                <w:rFonts w:ascii="Arial Narrow" w:hAnsi="Arial Narrow"/>
                <w:sz w:val="20"/>
                <w:szCs w:val="20"/>
              </w:rPr>
              <w:t>Proprietary Name and Manufacturer</w:t>
            </w:r>
          </w:p>
        </w:tc>
      </w:tr>
      <w:tr w:rsidR="0045786E" w:rsidRPr="007A70FB" w:rsidTr="00094E72">
        <w:trPr>
          <w:cantSplit/>
          <w:trHeight w:val="170"/>
        </w:trPr>
        <w:tc>
          <w:tcPr>
            <w:tcW w:w="3261" w:type="dxa"/>
            <w:gridSpan w:val="2"/>
          </w:tcPr>
          <w:p w:rsidR="0045786E" w:rsidRPr="007A70FB" w:rsidRDefault="0045786E" w:rsidP="00094E72">
            <w:pPr>
              <w:keepNext/>
              <w:ind w:left="-108"/>
              <w:rPr>
                <w:rFonts w:ascii="Arial Narrow" w:hAnsi="Arial Narrow"/>
                <w:sz w:val="20"/>
                <w:szCs w:val="20"/>
              </w:rPr>
            </w:pPr>
            <w:r w:rsidRPr="007A70FB">
              <w:rPr>
                <w:rFonts w:ascii="Arial Narrow" w:hAnsi="Arial Narrow"/>
                <w:sz w:val="20"/>
                <w:szCs w:val="20"/>
              </w:rPr>
              <w:t>LORLATINIB</w:t>
            </w:r>
          </w:p>
          <w:p w:rsidR="0045786E" w:rsidRPr="007A70FB" w:rsidRDefault="0045786E" w:rsidP="00094E72">
            <w:pPr>
              <w:keepNext/>
              <w:ind w:left="-108"/>
              <w:rPr>
                <w:rFonts w:ascii="Arial Narrow" w:hAnsi="Arial Narrow"/>
                <w:sz w:val="20"/>
                <w:szCs w:val="20"/>
              </w:rPr>
            </w:pPr>
            <w:r w:rsidRPr="007A70FB">
              <w:rPr>
                <w:rFonts w:ascii="Arial Narrow" w:hAnsi="Arial Narrow"/>
                <w:sz w:val="20"/>
                <w:szCs w:val="20"/>
              </w:rPr>
              <w:t>25 mg tablet, 90</w:t>
            </w:r>
          </w:p>
          <w:p w:rsidR="0045786E" w:rsidRPr="007A70FB" w:rsidRDefault="0045786E" w:rsidP="00094E72">
            <w:pPr>
              <w:keepNext/>
              <w:ind w:left="-108"/>
              <w:rPr>
                <w:rFonts w:ascii="Arial Narrow" w:hAnsi="Arial Narrow"/>
                <w:color w:val="FF0000"/>
                <w:sz w:val="20"/>
                <w:szCs w:val="20"/>
              </w:rPr>
            </w:pPr>
            <w:r w:rsidRPr="007A70FB">
              <w:rPr>
                <w:rFonts w:ascii="Arial Narrow" w:hAnsi="Arial Narrow"/>
                <w:sz w:val="20"/>
                <w:szCs w:val="20"/>
              </w:rPr>
              <w:t>100 mg tablet, 30</w:t>
            </w:r>
          </w:p>
        </w:tc>
        <w:tc>
          <w:tcPr>
            <w:tcW w:w="850" w:type="dxa"/>
          </w:tcPr>
          <w:p w:rsidR="0045786E" w:rsidRPr="007A70FB" w:rsidRDefault="0045786E" w:rsidP="00094E72">
            <w:pPr>
              <w:keepNext/>
              <w:ind w:left="-108"/>
              <w:rPr>
                <w:rFonts w:ascii="Arial Narrow" w:hAnsi="Arial Narrow"/>
                <w:sz w:val="20"/>
                <w:szCs w:val="20"/>
              </w:rPr>
            </w:pPr>
          </w:p>
          <w:p w:rsidR="0045786E" w:rsidRPr="007A70FB" w:rsidRDefault="0045786E" w:rsidP="00094E72">
            <w:pPr>
              <w:keepNext/>
              <w:ind w:left="-108"/>
              <w:rPr>
                <w:rFonts w:ascii="Arial Narrow" w:hAnsi="Arial Narrow"/>
                <w:sz w:val="20"/>
                <w:szCs w:val="20"/>
              </w:rPr>
            </w:pPr>
            <w:r w:rsidRPr="007A70FB">
              <w:rPr>
                <w:rFonts w:ascii="Arial Narrow" w:hAnsi="Arial Narrow"/>
                <w:sz w:val="20"/>
                <w:szCs w:val="20"/>
              </w:rPr>
              <w:t>1</w:t>
            </w:r>
          </w:p>
          <w:p w:rsidR="0045786E" w:rsidRPr="007A70FB" w:rsidRDefault="0045786E" w:rsidP="00094E72">
            <w:pPr>
              <w:keepNext/>
              <w:ind w:left="-108"/>
              <w:rPr>
                <w:rFonts w:ascii="Arial Narrow" w:hAnsi="Arial Narrow"/>
                <w:sz w:val="20"/>
                <w:szCs w:val="20"/>
              </w:rPr>
            </w:pPr>
            <w:r w:rsidRPr="007A70FB">
              <w:rPr>
                <w:rFonts w:ascii="Arial Narrow" w:hAnsi="Arial Narrow"/>
                <w:sz w:val="20"/>
                <w:szCs w:val="20"/>
              </w:rPr>
              <w:t>1</w:t>
            </w:r>
          </w:p>
        </w:tc>
        <w:tc>
          <w:tcPr>
            <w:tcW w:w="992" w:type="dxa"/>
          </w:tcPr>
          <w:p w:rsidR="0045786E" w:rsidRPr="007A70FB" w:rsidRDefault="0045786E" w:rsidP="00094E72">
            <w:pPr>
              <w:keepNext/>
              <w:ind w:left="-108"/>
              <w:rPr>
                <w:rFonts w:ascii="Arial Narrow" w:hAnsi="Arial Narrow"/>
                <w:sz w:val="20"/>
                <w:szCs w:val="20"/>
              </w:rPr>
            </w:pPr>
          </w:p>
          <w:p w:rsidR="0045786E" w:rsidRPr="007A70FB" w:rsidRDefault="0030790D" w:rsidP="00094E72">
            <w:pPr>
              <w:keepNext/>
              <w:ind w:left="-108"/>
              <w:rPr>
                <w:rFonts w:ascii="Arial Narrow" w:hAnsi="Arial Narrow"/>
                <w:sz w:val="20"/>
                <w:szCs w:val="20"/>
              </w:rPr>
            </w:pPr>
            <w:r w:rsidRPr="007A70FB">
              <w:rPr>
                <w:rFonts w:ascii="Arial Narrow" w:hAnsi="Arial Narrow"/>
                <w:sz w:val="20"/>
                <w:szCs w:val="20"/>
              </w:rPr>
              <w:t>1</w:t>
            </w:r>
          </w:p>
          <w:p w:rsidR="0045786E" w:rsidRPr="007A70FB" w:rsidRDefault="0030790D" w:rsidP="00094E72">
            <w:pPr>
              <w:keepNext/>
              <w:ind w:left="-108"/>
              <w:rPr>
                <w:rFonts w:ascii="Arial Narrow" w:hAnsi="Arial Narrow"/>
                <w:sz w:val="20"/>
                <w:szCs w:val="20"/>
              </w:rPr>
            </w:pPr>
            <w:r w:rsidRPr="007A70FB">
              <w:rPr>
                <w:rFonts w:ascii="Arial Narrow" w:hAnsi="Arial Narrow"/>
                <w:sz w:val="20"/>
                <w:szCs w:val="20"/>
              </w:rPr>
              <w:t>1</w:t>
            </w:r>
          </w:p>
        </w:tc>
        <w:tc>
          <w:tcPr>
            <w:tcW w:w="1276" w:type="dxa"/>
          </w:tcPr>
          <w:p w:rsidR="0045786E" w:rsidRPr="007A70FB" w:rsidRDefault="0045786E" w:rsidP="00094E72">
            <w:pPr>
              <w:keepNext/>
              <w:rPr>
                <w:rFonts w:ascii="Arial Narrow" w:hAnsi="Arial Narrow"/>
                <w:sz w:val="20"/>
                <w:szCs w:val="20"/>
              </w:rPr>
            </w:pPr>
            <w:r w:rsidRPr="007A70FB">
              <w:rPr>
                <w:rFonts w:ascii="Arial Narrow" w:hAnsi="Arial Narrow"/>
                <w:sz w:val="20"/>
                <w:szCs w:val="20"/>
              </w:rPr>
              <w:t>Lorviqua®</w:t>
            </w:r>
          </w:p>
        </w:tc>
        <w:tc>
          <w:tcPr>
            <w:tcW w:w="2835" w:type="dxa"/>
          </w:tcPr>
          <w:p w:rsidR="0045786E" w:rsidRPr="007A70FB" w:rsidRDefault="0045786E" w:rsidP="00094E72">
            <w:pPr>
              <w:keepNext/>
              <w:rPr>
                <w:rFonts w:ascii="Arial Narrow" w:hAnsi="Arial Narrow"/>
                <w:sz w:val="20"/>
                <w:szCs w:val="20"/>
              </w:rPr>
            </w:pPr>
            <w:r w:rsidRPr="007A70FB">
              <w:rPr>
                <w:rFonts w:ascii="Arial Narrow" w:hAnsi="Arial Narrow"/>
                <w:sz w:val="20"/>
                <w:szCs w:val="20"/>
              </w:rPr>
              <w:t>Pfizer Australia Pty Ltd</w:t>
            </w:r>
          </w:p>
        </w:tc>
      </w:tr>
      <w:tr w:rsidR="0045786E" w:rsidRPr="007A70FB" w:rsidTr="00094E72">
        <w:trPr>
          <w:cantSplit/>
          <w:trHeight w:val="170"/>
        </w:trPr>
        <w:tc>
          <w:tcPr>
            <w:tcW w:w="9214" w:type="dxa"/>
            <w:gridSpan w:val="6"/>
            <w:tcBorders>
              <w:bottom w:val="single" w:sz="4" w:space="0" w:color="auto"/>
            </w:tcBorders>
          </w:tcPr>
          <w:p w:rsidR="0045786E" w:rsidRPr="007A70FB" w:rsidRDefault="0045786E" w:rsidP="00094E72">
            <w:pPr>
              <w:rPr>
                <w:rFonts w:ascii="Arial Narrow" w:hAnsi="Arial Narrow"/>
                <w:sz w:val="20"/>
                <w:szCs w:val="20"/>
              </w:rPr>
            </w:pPr>
          </w:p>
        </w:tc>
      </w:tr>
      <w:tr w:rsidR="0045786E" w:rsidRPr="007A70FB" w:rsidTr="00094E72">
        <w:trPr>
          <w:cantSplit/>
          <w:trHeight w:val="170"/>
        </w:trPr>
        <w:tc>
          <w:tcPr>
            <w:tcW w:w="2835" w:type="dxa"/>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b/>
                <w:sz w:val="20"/>
                <w:szCs w:val="20"/>
              </w:rPr>
            </w:pPr>
            <w:r w:rsidRPr="007A70FB">
              <w:rPr>
                <w:rFonts w:ascii="Arial Narrow" w:hAnsi="Arial Narrow"/>
                <w:b/>
                <w:sz w:val="20"/>
                <w:szCs w:val="20"/>
              </w:rPr>
              <w:t>Category / Program:</w:t>
            </w:r>
          </w:p>
        </w:tc>
        <w:tc>
          <w:tcPr>
            <w:tcW w:w="6379" w:type="dxa"/>
            <w:gridSpan w:val="5"/>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sz w:val="20"/>
                <w:szCs w:val="20"/>
              </w:rPr>
            </w:pPr>
            <w:r w:rsidRPr="007A70FB">
              <w:rPr>
                <w:rFonts w:ascii="Arial Narrow" w:hAnsi="Arial Narrow"/>
                <w:sz w:val="20"/>
                <w:szCs w:val="20"/>
              </w:rPr>
              <w:t>GENERAL – General Schedule (Code GE)</w:t>
            </w:r>
          </w:p>
        </w:tc>
      </w:tr>
      <w:tr w:rsidR="0045786E" w:rsidRPr="007A70FB" w:rsidTr="00094E72">
        <w:trPr>
          <w:cantSplit/>
          <w:trHeight w:val="170"/>
        </w:trPr>
        <w:tc>
          <w:tcPr>
            <w:tcW w:w="2835" w:type="dxa"/>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b/>
                <w:sz w:val="20"/>
                <w:szCs w:val="20"/>
              </w:rPr>
            </w:pPr>
            <w:r w:rsidRPr="007A70FB">
              <w:rPr>
                <w:rFonts w:ascii="Arial Narrow" w:hAnsi="Arial Narrow"/>
                <w:b/>
                <w:sz w:val="20"/>
                <w:szCs w:val="20"/>
              </w:rPr>
              <w:t>Prescriber type:</w:t>
            </w:r>
          </w:p>
          <w:p w:rsidR="0045786E" w:rsidRPr="007A70FB" w:rsidRDefault="0045786E" w:rsidP="00094E72">
            <w:pPr>
              <w:rPr>
                <w:rFonts w:ascii="Arial Narrow" w:hAnsi="Arial Narrow"/>
                <w:b/>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sz w:val="20"/>
                <w:szCs w:val="20"/>
              </w:rPr>
            </w:pPr>
            <w:r w:rsidRPr="007A70FB">
              <w:rPr>
                <w:rFonts w:ascii="Arial Narrow" w:hAnsi="Arial Narrow"/>
                <w:sz w:val="20"/>
                <w:szCs w:val="20"/>
              </w:rPr>
              <w:fldChar w:fldCharType="begin">
                <w:ffData>
                  <w:name w:val="Check1"/>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 xml:space="preserve">Dental  </w:t>
            </w:r>
            <w:r w:rsidRPr="007A70FB">
              <w:rPr>
                <w:rFonts w:ascii="Arial Narrow" w:hAnsi="Arial Narrow"/>
                <w:sz w:val="20"/>
                <w:szCs w:val="20"/>
              </w:rPr>
              <w:fldChar w:fldCharType="begin">
                <w:ffData>
                  <w:name w:val=""/>
                  <w:enabled/>
                  <w:calcOnExit w:val="0"/>
                  <w:checkBox>
                    <w:sizeAuto/>
                    <w:default w:val="1"/>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 xml:space="preserve">Medical Practitioners  </w:t>
            </w:r>
            <w:r w:rsidRPr="007A70FB">
              <w:rPr>
                <w:rFonts w:ascii="Arial Narrow" w:hAnsi="Arial Narrow"/>
                <w:sz w:val="20"/>
                <w:szCs w:val="20"/>
              </w:rPr>
              <w:fldChar w:fldCharType="begin">
                <w:ffData>
                  <w:name w:val="Check3"/>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 xml:space="preserve">Nurse practitioners  </w:t>
            </w:r>
            <w:r w:rsidRPr="007A70FB">
              <w:rPr>
                <w:rFonts w:ascii="Arial Narrow" w:hAnsi="Arial Narrow"/>
                <w:sz w:val="20"/>
                <w:szCs w:val="20"/>
              </w:rPr>
              <w:fldChar w:fldCharType="begin">
                <w:ffData>
                  <w:name w:val=""/>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Optometrists</w:t>
            </w:r>
          </w:p>
          <w:p w:rsidR="0045786E" w:rsidRPr="007A70FB" w:rsidRDefault="0045786E" w:rsidP="00094E72">
            <w:pPr>
              <w:rPr>
                <w:rFonts w:ascii="Arial Narrow" w:hAnsi="Arial Narrow"/>
                <w:sz w:val="20"/>
                <w:szCs w:val="20"/>
              </w:rPr>
            </w:pPr>
            <w:r w:rsidRPr="007A70FB">
              <w:rPr>
                <w:rFonts w:ascii="Arial Narrow" w:hAnsi="Arial Narrow"/>
                <w:sz w:val="20"/>
                <w:szCs w:val="20"/>
              </w:rPr>
              <w:fldChar w:fldCharType="begin">
                <w:ffData>
                  <w:name w:val="Check5"/>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Midwives</w:t>
            </w:r>
          </w:p>
        </w:tc>
      </w:tr>
      <w:tr w:rsidR="0045786E" w:rsidRPr="007A70FB" w:rsidTr="00094E72">
        <w:trPr>
          <w:cantSplit/>
          <w:trHeight w:val="170"/>
        </w:trPr>
        <w:tc>
          <w:tcPr>
            <w:tcW w:w="2835" w:type="dxa"/>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b/>
                <w:sz w:val="20"/>
                <w:szCs w:val="20"/>
              </w:rPr>
            </w:pPr>
            <w:r w:rsidRPr="007A70FB">
              <w:rPr>
                <w:rFonts w:ascii="Arial Narrow" w:hAnsi="Arial Narrow"/>
                <w:b/>
                <w:sz w:val="20"/>
                <w:szCs w:val="20"/>
              </w:rPr>
              <w:t>Severity:</w:t>
            </w:r>
          </w:p>
        </w:tc>
        <w:tc>
          <w:tcPr>
            <w:tcW w:w="6379" w:type="dxa"/>
            <w:gridSpan w:val="5"/>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sz w:val="20"/>
                <w:szCs w:val="20"/>
              </w:rPr>
            </w:pPr>
            <w:r w:rsidRPr="007A70FB">
              <w:rPr>
                <w:rFonts w:ascii="Arial Narrow" w:hAnsi="Arial Narrow"/>
                <w:sz w:val="20"/>
                <w:szCs w:val="20"/>
              </w:rPr>
              <w:t>Stage IV (metastatic)</w:t>
            </w:r>
          </w:p>
        </w:tc>
      </w:tr>
      <w:tr w:rsidR="0045786E" w:rsidRPr="007A70FB" w:rsidTr="00094E72">
        <w:trPr>
          <w:cantSplit/>
          <w:trHeight w:val="170"/>
        </w:trPr>
        <w:tc>
          <w:tcPr>
            <w:tcW w:w="2835" w:type="dxa"/>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b/>
                <w:sz w:val="20"/>
                <w:szCs w:val="20"/>
              </w:rPr>
            </w:pPr>
            <w:r w:rsidRPr="007A70FB">
              <w:rPr>
                <w:rFonts w:ascii="Arial Narrow" w:hAnsi="Arial Narrow"/>
                <w:b/>
                <w:sz w:val="20"/>
                <w:szCs w:val="20"/>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sz w:val="20"/>
                <w:szCs w:val="20"/>
              </w:rPr>
            </w:pPr>
            <w:r w:rsidRPr="007A70FB">
              <w:rPr>
                <w:rFonts w:ascii="Arial Narrow" w:hAnsi="Arial Narrow"/>
                <w:iCs/>
                <w:sz w:val="20"/>
                <w:szCs w:val="20"/>
              </w:rPr>
              <w:t>no</w:t>
            </w:r>
            <w:r w:rsidRPr="007A70FB">
              <w:rPr>
                <w:rFonts w:ascii="Arial Narrow" w:hAnsi="Arial Narrow"/>
                <w:sz w:val="20"/>
                <w:szCs w:val="20"/>
              </w:rPr>
              <w:t>n-small cell lung cancer (NSCLC)</w:t>
            </w:r>
          </w:p>
        </w:tc>
      </w:tr>
      <w:tr w:rsidR="0045786E" w:rsidRPr="007A70FB" w:rsidTr="00094E72">
        <w:trPr>
          <w:cantSplit/>
          <w:trHeight w:val="170"/>
        </w:trPr>
        <w:tc>
          <w:tcPr>
            <w:tcW w:w="2835" w:type="dxa"/>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i/>
                <w:sz w:val="20"/>
                <w:szCs w:val="20"/>
              </w:rPr>
            </w:pPr>
            <w:r w:rsidRPr="007A70FB">
              <w:rPr>
                <w:rFonts w:ascii="Arial Narrow" w:hAnsi="Arial Narrow"/>
                <w:b/>
                <w:sz w:val="20"/>
                <w:szCs w:val="20"/>
              </w:rPr>
              <w:t>PBS Indication:</w:t>
            </w:r>
          </w:p>
        </w:tc>
        <w:tc>
          <w:tcPr>
            <w:tcW w:w="6379" w:type="dxa"/>
            <w:gridSpan w:val="5"/>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sz w:val="20"/>
                <w:szCs w:val="20"/>
              </w:rPr>
            </w:pPr>
            <w:r w:rsidRPr="007A70FB">
              <w:rPr>
                <w:rFonts w:ascii="Arial Narrow" w:hAnsi="Arial Narrow"/>
                <w:sz w:val="20"/>
                <w:szCs w:val="20"/>
              </w:rPr>
              <w:t>Stage IV (metastatic) non-small cell lung cancer (NSCLC)</w:t>
            </w:r>
          </w:p>
        </w:tc>
      </w:tr>
      <w:tr w:rsidR="0045786E" w:rsidRPr="007A70FB" w:rsidTr="00094E72">
        <w:trPr>
          <w:cantSplit/>
          <w:trHeight w:val="170"/>
        </w:trPr>
        <w:tc>
          <w:tcPr>
            <w:tcW w:w="2835" w:type="dxa"/>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b/>
                <w:sz w:val="20"/>
                <w:szCs w:val="20"/>
              </w:rPr>
            </w:pPr>
            <w:r w:rsidRPr="007A70FB">
              <w:rPr>
                <w:rFonts w:ascii="Arial Narrow" w:hAnsi="Arial Narrow"/>
                <w:b/>
                <w:sz w:val="20"/>
                <w:szCs w:val="20"/>
              </w:rPr>
              <w:t>Treatment phase:</w:t>
            </w:r>
          </w:p>
        </w:tc>
        <w:tc>
          <w:tcPr>
            <w:tcW w:w="6379" w:type="dxa"/>
            <w:gridSpan w:val="5"/>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sz w:val="20"/>
                <w:szCs w:val="20"/>
              </w:rPr>
            </w:pPr>
            <w:r w:rsidRPr="007A70FB">
              <w:rPr>
                <w:rFonts w:ascii="Arial Narrow" w:hAnsi="Arial Narrow"/>
                <w:sz w:val="20"/>
                <w:szCs w:val="20"/>
              </w:rPr>
              <w:t>Continuing treatment</w:t>
            </w:r>
          </w:p>
        </w:tc>
      </w:tr>
      <w:tr w:rsidR="0045786E" w:rsidRPr="007A70FB" w:rsidTr="00094E72">
        <w:trPr>
          <w:cantSplit/>
          <w:trHeight w:val="170"/>
        </w:trPr>
        <w:tc>
          <w:tcPr>
            <w:tcW w:w="2835" w:type="dxa"/>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b/>
                <w:sz w:val="20"/>
                <w:szCs w:val="20"/>
              </w:rPr>
            </w:pPr>
            <w:r w:rsidRPr="007A70FB">
              <w:rPr>
                <w:rFonts w:ascii="Arial Narrow" w:hAnsi="Arial Narrow"/>
                <w:b/>
                <w:sz w:val="20"/>
                <w:szCs w:val="20"/>
              </w:rPr>
              <w:lastRenderedPageBreak/>
              <w:t>Restriction Level / Method:</w:t>
            </w:r>
          </w:p>
          <w:p w:rsidR="0045786E" w:rsidRPr="007A70FB" w:rsidRDefault="0045786E" w:rsidP="00094E72">
            <w:pPr>
              <w:rPr>
                <w:rFonts w:ascii="Arial Narrow" w:hAnsi="Arial Narrow"/>
                <w:i/>
                <w:sz w:val="20"/>
                <w:szCs w:val="20"/>
              </w:rPr>
            </w:pPr>
          </w:p>
          <w:p w:rsidR="0045786E" w:rsidRPr="007A70FB" w:rsidRDefault="0045786E" w:rsidP="00094E72">
            <w:pPr>
              <w:rPr>
                <w:rFonts w:ascii="Arial Narrow" w:hAnsi="Arial Narrow"/>
                <w:i/>
                <w:sz w:val="20"/>
                <w:szCs w:val="20"/>
              </w:rPr>
            </w:pPr>
          </w:p>
          <w:p w:rsidR="0045786E" w:rsidRPr="007A70FB" w:rsidRDefault="0045786E" w:rsidP="00094E72">
            <w:pPr>
              <w:rPr>
                <w:rFonts w:ascii="Arial Narrow" w:hAnsi="Arial Narrow"/>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sz w:val="20"/>
                <w:szCs w:val="20"/>
              </w:rPr>
            </w:pPr>
            <w:r w:rsidRPr="007A70FB">
              <w:rPr>
                <w:rFonts w:ascii="Arial Narrow" w:hAnsi="Arial Narrow"/>
                <w:sz w:val="20"/>
                <w:szCs w:val="20"/>
              </w:rPr>
              <w:fldChar w:fldCharType="begin">
                <w:ffData>
                  <w:name w:val="Check1"/>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Restricted benefit</w:t>
            </w:r>
          </w:p>
          <w:p w:rsidR="0045786E" w:rsidRPr="007A70FB" w:rsidRDefault="0045786E" w:rsidP="00094E72">
            <w:pPr>
              <w:rPr>
                <w:rFonts w:ascii="Arial Narrow" w:hAnsi="Arial Narrow"/>
                <w:sz w:val="20"/>
                <w:szCs w:val="20"/>
              </w:rPr>
            </w:pPr>
            <w:r w:rsidRPr="007A70FB">
              <w:rPr>
                <w:rFonts w:ascii="Arial Narrow" w:hAnsi="Arial Narrow"/>
                <w:sz w:val="20"/>
                <w:szCs w:val="20"/>
              </w:rPr>
              <w:fldChar w:fldCharType="begin">
                <w:ffData>
                  <w:name w:val=""/>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Authority Required – In Writing</w:t>
            </w:r>
          </w:p>
          <w:p w:rsidR="0045786E" w:rsidRPr="007A70FB" w:rsidRDefault="0045786E" w:rsidP="00094E72">
            <w:pPr>
              <w:rPr>
                <w:rFonts w:ascii="Arial Narrow" w:hAnsi="Arial Narrow"/>
                <w:sz w:val="20"/>
                <w:szCs w:val="20"/>
              </w:rPr>
            </w:pPr>
            <w:r w:rsidRPr="007A70FB">
              <w:rPr>
                <w:rFonts w:ascii="Arial Narrow" w:hAnsi="Arial Narrow"/>
                <w:sz w:val="20"/>
                <w:szCs w:val="20"/>
              </w:rPr>
              <w:fldChar w:fldCharType="begin">
                <w:ffData>
                  <w:name w:val="Check3"/>
                  <w:enabled/>
                  <w:calcOnExit w:val="0"/>
                  <w:checkBox>
                    <w:sizeAuto/>
                    <w:default w:val="1"/>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Authority Required – Telephone/Electronic/Emergency</w:t>
            </w:r>
          </w:p>
          <w:p w:rsidR="0045786E" w:rsidRPr="007A70FB" w:rsidRDefault="0045786E" w:rsidP="00094E72">
            <w:pPr>
              <w:rPr>
                <w:rFonts w:ascii="Arial Narrow" w:hAnsi="Arial Narrow"/>
                <w:sz w:val="20"/>
                <w:szCs w:val="20"/>
              </w:rPr>
            </w:pPr>
            <w:r w:rsidRPr="007A70FB">
              <w:rPr>
                <w:rFonts w:ascii="Arial Narrow" w:hAnsi="Arial Narrow"/>
                <w:sz w:val="20"/>
                <w:szCs w:val="20"/>
              </w:rPr>
              <w:fldChar w:fldCharType="begin">
                <w:ffData>
                  <w:name w:val="Check5"/>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Streamlined</w:t>
            </w:r>
          </w:p>
        </w:tc>
      </w:tr>
      <w:tr w:rsidR="0045786E" w:rsidRPr="007A70FB" w:rsidTr="00094E72">
        <w:trPr>
          <w:cantSplit/>
          <w:trHeight w:val="170"/>
        </w:trPr>
        <w:tc>
          <w:tcPr>
            <w:tcW w:w="2835" w:type="dxa"/>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b/>
                <w:sz w:val="20"/>
                <w:szCs w:val="20"/>
              </w:rPr>
            </w:pPr>
            <w:r w:rsidRPr="007A70FB">
              <w:rPr>
                <w:rFonts w:ascii="Arial Narrow" w:hAnsi="Arial Narrow"/>
                <w:b/>
                <w:sz w:val="20"/>
                <w:szCs w:val="20"/>
              </w:rPr>
              <w:t>Clinical criteria:</w:t>
            </w:r>
          </w:p>
        </w:tc>
        <w:tc>
          <w:tcPr>
            <w:tcW w:w="6379" w:type="dxa"/>
            <w:gridSpan w:val="5"/>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sz w:val="20"/>
                <w:szCs w:val="20"/>
              </w:rPr>
            </w:pPr>
            <w:r w:rsidRPr="007A70FB">
              <w:rPr>
                <w:rFonts w:ascii="Arial Narrow" w:hAnsi="Arial Narrow"/>
                <w:sz w:val="20"/>
                <w:szCs w:val="20"/>
              </w:rPr>
              <w:t xml:space="preserve">The treatment must be as monotherapy, </w:t>
            </w:r>
          </w:p>
          <w:p w:rsidR="0045786E" w:rsidRPr="007A70FB" w:rsidRDefault="0045786E" w:rsidP="00094E72">
            <w:pPr>
              <w:rPr>
                <w:rFonts w:ascii="Arial Narrow" w:hAnsi="Arial Narrow"/>
                <w:sz w:val="20"/>
                <w:szCs w:val="20"/>
              </w:rPr>
            </w:pPr>
            <w:r w:rsidRPr="007A70FB">
              <w:rPr>
                <w:rFonts w:ascii="Arial Narrow" w:hAnsi="Arial Narrow"/>
                <w:sz w:val="20"/>
                <w:szCs w:val="20"/>
              </w:rPr>
              <w:t xml:space="preserve">AND </w:t>
            </w:r>
          </w:p>
          <w:p w:rsidR="0045786E" w:rsidRPr="007A70FB" w:rsidRDefault="0045786E" w:rsidP="00094E72">
            <w:pPr>
              <w:rPr>
                <w:rFonts w:ascii="Arial Narrow" w:hAnsi="Arial Narrow"/>
                <w:sz w:val="20"/>
                <w:szCs w:val="20"/>
              </w:rPr>
            </w:pPr>
            <w:r w:rsidRPr="007A70FB">
              <w:rPr>
                <w:rFonts w:ascii="Arial Narrow" w:hAnsi="Arial Narrow"/>
                <w:sz w:val="20"/>
                <w:szCs w:val="20"/>
              </w:rPr>
              <w:t xml:space="preserve">Patient must have previously received PBS-subsidised treatment with this drug for this condition, </w:t>
            </w:r>
          </w:p>
          <w:p w:rsidR="0045786E" w:rsidRPr="007A70FB" w:rsidRDefault="0045786E" w:rsidP="00094E72">
            <w:pPr>
              <w:rPr>
                <w:rFonts w:ascii="Arial Narrow" w:hAnsi="Arial Narrow"/>
                <w:sz w:val="20"/>
                <w:szCs w:val="20"/>
              </w:rPr>
            </w:pPr>
            <w:r w:rsidRPr="007A70FB">
              <w:rPr>
                <w:rFonts w:ascii="Arial Narrow" w:hAnsi="Arial Narrow"/>
                <w:sz w:val="20"/>
                <w:szCs w:val="20"/>
              </w:rPr>
              <w:t>AND</w:t>
            </w:r>
          </w:p>
          <w:p w:rsidR="0045786E" w:rsidRPr="007A70FB" w:rsidRDefault="0045786E" w:rsidP="00094E72">
            <w:pPr>
              <w:rPr>
                <w:rFonts w:ascii="Arial Narrow" w:hAnsi="Arial Narrow"/>
                <w:sz w:val="20"/>
                <w:szCs w:val="20"/>
              </w:rPr>
            </w:pPr>
            <w:r w:rsidRPr="007A70FB">
              <w:rPr>
                <w:rFonts w:ascii="Arial Narrow" w:hAnsi="Arial Narrow"/>
                <w:sz w:val="20"/>
                <w:szCs w:val="20"/>
              </w:rPr>
              <w:t xml:space="preserve">Patient must not develop disease progression while receiving PBS-subsidised treatment with this drug for this condition. </w:t>
            </w:r>
          </w:p>
        </w:tc>
      </w:tr>
      <w:tr w:rsidR="0045786E" w:rsidRPr="007A70FB" w:rsidTr="00094E72">
        <w:trPr>
          <w:cantSplit/>
          <w:trHeight w:val="170"/>
        </w:trPr>
        <w:tc>
          <w:tcPr>
            <w:tcW w:w="2835" w:type="dxa"/>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b/>
                <w:sz w:val="20"/>
                <w:szCs w:val="20"/>
              </w:rPr>
            </w:pPr>
            <w:r w:rsidRPr="007A70FB">
              <w:rPr>
                <w:rFonts w:ascii="Arial Narrow" w:hAnsi="Arial Narrow"/>
                <w:b/>
                <w:sz w:val="20"/>
                <w:szCs w:val="20"/>
              </w:rPr>
              <w:t>Administrative Advice:</w:t>
            </w:r>
          </w:p>
          <w:p w:rsidR="0045786E" w:rsidRPr="007A70FB" w:rsidRDefault="0045786E" w:rsidP="00094E72">
            <w:pPr>
              <w:rPr>
                <w:rFonts w:ascii="Arial Narrow" w:hAnsi="Arial Narrow"/>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sz w:val="20"/>
                <w:szCs w:val="20"/>
              </w:rPr>
            </w:pPr>
            <w:r w:rsidRPr="007A70FB">
              <w:rPr>
                <w:rFonts w:ascii="Arial Narrow" w:hAnsi="Arial Narrow"/>
                <w:sz w:val="20"/>
                <w:szCs w:val="20"/>
              </w:rPr>
              <w:t>No increase in the maximum quantity or number of units may be authorised.</w:t>
            </w:r>
          </w:p>
          <w:p w:rsidR="0045786E" w:rsidRPr="007A70FB" w:rsidRDefault="0045786E" w:rsidP="00094E72">
            <w:pPr>
              <w:rPr>
                <w:rFonts w:ascii="Arial Narrow" w:hAnsi="Arial Narrow"/>
                <w:sz w:val="20"/>
                <w:szCs w:val="20"/>
              </w:rPr>
            </w:pPr>
          </w:p>
          <w:p w:rsidR="0045786E" w:rsidRPr="007A70FB" w:rsidRDefault="0045786E" w:rsidP="00094E72">
            <w:pPr>
              <w:rPr>
                <w:rFonts w:ascii="Arial Narrow" w:hAnsi="Arial Narrow"/>
                <w:sz w:val="20"/>
                <w:szCs w:val="20"/>
              </w:rPr>
            </w:pPr>
            <w:r w:rsidRPr="007A70FB">
              <w:rPr>
                <w:rFonts w:ascii="Arial Narrow" w:hAnsi="Arial Narrow"/>
                <w:sz w:val="20"/>
                <w:szCs w:val="20"/>
              </w:rPr>
              <w:t xml:space="preserve">No increase in the maximum number of repeats may be authorised. </w:t>
            </w:r>
          </w:p>
          <w:p w:rsidR="0045786E" w:rsidRPr="007A70FB" w:rsidRDefault="0045786E" w:rsidP="00094E72">
            <w:pPr>
              <w:rPr>
                <w:rFonts w:ascii="Arial Narrow" w:hAnsi="Arial Narrow"/>
                <w:sz w:val="20"/>
                <w:szCs w:val="20"/>
              </w:rPr>
            </w:pPr>
          </w:p>
          <w:p w:rsidR="0045786E" w:rsidRPr="007A70FB" w:rsidRDefault="0045786E" w:rsidP="00094E72">
            <w:pPr>
              <w:rPr>
                <w:rFonts w:ascii="Arial Narrow" w:hAnsi="Arial Narrow"/>
                <w:sz w:val="20"/>
                <w:szCs w:val="20"/>
              </w:rPr>
            </w:pPr>
            <w:r w:rsidRPr="007A70FB">
              <w:rPr>
                <w:rFonts w:ascii="Arial Narrow" w:hAnsi="Arial Narrow"/>
                <w:sz w:val="20"/>
                <w:szCs w:val="20"/>
              </w:rPr>
              <w:t xml:space="preserve">Special Pricing Arrangements apply. </w:t>
            </w:r>
          </w:p>
        </w:tc>
      </w:tr>
    </w:tbl>
    <w:p w:rsidR="0045786E" w:rsidRPr="007A70FB" w:rsidRDefault="0045786E" w:rsidP="0045786E">
      <w:pPr>
        <w:spacing w:after="120"/>
        <w:ind w:left="720"/>
        <w:rPr>
          <w:rFonts w:asciiTheme="minorHAnsi" w:hAnsiTheme="minorHAnsi"/>
          <w:bCs/>
        </w:rPr>
      </w:pPr>
    </w:p>
    <w:tbl>
      <w:tblPr>
        <w:tblW w:w="9214" w:type="dxa"/>
        <w:tblLayout w:type="fixed"/>
        <w:tblLook w:val="0000" w:firstRow="0" w:lastRow="0" w:firstColumn="0" w:lastColumn="0" w:noHBand="0" w:noVBand="0"/>
      </w:tblPr>
      <w:tblGrid>
        <w:gridCol w:w="2835"/>
        <w:gridCol w:w="426"/>
        <w:gridCol w:w="850"/>
        <w:gridCol w:w="992"/>
        <w:gridCol w:w="1418"/>
        <w:gridCol w:w="2693"/>
      </w:tblGrid>
      <w:tr w:rsidR="0045786E" w:rsidRPr="007A70FB" w:rsidTr="005903B1">
        <w:trPr>
          <w:trHeight w:val="471"/>
        </w:trPr>
        <w:tc>
          <w:tcPr>
            <w:tcW w:w="3261" w:type="dxa"/>
            <w:gridSpan w:val="2"/>
            <w:tcBorders>
              <w:bottom w:val="single" w:sz="4" w:space="0" w:color="auto"/>
            </w:tcBorders>
          </w:tcPr>
          <w:p w:rsidR="0045786E" w:rsidRPr="007A70FB" w:rsidRDefault="0045786E" w:rsidP="00094E72">
            <w:pPr>
              <w:keepNext/>
              <w:ind w:left="-108"/>
              <w:rPr>
                <w:rFonts w:ascii="Arial Narrow" w:hAnsi="Arial Narrow"/>
                <w:sz w:val="20"/>
                <w:szCs w:val="20"/>
              </w:rPr>
            </w:pPr>
            <w:r w:rsidRPr="007A70FB">
              <w:rPr>
                <w:rFonts w:ascii="Arial Narrow" w:hAnsi="Arial Narrow"/>
                <w:sz w:val="20"/>
                <w:szCs w:val="20"/>
              </w:rPr>
              <w:t>Name, Restriction,</w:t>
            </w:r>
          </w:p>
          <w:p w:rsidR="0045786E" w:rsidRPr="007A70FB" w:rsidRDefault="0045786E" w:rsidP="00094E72">
            <w:pPr>
              <w:keepNext/>
              <w:ind w:left="-108"/>
              <w:rPr>
                <w:rFonts w:ascii="Arial Narrow" w:hAnsi="Arial Narrow"/>
                <w:sz w:val="20"/>
                <w:szCs w:val="20"/>
              </w:rPr>
            </w:pPr>
            <w:r w:rsidRPr="007A70FB">
              <w:rPr>
                <w:rFonts w:ascii="Arial Narrow" w:hAnsi="Arial Narrow"/>
                <w:sz w:val="20"/>
                <w:szCs w:val="20"/>
              </w:rPr>
              <w:t>Manner of administration and form</w:t>
            </w:r>
          </w:p>
        </w:tc>
        <w:tc>
          <w:tcPr>
            <w:tcW w:w="850" w:type="dxa"/>
            <w:tcBorders>
              <w:bottom w:val="single" w:sz="4" w:space="0" w:color="auto"/>
            </w:tcBorders>
          </w:tcPr>
          <w:p w:rsidR="0045786E" w:rsidRPr="007A70FB" w:rsidRDefault="0045786E" w:rsidP="00094E72">
            <w:pPr>
              <w:keepNext/>
              <w:ind w:left="-108"/>
              <w:rPr>
                <w:rFonts w:ascii="Arial Narrow" w:hAnsi="Arial Narrow"/>
                <w:sz w:val="20"/>
                <w:szCs w:val="20"/>
              </w:rPr>
            </w:pPr>
            <w:r w:rsidRPr="007A70FB">
              <w:rPr>
                <w:rFonts w:ascii="Arial Narrow" w:hAnsi="Arial Narrow"/>
                <w:sz w:val="20"/>
                <w:szCs w:val="20"/>
              </w:rPr>
              <w:t>Max.</w:t>
            </w:r>
          </w:p>
          <w:p w:rsidR="0045786E" w:rsidRPr="007A70FB" w:rsidRDefault="0045786E" w:rsidP="00094E72">
            <w:pPr>
              <w:keepNext/>
              <w:ind w:left="-108"/>
              <w:rPr>
                <w:rFonts w:ascii="Arial Narrow" w:hAnsi="Arial Narrow"/>
                <w:sz w:val="20"/>
                <w:szCs w:val="20"/>
              </w:rPr>
            </w:pPr>
            <w:r w:rsidRPr="007A70FB">
              <w:rPr>
                <w:rFonts w:ascii="Arial Narrow" w:hAnsi="Arial Narrow"/>
                <w:sz w:val="20"/>
                <w:szCs w:val="20"/>
              </w:rPr>
              <w:t>Qty</w:t>
            </w:r>
          </w:p>
        </w:tc>
        <w:tc>
          <w:tcPr>
            <w:tcW w:w="992" w:type="dxa"/>
            <w:tcBorders>
              <w:bottom w:val="single" w:sz="4" w:space="0" w:color="auto"/>
            </w:tcBorders>
          </w:tcPr>
          <w:p w:rsidR="0045786E" w:rsidRPr="007A70FB" w:rsidRDefault="0045786E" w:rsidP="00094E72">
            <w:pPr>
              <w:keepNext/>
              <w:ind w:left="-108"/>
              <w:rPr>
                <w:rFonts w:ascii="Arial Narrow" w:hAnsi="Arial Narrow"/>
                <w:sz w:val="20"/>
                <w:szCs w:val="20"/>
              </w:rPr>
            </w:pPr>
            <w:r w:rsidRPr="007A70FB">
              <w:rPr>
                <w:rFonts w:ascii="Arial Narrow" w:hAnsi="Arial Narrow"/>
                <w:sz w:val="20"/>
                <w:szCs w:val="20"/>
              </w:rPr>
              <w:t>№.of</w:t>
            </w:r>
          </w:p>
          <w:p w:rsidR="0045786E" w:rsidRPr="007A70FB" w:rsidRDefault="0045786E" w:rsidP="00094E72">
            <w:pPr>
              <w:keepNext/>
              <w:ind w:left="-108"/>
              <w:rPr>
                <w:rFonts w:ascii="Arial Narrow" w:hAnsi="Arial Narrow"/>
                <w:sz w:val="20"/>
                <w:szCs w:val="20"/>
              </w:rPr>
            </w:pPr>
            <w:r w:rsidRPr="007A70FB">
              <w:rPr>
                <w:rFonts w:ascii="Arial Narrow" w:hAnsi="Arial Narrow"/>
                <w:sz w:val="20"/>
                <w:szCs w:val="20"/>
              </w:rPr>
              <w:t>Rpts</w:t>
            </w:r>
          </w:p>
        </w:tc>
        <w:tc>
          <w:tcPr>
            <w:tcW w:w="4111" w:type="dxa"/>
            <w:gridSpan w:val="2"/>
            <w:tcBorders>
              <w:bottom w:val="single" w:sz="4" w:space="0" w:color="auto"/>
            </w:tcBorders>
          </w:tcPr>
          <w:p w:rsidR="0045786E" w:rsidRPr="007A70FB" w:rsidRDefault="0045786E" w:rsidP="00094E72">
            <w:pPr>
              <w:keepNext/>
              <w:rPr>
                <w:rFonts w:ascii="Arial Narrow" w:hAnsi="Arial Narrow"/>
                <w:sz w:val="20"/>
                <w:szCs w:val="20"/>
              </w:rPr>
            </w:pPr>
            <w:r w:rsidRPr="007A70FB">
              <w:rPr>
                <w:rFonts w:ascii="Arial Narrow" w:hAnsi="Arial Narrow"/>
                <w:sz w:val="20"/>
                <w:szCs w:val="20"/>
              </w:rPr>
              <w:t>Proprietary Name and Manufacturer</w:t>
            </w:r>
          </w:p>
        </w:tc>
      </w:tr>
      <w:tr w:rsidR="0045786E" w:rsidRPr="007A70FB" w:rsidTr="005903B1">
        <w:trPr>
          <w:trHeight w:val="577"/>
        </w:trPr>
        <w:tc>
          <w:tcPr>
            <w:tcW w:w="3261" w:type="dxa"/>
            <w:gridSpan w:val="2"/>
          </w:tcPr>
          <w:p w:rsidR="0045786E" w:rsidRPr="007A70FB" w:rsidRDefault="0045786E" w:rsidP="00094E72">
            <w:pPr>
              <w:keepNext/>
              <w:ind w:left="-108"/>
              <w:rPr>
                <w:rFonts w:ascii="Arial Narrow" w:hAnsi="Arial Narrow"/>
                <w:sz w:val="20"/>
                <w:szCs w:val="20"/>
              </w:rPr>
            </w:pPr>
            <w:r w:rsidRPr="007A70FB">
              <w:rPr>
                <w:rFonts w:ascii="Arial Narrow" w:hAnsi="Arial Narrow"/>
                <w:sz w:val="20"/>
                <w:szCs w:val="20"/>
              </w:rPr>
              <w:t>LORLATINIB</w:t>
            </w:r>
          </w:p>
          <w:p w:rsidR="0045786E" w:rsidRPr="007A70FB" w:rsidRDefault="0045786E" w:rsidP="00094E72">
            <w:pPr>
              <w:keepNext/>
              <w:ind w:left="-108"/>
              <w:rPr>
                <w:rFonts w:ascii="Arial Narrow" w:hAnsi="Arial Narrow"/>
                <w:sz w:val="20"/>
                <w:szCs w:val="20"/>
              </w:rPr>
            </w:pPr>
            <w:r w:rsidRPr="007A70FB">
              <w:rPr>
                <w:rFonts w:ascii="Arial Narrow" w:hAnsi="Arial Narrow"/>
                <w:sz w:val="20"/>
                <w:szCs w:val="20"/>
              </w:rPr>
              <w:t>25 mg tablet, 90</w:t>
            </w:r>
          </w:p>
          <w:p w:rsidR="0045786E" w:rsidRPr="007A70FB" w:rsidRDefault="0045786E" w:rsidP="00094E72">
            <w:pPr>
              <w:keepNext/>
              <w:ind w:left="-108"/>
              <w:rPr>
                <w:rFonts w:ascii="Arial Narrow" w:hAnsi="Arial Narrow"/>
                <w:sz w:val="20"/>
                <w:szCs w:val="20"/>
              </w:rPr>
            </w:pPr>
          </w:p>
          <w:p w:rsidR="0045786E" w:rsidRPr="007A70FB" w:rsidRDefault="0045786E" w:rsidP="00094E72">
            <w:pPr>
              <w:keepNext/>
              <w:ind w:left="-108"/>
              <w:rPr>
                <w:rFonts w:ascii="Arial Narrow" w:hAnsi="Arial Narrow"/>
                <w:color w:val="FF0000"/>
                <w:sz w:val="20"/>
                <w:szCs w:val="20"/>
              </w:rPr>
            </w:pPr>
            <w:r w:rsidRPr="007A70FB">
              <w:rPr>
                <w:rFonts w:ascii="Arial Narrow" w:hAnsi="Arial Narrow"/>
                <w:sz w:val="20"/>
                <w:szCs w:val="20"/>
              </w:rPr>
              <w:t>100 mg tablet, 30</w:t>
            </w:r>
          </w:p>
        </w:tc>
        <w:tc>
          <w:tcPr>
            <w:tcW w:w="850" w:type="dxa"/>
          </w:tcPr>
          <w:p w:rsidR="0045786E" w:rsidRPr="007A70FB" w:rsidRDefault="0045786E" w:rsidP="00094E72">
            <w:pPr>
              <w:keepNext/>
              <w:ind w:left="-108"/>
              <w:rPr>
                <w:rFonts w:ascii="Arial Narrow" w:hAnsi="Arial Narrow"/>
                <w:sz w:val="20"/>
                <w:szCs w:val="20"/>
              </w:rPr>
            </w:pPr>
          </w:p>
          <w:p w:rsidR="0045786E" w:rsidRPr="007A70FB" w:rsidRDefault="0045786E" w:rsidP="00094E72">
            <w:pPr>
              <w:keepNext/>
              <w:ind w:left="-108"/>
              <w:rPr>
                <w:rFonts w:ascii="Arial Narrow" w:hAnsi="Arial Narrow"/>
                <w:sz w:val="20"/>
                <w:szCs w:val="20"/>
              </w:rPr>
            </w:pPr>
            <w:r w:rsidRPr="007A70FB">
              <w:rPr>
                <w:rFonts w:ascii="Arial Narrow" w:hAnsi="Arial Narrow"/>
                <w:sz w:val="20"/>
                <w:szCs w:val="20"/>
              </w:rPr>
              <w:t>1</w:t>
            </w:r>
          </w:p>
          <w:p w:rsidR="0045786E" w:rsidRPr="007A70FB" w:rsidRDefault="0045786E" w:rsidP="00094E72">
            <w:pPr>
              <w:keepNext/>
              <w:ind w:left="-108"/>
              <w:rPr>
                <w:rFonts w:ascii="Arial Narrow" w:hAnsi="Arial Narrow"/>
                <w:sz w:val="20"/>
                <w:szCs w:val="20"/>
              </w:rPr>
            </w:pPr>
          </w:p>
          <w:p w:rsidR="0045786E" w:rsidRPr="007A70FB" w:rsidRDefault="0045786E" w:rsidP="00094E72">
            <w:pPr>
              <w:keepNext/>
              <w:ind w:left="-108"/>
              <w:rPr>
                <w:rFonts w:ascii="Arial Narrow" w:hAnsi="Arial Narrow"/>
                <w:sz w:val="20"/>
                <w:szCs w:val="20"/>
              </w:rPr>
            </w:pPr>
            <w:r w:rsidRPr="007A70FB">
              <w:rPr>
                <w:rFonts w:ascii="Arial Narrow" w:hAnsi="Arial Narrow"/>
                <w:sz w:val="20"/>
                <w:szCs w:val="20"/>
              </w:rPr>
              <w:t>1</w:t>
            </w:r>
          </w:p>
        </w:tc>
        <w:tc>
          <w:tcPr>
            <w:tcW w:w="992" w:type="dxa"/>
          </w:tcPr>
          <w:p w:rsidR="0045786E" w:rsidRPr="007A70FB" w:rsidRDefault="0045786E" w:rsidP="00094E72">
            <w:pPr>
              <w:keepNext/>
              <w:ind w:left="-108"/>
              <w:rPr>
                <w:rFonts w:ascii="Arial Narrow" w:hAnsi="Arial Narrow"/>
                <w:sz w:val="20"/>
                <w:szCs w:val="20"/>
              </w:rPr>
            </w:pPr>
          </w:p>
          <w:p w:rsidR="0045786E" w:rsidRPr="007A70FB" w:rsidRDefault="00086A1D" w:rsidP="00094E72">
            <w:pPr>
              <w:keepNext/>
              <w:ind w:left="-108"/>
              <w:rPr>
                <w:rFonts w:ascii="Arial Narrow" w:hAnsi="Arial Narrow"/>
                <w:sz w:val="20"/>
                <w:szCs w:val="20"/>
              </w:rPr>
            </w:pPr>
            <w:r w:rsidRPr="007A70FB">
              <w:rPr>
                <w:rFonts w:ascii="Arial Narrow" w:hAnsi="Arial Narrow"/>
                <w:sz w:val="20"/>
                <w:szCs w:val="20"/>
              </w:rPr>
              <w:t>1</w:t>
            </w:r>
          </w:p>
          <w:p w:rsidR="0045786E" w:rsidRPr="007A70FB" w:rsidRDefault="0045786E" w:rsidP="00094E72">
            <w:pPr>
              <w:keepNext/>
              <w:ind w:left="-108"/>
              <w:rPr>
                <w:rFonts w:ascii="Arial Narrow" w:hAnsi="Arial Narrow"/>
                <w:sz w:val="20"/>
                <w:szCs w:val="20"/>
              </w:rPr>
            </w:pPr>
          </w:p>
          <w:p w:rsidR="0045786E" w:rsidRPr="007A70FB" w:rsidRDefault="00086A1D" w:rsidP="00094E72">
            <w:pPr>
              <w:keepNext/>
              <w:ind w:left="-108"/>
              <w:rPr>
                <w:rFonts w:ascii="Arial Narrow" w:hAnsi="Arial Narrow"/>
                <w:sz w:val="20"/>
                <w:szCs w:val="20"/>
              </w:rPr>
            </w:pPr>
            <w:r w:rsidRPr="007A70FB">
              <w:rPr>
                <w:rFonts w:ascii="Arial Narrow" w:hAnsi="Arial Narrow"/>
                <w:sz w:val="20"/>
                <w:szCs w:val="20"/>
              </w:rPr>
              <w:t>1</w:t>
            </w:r>
          </w:p>
        </w:tc>
        <w:tc>
          <w:tcPr>
            <w:tcW w:w="1418" w:type="dxa"/>
          </w:tcPr>
          <w:p w:rsidR="0045786E" w:rsidRPr="007A70FB" w:rsidRDefault="0045786E" w:rsidP="00094E72">
            <w:pPr>
              <w:keepNext/>
              <w:rPr>
                <w:rFonts w:ascii="Arial Narrow" w:hAnsi="Arial Narrow"/>
                <w:sz w:val="20"/>
                <w:szCs w:val="20"/>
              </w:rPr>
            </w:pPr>
            <w:r w:rsidRPr="007A70FB">
              <w:rPr>
                <w:rFonts w:ascii="Arial Narrow" w:hAnsi="Arial Narrow"/>
                <w:sz w:val="20"/>
                <w:szCs w:val="20"/>
              </w:rPr>
              <w:t>Lorviqua®</w:t>
            </w:r>
          </w:p>
        </w:tc>
        <w:tc>
          <w:tcPr>
            <w:tcW w:w="2693" w:type="dxa"/>
          </w:tcPr>
          <w:p w:rsidR="0045786E" w:rsidRPr="007A70FB" w:rsidRDefault="0045786E" w:rsidP="00094E72">
            <w:pPr>
              <w:keepNext/>
              <w:rPr>
                <w:rFonts w:ascii="Arial Narrow" w:hAnsi="Arial Narrow"/>
                <w:sz w:val="20"/>
                <w:szCs w:val="20"/>
              </w:rPr>
            </w:pPr>
            <w:r w:rsidRPr="007A70FB">
              <w:rPr>
                <w:rFonts w:ascii="Arial Narrow" w:hAnsi="Arial Narrow"/>
                <w:sz w:val="20"/>
                <w:szCs w:val="20"/>
              </w:rPr>
              <w:t>Pfizer Australia Pty Ltd</w:t>
            </w:r>
          </w:p>
        </w:tc>
      </w:tr>
      <w:tr w:rsidR="0045786E" w:rsidRPr="007A70FB" w:rsidTr="005903B1">
        <w:trPr>
          <w:trHeight w:val="360"/>
        </w:trPr>
        <w:tc>
          <w:tcPr>
            <w:tcW w:w="9214" w:type="dxa"/>
            <w:gridSpan w:val="6"/>
            <w:tcBorders>
              <w:bottom w:val="single" w:sz="4" w:space="0" w:color="auto"/>
            </w:tcBorders>
          </w:tcPr>
          <w:p w:rsidR="0045786E" w:rsidRPr="007A70FB" w:rsidRDefault="0045786E" w:rsidP="00094E72">
            <w:pPr>
              <w:rPr>
                <w:rFonts w:ascii="Arial Narrow" w:hAnsi="Arial Narrow"/>
                <w:sz w:val="20"/>
                <w:szCs w:val="20"/>
              </w:rPr>
            </w:pPr>
          </w:p>
        </w:tc>
      </w:tr>
      <w:tr w:rsidR="0045786E" w:rsidRPr="007A70FB" w:rsidTr="005903B1">
        <w:trPr>
          <w:trHeight w:val="360"/>
        </w:trPr>
        <w:tc>
          <w:tcPr>
            <w:tcW w:w="2835" w:type="dxa"/>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b/>
                <w:sz w:val="20"/>
                <w:szCs w:val="20"/>
              </w:rPr>
            </w:pPr>
            <w:r w:rsidRPr="007A70FB">
              <w:rPr>
                <w:rFonts w:ascii="Arial Narrow" w:hAnsi="Arial Narrow"/>
                <w:b/>
                <w:sz w:val="20"/>
                <w:szCs w:val="20"/>
              </w:rPr>
              <w:t>Category / Program:</w:t>
            </w:r>
          </w:p>
        </w:tc>
        <w:tc>
          <w:tcPr>
            <w:tcW w:w="6379" w:type="dxa"/>
            <w:gridSpan w:val="5"/>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sz w:val="20"/>
                <w:szCs w:val="20"/>
              </w:rPr>
            </w:pPr>
            <w:r w:rsidRPr="007A70FB">
              <w:rPr>
                <w:rFonts w:ascii="Arial Narrow" w:hAnsi="Arial Narrow"/>
                <w:sz w:val="20"/>
                <w:szCs w:val="20"/>
              </w:rPr>
              <w:t>GENERAL – General Schedule (Code GE)</w:t>
            </w:r>
          </w:p>
        </w:tc>
      </w:tr>
      <w:tr w:rsidR="0045786E" w:rsidRPr="007A70FB" w:rsidTr="005903B1">
        <w:trPr>
          <w:trHeight w:val="360"/>
        </w:trPr>
        <w:tc>
          <w:tcPr>
            <w:tcW w:w="2835" w:type="dxa"/>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b/>
                <w:sz w:val="20"/>
                <w:szCs w:val="20"/>
              </w:rPr>
            </w:pPr>
            <w:r w:rsidRPr="007A70FB">
              <w:rPr>
                <w:rFonts w:ascii="Arial Narrow" w:hAnsi="Arial Narrow"/>
                <w:b/>
                <w:sz w:val="20"/>
                <w:szCs w:val="20"/>
              </w:rPr>
              <w:t>Prescriber type:</w:t>
            </w:r>
          </w:p>
          <w:p w:rsidR="0045786E" w:rsidRPr="007A70FB" w:rsidRDefault="0045786E" w:rsidP="00094E72">
            <w:pPr>
              <w:rPr>
                <w:rFonts w:ascii="Arial Narrow" w:hAnsi="Arial Narrow"/>
                <w:b/>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sz w:val="20"/>
                <w:szCs w:val="20"/>
              </w:rPr>
            </w:pPr>
            <w:r w:rsidRPr="007A70FB">
              <w:rPr>
                <w:rFonts w:ascii="Arial Narrow" w:hAnsi="Arial Narrow"/>
                <w:sz w:val="20"/>
                <w:szCs w:val="20"/>
              </w:rPr>
              <w:fldChar w:fldCharType="begin">
                <w:ffData>
                  <w:name w:val="Check1"/>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 xml:space="preserve">Dental  </w:t>
            </w:r>
            <w:r w:rsidRPr="007A70FB">
              <w:rPr>
                <w:rFonts w:ascii="Arial Narrow" w:hAnsi="Arial Narrow"/>
                <w:sz w:val="20"/>
                <w:szCs w:val="20"/>
              </w:rPr>
              <w:fldChar w:fldCharType="begin">
                <w:ffData>
                  <w:name w:val=""/>
                  <w:enabled/>
                  <w:calcOnExit w:val="0"/>
                  <w:checkBox>
                    <w:sizeAuto/>
                    <w:default w:val="1"/>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 xml:space="preserve">Medical Practitioners  </w:t>
            </w:r>
            <w:r w:rsidRPr="007A70FB">
              <w:rPr>
                <w:rFonts w:ascii="Arial Narrow" w:hAnsi="Arial Narrow"/>
                <w:sz w:val="20"/>
                <w:szCs w:val="20"/>
              </w:rPr>
              <w:fldChar w:fldCharType="begin">
                <w:ffData>
                  <w:name w:val="Check3"/>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 xml:space="preserve">Nurse practitioners  </w:t>
            </w:r>
            <w:r w:rsidRPr="007A70FB">
              <w:rPr>
                <w:rFonts w:ascii="Arial Narrow" w:hAnsi="Arial Narrow"/>
                <w:sz w:val="20"/>
                <w:szCs w:val="20"/>
              </w:rPr>
              <w:fldChar w:fldCharType="begin">
                <w:ffData>
                  <w:name w:val=""/>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Optometrists</w:t>
            </w:r>
          </w:p>
          <w:p w:rsidR="0045786E" w:rsidRPr="007A70FB" w:rsidRDefault="0045786E" w:rsidP="00094E72">
            <w:pPr>
              <w:rPr>
                <w:rFonts w:ascii="Arial Narrow" w:hAnsi="Arial Narrow"/>
                <w:sz w:val="20"/>
                <w:szCs w:val="20"/>
              </w:rPr>
            </w:pPr>
            <w:r w:rsidRPr="007A70FB">
              <w:rPr>
                <w:rFonts w:ascii="Arial Narrow" w:hAnsi="Arial Narrow"/>
                <w:sz w:val="20"/>
                <w:szCs w:val="20"/>
              </w:rPr>
              <w:fldChar w:fldCharType="begin">
                <w:ffData>
                  <w:name w:val="Check5"/>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Midwives</w:t>
            </w:r>
          </w:p>
        </w:tc>
      </w:tr>
      <w:tr w:rsidR="0045786E" w:rsidRPr="007A70FB" w:rsidTr="005903B1">
        <w:trPr>
          <w:trHeight w:val="360"/>
        </w:trPr>
        <w:tc>
          <w:tcPr>
            <w:tcW w:w="2835" w:type="dxa"/>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b/>
                <w:sz w:val="20"/>
                <w:szCs w:val="20"/>
              </w:rPr>
            </w:pPr>
            <w:r w:rsidRPr="007A70FB">
              <w:rPr>
                <w:rFonts w:ascii="Arial Narrow" w:hAnsi="Arial Narrow"/>
                <w:b/>
                <w:sz w:val="20"/>
                <w:szCs w:val="20"/>
              </w:rPr>
              <w:t>Severity:</w:t>
            </w:r>
          </w:p>
        </w:tc>
        <w:tc>
          <w:tcPr>
            <w:tcW w:w="6379" w:type="dxa"/>
            <w:gridSpan w:val="5"/>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sz w:val="20"/>
                <w:szCs w:val="20"/>
              </w:rPr>
            </w:pPr>
            <w:r w:rsidRPr="007A70FB">
              <w:rPr>
                <w:rFonts w:ascii="Arial Narrow" w:hAnsi="Arial Narrow"/>
                <w:sz w:val="20"/>
                <w:szCs w:val="20"/>
              </w:rPr>
              <w:t>Stage IV (metastatic)</w:t>
            </w:r>
          </w:p>
        </w:tc>
      </w:tr>
      <w:tr w:rsidR="0045786E" w:rsidRPr="007A70FB" w:rsidTr="005903B1">
        <w:trPr>
          <w:trHeight w:val="360"/>
        </w:trPr>
        <w:tc>
          <w:tcPr>
            <w:tcW w:w="2835" w:type="dxa"/>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b/>
                <w:sz w:val="20"/>
                <w:szCs w:val="20"/>
              </w:rPr>
            </w:pPr>
            <w:r w:rsidRPr="007A70FB">
              <w:rPr>
                <w:rFonts w:ascii="Arial Narrow" w:hAnsi="Arial Narrow"/>
                <w:b/>
                <w:sz w:val="20"/>
                <w:szCs w:val="20"/>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sz w:val="20"/>
                <w:szCs w:val="20"/>
              </w:rPr>
            </w:pPr>
            <w:r w:rsidRPr="007A70FB">
              <w:rPr>
                <w:rFonts w:ascii="Arial Narrow" w:hAnsi="Arial Narrow"/>
                <w:iCs/>
                <w:sz w:val="20"/>
                <w:szCs w:val="20"/>
              </w:rPr>
              <w:t>n</w:t>
            </w:r>
            <w:r w:rsidRPr="007A70FB">
              <w:rPr>
                <w:rFonts w:ascii="Arial Narrow" w:hAnsi="Arial Narrow"/>
                <w:sz w:val="20"/>
                <w:szCs w:val="20"/>
              </w:rPr>
              <w:t>on-small cell lung cancer (NSCLC)</w:t>
            </w:r>
          </w:p>
        </w:tc>
      </w:tr>
      <w:tr w:rsidR="0045786E" w:rsidRPr="007A70FB" w:rsidTr="005903B1">
        <w:trPr>
          <w:trHeight w:val="369"/>
        </w:trPr>
        <w:tc>
          <w:tcPr>
            <w:tcW w:w="2835" w:type="dxa"/>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b/>
                <w:sz w:val="20"/>
                <w:szCs w:val="20"/>
              </w:rPr>
            </w:pPr>
            <w:r w:rsidRPr="007A70FB">
              <w:rPr>
                <w:rFonts w:ascii="Arial Narrow" w:hAnsi="Arial Narrow"/>
                <w:b/>
                <w:sz w:val="20"/>
                <w:szCs w:val="20"/>
              </w:rPr>
              <w:t>PBS Indication:</w:t>
            </w:r>
          </w:p>
          <w:p w:rsidR="0045786E" w:rsidRPr="007A70FB" w:rsidRDefault="0045786E" w:rsidP="00094E72">
            <w:pPr>
              <w:rPr>
                <w:rFonts w:ascii="Arial Narrow" w:hAnsi="Arial Narrow"/>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sz w:val="20"/>
                <w:szCs w:val="20"/>
              </w:rPr>
            </w:pPr>
            <w:r w:rsidRPr="007A70FB">
              <w:rPr>
                <w:rFonts w:ascii="Arial Narrow" w:hAnsi="Arial Narrow"/>
                <w:sz w:val="20"/>
                <w:szCs w:val="20"/>
              </w:rPr>
              <w:t>Stage IV (metastatic) non-small cell lung cancer (NSCLC)</w:t>
            </w:r>
          </w:p>
        </w:tc>
      </w:tr>
      <w:tr w:rsidR="0045786E" w:rsidRPr="007A70FB" w:rsidTr="005903B1">
        <w:trPr>
          <w:trHeight w:val="360"/>
        </w:trPr>
        <w:tc>
          <w:tcPr>
            <w:tcW w:w="2835" w:type="dxa"/>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b/>
                <w:sz w:val="20"/>
                <w:szCs w:val="20"/>
              </w:rPr>
            </w:pPr>
            <w:r w:rsidRPr="007A70FB">
              <w:rPr>
                <w:rFonts w:ascii="Arial Narrow" w:hAnsi="Arial Narrow"/>
                <w:b/>
                <w:sz w:val="20"/>
                <w:szCs w:val="20"/>
              </w:rPr>
              <w:t>Treatment phase:</w:t>
            </w:r>
          </w:p>
        </w:tc>
        <w:tc>
          <w:tcPr>
            <w:tcW w:w="6379" w:type="dxa"/>
            <w:gridSpan w:val="5"/>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sz w:val="20"/>
                <w:szCs w:val="20"/>
              </w:rPr>
            </w:pPr>
            <w:r w:rsidRPr="007A70FB">
              <w:rPr>
                <w:rFonts w:ascii="Arial Narrow" w:hAnsi="Arial Narrow"/>
                <w:sz w:val="20"/>
                <w:szCs w:val="20"/>
              </w:rPr>
              <w:t>Grandfathering treatment</w:t>
            </w:r>
          </w:p>
        </w:tc>
      </w:tr>
      <w:tr w:rsidR="0045786E" w:rsidRPr="007A70FB" w:rsidTr="005903B1">
        <w:trPr>
          <w:trHeight w:val="360"/>
        </w:trPr>
        <w:tc>
          <w:tcPr>
            <w:tcW w:w="2835" w:type="dxa"/>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b/>
                <w:sz w:val="20"/>
                <w:szCs w:val="20"/>
              </w:rPr>
            </w:pPr>
            <w:r w:rsidRPr="007A70FB">
              <w:rPr>
                <w:rFonts w:ascii="Arial Narrow" w:hAnsi="Arial Narrow"/>
                <w:b/>
                <w:sz w:val="20"/>
                <w:szCs w:val="20"/>
              </w:rPr>
              <w:t>Restriction Level / Method:</w:t>
            </w:r>
          </w:p>
          <w:p w:rsidR="0045786E" w:rsidRPr="007A70FB" w:rsidRDefault="0045786E" w:rsidP="00094E72">
            <w:pPr>
              <w:rPr>
                <w:rFonts w:ascii="Arial Narrow" w:hAnsi="Arial Narrow"/>
                <w:i/>
                <w:sz w:val="20"/>
                <w:szCs w:val="20"/>
              </w:rPr>
            </w:pPr>
          </w:p>
          <w:p w:rsidR="0045786E" w:rsidRPr="007A70FB" w:rsidRDefault="0045786E" w:rsidP="00094E72">
            <w:pPr>
              <w:rPr>
                <w:rFonts w:ascii="Arial Narrow" w:hAnsi="Arial Narrow"/>
                <w:i/>
                <w:sz w:val="20"/>
                <w:szCs w:val="20"/>
              </w:rPr>
            </w:pPr>
          </w:p>
          <w:p w:rsidR="0045786E" w:rsidRPr="007A70FB" w:rsidRDefault="0045786E" w:rsidP="00094E72">
            <w:pPr>
              <w:rPr>
                <w:rFonts w:ascii="Arial Narrow" w:hAnsi="Arial Narrow"/>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sz w:val="20"/>
                <w:szCs w:val="20"/>
              </w:rPr>
            </w:pPr>
            <w:r w:rsidRPr="007A70FB">
              <w:rPr>
                <w:rFonts w:ascii="Arial Narrow" w:hAnsi="Arial Narrow"/>
                <w:sz w:val="20"/>
                <w:szCs w:val="20"/>
              </w:rPr>
              <w:fldChar w:fldCharType="begin">
                <w:ffData>
                  <w:name w:val="Check1"/>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Restricted benefit</w:t>
            </w:r>
          </w:p>
          <w:p w:rsidR="0045786E" w:rsidRPr="007A70FB" w:rsidRDefault="0045786E" w:rsidP="00094E72">
            <w:pPr>
              <w:rPr>
                <w:rFonts w:ascii="Arial Narrow" w:hAnsi="Arial Narrow"/>
                <w:sz w:val="20"/>
                <w:szCs w:val="20"/>
              </w:rPr>
            </w:pPr>
            <w:r w:rsidRPr="007A70FB">
              <w:rPr>
                <w:rFonts w:ascii="Arial Narrow" w:hAnsi="Arial Narrow"/>
                <w:sz w:val="20"/>
                <w:szCs w:val="20"/>
              </w:rPr>
              <w:fldChar w:fldCharType="begin">
                <w:ffData>
                  <w:name w:val=""/>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Authority Required – In Writing</w:t>
            </w:r>
          </w:p>
          <w:p w:rsidR="0045786E" w:rsidRPr="007A70FB" w:rsidRDefault="0045786E" w:rsidP="00094E72">
            <w:pPr>
              <w:rPr>
                <w:rFonts w:ascii="Arial Narrow" w:hAnsi="Arial Narrow"/>
                <w:sz w:val="20"/>
                <w:szCs w:val="20"/>
              </w:rPr>
            </w:pPr>
            <w:r w:rsidRPr="007A70FB">
              <w:rPr>
                <w:rFonts w:ascii="Arial Narrow" w:hAnsi="Arial Narrow"/>
                <w:sz w:val="20"/>
                <w:szCs w:val="20"/>
              </w:rPr>
              <w:fldChar w:fldCharType="begin">
                <w:ffData>
                  <w:name w:val="Check3"/>
                  <w:enabled/>
                  <w:calcOnExit w:val="0"/>
                  <w:checkBox>
                    <w:sizeAuto/>
                    <w:default w:val="1"/>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Authority Required – Telephone/Electronic/Emergency</w:t>
            </w:r>
          </w:p>
          <w:p w:rsidR="0045786E" w:rsidRPr="007A70FB" w:rsidRDefault="0045786E" w:rsidP="00094E72">
            <w:pPr>
              <w:rPr>
                <w:rFonts w:ascii="Arial Narrow" w:hAnsi="Arial Narrow"/>
                <w:sz w:val="20"/>
                <w:szCs w:val="20"/>
              </w:rPr>
            </w:pPr>
            <w:r w:rsidRPr="007A70FB">
              <w:rPr>
                <w:rFonts w:ascii="Arial Narrow" w:hAnsi="Arial Narrow"/>
                <w:sz w:val="20"/>
                <w:szCs w:val="20"/>
              </w:rPr>
              <w:fldChar w:fldCharType="begin">
                <w:ffData>
                  <w:name w:val="Check5"/>
                  <w:enabled/>
                  <w:calcOnExit w:val="0"/>
                  <w:checkBox>
                    <w:sizeAuto/>
                    <w:default w:val="0"/>
                  </w:checkBox>
                </w:ffData>
              </w:fldChar>
            </w:r>
            <w:r w:rsidRPr="007A70FB">
              <w:rPr>
                <w:rFonts w:ascii="Arial Narrow" w:hAnsi="Arial Narrow"/>
                <w:sz w:val="20"/>
                <w:szCs w:val="20"/>
              </w:rPr>
              <w:instrText xml:space="preserve"> FORMCHECKBOX </w:instrText>
            </w:r>
            <w:r w:rsidR="001C6F80">
              <w:rPr>
                <w:rFonts w:ascii="Arial Narrow" w:hAnsi="Arial Narrow"/>
                <w:sz w:val="20"/>
                <w:szCs w:val="20"/>
              </w:rPr>
            </w:r>
            <w:r w:rsidR="001C6F80">
              <w:rPr>
                <w:rFonts w:ascii="Arial Narrow" w:hAnsi="Arial Narrow"/>
                <w:sz w:val="20"/>
                <w:szCs w:val="20"/>
              </w:rPr>
              <w:fldChar w:fldCharType="separate"/>
            </w:r>
            <w:r w:rsidRPr="007A70FB">
              <w:rPr>
                <w:rFonts w:ascii="Arial Narrow" w:hAnsi="Arial Narrow"/>
                <w:sz w:val="20"/>
                <w:szCs w:val="20"/>
              </w:rPr>
              <w:fldChar w:fldCharType="end"/>
            </w:r>
            <w:r w:rsidRPr="007A70FB">
              <w:rPr>
                <w:rFonts w:ascii="Arial Narrow" w:hAnsi="Arial Narrow"/>
                <w:sz w:val="20"/>
                <w:szCs w:val="20"/>
              </w:rPr>
              <w:t>Streamlined</w:t>
            </w:r>
          </w:p>
        </w:tc>
      </w:tr>
      <w:tr w:rsidR="0045786E" w:rsidRPr="007A70FB" w:rsidTr="005903B1">
        <w:trPr>
          <w:trHeight w:val="657"/>
        </w:trPr>
        <w:tc>
          <w:tcPr>
            <w:tcW w:w="2835" w:type="dxa"/>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b/>
                <w:sz w:val="20"/>
                <w:szCs w:val="20"/>
              </w:rPr>
            </w:pPr>
            <w:r w:rsidRPr="007A70FB">
              <w:rPr>
                <w:rFonts w:ascii="Arial Narrow" w:hAnsi="Arial Narrow"/>
                <w:b/>
                <w:sz w:val="20"/>
                <w:szCs w:val="20"/>
              </w:rPr>
              <w:t>Clinical criteria:</w:t>
            </w:r>
          </w:p>
        </w:tc>
        <w:tc>
          <w:tcPr>
            <w:tcW w:w="6379" w:type="dxa"/>
            <w:gridSpan w:val="5"/>
            <w:tcBorders>
              <w:top w:val="single" w:sz="4" w:space="0" w:color="auto"/>
              <w:left w:val="single" w:sz="4" w:space="0" w:color="auto"/>
              <w:bottom w:val="single" w:sz="4" w:space="0" w:color="auto"/>
              <w:right w:val="single" w:sz="4" w:space="0" w:color="auto"/>
            </w:tcBorders>
          </w:tcPr>
          <w:p w:rsidR="0045786E" w:rsidRPr="007A70FB" w:rsidRDefault="0045786E" w:rsidP="00180375">
            <w:pPr>
              <w:rPr>
                <w:rFonts w:ascii="Arial Narrow" w:hAnsi="Arial Narrow"/>
                <w:strike/>
                <w:sz w:val="20"/>
                <w:szCs w:val="20"/>
              </w:rPr>
            </w:pPr>
            <w:r w:rsidRPr="007A70FB">
              <w:rPr>
                <w:rFonts w:ascii="Arial Narrow" w:hAnsi="Arial Narrow"/>
                <w:sz w:val="20"/>
                <w:szCs w:val="20"/>
              </w:rPr>
              <w:t>Patient must have previously received non-PBS subsidised treatment with this drug for this condition prior to [PBS listing date]</w:t>
            </w:r>
            <w:r w:rsidR="00180375" w:rsidRPr="007A70FB">
              <w:rPr>
                <w:rFonts w:ascii="Arial Narrow" w:hAnsi="Arial Narrow"/>
                <w:strike/>
                <w:sz w:val="20"/>
                <w:szCs w:val="20"/>
              </w:rPr>
              <w:t>,</w:t>
            </w:r>
          </w:p>
          <w:p w:rsidR="0045786E" w:rsidRPr="007A70FB" w:rsidRDefault="0045786E" w:rsidP="00094E72">
            <w:pPr>
              <w:rPr>
                <w:rFonts w:ascii="Arial Narrow" w:hAnsi="Arial Narrow"/>
                <w:sz w:val="20"/>
                <w:szCs w:val="20"/>
              </w:rPr>
            </w:pPr>
            <w:r w:rsidRPr="007A70FB">
              <w:rPr>
                <w:rFonts w:ascii="Arial Narrow" w:hAnsi="Arial Narrow"/>
                <w:sz w:val="20"/>
                <w:szCs w:val="20"/>
              </w:rPr>
              <w:t>AND</w:t>
            </w:r>
          </w:p>
          <w:p w:rsidR="0045786E" w:rsidRPr="007A70FB" w:rsidRDefault="0045786E" w:rsidP="00094E72">
            <w:pPr>
              <w:rPr>
                <w:rFonts w:ascii="Arial Narrow" w:hAnsi="Arial Narrow"/>
                <w:sz w:val="20"/>
                <w:szCs w:val="20"/>
              </w:rPr>
            </w:pPr>
          </w:p>
          <w:p w:rsidR="0045786E" w:rsidRPr="007A70FB" w:rsidRDefault="0045786E" w:rsidP="00094E72">
            <w:pPr>
              <w:rPr>
                <w:rFonts w:ascii="Arial Narrow" w:hAnsi="Arial Narrow"/>
                <w:sz w:val="20"/>
                <w:szCs w:val="20"/>
              </w:rPr>
            </w:pPr>
            <w:r w:rsidRPr="007A70FB">
              <w:rPr>
                <w:rFonts w:ascii="Arial Narrow" w:hAnsi="Arial Narrow"/>
                <w:sz w:val="20"/>
                <w:szCs w:val="20"/>
              </w:rPr>
              <w:t xml:space="preserve">The treatment must be as monotherapy, </w:t>
            </w:r>
          </w:p>
          <w:p w:rsidR="0045786E" w:rsidRPr="007A70FB" w:rsidRDefault="0045786E" w:rsidP="00094E72">
            <w:pPr>
              <w:rPr>
                <w:rFonts w:ascii="Arial Narrow" w:hAnsi="Arial Narrow"/>
                <w:sz w:val="20"/>
                <w:szCs w:val="20"/>
              </w:rPr>
            </w:pPr>
            <w:r w:rsidRPr="007A70FB">
              <w:rPr>
                <w:rFonts w:ascii="Arial Narrow" w:hAnsi="Arial Narrow"/>
                <w:sz w:val="20"/>
                <w:szCs w:val="20"/>
              </w:rPr>
              <w:t>AND</w:t>
            </w:r>
          </w:p>
          <w:p w:rsidR="0045786E" w:rsidRPr="007A70FB" w:rsidRDefault="0045786E" w:rsidP="00094E72">
            <w:pPr>
              <w:rPr>
                <w:rFonts w:ascii="Arial Narrow" w:hAnsi="Arial Narrow"/>
                <w:sz w:val="20"/>
                <w:szCs w:val="20"/>
              </w:rPr>
            </w:pPr>
          </w:p>
          <w:p w:rsidR="0045786E" w:rsidRPr="007A70FB" w:rsidRDefault="0045786E" w:rsidP="00094E72">
            <w:pPr>
              <w:rPr>
                <w:rFonts w:ascii="Arial Narrow" w:hAnsi="Arial Narrow"/>
                <w:iCs/>
                <w:sz w:val="20"/>
                <w:szCs w:val="20"/>
              </w:rPr>
            </w:pPr>
            <w:r w:rsidRPr="007A70FB">
              <w:rPr>
                <w:rFonts w:ascii="Arial Narrow" w:hAnsi="Arial Narrow"/>
                <w:iCs/>
                <w:sz w:val="20"/>
                <w:szCs w:val="20"/>
              </w:rPr>
              <w:t>The patient must have evidence of an anaplastic lymphoma kinase (ALK) gene rearrangement,</w:t>
            </w:r>
          </w:p>
          <w:p w:rsidR="0045786E" w:rsidRPr="007A70FB" w:rsidRDefault="0045786E" w:rsidP="00094E72">
            <w:pPr>
              <w:rPr>
                <w:rFonts w:ascii="Arial Narrow" w:hAnsi="Arial Narrow"/>
                <w:i/>
                <w:sz w:val="20"/>
                <w:szCs w:val="20"/>
              </w:rPr>
            </w:pPr>
            <w:r w:rsidRPr="007A70FB">
              <w:rPr>
                <w:rFonts w:ascii="Arial Narrow" w:hAnsi="Arial Narrow"/>
                <w:i/>
                <w:sz w:val="20"/>
                <w:szCs w:val="20"/>
              </w:rPr>
              <w:t>AND</w:t>
            </w:r>
          </w:p>
          <w:p w:rsidR="0045786E" w:rsidRPr="007A70FB" w:rsidRDefault="0045786E" w:rsidP="00094E72">
            <w:pPr>
              <w:rPr>
                <w:rFonts w:ascii="Arial Narrow" w:hAnsi="Arial Narrow"/>
                <w:i/>
                <w:sz w:val="20"/>
                <w:szCs w:val="20"/>
              </w:rPr>
            </w:pPr>
          </w:p>
          <w:p w:rsidR="0045786E" w:rsidRPr="007A70FB" w:rsidRDefault="0045786E" w:rsidP="00094E72">
            <w:pPr>
              <w:rPr>
                <w:rFonts w:ascii="Arial Narrow" w:hAnsi="Arial Narrow"/>
                <w:sz w:val="20"/>
                <w:szCs w:val="20"/>
              </w:rPr>
            </w:pPr>
            <w:r w:rsidRPr="007A70FB">
              <w:rPr>
                <w:rFonts w:ascii="Arial Narrow" w:hAnsi="Arial Narrow"/>
                <w:sz w:val="20"/>
                <w:szCs w:val="20"/>
              </w:rPr>
              <w:t xml:space="preserve">The condition must be non-squamous type non-small cell lung cancer (NSCLC) or not otherwise specified type NSCLC, </w:t>
            </w:r>
          </w:p>
          <w:p w:rsidR="0045786E" w:rsidRPr="007A70FB" w:rsidRDefault="0045786E" w:rsidP="00094E72">
            <w:pPr>
              <w:rPr>
                <w:rFonts w:ascii="Arial Narrow" w:hAnsi="Arial Narrow"/>
                <w:sz w:val="20"/>
                <w:szCs w:val="20"/>
              </w:rPr>
            </w:pPr>
            <w:r w:rsidRPr="007A70FB">
              <w:rPr>
                <w:rFonts w:ascii="Arial Narrow" w:hAnsi="Arial Narrow"/>
                <w:sz w:val="20"/>
                <w:szCs w:val="20"/>
              </w:rPr>
              <w:t xml:space="preserve">AND </w:t>
            </w:r>
          </w:p>
          <w:p w:rsidR="0045786E" w:rsidRPr="007A70FB" w:rsidRDefault="0045786E" w:rsidP="00094E72">
            <w:pPr>
              <w:rPr>
                <w:rFonts w:ascii="Arial Narrow" w:hAnsi="Arial Narrow"/>
                <w:sz w:val="20"/>
                <w:szCs w:val="20"/>
              </w:rPr>
            </w:pPr>
          </w:p>
          <w:p w:rsidR="0045786E" w:rsidRPr="007A70FB" w:rsidRDefault="0045786E" w:rsidP="00094E72">
            <w:pPr>
              <w:rPr>
                <w:rFonts w:ascii="Arial Narrow" w:hAnsi="Arial Narrow"/>
                <w:sz w:val="20"/>
                <w:szCs w:val="20"/>
              </w:rPr>
            </w:pPr>
            <w:r w:rsidRPr="007A70FB">
              <w:rPr>
                <w:rFonts w:ascii="Arial Narrow" w:hAnsi="Arial Narrow"/>
                <w:sz w:val="20"/>
                <w:szCs w:val="20"/>
              </w:rPr>
              <w:t>Patient must have a WHO performance status of 2 or less,</w:t>
            </w:r>
          </w:p>
          <w:p w:rsidR="0045786E" w:rsidRPr="007A70FB" w:rsidRDefault="0045786E" w:rsidP="00094E72">
            <w:pPr>
              <w:rPr>
                <w:rFonts w:ascii="Arial Narrow" w:hAnsi="Arial Narrow"/>
                <w:sz w:val="20"/>
                <w:szCs w:val="20"/>
              </w:rPr>
            </w:pPr>
            <w:r w:rsidRPr="007A70FB">
              <w:rPr>
                <w:rFonts w:ascii="Arial Narrow" w:hAnsi="Arial Narrow"/>
                <w:sz w:val="20"/>
                <w:szCs w:val="20"/>
              </w:rPr>
              <w:t xml:space="preserve">AND </w:t>
            </w:r>
          </w:p>
          <w:p w:rsidR="0045786E" w:rsidRPr="007A70FB" w:rsidRDefault="0045786E" w:rsidP="00094E72">
            <w:pPr>
              <w:rPr>
                <w:rFonts w:ascii="Arial Narrow" w:hAnsi="Arial Narrow"/>
                <w:sz w:val="20"/>
                <w:szCs w:val="20"/>
              </w:rPr>
            </w:pPr>
          </w:p>
          <w:p w:rsidR="0045786E" w:rsidRPr="007A70FB" w:rsidRDefault="00086A1D" w:rsidP="00086A1D">
            <w:pPr>
              <w:rPr>
                <w:rFonts w:ascii="Arial Narrow" w:hAnsi="Arial Narrow"/>
                <w:sz w:val="20"/>
                <w:szCs w:val="20"/>
              </w:rPr>
            </w:pPr>
            <w:r w:rsidRPr="007A70FB">
              <w:rPr>
                <w:rFonts w:ascii="Arial Narrow" w:hAnsi="Arial Narrow"/>
                <w:sz w:val="20"/>
                <w:szCs w:val="20"/>
              </w:rPr>
              <w:t xml:space="preserve">The condition must have progressed following treatment with an ALK inhibitor other than crizotinib. </w:t>
            </w:r>
          </w:p>
        </w:tc>
      </w:tr>
      <w:tr w:rsidR="0045786E" w:rsidRPr="007A70FB" w:rsidTr="005903B1">
        <w:trPr>
          <w:trHeight w:val="360"/>
        </w:trPr>
        <w:tc>
          <w:tcPr>
            <w:tcW w:w="2835" w:type="dxa"/>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b/>
                <w:sz w:val="20"/>
                <w:szCs w:val="20"/>
              </w:rPr>
            </w:pPr>
            <w:r w:rsidRPr="007A70FB">
              <w:rPr>
                <w:rFonts w:ascii="Arial Narrow" w:hAnsi="Arial Narrow"/>
                <w:b/>
                <w:sz w:val="20"/>
                <w:szCs w:val="20"/>
              </w:rPr>
              <w:lastRenderedPageBreak/>
              <w:t>Administrative Advice:</w:t>
            </w:r>
          </w:p>
          <w:p w:rsidR="0045786E" w:rsidRPr="007A70FB" w:rsidRDefault="0045786E" w:rsidP="00094E72">
            <w:pPr>
              <w:rPr>
                <w:rFonts w:ascii="Arial Narrow" w:hAnsi="Arial Narrow"/>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45786E" w:rsidRPr="007A70FB" w:rsidRDefault="0045786E" w:rsidP="00094E72">
            <w:pPr>
              <w:rPr>
                <w:rFonts w:ascii="Arial Narrow" w:hAnsi="Arial Narrow"/>
                <w:sz w:val="20"/>
                <w:szCs w:val="20"/>
              </w:rPr>
            </w:pPr>
            <w:r w:rsidRPr="007A70FB">
              <w:rPr>
                <w:rFonts w:ascii="Arial Narrow" w:hAnsi="Arial Narrow"/>
                <w:sz w:val="20"/>
                <w:szCs w:val="20"/>
              </w:rPr>
              <w:t>No increase in the maximum quantity or number of units may be authorised.</w:t>
            </w:r>
          </w:p>
          <w:p w:rsidR="0045786E" w:rsidRPr="007A70FB" w:rsidRDefault="0045786E" w:rsidP="00094E72">
            <w:pPr>
              <w:rPr>
                <w:rFonts w:ascii="Arial Narrow" w:hAnsi="Arial Narrow"/>
                <w:sz w:val="20"/>
                <w:szCs w:val="20"/>
              </w:rPr>
            </w:pPr>
          </w:p>
          <w:p w:rsidR="0045786E" w:rsidRPr="007A70FB" w:rsidRDefault="0045786E" w:rsidP="00094E72">
            <w:pPr>
              <w:rPr>
                <w:rFonts w:ascii="Arial Narrow" w:hAnsi="Arial Narrow"/>
                <w:sz w:val="20"/>
                <w:szCs w:val="20"/>
              </w:rPr>
            </w:pPr>
            <w:r w:rsidRPr="007A70FB">
              <w:rPr>
                <w:rFonts w:ascii="Arial Narrow" w:hAnsi="Arial Narrow"/>
                <w:sz w:val="20"/>
                <w:szCs w:val="20"/>
              </w:rPr>
              <w:t xml:space="preserve">No increase in the maximum number of repeats may be authorised. </w:t>
            </w:r>
          </w:p>
          <w:p w:rsidR="0045786E" w:rsidRPr="007A70FB" w:rsidRDefault="0045786E" w:rsidP="00094E72">
            <w:pPr>
              <w:rPr>
                <w:rFonts w:ascii="Arial Narrow" w:hAnsi="Arial Narrow"/>
                <w:sz w:val="20"/>
                <w:szCs w:val="20"/>
              </w:rPr>
            </w:pPr>
          </w:p>
          <w:p w:rsidR="0045786E" w:rsidRPr="007A70FB" w:rsidRDefault="0045786E" w:rsidP="00094E72">
            <w:pPr>
              <w:rPr>
                <w:rFonts w:ascii="Arial Narrow" w:hAnsi="Arial Narrow"/>
                <w:sz w:val="20"/>
                <w:szCs w:val="20"/>
              </w:rPr>
            </w:pPr>
            <w:r w:rsidRPr="007A70FB">
              <w:rPr>
                <w:rFonts w:ascii="Arial Narrow" w:hAnsi="Arial Narrow"/>
                <w:sz w:val="20"/>
                <w:szCs w:val="20"/>
              </w:rPr>
              <w:t xml:space="preserve">Special Pricing Arrangements apply. </w:t>
            </w:r>
          </w:p>
        </w:tc>
      </w:tr>
    </w:tbl>
    <w:p w:rsidR="00860376" w:rsidRDefault="00860376" w:rsidP="005706EA">
      <w:pPr>
        <w:pStyle w:val="ListParagraph"/>
        <w:ind w:left="360"/>
        <w:rPr>
          <w:rFonts w:asciiTheme="minorHAnsi" w:hAnsiTheme="minorHAnsi" w:cstheme="minorHAnsi"/>
          <w:bCs/>
          <w:i/>
        </w:rPr>
      </w:pPr>
    </w:p>
    <w:p w:rsidR="00DE5211" w:rsidRDefault="003406B6" w:rsidP="00860376">
      <w:pPr>
        <w:pStyle w:val="ListParagraph"/>
        <w:ind w:left="360"/>
        <w:rPr>
          <w:rFonts w:asciiTheme="minorHAnsi" w:hAnsiTheme="minorHAnsi" w:cstheme="minorHAnsi"/>
          <w:bCs/>
          <w:i/>
        </w:rPr>
      </w:pPr>
      <w:r w:rsidRPr="003406B6">
        <w:rPr>
          <w:rFonts w:asciiTheme="minorHAnsi" w:hAnsiTheme="minorHAnsi" w:cstheme="minorHAnsi"/>
          <w:bCs/>
          <w:i/>
        </w:rPr>
        <w:t>This restriction may be subject to further review. Should there be any changes made to the restriction the Sponsor will be informed.</w:t>
      </w:r>
    </w:p>
    <w:p w:rsidR="00DE5211" w:rsidRPr="00DE5211" w:rsidRDefault="00DE5211" w:rsidP="00DE5211">
      <w:pPr>
        <w:pStyle w:val="PBACHeading1"/>
        <w:spacing w:before="120" w:after="120"/>
        <w:ind w:left="720"/>
      </w:pPr>
      <w:r w:rsidRPr="00DE5211">
        <w:t>Context for Decision</w:t>
      </w:r>
    </w:p>
    <w:p w:rsidR="00DE5211" w:rsidRPr="00DE5211" w:rsidRDefault="001C6F80" w:rsidP="00DE5211">
      <w:pPr>
        <w:widowControl/>
        <w:spacing w:line="276" w:lineRule="auto"/>
        <w:rPr>
          <w:rFonts w:asciiTheme="minorHAnsi" w:eastAsiaTheme="minorHAnsi" w:hAnsiTheme="minorHAnsi"/>
          <w:snapToGrid/>
        </w:rPr>
      </w:pPr>
      <w:bookmarkStart w:id="53" w:name="_GoBack"/>
      <w:bookmarkEnd w:id="53"/>
      <w:r w:rsidRPr="001C6F80">
        <w:rPr>
          <w:rFonts w:asciiTheme="minorHAnsi" w:eastAsiaTheme="minorHAnsi" w:hAnsiTheme="minorHAnsi"/>
          <w:snapToGrid/>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C6799E" w:rsidRDefault="00C6799E" w:rsidP="00DE5211"/>
    <w:p w:rsidR="00DE5211" w:rsidRPr="00DE5211" w:rsidRDefault="00DE5211" w:rsidP="00DE5211">
      <w:pPr>
        <w:pStyle w:val="PBACHeading1"/>
        <w:spacing w:before="120" w:after="120"/>
        <w:ind w:left="720"/>
      </w:pPr>
      <w:r w:rsidRPr="00DE5211">
        <w:t>Sponsor’s Comment</w:t>
      </w:r>
    </w:p>
    <w:p w:rsidR="00DE5211" w:rsidRPr="00DE5211" w:rsidRDefault="00DE5211" w:rsidP="00DE5211">
      <w:pPr>
        <w:widowControl/>
        <w:spacing w:after="120" w:line="276" w:lineRule="auto"/>
        <w:rPr>
          <w:rFonts w:asciiTheme="minorHAnsi" w:eastAsiaTheme="minorHAnsi" w:hAnsiTheme="minorHAnsi"/>
          <w:bCs/>
          <w:snapToGrid/>
        </w:rPr>
      </w:pPr>
      <w:r w:rsidRPr="00DE5211">
        <w:rPr>
          <w:rFonts w:asciiTheme="minorHAnsi" w:eastAsiaTheme="minorHAnsi" w:hAnsiTheme="minorHAnsi"/>
          <w:bCs/>
          <w:snapToGrid/>
        </w:rPr>
        <w:t>The sponsor had no comment.</w:t>
      </w:r>
    </w:p>
    <w:sectPr w:rsidR="00DE5211" w:rsidRPr="00DE5211" w:rsidSect="00E21358">
      <w:headerReference w:type="default" r:id="rId16"/>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F29E32" w16cid:durableId="2193A60B"/>
  <w16cid:commentId w16cid:paraId="5512D14B" w16cid:durableId="2193C160"/>
  <w16cid:commentId w16cid:paraId="57671BB8" w16cid:durableId="2193C839"/>
  <w16cid:commentId w16cid:paraId="70490077" w16cid:durableId="2193CBD2"/>
  <w16cid:commentId w16cid:paraId="0B682CE8" w16cid:durableId="2193C57A"/>
  <w16cid:commentId w16cid:paraId="2F969D9F" w16cid:durableId="2193CCB4"/>
  <w16cid:commentId w16cid:paraId="3A93AC92" w16cid:durableId="2193CD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479" w:rsidRDefault="00FF4479" w:rsidP="00124A51">
      <w:r>
        <w:separator/>
      </w:r>
    </w:p>
    <w:p w:rsidR="00FF4479" w:rsidRDefault="00FF4479"/>
  </w:endnote>
  <w:endnote w:type="continuationSeparator" w:id="0">
    <w:p w:rsidR="00FF4479" w:rsidRDefault="00FF4479" w:rsidP="00124A51">
      <w:r>
        <w:continuationSeparator/>
      </w:r>
    </w:p>
    <w:p w:rsidR="00FF4479" w:rsidRDefault="00FF4479"/>
  </w:endnote>
  <w:endnote w:type="continuationNotice" w:id="1">
    <w:p w:rsidR="00FF4479" w:rsidRDefault="00FF4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5DF" w:rsidRDefault="00624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47E" w:rsidRDefault="0055547E">
    <w:pPr>
      <w:pStyle w:val="Footer"/>
      <w:jc w:val="center"/>
      <w:rPr>
        <w:caps/>
        <w:color w:val="4F81BD" w:themeColor="accent1"/>
      </w:rPr>
    </w:pPr>
  </w:p>
  <w:p w:rsidR="0055547E" w:rsidRPr="00B231A4" w:rsidRDefault="0055547E">
    <w:pPr>
      <w:pStyle w:val="Footer"/>
      <w:jc w:val="center"/>
      <w:rPr>
        <w:b/>
        <w:bCs/>
        <w:caps/>
        <w:noProof/>
      </w:rPr>
    </w:pPr>
    <w:r w:rsidRPr="00B231A4">
      <w:rPr>
        <w:b/>
        <w:bCs/>
        <w:caps/>
      </w:rPr>
      <w:fldChar w:fldCharType="begin"/>
    </w:r>
    <w:r w:rsidRPr="00B231A4">
      <w:rPr>
        <w:b/>
        <w:bCs/>
        <w:caps/>
      </w:rPr>
      <w:instrText xml:space="preserve"> PAGE   \* MERGEFORMAT </w:instrText>
    </w:r>
    <w:r w:rsidRPr="00B231A4">
      <w:rPr>
        <w:b/>
        <w:bCs/>
        <w:caps/>
      </w:rPr>
      <w:fldChar w:fldCharType="separate"/>
    </w:r>
    <w:r w:rsidR="001C6F80">
      <w:rPr>
        <w:b/>
        <w:bCs/>
        <w:caps/>
        <w:noProof/>
      </w:rPr>
      <w:t>38</w:t>
    </w:r>
    <w:r w:rsidRPr="00B231A4">
      <w:rPr>
        <w:b/>
        <w:bCs/>
        <w:caps/>
        <w:noProof/>
      </w:rPr>
      <w:fldChar w:fldCharType="end"/>
    </w:r>
  </w:p>
  <w:p w:rsidR="0055547E" w:rsidRDefault="005554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5DF" w:rsidRDefault="00624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479" w:rsidRDefault="00FF4479" w:rsidP="00124A51">
      <w:r>
        <w:separator/>
      </w:r>
    </w:p>
    <w:p w:rsidR="00FF4479" w:rsidRDefault="00FF4479"/>
  </w:footnote>
  <w:footnote w:type="continuationSeparator" w:id="0">
    <w:p w:rsidR="00FF4479" w:rsidRDefault="00FF4479" w:rsidP="00124A51">
      <w:r>
        <w:continuationSeparator/>
      </w:r>
    </w:p>
    <w:p w:rsidR="00FF4479" w:rsidRDefault="00FF4479"/>
  </w:footnote>
  <w:footnote w:type="continuationNotice" w:id="1">
    <w:p w:rsidR="00FF4479" w:rsidRDefault="00FF4479"/>
  </w:footnote>
  <w:footnote w:id="2">
    <w:p w:rsidR="0055547E" w:rsidRPr="00B172DE" w:rsidRDefault="0055547E" w:rsidP="00EE0645">
      <w:pPr>
        <w:pStyle w:val="FootnoteText"/>
        <w:rPr>
          <w:rFonts w:ascii="Arial Narrow" w:hAnsi="Arial Narrow" w:cstheme="minorBidi"/>
          <w:sz w:val="18"/>
          <w:szCs w:val="18"/>
        </w:rPr>
      </w:pPr>
      <w:r w:rsidRPr="00B172DE">
        <w:rPr>
          <w:rStyle w:val="FootnoteReference"/>
          <w:rFonts w:ascii="Arial Narrow" w:hAnsi="Arial Narrow" w:cstheme="minorBidi"/>
          <w:sz w:val="18"/>
          <w:szCs w:val="18"/>
        </w:rPr>
        <w:footnoteRef/>
      </w:r>
      <w:r w:rsidRPr="00B172DE">
        <w:rPr>
          <w:rFonts w:ascii="Arial Narrow" w:hAnsi="Arial Narrow" w:cstheme="minorBidi"/>
          <w:sz w:val="18"/>
          <w:szCs w:val="18"/>
        </w:rPr>
        <w:t xml:space="preserve"> Solomon BJ, Besse B, Bauer TM, et al: Lorlatinib in patients with ALK-positive non-small-cell lung cancer: results from a global phase 2 study. Lancet Oncol 19:1654-1667, 2018</w:t>
      </w:r>
    </w:p>
  </w:footnote>
  <w:footnote w:id="3">
    <w:p w:rsidR="0055547E" w:rsidRPr="00B172DE" w:rsidRDefault="0055547E" w:rsidP="00EE0645">
      <w:pPr>
        <w:pStyle w:val="FootnoteText"/>
        <w:rPr>
          <w:rFonts w:ascii="Arial Narrow" w:hAnsi="Arial Narrow" w:cstheme="minorBidi"/>
          <w:sz w:val="18"/>
          <w:szCs w:val="18"/>
        </w:rPr>
      </w:pPr>
      <w:r w:rsidRPr="00B172DE">
        <w:rPr>
          <w:rStyle w:val="FootnoteReference"/>
          <w:rFonts w:ascii="Arial Narrow" w:hAnsi="Arial Narrow" w:cstheme="minorBidi"/>
          <w:sz w:val="18"/>
          <w:szCs w:val="18"/>
        </w:rPr>
        <w:footnoteRef/>
      </w:r>
      <w:r w:rsidRPr="00B172DE">
        <w:rPr>
          <w:rFonts w:ascii="Arial Narrow" w:hAnsi="Arial Narrow" w:cstheme="minorBidi"/>
          <w:sz w:val="18"/>
          <w:szCs w:val="18"/>
        </w:rPr>
        <w:t xml:space="preserve"> Cherny NI, Dafni U, Bogaerts J, et al: ESMO-Magnitude of Clinical Benefit Scale version 1.1. Annals of Oncology 28:2340-2366, 2017</w:t>
      </w:r>
    </w:p>
  </w:footnote>
  <w:footnote w:id="4">
    <w:p w:rsidR="0055547E" w:rsidRPr="00B172DE" w:rsidRDefault="0055547E" w:rsidP="00B172DE">
      <w:pPr>
        <w:pStyle w:val="FootnoteText"/>
        <w:rPr>
          <w:rFonts w:ascii="Arial Narrow" w:hAnsi="Arial Narrow" w:cstheme="minorBidi"/>
          <w:sz w:val="18"/>
          <w:szCs w:val="18"/>
        </w:rPr>
      </w:pPr>
      <w:r w:rsidRPr="00B172DE">
        <w:rPr>
          <w:rStyle w:val="FootnoteReference"/>
          <w:rFonts w:ascii="Arial Narrow" w:hAnsi="Arial Narrow" w:cstheme="minorBidi"/>
          <w:sz w:val="18"/>
          <w:szCs w:val="18"/>
        </w:rPr>
        <w:footnoteRef/>
      </w:r>
      <w:r w:rsidRPr="00B172DE">
        <w:rPr>
          <w:rFonts w:ascii="Arial Narrow" w:hAnsi="Arial Narrow" w:cstheme="minorBidi"/>
          <w:sz w:val="18"/>
          <w:szCs w:val="18"/>
        </w:rPr>
        <w:t xml:space="preserve"> </w:t>
      </w:r>
      <w:r w:rsidRPr="00B172DE">
        <w:rPr>
          <w:rFonts w:ascii="Arial Narrow" w:hAnsi="Arial Narrow" w:cstheme="minorBidi"/>
          <w:sz w:val="18"/>
          <w:szCs w:val="18"/>
          <w:vertAlign w:val="superscript"/>
        </w:rPr>
        <w:t>vii</w:t>
      </w:r>
      <w:r w:rsidRPr="00B172DE">
        <w:rPr>
          <w:rFonts w:ascii="Arial Narrow" w:hAnsi="Arial Narrow" w:cstheme="minorBidi"/>
          <w:sz w:val="18"/>
          <w:szCs w:val="18"/>
        </w:rPr>
        <w:t>Form 3 used (orphan drug where PFS/ORR are outcomes in trial)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5DF" w:rsidRDefault="00624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47E" w:rsidRPr="005E3F10" w:rsidRDefault="0055547E" w:rsidP="00E70956">
    <w:pPr>
      <w:tabs>
        <w:tab w:val="left" w:pos="142"/>
        <w:tab w:val="right" w:pos="9027"/>
      </w:tabs>
      <w:jc w:val="center"/>
      <w:rPr>
        <w:i/>
        <w:iCs/>
        <w:szCs w:val="24"/>
      </w:rPr>
    </w:pPr>
    <w:r>
      <w:rPr>
        <w:i/>
        <w:iCs/>
        <w:szCs w:val="24"/>
      </w:rPr>
      <w:t>Public Summary Document</w:t>
    </w:r>
    <w:r w:rsidRPr="005E3F10">
      <w:rPr>
        <w:i/>
        <w:iCs/>
        <w:szCs w:val="24"/>
      </w:rPr>
      <w:t xml:space="preserve"> </w:t>
    </w:r>
    <w:r>
      <w:rPr>
        <w:i/>
        <w:iCs/>
        <w:szCs w:val="24"/>
      </w:rPr>
      <w:t>– November 2019 PBAC Meeting</w:t>
    </w:r>
  </w:p>
  <w:p w:rsidR="0055547E" w:rsidRDefault="0055547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5DF" w:rsidRDefault="006245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47E" w:rsidRPr="005E3F10" w:rsidRDefault="0055547E" w:rsidP="0055547E">
    <w:pPr>
      <w:tabs>
        <w:tab w:val="left" w:pos="142"/>
        <w:tab w:val="right" w:pos="9027"/>
      </w:tabs>
      <w:jc w:val="center"/>
      <w:rPr>
        <w:i/>
        <w:iCs/>
        <w:szCs w:val="24"/>
      </w:rPr>
    </w:pPr>
    <w:r>
      <w:rPr>
        <w:i/>
        <w:iCs/>
        <w:szCs w:val="24"/>
      </w:rPr>
      <w:t>Public Summary Document</w:t>
    </w:r>
    <w:r w:rsidRPr="005E3F10">
      <w:rPr>
        <w:i/>
        <w:iCs/>
        <w:szCs w:val="24"/>
      </w:rPr>
      <w:t xml:space="preserve"> </w:t>
    </w:r>
    <w:r>
      <w:rPr>
        <w:i/>
        <w:iCs/>
        <w:szCs w:val="24"/>
      </w:rPr>
      <w:t>– November 2019 PBAC Meeting</w:t>
    </w:r>
  </w:p>
  <w:p w:rsidR="0055547E" w:rsidRDefault="0055547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47E" w:rsidRPr="005E3F10" w:rsidRDefault="0055547E" w:rsidP="0055547E">
    <w:pPr>
      <w:tabs>
        <w:tab w:val="left" w:pos="142"/>
        <w:tab w:val="right" w:pos="9027"/>
      </w:tabs>
      <w:jc w:val="center"/>
      <w:rPr>
        <w:i/>
        <w:iCs/>
        <w:szCs w:val="24"/>
      </w:rPr>
    </w:pPr>
    <w:r>
      <w:rPr>
        <w:i/>
        <w:iCs/>
        <w:szCs w:val="24"/>
      </w:rPr>
      <w:t>Public Summary Document</w:t>
    </w:r>
    <w:r w:rsidRPr="005E3F10">
      <w:rPr>
        <w:i/>
        <w:iCs/>
        <w:szCs w:val="24"/>
      </w:rPr>
      <w:t xml:space="preserve"> </w:t>
    </w:r>
    <w:r>
      <w:rPr>
        <w:i/>
        <w:iCs/>
        <w:szCs w:val="24"/>
      </w:rPr>
      <w:t>– November 2019 PBAC Meeting</w:t>
    </w:r>
  </w:p>
  <w:p w:rsidR="0055547E" w:rsidRDefault="0055547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55803"/>
    <w:multiLevelType w:val="hybridMultilevel"/>
    <w:tmpl w:val="75DAC2BE"/>
    <w:lvl w:ilvl="0" w:tplc="0C090001">
      <w:start w:val="1"/>
      <w:numFmt w:val="bullet"/>
      <w:lvlText w:val=""/>
      <w:lvlJc w:val="left"/>
      <w:pPr>
        <w:ind w:left="668" w:hanging="360"/>
      </w:pPr>
      <w:rPr>
        <w:rFonts w:ascii="Symbol" w:hAnsi="Symbol" w:hint="default"/>
      </w:rPr>
    </w:lvl>
    <w:lvl w:ilvl="1" w:tplc="0C090003">
      <w:start w:val="1"/>
      <w:numFmt w:val="bullet"/>
      <w:lvlText w:val="o"/>
      <w:lvlJc w:val="left"/>
      <w:pPr>
        <w:ind w:left="1388" w:hanging="360"/>
      </w:pPr>
      <w:rPr>
        <w:rFonts w:ascii="Courier New" w:hAnsi="Courier New" w:cs="Courier New" w:hint="default"/>
      </w:rPr>
    </w:lvl>
    <w:lvl w:ilvl="2" w:tplc="0C090005">
      <w:start w:val="1"/>
      <w:numFmt w:val="bullet"/>
      <w:lvlText w:val=""/>
      <w:lvlJc w:val="left"/>
      <w:pPr>
        <w:ind w:left="2108" w:hanging="360"/>
      </w:pPr>
      <w:rPr>
        <w:rFonts w:ascii="Wingdings" w:hAnsi="Wingdings" w:hint="default"/>
      </w:rPr>
    </w:lvl>
    <w:lvl w:ilvl="3" w:tplc="0C090001" w:tentative="1">
      <w:start w:val="1"/>
      <w:numFmt w:val="bullet"/>
      <w:lvlText w:val=""/>
      <w:lvlJc w:val="left"/>
      <w:pPr>
        <w:ind w:left="2828" w:hanging="360"/>
      </w:pPr>
      <w:rPr>
        <w:rFonts w:ascii="Symbol" w:hAnsi="Symbol" w:hint="default"/>
      </w:rPr>
    </w:lvl>
    <w:lvl w:ilvl="4" w:tplc="0C090003" w:tentative="1">
      <w:start w:val="1"/>
      <w:numFmt w:val="bullet"/>
      <w:lvlText w:val="o"/>
      <w:lvlJc w:val="left"/>
      <w:pPr>
        <w:ind w:left="3548" w:hanging="360"/>
      </w:pPr>
      <w:rPr>
        <w:rFonts w:ascii="Courier New" w:hAnsi="Courier New" w:cs="Courier New" w:hint="default"/>
      </w:rPr>
    </w:lvl>
    <w:lvl w:ilvl="5" w:tplc="0C090005" w:tentative="1">
      <w:start w:val="1"/>
      <w:numFmt w:val="bullet"/>
      <w:lvlText w:val=""/>
      <w:lvlJc w:val="left"/>
      <w:pPr>
        <w:ind w:left="4268" w:hanging="360"/>
      </w:pPr>
      <w:rPr>
        <w:rFonts w:ascii="Wingdings" w:hAnsi="Wingdings" w:hint="default"/>
      </w:rPr>
    </w:lvl>
    <w:lvl w:ilvl="6" w:tplc="0C090001" w:tentative="1">
      <w:start w:val="1"/>
      <w:numFmt w:val="bullet"/>
      <w:lvlText w:val=""/>
      <w:lvlJc w:val="left"/>
      <w:pPr>
        <w:ind w:left="4988" w:hanging="360"/>
      </w:pPr>
      <w:rPr>
        <w:rFonts w:ascii="Symbol" w:hAnsi="Symbol" w:hint="default"/>
      </w:rPr>
    </w:lvl>
    <w:lvl w:ilvl="7" w:tplc="0C090003" w:tentative="1">
      <w:start w:val="1"/>
      <w:numFmt w:val="bullet"/>
      <w:lvlText w:val="o"/>
      <w:lvlJc w:val="left"/>
      <w:pPr>
        <w:ind w:left="5708" w:hanging="360"/>
      </w:pPr>
      <w:rPr>
        <w:rFonts w:ascii="Courier New" w:hAnsi="Courier New" w:cs="Courier New" w:hint="default"/>
      </w:rPr>
    </w:lvl>
    <w:lvl w:ilvl="8" w:tplc="0C090005" w:tentative="1">
      <w:start w:val="1"/>
      <w:numFmt w:val="bullet"/>
      <w:lvlText w:val=""/>
      <w:lvlJc w:val="left"/>
      <w:pPr>
        <w:ind w:left="6428" w:hanging="360"/>
      </w:pPr>
      <w:rPr>
        <w:rFonts w:ascii="Wingdings" w:hAnsi="Wingdings" w:hint="default"/>
      </w:rPr>
    </w:lvl>
  </w:abstractNum>
  <w:abstractNum w:abstractNumId="2" w15:restartNumberingAfterBreak="0">
    <w:nsid w:val="04CA6077"/>
    <w:multiLevelType w:val="multilevel"/>
    <w:tmpl w:val="116A92FA"/>
    <w:lvl w:ilvl="0">
      <w:start w:val="1"/>
      <w:numFmt w:val="bullet"/>
      <w:lvlText w:val=""/>
      <w:lvlJc w:val="left"/>
      <w:pPr>
        <w:ind w:left="720" w:hanging="720"/>
      </w:pPr>
      <w:rPr>
        <w:rFonts w:ascii="Symbol" w:hAnsi="Symbol"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DB6EC1"/>
    <w:multiLevelType w:val="hybridMultilevel"/>
    <w:tmpl w:val="A22CEBCE"/>
    <w:lvl w:ilvl="0" w:tplc="04090001">
      <w:start w:val="1"/>
      <w:numFmt w:val="bullet"/>
      <w:lvlText w:val=""/>
      <w:lvlJc w:val="left"/>
      <w:pPr>
        <w:ind w:left="720" w:hanging="360"/>
      </w:pPr>
      <w:rPr>
        <w:rFonts w:ascii="Symbol" w:hAnsi="Symbol" w:hint="default"/>
      </w:rPr>
    </w:lvl>
    <w:lvl w:ilvl="1" w:tplc="176E4810">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F94F70"/>
    <w:multiLevelType w:val="hybridMultilevel"/>
    <w:tmpl w:val="7B9694E8"/>
    <w:lvl w:ilvl="0" w:tplc="E1B6BF4A">
      <w:start w:val="1"/>
      <w:numFmt w:val="decimal"/>
      <w:lvlText w:val="%1."/>
      <w:lvlJc w:val="left"/>
      <w:pPr>
        <w:ind w:left="502" w:hanging="360"/>
      </w:pPr>
      <w:rPr>
        <w:rFonts w:hint="default"/>
        <w:color w:val="auto"/>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9A50DC1"/>
    <w:multiLevelType w:val="multilevel"/>
    <w:tmpl w:val="B5C6236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383609"/>
    <w:multiLevelType w:val="hybridMultilevel"/>
    <w:tmpl w:val="D7E05ED4"/>
    <w:lvl w:ilvl="0" w:tplc="A6D6EF40">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AE637D"/>
    <w:multiLevelType w:val="hybridMultilevel"/>
    <w:tmpl w:val="F0823EC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5041AE"/>
    <w:multiLevelType w:val="hybridMultilevel"/>
    <w:tmpl w:val="65FC1556"/>
    <w:lvl w:ilvl="0" w:tplc="F24E307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EA1CC1"/>
    <w:multiLevelType w:val="hybridMultilevel"/>
    <w:tmpl w:val="4A66AAC4"/>
    <w:lvl w:ilvl="0" w:tplc="7F0A01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4FC6B49"/>
    <w:multiLevelType w:val="hybridMultilevel"/>
    <w:tmpl w:val="5674052A"/>
    <w:lvl w:ilvl="0" w:tplc="961AFA48">
      <w:start w:val="1"/>
      <w:numFmt w:val="bullet"/>
      <w:lvlText w:val="•"/>
      <w:lvlJc w:val="left"/>
      <w:pPr>
        <w:tabs>
          <w:tab w:val="num" w:pos="720"/>
        </w:tabs>
        <w:ind w:left="720" w:hanging="360"/>
      </w:pPr>
      <w:rPr>
        <w:rFonts w:ascii="Arial" w:hAnsi="Arial" w:hint="default"/>
      </w:rPr>
    </w:lvl>
    <w:lvl w:ilvl="1" w:tplc="41FAA354" w:tentative="1">
      <w:start w:val="1"/>
      <w:numFmt w:val="bullet"/>
      <w:lvlText w:val="•"/>
      <w:lvlJc w:val="left"/>
      <w:pPr>
        <w:tabs>
          <w:tab w:val="num" w:pos="1440"/>
        </w:tabs>
        <w:ind w:left="1440" w:hanging="360"/>
      </w:pPr>
      <w:rPr>
        <w:rFonts w:ascii="Arial" w:hAnsi="Arial" w:hint="default"/>
      </w:rPr>
    </w:lvl>
    <w:lvl w:ilvl="2" w:tplc="6CA0B5E2" w:tentative="1">
      <w:start w:val="1"/>
      <w:numFmt w:val="bullet"/>
      <w:lvlText w:val="•"/>
      <w:lvlJc w:val="left"/>
      <w:pPr>
        <w:tabs>
          <w:tab w:val="num" w:pos="2160"/>
        </w:tabs>
        <w:ind w:left="2160" w:hanging="360"/>
      </w:pPr>
      <w:rPr>
        <w:rFonts w:ascii="Arial" w:hAnsi="Arial" w:hint="default"/>
      </w:rPr>
    </w:lvl>
    <w:lvl w:ilvl="3" w:tplc="4692DBBA" w:tentative="1">
      <w:start w:val="1"/>
      <w:numFmt w:val="bullet"/>
      <w:lvlText w:val="•"/>
      <w:lvlJc w:val="left"/>
      <w:pPr>
        <w:tabs>
          <w:tab w:val="num" w:pos="2880"/>
        </w:tabs>
        <w:ind w:left="2880" w:hanging="360"/>
      </w:pPr>
      <w:rPr>
        <w:rFonts w:ascii="Arial" w:hAnsi="Arial" w:hint="default"/>
      </w:rPr>
    </w:lvl>
    <w:lvl w:ilvl="4" w:tplc="FABCCB92" w:tentative="1">
      <w:start w:val="1"/>
      <w:numFmt w:val="bullet"/>
      <w:lvlText w:val="•"/>
      <w:lvlJc w:val="left"/>
      <w:pPr>
        <w:tabs>
          <w:tab w:val="num" w:pos="3600"/>
        </w:tabs>
        <w:ind w:left="3600" w:hanging="360"/>
      </w:pPr>
      <w:rPr>
        <w:rFonts w:ascii="Arial" w:hAnsi="Arial" w:hint="default"/>
      </w:rPr>
    </w:lvl>
    <w:lvl w:ilvl="5" w:tplc="5E2E6A82" w:tentative="1">
      <w:start w:val="1"/>
      <w:numFmt w:val="bullet"/>
      <w:lvlText w:val="•"/>
      <w:lvlJc w:val="left"/>
      <w:pPr>
        <w:tabs>
          <w:tab w:val="num" w:pos="4320"/>
        </w:tabs>
        <w:ind w:left="4320" w:hanging="360"/>
      </w:pPr>
      <w:rPr>
        <w:rFonts w:ascii="Arial" w:hAnsi="Arial" w:hint="default"/>
      </w:rPr>
    </w:lvl>
    <w:lvl w:ilvl="6" w:tplc="536EF61C" w:tentative="1">
      <w:start w:val="1"/>
      <w:numFmt w:val="bullet"/>
      <w:lvlText w:val="•"/>
      <w:lvlJc w:val="left"/>
      <w:pPr>
        <w:tabs>
          <w:tab w:val="num" w:pos="5040"/>
        </w:tabs>
        <w:ind w:left="5040" w:hanging="360"/>
      </w:pPr>
      <w:rPr>
        <w:rFonts w:ascii="Arial" w:hAnsi="Arial" w:hint="default"/>
      </w:rPr>
    </w:lvl>
    <w:lvl w:ilvl="7" w:tplc="1A405A0E" w:tentative="1">
      <w:start w:val="1"/>
      <w:numFmt w:val="bullet"/>
      <w:lvlText w:val="•"/>
      <w:lvlJc w:val="left"/>
      <w:pPr>
        <w:tabs>
          <w:tab w:val="num" w:pos="5760"/>
        </w:tabs>
        <w:ind w:left="5760" w:hanging="360"/>
      </w:pPr>
      <w:rPr>
        <w:rFonts w:ascii="Arial" w:hAnsi="Arial" w:hint="default"/>
      </w:rPr>
    </w:lvl>
    <w:lvl w:ilvl="8" w:tplc="640EC4B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2E3F0A"/>
    <w:multiLevelType w:val="hybridMultilevel"/>
    <w:tmpl w:val="943C415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442297"/>
    <w:multiLevelType w:val="hybridMultilevel"/>
    <w:tmpl w:val="EEB64282"/>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CF5484"/>
    <w:multiLevelType w:val="hybridMultilevel"/>
    <w:tmpl w:val="0928C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F8156B"/>
    <w:multiLevelType w:val="hybridMultilevel"/>
    <w:tmpl w:val="5994E234"/>
    <w:lvl w:ilvl="0" w:tplc="0C090001">
      <w:start w:val="1"/>
      <w:numFmt w:val="bullet"/>
      <w:lvlText w:val=""/>
      <w:lvlJc w:val="left"/>
      <w:pPr>
        <w:ind w:left="1437" w:hanging="360"/>
      </w:pPr>
      <w:rPr>
        <w:rFonts w:ascii="Symbol" w:hAnsi="Symbol" w:hint="default"/>
        <w:i/>
        <w:color w:val="auto"/>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19"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76300F"/>
    <w:multiLevelType w:val="hybridMultilevel"/>
    <w:tmpl w:val="66D45F42"/>
    <w:lvl w:ilvl="0" w:tplc="0246780A">
      <w:start w:val="1"/>
      <w:numFmt w:val="bullet"/>
      <w:pStyle w:val="ListBullet"/>
      <w:lvlText w:val=""/>
      <w:lvlJc w:val="left"/>
      <w:pPr>
        <w:tabs>
          <w:tab w:val="num" w:pos="357"/>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pStyle w:val="ListBulletlvl3"/>
      <w:lvlText w:val=""/>
      <w:lvlJc w:val="left"/>
      <w:pPr>
        <w:ind w:left="2160" w:hanging="360"/>
      </w:pPr>
      <w:rPr>
        <w:rFonts w:ascii="Wingdings" w:hAnsi="Wingdings" w:hint="default"/>
      </w:rPr>
    </w:lvl>
    <w:lvl w:ilvl="3" w:tplc="04090001">
      <w:start w:val="1"/>
      <w:numFmt w:val="bullet"/>
      <w:pStyle w:val="ListBulletlvl4"/>
      <w:lvlText w:val=""/>
      <w:lvlJc w:val="left"/>
      <w:pPr>
        <w:ind w:left="2880" w:hanging="360"/>
      </w:pPr>
      <w:rPr>
        <w:rFonts w:ascii="Symbol" w:hAnsi="Symbol" w:hint="default"/>
      </w:rPr>
    </w:lvl>
    <w:lvl w:ilvl="4" w:tplc="04090003">
      <w:start w:val="1"/>
      <w:numFmt w:val="bullet"/>
      <w:pStyle w:val="ListBulletlvl5"/>
      <w:lvlText w:val="o"/>
      <w:lvlJc w:val="left"/>
      <w:pPr>
        <w:ind w:left="3600" w:hanging="360"/>
      </w:pPr>
      <w:rPr>
        <w:rFonts w:ascii="Courier New" w:hAnsi="Courier New" w:hint="default"/>
      </w:rPr>
    </w:lvl>
    <w:lvl w:ilvl="5" w:tplc="04090005">
      <w:start w:val="1"/>
      <w:numFmt w:val="bullet"/>
      <w:pStyle w:val="ListBulletlvl6"/>
      <w:lvlText w:val=""/>
      <w:lvlJc w:val="left"/>
      <w:pPr>
        <w:ind w:left="4320" w:hanging="360"/>
      </w:pPr>
      <w:rPr>
        <w:rFonts w:ascii="Wingdings" w:hAnsi="Wingdings" w:hint="default"/>
      </w:rPr>
    </w:lvl>
    <w:lvl w:ilvl="6" w:tplc="04090001">
      <w:start w:val="1"/>
      <w:numFmt w:val="bullet"/>
      <w:pStyle w:val="ListBulletlvl7"/>
      <w:lvlText w:val=""/>
      <w:lvlJc w:val="left"/>
      <w:pPr>
        <w:ind w:left="5040" w:hanging="360"/>
      </w:pPr>
      <w:rPr>
        <w:rFonts w:ascii="Symbol" w:hAnsi="Symbol" w:hint="default"/>
      </w:rPr>
    </w:lvl>
    <w:lvl w:ilvl="7" w:tplc="04090003">
      <w:start w:val="1"/>
      <w:numFmt w:val="bullet"/>
      <w:pStyle w:val="ListBulletlvl8"/>
      <w:lvlText w:val="o"/>
      <w:lvlJc w:val="left"/>
      <w:pPr>
        <w:ind w:left="5760" w:hanging="360"/>
      </w:pPr>
      <w:rPr>
        <w:rFonts w:ascii="Courier New" w:hAnsi="Courier New" w:hint="default"/>
      </w:rPr>
    </w:lvl>
    <w:lvl w:ilvl="8" w:tplc="04090005">
      <w:start w:val="1"/>
      <w:numFmt w:val="bullet"/>
      <w:pStyle w:val="ListBulletlvl9"/>
      <w:lvlText w:val=""/>
      <w:lvlJc w:val="left"/>
      <w:pPr>
        <w:ind w:left="6480" w:hanging="360"/>
      </w:pPr>
      <w:rPr>
        <w:rFonts w:ascii="Wingdings" w:hAnsi="Wingdings" w:hint="default"/>
      </w:rPr>
    </w:lvl>
  </w:abstractNum>
  <w:abstractNum w:abstractNumId="22" w15:restartNumberingAfterBreak="0">
    <w:nsid w:val="6BE50CDF"/>
    <w:multiLevelType w:val="hybridMultilevel"/>
    <w:tmpl w:val="FE1ADD2C"/>
    <w:lvl w:ilvl="0" w:tplc="87E6F608">
      <w:start w:val="1"/>
      <w:numFmt w:val="bullet"/>
      <w:lvlText w:val=""/>
      <w:lvlJc w:val="left"/>
      <w:pPr>
        <w:tabs>
          <w:tab w:val="num" w:pos="720"/>
        </w:tabs>
        <w:ind w:left="720" w:hanging="360"/>
      </w:pPr>
      <w:rPr>
        <w:rFonts w:ascii="Wingdings" w:hAnsi="Wingdings" w:hint="default"/>
      </w:rPr>
    </w:lvl>
    <w:lvl w:ilvl="1" w:tplc="55B43598" w:tentative="1">
      <w:start w:val="1"/>
      <w:numFmt w:val="bullet"/>
      <w:lvlText w:val=""/>
      <w:lvlJc w:val="left"/>
      <w:pPr>
        <w:tabs>
          <w:tab w:val="num" w:pos="1440"/>
        </w:tabs>
        <w:ind w:left="1440" w:hanging="360"/>
      </w:pPr>
      <w:rPr>
        <w:rFonts w:ascii="Wingdings" w:hAnsi="Wingdings" w:hint="default"/>
      </w:rPr>
    </w:lvl>
    <w:lvl w:ilvl="2" w:tplc="6C4C1524" w:tentative="1">
      <w:start w:val="1"/>
      <w:numFmt w:val="bullet"/>
      <w:lvlText w:val=""/>
      <w:lvlJc w:val="left"/>
      <w:pPr>
        <w:tabs>
          <w:tab w:val="num" w:pos="2160"/>
        </w:tabs>
        <w:ind w:left="2160" w:hanging="360"/>
      </w:pPr>
      <w:rPr>
        <w:rFonts w:ascii="Wingdings" w:hAnsi="Wingdings" w:hint="default"/>
      </w:rPr>
    </w:lvl>
    <w:lvl w:ilvl="3" w:tplc="5562E872" w:tentative="1">
      <w:start w:val="1"/>
      <w:numFmt w:val="bullet"/>
      <w:lvlText w:val=""/>
      <w:lvlJc w:val="left"/>
      <w:pPr>
        <w:tabs>
          <w:tab w:val="num" w:pos="2880"/>
        </w:tabs>
        <w:ind w:left="2880" w:hanging="360"/>
      </w:pPr>
      <w:rPr>
        <w:rFonts w:ascii="Wingdings" w:hAnsi="Wingdings" w:hint="default"/>
      </w:rPr>
    </w:lvl>
    <w:lvl w:ilvl="4" w:tplc="ED1AA970" w:tentative="1">
      <w:start w:val="1"/>
      <w:numFmt w:val="bullet"/>
      <w:lvlText w:val=""/>
      <w:lvlJc w:val="left"/>
      <w:pPr>
        <w:tabs>
          <w:tab w:val="num" w:pos="3600"/>
        </w:tabs>
        <w:ind w:left="3600" w:hanging="360"/>
      </w:pPr>
      <w:rPr>
        <w:rFonts w:ascii="Wingdings" w:hAnsi="Wingdings" w:hint="default"/>
      </w:rPr>
    </w:lvl>
    <w:lvl w:ilvl="5" w:tplc="B9C09774" w:tentative="1">
      <w:start w:val="1"/>
      <w:numFmt w:val="bullet"/>
      <w:lvlText w:val=""/>
      <w:lvlJc w:val="left"/>
      <w:pPr>
        <w:tabs>
          <w:tab w:val="num" w:pos="4320"/>
        </w:tabs>
        <w:ind w:left="4320" w:hanging="360"/>
      </w:pPr>
      <w:rPr>
        <w:rFonts w:ascii="Wingdings" w:hAnsi="Wingdings" w:hint="default"/>
      </w:rPr>
    </w:lvl>
    <w:lvl w:ilvl="6" w:tplc="A746B0AE" w:tentative="1">
      <w:start w:val="1"/>
      <w:numFmt w:val="bullet"/>
      <w:lvlText w:val=""/>
      <w:lvlJc w:val="left"/>
      <w:pPr>
        <w:tabs>
          <w:tab w:val="num" w:pos="5040"/>
        </w:tabs>
        <w:ind w:left="5040" w:hanging="360"/>
      </w:pPr>
      <w:rPr>
        <w:rFonts w:ascii="Wingdings" w:hAnsi="Wingdings" w:hint="default"/>
      </w:rPr>
    </w:lvl>
    <w:lvl w:ilvl="7" w:tplc="7D48BF06" w:tentative="1">
      <w:start w:val="1"/>
      <w:numFmt w:val="bullet"/>
      <w:lvlText w:val=""/>
      <w:lvlJc w:val="left"/>
      <w:pPr>
        <w:tabs>
          <w:tab w:val="num" w:pos="5760"/>
        </w:tabs>
        <w:ind w:left="5760" w:hanging="360"/>
      </w:pPr>
      <w:rPr>
        <w:rFonts w:ascii="Wingdings" w:hAnsi="Wingdings" w:hint="default"/>
      </w:rPr>
    </w:lvl>
    <w:lvl w:ilvl="8" w:tplc="F434221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F1353C"/>
    <w:multiLevelType w:val="hybridMultilevel"/>
    <w:tmpl w:val="9C747BE0"/>
    <w:lvl w:ilvl="0" w:tplc="B038D740">
      <w:start w:val="1"/>
      <w:numFmt w:val="decimal"/>
      <w:lvlText w:val="%1."/>
      <w:lvlJc w:val="left"/>
      <w:pPr>
        <w:ind w:left="360" w:hanging="360"/>
      </w:pPr>
      <w:rPr>
        <w:rFonts w:hint="default"/>
      </w:rPr>
    </w:lvl>
    <w:lvl w:ilvl="1" w:tplc="3A2880FA">
      <w:start w:val="1"/>
      <w:numFmt w:val="lowerLetter"/>
      <w:lvlText w:val="%2."/>
      <w:lvlJc w:val="left"/>
      <w:pPr>
        <w:ind w:left="1080" w:hanging="360"/>
      </w:pPr>
    </w:lvl>
    <w:lvl w:ilvl="2" w:tplc="37844A7E">
      <w:start w:val="1"/>
      <w:numFmt w:val="lowerRoman"/>
      <w:lvlText w:val="%3."/>
      <w:lvlJc w:val="right"/>
      <w:pPr>
        <w:ind w:left="1800" w:hanging="180"/>
      </w:pPr>
    </w:lvl>
    <w:lvl w:ilvl="3" w:tplc="87264702">
      <w:start w:val="1"/>
      <w:numFmt w:val="decimal"/>
      <w:lvlText w:val="%4."/>
      <w:lvlJc w:val="left"/>
      <w:pPr>
        <w:ind w:left="2520" w:hanging="360"/>
      </w:pPr>
    </w:lvl>
    <w:lvl w:ilvl="4" w:tplc="C7DE4C48">
      <w:start w:val="1"/>
      <w:numFmt w:val="lowerLetter"/>
      <w:lvlText w:val="%5."/>
      <w:lvlJc w:val="left"/>
      <w:pPr>
        <w:ind w:left="3240" w:hanging="360"/>
      </w:pPr>
    </w:lvl>
    <w:lvl w:ilvl="5" w:tplc="571AF820">
      <w:start w:val="1"/>
      <w:numFmt w:val="lowerRoman"/>
      <w:pStyle w:val="ListNumberedlvl8"/>
      <w:lvlText w:val="%6."/>
      <w:lvlJc w:val="right"/>
      <w:pPr>
        <w:ind w:left="3960" w:hanging="180"/>
      </w:pPr>
    </w:lvl>
    <w:lvl w:ilvl="6" w:tplc="E7568C1E">
      <w:start w:val="1"/>
      <w:numFmt w:val="decimal"/>
      <w:pStyle w:val="ListNumberedlvl9"/>
      <w:lvlText w:val="%7."/>
      <w:lvlJc w:val="left"/>
      <w:pPr>
        <w:ind w:left="4680" w:hanging="360"/>
      </w:pPr>
    </w:lvl>
    <w:lvl w:ilvl="7" w:tplc="CF44FDAA">
      <w:start w:val="1"/>
      <w:numFmt w:val="lowerLetter"/>
      <w:pStyle w:val="ListNumberedlvl8"/>
      <w:lvlText w:val="%8."/>
      <w:lvlJc w:val="left"/>
      <w:pPr>
        <w:ind w:left="5400" w:hanging="360"/>
      </w:pPr>
    </w:lvl>
    <w:lvl w:ilvl="8" w:tplc="B8BA5F62">
      <w:start w:val="1"/>
      <w:numFmt w:val="lowerRoman"/>
      <w:pStyle w:val="ListNumberedlvl9"/>
      <w:lvlText w:val="%9."/>
      <w:lvlJc w:val="right"/>
      <w:pPr>
        <w:ind w:left="6120" w:hanging="180"/>
      </w:pPr>
    </w:lvl>
  </w:abstractNum>
  <w:abstractNum w:abstractNumId="24" w15:restartNumberingAfterBreak="0">
    <w:nsid w:val="6E4A6B57"/>
    <w:multiLevelType w:val="hybridMultilevel"/>
    <w:tmpl w:val="73AAA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4631CD"/>
    <w:multiLevelType w:val="hybridMultilevel"/>
    <w:tmpl w:val="94A64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1A4A38"/>
    <w:multiLevelType w:val="hybridMultilevel"/>
    <w:tmpl w:val="57ACE1D4"/>
    <w:lvl w:ilvl="0" w:tplc="2692319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A026D0"/>
    <w:multiLevelType w:val="hybridMultilevel"/>
    <w:tmpl w:val="974A856E"/>
    <w:lvl w:ilvl="0" w:tplc="6CC4F894">
      <w:start w:val="1"/>
      <w:numFmt w:val="bullet"/>
      <w:pStyle w:val="BulletedText"/>
      <w:lvlText w:val=""/>
      <w:lvlJc w:val="left"/>
      <w:pPr>
        <w:ind w:left="717"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804501"/>
    <w:multiLevelType w:val="hybridMultilevel"/>
    <w:tmpl w:val="7CA8C19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60D67F14">
      <w:numFmt w:val="bullet"/>
      <w:lvlText w:val="-"/>
      <w:lvlJc w:val="left"/>
      <w:pPr>
        <w:ind w:left="1800" w:hanging="360"/>
      </w:pPr>
      <w:rPr>
        <w:rFonts w:ascii="Calibri" w:eastAsia="Times New Roman" w:hAnsi="Calibri"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84D033C"/>
    <w:multiLevelType w:val="multilevel"/>
    <w:tmpl w:val="2DE29C1E"/>
    <w:lvl w:ilvl="0">
      <w:start w:val="1"/>
      <w:numFmt w:val="decimal"/>
      <w:pStyle w:val="PBACHeading1"/>
      <w:lvlText w:val="%1"/>
      <w:lvlJc w:val="left"/>
      <w:pPr>
        <w:ind w:left="2847" w:hanging="720"/>
      </w:pPr>
      <w:rPr>
        <w:rFonts w:hint="default"/>
        <w:b/>
      </w:rPr>
    </w:lvl>
    <w:lvl w:ilvl="1">
      <w:start w:val="1"/>
      <w:numFmt w:val="decimal"/>
      <w:lvlText w:val="%1.%2"/>
      <w:lvlJc w:val="left"/>
      <w:pPr>
        <w:ind w:left="720" w:hanging="720"/>
      </w:pPr>
      <w:rPr>
        <w:rFonts w:asciiTheme="minorHAnsi" w:hAnsiTheme="minorHAnsi" w:cstheme="minorHAnsi" w:hint="default"/>
        <w:b w:val="0"/>
        <w:i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16"/>
  </w:num>
  <w:num w:numId="3">
    <w:abstractNumId w:val="7"/>
  </w:num>
  <w:num w:numId="4">
    <w:abstractNumId w:val="27"/>
  </w:num>
  <w:num w:numId="5">
    <w:abstractNumId w:val="23"/>
  </w:num>
  <w:num w:numId="6">
    <w:abstractNumId w:val="21"/>
  </w:num>
  <w:num w:numId="7">
    <w:abstractNumId w:val="11"/>
  </w:num>
  <w:num w:numId="8">
    <w:abstractNumId w:val="2"/>
  </w:num>
  <w:num w:numId="9">
    <w:abstractNumId w:val="6"/>
  </w:num>
  <w:num w:numId="10">
    <w:abstractNumId w:val="1"/>
  </w:num>
  <w:num w:numId="11">
    <w:abstractNumId w:val="5"/>
  </w:num>
  <w:num w:numId="12">
    <w:abstractNumId w:val="18"/>
  </w:num>
  <w:num w:numId="13">
    <w:abstractNumId w:val="22"/>
  </w:num>
  <w:num w:numId="14">
    <w:abstractNumId w:val="15"/>
  </w:num>
  <w:num w:numId="15">
    <w:abstractNumId w:val="28"/>
  </w:num>
  <w:num w:numId="16">
    <w:abstractNumId w:val="3"/>
  </w:num>
  <w:num w:numId="17">
    <w:abstractNumId w:val="16"/>
  </w:num>
  <w:num w:numId="18">
    <w:abstractNumId w:val="16"/>
  </w:num>
  <w:num w:numId="19">
    <w:abstractNumId w:val="16"/>
  </w:num>
  <w:num w:numId="20">
    <w:abstractNumId w:val="25"/>
  </w:num>
  <w:num w:numId="21">
    <w:abstractNumId w:val="24"/>
  </w:num>
  <w:num w:numId="22">
    <w:abstractNumId w:val="29"/>
  </w:num>
  <w:num w:numId="23">
    <w:abstractNumId w:val="20"/>
  </w:num>
  <w:num w:numId="24">
    <w:abstractNumId w:val="4"/>
  </w:num>
  <w:num w:numId="25">
    <w:abstractNumId w:val="0"/>
  </w:num>
  <w:num w:numId="26">
    <w:abstractNumId w:val="10"/>
  </w:num>
  <w:num w:numId="27">
    <w:abstractNumId w:val="12"/>
  </w:num>
  <w:num w:numId="28">
    <w:abstractNumId w:val="9"/>
  </w:num>
  <w:num w:numId="29">
    <w:abstractNumId w:val="29"/>
  </w:num>
  <w:num w:numId="30">
    <w:abstractNumId w:val="19"/>
  </w:num>
  <w:num w:numId="31">
    <w:abstractNumId w:val="17"/>
  </w:num>
  <w:num w:numId="32">
    <w:abstractNumId w:val="8"/>
  </w:num>
  <w:num w:numId="33">
    <w:abstractNumId w:val="14"/>
  </w:num>
  <w:num w:numId="34">
    <w:abstractNumId w:val="26"/>
  </w:num>
  <w:num w:numId="35">
    <w:abstractNumId w:val="13"/>
  </w:num>
  <w:num w:numId="36">
    <w:abstractNumId w:val="29"/>
  </w:num>
  <w:num w:numId="37">
    <w:abstractNumId w:val="29"/>
  </w:num>
  <w:num w:numId="38">
    <w:abstractNumId w:val="29"/>
  </w:num>
  <w:num w:numId="39">
    <w:abstractNumId w:val="29"/>
  </w:num>
  <w:num w:numId="40">
    <w:abstractNumId w:val="29"/>
  </w:num>
  <w:num w:numId="41">
    <w:abstractNumId w:val="29"/>
  </w:num>
  <w:num w:numId="42">
    <w:abstractNumId w:val="29"/>
  </w:num>
  <w:num w:numId="43">
    <w:abstractNumId w:val="29"/>
  </w:num>
  <w:num w:numId="44">
    <w:abstractNumId w:val="29"/>
  </w:num>
  <w:num w:numId="45">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181"/>
    <w:rsid w:val="000004F7"/>
    <w:rsid w:val="0000057A"/>
    <w:rsid w:val="00000746"/>
    <w:rsid w:val="00000790"/>
    <w:rsid w:val="000008C9"/>
    <w:rsid w:val="000008F5"/>
    <w:rsid w:val="00000914"/>
    <w:rsid w:val="00000921"/>
    <w:rsid w:val="00000CA7"/>
    <w:rsid w:val="00000D3F"/>
    <w:rsid w:val="00000D67"/>
    <w:rsid w:val="00000DE6"/>
    <w:rsid w:val="00000E34"/>
    <w:rsid w:val="0000110B"/>
    <w:rsid w:val="0000144B"/>
    <w:rsid w:val="000019E0"/>
    <w:rsid w:val="00001FD2"/>
    <w:rsid w:val="00002438"/>
    <w:rsid w:val="0000256C"/>
    <w:rsid w:val="00002916"/>
    <w:rsid w:val="000029A0"/>
    <w:rsid w:val="00002AAD"/>
    <w:rsid w:val="00002B9E"/>
    <w:rsid w:val="00002BCC"/>
    <w:rsid w:val="00002C05"/>
    <w:rsid w:val="00002CA3"/>
    <w:rsid w:val="00002FE7"/>
    <w:rsid w:val="0000315E"/>
    <w:rsid w:val="00003332"/>
    <w:rsid w:val="00003499"/>
    <w:rsid w:val="000034AB"/>
    <w:rsid w:val="0000352B"/>
    <w:rsid w:val="000035D4"/>
    <w:rsid w:val="000036F2"/>
    <w:rsid w:val="00003704"/>
    <w:rsid w:val="00003730"/>
    <w:rsid w:val="000039B7"/>
    <w:rsid w:val="00003FD0"/>
    <w:rsid w:val="00004046"/>
    <w:rsid w:val="000043EB"/>
    <w:rsid w:val="000044AA"/>
    <w:rsid w:val="000045B4"/>
    <w:rsid w:val="0000476C"/>
    <w:rsid w:val="000047CD"/>
    <w:rsid w:val="00004825"/>
    <w:rsid w:val="0000491B"/>
    <w:rsid w:val="00004A02"/>
    <w:rsid w:val="00004D62"/>
    <w:rsid w:val="00005161"/>
    <w:rsid w:val="0000552E"/>
    <w:rsid w:val="000056D9"/>
    <w:rsid w:val="000058B3"/>
    <w:rsid w:val="000058E1"/>
    <w:rsid w:val="00005F42"/>
    <w:rsid w:val="00006232"/>
    <w:rsid w:val="000064CC"/>
    <w:rsid w:val="000065DF"/>
    <w:rsid w:val="000067FE"/>
    <w:rsid w:val="00006A20"/>
    <w:rsid w:val="0000726E"/>
    <w:rsid w:val="0000736B"/>
    <w:rsid w:val="000075FC"/>
    <w:rsid w:val="00007679"/>
    <w:rsid w:val="0000784D"/>
    <w:rsid w:val="000079EC"/>
    <w:rsid w:val="00007CB5"/>
    <w:rsid w:val="00007F92"/>
    <w:rsid w:val="00010252"/>
    <w:rsid w:val="000102E1"/>
    <w:rsid w:val="00010522"/>
    <w:rsid w:val="000106C0"/>
    <w:rsid w:val="000107FF"/>
    <w:rsid w:val="00010872"/>
    <w:rsid w:val="00010948"/>
    <w:rsid w:val="00010AB4"/>
    <w:rsid w:val="00010DCD"/>
    <w:rsid w:val="000110C8"/>
    <w:rsid w:val="0001113F"/>
    <w:rsid w:val="000112B7"/>
    <w:rsid w:val="0001132A"/>
    <w:rsid w:val="00011369"/>
    <w:rsid w:val="000119D1"/>
    <w:rsid w:val="00012052"/>
    <w:rsid w:val="0001211B"/>
    <w:rsid w:val="00012935"/>
    <w:rsid w:val="00012E9A"/>
    <w:rsid w:val="000130D3"/>
    <w:rsid w:val="00013247"/>
    <w:rsid w:val="0001352F"/>
    <w:rsid w:val="00013619"/>
    <w:rsid w:val="000137BE"/>
    <w:rsid w:val="000138A4"/>
    <w:rsid w:val="00013959"/>
    <w:rsid w:val="00013B93"/>
    <w:rsid w:val="00013BA9"/>
    <w:rsid w:val="00013F62"/>
    <w:rsid w:val="0001432C"/>
    <w:rsid w:val="0001488B"/>
    <w:rsid w:val="00014896"/>
    <w:rsid w:val="0001497A"/>
    <w:rsid w:val="00014C51"/>
    <w:rsid w:val="000150E1"/>
    <w:rsid w:val="000155BE"/>
    <w:rsid w:val="00015886"/>
    <w:rsid w:val="000158D6"/>
    <w:rsid w:val="0001592A"/>
    <w:rsid w:val="00015934"/>
    <w:rsid w:val="00015CFC"/>
    <w:rsid w:val="00015E86"/>
    <w:rsid w:val="00016227"/>
    <w:rsid w:val="000162EF"/>
    <w:rsid w:val="0001646F"/>
    <w:rsid w:val="00016640"/>
    <w:rsid w:val="000168C8"/>
    <w:rsid w:val="00016957"/>
    <w:rsid w:val="00016A58"/>
    <w:rsid w:val="00016FBA"/>
    <w:rsid w:val="0001728E"/>
    <w:rsid w:val="00017808"/>
    <w:rsid w:val="00017979"/>
    <w:rsid w:val="0001797D"/>
    <w:rsid w:val="00017AA0"/>
    <w:rsid w:val="00017ADB"/>
    <w:rsid w:val="00020113"/>
    <w:rsid w:val="00020148"/>
    <w:rsid w:val="0002046A"/>
    <w:rsid w:val="00020546"/>
    <w:rsid w:val="000206E0"/>
    <w:rsid w:val="00020D9E"/>
    <w:rsid w:val="00020F6A"/>
    <w:rsid w:val="00021022"/>
    <w:rsid w:val="000215F6"/>
    <w:rsid w:val="00021672"/>
    <w:rsid w:val="000217FA"/>
    <w:rsid w:val="00021B4E"/>
    <w:rsid w:val="00021BB5"/>
    <w:rsid w:val="00021CD1"/>
    <w:rsid w:val="000221C1"/>
    <w:rsid w:val="0002225F"/>
    <w:rsid w:val="0002235A"/>
    <w:rsid w:val="0002238D"/>
    <w:rsid w:val="000224E9"/>
    <w:rsid w:val="00022544"/>
    <w:rsid w:val="000226B1"/>
    <w:rsid w:val="0002286D"/>
    <w:rsid w:val="00022A01"/>
    <w:rsid w:val="00022A97"/>
    <w:rsid w:val="00022B44"/>
    <w:rsid w:val="0002335A"/>
    <w:rsid w:val="0002341C"/>
    <w:rsid w:val="00023763"/>
    <w:rsid w:val="0002376E"/>
    <w:rsid w:val="0002399C"/>
    <w:rsid w:val="00023B0B"/>
    <w:rsid w:val="00023B9F"/>
    <w:rsid w:val="00023C5F"/>
    <w:rsid w:val="00023D54"/>
    <w:rsid w:val="00023E18"/>
    <w:rsid w:val="00024153"/>
    <w:rsid w:val="0002471C"/>
    <w:rsid w:val="00024A57"/>
    <w:rsid w:val="00024BE4"/>
    <w:rsid w:val="00024EFA"/>
    <w:rsid w:val="000254E8"/>
    <w:rsid w:val="00025679"/>
    <w:rsid w:val="00025754"/>
    <w:rsid w:val="00025897"/>
    <w:rsid w:val="000259D0"/>
    <w:rsid w:val="00025B82"/>
    <w:rsid w:val="00025CA4"/>
    <w:rsid w:val="00025D02"/>
    <w:rsid w:val="00025F7A"/>
    <w:rsid w:val="00026097"/>
    <w:rsid w:val="000261BC"/>
    <w:rsid w:val="0002638A"/>
    <w:rsid w:val="0002652B"/>
    <w:rsid w:val="00026674"/>
    <w:rsid w:val="00026687"/>
    <w:rsid w:val="000266E8"/>
    <w:rsid w:val="0002676A"/>
    <w:rsid w:val="00026FE6"/>
    <w:rsid w:val="000272D8"/>
    <w:rsid w:val="00027841"/>
    <w:rsid w:val="000278B6"/>
    <w:rsid w:val="00027A81"/>
    <w:rsid w:val="00027AC7"/>
    <w:rsid w:val="00027AEB"/>
    <w:rsid w:val="0003026B"/>
    <w:rsid w:val="00030371"/>
    <w:rsid w:val="00030397"/>
    <w:rsid w:val="0003043C"/>
    <w:rsid w:val="000304B5"/>
    <w:rsid w:val="0003100F"/>
    <w:rsid w:val="00031035"/>
    <w:rsid w:val="000310FC"/>
    <w:rsid w:val="00031122"/>
    <w:rsid w:val="000311B3"/>
    <w:rsid w:val="0003149C"/>
    <w:rsid w:val="000316CD"/>
    <w:rsid w:val="00031927"/>
    <w:rsid w:val="00031AF9"/>
    <w:rsid w:val="00031C3B"/>
    <w:rsid w:val="00031D47"/>
    <w:rsid w:val="00032102"/>
    <w:rsid w:val="00032165"/>
    <w:rsid w:val="00032175"/>
    <w:rsid w:val="000321BC"/>
    <w:rsid w:val="00032618"/>
    <w:rsid w:val="00032754"/>
    <w:rsid w:val="000327D2"/>
    <w:rsid w:val="00032845"/>
    <w:rsid w:val="00032996"/>
    <w:rsid w:val="00032A2C"/>
    <w:rsid w:val="00032A6C"/>
    <w:rsid w:val="00032B07"/>
    <w:rsid w:val="00032C3A"/>
    <w:rsid w:val="00032CCD"/>
    <w:rsid w:val="00032D42"/>
    <w:rsid w:val="00032FFA"/>
    <w:rsid w:val="00033206"/>
    <w:rsid w:val="000332B8"/>
    <w:rsid w:val="000335BD"/>
    <w:rsid w:val="0003364E"/>
    <w:rsid w:val="000336BA"/>
    <w:rsid w:val="00033863"/>
    <w:rsid w:val="0003388A"/>
    <w:rsid w:val="000339E1"/>
    <w:rsid w:val="00033A97"/>
    <w:rsid w:val="00033D20"/>
    <w:rsid w:val="000345C6"/>
    <w:rsid w:val="00034704"/>
    <w:rsid w:val="000347E1"/>
    <w:rsid w:val="00034A5E"/>
    <w:rsid w:val="00034C17"/>
    <w:rsid w:val="00034DAC"/>
    <w:rsid w:val="00034EB7"/>
    <w:rsid w:val="00034EE4"/>
    <w:rsid w:val="00034F78"/>
    <w:rsid w:val="00035050"/>
    <w:rsid w:val="0003535E"/>
    <w:rsid w:val="00035543"/>
    <w:rsid w:val="000355A2"/>
    <w:rsid w:val="000358F1"/>
    <w:rsid w:val="00035CA9"/>
    <w:rsid w:val="00035D0B"/>
    <w:rsid w:val="00035DC0"/>
    <w:rsid w:val="00035E90"/>
    <w:rsid w:val="000360D9"/>
    <w:rsid w:val="000364CE"/>
    <w:rsid w:val="000367B2"/>
    <w:rsid w:val="00036829"/>
    <w:rsid w:val="00036854"/>
    <w:rsid w:val="00036AA4"/>
    <w:rsid w:val="00036B90"/>
    <w:rsid w:val="00036DDC"/>
    <w:rsid w:val="00037078"/>
    <w:rsid w:val="000371FF"/>
    <w:rsid w:val="0003745D"/>
    <w:rsid w:val="000374A3"/>
    <w:rsid w:val="0003779D"/>
    <w:rsid w:val="000377B2"/>
    <w:rsid w:val="00037968"/>
    <w:rsid w:val="00037A51"/>
    <w:rsid w:val="00037A77"/>
    <w:rsid w:val="00037AF4"/>
    <w:rsid w:val="00037B90"/>
    <w:rsid w:val="0004002D"/>
    <w:rsid w:val="00040115"/>
    <w:rsid w:val="000401D9"/>
    <w:rsid w:val="000407F0"/>
    <w:rsid w:val="00040895"/>
    <w:rsid w:val="00040A8D"/>
    <w:rsid w:val="00040A9B"/>
    <w:rsid w:val="00040B05"/>
    <w:rsid w:val="00040C72"/>
    <w:rsid w:val="00040CD4"/>
    <w:rsid w:val="00041049"/>
    <w:rsid w:val="000411EC"/>
    <w:rsid w:val="00041266"/>
    <w:rsid w:val="00041276"/>
    <w:rsid w:val="00041308"/>
    <w:rsid w:val="000413F8"/>
    <w:rsid w:val="000418E4"/>
    <w:rsid w:val="000419A6"/>
    <w:rsid w:val="00041B32"/>
    <w:rsid w:val="00041F39"/>
    <w:rsid w:val="0004217B"/>
    <w:rsid w:val="000424B3"/>
    <w:rsid w:val="00042AC8"/>
    <w:rsid w:val="00042B52"/>
    <w:rsid w:val="00042C16"/>
    <w:rsid w:val="00042EAF"/>
    <w:rsid w:val="00042F1C"/>
    <w:rsid w:val="0004322B"/>
    <w:rsid w:val="00043382"/>
    <w:rsid w:val="00043407"/>
    <w:rsid w:val="00043445"/>
    <w:rsid w:val="000434EE"/>
    <w:rsid w:val="00043637"/>
    <w:rsid w:val="000436D3"/>
    <w:rsid w:val="00043C07"/>
    <w:rsid w:val="00043C37"/>
    <w:rsid w:val="00043DF6"/>
    <w:rsid w:val="00043F3B"/>
    <w:rsid w:val="00044154"/>
    <w:rsid w:val="000445EB"/>
    <w:rsid w:val="00044632"/>
    <w:rsid w:val="0004468D"/>
    <w:rsid w:val="0004481B"/>
    <w:rsid w:val="0004496C"/>
    <w:rsid w:val="00044C0F"/>
    <w:rsid w:val="00044F95"/>
    <w:rsid w:val="00045017"/>
    <w:rsid w:val="00045132"/>
    <w:rsid w:val="00045428"/>
    <w:rsid w:val="0004562F"/>
    <w:rsid w:val="000456A2"/>
    <w:rsid w:val="00045805"/>
    <w:rsid w:val="00045811"/>
    <w:rsid w:val="00045819"/>
    <w:rsid w:val="00045926"/>
    <w:rsid w:val="00045A2B"/>
    <w:rsid w:val="00045A5E"/>
    <w:rsid w:val="00045C49"/>
    <w:rsid w:val="00045CA2"/>
    <w:rsid w:val="0004604D"/>
    <w:rsid w:val="00046202"/>
    <w:rsid w:val="0004657B"/>
    <w:rsid w:val="000465A5"/>
    <w:rsid w:val="0004698F"/>
    <w:rsid w:val="00046E51"/>
    <w:rsid w:val="0004705F"/>
    <w:rsid w:val="000472E6"/>
    <w:rsid w:val="00047ED6"/>
    <w:rsid w:val="0005003D"/>
    <w:rsid w:val="0005018F"/>
    <w:rsid w:val="00050393"/>
    <w:rsid w:val="000505BF"/>
    <w:rsid w:val="00050690"/>
    <w:rsid w:val="00050EE2"/>
    <w:rsid w:val="00050F02"/>
    <w:rsid w:val="00050F83"/>
    <w:rsid w:val="0005117F"/>
    <w:rsid w:val="00051364"/>
    <w:rsid w:val="000516E6"/>
    <w:rsid w:val="0005197E"/>
    <w:rsid w:val="000519CC"/>
    <w:rsid w:val="0005223C"/>
    <w:rsid w:val="00052508"/>
    <w:rsid w:val="0005254E"/>
    <w:rsid w:val="0005297A"/>
    <w:rsid w:val="00052CA2"/>
    <w:rsid w:val="00053059"/>
    <w:rsid w:val="0005350A"/>
    <w:rsid w:val="00053569"/>
    <w:rsid w:val="000539D0"/>
    <w:rsid w:val="00053A7E"/>
    <w:rsid w:val="00053E6F"/>
    <w:rsid w:val="00053F14"/>
    <w:rsid w:val="000540FE"/>
    <w:rsid w:val="00054310"/>
    <w:rsid w:val="000544CB"/>
    <w:rsid w:val="000545B5"/>
    <w:rsid w:val="000545DB"/>
    <w:rsid w:val="00054621"/>
    <w:rsid w:val="000546D7"/>
    <w:rsid w:val="0005486E"/>
    <w:rsid w:val="00054C86"/>
    <w:rsid w:val="00054F35"/>
    <w:rsid w:val="0005502D"/>
    <w:rsid w:val="0005503D"/>
    <w:rsid w:val="0005521F"/>
    <w:rsid w:val="000552D1"/>
    <w:rsid w:val="00055336"/>
    <w:rsid w:val="000554F2"/>
    <w:rsid w:val="00055600"/>
    <w:rsid w:val="00055A19"/>
    <w:rsid w:val="00055E53"/>
    <w:rsid w:val="00056341"/>
    <w:rsid w:val="000565CD"/>
    <w:rsid w:val="00056A4F"/>
    <w:rsid w:val="00056FFA"/>
    <w:rsid w:val="00057184"/>
    <w:rsid w:val="00057657"/>
    <w:rsid w:val="00057B2B"/>
    <w:rsid w:val="00057E75"/>
    <w:rsid w:val="00060143"/>
    <w:rsid w:val="000601F9"/>
    <w:rsid w:val="00060230"/>
    <w:rsid w:val="000603CB"/>
    <w:rsid w:val="00060713"/>
    <w:rsid w:val="00060809"/>
    <w:rsid w:val="000608AE"/>
    <w:rsid w:val="0006091B"/>
    <w:rsid w:val="00060EAB"/>
    <w:rsid w:val="00060F0F"/>
    <w:rsid w:val="00060F8B"/>
    <w:rsid w:val="00060FDB"/>
    <w:rsid w:val="00061439"/>
    <w:rsid w:val="00061746"/>
    <w:rsid w:val="00061A05"/>
    <w:rsid w:val="00061B01"/>
    <w:rsid w:val="00061C73"/>
    <w:rsid w:val="00061C86"/>
    <w:rsid w:val="00061CD5"/>
    <w:rsid w:val="00062099"/>
    <w:rsid w:val="00062248"/>
    <w:rsid w:val="000622AA"/>
    <w:rsid w:val="000623C0"/>
    <w:rsid w:val="0006240E"/>
    <w:rsid w:val="0006242B"/>
    <w:rsid w:val="0006263E"/>
    <w:rsid w:val="00062F1F"/>
    <w:rsid w:val="000630D1"/>
    <w:rsid w:val="00063217"/>
    <w:rsid w:val="00063481"/>
    <w:rsid w:val="00063538"/>
    <w:rsid w:val="000635FF"/>
    <w:rsid w:val="0006398B"/>
    <w:rsid w:val="00063B35"/>
    <w:rsid w:val="00063DEB"/>
    <w:rsid w:val="00063FDC"/>
    <w:rsid w:val="00064174"/>
    <w:rsid w:val="0006422B"/>
    <w:rsid w:val="00064304"/>
    <w:rsid w:val="0006472A"/>
    <w:rsid w:val="000649BC"/>
    <w:rsid w:val="00064B13"/>
    <w:rsid w:val="00064B16"/>
    <w:rsid w:val="00064C53"/>
    <w:rsid w:val="00064E27"/>
    <w:rsid w:val="00064FD8"/>
    <w:rsid w:val="000651C6"/>
    <w:rsid w:val="00065302"/>
    <w:rsid w:val="000653E1"/>
    <w:rsid w:val="00065795"/>
    <w:rsid w:val="000657B4"/>
    <w:rsid w:val="000657DE"/>
    <w:rsid w:val="00065A34"/>
    <w:rsid w:val="00065BB0"/>
    <w:rsid w:val="00065C27"/>
    <w:rsid w:val="00065DDC"/>
    <w:rsid w:val="000661C0"/>
    <w:rsid w:val="00066220"/>
    <w:rsid w:val="00066360"/>
    <w:rsid w:val="00066637"/>
    <w:rsid w:val="0006663E"/>
    <w:rsid w:val="00066730"/>
    <w:rsid w:val="000667A7"/>
    <w:rsid w:val="0006695A"/>
    <w:rsid w:val="000669A4"/>
    <w:rsid w:val="000669F2"/>
    <w:rsid w:val="00066BFF"/>
    <w:rsid w:val="00066D2E"/>
    <w:rsid w:val="00066D33"/>
    <w:rsid w:val="00066D56"/>
    <w:rsid w:val="00066DDC"/>
    <w:rsid w:val="00066F44"/>
    <w:rsid w:val="00066F75"/>
    <w:rsid w:val="00067075"/>
    <w:rsid w:val="00067574"/>
    <w:rsid w:val="000675AE"/>
    <w:rsid w:val="00067676"/>
    <w:rsid w:val="0006780A"/>
    <w:rsid w:val="00067829"/>
    <w:rsid w:val="00067BB7"/>
    <w:rsid w:val="00067C2F"/>
    <w:rsid w:val="00067C38"/>
    <w:rsid w:val="00067EE6"/>
    <w:rsid w:val="00070192"/>
    <w:rsid w:val="0007022E"/>
    <w:rsid w:val="0007049B"/>
    <w:rsid w:val="0007071A"/>
    <w:rsid w:val="00071248"/>
    <w:rsid w:val="00071419"/>
    <w:rsid w:val="000715EF"/>
    <w:rsid w:val="000716FC"/>
    <w:rsid w:val="0007184B"/>
    <w:rsid w:val="00072032"/>
    <w:rsid w:val="000720B9"/>
    <w:rsid w:val="0007239F"/>
    <w:rsid w:val="00072427"/>
    <w:rsid w:val="0007257C"/>
    <w:rsid w:val="000727B8"/>
    <w:rsid w:val="0007283B"/>
    <w:rsid w:val="00072ABE"/>
    <w:rsid w:val="00072BA2"/>
    <w:rsid w:val="00072BC4"/>
    <w:rsid w:val="00072DEE"/>
    <w:rsid w:val="0007311B"/>
    <w:rsid w:val="000735F9"/>
    <w:rsid w:val="000737F7"/>
    <w:rsid w:val="0007382B"/>
    <w:rsid w:val="000738EA"/>
    <w:rsid w:val="000739AD"/>
    <w:rsid w:val="00073AEB"/>
    <w:rsid w:val="00073E39"/>
    <w:rsid w:val="00073FBB"/>
    <w:rsid w:val="00074100"/>
    <w:rsid w:val="000746F9"/>
    <w:rsid w:val="00074770"/>
    <w:rsid w:val="00074783"/>
    <w:rsid w:val="00074885"/>
    <w:rsid w:val="000749A1"/>
    <w:rsid w:val="00074C5D"/>
    <w:rsid w:val="00074E9F"/>
    <w:rsid w:val="000751B9"/>
    <w:rsid w:val="00075241"/>
    <w:rsid w:val="00075480"/>
    <w:rsid w:val="00075836"/>
    <w:rsid w:val="00075A78"/>
    <w:rsid w:val="00075B30"/>
    <w:rsid w:val="00075D8A"/>
    <w:rsid w:val="000766B6"/>
    <w:rsid w:val="0007672F"/>
    <w:rsid w:val="00076853"/>
    <w:rsid w:val="00076A4E"/>
    <w:rsid w:val="00076A9A"/>
    <w:rsid w:val="00076D58"/>
    <w:rsid w:val="000770E6"/>
    <w:rsid w:val="00077103"/>
    <w:rsid w:val="00077274"/>
    <w:rsid w:val="000774F0"/>
    <w:rsid w:val="00077FA0"/>
    <w:rsid w:val="000802B2"/>
    <w:rsid w:val="000802C1"/>
    <w:rsid w:val="00080531"/>
    <w:rsid w:val="00080909"/>
    <w:rsid w:val="000809FC"/>
    <w:rsid w:val="000810C6"/>
    <w:rsid w:val="000812CA"/>
    <w:rsid w:val="00081321"/>
    <w:rsid w:val="000814C1"/>
    <w:rsid w:val="00081987"/>
    <w:rsid w:val="00081A99"/>
    <w:rsid w:val="00081CDB"/>
    <w:rsid w:val="00081DE0"/>
    <w:rsid w:val="0008258D"/>
    <w:rsid w:val="00082666"/>
    <w:rsid w:val="000826E5"/>
    <w:rsid w:val="0008282F"/>
    <w:rsid w:val="00082875"/>
    <w:rsid w:val="000828B1"/>
    <w:rsid w:val="0008295F"/>
    <w:rsid w:val="00082CBF"/>
    <w:rsid w:val="00082E45"/>
    <w:rsid w:val="00082E7B"/>
    <w:rsid w:val="000831BB"/>
    <w:rsid w:val="0008387E"/>
    <w:rsid w:val="00083B69"/>
    <w:rsid w:val="00083CCA"/>
    <w:rsid w:val="00083E99"/>
    <w:rsid w:val="000840B0"/>
    <w:rsid w:val="00084257"/>
    <w:rsid w:val="000847B1"/>
    <w:rsid w:val="00084B96"/>
    <w:rsid w:val="00084FEC"/>
    <w:rsid w:val="00084FFE"/>
    <w:rsid w:val="00085284"/>
    <w:rsid w:val="00085302"/>
    <w:rsid w:val="00085381"/>
    <w:rsid w:val="00085421"/>
    <w:rsid w:val="000856C5"/>
    <w:rsid w:val="000857FF"/>
    <w:rsid w:val="000859B8"/>
    <w:rsid w:val="00085C4F"/>
    <w:rsid w:val="00085D2C"/>
    <w:rsid w:val="00085E93"/>
    <w:rsid w:val="00086188"/>
    <w:rsid w:val="00086354"/>
    <w:rsid w:val="00086492"/>
    <w:rsid w:val="000864BA"/>
    <w:rsid w:val="000866A6"/>
    <w:rsid w:val="0008682E"/>
    <w:rsid w:val="00086865"/>
    <w:rsid w:val="00086A1D"/>
    <w:rsid w:val="00086B29"/>
    <w:rsid w:val="00086CD7"/>
    <w:rsid w:val="000870D0"/>
    <w:rsid w:val="00087130"/>
    <w:rsid w:val="0008733D"/>
    <w:rsid w:val="00087384"/>
    <w:rsid w:val="0008762D"/>
    <w:rsid w:val="00087813"/>
    <w:rsid w:val="0008787E"/>
    <w:rsid w:val="00087AAE"/>
    <w:rsid w:val="00087C41"/>
    <w:rsid w:val="00087C51"/>
    <w:rsid w:val="00087CF2"/>
    <w:rsid w:val="00087D0E"/>
    <w:rsid w:val="00087D78"/>
    <w:rsid w:val="00087F7F"/>
    <w:rsid w:val="0009010E"/>
    <w:rsid w:val="000901BE"/>
    <w:rsid w:val="00090305"/>
    <w:rsid w:val="00090590"/>
    <w:rsid w:val="00090704"/>
    <w:rsid w:val="0009078A"/>
    <w:rsid w:val="0009099F"/>
    <w:rsid w:val="00090B98"/>
    <w:rsid w:val="00090C7E"/>
    <w:rsid w:val="00090CBA"/>
    <w:rsid w:val="00090DA9"/>
    <w:rsid w:val="000910C2"/>
    <w:rsid w:val="00091129"/>
    <w:rsid w:val="000917A0"/>
    <w:rsid w:val="000919A1"/>
    <w:rsid w:val="00091A7D"/>
    <w:rsid w:val="00092162"/>
    <w:rsid w:val="00092453"/>
    <w:rsid w:val="00092600"/>
    <w:rsid w:val="0009262B"/>
    <w:rsid w:val="00092719"/>
    <w:rsid w:val="00092767"/>
    <w:rsid w:val="00092891"/>
    <w:rsid w:val="000928C5"/>
    <w:rsid w:val="00092BB5"/>
    <w:rsid w:val="00092C94"/>
    <w:rsid w:val="00092CCA"/>
    <w:rsid w:val="00093135"/>
    <w:rsid w:val="00093310"/>
    <w:rsid w:val="0009358D"/>
    <w:rsid w:val="00093C42"/>
    <w:rsid w:val="00093F5C"/>
    <w:rsid w:val="0009418F"/>
    <w:rsid w:val="00094288"/>
    <w:rsid w:val="00094351"/>
    <w:rsid w:val="00094453"/>
    <w:rsid w:val="0009445C"/>
    <w:rsid w:val="00094692"/>
    <w:rsid w:val="000948A3"/>
    <w:rsid w:val="00094996"/>
    <w:rsid w:val="00094BC5"/>
    <w:rsid w:val="00094BF2"/>
    <w:rsid w:val="00094E72"/>
    <w:rsid w:val="00094EC2"/>
    <w:rsid w:val="00094F13"/>
    <w:rsid w:val="000951DE"/>
    <w:rsid w:val="0009523E"/>
    <w:rsid w:val="0009569A"/>
    <w:rsid w:val="000957E5"/>
    <w:rsid w:val="00095818"/>
    <w:rsid w:val="00095842"/>
    <w:rsid w:val="00095A1D"/>
    <w:rsid w:val="00095A6D"/>
    <w:rsid w:val="00095DB9"/>
    <w:rsid w:val="00095FE5"/>
    <w:rsid w:val="00096284"/>
    <w:rsid w:val="000963F1"/>
    <w:rsid w:val="00096B47"/>
    <w:rsid w:val="00096B90"/>
    <w:rsid w:val="00096C62"/>
    <w:rsid w:val="00096D7D"/>
    <w:rsid w:val="00096D8F"/>
    <w:rsid w:val="00096E8B"/>
    <w:rsid w:val="00096F8C"/>
    <w:rsid w:val="0009720F"/>
    <w:rsid w:val="00097464"/>
    <w:rsid w:val="000974A2"/>
    <w:rsid w:val="000974BD"/>
    <w:rsid w:val="00097AB2"/>
    <w:rsid w:val="00097B07"/>
    <w:rsid w:val="00097BA8"/>
    <w:rsid w:val="00097C3C"/>
    <w:rsid w:val="00097E44"/>
    <w:rsid w:val="00097FB4"/>
    <w:rsid w:val="000A01BA"/>
    <w:rsid w:val="000A03B2"/>
    <w:rsid w:val="000A091A"/>
    <w:rsid w:val="000A0F10"/>
    <w:rsid w:val="000A0F3E"/>
    <w:rsid w:val="000A0F56"/>
    <w:rsid w:val="000A10E9"/>
    <w:rsid w:val="000A122C"/>
    <w:rsid w:val="000A1232"/>
    <w:rsid w:val="000A1290"/>
    <w:rsid w:val="000A137E"/>
    <w:rsid w:val="000A13F8"/>
    <w:rsid w:val="000A144B"/>
    <w:rsid w:val="000A14D8"/>
    <w:rsid w:val="000A18D9"/>
    <w:rsid w:val="000A197A"/>
    <w:rsid w:val="000A1B5A"/>
    <w:rsid w:val="000A1C52"/>
    <w:rsid w:val="000A1CE3"/>
    <w:rsid w:val="000A1E38"/>
    <w:rsid w:val="000A1E7E"/>
    <w:rsid w:val="000A2073"/>
    <w:rsid w:val="000A20EF"/>
    <w:rsid w:val="000A226E"/>
    <w:rsid w:val="000A25EF"/>
    <w:rsid w:val="000A28F8"/>
    <w:rsid w:val="000A2C32"/>
    <w:rsid w:val="000A2CEB"/>
    <w:rsid w:val="000A2DA3"/>
    <w:rsid w:val="000A30A4"/>
    <w:rsid w:val="000A35D2"/>
    <w:rsid w:val="000A362E"/>
    <w:rsid w:val="000A3801"/>
    <w:rsid w:val="000A380E"/>
    <w:rsid w:val="000A3B86"/>
    <w:rsid w:val="000A3BEA"/>
    <w:rsid w:val="000A3FC6"/>
    <w:rsid w:val="000A41C4"/>
    <w:rsid w:val="000A4614"/>
    <w:rsid w:val="000A4A71"/>
    <w:rsid w:val="000A4A95"/>
    <w:rsid w:val="000A4E74"/>
    <w:rsid w:val="000A4FDB"/>
    <w:rsid w:val="000A4FFE"/>
    <w:rsid w:val="000A519D"/>
    <w:rsid w:val="000A51FF"/>
    <w:rsid w:val="000A5451"/>
    <w:rsid w:val="000A546D"/>
    <w:rsid w:val="000A54EA"/>
    <w:rsid w:val="000A594E"/>
    <w:rsid w:val="000A6146"/>
    <w:rsid w:val="000A61F7"/>
    <w:rsid w:val="000A63F5"/>
    <w:rsid w:val="000A6605"/>
    <w:rsid w:val="000A6682"/>
    <w:rsid w:val="000A6812"/>
    <w:rsid w:val="000A6906"/>
    <w:rsid w:val="000A6AB6"/>
    <w:rsid w:val="000A6D05"/>
    <w:rsid w:val="000A6E41"/>
    <w:rsid w:val="000A71F9"/>
    <w:rsid w:val="000A747D"/>
    <w:rsid w:val="000A74AB"/>
    <w:rsid w:val="000A7626"/>
    <w:rsid w:val="000A77EF"/>
    <w:rsid w:val="000A7872"/>
    <w:rsid w:val="000A788A"/>
    <w:rsid w:val="000A790A"/>
    <w:rsid w:val="000A79C0"/>
    <w:rsid w:val="000A7A7F"/>
    <w:rsid w:val="000A7D08"/>
    <w:rsid w:val="000B0670"/>
    <w:rsid w:val="000B0723"/>
    <w:rsid w:val="000B08E9"/>
    <w:rsid w:val="000B0E75"/>
    <w:rsid w:val="000B1113"/>
    <w:rsid w:val="000B1141"/>
    <w:rsid w:val="000B1281"/>
    <w:rsid w:val="000B189C"/>
    <w:rsid w:val="000B1A9D"/>
    <w:rsid w:val="000B1B8B"/>
    <w:rsid w:val="000B1F88"/>
    <w:rsid w:val="000B25D4"/>
    <w:rsid w:val="000B32DB"/>
    <w:rsid w:val="000B3598"/>
    <w:rsid w:val="000B371F"/>
    <w:rsid w:val="000B3A86"/>
    <w:rsid w:val="000B3AA3"/>
    <w:rsid w:val="000B3CA3"/>
    <w:rsid w:val="000B3F62"/>
    <w:rsid w:val="000B3F98"/>
    <w:rsid w:val="000B400B"/>
    <w:rsid w:val="000B432E"/>
    <w:rsid w:val="000B44DC"/>
    <w:rsid w:val="000B4781"/>
    <w:rsid w:val="000B4813"/>
    <w:rsid w:val="000B49E6"/>
    <w:rsid w:val="000B4AC2"/>
    <w:rsid w:val="000B5004"/>
    <w:rsid w:val="000B5011"/>
    <w:rsid w:val="000B50F7"/>
    <w:rsid w:val="000B5236"/>
    <w:rsid w:val="000B524F"/>
    <w:rsid w:val="000B5374"/>
    <w:rsid w:val="000B55FA"/>
    <w:rsid w:val="000B56DF"/>
    <w:rsid w:val="000B58EE"/>
    <w:rsid w:val="000B5A4D"/>
    <w:rsid w:val="000B5AF4"/>
    <w:rsid w:val="000B5FB7"/>
    <w:rsid w:val="000B6294"/>
    <w:rsid w:val="000B65AF"/>
    <w:rsid w:val="000B666C"/>
    <w:rsid w:val="000B6898"/>
    <w:rsid w:val="000B68D4"/>
    <w:rsid w:val="000B69AD"/>
    <w:rsid w:val="000B6CAC"/>
    <w:rsid w:val="000B6F77"/>
    <w:rsid w:val="000B7030"/>
    <w:rsid w:val="000B70B2"/>
    <w:rsid w:val="000B71ED"/>
    <w:rsid w:val="000B7612"/>
    <w:rsid w:val="000B76B8"/>
    <w:rsid w:val="000B79FA"/>
    <w:rsid w:val="000B7B0F"/>
    <w:rsid w:val="000B7B9F"/>
    <w:rsid w:val="000B7D1B"/>
    <w:rsid w:val="000B7E94"/>
    <w:rsid w:val="000B7F3F"/>
    <w:rsid w:val="000B7F7E"/>
    <w:rsid w:val="000B7FF8"/>
    <w:rsid w:val="000C00FE"/>
    <w:rsid w:val="000C020B"/>
    <w:rsid w:val="000C0229"/>
    <w:rsid w:val="000C04D4"/>
    <w:rsid w:val="000C04E0"/>
    <w:rsid w:val="000C0B90"/>
    <w:rsid w:val="000C0BC0"/>
    <w:rsid w:val="000C0C71"/>
    <w:rsid w:val="000C0CBC"/>
    <w:rsid w:val="000C0DAA"/>
    <w:rsid w:val="000C1795"/>
    <w:rsid w:val="000C182E"/>
    <w:rsid w:val="000C19A9"/>
    <w:rsid w:val="000C1C9E"/>
    <w:rsid w:val="000C1D50"/>
    <w:rsid w:val="000C1EE5"/>
    <w:rsid w:val="000C203A"/>
    <w:rsid w:val="000C261D"/>
    <w:rsid w:val="000C26AF"/>
    <w:rsid w:val="000C2CEA"/>
    <w:rsid w:val="000C2D85"/>
    <w:rsid w:val="000C2E0A"/>
    <w:rsid w:val="000C3014"/>
    <w:rsid w:val="000C34C5"/>
    <w:rsid w:val="000C356C"/>
    <w:rsid w:val="000C372C"/>
    <w:rsid w:val="000C3818"/>
    <w:rsid w:val="000C381D"/>
    <w:rsid w:val="000C3CBD"/>
    <w:rsid w:val="000C3CCA"/>
    <w:rsid w:val="000C3DF9"/>
    <w:rsid w:val="000C3E03"/>
    <w:rsid w:val="000C3E6F"/>
    <w:rsid w:val="000C4118"/>
    <w:rsid w:val="000C42EE"/>
    <w:rsid w:val="000C4360"/>
    <w:rsid w:val="000C442E"/>
    <w:rsid w:val="000C457E"/>
    <w:rsid w:val="000C45A0"/>
    <w:rsid w:val="000C46C9"/>
    <w:rsid w:val="000C47AF"/>
    <w:rsid w:val="000C4D2F"/>
    <w:rsid w:val="000C4D37"/>
    <w:rsid w:val="000C5516"/>
    <w:rsid w:val="000C55D8"/>
    <w:rsid w:val="000C57DD"/>
    <w:rsid w:val="000C57FF"/>
    <w:rsid w:val="000C5858"/>
    <w:rsid w:val="000C5BBC"/>
    <w:rsid w:val="000C5BED"/>
    <w:rsid w:val="000C5CAA"/>
    <w:rsid w:val="000C5D64"/>
    <w:rsid w:val="000C5DCF"/>
    <w:rsid w:val="000C5E8D"/>
    <w:rsid w:val="000C624B"/>
    <w:rsid w:val="000C6498"/>
    <w:rsid w:val="000C6661"/>
    <w:rsid w:val="000C6713"/>
    <w:rsid w:val="000C699A"/>
    <w:rsid w:val="000C6B14"/>
    <w:rsid w:val="000C6B6C"/>
    <w:rsid w:val="000C6BC6"/>
    <w:rsid w:val="000C6E7D"/>
    <w:rsid w:val="000C6E8D"/>
    <w:rsid w:val="000C71B7"/>
    <w:rsid w:val="000C785A"/>
    <w:rsid w:val="000D0537"/>
    <w:rsid w:val="000D05A9"/>
    <w:rsid w:val="000D0661"/>
    <w:rsid w:val="000D0F9B"/>
    <w:rsid w:val="000D15B4"/>
    <w:rsid w:val="000D16DE"/>
    <w:rsid w:val="000D16E0"/>
    <w:rsid w:val="000D1BD5"/>
    <w:rsid w:val="000D1BFC"/>
    <w:rsid w:val="000D1CA5"/>
    <w:rsid w:val="000D1CEA"/>
    <w:rsid w:val="000D1FA8"/>
    <w:rsid w:val="000D2002"/>
    <w:rsid w:val="000D2109"/>
    <w:rsid w:val="000D2122"/>
    <w:rsid w:val="000D257E"/>
    <w:rsid w:val="000D25D4"/>
    <w:rsid w:val="000D281A"/>
    <w:rsid w:val="000D2872"/>
    <w:rsid w:val="000D2B29"/>
    <w:rsid w:val="000D2F41"/>
    <w:rsid w:val="000D305D"/>
    <w:rsid w:val="000D326A"/>
    <w:rsid w:val="000D3502"/>
    <w:rsid w:val="000D3584"/>
    <w:rsid w:val="000D35CA"/>
    <w:rsid w:val="000D36DB"/>
    <w:rsid w:val="000D3803"/>
    <w:rsid w:val="000D39BC"/>
    <w:rsid w:val="000D3BC1"/>
    <w:rsid w:val="000D3D50"/>
    <w:rsid w:val="000D3E3E"/>
    <w:rsid w:val="000D3E6F"/>
    <w:rsid w:val="000D4161"/>
    <w:rsid w:val="000D422E"/>
    <w:rsid w:val="000D4839"/>
    <w:rsid w:val="000D4940"/>
    <w:rsid w:val="000D4A2F"/>
    <w:rsid w:val="000D4A97"/>
    <w:rsid w:val="000D4AA2"/>
    <w:rsid w:val="000D4B3C"/>
    <w:rsid w:val="000D4E6F"/>
    <w:rsid w:val="000D4EB3"/>
    <w:rsid w:val="000D51FB"/>
    <w:rsid w:val="000D547E"/>
    <w:rsid w:val="000D5589"/>
    <w:rsid w:val="000D55D6"/>
    <w:rsid w:val="000D5783"/>
    <w:rsid w:val="000D57CA"/>
    <w:rsid w:val="000D5BA8"/>
    <w:rsid w:val="000D5DEB"/>
    <w:rsid w:val="000D5F9E"/>
    <w:rsid w:val="000D6219"/>
    <w:rsid w:val="000D651F"/>
    <w:rsid w:val="000D66E2"/>
    <w:rsid w:val="000D681C"/>
    <w:rsid w:val="000D6C8C"/>
    <w:rsid w:val="000D711F"/>
    <w:rsid w:val="000D7356"/>
    <w:rsid w:val="000D749C"/>
    <w:rsid w:val="000D759F"/>
    <w:rsid w:val="000D7867"/>
    <w:rsid w:val="000D7931"/>
    <w:rsid w:val="000D7A14"/>
    <w:rsid w:val="000D7BF9"/>
    <w:rsid w:val="000D7E2F"/>
    <w:rsid w:val="000E0129"/>
    <w:rsid w:val="000E0452"/>
    <w:rsid w:val="000E065E"/>
    <w:rsid w:val="000E08B0"/>
    <w:rsid w:val="000E0919"/>
    <w:rsid w:val="000E09D3"/>
    <w:rsid w:val="000E0A7F"/>
    <w:rsid w:val="000E0DB3"/>
    <w:rsid w:val="000E0EC2"/>
    <w:rsid w:val="000E10F1"/>
    <w:rsid w:val="000E132A"/>
    <w:rsid w:val="000E135D"/>
    <w:rsid w:val="000E13B3"/>
    <w:rsid w:val="000E1509"/>
    <w:rsid w:val="000E15AE"/>
    <w:rsid w:val="000E18D4"/>
    <w:rsid w:val="000E19E5"/>
    <w:rsid w:val="000E1A97"/>
    <w:rsid w:val="000E1B50"/>
    <w:rsid w:val="000E1F35"/>
    <w:rsid w:val="000E2099"/>
    <w:rsid w:val="000E21D5"/>
    <w:rsid w:val="000E2895"/>
    <w:rsid w:val="000E2A6C"/>
    <w:rsid w:val="000E2E82"/>
    <w:rsid w:val="000E2F01"/>
    <w:rsid w:val="000E31CD"/>
    <w:rsid w:val="000E355B"/>
    <w:rsid w:val="000E3722"/>
    <w:rsid w:val="000E3767"/>
    <w:rsid w:val="000E3A77"/>
    <w:rsid w:val="000E3C6C"/>
    <w:rsid w:val="000E3D30"/>
    <w:rsid w:val="000E4089"/>
    <w:rsid w:val="000E41B6"/>
    <w:rsid w:val="000E41FE"/>
    <w:rsid w:val="000E4246"/>
    <w:rsid w:val="000E438D"/>
    <w:rsid w:val="000E4562"/>
    <w:rsid w:val="000E45EA"/>
    <w:rsid w:val="000E48E7"/>
    <w:rsid w:val="000E4F90"/>
    <w:rsid w:val="000E506E"/>
    <w:rsid w:val="000E5140"/>
    <w:rsid w:val="000E5400"/>
    <w:rsid w:val="000E596B"/>
    <w:rsid w:val="000E59E2"/>
    <w:rsid w:val="000E5A5F"/>
    <w:rsid w:val="000E5B1B"/>
    <w:rsid w:val="000E5C12"/>
    <w:rsid w:val="000E5DCF"/>
    <w:rsid w:val="000E62F6"/>
    <w:rsid w:val="000E6526"/>
    <w:rsid w:val="000E6690"/>
    <w:rsid w:val="000E6786"/>
    <w:rsid w:val="000E6916"/>
    <w:rsid w:val="000E6FBB"/>
    <w:rsid w:val="000E7088"/>
    <w:rsid w:val="000E76AC"/>
    <w:rsid w:val="000E77B7"/>
    <w:rsid w:val="000E7B00"/>
    <w:rsid w:val="000E7DBC"/>
    <w:rsid w:val="000F00BA"/>
    <w:rsid w:val="000F01E5"/>
    <w:rsid w:val="000F04BC"/>
    <w:rsid w:val="000F05AA"/>
    <w:rsid w:val="000F09F1"/>
    <w:rsid w:val="000F0D2C"/>
    <w:rsid w:val="000F0E53"/>
    <w:rsid w:val="000F0E80"/>
    <w:rsid w:val="000F1024"/>
    <w:rsid w:val="000F1172"/>
    <w:rsid w:val="000F1469"/>
    <w:rsid w:val="000F149C"/>
    <w:rsid w:val="000F150B"/>
    <w:rsid w:val="000F16E4"/>
    <w:rsid w:val="000F1A37"/>
    <w:rsid w:val="000F1ECA"/>
    <w:rsid w:val="000F21C5"/>
    <w:rsid w:val="000F22ED"/>
    <w:rsid w:val="000F280D"/>
    <w:rsid w:val="000F2835"/>
    <w:rsid w:val="000F2843"/>
    <w:rsid w:val="000F29B5"/>
    <w:rsid w:val="000F29BC"/>
    <w:rsid w:val="000F29FF"/>
    <w:rsid w:val="000F2C8F"/>
    <w:rsid w:val="000F2E23"/>
    <w:rsid w:val="000F3046"/>
    <w:rsid w:val="000F316A"/>
    <w:rsid w:val="000F3594"/>
    <w:rsid w:val="000F3711"/>
    <w:rsid w:val="000F3973"/>
    <w:rsid w:val="000F3C74"/>
    <w:rsid w:val="000F3E2B"/>
    <w:rsid w:val="000F436E"/>
    <w:rsid w:val="000F4724"/>
    <w:rsid w:val="000F4832"/>
    <w:rsid w:val="000F4896"/>
    <w:rsid w:val="000F4B48"/>
    <w:rsid w:val="000F4BB8"/>
    <w:rsid w:val="000F5902"/>
    <w:rsid w:val="000F62A4"/>
    <w:rsid w:val="000F6353"/>
    <w:rsid w:val="000F68A2"/>
    <w:rsid w:val="000F6AC3"/>
    <w:rsid w:val="000F6CEE"/>
    <w:rsid w:val="000F6E88"/>
    <w:rsid w:val="000F7127"/>
    <w:rsid w:val="000F715C"/>
    <w:rsid w:val="000F7744"/>
    <w:rsid w:val="000F7917"/>
    <w:rsid w:val="000F7A5E"/>
    <w:rsid w:val="000F7A84"/>
    <w:rsid w:val="000F7FE6"/>
    <w:rsid w:val="00100210"/>
    <w:rsid w:val="0010041C"/>
    <w:rsid w:val="0010083E"/>
    <w:rsid w:val="0010091C"/>
    <w:rsid w:val="00100AFF"/>
    <w:rsid w:val="00100F01"/>
    <w:rsid w:val="00100F8A"/>
    <w:rsid w:val="001012B9"/>
    <w:rsid w:val="001016E1"/>
    <w:rsid w:val="001019CE"/>
    <w:rsid w:val="00101A22"/>
    <w:rsid w:val="00101A8B"/>
    <w:rsid w:val="00101BAE"/>
    <w:rsid w:val="00101E09"/>
    <w:rsid w:val="00101E85"/>
    <w:rsid w:val="00101EC0"/>
    <w:rsid w:val="0010232A"/>
    <w:rsid w:val="00102342"/>
    <w:rsid w:val="0010234E"/>
    <w:rsid w:val="0010242C"/>
    <w:rsid w:val="001024C2"/>
    <w:rsid w:val="00102512"/>
    <w:rsid w:val="0010252E"/>
    <w:rsid w:val="00102FB1"/>
    <w:rsid w:val="001031F1"/>
    <w:rsid w:val="0010342A"/>
    <w:rsid w:val="0010360D"/>
    <w:rsid w:val="001036C6"/>
    <w:rsid w:val="00103871"/>
    <w:rsid w:val="00103B7A"/>
    <w:rsid w:val="00103D5D"/>
    <w:rsid w:val="00104438"/>
    <w:rsid w:val="00104C5D"/>
    <w:rsid w:val="00104E5D"/>
    <w:rsid w:val="0010500B"/>
    <w:rsid w:val="001050C9"/>
    <w:rsid w:val="00105391"/>
    <w:rsid w:val="001055F4"/>
    <w:rsid w:val="001058C0"/>
    <w:rsid w:val="00105AE2"/>
    <w:rsid w:val="00105DCF"/>
    <w:rsid w:val="00105FCE"/>
    <w:rsid w:val="001060B7"/>
    <w:rsid w:val="0010613B"/>
    <w:rsid w:val="00106147"/>
    <w:rsid w:val="00106164"/>
    <w:rsid w:val="00106196"/>
    <w:rsid w:val="00106233"/>
    <w:rsid w:val="0010637C"/>
    <w:rsid w:val="001065EE"/>
    <w:rsid w:val="00106659"/>
    <w:rsid w:val="00106859"/>
    <w:rsid w:val="00106A20"/>
    <w:rsid w:val="00106B80"/>
    <w:rsid w:val="00106C7E"/>
    <w:rsid w:val="00106E33"/>
    <w:rsid w:val="00106E39"/>
    <w:rsid w:val="00106FBE"/>
    <w:rsid w:val="00107132"/>
    <w:rsid w:val="00107147"/>
    <w:rsid w:val="001073F1"/>
    <w:rsid w:val="001079F1"/>
    <w:rsid w:val="00107DC9"/>
    <w:rsid w:val="00107DE8"/>
    <w:rsid w:val="001100B1"/>
    <w:rsid w:val="00110120"/>
    <w:rsid w:val="0011032E"/>
    <w:rsid w:val="00110473"/>
    <w:rsid w:val="001105A9"/>
    <w:rsid w:val="001106AC"/>
    <w:rsid w:val="00110752"/>
    <w:rsid w:val="001112FF"/>
    <w:rsid w:val="00111472"/>
    <w:rsid w:val="00111B07"/>
    <w:rsid w:val="00111B81"/>
    <w:rsid w:val="00111DC3"/>
    <w:rsid w:val="00111DFF"/>
    <w:rsid w:val="00112044"/>
    <w:rsid w:val="00112460"/>
    <w:rsid w:val="0011248B"/>
    <w:rsid w:val="001124EA"/>
    <w:rsid w:val="00112534"/>
    <w:rsid w:val="001125C6"/>
    <w:rsid w:val="00112AAE"/>
    <w:rsid w:val="00112B02"/>
    <w:rsid w:val="00112D18"/>
    <w:rsid w:val="00113043"/>
    <w:rsid w:val="0011343E"/>
    <w:rsid w:val="0011348B"/>
    <w:rsid w:val="00113906"/>
    <w:rsid w:val="00113C6A"/>
    <w:rsid w:val="00113EE9"/>
    <w:rsid w:val="00114020"/>
    <w:rsid w:val="001143B9"/>
    <w:rsid w:val="00114675"/>
    <w:rsid w:val="0011480B"/>
    <w:rsid w:val="00114A75"/>
    <w:rsid w:val="00114AA3"/>
    <w:rsid w:val="00114B5D"/>
    <w:rsid w:val="00114D5A"/>
    <w:rsid w:val="00114EAA"/>
    <w:rsid w:val="00114FB5"/>
    <w:rsid w:val="00115584"/>
    <w:rsid w:val="001155D9"/>
    <w:rsid w:val="00115982"/>
    <w:rsid w:val="001160D3"/>
    <w:rsid w:val="001161D4"/>
    <w:rsid w:val="00116298"/>
    <w:rsid w:val="001163BC"/>
    <w:rsid w:val="00116772"/>
    <w:rsid w:val="00116C53"/>
    <w:rsid w:val="0011743B"/>
    <w:rsid w:val="001178F2"/>
    <w:rsid w:val="00117CC5"/>
    <w:rsid w:val="00117FA8"/>
    <w:rsid w:val="001202D5"/>
    <w:rsid w:val="00120558"/>
    <w:rsid w:val="00121061"/>
    <w:rsid w:val="001211AD"/>
    <w:rsid w:val="00121418"/>
    <w:rsid w:val="00121799"/>
    <w:rsid w:val="001218A2"/>
    <w:rsid w:val="00121A0C"/>
    <w:rsid w:val="00121AC8"/>
    <w:rsid w:val="00121B66"/>
    <w:rsid w:val="00121C9E"/>
    <w:rsid w:val="00121DE7"/>
    <w:rsid w:val="00121E21"/>
    <w:rsid w:val="00121E7E"/>
    <w:rsid w:val="001222FC"/>
    <w:rsid w:val="001223B2"/>
    <w:rsid w:val="001223B8"/>
    <w:rsid w:val="0012248D"/>
    <w:rsid w:val="001225A3"/>
    <w:rsid w:val="001232C6"/>
    <w:rsid w:val="001236CC"/>
    <w:rsid w:val="00123778"/>
    <w:rsid w:val="00123ABC"/>
    <w:rsid w:val="00123BCE"/>
    <w:rsid w:val="001240FB"/>
    <w:rsid w:val="001242A1"/>
    <w:rsid w:val="00124A51"/>
    <w:rsid w:val="00124B9F"/>
    <w:rsid w:val="0012507E"/>
    <w:rsid w:val="001256BB"/>
    <w:rsid w:val="001257BC"/>
    <w:rsid w:val="0012589F"/>
    <w:rsid w:val="0012595A"/>
    <w:rsid w:val="00125B4C"/>
    <w:rsid w:val="00125CF9"/>
    <w:rsid w:val="00125D32"/>
    <w:rsid w:val="00125FC5"/>
    <w:rsid w:val="00126023"/>
    <w:rsid w:val="001260A8"/>
    <w:rsid w:val="0012618B"/>
    <w:rsid w:val="0012630B"/>
    <w:rsid w:val="001263CF"/>
    <w:rsid w:val="00126621"/>
    <w:rsid w:val="001266EE"/>
    <w:rsid w:val="001266F4"/>
    <w:rsid w:val="001267A8"/>
    <w:rsid w:val="001268D5"/>
    <w:rsid w:val="00126968"/>
    <w:rsid w:val="00126A46"/>
    <w:rsid w:val="00126CC9"/>
    <w:rsid w:val="00126D99"/>
    <w:rsid w:val="00126F45"/>
    <w:rsid w:val="0012709C"/>
    <w:rsid w:val="001272F5"/>
    <w:rsid w:val="00127510"/>
    <w:rsid w:val="0012782D"/>
    <w:rsid w:val="0012792C"/>
    <w:rsid w:val="00127E09"/>
    <w:rsid w:val="00127F58"/>
    <w:rsid w:val="00127FED"/>
    <w:rsid w:val="001300CB"/>
    <w:rsid w:val="001301E9"/>
    <w:rsid w:val="00130223"/>
    <w:rsid w:val="00130368"/>
    <w:rsid w:val="001303E2"/>
    <w:rsid w:val="001309C7"/>
    <w:rsid w:val="001313AA"/>
    <w:rsid w:val="001313F9"/>
    <w:rsid w:val="00131713"/>
    <w:rsid w:val="001317D6"/>
    <w:rsid w:val="001318BC"/>
    <w:rsid w:val="001319A7"/>
    <w:rsid w:val="00131CFF"/>
    <w:rsid w:val="00131D82"/>
    <w:rsid w:val="00131DD5"/>
    <w:rsid w:val="00131E63"/>
    <w:rsid w:val="00131ED8"/>
    <w:rsid w:val="001321D6"/>
    <w:rsid w:val="00132592"/>
    <w:rsid w:val="0013264C"/>
    <w:rsid w:val="0013285A"/>
    <w:rsid w:val="00132890"/>
    <w:rsid w:val="00132A82"/>
    <w:rsid w:val="00132B6A"/>
    <w:rsid w:val="00132D37"/>
    <w:rsid w:val="00132F3E"/>
    <w:rsid w:val="001330D0"/>
    <w:rsid w:val="001331AA"/>
    <w:rsid w:val="001331FA"/>
    <w:rsid w:val="001333A6"/>
    <w:rsid w:val="00133566"/>
    <w:rsid w:val="00133660"/>
    <w:rsid w:val="001337E2"/>
    <w:rsid w:val="00133830"/>
    <w:rsid w:val="00133B92"/>
    <w:rsid w:val="00133D36"/>
    <w:rsid w:val="00133E47"/>
    <w:rsid w:val="00133FD1"/>
    <w:rsid w:val="001342A1"/>
    <w:rsid w:val="001347B2"/>
    <w:rsid w:val="00134A8D"/>
    <w:rsid w:val="00134B2D"/>
    <w:rsid w:val="00135036"/>
    <w:rsid w:val="0013519A"/>
    <w:rsid w:val="00135224"/>
    <w:rsid w:val="001353AE"/>
    <w:rsid w:val="00135413"/>
    <w:rsid w:val="00135A82"/>
    <w:rsid w:val="00135BB8"/>
    <w:rsid w:val="00135E42"/>
    <w:rsid w:val="0013603D"/>
    <w:rsid w:val="00136253"/>
    <w:rsid w:val="00136297"/>
    <w:rsid w:val="00136314"/>
    <w:rsid w:val="00136340"/>
    <w:rsid w:val="0013664D"/>
    <w:rsid w:val="00136956"/>
    <w:rsid w:val="00136AA1"/>
    <w:rsid w:val="001372BB"/>
    <w:rsid w:val="00137490"/>
    <w:rsid w:val="00137645"/>
    <w:rsid w:val="00137B1C"/>
    <w:rsid w:val="00137C50"/>
    <w:rsid w:val="00137F21"/>
    <w:rsid w:val="00137FBB"/>
    <w:rsid w:val="0014009F"/>
    <w:rsid w:val="001400D8"/>
    <w:rsid w:val="0014015A"/>
    <w:rsid w:val="00140401"/>
    <w:rsid w:val="00140566"/>
    <w:rsid w:val="00140596"/>
    <w:rsid w:val="001406A3"/>
    <w:rsid w:val="00140790"/>
    <w:rsid w:val="00140BC8"/>
    <w:rsid w:val="00140CF7"/>
    <w:rsid w:val="00140E99"/>
    <w:rsid w:val="00140F73"/>
    <w:rsid w:val="00141387"/>
    <w:rsid w:val="0014154B"/>
    <w:rsid w:val="00141BC4"/>
    <w:rsid w:val="00141BD1"/>
    <w:rsid w:val="00142482"/>
    <w:rsid w:val="00142D58"/>
    <w:rsid w:val="00142DA3"/>
    <w:rsid w:val="00142DED"/>
    <w:rsid w:val="00142F0A"/>
    <w:rsid w:val="0014344D"/>
    <w:rsid w:val="0014350F"/>
    <w:rsid w:val="001435F8"/>
    <w:rsid w:val="00143C29"/>
    <w:rsid w:val="00143DFE"/>
    <w:rsid w:val="00143FF6"/>
    <w:rsid w:val="00144141"/>
    <w:rsid w:val="00144182"/>
    <w:rsid w:val="001444A3"/>
    <w:rsid w:val="0014485B"/>
    <w:rsid w:val="00144E95"/>
    <w:rsid w:val="00145270"/>
    <w:rsid w:val="0014527A"/>
    <w:rsid w:val="001452E8"/>
    <w:rsid w:val="00145520"/>
    <w:rsid w:val="00145540"/>
    <w:rsid w:val="001456B0"/>
    <w:rsid w:val="001457C3"/>
    <w:rsid w:val="00145BCD"/>
    <w:rsid w:val="00145F91"/>
    <w:rsid w:val="00146335"/>
    <w:rsid w:val="0014636E"/>
    <w:rsid w:val="00146405"/>
    <w:rsid w:val="0014664A"/>
    <w:rsid w:val="001466BB"/>
    <w:rsid w:val="00146701"/>
    <w:rsid w:val="0014692D"/>
    <w:rsid w:val="00146A0E"/>
    <w:rsid w:val="00146A66"/>
    <w:rsid w:val="00146B09"/>
    <w:rsid w:val="0014708B"/>
    <w:rsid w:val="00147347"/>
    <w:rsid w:val="001477B5"/>
    <w:rsid w:val="00147848"/>
    <w:rsid w:val="0015004B"/>
    <w:rsid w:val="0015007F"/>
    <w:rsid w:val="001501CA"/>
    <w:rsid w:val="001502AF"/>
    <w:rsid w:val="00150D28"/>
    <w:rsid w:val="00150F85"/>
    <w:rsid w:val="00151281"/>
    <w:rsid w:val="00151325"/>
    <w:rsid w:val="00151533"/>
    <w:rsid w:val="00151864"/>
    <w:rsid w:val="001519DC"/>
    <w:rsid w:val="00151ED1"/>
    <w:rsid w:val="00152272"/>
    <w:rsid w:val="0015228D"/>
    <w:rsid w:val="001524EA"/>
    <w:rsid w:val="00152724"/>
    <w:rsid w:val="00152EDE"/>
    <w:rsid w:val="00152F17"/>
    <w:rsid w:val="00152FAC"/>
    <w:rsid w:val="001531A8"/>
    <w:rsid w:val="001534E7"/>
    <w:rsid w:val="00153621"/>
    <w:rsid w:val="001536B2"/>
    <w:rsid w:val="001536CB"/>
    <w:rsid w:val="00153762"/>
    <w:rsid w:val="001538AE"/>
    <w:rsid w:val="00153EC0"/>
    <w:rsid w:val="00154049"/>
    <w:rsid w:val="0015406E"/>
    <w:rsid w:val="0015435E"/>
    <w:rsid w:val="00154437"/>
    <w:rsid w:val="0015456D"/>
    <w:rsid w:val="001547BD"/>
    <w:rsid w:val="00154A29"/>
    <w:rsid w:val="00154AAF"/>
    <w:rsid w:val="00154B4F"/>
    <w:rsid w:val="0015512F"/>
    <w:rsid w:val="0015515B"/>
    <w:rsid w:val="001551AC"/>
    <w:rsid w:val="001552C2"/>
    <w:rsid w:val="0015563F"/>
    <w:rsid w:val="00156044"/>
    <w:rsid w:val="00156058"/>
    <w:rsid w:val="001561C5"/>
    <w:rsid w:val="001563D6"/>
    <w:rsid w:val="001566E9"/>
    <w:rsid w:val="00156AE8"/>
    <w:rsid w:val="00156AF5"/>
    <w:rsid w:val="00156C3A"/>
    <w:rsid w:val="00156C7D"/>
    <w:rsid w:val="00156D9B"/>
    <w:rsid w:val="00156E4C"/>
    <w:rsid w:val="00156E50"/>
    <w:rsid w:val="00157130"/>
    <w:rsid w:val="001576B1"/>
    <w:rsid w:val="00160610"/>
    <w:rsid w:val="001608B9"/>
    <w:rsid w:val="00160A4C"/>
    <w:rsid w:val="0016112B"/>
    <w:rsid w:val="001611F9"/>
    <w:rsid w:val="00161331"/>
    <w:rsid w:val="00161369"/>
    <w:rsid w:val="001614AF"/>
    <w:rsid w:val="00161501"/>
    <w:rsid w:val="00162198"/>
    <w:rsid w:val="00162636"/>
    <w:rsid w:val="00162913"/>
    <w:rsid w:val="00162E50"/>
    <w:rsid w:val="00162F11"/>
    <w:rsid w:val="00162FF4"/>
    <w:rsid w:val="00163064"/>
    <w:rsid w:val="001631AC"/>
    <w:rsid w:val="00163214"/>
    <w:rsid w:val="001632C7"/>
    <w:rsid w:val="00163322"/>
    <w:rsid w:val="001636CD"/>
    <w:rsid w:val="00163914"/>
    <w:rsid w:val="0016394B"/>
    <w:rsid w:val="00163CB9"/>
    <w:rsid w:val="00163D54"/>
    <w:rsid w:val="00163D64"/>
    <w:rsid w:val="00163EFF"/>
    <w:rsid w:val="00164013"/>
    <w:rsid w:val="00164048"/>
    <w:rsid w:val="00164096"/>
    <w:rsid w:val="001641CC"/>
    <w:rsid w:val="0016427A"/>
    <w:rsid w:val="0016440C"/>
    <w:rsid w:val="001644F8"/>
    <w:rsid w:val="00164664"/>
    <w:rsid w:val="00164686"/>
    <w:rsid w:val="00164964"/>
    <w:rsid w:val="00164ACF"/>
    <w:rsid w:val="00164B7A"/>
    <w:rsid w:val="00164CBD"/>
    <w:rsid w:val="00165149"/>
    <w:rsid w:val="0016534A"/>
    <w:rsid w:val="001653E9"/>
    <w:rsid w:val="0016541A"/>
    <w:rsid w:val="0016546A"/>
    <w:rsid w:val="00165B77"/>
    <w:rsid w:val="00165CEB"/>
    <w:rsid w:val="00165F83"/>
    <w:rsid w:val="00166033"/>
    <w:rsid w:val="00166103"/>
    <w:rsid w:val="0016615F"/>
    <w:rsid w:val="00166167"/>
    <w:rsid w:val="00166177"/>
    <w:rsid w:val="001661FB"/>
    <w:rsid w:val="00166304"/>
    <w:rsid w:val="001666FB"/>
    <w:rsid w:val="00166763"/>
    <w:rsid w:val="001669BE"/>
    <w:rsid w:val="00166A3E"/>
    <w:rsid w:val="00166E05"/>
    <w:rsid w:val="00166ED9"/>
    <w:rsid w:val="0016708C"/>
    <w:rsid w:val="001672C5"/>
    <w:rsid w:val="001672EE"/>
    <w:rsid w:val="00167683"/>
    <w:rsid w:val="0016775A"/>
    <w:rsid w:val="001677B6"/>
    <w:rsid w:val="0016790A"/>
    <w:rsid w:val="00167C78"/>
    <w:rsid w:val="00167EEA"/>
    <w:rsid w:val="0017009F"/>
    <w:rsid w:val="001703F2"/>
    <w:rsid w:val="0017057A"/>
    <w:rsid w:val="0017059F"/>
    <w:rsid w:val="00170A9D"/>
    <w:rsid w:val="00170EF6"/>
    <w:rsid w:val="001712D5"/>
    <w:rsid w:val="00171301"/>
    <w:rsid w:val="00171598"/>
    <w:rsid w:val="00171741"/>
    <w:rsid w:val="001718EF"/>
    <w:rsid w:val="00171BCE"/>
    <w:rsid w:val="00171E90"/>
    <w:rsid w:val="00171EC4"/>
    <w:rsid w:val="00171FE0"/>
    <w:rsid w:val="0017211D"/>
    <w:rsid w:val="0017229A"/>
    <w:rsid w:val="0017297D"/>
    <w:rsid w:val="00172B15"/>
    <w:rsid w:val="00172D7B"/>
    <w:rsid w:val="00172E1D"/>
    <w:rsid w:val="00172E7D"/>
    <w:rsid w:val="00172F1F"/>
    <w:rsid w:val="0017347C"/>
    <w:rsid w:val="001734B9"/>
    <w:rsid w:val="00173565"/>
    <w:rsid w:val="00173683"/>
    <w:rsid w:val="00173741"/>
    <w:rsid w:val="00173826"/>
    <w:rsid w:val="00173B07"/>
    <w:rsid w:val="0017433D"/>
    <w:rsid w:val="001743D7"/>
    <w:rsid w:val="00174454"/>
    <w:rsid w:val="001745D0"/>
    <w:rsid w:val="0017470A"/>
    <w:rsid w:val="00174A6A"/>
    <w:rsid w:val="00174ADB"/>
    <w:rsid w:val="00174F54"/>
    <w:rsid w:val="0017501E"/>
    <w:rsid w:val="00175101"/>
    <w:rsid w:val="001754BA"/>
    <w:rsid w:val="001755C5"/>
    <w:rsid w:val="0017598C"/>
    <w:rsid w:val="00175A59"/>
    <w:rsid w:val="00175A8D"/>
    <w:rsid w:val="00175BE2"/>
    <w:rsid w:val="00175E0F"/>
    <w:rsid w:val="00176204"/>
    <w:rsid w:val="001764D9"/>
    <w:rsid w:val="0017658C"/>
    <w:rsid w:val="001769FC"/>
    <w:rsid w:val="00176B41"/>
    <w:rsid w:val="00176C2A"/>
    <w:rsid w:val="0017704B"/>
    <w:rsid w:val="00177D87"/>
    <w:rsid w:val="00180375"/>
    <w:rsid w:val="001804A6"/>
    <w:rsid w:val="0018054D"/>
    <w:rsid w:val="001806E6"/>
    <w:rsid w:val="0018076E"/>
    <w:rsid w:val="00180A6E"/>
    <w:rsid w:val="00180AC2"/>
    <w:rsid w:val="00181445"/>
    <w:rsid w:val="00181585"/>
    <w:rsid w:val="001816C2"/>
    <w:rsid w:val="001816CD"/>
    <w:rsid w:val="001816E2"/>
    <w:rsid w:val="0018171D"/>
    <w:rsid w:val="0018178B"/>
    <w:rsid w:val="00181819"/>
    <w:rsid w:val="00181BD9"/>
    <w:rsid w:val="00181D9C"/>
    <w:rsid w:val="00181FC0"/>
    <w:rsid w:val="00181FD0"/>
    <w:rsid w:val="0018228D"/>
    <w:rsid w:val="00182340"/>
    <w:rsid w:val="00182368"/>
    <w:rsid w:val="0018236A"/>
    <w:rsid w:val="001825A5"/>
    <w:rsid w:val="00182709"/>
    <w:rsid w:val="001829A9"/>
    <w:rsid w:val="00182C64"/>
    <w:rsid w:val="00182D0C"/>
    <w:rsid w:val="00182E05"/>
    <w:rsid w:val="001833A1"/>
    <w:rsid w:val="001833CE"/>
    <w:rsid w:val="001833DB"/>
    <w:rsid w:val="00183462"/>
    <w:rsid w:val="0018384F"/>
    <w:rsid w:val="001838AD"/>
    <w:rsid w:val="00183A6E"/>
    <w:rsid w:val="00183C46"/>
    <w:rsid w:val="00183F40"/>
    <w:rsid w:val="0018410C"/>
    <w:rsid w:val="00184179"/>
    <w:rsid w:val="001841EA"/>
    <w:rsid w:val="00184225"/>
    <w:rsid w:val="00184679"/>
    <w:rsid w:val="001847A4"/>
    <w:rsid w:val="00184814"/>
    <w:rsid w:val="001849A1"/>
    <w:rsid w:val="00184A03"/>
    <w:rsid w:val="00184BA8"/>
    <w:rsid w:val="00185276"/>
    <w:rsid w:val="001852B1"/>
    <w:rsid w:val="0018550C"/>
    <w:rsid w:val="001856AD"/>
    <w:rsid w:val="00185765"/>
    <w:rsid w:val="001857BB"/>
    <w:rsid w:val="001857F9"/>
    <w:rsid w:val="00185BCD"/>
    <w:rsid w:val="0018696F"/>
    <w:rsid w:val="00186DFC"/>
    <w:rsid w:val="00186E80"/>
    <w:rsid w:val="001870D8"/>
    <w:rsid w:val="00187119"/>
    <w:rsid w:val="00187147"/>
    <w:rsid w:val="001871B6"/>
    <w:rsid w:val="0018743B"/>
    <w:rsid w:val="0018746F"/>
    <w:rsid w:val="0018752F"/>
    <w:rsid w:val="00187714"/>
    <w:rsid w:val="00187981"/>
    <w:rsid w:val="00187B11"/>
    <w:rsid w:val="00187C05"/>
    <w:rsid w:val="001900C0"/>
    <w:rsid w:val="00190371"/>
    <w:rsid w:val="001907DC"/>
    <w:rsid w:val="00190894"/>
    <w:rsid w:val="001908BA"/>
    <w:rsid w:val="00190B28"/>
    <w:rsid w:val="00190B43"/>
    <w:rsid w:val="00190B46"/>
    <w:rsid w:val="00191538"/>
    <w:rsid w:val="0019172E"/>
    <w:rsid w:val="001917AA"/>
    <w:rsid w:val="00191C2F"/>
    <w:rsid w:val="00191D06"/>
    <w:rsid w:val="00191E70"/>
    <w:rsid w:val="00191FAE"/>
    <w:rsid w:val="00192003"/>
    <w:rsid w:val="001920BA"/>
    <w:rsid w:val="001922DE"/>
    <w:rsid w:val="001923F4"/>
    <w:rsid w:val="00192491"/>
    <w:rsid w:val="0019252E"/>
    <w:rsid w:val="001925F0"/>
    <w:rsid w:val="00192792"/>
    <w:rsid w:val="0019296C"/>
    <w:rsid w:val="00192D0B"/>
    <w:rsid w:val="00192E1E"/>
    <w:rsid w:val="00192F2C"/>
    <w:rsid w:val="0019310E"/>
    <w:rsid w:val="00193747"/>
    <w:rsid w:val="00193ACD"/>
    <w:rsid w:val="00193B6D"/>
    <w:rsid w:val="00193B76"/>
    <w:rsid w:val="00193BCD"/>
    <w:rsid w:val="00193BF6"/>
    <w:rsid w:val="00193FFA"/>
    <w:rsid w:val="00194216"/>
    <w:rsid w:val="00194561"/>
    <w:rsid w:val="00194A04"/>
    <w:rsid w:val="00194B47"/>
    <w:rsid w:val="00194BD0"/>
    <w:rsid w:val="00194D87"/>
    <w:rsid w:val="00194F23"/>
    <w:rsid w:val="00194FEE"/>
    <w:rsid w:val="001950FA"/>
    <w:rsid w:val="00195214"/>
    <w:rsid w:val="00195222"/>
    <w:rsid w:val="00195263"/>
    <w:rsid w:val="00195287"/>
    <w:rsid w:val="001952EC"/>
    <w:rsid w:val="001956CC"/>
    <w:rsid w:val="00195AFC"/>
    <w:rsid w:val="001960BD"/>
    <w:rsid w:val="001960EC"/>
    <w:rsid w:val="00196146"/>
    <w:rsid w:val="001968C3"/>
    <w:rsid w:val="00196B2D"/>
    <w:rsid w:val="00196B3A"/>
    <w:rsid w:val="00196C24"/>
    <w:rsid w:val="00196C87"/>
    <w:rsid w:val="00196D4F"/>
    <w:rsid w:val="00196F2D"/>
    <w:rsid w:val="0019738F"/>
    <w:rsid w:val="00197419"/>
    <w:rsid w:val="0019742C"/>
    <w:rsid w:val="001975D8"/>
    <w:rsid w:val="00197998"/>
    <w:rsid w:val="00197B78"/>
    <w:rsid w:val="00197EF7"/>
    <w:rsid w:val="00197FEB"/>
    <w:rsid w:val="001A00FE"/>
    <w:rsid w:val="001A0140"/>
    <w:rsid w:val="001A014C"/>
    <w:rsid w:val="001A0254"/>
    <w:rsid w:val="001A02FA"/>
    <w:rsid w:val="001A055D"/>
    <w:rsid w:val="001A0610"/>
    <w:rsid w:val="001A0B18"/>
    <w:rsid w:val="001A0C33"/>
    <w:rsid w:val="001A0F36"/>
    <w:rsid w:val="001A0FDF"/>
    <w:rsid w:val="001A123D"/>
    <w:rsid w:val="001A1458"/>
    <w:rsid w:val="001A164E"/>
    <w:rsid w:val="001A168A"/>
    <w:rsid w:val="001A1A62"/>
    <w:rsid w:val="001A1B9D"/>
    <w:rsid w:val="001A1BB0"/>
    <w:rsid w:val="001A1BE2"/>
    <w:rsid w:val="001A1CF2"/>
    <w:rsid w:val="001A1D7D"/>
    <w:rsid w:val="001A1EF2"/>
    <w:rsid w:val="001A23A0"/>
    <w:rsid w:val="001A240F"/>
    <w:rsid w:val="001A25BE"/>
    <w:rsid w:val="001A2670"/>
    <w:rsid w:val="001A2688"/>
    <w:rsid w:val="001A2BF4"/>
    <w:rsid w:val="001A2DBB"/>
    <w:rsid w:val="001A2E36"/>
    <w:rsid w:val="001A2F6B"/>
    <w:rsid w:val="001A32AA"/>
    <w:rsid w:val="001A33E0"/>
    <w:rsid w:val="001A3400"/>
    <w:rsid w:val="001A3A2C"/>
    <w:rsid w:val="001A3A6B"/>
    <w:rsid w:val="001A3FBA"/>
    <w:rsid w:val="001A4001"/>
    <w:rsid w:val="001A43FA"/>
    <w:rsid w:val="001A4415"/>
    <w:rsid w:val="001A486C"/>
    <w:rsid w:val="001A4878"/>
    <w:rsid w:val="001A492A"/>
    <w:rsid w:val="001A4978"/>
    <w:rsid w:val="001A4F99"/>
    <w:rsid w:val="001A5307"/>
    <w:rsid w:val="001A59FB"/>
    <w:rsid w:val="001A5EA8"/>
    <w:rsid w:val="001A6285"/>
    <w:rsid w:val="001A62E4"/>
    <w:rsid w:val="001A6354"/>
    <w:rsid w:val="001A6359"/>
    <w:rsid w:val="001A6D3A"/>
    <w:rsid w:val="001A7143"/>
    <w:rsid w:val="001A7228"/>
    <w:rsid w:val="001A7411"/>
    <w:rsid w:val="001A76FC"/>
    <w:rsid w:val="001A7782"/>
    <w:rsid w:val="001A7AE8"/>
    <w:rsid w:val="001A7EBC"/>
    <w:rsid w:val="001A7EBD"/>
    <w:rsid w:val="001A7FAD"/>
    <w:rsid w:val="001B0155"/>
    <w:rsid w:val="001B03C7"/>
    <w:rsid w:val="001B0B5D"/>
    <w:rsid w:val="001B111B"/>
    <w:rsid w:val="001B17AD"/>
    <w:rsid w:val="001B1908"/>
    <w:rsid w:val="001B199C"/>
    <w:rsid w:val="001B19CA"/>
    <w:rsid w:val="001B1B97"/>
    <w:rsid w:val="001B1C89"/>
    <w:rsid w:val="001B1D25"/>
    <w:rsid w:val="001B1E46"/>
    <w:rsid w:val="001B2039"/>
    <w:rsid w:val="001B204E"/>
    <w:rsid w:val="001B213B"/>
    <w:rsid w:val="001B2260"/>
    <w:rsid w:val="001B23C6"/>
    <w:rsid w:val="001B2458"/>
    <w:rsid w:val="001B2484"/>
    <w:rsid w:val="001B24DA"/>
    <w:rsid w:val="001B270B"/>
    <w:rsid w:val="001B2806"/>
    <w:rsid w:val="001B28FA"/>
    <w:rsid w:val="001B2C43"/>
    <w:rsid w:val="001B31E9"/>
    <w:rsid w:val="001B33BB"/>
    <w:rsid w:val="001B3443"/>
    <w:rsid w:val="001B349A"/>
    <w:rsid w:val="001B360B"/>
    <w:rsid w:val="001B3701"/>
    <w:rsid w:val="001B37AE"/>
    <w:rsid w:val="001B389C"/>
    <w:rsid w:val="001B39A2"/>
    <w:rsid w:val="001B39E6"/>
    <w:rsid w:val="001B3AA0"/>
    <w:rsid w:val="001B3BEF"/>
    <w:rsid w:val="001B3D7C"/>
    <w:rsid w:val="001B3E56"/>
    <w:rsid w:val="001B3F95"/>
    <w:rsid w:val="001B418F"/>
    <w:rsid w:val="001B4343"/>
    <w:rsid w:val="001B436A"/>
    <w:rsid w:val="001B44A1"/>
    <w:rsid w:val="001B47AF"/>
    <w:rsid w:val="001B4919"/>
    <w:rsid w:val="001B4974"/>
    <w:rsid w:val="001B4A6D"/>
    <w:rsid w:val="001B4C0D"/>
    <w:rsid w:val="001B4D20"/>
    <w:rsid w:val="001B510F"/>
    <w:rsid w:val="001B521B"/>
    <w:rsid w:val="001B5232"/>
    <w:rsid w:val="001B5280"/>
    <w:rsid w:val="001B528F"/>
    <w:rsid w:val="001B5509"/>
    <w:rsid w:val="001B59CE"/>
    <w:rsid w:val="001B5CE0"/>
    <w:rsid w:val="001B5E3C"/>
    <w:rsid w:val="001B5EDD"/>
    <w:rsid w:val="001B5EF2"/>
    <w:rsid w:val="001B5FD3"/>
    <w:rsid w:val="001B66B7"/>
    <w:rsid w:val="001B6DB3"/>
    <w:rsid w:val="001B6E12"/>
    <w:rsid w:val="001B6F3F"/>
    <w:rsid w:val="001B7159"/>
    <w:rsid w:val="001B73C7"/>
    <w:rsid w:val="001B78A8"/>
    <w:rsid w:val="001B7937"/>
    <w:rsid w:val="001B7BA0"/>
    <w:rsid w:val="001C01F6"/>
    <w:rsid w:val="001C0427"/>
    <w:rsid w:val="001C0778"/>
    <w:rsid w:val="001C0B32"/>
    <w:rsid w:val="001C1624"/>
    <w:rsid w:val="001C1684"/>
    <w:rsid w:val="001C1982"/>
    <w:rsid w:val="001C199F"/>
    <w:rsid w:val="001C1B47"/>
    <w:rsid w:val="001C1B55"/>
    <w:rsid w:val="001C1D3C"/>
    <w:rsid w:val="001C1E57"/>
    <w:rsid w:val="001C1EE2"/>
    <w:rsid w:val="001C2095"/>
    <w:rsid w:val="001C20FE"/>
    <w:rsid w:val="001C2391"/>
    <w:rsid w:val="001C2503"/>
    <w:rsid w:val="001C251A"/>
    <w:rsid w:val="001C2770"/>
    <w:rsid w:val="001C2A9B"/>
    <w:rsid w:val="001C2EED"/>
    <w:rsid w:val="001C2EF9"/>
    <w:rsid w:val="001C30F8"/>
    <w:rsid w:val="001C3242"/>
    <w:rsid w:val="001C32D2"/>
    <w:rsid w:val="001C37E7"/>
    <w:rsid w:val="001C3895"/>
    <w:rsid w:val="001C3931"/>
    <w:rsid w:val="001C4299"/>
    <w:rsid w:val="001C4348"/>
    <w:rsid w:val="001C4380"/>
    <w:rsid w:val="001C43B2"/>
    <w:rsid w:val="001C459D"/>
    <w:rsid w:val="001C473B"/>
    <w:rsid w:val="001C49CE"/>
    <w:rsid w:val="001C4D06"/>
    <w:rsid w:val="001C5443"/>
    <w:rsid w:val="001C5860"/>
    <w:rsid w:val="001C59FA"/>
    <w:rsid w:val="001C5E38"/>
    <w:rsid w:val="001C5F2E"/>
    <w:rsid w:val="001C5F94"/>
    <w:rsid w:val="001C6059"/>
    <w:rsid w:val="001C605F"/>
    <w:rsid w:val="001C6313"/>
    <w:rsid w:val="001C640C"/>
    <w:rsid w:val="001C65D9"/>
    <w:rsid w:val="001C665B"/>
    <w:rsid w:val="001C66BE"/>
    <w:rsid w:val="001C6950"/>
    <w:rsid w:val="001C6C8A"/>
    <w:rsid w:val="001C6D0F"/>
    <w:rsid w:val="001C6E66"/>
    <w:rsid w:val="001C6F80"/>
    <w:rsid w:val="001C6FDD"/>
    <w:rsid w:val="001C710C"/>
    <w:rsid w:val="001C71D5"/>
    <w:rsid w:val="001C7268"/>
    <w:rsid w:val="001C74B0"/>
    <w:rsid w:val="001C76BC"/>
    <w:rsid w:val="001C76D6"/>
    <w:rsid w:val="001C77CF"/>
    <w:rsid w:val="001C7C1B"/>
    <w:rsid w:val="001C7D7B"/>
    <w:rsid w:val="001C7EDC"/>
    <w:rsid w:val="001C7F26"/>
    <w:rsid w:val="001D030B"/>
    <w:rsid w:val="001D05D1"/>
    <w:rsid w:val="001D0B57"/>
    <w:rsid w:val="001D1564"/>
    <w:rsid w:val="001D1568"/>
    <w:rsid w:val="001D1D55"/>
    <w:rsid w:val="001D204F"/>
    <w:rsid w:val="001D2438"/>
    <w:rsid w:val="001D2617"/>
    <w:rsid w:val="001D2665"/>
    <w:rsid w:val="001D27FA"/>
    <w:rsid w:val="001D288B"/>
    <w:rsid w:val="001D29C2"/>
    <w:rsid w:val="001D2B05"/>
    <w:rsid w:val="001D2B18"/>
    <w:rsid w:val="001D2C8D"/>
    <w:rsid w:val="001D2E36"/>
    <w:rsid w:val="001D2F73"/>
    <w:rsid w:val="001D2FE3"/>
    <w:rsid w:val="001D3397"/>
    <w:rsid w:val="001D351A"/>
    <w:rsid w:val="001D36DA"/>
    <w:rsid w:val="001D36F5"/>
    <w:rsid w:val="001D38AA"/>
    <w:rsid w:val="001D39D4"/>
    <w:rsid w:val="001D3B50"/>
    <w:rsid w:val="001D3D86"/>
    <w:rsid w:val="001D3E37"/>
    <w:rsid w:val="001D3EFA"/>
    <w:rsid w:val="001D3FF4"/>
    <w:rsid w:val="001D42FE"/>
    <w:rsid w:val="001D4322"/>
    <w:rsid w:val="001D4859"/>
    <w:rsid w:val="001D4865"/>
    <w:rsid w:val="001D497B"/>
    <w:rsid w:val="001D4A1C"/>
    <w:rsid w:val="001D4DB1"/>
    <w:rsid w:val="001D4F63"/>
    <w:rsid w:val="001D4FDC"/>
    <w:rsid w:val="001D5486"/>
    <w:rsid w:val="001D5630"/>
    <w:rsid w:val="001D57C0"/>
    <w:rsid w:val="001D5AB0"/>
    <w:rsid w:val="001D5C32"/>
    <w:rsid w:val="001D5C89"/>
    <w:rsid w:val="001D6211"/>
    <w:rsid w:val="001D6272"/>
    <w:rsid w:val="001D66BD"/>
    <w:rsid w:val="001D6772"/>
    <w:rsid w:val="001D6BA8"/>
    <w:rsid w:val="001D6CB3"/>
    <w:rsid w:val="001D6D39"/>
    <w:rsid w:val="001D6F53"/>
    <w:rsid w:val="001D709A"/>
    <w:rsid w:val="001D70E7"/>
    <w:rsid w:val="001D72A9"/>
    <w:rsid w:val="001D73D1"/>
    <w:rsid w:val="001D7434"/>
    <w:rsid w:val="001D74ED"/>
    <w:rsid w:val="001D7666"/>
    <w:rsid w:val="001D76C7"/>
    <w:rsid w:val="001D7946"/>
    <w:rsid w:val="001D79FE"/>
    <w:rsid w:val="001D7A5C"/>
    <w:rsid w:val="001D7EBD"/>
    <w:rsid w:val="001E0561"/>
    <w:rsid w:val="001E09C3"/>
    <w:rsid w:val="001E0D83"/>
    <w:rsid w:val="001E14A2"/>
    <w:rsid w:val="001E16B2"/>
    <w:rsid w:val="001E183A"/>
    <w:rsid w:val="001E1970"/>
    <w:rsid w:val="001E19BD"/>
    <w:rsid w:val="001E2090"/>
    <w:rsid w:val="001E2165"/>
    <w:rsid w:val="001E238E"/>
    <w:rsid w:val="001E23BD"/>
    <w:rsid w:val="001E2483"/>
    <w:rsid w:val="001E2689"/>
    <w:rsid w:val="001E26C4"/>
    <w:rsid w:val="001E26D8"/>
    <w:rsid w:val="001E271B"/>
    <w:rsid w:val="001E278F"/>
    <w:rsid w:val="001E2792"/>
    <w:rsid w:val="001E2877"/>
    <w:rsid w:val="001E29BC"/>
    <w:rsid w:val="001E2B1E"/>
    <w:rsid w:val="001E2B41"/>
    <w:rsid w:val="001E2D3F"/>
    <w:rsid w:val="001E2D69"/>
    <w:rsid w:val="001E2E82"/>
    <w:rsid w:val="001E2E9E"/>
    <w:rsid w:val="001E2F61"/>
    <w:rsid w:val="001E30D4"/>
    <w:rsid w:val="001E3738"/>
    <w:rsid w:val="001E3879"/>
    <w:rsid w:val="001E3CEB"/>
    <w:rsid w:val="001E3D12"/>
    <w:rsid w:val="001E3D98"/>
    <w:rsid w:val="001E3EED"/>
    <w:rsid w:val="001E406D"/>
    <w:rsid w:val="001E40A5"/>
    <w:rsid w:val="001E466D"/>
    <w:rsid w:val="001E4C9A"/>
    <w:rsid w:val="001E4CAA"/>
    <w:rsid w:val="001E4DB4"/>
    <w:rsid w:val="001E4E15"/>
    <w:rsid w:val="001E4EF5"/>
    <w:rsid w:val="001E52EB"/>
    <w:rsid w:val="001E5301"/>
    <w:rsid w:val="001E535E"/>
    <w:rsid w:val="001E538A"/>
    <w:rsid w:val="001E568E"/>
    <w:rsid w:val="001E5D1A"/>
    <w:rsid w:val="001E5D2B"/>
    <w:rsid w:val="001E5DEE"/>
    <w:rsid w:val="001E5EA3"/>
    <w:rsid w:val="001E600C"/>
    <w:rsid w:val="001E6107"/>
    <w:rsid w:val="001E61D2"/>
    <w:rsid w:val="001E6349"/>
    <w:rsid w:val="001E6814"/>
    <w:rsid w:val="001E6A2B"/>
    <w:rsid w:val="001E708A"/>
    <w:rsid w:val="001E70BB"/>
    <w:rsid w:val="001E740C"/>
    <w:rsid w:val="001E7A6B"/>
    <w:rsid w:val="001E7BF9"/>
    <w:rsid w:val="001E7CBD"/>
    <w:rsid w:val="001E7D08"/>
    <w:rsid w:val="001E7D3E"/>
    <w:rsid w:val="001E7DBF"/>
    <w:rsid w:val="001F032F"/>
    <w:rsid w:val="001F04BF"/>
    <w:rsid w:val="001F0A62"/>
    <w:rsid w:val="001F0B37"/>
    <w:rsid w:val="001F0D23"/>
    <w:rsid w:val="001F0D5E"/>
    <w:rsid w:val="001F0EF3"/>
    <w:rsid w:val="001F1056"/>
    <w:rsid w:val="001F1235"/>
    <w:rsid w:val="001F15EE"/>
    <w:rsid w:val="001F1822"/>
    <w:rsid w:val="001F1971"/>
    <w:rsid w:val="001F1CB3"/>
    <w:rsid w:val="001F1D20"/>
    <w:rsid w:val="001F2033"/>
    <w:rsid w:val="001F21E8"/>
    <w:rsid w:val="001F2365"/>
    <w:rsid w:val="001F2797"/>
    <w:rsid w:val="001F27A2"/>
    <w:rsid w:val="001F291E"/>
    <w:rsid w:val="001F29B7"/>
    <w:rsid w:val="001F2A57"/>
    <w:rsid w:val="001F2B6C"/>
    <w:rsid w:val="001F2D0A"/>
    <w:rsid w:val="001F2D63"/>
    <w:rsid w:val="001F3150"/>
    <w:rsid w:val="001F321E"/>
    <w:rsid w:val="001F339A"/>
    <w:rsid w:val="001F33E2"/>
    <w:rsid w:val="001F3597"/>
    <w:rsid w:val="001F360B"/>
    <w:rsid w:val="001F36E3"/>
    <w:rsid w:val="001F389F"/>
    <w:rsid w:val="001F38B5"/>
    <w:rsid w:val="001F391A"/>
    <w:rsid w:val="001F3C19"/>
    <w:rsid w:val="001F4826"/>
    <w:rsid w:val="001F4A59"/>
    <w:rsid w:val="001F4C69"/>
    <w:rsid w:val="001F4E45"/>
    <w:rsid w:val="001F4EF7"/>
    <w:rsid w:val="001F514B"/>
    <w:rsid w:val="001F5A96"/>
    <w:rsid w:val="001F5DCE"/>
    <w:rsid w:val="001F5E90"/>
    <w:rsid w:val="001F6034"/>
    <w:rsid w:val="001F60CC"/>
    <w:rsid w:val="001F622E"/>
    <w:rsid w:val="001F62B5"/>
    <w:rsid w:val="001F63AD"/>
    <w:rsid w:val="001F6680"/>
    <w:rsid w:val="001F68EF"/>
    <w:rsid w:val="001F6F84"/>
    <w:rsid w:val="001F70CD"/>
    <w:rsid w:val="001F722F"/>
    <w:rsid w:val="001F7361"/>
    <w:rsid w:val="001F7401"/>
    <w:rsid w:val="001F7675"/>
    <w:rsid w:val="001F769C"/>
    <w:rsid w:val="001F7CAB"/>
    <w:rsid w:val="0020009A"/>
    <w:rsid w:val="002001C3"/>
    <w:rsid w:val="002001C6"/>
    <w:rsid w:val="002007DE"/>
    <w:rsid w:val="00200868"/>
    <w:rsid w:val="00200926"/>
    <w:rsid w:val="00200A52"/>
    <w:rsid w:val="00200AAD"/>
    <w:rsid w:val="00200DF7"/>
    <w:rsid w:val="00200E1F"/>
    <w:rsid w:val="00200F03"/>
    <w:rsid w:val="00201042"/>
    <w:rsid w:val="002010C6"/>
    <w:rsid w:val="002011B0"/>
    <w:rsid w:val="0020144F"/>
    <w:rsid w:val="002015AE"/>
    <w:rsid w:val="0020186D"/>
    <w:rsid w:val="00201C44"/>
    <w:rsid w:val="00201FA3"/>
    <w:rsid w:val="002020CF"/>
    <w:rsid w:val="002020D9"/>
    <w:rsid w:val="002020F8"/>
    <w:rsid w:val="0020240C"/>
    <w:rsid w:val="0020244E"/>
    <w:rsid w:val="00202966"/>
    <w:rsid w:val="00202EFE"/>
    <w:rsid w:val="00202F14"/>
    <w:rsid w:val="00202F57"/>
    <w:rsid w:val="00203116"/>
    <w:rsid w:val="00203181"/>
    <w:rsid w:val="002033E9"/>
    <w:rsid w:val="002034F9"/>
    <w:rsid w:val="00203524"/>
    <w:rsid w:val="00203607"/>
    <w:rsid w:val="00203783"/>
    <w:rsid w:val="0020385F"/>
    <w:rsid w:val="002038C3"/>
    <w:rsid w:val="00203A20"/>
    <w:rsid w:val="00203E77"/>
    <w:rsid w:val="00204026"/>
    <w:rsid w:val="00204063"/>
    <w:rsid w:val="002042C6"/>
    <w:rsid w:val="00204449"/>
    <w:rsid w:val="00204628"/>
    <w:rsid w:val="002048F3"/>
    <w:rsid w:val="00204A90"/>
    <w:rsid w:val="00204ACF"/>
    <w:rsid w:val="00204B85"/>
    <w:rsid w:val="00204BF1"/>
    <w:rsid w:val="00204C57"/>
    <w:rsid w:val="00204E7D"/>
    <w:rsid w:val="00205459"/>
    <w:rsid w:val="00205738"/>
    <w:rsid w:val="002057C2"/>
    <w:rsid w:val="00205AC3"/>
    <w:rsid w:val="00205B70"/>
    <w:rsid w:val="00205BB9"/>
    <w:rsid w:val="00205E4E"/>
    <w:rsid w:val="00205EE5"/>
    <w:rsid w:val="002060F8"/>
    <w:rsid w:val="00206299"/>
    <w:rsid w:val="00206311"/>
    <w:rsid w:val="00206545"/>
    <w:rsid w:val="002065B5"/>
    <w:rsid w:val="002068C1"/>
    <w:rsid w:val="00206938"/>
    <w:rsid w:val="00206A9B"/>
    <w:rsid w:val="00206EFC"/>
    <w:rsid w:val="00206F2F"/>
    <w:rsid w:val="00206F5C"/>
    <w:rsid w:val="00207021"/>
    <w:rsid w:val="0020709B"/>
    <w:rsid w:val="0020732F"/>
    <w:rsid w:val="002073A8"/>
    <w:rsid w:val="002078E4"/>
    <w:rsid w:val="00207A88"/>
    <w:rsid w:val="00207D00"/>
    <w:rsid w:val="00207EF5"/>
    <w:rsid w:val="0021015E"/>
    <w:rsid w:val="002102F8"/>
    <w:rsid w:val="002105C1"/>
    <w:rsid w:val="002105CD"/>
    <w:rsid w:val="002106B2"/>
    <w:rsid w:val="00210732"/>
    <w:rsid w:val="00210C92"/>
    <w:rsid w:val="00210DA3"/>
    <w:rsid w:val="0021168F"/>
    <w:rsid w:val="002119E9"/>
    <w:rsid w:val="00211AF8"/>
    <w:rsid w:val="00211CFD"/>
    <w:rsid w:val="00212117"/>
    <w:rsid w:val="002121E2"/>
    <w:rsid w:val="00212339"/>
    <w:rsid w:val="00212873"/>
    <w:rsid w:val="00212A20"/>
    <w:rsid w:val="00212B77"/>
    <w:rsid w:val="00212E9A"/>
    <w:rsid w:val="002132AB"/>
    <w:rsid w:val="002132C1"/>
    <w:rsid w:val="0021359E"/>
    <w:rsid w:val="00213A07"/>
    <w:rsid w:val="00213A42"/>
    <w:rsid w:val="00213EB5"/>
    <w:rsid w:val="00214003"/>
    <w:rsid w:val="0021416B"/>
    <w:rsid w:val="00214201"/>
    <w:rsid w:val="00214347"/>
    <w:rsid w:val="00214624"/>
    <w:rsid w:val="0021463D"/>
    <w:rsid w:val="00214869"/>
    <w:rsid w:val="0021487D"/>
    <w:rsid w:val="00214955"/>
    <w:rsid w:val="00214969"/>
    <w:rsid w:val="00214DA5"/>
    <w:rsid w:val="00214FED"/>
    <w:rsid w:val="002150D4"/>
    <w:rsid w:val="002154E2"/>
    <w:rsid w:val="00215793"/>
    <w:rsid w:val="002157B8"/>
    <w:rsid w:val="0021588C"/>
    <w:rsid w:val="00215FFB"/>
    <w:rsid w:val="0021609C"/>
    <w:rsid w:val="0021637E"/>
    <w:rsid w:val="00216849"/>
    <w:rsid w:val="002176DE"/>
    <w:rsid w:val="0021781B"/>
    <w:rsid w:val="00217867"/>
    <w:rsid w:val="00217B85"/>
    <w:rsid w:val="00217C02"/>
    <w:rsid w:val="00217FA3"/>
    <w:rsid w:val="00220990"/>
    <w:rsid w:val="00220E9D"/>
    <w:rsid w:val="002216F9"/>
    <w:rsid w:val="00221AA9"/>
    <w:rsid w:val="00221EF4"/>
    <w:rsid w:val="00222327"/>
    <w:rsid w:val="00222689"/>
    <w:rsid w:val="002227AE"/>
    <w:rsid w:val="00222BD1"/>
    <w:rsid w:val="00223371"/>
    <w:rsid w:val="00223669"/>
    <w:rsid w:val="00223985"/>
    <w:rsid w:val="00223A9D"/>
    <w:rsid w:val="00223ACD"/>
    <w:rsid w:val="00223B49"/>
    <w:rsid w:val="00223C48"/>
    <w:rsid w:val="002240CD"/>
    <w:rsid w:val="00224180"/>
    <w:rsid w:val="002242B4"/>
    <w:rsid w:val="002242D2"/>
    <w:rsid w:val="0022430A"/>
    <w:rsid w:val="0022430E"/>
    <w:rsid w:val="00224318"/>
    <w:rsid w:val="00224459"/>
    <w:rsid w:val="002244A1"/>
    <w:rsid w:val="002249BF"/>
    <w:rsid w:val="00224B48"/>
    <w:rsid w:val="00224DD4"/>
    <w:rsid w:val="00224DF6"/>
    <w:rsid w:val="00224E8C"/>
    <w:rsid w:val="0022526B"/>
    <w:rsid w:val="00225493"/>
    <w:rsid w:val="00225575"/>
    <w:rsid w:val="002256BF"/>
    <w:rsid w:val="00225849"/>
    <w:rsid w:val="00225E04"/>
    <w:rsid w:val="00226065"/>
    <w:rsid w:val="002264DE"/>
    <w:rsid w:val="0022668D"/>
    <w:rsid w:val="00226C47"/>
    <w:rsid w:val="00226CC1"/>
    <w:rsid w:val="00226E0E"/>
    <w:rsid w:val="00226E26"/>
    <w:rsid w:val="002270CE"/>
    <w:rsid w:val="0022728B"/>
    <w:rsid w:val="00227349"/>
    <w:rsid w:val="002273F1"/>
    <w:rsid w:val="002274E2"/>
    <w:rsid w:val="00227543"/>
    <w:rsid w:val="002275CE"/>
    <w:rsid w:val="00227845"/>
    <w:rsid w:val="00227851"/>
    <w:rsid w:val="00227EEE"/>
    <w:rsid w:val="0023005B"/>
    <w:rsid w:val="00230136"/>
    <w:rsid w:val="0023069C"/>
    <w:rsid w:val="002306B0"/>
    <w:rsid w:val="002309CC"/>
    <w:rsid w:val="00230CD2"/>
    <w:rsid w:val="00230E57"/>
    <w:rsid w:val="00231072"/>
    <w:rsid w:val="0023118C"/>
    <w:rsid w:val="002312EE"/>
    <w:rsid w:val="0023150C"/>
    <w:rsid w:val="002317F1"/>
    <w:rsid w:val="00231B97"/>
    <w:rsid w:val="00231DB5"/>
    <w:rsid w:val="00231EA9"/>
    <w:rsid w:val="00232037"/>
    <w:rsid w:val="0023209F"/>
    <w:rsid w:val="0023217C"/>
    <w:rsid w:val="002321BA"/>
    <w:rsid w:val="00232258"/>
    <w:rsid w:val="00232267"/>
    <w:rsid w:val="002322EA"/>
    <w:rsid w:val="002326DE"/>
    <w:rsid w:val="00232A5B"/>
    <w:rsid w:val="00232B9F"/>
    <w:rsid w:val="00232E5F"/>
    <w:rsid w:val="0023314D"/>
    <w:rsid w:val="0023318E"/>
    <w:rsid w:val="00233277"/>
    <w:rsid w:val="0023340B"/>
    <w:rsid w:val="002335C3"/>
    <w:rsid w:val="0023360D"/>
    <w:rsid w:val="00233808"/>
    <w:rsid w:val="00233E92"/>
    <w:rsid w:val="00233EF4"/>
    <w:rsid w:val="0023409F"/>
    <w:rsid w:val="002340B9"/>
    <w:rsid w:val="0023429F"/>
    <w:rsid w:val="00234467"/>
    <w:rsid w:val="0023499A"/>
    <w:rsid w:val="002349EC"/>
    <w:rsid w:val="00234A22"/>
    <w:rsid w:val="00234AA8"/>
    <w:rsid w:val="00234C0A"/>
    <w:rsid w:val="00234C34"/>
    <w:rsid w:val="002352E2"/>
    <w:rsid w:val="00235618"/>
    <w:rsid w:val="00235829"/>
    <w:rsid w:val="00235955"/>
    <w:rsid w:val="00235A1C"/>
    <w:rsid w:val="00235AE1"/>
    <w:rsid w:val="00235AE5"/>
    <w:rsid w:val="00235C73"/>
    <w:rsid w:val="0023629D"/>
    <w:rsid w:val="00236300"/>
    <w:rsid w:val="002368C1"/>
    <w:rsid w:val="00236B0D"/>
    <w:rsid w:val="00236B66"/>
    <w:rsid w:val="00236B7A"/>
    <w:rsid w:val="00236B86"/>
    <w:rsid w:val="00236F42"/>
    <w:rsid w:val="00237255"/>
    <w:rsid w:val="00237454"/>
    <w:rsid w:val="002374E0"/>
    <w:rsid w:val="002375DC"/>
    <w:rsid w:val="002376A8"/>
    <w:rsid w:val="002376C5"/>
    <w:rsid w:val="00237700"/>
    <w:rsid w:val="00237B72"/>
    <w:rsid w:val="0024003E"/>
    <w:rsid w:val="002401C0"/>
    <w:rsid w:val="00240307"/>
    <w:rsid w:val="00240484"/>
    <w:rsid w:val="00240718"/>
    <w:rsid w:val="0024086A"/>
    <w:rsid w:val="0024095C"/>
    <w:rsid w:val="00240BB3"/>
    <w:rsid w:val="0024164F"/>
    <w:rsid w:val="0024190E"/>
    <w:rsid w:val="00241A2A"/>
    <w:rsid w:val="00241ABF"/>
    <w:rsid w:val="00241C04"/>
    <w:rsid w:val="00241CF4"/>
    <w:rsid w:val="0024200D"/>
    <w:rsid w:val="002424AF"/>
    <w:rsid w:val="00242744"/>
    <w:rsid w:val="00242925"/>
    <w:rsid w:val="00242D32"/>
    <w:rsid w:val="00243365"/>
    <w:rsid w:val="002436C1"/>
    <w:rsid w:val="00243779"/>
    <w:rsid w:val="002439DC"/>
    <w:rsid w:val="00243D15"/>
    <w:rsid w:val="002440AA"/>
    <w:rsid w:val="0024425D"/>
    <w:rsid w:val="00244444"/>
    <w:rsid w:val="002445AC"/>
    <w:rsid w:val="00244A16"/>
    <w:rsid w:val="00244DC8"/>
    <w:rsid w:val="002451CA"/>
    <w:rsid w:val="0024536A"/>
    <w:rsid w:val="002458BA"/>
    <w:rsid w:val="00245952"/>
    <w:rsid w:val="00245AA3"/>
    <w:rsid w:val="00245D4E"/>
    <w:rsid w:val="00245DFD"/>
    <w:rsid w:val="002460BC"/>
    <w:rsid w:val="002460D2"/>
    <w:rsid w:val="00246203"/>
    <w:rsid w:val="0024636C"/>
    <w:rsid w:val="002464B5"/>
    <w:rsid w:val="00246E93"/>
    <w:rsid w:val="00246EAE"/>
    <w:rsid w:val="00247046"/>
    <w:rsid w:val="0024705D"/>
    <w:rsid w:val="00247225"/>
    <w:rsid w:val="00247427"/>
    <w:rsid w:val="00247838"/>
    <w:rsid w:val="00247925"/>
    <w:rsid w:val="0024796F"/>
    <w:rsid w:val="002479DC"/>
    <w:rsid w:val="00247B06"/>
    <w:rsid w:val="00250014"/>
    <w:rsid w:val="0025066C"/>
    <w:rsid w:val="00250671"/>
    <w:rsid w:val="0025085B"/>
    <w:rsid w:val="002509DB"/>
    <w:rsid w:val="00250FB5"/>
    <w:rsid w:val="002510C7"/>
    <w:rsid w:val="00251595"/>
    <w:rsid w:val="002517ED"/>
    <w:rsid w:val="00251868"/>
    <w:rsid w:val="00251918"/>
    <w:rsid w:val="00251F23"/>
    <w:rsid w:val="002521CB"/>
    <w:rsid w:val="00252818"/>
    <w:rsid w:val="00252894"/>
    <w:rsid w:val="002528E7"/>
    <w:rsid w:val="0025293B"/>
    <w:rsid w:val="002529AC"/>
    <w:rsid w:val="00252B07"/>
    <w:rsid w:val="00252ED8"/>
    <w:rsid w:val="00252F6B"/>
    <w:rsid w:val="00253590"/>
    <w:rsid w:val="002535B6"/>
    <w:rsid w:val="002535F5"/>
    <w:rsid w:val="00253697"/>
    <w:rsid w:val="00253765"/>
    <w:rsid w:val="002538EA"/>
    <w:rsid w:val="00253E56"/>
    <w:rsid w:val="00253FCB"/>
    <w:rsid w:val="00253FE5"/>
    <w:rsid w:val="00254044"/>
    <w:rsid w:val="00254139"/>
    <w:rsid w:val="002544C1"/>
    <w:rsid w:val="00254507"/>
    <w:rsid w:val="00254659"/>
    <w:rsid w:val="002547FF"/>
    <w:rsid w:val="00254946"/>
    <w:rsid w:val="00254D24"/>
    <w:rsid w:val="00254DCF"/>
    <w:rsid w:val="00254F10"/>
    <w:rsid w:val="0025534B"/>
    <w:rsid w:val="00255461"/>
    <w:rsid w:val="002554E4"/>
    <w:rsid w:val="002555B9"/>
    <w:rsid w:val="002555BD"/>
    <w:rsid w:val="002557E9"/>
    <w:rsid w:val="00255BB7"/>
    <w:rsid w:val="00255E97"/>
    <w:rsid w:val="00255F57"/>
    <w:rsid w:val="00255F99"/>
    <w:rsid w:val="00256927"/>
    <w:rsid w:val="002569CD"/>
    <w:rsid w:val="002572BB"/>
    <w:rsid w:val="00257541"/>
    <w:rsid w:val="002579B8"/>
    <w:rsid w:val="00257A95"/>
    <w:rsid w:val="00257C45"/>
    <w:rsid w:val="0026014F"/>
    <w:rsid w:val="002602AB"/>
    <w:rsid w:val="00260713"/>
    <w:rsid w:val="002609E0"/>
    <w:rsid w:val="00260A8E"/>
    <w:rsid w:val="00260BD3"/>
    <w:rsid w:val="00260E09"/>
    <w:rsid w:val="0026103C"/>
    <w:rsid w:val="002612C1"/>
    <w:rsid w:val="0026136F"/>
    <w:rsid w:val="00261847"/>
    <w:rsid w:val="00261905"/>
    <w:rsid w:val="0026194F"/>
    <w:rsid w:val="00261BB3"/>
    <w:rsid w:val="00261BBF"/>
    <w:rsid w:val="00262466"/>
    <w:rsid w:val="0026297D"/>
    <w:rsid w:val="00262996"/>
    <w:rsid w:val="00262A13"/>
    <w:rsid w:val="00262A1A"/>
    <w:rsid w:val="00262A87"/>
    <w:rsid w:val="00262DED"/>
    <w:rsid w:val="0026322F"/>
    <w:rsid w:val="002632DD"/>
    <w:rsid w:val="0026351A"/>
    <w:rsid w:val="002635A7"/>
    <w:rsid w:val="00263977"/>
    <w:rsid w:val="00263CF0"/>
    <w:rsid w:val="0026431D"/>
    <w:rsid w:val="00264431"/>
    <w:rsid w:val="00264432"/>
    <w:rsid w:val="0026451C"/>
    <w:rsid w:val="0026467B"/>
    <w:rsid w:val="002647BB"/>
    <w:rsid w:val="002647F3"/>
    <w:rsid w:val="00264893"/>
    <w:rsid w:val="002649E7"/>
    <w:rsid w:val="00264D26"/>
    <w:rsid w:val="00264D52"/>
    <w:rsid w:val="00264EF1"/>
    <w:rsid w:val="00265162"/>
    <w:rsid w:val="002651AF"/>
    <w:rsid w:val="00265341"/>
    <w:rsid w:val="002655EA"/>
    <w:rsid w:val="00265605"/>
    <w:rsid w:val="00265968"/>
    <w:rsid w:val="002659B8"/>
    <w:rsid w:val="00265C63"/>
    <w:rsid w:val="00265D34"/>
    <w:rsid w:val="00265E51"/>
    <w:rsid w:val="002663F0"/>
    <w:rsid w:val="00266761"/>
    <w:rsid w:val="00266E6C"/>
    <w:rsid w:val="00267076"/>
    <w:rsid w:val="00267141"/>
    <w:rsid w:val="00267642"/>
    <w:rsid w:val="002679CA"/>
    <w:rsid w:val="00267AEA"/>
    <w:rsid w:val="002700E6"/>
    <w:rsid w:val="0027016F"/>
    <w:rsid w:val="00270224"/>
    <w:rsid w:val="0027022C"/>
    <w:rsid w:val="00270286"/>
    <w:rsid w:val="002702FB"/>
    <w:rsid w:val="00270308"/>
    <w:rsid w:val="002703AE"/>
    <w:rsid w:val="002706E8"/>
    <w:rsid w:val="00271053"/>
    <w:rsid w:val="00271283"/>
    <w:rsid w:val="0027161A"/>
    <w:rsid w:val="00271B4D"/>
    <w:rsid w:val="00271EC6"/>
    <w:rsid w:val="00271F63"/>
    <w:rsid w:val="00272153"/>
    <w:rsid w:val="00272332"/>
    <w:rsid w:val="00272451"/>
    <w:rsid w:val="002725D2"/>
    <w:rsid w:val="002726E0"/>
    <w:rsid w:val="00272722"/>
    <w:rsid w:val="0027294B"/>
    <w:rsid w:val="00272B47"/>
    <w:rsid w:val="00272FA6"/>
    <w:rsid w:val="002735E7"/>
    <w:rsid w:val="00273636"/>
    <w:rsid w:val="00273656"/>
    <w:rsid w:val="0027368B"/>
    <w:rsid w:val="00273866"/>
    <w:rsid w:val="002738AC"/>
    <w:rsid w:val="002742A9"/>
    <w:rsid w:val="002745AB"/>
    <w:rsid w:val="002749CA"/>
    <w:rsid w:val="00275001"/>
    <w:rsid w:val="0027539B"/>
    <w:rsid w:val="00275475"/>
    <w:rsid w:val="002757E0"/>
    <w:rsid w:val="002758C2"/>
    <w:rsid w:val="002758E7"/>
    <w:rsid w:val="002758FB"/>
    <w:rsid w:val="00275A11"/>
    <w:rsid w:val="00275C5A"/>
    <w:rsid w:val="00275D63"/>
    <w:rsid w:val="00275FC0"/>
    <w:rsid w:val="002763E8"/>
    <w:rsid w:val="0027676E"/>
    <w:rsid w:val="00276EEB"/>
    <w:rsid w:val="00276FCB"/>
    <w:rsid w:val="00277041"/>
    <w:rsid w:val="002770D5"/>
    <w:rsid w:val="00277478"/>
    <w:rsid w:val="00277505"/>
    <w:rsid w:val="00277696"/>
    <w:rsid w:val="002777A5"/>
    <w:rsid w:val="00277967"/>
    <w:rsid w:val="00277EFF"/>
    <w:rsid w:val="00277F6D"/>
    <w:rsid w:val="002800B1"/>
    <w:rsid w:val="002801C2"/>
    <w:rsid w:val="0028024A"/>
    <w:rsid w:val="0028052A"/>
    <w:rsid w:val="00280571"/>
    <w:rsid w:val="00280644"/>
    <w:rsid w:val="00280F03"/>
    <w:rsid w:val="00281014"/>
    <w:rsid w:val="002814D9"/>
    <w:rsid w:val="00281699"/>
    <w:rsid w:val="002816B9"/>
    <w:rsid w:val="002817DC"/>
    <w:rsid w:val="00281957"/>
    <w:rsid w:val="00281A71"/>
    <w:rsid w:val="00282044"/>
    <w:rsid w:val="00282086"/>
    <w:rsid w:val="00282126"/>
    <w:rsid w:val="00282270"/>
    <w:rsid w:val="00282286"/>
    <w:rsid w:val="0028255B"/>
    <w:rsid w:val="002826DC"/>
    <w:rsid w:val="0028282F"/>
    <w:rsid w:val="00282A40"/>
    <w:rsid w:val="00282AA1"/>
    <w:rsid w:val="00282E19"/>
    <w:rsid w:val="00282E28"/>
    <w:rsid w:val="00283143"/>
    <w:rsid w:val="002835B2"/>
    <w:rsid w:val="00283668"/>
    <w:rsid w:val="00283992"/>
    <w:rsid w:val="00283C80"/>
    <w:rsid w:val="00283DA0"/>
    <w:rsid w:val="00283E34"/>
    <w:rsid w:val="00283FF1"/>
    <w:rsid w:val="00284176"/>
    <w:rsid w:val="00284365"/>
    <w:rsid w:val="002843FE"/>
    <w:rsid w:val="002849D5"/>
    <w:rsid w:val="00284BD3"/>
    <w:rsid w:val="00284DDD"/>
    <w:rsid w:val="00284FF3"/>
    <w:rsid w:val="00285145"/>
    <w:rsid w:val="002854AA"/>
    <w:rsid w:val="00285602"/>
    <w:rsid w:val="002857F2"/>
    <w:rsid w:val="00285CDF"/>
    <w:rsid w:val="00285E46"/>
    <w:rsid w:val="002861B2"/>
    <w:rsid w:val="002862EE"/>
    <w:rsid w:val="002865B0"/>
    <w:rsid w:val="002867DE"/>
    <w:rsid w:val="00286B8B"/>
    <w:rsid w:val="00286DC5"/>
    <w:rsid w:val="00286E75"/>
    <w:rsid w:val="00286F77"/>
    <w:rsid w:val="00287165"/>
    <w:rsid w:val="0028745C"/>
    <w:rsid w:val="0028788E"/>
    <w:rsid w:val="002878A6"/>
    <w:rsid w:val="00287C44"/>
    <w:rsid w:val="00287D7B"/>
    <w:rsid w:val="00290282"/>
    <w:rsid w:val="002902C9"/>
    <w:rsid w:val="0029049D"/>
    <w:rsid w:val="002907FB"/>
    <w:rsid w:val="002908D4"/>
    <w:rsid w:val="00290EBA"/>
    <w:rsid w:val="0029102F"/>
    <w:rsid w:val="00291030"/>
    <w:rsid w:val="002910B1"/>
    <w:rsid w:val="002915DF"/>
    <w:rsid w:val="002919C2"/>
    <w:rsid w:val="00291A36"/>
    <w:rsid w:val="00291AB9"/>
    <w:rsid w:val="00291AE9"/>
    <w:rsid w:val="00291B5F"/>
    <w:rsid w:val="002925CA"/>
    <w:rsid w:val="002926B3"/>
    <w:rsid w:val="002929BC"/>
    <w:rsid w:val="00292C53"/>
    <w:rsid w:val="00292DE8"/>
    <w:rsid w:val="00292E1D"/>
    <w:rsid w:val="00292E4D"/>
    <w:rsid w:val="00292E77"/>
    <w:rsid w:val="002932B7"/>
    <w:rsid w:val="0029339E"/>
    <w:rsid w:val="00293498"/>
    <w:rsid w:val="00293602"/>
    <w:rsid w:val="002937BB"/>
    <w:rsid w:val="00293EC5"/>
    <w:rsid w:val="00293F4B"/>
    <w:rsid w:val="002946BF"/>
    <w:rsid w:val="00294806"/>
    <w:rsid w:val="002949A9"/>
    <w:rsid w:val="00294A3D"/>
    <w:rsid w:val="00294A5A"/>
    <w:rsid w:val="00294C80"/>
    <w:rsid w:val="00294D15"/>
    <w:rsid w:val="00294F50"/>
    <w:rsid w:val="00295601"/>
    <w:rsid w:val="00295B0A"/>
    <w:rsid w:val="00295BE9"/>
    <w:rsid w:val="00295D53"/>
    <w:rsid w:val="00295DC6"/>
    <w:rsid w:val="00295E55"/>
    <w:rsid w:val="00296D94"/>
    <w:rsid w:val="00296F08"/>
    <w:rsid w:val="002971CB"/>
    <w:rsid w:val="00297875"/>
    <w:rsid w:val="00297A0D"/>
    <w:rsid w:val="00297F67"/>
    <w:rsid w:val="002A007A"/>
    <w:rsid w:val="002A00D3"/>
    <w:rsid w:val="002A0153"/>
    <w:rsid w:val="002A02B3"/>
    <w:rsid w:val="002A02C6"/>
    <w:rsid w:val="002A0581"/>
    <w:rsid w:val="002A0772"/>
    <w:rsid w:val="002A084B"/>
    <w:rsid w:val="002A08B9"/>
    <w:rsid w:val="002A08F0"/>
    <w:rsid w:val="002A093C"/>
    <w:rsid w:val="002A0962"/>
    <w:rsid w:val="002A09B3"/>
    <w:rsid w:val="002A0A71"/>
    <w:rsid w:val="002A0CB0"/>
    <w:rsid w:val="002A0DE1"/>
    <w:rsid w:val="002A0FED"/>
    <w:rsid w:val="002A1056"/>
    <w:rsid w:val="002A117C"/>
    <w:rsid w:val="002A11D8"/>
    <w:rsid w:val="002A14AB"/>
    <w:rsid w:val="002A15B5"/>
    <w:rsid w:val="002A18BE"/>
    <w:rsid w:val="002A1ABC"/>
    <w:rsid w:val="002A1BF9"/>
    <w:rsid w:val="002A1F74"/>
    <w:rsid w:val="002A21F3"/>
    <w:rsid w:val="002A22CE"/>
    <w:rsid w:val="002A266B"/>
    <w:rsid w:val="002A26B9"/>
    <w:rsid w:val="002A2AC3"/>
    <w:rsid w:val="002A2B49"/>
    <w:rsid w:val="002A2F50"/>
    <w:rsid w:val="002A3031"/>
    <w:rsid w:val="002A3623"/>
    <w:rsid w:val="002A3A1B"/>
    <w:rsid w:val="002A3B6E"/>
    <w:rsid w:val="002A3C52"/>
    <w:rsid w:val="002A3D0B"/>
    <w:rsid w:val="002A3DA2"/>
    <w:rsid w:val="002A3EDE"/>
    <w:rsid w:val="002A42BB"/>
    <w:rsid w:val="002A439F"/>
    <w:rsid w:val="002A44E3"/>
    <w:rsid w:val="002A4873"/>
    <w:rsid w:val="002A48A7"/>
    <w:rsid w:val="002A4A93"/>
    <w:rsid w:val="002A4AA8"/>
    <w:rsid w:val="002A4B36"/>
    <w:rsid w:val="002A4CA4"/>
    <w:rsid w:val="002A4E76"/>
    <w:rsid w:val="002A501F"/>
    <w:rsid w:val="002A50A0"/>
    <w:rsid w:val="002A5275"/>
    <w:rsid w:val="002A53F1"/>
    <w:rsid w:val="002A565D"/>
    <w:rsid w:val="002A5818"/>
    <w:rsid w:val="002A5E8B"/>
    <w:rsid w:val="002A5EA2"/>
    <w:rsid w:val="002A60FD"/>
    <w:rsid w:val="002A6776"/>
    <w:rsid w:val="002A67AC"/>
    <w:rsid w:val="002A6B31"/>
    <w:rsid w:val="002A6B89"/>
    <w:rsid w:val="002A7028"/>
    <w:rsid w:val="002A7235"/>
    <w:rsid w:val="002A7302"/>
    <w:rsid w:val="002A747A"/>
    <w:rsid w:val="002A7AEF"/>
    <w:rsid w:val="002A7E07"/>
    <w:rsid w:val="002B010A"/>
    <w:rsid w:val="002B0209"/>
    <w:rsid w:val="002B03C8"/>
    <w:rsid w:val="002B0778"/>
    <w:rsid w:val="002B07B5"/>
    <w:rsid w:val="002B08D1"/>
    <w:rsid w:val="002B097C"/>
    <w:rsid w:val="002B09A4"/>
    <w:rsid w:val="002B09D7"/>
    <w:rsid w:val="002B0B2B"/>
    <w:rsid w:val="002B0B6B"/>
    <w:rsid w:val="002B0BB2"/>
    <w:rsid w:val="002B0EA2"/>
    <w:rsid w:val="002B0F36"/>
    <w:rsid w:val="002B0FC9"/>
    <w:rsid w:val="002B112B"/>
    <w:rsid w:val="002B1233"/>
    <w:rsid w:val="002B1296"/>
    <w:rsid w:val="002B144E"/>
    <w:rsid w:val="002B1688"/>
    <w:rsid w:val="002B1879"/>
    <w:rsid w:val="002B1C1F"/>
    <w:rsid w:val="002B1C79"/>
    <w:rsid w:val="002B1CE0"/>
    <w:rsid w:val="002B1EA6"/>
    <w:rsid w:val="002B1F5E"/>
    <w:rsid w:val="002B2079"/>
    <w:rsid w:val="002B221C"/>
    <w:rsid w:val="002B22E3"/>
    <w:rsid w:val="002B280F"/>
    <w:rsid w:val="002B2828"/>
    <w:rsid w:val="002B2CB5"/>
    <w:rsid w:val="002B302F"/>
    <w:rsid w:val="002B3555"/>
    <w:rsid w:val="002B3562"/>
    <w:rsid w:val="002B36C0"/>
    <w:rsid w:val="002B36F9"/>
    <w:rsid w:val="002B3BA6"/>
    <w:rsid w:val="002B3C67"/>
    <w:rsid w:val="002B3CC5"/>
    <w:rsid w:val="002B3F59"/>
    <w:rsid w:val="002B41FE"/>
    <w:rsid w:val="002B42B0"/>
    <w:rsid w:val="002B42D1"/>
    <w:rsid w:val="002B432F"/>
    <w:rsid w:val="002B443E"/>
    <w:rsid w:val="002B450D"/>
    <w:rsid w:val="002B46B4"/>
    <w:rsid w:val="002B49DA"/>
    <w:rsid w:val="002B4C93"/>
    <w:rsid w:val="002B510A"/>
    <w:rsid w:val="002B53DE"/>
    <w:rsid w:val="002B5432"/>
    <w:rsid w:val="002B590C"/>
    <w:rsid w:val="002B5938"/>
    <w:rsid w:val="002B5A5D"/>
    <w:rsid w:val="002B62B3"/>
    <w:rsid w:val="002B63FA"/>
    <w:rsid w:val="002B6754"/>
    <w:rsid w:val="002B679D"/>
    <w:rsid w:val="002B6CCE"/>
    <w:rsid w:val="002B6D36"/>
    <w:rsid w:val="002B7099"/>
    <w:rsid w:val="002B70AC"/>
    <w:rsid w:val="002B71BD"/>
    <w:rsid w:val="002B73B2"/>
    <w:rsid w:val="002B7579"/>
    <w:rsid w:val="002B76D2"/>
    <w:rsid w:val="002B7710"/>
    <w:rsid w:val="002B7728"/>
    <w:rsid w:val="002B7A37"/>
    <w:rsid w:val="002B7A7D"/>
    <w:rsid w:val="002B7C2F"/>
    <w:rsid w:val="002C0A9F"/>
    <w:rsid w:val="002C0B9C"/>
    <w:rsid w:val="002C104D"/>
    <w:rsid w:val="002C12DD"/>
    <w:rsid w:val="002C1367"/>
    <w:rsid w:val="002C16FF"/>
    <w:rsid w:val="002C180B"/>
    <w:rsid w:val="002C19A7"/>
    <w:rsid w:val="002C1B67"/>
    <w:rsid w:val="002C1ECA"/>
    <w:rsid w:val="002C20CC"/>
    <w:rsid w:val="002C221E"/>
    <w:rsid w:val="002C2280"/>
    <w:rsid w:val="002C246F"/>
    <w:rsid w:val="002C2510"/>
    <w:rsid w:val="002C2775"/>
    <w:rsid w:val="002C27C1"/>
    <w:rsid w:val="002C27E2"/>
    <w:rsid w:val="002C28C0"/>
    <w:rsid w:val="002C2ADA"/>
    <w:rsid w:val="002C3377"/>
    <w:rsid w:val="002C386C"/>
    <w:rsid w:val="002C3E8B"/>
    <w:rsid w:val="002C3F62"/>
    <w:rsid w:val="002C3F82"/>
    <w:rsid w:val="002C4190"/>
    <w:rsid w:val="002C41BD"/>
    <w:rsid w:val="002C4794"/>
    <w:rsid w:val="002C4A8D"/>
    <w:rsid w:val="002C4B63"/>
    <w:rsid w:val="002C4BCC"/>
    <w:rsid w:val="002C4D06"/>
    <w:rsid w:val="002C4F98"/>
    <w:rsid w:val="002C5099"/>
    <w:rsid w:val="002C5198"/>
    <w:rsid w:val="002C51BB"/>
    <w:rsid w:val="002C5445"/>
    <w:rsid w:val="002C56F5"/>
    <w:rsid w:val="002C5889"/>
    <w:rsid w:val="002C5933"/>
    <w:rsid w:val="002C5C4E"/>
    <w:rsid w:val="002C5D06"/>
    <w:rsid w:val="002C5D53"/>
    <w:rsid w:val="002C61E8"/>
    <w:rsid w:val="002C6271"/>
    <w:rsid w:val="002C643C"/>
    <w:rsid w:val="002C68CF"/>
    <w:rsid w:val="002C6D5C"/>
    <w:rsid w:val="002C71CE"/>
    <w:rsid w:val="002C75CE"/>
    <w:rsid w:val="002C763C"/>
    <w:rsid w:val="002C7CE6"/>
    <w:rsid w:val="002D0855"/>
    <w:rsid w:val="002D0A22"/>
    <w:rsid w:val="002D0C60"/>
    <w:rsid w:val="002D0E69"/>
    <w:rsid w:val="002D1219"/>
    <w:rsid w:val="002D15E3"/>
    <w:rsid w:val="002D1649"/>
    <w:rsid w:val="002D1C4F"/>
    <w:rsid w:val="002D2080"/>
    <w:rsid w:val="002D21A1"/>
    <w:rsid w:val="002D2393"/>
    <w:rsid w:val="002D29CF"/>
    <w:rsid w:val="002D2AF3"/>
    <w:rsid w:val="002D2B5B"/>
    <w:rsid w:val="002D2C20"/>
    <w:rsid w:val="002D2C5A"/>
    <w:rsid w:val="002D2CC6"/>
    <w:rsid w:val="002D2D7E"/>
    <w:rsid w:val="002D320C"/>
    <w:rsid w:val="002D3235"/>
    <w:rsid w:val="002D3341"/>
    <w:rsid w:val="002D370E"/>
    <w:rsid w:val="002D3755"/>
    <w:rsid w:val="002D39E1"/>
    <w:rsid w:val="002D3A5D"/>
    <w:rsid w:val="002D3E8B"/>
    <w:rsid w:val="002D3EC9"/>
    <w:rsid w:val="002D4153"/>
    <w:rsid w:val="002D4333"/>
    <w:rsid w:val="002D46D9"/>
    <w:rsid w:val="002D470D"/>
    <w:rsid w:val="002D49B5"/>
    <w:rsid w:val="002D4C6F"/>
    <w:rsid w:val="002D4E63"/>
    <w:rsid w:val="002D4E92"/>
    <w:rsid w:val="002D4FCD"/>
    <w:rsid w:val="002D51D8"/>
    <w:rsid w:val="002D5305"/>
    <w:rsid w:val="002D55DE"/>
    <w:rsid w:val="002D56A0"/>
    <w:rsid w:val="002D5709"/>
    <w:rsid w:val="002D577C"/>
    <w:rsid w:val="002D5902"/>
    <w:rsid w:val="002D59E7"/>
    <w:rsid w:val="002D5C05"/>
    <w:rsid w:val="002D5E22"/>
    <w:rsid w:val="002D60D6"/>
    <w:rsid w:val="002D60DA"/>
    <w:rsid w:val="002D625A"/>
    <w:rsid w:val="002D6895"/>
    <w:rsid w:val="002D6B8C"/>
    <w:rsid w:val="002D7218"/>
    <w:rsid w:val="002D72F1"/>
    <w:rsid w:val="002D73D5"/>
    <w:rsid w:val="002D74F9"/>
    <w:rsid w:val="002D75EA"/>
    <w:rsid w:val="002D7A17"/>
    <w:rsid w:val="002D7D09"/>
    <w:rsid w:val="002D7DAD"/>
    <w:rsid w:val="002E0502"/>
    <w:rsid w:val="002E071E"/>
    <w:rsid w:val="002E09CD"/>
    <w:rsid w:val="002E0D3B"/>
    <w:rsid w:val="002E0E37"/>
    <w:rsid w:val="002E0E97"/>
    <w:rsid w:val="002E0EF4"/>
    <w:rsid w:val="002E0F33"/>
    <w:rsid w:val="002E1051"/>
    <w:rsid w:val="002E115A"/>
    <w:rsid w:val="002E1294"/>
    <w:rsid w:val="002E15B9"/>
    <w:rsid w:val="002E1918"/>
    <w:rsid w:val="002E1958"/>
    <w:rsid w:val="002E1B60"/>
    <w:rsid w:val="002E1CF0"/>
    <w:rsid w:val="002E1E5A"/>
    <w:rsid w:val="002E1EDA"/>
    <w:rsid w:val="002E2158"/>
    <w:rsid w:val="002E2200"/>
    <w:rsid w:val="002E2460"/>
    <w:rsid w:val="002E2520"/>
    <w:rsid w:val="002E29B9"/>
    <w:rsid w:val="002E306D"/>
    <w:rsid w:val="002E3433"/>
    <w:rsid w:val="002E379C"/>
    <w:rsid w:val="002E37A6"/>
    <w:rsid w:val="002E3A33"/>
    <w:rsid w:val="002E3A34"/>
    <w:rsid w:val="002E3CEF"/>
    <w:rsid w:val="002E3D99"/>
    <w:rsid w:val="002E3E03"/>
    <w:rsid w:val="002E4273"/>
    <w:rsid w:val="002E4301"/>
    <w:rsid w:val="002E4403"/>
    <w:rsid w:val="002E44DF"/>
    <w:rsid w:val="002E4618"/>
    <w:rsid w:val="002E4A93"/>
    <w:rsid w:val="002E4F24"/>
    <w:rsid w:val="002E4F7A"/>
    <w:rsid w:val="002E5043"/>
    <w:rsid w:val="002E54E8"/>
    <w:rsid w:val="002E550F"/>
    <w:rsid w:val="002E5B5A"/>
    <w:rsid w:val="002E5F4B"/>
    <w:rsid w:val="002E60A8"/>
    <w:rsid w:val="002E61C9"/>
    <w:rsid w:val="002E6223"/>
    <w:rsid w:val="002E6313"/>
    <w:rsid w:val="002E6390"/>
    <w:rsid w:val="002E660A"/>
    <w:rsid w:val="002E6648"/>
    <w:rsid w:val="002E694B"/>
    <w:rsid w:val="002E69DE"/>
    <w:rsid w:val="002E6BE2"/>
    <w:rsid w:val="002E742B"/>
    <w:rsid w:val="002E7479"/>
    <w:rsid w:val="002E7722"/>
    <w:rsid w:val="002E774B"/>
    <w:rsid w:val="002E782E"/>
    <w:rsid w:val="002E793B"/>
    <w:rsid w:val="002E7DBD"/>
    <w:rsid w:val="002E7E02"/>
    <w:rsid w:val="002E7FAD"/>
    <w:rsid w:val="002F00A7"/>
    <w:rsid w:val="002F07BA"/>
    <w:rsid w:val="002F07D3"/>
    <w:rsid w:val="002F09D4"/>
    <w:rsid w:val="002F09F6"/>
    <w:rsid w:val="002F0CE0"/>
    <w:rsid w:val="002F0DA9"/>
    <w:rsid w:val="002F148E"/>
    <w:rsid w:val="002F17FF"/>
    <w:rsid w:val="002F1851"/>
    <w:rsid w:val="002F1CBF"/>
    <w:rsid w:val="002F1CD2"/>
    <w:rsid w:val="002F1F92"/>
    <w:rsid w:val="002F2194"/>
    <w:rsid w:val="002F2490"/>
    <w:rsid w:val="002F2617"/>
    <w:rsid w:val="002F2768"/>
    <w:rsid w:val="002F2790"/>
    <w:rsid w:val="002F28CD"/>
    <w:rsid w:val="002F2A0B"/>
    <w:rsid w:val="002F2C8B"/>
    <w:rsid w:val="002F3033"/>
    <w:rsid w:val="002F3657"/>
    <w:rsid w:val="002F39A3"/>
    <w:rsid w:val="002F39E4"/>
    <w:rsid w:val="002F3ABF"/>
    <w:rsid w:val="002F3CCB"/>
    <w:rsid w:val="002F3D4C"/>
    <w:rsid w:val="002F40F2"/>
    <w:rsid w:val="002F469C"/>
    <w:rsid w:val="002F534B"/>
    <w:rsid w:val="002F54DC"/>
    <w:rsid w:val="002F570D"/>
    <w:rsid w:val="002F58B9"/>
    <w:rsid w:val="002F5940"/>
    <w:rsid w:val="002F5B68"/>
    <w:rsid w:val="002F5D64"/>
    <w:rsid w:val="002F5FCA"/>
    <w:rsid w:val="002F61D0"/>
    <w:rsid w:val="002F642B"/>
    <w:rsid w:val="002F643C"/>
    <w:rsid w:val="002F66EC"/>
    <w:rsid w:val="002F68A0"/>
    <w:rsid w:val="002F6963"/>
    <w:rsid w:val="002F6C73"/>
    <w:rsid w:val="002F71B5"/>
    <w:rsid w:val="002F71C0"/>
    <w:rsid w:val="002F7622"/>
    <w:rsid w:val="002F77DC"/>
    <w:rsid w:val="002F78BC"/>
    <w:rsid w:val="002F7A1F"/>
    <w:rsid w:val="002F7B34"/>
    <w:rsid w:val="002F7DEF"/>
    <w:rsid w:val="00300003"/>
    <w:rsid w:val="0030012A"/>
    <w:rsid w:val="003007BA"/>
    <w:rsid w:val="00300FA0"/>
    <w:rsid w:val="00300FD0"/>
    <w:rsid w:val="00301017"/>
    <w:rsid w:val="00301053"/>
    <w:rsid w:val="003010A0"/>
    <w:rsid w:val="00301198"/>
    <w:rsid w:val="003012DA"/>
    <w:rsid w:val="00301506"/>
    <w:rsid w:val="0030155F"/>
    <w:rsid w:val="00301D9F"/>
    <w:rsid w:val="00301DFD"/>
    <w:rsid w:val="0030218D"/>
    <w:rsid w:val="003022F1"/>
    <w:rsid w:val="00302838"/>
    <w:rsid w:val="00302A5F"/>
    <w:rsid w:val="00302BB2"/>
    <w:rsid w:val="00303195"/>
    <w:rsid w:val="00303331"/>
    <w:rsid w:val="00303531"/>
    <w:rsid w:val="0030377A"/>
    <w:rsid w:val="0030397E"/>
    <w:rsid w:val="00303AF3"/>
    <w:rsid w:val="00303D0B"/>
    <w:rsid w:val="00303DCE"/>
    <w:rsid w:val="00303E5F"/>
    <w:rsid w:val="003040D3"/>
    <w:rsid w:val="00304677"/>
    <w:rsid w:val="00304AE4"/>
    <w:rsid w:val="00304B45"/>
    <w:rsid w:val="00304BEA"/>
    <w:rsid w:val="0030551C"/>
    <w:rsid w:val="00305574"/>
    <w:rsid w:val="00305634"/>
    <w:rsid w:val="0030587B"/>
    <w:rsid w:val="0030599C"/>
    <w:rsid w:val="00305B97"/>
    <w:rsid w:val="00305C83"/>
    <w:rsid w:val="00305D81"/>
    <w:rsid w:val="00305DB8"/>
    <w:rsid w:val="003062F0"/>
    <w:rsid w:val="003062F9"/>
    <w:rsid w:val="003064FB"/>
    <w:rsid w:val="00306647"/>
    <w:rsid w:val="0030668B"/>
    <w:rsid w:val="00306D98"/>
    <w:rsid w:val="00306EB9"/>
    <w:rsid w:val="0030704E"/>
    <w:rsid w:val="003070D8"/>
    <w:rsid w:val="0030786C"/>
    <w:rsid w:val="0030790D"/>
    <w:rsid w:val="00307AF1"/>
    <w:rsid w:val="00307B8D"/>
    <w:rsid w:val="00307E1D"/>
    <w:rsid w:val="00307ECC"/>
    <w:rsid w:val="0031009D"/>
    <w:rsid w:val="00310196"/>
    <w:rsid w:val="0031031A"/>
    <w:rsid w:val="00310483"/>
    <w:rsid w:val="00310981"/>
    <w:rsid w:val="00310AF0"/>
    <w:rsid w:val="00310B91"/>
    <w:rsid w:val="00310DA8"/>
    <w:rsid w:val="003110C5"/>
    <w:rsid w:val="003112B7"/>
    <w:rsid w:val="003114A7"/>
    <w:rsid w:val="00311692"/>
    <w:rsid w:val="00311AAD"/>
    <w:rsid w:val="00311C0F"/>
    <w:rsid w:val="003129D7"/>
    <w:rsid w:val="00312ACE"/>
    <w:rsid w:val="00312EA6"/>
    <w:rsid w:val="00312F35"/>
    <w:rsid w:val="003131C9"/>
    <w:rsid w:val="003133DC"/>
    <w:rsid w:val="003138C3"/>
    <w:rsid w:val="00313AB0"/>
    <w:rsid w:val="00313AEE"/>
    <w:rsid w:val="003144E8"/>
    <w:rsid w:val="0031456C"/>
    <w:rsid w:val="00314815"/>
    <w:rsid w:val="003149FC"/>
    <w:rsid w:val="00314AF8"/>
    <w:rsid w:val="00314B0C"/>
    <w:rsid w:val="00314CA7"/>
    <w:rsid w:val="00314D38"/>
    <w:rsid w:val="00314E4F"/>
    <w:rsid w:val="00314F12"/>
    <w:rsid w:val="0031509C"/>
    <w:rsid w:val="003150A7"/>
    <w:rsid w:val="00315498"/>
    <w:rsid w:val="003155ED"/>
    <w:rsid w:val="00315627"/>
    <w:rsid w:val="00315DE7"/>
    <w:rsid w:val="0031615D"/>
    <w:rsid w:val="003163A8"/>
    <w:rsid w:val="00316504"/>
    <w:rsid w:val="00316A14"/>
    <w:rsid w:val="00316CE1"/>
    <w:rsid w:val="00316ED6"/>
    <w:rsid w:val="00316FB8"/>
    <w:rsid w:val="003170CA"/>
    <w:rsid w:val="003173E6"/>
    <w:rsid w:val="00317432"/>
    <w:rsid w:val="003175D2"/>
    <w:rsid w:val="00317BDD"/>
    <w:rsid w:val="00317C02"/>
    <w:rsid w:val="00317CF0"/>
    <w:rsid w:val="00317DDC"/>
    <w:rsid w:val="00317FB1"/>
    <w:rsid w:val="00320108"/>
    <w:rsid w:val="0032030D"/>
    <w:rsid w:val="0032039B"/>
    <w:rsid w:val="003207A9"/>
    <w:rsid w:val="003208DD"/>
    <w:rsid w:val="00320923"/>
    <w:rsid w:val="00320B3B"/>
    <w:rsid w:val="00321175"/>
    <w:rsid w:val="00321252"/>
    <w:rsid w:val="0032125A"/>
    <w:rsid w:val="00321395"/>
    <w:rsid w:val="00321889"/>
    <w:rsid w:val="0032188A"/>
    <w:rsid w:val="00321A43"/>
    <w:rsid w:val="00321B42"/>
    <w:rsid w:val="00321B9A"/>
    <w:rsid w:val="00321D08"/>
    <w:rsid w:val="00321F6D"/>
    <w:rsid w:val="00322107"/>
    <w:rsid w:val="003227C3"/>
    <w:rsid w:val="00322846"/>
    <w:rsid w:val="00322A2E"/>
    <w:rsid w:val="00322C22"/>
    <w:rsid w:val="00322F0E"/>
    <w:rsid w:val="00322F24"/>
    <w:rsid w:val="0032320F"/>
    <w:rsid w:val="00323321"/>
    <w:rsid w:val="003236D4"/>
    <w:rsid w:val="00323772"/>
    <w:rsid w:val="003237EB"/>
    <w:rsid w:val="00323B69"/>
    <w:rsid w:val="00323F62"/>
    <w:rsid w:val="003243D4"/>
    <w:rsid w:val="003248DA"/>
    <w:rsid w:val="00324E2B"/>
    <w:rsid w:val="00325118"/>
    <w:rsid w:val="003256A8"/>
    <w:rsid w:val="0032571E"/>
    <w:rsid w:val="00325E35"/>
    <w:rsid w:val="00326144"/>
    <w:rsid w:val="003263C6"/>
    <w:rsid w:val="00326690"/>
    <w:rsid w:val="0032678E"/>
    <w:rsid w:val="00326BA6"/>
    <w:rsid w:val="00326DA7"/>
    <w:rsid w:val="00326F27"/>
    <w:rsid w:val="00326F42"/>
    <w:rsid w:val="003270E4"/>
    <w:rsid w:val="00327107"/>
    <w:rsid w:val="00327155"/>
    <w:rsid w:val="0032737F"/>
    <w:rsid w:val="003276D7"/>
    <w:rsid w:val="00327AB5"/>
    <w:rsid w:val="00327ABF"/>
    <w:rsid w:val="003300A7"/>
    <w:rsid w:val="003301CB"/>
    <w:rsid w:val="00330339"/>
    <w:rsid w:val="00330411"/>
    <w:rsid w:val="003309C5"/>
    <w:rsid w:val="00330A9D"/>
    <w:rsid w:val="00330E02"/>
    <w:rsid w:val="00330E96"/>
    <w:rsid w:val="00330F5C"/>
    <w:rsid w:val="00330F5E"/>
    <w:rsid w:val="003312A1"/>
    <w:rsid w:val="0033151F"/>
    <w:rsid w:val="003317FA"/>
    <w:rsid w:val="00331916"/>
    <w:rsid w:val="00331C23"/>
    <w:rsid w:val="00331FB1"/>
    <w:rsid w:val="00332006"/>
    <w:rsid w:val="003321C5"/>
    <w:rsid w:val="003322ED"/>
    <w:rsid w:val="00332359"/>
    <w:rsid w:val="003324CC"/>
    <w:rsid w:val="003325FC"/>
    <w:rsid w:val="003328E3"/>
    <w:rsid w:val="00332D21"/>
    <w:rsid w:val="003330C2"/>
    <w:rsid w:val="003335C5"/>
    <w:rsid w:val="003336EC"/>
    <w:rsid w:val="00333802"/>
    <w:rsid w:val="00333820"/>
    <w:rsid w:val="00333969"/>
    <w:rsid w:val="00333C99"/>
    <w:rsid w:val="00333F28"/>
    <w:rsid w:val="00334176"/>
    <w:rsid w:val="003341F9"/>
    <w:rsid w:val="00334637"/>
    <w:rsid w:val="00334C13"/>
    <w:rsid w:val="0033524C"/>
    <w:rsid w:val="003352DB"/>
    <w:rsid w:val="00335625"/>
    <w:rsid w:val="00335B35"/>
    <w:rsid w:val="003360BE"/>
    <w:rsid w:val="003366C9"/>
    <w:rsid w:val="003371B0"/>
    <w:rsid w:val="00337445"/>
    <w:rsid w:val="00337765"/>
    <w:rsid w:val="00337875"/>
    <w:rsid w:val="003379D0"/>
    <w:rsid w:val="00337D0D"/>
    <w:rsid w:val="00337F63"/>
    <w:rsid w:val="0034001C"/>
    <w:rsid w:val="0034007F"/>
    <w:rsid w:val="003403F5"/>
    <w:rsid w:val="0034045C"/>
    <w:rsid w:val="0034064F"/>
    <w:rsid w:val="003406B6"/>
    <w:rsid w:val="003406D8"/>
    <w:rsid w:val="00340A2E"/>
    <w:rsid w:val="00340C94"/>
    <w:rsid w:val="00340CB2"/>
    <w:rsid w:val="00340DF1"/>
    <w:rsid w:val="00340F00"/>
    <w:rsid w:val="0034133C"/>
    <w:rsid w:val="003413E1"/>
    <w:rsid w:val="003416BB"/>
    <w:rsid w:val="00341A43"/>
    <w:rsid w:val="00341B49"/>
    <w:rsid w:val="00341B56"/>
    <w:rsid w:val="00341CE7"/>
    <w:rsid w:val="00341E47"/>
    <w:rsid w:val="00341FE3"/>
    <w:rsid w:val="00342363"/>
    <w:rsid w:val="003423D8"/>
    <w:rsid w:val="00342540"/>
    <w:rsid w:val="00342545"/>
    <w:rsid w:val="00342640"/>
    <w:rsid w:val="0034299A"/>
    <w:rsid w:val="00342DC4"/>
    <w:rsid w:val="00342ECC"/>
    <w:rsid w:val="00342FD2"/>
    <w:rsid w:val="00342FFC"/>
    <w:rsid w:val="00343172"/>
    <w:rsid w:val="00343BF9"/>
    <w:rsid w:val="00343D4B"/>
    <w:rsid w:val="00344135"/>
    <w:rsid w:val="003444A7"/>
    <w:rsid w:val="003444FE"/>
    <w:rsid w:val="00344644"/>
    <w:rsid w:val="003446D3"/>
    <w:rsid w:val="003448FD"/>
    <w:rsid w:val="00344BD2"/>
    <w:rsid w:val="00344CEF"/>
    <w:rsid w:val="00344EC4"/>
    <w:rsid w:val="00344F01"/>
    <w:rsid w:val="003450AC"/>
    <w:rsid w:val="0034515E"/>
    <w:rsid w:val="003451EF"/>
    <w:rsid w:val="0034524B"/>
    <w:rsid w:val="00345370"/>
    <w:rsid w:val="00345624"/>
    <w:rsid w:val="00345753"/>
    <w:rsid w:val="00345886"/>
    <w:rsid w:val="00345E1A"/>
    <w:rsid w:val="003462B1"/>
    <w:rsid w:val="00346336"/>
    <w:rsid w:val="00346383"/>
    <w:rsid w:val="003463DA"/>
    <w:rsid w:val="00346503"/>
    <w:rsid w:val="00346598"/>
    <w:rsid w:val="00346839"/>
    <w:rsid w:val="003468E4"/>
    <w:rsid w:val="00346E7B"/>
    <w:rsid w:val="00346EBA"/>
    <w:rsid w:val="0034702A"/>
    <w:rsid w:val="0034722F"/>
    <w:rsid w:val="003474D6"/>
    <w:rsid w:val="003474DF"/>
    <w:rsid w:val="0034767A"/>
    <w:rsid w:val="003476B8"/>
    <w:rsid w:val="00347B79"/>
    <w:rsid w:val="00347D76"/>
    <w:rsid w:val="00347E67"/>
    <w:rsid w:val="00347EE8"/>
    <w:rsid w:val="00350056"/>
    <w:rsid w:val="003502AF"/>
    <w:rsid w:val="00350361"/>
    <w:rsid w:val="003504E1"/>
    <w:rsid w:val="00350AFC"/>
    <w:rsid w:val="00350C77"/>
    <w:rsid w:val="00350F3E"/>
    <w:rsid w:val="00351189"/>
    <w:rsid w:val="0035164B"/>
    <w:rsid w:val="003517F9"/>
    <w:rsid w:val="00352137"/>
    <w:rsid w:val="003521E1"/>
    <w:rsid w:val="00352320"/>
    <w:rsid w:val="003524D5"/>
    <w:rsid w:val="0035285E"/>
    <w:rsid w:val="00352AAE"/>
    <w:rsid w:val="00352CFC"/>
    <w:rsid w:val="00352D18"/>
    <w:rsid w:val="00352F9D"/>
    <w:rsid w:val="00352FE0"/>
    <w:rsid w:val="00353ECC"/>
    <w:rsid w:val="00353FD8"/>
    <w:rsid w:val="0035400A"/>
    <w:rsid w:val="0035420D"/>
    <w:rsid w:val="00354245"/>
    <w:rsid w:val="003544E5"/>
    <w:rsid w:val="0035475E"/>
    <w:rsid w:val="00354A13"/>
    <w:rsid w:val="00354A15"/>
    <w:rsid w:val="00354AF8"/>
    <w:rsid w:val="00354BBE"/>
    <w:rsid w:val="00354BC6"/>
    <w:rsid w:val="00354FA7"/>
    <w:rsid w:val="003555E7"/>
    <w:rsid w:val="00355C22"/>
    <w:rsid w:val="00355E24"/>
    <w:rsid w:val="003561E0"/>
    <w:rsid w:val="0035620E"/>
    <w:rsid w:val="003565FF"/>
    <w:rsid w:val="00356E63"/>
    <w:rsid w:val="00357035"/>
    <w:rsid w:val="003571A2"/>
    <w:rsid w:val="003577A2"/>
    <w:rsid w:val="003577E2"/>
    <w:rsid w:val="00357857"/>
    <w:rsid w:val="00357A0A"/>
    <w:rsid w:val="00357BFD"/>
    <w:rsid w:val="00357E3A"/>
    <w:rsid w:val="0036006C"/>
    <w:rsid w:val="0036009A"/>
    <w:rsid w:val="003602C2"/>
    <w:rsid w:val="0036089B"/>
    <w:rsid w:val="00360963"/>
    <w:rsid w:val="00360B74"/>
    <w:rsid w:val="00360ED3"/>
    <w:rsid w:val="00360EF5"/>
    <w:rsid w:val="003610C1"/>
    <w:rsid w:val="00361323"/>
    <w:rsid w:val="0036154A"/>
    <w:rsid w:val="0036180D"/>
    <w:rsid w:val="003619D5"/>
    <w:rsid w:val="00361A9A"/>
    <w:rsid w:val="00361C51"/>
    <w:rsid w:val="00361CB4"/>
    <w:rsid w:val="00361D49"/>
    <w:rsid w:val="00362297"/>
    <w:rsid w:val="00362340"/>
    <w:rsid w:val="003624C4"/>
    <w:rsid w:val="003625CE"/>
    <w:rsid w:val="0036287B"/>
    <w:rsid w:val="00362A68"/>
    <w:rsid w:val="00362B2C"/>
    <w:rsid w:val="00362B42"/>
    <w:rsid w:val="00362D6A"/>
    <w:rsid w:val="00362E16"/>
    <w:rsid w:val="003632BB"/>
    <w:rsid w:val="003632F8"/>
    <w:rsid w:val="0036368C"/>
    <w:rsid w:val="0036369B"/>
    <w:rsid w:val="00363820"/>
    <w:rsid w:val="00363A34"/>
    <w:rsid w:val="00363A72"/>
    <w:rsid w:val="00363B7B"/>
    <w:rsid w:val="00364350"/>
    <w:rsid w:val="003644D6"/>
    <w:rsid w:val="003647B9"/>
    <w:rsid w:val="00364B3E"/>
    <w:rsid w:val="00364BD5"/>
    <w:rsid w:val="00364BE5"/>
    <w:rsid w:val="00364DE6"/>
    <w:rsid w:val="00364F94"/>
    <w:rsid w:val="003654AC"/>
    <w:rsid w:val="00365A21"/>
    <w:rsid w:val="00365FEB"/>
    <w:rsid w:val="0036602E"/>
    <w:rsid w:val="00366152"/>
    <w:rsid w:val="003661C2"/>
    <w:rsid w:val="003664F7"/>
    <w:rsid w:val="00366679"/>
    <w:rsid w:val="00366D89"/>
    <w:rsid w:val="00367151"/>
    <w:rsid w:val="00367616"/>
    <w:rsid w:val="003677C8"/>
    <w:rsid w:val="003679CA"/>
    <w:rsid w:val="00367B57"/>
    <w:rsid w:val="00367E27"/>
    <w:rsid w:val="003701B8"/>
    <w:rsid w:val="0037071C"/>
    <w:rsid w:val="00370B43"/>
    <w:rsid w:val="00370BCB"/>
    <w:rsid w:val="00370ECC"/>
    <w:rsid w:val="00370F59"/>
    <w:rsid w:val="003710CF"/>
    <w:rsid w:val="00371285"/>
    <w:rsid w:val="003719F8"/>
    <w:rsid w:val="00371B36"/>
    <w:rsid w:val="00372174"/>
    <w:rsid w:val="003726C8"/>
    <w:rsid w:val="00372819"/>
    <w:rsid w:val="00372EB7"/>
    <w:rsid w:val="00372F28"/>
    <w:rsid w:val="00373036"/>
    <w:rsid w:val="00373231"/>
    <w:rsid w:val="0037358A"/>
    <w:rsid w:val="003736DB"/>
    <w:rsid w:val="003737F6"/>
    <w:rsid w:val="0037389A"/>
    <w:rsid w:val="003738A1"/>
    <w:rsid w:val="00373EA3"/>
    <w:rsid w:val="00373F8F"/>
    <w:rsid w:val="0037474B"/>
    <w:rsid w:val="0037496B"/>
    <w:rsid w:val="00374BEF"/>
    <w:rsid w:val="00374D52"/>
    <w:rsid w:val="00374D86"/>
    <w:rsid w:val="00374FDB"/>
    <w:rsid w:val="0037504A"/>
    <w:rsid w:val="003750F6"/>
    <w:rsid w:val="003751F2"/>
    <w:rsid w:val="00375303"/>
    <w:rsid w:val="0037532E"/>
    <w:rsid w:val="003753D9"/>
    <w:rsid w:val="0037542F"/>
    <w:rsid w:val="0037553D"/>
    <w:rsid w:val="00375604"/>
    <w:rsid w:val="00375656"/>
    <w:rsid w:val="0037573F"/>
    <w:rsid w:val="003757ED"/>
    <w:rsid w:val="00375905"/>
    <w:rsid w:val="00375B38"/>
    <w:rsid w:val="00375E49"/>
    <w:rsid w:val="00375F1C"/>
    <w:rsid w:val="003760FC"/>
    <w:rsid w:val="00376152"/>
    <w:rsid w:val="0037627F"/>
    <w:rsid w:val="003765EC"/>
    <w:rsid w:val="0037683B"/>
    <w:rsid w:val="00376B82"/>
    <w:rsid w:val="00376CB9"/>
    <w:rsid w:val="00376F98"/>
    <w:rsid w:val="0037709C"/>
    <w:rsid w:val="00377232"/>
    <w:rsid w:val="003772DC"/>
    <w:rsid w:val="0037758A"/>
    <w:rsid w:val="00377A26"/>
    <w:rsid w:val="00377A47"/>
    <w:rsid w:val="00377AB6"/>
    <w:rsid w:val="00377BF0"/>
    <w:rsid w:val="00377FE9"/>
    <w:rsid w:val="0038009F"/>
    <w:rsid w:val="00380145"/>
    <w:rsid w:val="003803FF"/>
    <w:rsid w:val="00380492"/>
    <w:rsid w:val="00380625"/>
    <w:rsid w:val="003809DC"/>
    <w:rsid w:val="00380EE5"/>
    <w:rsid w:val="00380F5B"/>
    <w:rsid w:val="00380FA1"/>
    <w:rsid w:val="0038112F"/>
    <w:rsid w:val="003814C5"/>
    <w:rsid w:val="00381524"/>
    <w:rsid w:val="00381757"/>
    <w:rsid w:val="00381992"/>
    <w:rsid w:val="00381B88"/>
    <w:rsid w:val="00381B95"/>
    <w:rsid w:val="00381E74"/>
    <w:rsid w:val="0038204F"/>
    <w:rsid w:val="00382384"/>
    <w:rsid w:val="00382607"/>
    <w:rsid w:val="003829DE"/>
    <w:rsid w:val="00382AA1"/>
    <w:rsid w:val="00382D2B"/>
    <w:rsid w:val="0038337F"/>
    <w:rsid w:val="00383390"/>
    <w:rsid w:val="00383480"/>
    <w:rsid w:val="0038365C"/>
    <w:rsid w:val="0038369B"/>
    <w:rsid w:val="00383B78"/>
    <w:rsid w:val="00383C72"/>
    <w:rsid w:val="0038419F"/>
    <w:rsid w:val="00384626"/>
    <w:rsid w:val="00384947"/>
    <w:rsid w:val="00384EFE"/>
    <w:rsid w:val="00384FD7"/>
    <w:rsid w:val="003850AA"/>
    <w:rsid w:val="003851AC"/>
    <w:rsid w:val="003851AF"/>
    <w:rsid w:val="0038533C"/>
    <w:rsid w:val="0038555B"/>
    <w:rsid w:val="0038566C"/>
    <w:rsid w:val="003856BC"/>
    <w:rsid w:val="00385976"/>
    <w:rsid w:val="00385A7F"/>
    <w:rsid w:val="00385A9D"/>
    <w:rsid w:val="00385B69"/>
    <w:rsid w:val="0038614E"/>
    <w:rsid w:val="00386439"/>
    <w:rsid w:val="003865A6"/>
    <w:rsid w:val="00386683"/>
    <w:rsid w:val="003869FA"/>
    <w:rsid w:val="00386B60"/>
    <w:rsid w:val="00386B64"/>
    <w:rsid w:val="00386CBF"/>
    <w:rsid w:val="00386DA1"/>
    <w:rsid w:val="00386E0E"/>
    <w:rsid w:val="00386E1C"/>
    <w:rsid w:val="00386F03"/>
    <w:rsid w:val="00386F71"/>
    <w:rsid w:val="003874AB"/>
    <w:rsid w:val="003875D1"/>
    <w:rsid w:val="003879BF"/>
    <w:rsid w:val="00387D2A"/>
    <w:rsid w:val="00387E36"/>
    <w:rsid w:val="003902B1"/>
    <w:rsid w:val="0039072F"/>
    <w:rsid w:val="00390931"/>
    <w:rsid w:val="00390B5A"/>
    <w:rsid w:val="00390BE2"/>
    <w:rsid w:val="00390E97"/>
    <w:rsid w:val="00391321"/>
    <w:rsid w:val="003919F7"/>
    <w:rsid w:val="00391A4D"/>
    <w:rsid w:val="0039269B"/>
    <w:rsid w:val="0039277F"/>
    <w:rsid w:val="00392B67"/>
    <w:rsid w:val="00392C3E"/>
    <w:rsid w:val="00392CF0"/>
    <w:rsid w:val="00392ED7"/>
    <w:rsid w:val="00393094"/>
    <w:rsid w:val="00393770"/>
    <w:rsid w:val="003938B1"/>
    <w:rsid w:val="00393A36"/>
    <w:rsid w:val="00393CF2"/>
    <w:rsid w:val="00394260"/>
    <w:rsid w:val="00394344"/>
    <w:rsid w:val="003945A3"/>
    <w:rsid w:val="00394757"/>
    <w:rsid w:val="00394CC6"/>
    <w:rsid w:val="0039533E"/>
    <w:rsid w:val="00395AB5"/>
    <w:rsid w:val="00395B1B"/>
    <w:rsid w:val="00395FF0"/>
    <w:rsid w:val="00396058"/>
    <w:rsid w:val="003960AF"/>
    <w:rsid w:val="003962C5"/>
    <w:rsid w:val="00396300"/>
    <w:rsid w:val="00396421"/>
    <w:rsid w:val="00396896"/>
    <w:rsid w:val="00396899"/>
    <w:rsid w:val="00396C27"/>
    <w:rsid w:val="00396F85"/>
    <w:rsid w:val="00396FD0"/>
    <w:rsid w:val="00396FFC"/>
    <w:rsid w:val="00397226"/>
    <w:rsid w:val="003974CF"/>
    <w:rsid w:val="00397742"/>
    <w:rsid w:val="003979C6"/>
    <w:rsid w:val="00397B09"/>
    <w:rsid w:val="00397BC2"/>
    <w:rsid w:val="00397C8A"/>
    <w:rsid w:val="00397CFD"/>
    <w:rsid w:val="003A0030"/>
    <w:rsid w:val="003A00EF"/>
    <w:rsid w:val="003A0486"/>
    <w:rsid w:val="003A09DD"/>
    <w:rsid w:val="003A0A5D"/>
    <w:rsid w:val="003A0A63"/>
    <w:rsid w:val="003A1416"/>
    <w:rsid w:val="003A1422"/>
    <w:rsid w:val="003A1459"/>
    <w:rsid w:val="003A17E6"/>
    <w:rsid w:val="003A1A7A"/>
    <w:rsid w:val="003A1C11"/>
    <w:rsid w:val="003A1C4E"/>
    <w:rsid w:val="003A2109"/>
    <w:rsid w:val="003A2184"/>
    <w:rsid w:val="003A2204"/>
    <w:rsid w:val="003A2210"/>
    <w:rsid w:val="003A2253"/>
    <w:rsid w:val="003A230E"/>
    <w:rsid w:val="003A2392"/>
    <w:rsid w:val="003A240A"/>
    <w:rsid w:val="003A2736"/>
    <w:rsid w:val="003A27CB"/>
    <w:rsid w:val="003A2831"/>
    <w:rsid w:val="003A2874"/>
    <w:rsid w:val="003A2894"/>
    <w:rsid w:val="003A2A28"/>
    <w:rsid w:val="003A2F71"/>
    <w:rsid w:val="003A2FD8"/>
    <w:rsid w:val="003A32BC"/>
    <w:rsid w:val="003A3672"/>
    <w:rsid w:val="003A3BF0"/>
    <w:rsid w:val="003A3D5E"/>
    <w:rsid w:val="003A3ED1"/>
    <w:rsid w:val="003A41B0"/>
    <w:rsid w:val="003A41DB"/>
    <w:rsid w:val="003A44BA"/>
    <w:rsid w:val="003A468A"/>
    <w:rsid w:val="003A4A43"/>
    <w:rsid w:val="003A4B17"/>
    <w:rsid w:val="003A4ED0"/>
    <w:rsid w:val="003A4FA9"/>
    <w:rsid w:val="003A50C0"/>
    <w:rsid w:val="003A50E8"/>
    <w:rsid w:val="003A51CE"/>
    <w:rsid w:val="003A5376"/>
    <w:rsid w:val="003A5B0A"/>
    <w:rsid w:val="003A5B12"/>
    <w:rsid w:val="003A5E8B"/>
    <w:rsid w:val="003A603C"/>
    <w:rsid w:val="003A628A"/>
    <w:rsid w:val="003A6481"/>
    <w:rsid w:val="003A664E"/>
    <w:rsid w:val="003A672C"/>
    <w:rsid w:val="003A68CF"/>
    <w:rsid w:val="003A6CCD"/>
    <w:rsid w:val="003A6F99"/>
    <w:rsid w:val="003A724D"/>
    <w:rsid w:val="003A72D1"/>
    <w:rsid w:val="003A746A"/>
    <w:rsid w:val="003A776E"/>
    <w:rsid w:val="003A7C2E"/>
    <w:rsid w:val="003A7CBB"/>
    <w:rsid w:val="003B0340"/>
    <w:rsid w:val="003B087E"/>
    <w:rsid w:val="003B10FE"/>
    <w:rsid w:val="003B1157"/>
    <w:rsid w:val="003B117C"/>
    <w:rsid w:val="003B1212"/>
    <w:rsid w:val="003B13CE"/>
    <w:rsid w:val="003B1723"/>
    <w:rsid w:val="003B1813"/>
    <w:rsid w:val="003B18B9"/>
    <w:rsid w:val="003B1A14"/>
    <w:rsid w:val="003B1A75"/>
    <w:rsid w:val="003B1C5B"/>
    <w:rsid w:val="003B1D86"/>
    <w:rsid w:val="003B1E92"/>
    <w:rsid w:val="003B2012"/>
    <w:rsid w:val="003B239A"/>
    <w:rsid w:val="003B2A2E"/>
    <w:rsid w:val="003B2CC6"/>
    <w:rsid w:val="003B2EF5"/>
    <w:rsid w:val="003B30BB"/>
    <w:rsid w:val="003B3223"/>
    <w:rsid w:val="003B3A04"/>
    <w:rsid w:val="003B3DED"/>
    <w:rsid w:val="003B3F28"/>
    <w:rsid w:val="003B41A2"/>
    <w:rsid w:val="003B421C"/>
    <w:rsid w:val="003B4420"/>
    <w:rsid w:val="003B47AC"/>
    <w:rsid w:val="003B4AF8"/>
    <w:rsid w:val="003B4FCA"/>
    <w:rsid w:val="003B50CD"/>
    <w:rsid w:val="003B518F"/>
    <w:rsid w:val="003B51D9"/>
    <w:rsid w:val="003B5310"/>
    <w:rsid w:val="003B53B6"/>
    <w:rsid w:val="003B543E"/>
    <w:rsid w:val="003B54F9"/>
    <w:rsid w:val="003B5630"/>
    <w:rsid w:val="003B5662"/>
    <w:rsid w:val="003B566F"/>
    <w:rsid w:val="003B59B6"/>
    <w:rsid w:val="003B5B61"/>
    <w:rsid w:val="003B5B92"/>
    <w:rsid w:val="003B5CDC"/>
    <w:rsid w:val="003B5EE6"/>
    <w:rsid w:val="003B6548"/>
    <w:rsid w:val="003B6579"/>
    <w:rsid w:val="003B698F"/>
    <w:rsid w:val="003B6CA8"/>
    <w:rsid w:val="003B6D29"/>
    <w:rsid w:val="003B6D88"/>
    <w:rsid w:val="003B6DF0"/>
    <w:rsid w:val="003B703C"/>
    <w:rsid w:val="003B724B"/>
    <w:rsid w:val="003B724F"/>
    <w:rsid w:val="003B746C"/>
    <w:rsid w:val="003B7502"/>
    <w:rsid w:val="003B7815"/>
    <w:rsid w:val="003B783D"/>
    <w:rsid w:val="003B79B3"/>
    <w:rsid w:val="003B7AFD"/>
    <w:rsid w:val="003B7B91"/>
    <w:rsid w:val="003B7EAE"/>
    <w:rsid w:val="003C05EC"/>
    <w:rsid w:val="003C0896"/>
    <w:rsid w:val="003C0A1D"/>
    <w:rsid w:val="003C0BD5"/>
    <w:rsid w:val="003C1106"/>
    <w:rsid w:val="003C1458"/>
    <w:rsid w:val="003C1654"/>
    <w:rsid w:val="003C1821"/>
    <w:rsid w:val="003C1D32"/>
    <w:rsid w:val="003C1D5C"/>
    <w:rsid w:val="003C1E0C"/>
    <w:rsid w:val="003C2032"/>
    <w:rsid w:val="003C209C"/>
    <w:rsid w:val="003C2345"/>
    <w:rsid w:val="003C23D8"/>
    <w:rsid w:val="003C270C"/>
    <w:rsid w:val="003C2E9E"/>
    <w:rsid w:val="003C31E3"/>
    <w:rsid w:val="003C327D"/>
    <w:rsid w:val="003C338D"/>
    <w:rsid w:val="003C3505"/>
    <w:rsid w:val="003C36F5"/>
    <w:rsid w:val="003C373D"/>
    <w:rsid w:val="003C3CAD"/>
    <w:rsid w:val="003C3D1C"/>
    <w:rsid w:val="003C3D23"/>
    <w:rsid w:val="003C3DD6"/>
    <w:rsid w:val="003C3F70"/>
    <w:rsid w:val="003C4117"/>
    <w:rsid w:val="003C42F1"/>
    <w:rsid w:val="003C441C"/>
    <w:rsid w:val="003C4465"/>
    <w:rsid w:val="003C46F9"/>
    <w:rsid w:val="003C4F83"/>
    <w:rsid w:val="003C588B"/>
    <w:rsid w:val="003C5B4C"/>
    <w:rsid w:val="003C5C23"/>
    <w:rsid w:val="003C5E6C"/>
    <w:rsid w:val="003C6001"/>
    <w:rsid w:val="003C61DD"/>
    <w:rsid w:val="003C61E0"/>
    <w:rsid w:val="003C6245"/>
    <w:rsid w:val="003C6903"/>
    <w:rsid w:val="003C6927"/>
    <w:rsid w:val="003C6A54"/>
    <w:rsid w:val="003C6B06"/>
    <w:rsid w:val="003C6CB3"/>
    <w:rsid w:val="003C6CE8"/>
    <w:rsid w:val="003C6E59"/>
    <w:rsid w:val="003C7156"/>
    <w:rsid w:val="003C7219"/>
    <w:rsid w:val="003C73EF"/>
    <w:rsid w:val="003C75DC"/>
    <w:rsid w:val="003C76AC"/>
    <w:rsid w:val="003C77E7"/>
    <w:rsid w:val="003C7B35"/>
    <w:rsid w:val="003C7D19"/>
    <w:rsid w:val="003C7E49"/>
    <w:rsid w:val="003C7FE2"/>
    <w:rsid w:val="003D0173"/>
    <w:rsid w:val="003D022A"/>
    <w:rsid w:val="003D03CC"/>
    <w:rsid w:val="003D0412"/>
    <w:rsid w:val="003D0550"/>
    <w:rsid w:val="003D078B"/>
    <w:rsid w:val="003D0798"/>
    <w:rsid w:val="003D08EF"/>
    <w:rsid w:val="003D09AA"/>
    <w:rsid w:val="003D0D51"/>
    <w:rsid w:val="003D0F2B"/>
    <w:rsid w:val="003D10CC"/>
    <w:rsid w:val="003D13DE"/>
    <w:rsid w:val="003D1578"/>
    <w:rsid w:val="003D1684"/>
    <w:rsid w:val="003D1799"/>
    <w:rsid w:val="003D1828"/>
    <w:rsid w:val="003D19D1"/>
    <w:rsid w:val="003D1AD7"/>
    <w:rsid w:val="003D1B04"/>
    <w:rsid w:val="003D1B38"/>
    <w:rsid w:val="003D1DE4"/>
    <w:rsid w:val="003D2409"/>
    <w:rsid w:val="003D2422"/>
    <w:rsid w:val="003D2529"/>
    <w:rsid w:val="003D2788"/>
    <w:rsid w:val="003D27A0"/>
    <w:rsid w:val="003D28DB"/>
    <w:rsid w:val="003D2952"/>
    <w:rsid w:val="003D2B41"/>
    <w:rsid w:val="003D2BAA"/>
    <w:rsid w:val="003D2D26"/>
    <w:rsid w:val="003D2E27"/>
    <w:rsid w:val="003D2E6B"/>
    <w:rsid w:val="003D2EB9"/>
    <w:rsid w:val="003D379C"/>
    <w:rsid w:val="003D3888"/>
    <w:rsid w:val="003D39A1"/>
    <w:rsid w:val="003D3D52"/>
    <w:rsid w:val="003D3ECB"/>
    <w:rsid w:val="003D3F08"/>
    <w:rsid w:val="003D3FBF"/>
    <w:rsid w:val="003D44A6"/>
    <w:rsid w:val="003D467A"/>
    <w:rsid w:val="003D4689"/>
    <w:rsid w:val="003D46B0"/>
    <w:rsid w:val="003D48A6"/>
    <w:rsid w:val="003D4A1A"/>
    <w:rsid w:val="003D4A30"/>
    <w:rsid w:val="003D4C01"/>
    <w:rsid w:val="003D4F80"/>
    <w:rsid w:val="003D502B"/>
    <w:rsid w:val="003D52D9"/>
    <w:rsid w:val="003D5353"/>
    <w:rsid w:val="003D53DC"/>
    <w:rsid w:val="003D5500"/>
    <w:rsid w:val="003D5D05"/>
    <w:rsid w:val="003D5D1A"/>
    <w:rsid w:val="003D5E81"/>
    <w:rsid w:val="003D6323"/>
    <w:rsid w:val="003D66E3"/>
    <w:rsid w:val="003D6E05"/>
    <w:rsid w:val="003D6EA6"/>
    <w:rsid w:val="003D714D"/>
    <w:rsid w:val="003D769C"/>
    <w:rsid w:val="003D79BB"/>
    <w:rsid w:val="003D7BD7"/>
    <w:rsid w:val="003D7C98"/>
    <w:rsid w:val="003E01EF"/>
    <w:rsid w:val="003E03F5"/>
    <w:rsid w:val="003E04BF"/>
    <w:rsid w:val="003E0543"/>
    <w:rsid w:val="003E06EA"/>
    <w:rsid w:val="003E08C5"/>
    <w:rsid w:val="003E0A54"/>
    <w:rsid w:val="003E0AB7"/>
    <w:rsid w:val="003E0B44"/>
    <w:rsid w:val="003E0B6D"/>
    <w:rsid w:val="003E0CFD"/>
    <w:rsid w:val="003E113C"/>
    <w:rsid w:val="003E12E1"/>
    <w:rsid w:val="003E1356"/>
    <w:rsid w:val="003E13AA"/>
    <w:rsid w:val="003E13EE"/>
    <w:rsid w:val="003E180F"/>
    <w:rsid w:val="003E1A09"/>
    <w:rsid w:val="003E1AEA"/>
    <w:rsid w:val="003E2308"/>
    <w:rsid w:val="003E24B2"/>
    <w:rsid w:val="003E28C4"/>
    <w:rsid w:val="003E2993"/>
    <w:rsid w:val="003E29A2"/>
    <w:rsid w:val="003E2F1C"/>
    <w:rsid w:val="003E31B4"/>
    <w:rsid w:val="003E33BB"/>
    <w:rsid w:val="003E355C"/>
    <w:rsid w:val="003E364A"/>
    <w:rsid w:val="003E378D"/>
    <w:rsid w:val="003E37B8"/>
    <w:rsid w:val="003E389D"/>
    <w:rsid w:val="003E3D3E"/>
    <w:rsid w:val="003E3D65"/>
    <w:rsid w:val="003E3F82"/>
    <w:rsid w:val="003E43F2"/>
    <w:rsid w:val="003E44E3"/>
    <w:rsid w:val="003E4738"/>
    <w:rsid w:val="003E473E"/>
    <w:rsid w:val="003E485F"/>
    <w:rsid w:val="003E494D"/>
    <w:rsid w:val="003E4AA0"/>
    <w:rsid w:val="003E4BA1"/>
    <w:rsid w:val="003E4E54"/>
    <w:rsid w:val="003E4FC6"/>
    <w:rsid w:val="003E50CC"/>
    <w:rsid w:val="003E50DE"/>
    <w:rsid w:val="003E57CF"/>
    <w:rsid w:val="003E5869"/>
    <w:rsid w:val="003E589A"/>
    <w:rsid w:val="003E5963"/>
    <w:rsid w:val="003E5BD7"/>
    <w:rsid w:val="003E5CA3"/>
    <w:rsid w:val="003E5DC6"/>
    <w:rsid w:val="003E5DE4"/>
    <w:rsid w:val="003E5E5B"/>
    <w:rsid w:val="003E6269"/>
    <w:rsid w:val="003E627A"/>
    <w:rsid w:val="003E647F"/>
    <w:rsid w:val="003E6CD2"/>
    <w:rsid w:val="003E7468"/>
    <w:rsid w:val="003E7722"/>
    <w:rsid w:val="003E7C7E"/>
    <w:rsid w:val="003E7DFD"/>
    <w:rsid w:val="003E7FE9"/>
    <w:rsid w:val="003F006D"/>
    <w:rsid w:val="003F0346"/>
    <w:rsid w:val="003F058E"/>
    <w:rsid w:val="003F06D7"/>
    <w:rsid w:val="003F07BF"/>
    <w:rsid w:val="003F0A4D"/>
    <w:rsid w:val="003F0B91"/>
    <w:rsid w:val="003F0F80"/>
    <w:rsid w:val="003F0FFD"/>
    <w:rsid w:val="003F109C"/>
    <w:rsid w:val="003F1100"/>
    <w:rsid w:val="003F1133"/>
    <w:rsid w:val="003F15C1"/>
    <w:rsid w:val="003F18E9"/>
    <w:rsid w:val="003F19A4"/>
    <w:rsid w:val="003F1C61"/>
    <w:rsid w:val="003F1C69"/>
    <w:rsid w:val="003F1CD4"/>
    <w:rsid w:val="003F1DEE"/>
    <w:rsid w:val="003F24D2"/>
    <w:rsid w:val="003F2791"/>
    <w:rsid w:val="003F2D8A"/>
    <w:rsid w:val="003F2E59"/>
    <w:rsid w:val="003F3395"/>
    <w:rsid w:val="003F3438"/>
    <w:rsid w:val="003F35B3"/>
    <w:rsid w:val="003F390C"/>
    <w:rsid w:val="003F39B8"/>
    <w:rsid w:val="003F3AB7"/>
    <w:rsid w:val="003F3B12"/>
    <w:rsid w:val="003F4029"/>
    <w:rsid w:val="003F4156"/>
    <w:rsid w:val="003F426B"/>
    <w:rsid w:val="003F4313"/>
    <w:rsid w:val="003F4735"/>
    <w:rsid w:val="003F480B"/>
    <w:rsid w:val="003F4868"/>
    <w:rsid w:val="003F48EC"/>
    <w:rsid w:val="003F4EA2"/>
    <w:rsid w:val="003F4FB8"/>
    <w:rsid w:val="003F5022"/>
    <w:rsid w:val="003F518C"/>
    <w:rsid w:val="003F5354"/>
    <w:rsid w:val="003F55E5"/>
    <w:rsid w:val="003F55EB"/>
    <w:rsid w:val="003F5711"/>
    <w:rsid w:val="003F5CFF"/>
    <w:rsid w:val="003F5D0A"/>
    <w:rsid w:val="003F5D92"/>
    <w:rsid w:val="003F5E7B"/>
    <w:rsid w:val="003F5E8B"/>
    <w:rsid w:val="003F6148"/>
    <w:rsid w:val="003F628A"/>
    <w:rsid w:val="003F63CA"/>
    <w:rsid w:val="003F659D"/>
    <w:rsid w:val="003F68FA"/>
    <w:rsid w:val="003F7131"/>
    <w:rsid w:val="003F7176"/>
    <w:rsid w:val="003F73B7"/>
    <w:rsid w:val="003F73CA"/>
    <w:rsid w:val="003F744C"/>
    <w:rsid w:val="003F79CE"/>
    <w:rsid w:val="003F7CBC"/>
    <w:rsid w:val="003F7CC0"/>
    <w:rsid w:val="003F7CCC"/>
    <w:rsid w:val="003F7D7E"/>
    <w:rsid w:val="003F7DE0"/>
    <w:rsid w:val="003F7F25"/>
    <w:rsid w:val="004002F1"/>
    <w:rsid w:val="004004E4"/>
    <w:rsid w:val="00400924"/>
    <w:rsid w:val="00400B29"/>
    <w:rsid w:val="00400CC8"/>
    <w:rsid w:val="004012BD"/>
    <w:rsid w:val="004014CA"/>
    <w:rsid w:val="0040168F"/>
    <w:rsid w:val="0040177E"/>
    <w:rsid w:val="0040178F"/>
    <w:rsid w:val="00401839"/>
    <w:rsid w:val="00401A49"/>
    <w:rsid w:val="00401AA3"/>
    <w:rsid w:val="00401EC4"/>
    <w:rsid w:val="00401ECC"/>
    <w:rsid w:val="004020B7"/>
    <w:rsid w:val="00402195"/>
    <w:rsid w:val="0040222E"/>
    <w:rsid w:val="00402396"/>
    <w:rsid w:val="0040253F"/>
    <w:rsid w:val="0040261F"/>
    <w:rsid w:val="004028E5"/>
    <w:rsid w:val="00402A5A"/>
    <w:rsid w:val="004031F1"/>
    <w:rsid w:val="00403215"/>
    <w:rsid w:val="004032D4"/>
    <w:rsid w:val="00403517"/>
    <w:rsid w:val="00403750"/>
    <w:rsid w:val="00403812"/>
    <w:rsid w:val="00403896"/>
    <w:rsid w:val="00403B57"/>
    <w:rsid w:val="00403BBB"/>
    <w:rsid w:val="00403CC0"/>
    <w:rsid w:val="00403FE1"/>
    <w:rsid w:val="004041E6"/>
    <w:rsid w:val="004043B0"/>
    <w:rsid w:val="00404876"/>
    <w:rsid w:val="00404B5E"/>
    <w:rsid w:val="00404E8E"/>
    <w:rsid w:val="00404ED7"/>
    <w:rsid w:val="0040504B"/>
    <w:rsid w:val="0040517C"/>
    <w:rsid w:val="0040553D"/>
    <w:rsid w:val="00405561"/>
    <w:rsid w:val="0040569C"/>
    <w:rsid w:val="004057E5"/>
    <w:rsid w:val="0040582D"/>
    <w:rsid w:val="00405871"/>
    <w:rsid w:val="004058C6"/>
    <w:rsid w:val="004058CC"/>
    <w:rsid w:val="00405975"/>
    <w:rsid w:val="004059F6"/>
    <w:rsid w:val="00405E34"/>
    <w:rsid w:val="00406519"/>
    <w:rsid w:val="004065A1"/>
    <w:rsid w:val="004066C7"/>
    <w:rsid w:val="00406BEF"/>
    <w:rsid w:val="00406C24"/>
    <w:rsid w:val="00406C79"/>
    <w:rsid w:val="00407236"/>
    <w:rsid w:val="0040757A"/>
    <w:rsid w:val="00407AE6"/>
    <w:rsid w:val="00407B19"/>
    <w:rsid w:val="004100CC"/>
    <w:rsid w:val="0041014F"/>
    <w:rsid w:val="004101E5"/>
    <w:rsid w:val="00410597"/>
    <w:rsid w:val="00410708"/>
    <w:rsid w:val="00410CA7"/>
    <w:rsid w:val="00410D34"/>
    <w:rsid w:val="00410EC7"/>
    <w:rsid w:val="00411380"/>
    <w:rsid w:val="00411585"/>
    <w:rsid w:val="00411750"/>
    <w:rsid w:val="00411943"/>
    <w:rsid w:val="00411961"/>
    <w:rsid w:val="004119A8"/>
    <w:rsid w:val="00411B20"/>
    <w:rsid w:val="00411B39"/>
    <w:rsid w:val="00411BCA"/>
    <w:rsid w:val="00411CEF"/>
    <w:rsid w:val="00411D9D"/>
    <w:rsid w:val="00411EEE"/>
    <w:rsid w:val="00412141"/>
    <w:rsid w:val="0041232B"/>
    <w:rsid w:val="0041271E"/>
    <w:rsid w:val="004128C4"/>
    <w:rsid w:val="004128E9"/>
    <w:rsid w:val="00412ABB"/>
    <w:rsid w:val="00412ACC"/>
    <w:rsid w:val="00412AD8"/>
    <w:rsid w:val="00412D55"/>
    <w:rsid w:val="00412F9D"/>
    <w:rsid w:val="0041306D"/>
    <w:rsid w:val="00413397"/>
    <w:rsid w:val="00413A1E"/>
    <w:rsid w:val="00413BE3"/>
    <w:rsid w:val="00413CD9"/>
    <w:rsid w:val="00413E28"/>
    <w:rsid w:val="004140B6"/>
    <w:rsid w:val="0041416D"/>
    <w:rsid w:val="0041421D"/>
    <w:rsid w:val="0041426B"/>
    <w:rsid w:val="00414301"/>
    <w:rsid w:val="00414476"/>
    <w:rsid w:val="004147AE"/>
    <w:rsid w:val="00414AB9"/>
    <w:rsid w:val="00414BEC"/>
    <w:rsid w:val="00414C2E"/>
    <w:rsid w:val="00414F59"/>
    <w:rsid w:val="004151CF"/>
    <w:rsid w:val="0041544A"/>
    <w:rsid w:val="004154BC"/>
    <w:rsid w:val="00415AF7"/>
    <w:rsid w:val="0041612D"/>
    <w:rsid w:val="00416364"/>
    <w:rsid w:val="00416754"/>
    <w:rsid w:val="004167B1"/>
    <w:rsid w:val="004168EB"/>
    <w:rsid w:val="00416C06"/>
    <w:rsid w:val="004171B1"/>
    <w:rsid w:val="00417203"/>
    <w:rsid w:val="00417234"/>
    <w:rsid w:val="004172AD"/>
    <w:rsid w:val="00417608"/>
    <w:rsid w:val="004177E6"/>
    <w:rsid w:val="00417CA5"/>
    <w:rsid w:val="00417DE0"/>
    <w:rsid w:val="00417DE1"/>
    <w:rsid w:val="00420118"/>
    <w:rsid w:val="00420161"/>
    <w:rsid w:val="004203F8"/>
    <w:rsid w:val="004206A0"/>
    <w:rsid w:val="00420A81"/>
    <w:rsid w:val="00420AA6"/>
    <w:rsid w:val="00420AFC"/>
    <w:rsid w:val="00420B9F"/>
    <w:rsid w:val="00420F35"/>
    <w:rsid w:val="004215E8"/>
    <w:rsid w:val="004217BD"/>
    <w:rsid w:val="00421A6B"/>
    <w:rsid w:val="00421C94"/>
    <w:rsid w:val="00421F46"/>
    <w:rsid w:val="00422260"/>
    <w:rsid w:val="00422284"/>
    <w:rsid w:val="0042233D"/>
    <w:rsid w:val="0042249B"/>
    <w:rsid w:val="0042257B"/>
    <w:rsid w:val="00422622"/>
    <w:rsid w:val="00422700"/>
    <w:rsid w:val="0042280A"/>
    <w:rsid w:val="0042285B"/>
    <w:rsid w:val="00422978"/>
    <w:rsid w:val="00422BF0"/>
    <w:rsid w:val="00422FAF"/>
    <w:rsid w:val="004233EB"/>
    <w:rsid w:val="0042376C"/>
    <w:rsid w:val="00423A7C"/>
    <w:rsid w:val="00423B3F"/>
    <w:rsid w:val="00423C44"/>
    <w:rsid w:val="00423DEB"/>
    <w:rsid w:val="00424071"/>
    <w:rsid w:val="0042413F"/>
    <w:rsid w:val="004241DE"/>
    <w:rsid w:val="004243AB"/>
    <w:rsid w:val="0042440D"/>
    <w:rsid w:val="00424444"/>
    <w:rsid w:val="004247AC"/>
    <w:rsid w:val="004248EB"/>
    <w:rsid w:val="00424A06"/>
    <w:rsid w:val="00424E51"/>
    <w:rsid w:val="00424FF1"/>
    <w:rsid w:val="004251C2"/>
    <w:rsid w:val="0042551D"/>
    <w:rsid w:val="004255E0"/>
    <w:rsid w:val="00425733"/>
    <w:rsid w:val="00425900"/>
    <w:rsid w:val="00425A22"/>
    <w:rsid w:val="00425A28"/>
    <w:rsid w:val="00425B0E"/>
    <w:rsid w:val="00425D1A"/>
    <w:rsid w:val="00425EF3"/>
    <w:rsid w:val="004260C8"/>
    <w:rsid w:val="00426404"/>
    <w:rsid w:val="00426861"/>
    <w:rsid w:val="004268CC"/>
    <w:rsid w:val="004269D4"/>
    <w:rsid w:val="00426CED"/>
    <w:rsid w:val="00427169"/>
    <w:rsid w:val="00427438"/>
    <w:rsid w:val="0042745A"/>
    <w:rsid w:val="00427572"/>
    <w:rsid w:val="004276D8"/>
    <w:rsid w:val="00427897"/>
    <w:rsid w:val="00427980"/>
    <w:rsid w:val="00427C85"/>
    <w:rsid w:val="00427DAB"/>
    <w:rsid w:val="00427DAC"/>
    <w:rsid w:val="00430084"/>
    <w:rsid w:val="00430177"/>
    <w:rsid w:val="004302EA"/>
    <w:rsid w:val="004305EE"/>
    <w:rsid w:val="0043086E"/>
    <w:rsid w:val="004308B7"/>
    <w:rsid w:val="004308DB"/>
    <w:rsid w:val="00430902"/>
    <w:rsid w:val="00430AAA"/>
    <w:rsid w:val="00430C7A"/>
    <w:rsid w:val="00430E8A"/>
    <w:rsid w:val="00430F70"/>
    <w:rsid w:val="004316E9"/>
    <w:rsid w:val="00431857"/>
    <w:rsid w:val="004319F8"/>
    <w:rsid w:val="00431A9C"/>
    <w:rsid w:val="00431AB6"/>
    <w:rsid w:val="00431AB8"/>
    <w:rsid w:val="00431B33"/>
    <w:rsid w:val="00431E55"/>
    <w:rsid w:val="00432071"/>
    <w:rsid w:val="004321F6"/>
    <w:rsid w:val="004328C4"/>
    <w:rsid w:val="004329B9"/>
    <w:rsid w:val="00432D60"/>
    <w:rsid w:val="00433044"/>
    <w:rsid w:val="0043310E"/>
    <w:rsid w:val="00433285"/>
    <w:rsid w:val="004333AE"/>
    <w:rsid w:val="004334C1"/>
    <w:rsid w:val="00433F28"/>
    <w:rsid w:val="00433FC1"/>
    <w:rsid w:val="00434174"/>
    <w:rsid w:val="00434375"/>
    <w:rsid w:val="004347CD"/>
    <w:rsid w:val="004347F0"/>
    <w:rsid w:val="004349DB"/>
    <w:rsid w:val="00434B57"/>
    <w:rsid w:val="00434EE7"/>
    <w:rsid w:val="00434F74"/>
    <w:rsid w:val="0043507B"/>
    <w:rsid w:val="004355F0"/>
    <w:rsid w:val="00435829"/>
    <w:rsid w:val="00435E0A"/>
    <w:rsid w:val="0043603F"/>
    <w:rsid w:val="004365AC"/>
    <w:rsid w:val="0043682A"/>
    <w:rsid w:val="00436B13"/>
    <w:rsid w:val="0043702F"/>
    <w:rsid w:val="004375B9"/>
    <w:rsid w:val="0043793F"/>
    <w:rsid w:val="00437C5D"/>
    <w:rsid w:val="00437D21"/>
    <w:rsid w:val="00437D5F"/>
    <w:rsid w:val="00437DE1"/>
    <w:rsid w:val="00437E54"/>
    <w:rsid w:val="00440502"/>
    <w:rsid w:val="004406CB"/>
    <w:rsid w:val="00440DFE"/>
    <w:rsid w:val="0044116C"/>
    <w:rsid w:val="0044150C"/>
    <w:rsid w:val="00441701"/>
    <w:rsid w:val="004418CA"/>
    <w:rsid w:val="00442051"/>
    <w:rsid w:val="004426E3"/>
    <w:rsid w:val="004428D0"/>
    <w:rsid w:val="00442963"/>
    <w:rsid w:val="00442A1B"/>
    <w:rsid w:val="00442C04"/>
    <w:rsid w:val="00442E14"/>
    <w:rsid w:val="004431B7"/>
    <w:rsid w:val="004432A4"/>
    <w:rsid w:val="0044337F"/>
    <w:rsid w:val="004433B9"/>
    <w:rsid w:val="00443759"/>
    <w:rsid w:val="004437BA"/>
    <w:rsid w:val="00443878"/>
    <w:rsid w:val="00443B72"/>
    <w:rsid w:val="00443DE2"/>
    <w:rsid w:val="00443FA1"/>
    <w:rsid w:val="00444008"/>
    <w:rsid w:val="0044407A"/>
    <w:rsid w:val="004440B8"/>
    <w:rsid w:val="00444331"/>
    <w:rsid w:val="004443A7"/>
    <w:rsid w:val="00444429"/>
    <w:rsid w:val="0044442C"/>
    <w:rsid w:val="004445EE"/>
    <w:rsid w:val="00444746"/>
    <w:rsid w:val="00444778"/>
    <w:rsid w:val="00444891"/>
    <w:rsid w:val="004448EB"/>
    <w:rsid w:val="004449CC"/>
    <w:rsid w:val="00444E93"/>
    <w:rsid w:val="00444F1F"/>
    <w:rsid w:val="00444FA0"/>
    <w:rsid w:val="00445045"/>
    <w:rsid w:val="00445436"/>
    <w:rsid w:val="004455C4"/>
    <w:rsid w:val="004455F6"/>
    <w:rsid w:val="00445941"/>
    <w:rsid w:val="00445B71"/>
    <w:rsid w:val="00445C8B"/>
    <w:rsid w:val="0044604C"/>
    <w:rsid w:val="00446356"/>
    <w:rsid w:val="004464EB"/>
    <w:rsid w:val="004465BA"/>
    <w:rsid w:val="00446616"/>
    <w:rsid w:val="004467F4"/>
    <w:rsid w:val="0044682F"/>
    <w:rsid w:val="00446876"/>
    <w:rsid w:val="00446DA0"/>
    <w:rsid w:val="00446E26"/>
    <w:rsid w:val="00446FCC"/>
    <w:rsid w:val="0044748A"/>
    <w:rsid w:val="004475BF"/>
    <w:rsid w:val="004477A2"/>
    <w:rsid w:val="00447831"/>
    <w:rsid w:val="00447A52"/>
    <w:rsid w:val="00447C58"/>
    <w:rsid w:val="00447D26"/>
    <w:rsid w:val="00450269"/>
    <w:rsid w:val="00450721"/>
    <w:rsid w:val="00450D4E"/>
    <w:rsid w:val="00450EC7"/>
    <w:rsid w:val="004510C2"/>
    <w:rsid w:val="00451603"/>
    <w:rsid w:val="00451770"/>
    <w:rsid w:val="0045194E"/>
    <w:rsid w:val="00451D60"/>
    <w:rsid w:val="00452061"/>
    <w:rsid w:val="0045230C"/>
    <w:rsid w:val="004523B7"/>
    <w:rsid w:val="004524D3"/>
    <w:rsid w:val="004524E8"/>
    <w:rsid w:val="004527CA"/>
    <w:rsid w:val="0045284D"/>
    <w:rsid w:val="0045299C"/>
    <w:rsid w:val="00452BB1"/>
    <w:rsid w:val="0045328C"/>
    <w:rsid w:val="004533E1"/>
    <w:rsid w:val="00453500"/>
    <w:rsid w:val="004535B6"/>
    <w:rsid w:val="00453676"/>
    <w:rsid w:val="004536E1"/>
    <w:rsid w:val="00453AB8"/>
    <w:rsid w:val="00453C61"/>
    <w:rsid w:val="00453DAD"/>
    <w:rsid w:val="004540EA"/>
    <w:rsid w:val="004541B4"/>
    <w:rsid w:val="00454464"/>
    <w:rsid w:val="0045468F"/>
    <w:rsid w:val="0045477A"/>
    <w:rsid w:val="00454958"/>
    <w:rsid w:val="004551AD"/>
    <w:rsid w:val="00455530"/>
    <w:rsid w:val="0045556D"/>
    <w:rsid w:val="004555C4"/>
    <w:rsid w:val="004556C8"/>
    <w:rsid w:val="00455849"/>
    <w:rsid w:val="004558D7"/>
    <w:rsid w:val="00455D45"/>
    <w:rsid w:val="00456365"/>
    <w:rsid w:val="004564A4"/>
    <w:rsid w:val="0045672D"/>
    <w:rsid w:val="004569DB"/>
    <w:rsid w:val="00456BE7"/>
    <w:rsid w:val="00456DCE"/>
    <w:rsid w:val="00456E2C"/>
    <w:rsid w:val="00456EB1"/>
    <w:rsid w:val="004571FA"/>
    <w:rsid w:val="00457624"/>
    <w:rsid w:val="0045767B"/>
    <w:rsid w:val="0045786E"/>
    <w:rsid w:val="00457B57"/>
    <w:rsid w:val="00457CCD"/>
    <w:rsid w:val="00457E50"/>
    <w:rsid w:val="00460048"/>
    <w:rsid w:val="00460176"/>
    <w:rsid w:val="0046018B"/>
    <w:rsid w:val="00460324"/>
    <w:rsid w:val="00460652"/>
    <w:rsid w:val="00460655"/>
    <w:rsid w:val="00460809"/>
    <w:rsid w:val="00460C75"/>
    <w:rsid w:val="00460DB3"/>
    <w:rsid w:val="00460EB8"/>
    <w:rsid w:val="00460ED9"/>
    <w:rsid w:val="00461142"/>
    <w:rsid w:val="0046121E"/>
    <w:rsid w:val="00461260"/>
    <w:rsid w:val="00461315"/>
    <w:rsid w:val="004615B5"/>
    <w:rsid w:val="00461742"/>
    <w:rsid w:val="00461773"/>
    <w:rsid w:val="00461970"/>
    <w:rsid w:val="00461BED"/>
    <w:rsid w:val="00461D0A"/>
    <w:rsid w:val="00461E76"/>
    <w:rsid w:val="00461FD2"/>
    <w:rsid w:val="00462059"/>
    <w:rsid w:val="00462143"/>
    <w:rsid w:val="004621E2"/>
    <w:rsid w:val="00462477"/>
    <w:rsid w:val="004624F9"/>
    <w:rsid w:val="004625DD"/>
    <w:rsid w:val="004627B0"/>
    <w:rsid w:val="00462AD7"/>
    <w:rsid w:val="00462CE0"/>
    <w:rsid w:val="00462E37"/>
    <w:rsid w:val="00463229"/>
    <w:rsid w:val="00463261"/>
    <w:rsid w:val="004633B6"/>
    <w:rsid w:val="00463504"/>
    <w:rsid w:val="0046395E"/>
    <w:rsid w:val="00463B31"/>
    <w:rsid w:val="00463EA0"/>
    <w:rsid w:val="00464595"/>
    <w:rsid w:val="004645E1"/>
    <w:rsid w:val="004647F9"/>
    <w:rsid w:val="0046492B"/>
    <w:rsid w:val="00464B29"/>
    <w:rsid w:val="00464C77"/>
    <w:rsid w:val="00464D5B"/>
    <w:rsid w:val="00464E5E"/>
    <w:rsid w:val="00464F23"/>
    <w:rsid w:val="004650E2"/>
    <w:rsid w:val="00465AC1"/>
    <w:rsid w:val="00465C2B"/>
    <w:rsid w:val="00465F33"/>
    <w:rsid w:val="00466128"/>
    <w:rsid w:val="004662F5"/>
    <w:rsid w:val="0046648D"/>
    <w:rsid w:val="00466591"/>
    <w:rsid w:val="0046668B"/>
    <w:rsid w:val="00466B29"/>
    <w:rsid w:val="00466E7E"/>
    <w:rsid w:val="00466F0D"/>
    <w:rsid w:val="00467339"/>
    <w:rsid w:val="00467799"/>
    <w:rsid w:val="004679A7"/>
    <w:rsid w:val="00467BDB"/>
    <w:rsid w:val="00467C54"/>
    <w:rsid w:val="00467C7F"/>
    <w:rsid w:val="00467FC5"/>
    <w:rsid w:val="0047012F"/>
    <w:rsid w:val="004704B5"/>
    <w:rsid w:val="004706D9"/>
    <w:rsid w:val="004707E9"/>
    <w:rsid w:val="004709BD"/>
    <w:rsid w:val="00470BF4"/>
    <w:rsid w:val="00470C1E"/>
    <w:rsid w:val="00470F03"/>
    <w:rsid w:val="00471052"/>
    <w:rsid w:val="0047107A"/>
    <w:rsid w:val="00471153"/>
    <w:rsid w:val="004714A6"/>
    <w:rsid w:val="0047168D"/>
    <w:rsid w:val="004716CC"/>
    <w:rsid w:val="0047197F"/>
    <w:rsid w:val="004719AF"/>
    <w:rsid w:val="004719BC"/>
    <w:rsid w:val="00471C65"/>
    <w:rsid w:val="00471D9A"/>
    <w:rsid w:val="00471EF2"/>
    <w:rsid w:val="004722EF"/>
    <w:rsid w:val="004723BD"/>
    <w:rsid w:val="004723CC"/>
    <w:rsid w:val="00472640"/>
    <w:rsid w:val="00472815"/>
    <w:rsid w:val="00472A79"/>
    <w:rsid w:val="00472E58"/>
    <w:rsid w:val="004730ED"/>
    <w:rsid w:val="00473766"/>
    <w:rsid w:val="00473786"/>
    <w:rsid w:val="00473C7F"/>
    <w:rsid w:val="00473F19"/>
    <w:rsid w:val="00473F5B"/>
    <w:rsid w:val="0047404D"/>
    <w:rsid w:val="00474070"/>
    <w:rsid w:val="00474133"/>
    <w:rsid w:val="004742DC"/>
    <w:rsid w:val="00474593"/>
    <w:rsid w:val="004745AD"/>
    <w:rsid w:val="0047467F"/>
    <w:rsid w:val="00474844"/>
    <w:rsid w:val="00474ABE"/>
    <w:rsid w:val="00475035"/>
    <w:rsid w:val="00475180"/>
    <w:rsid w:val="0047553F"/>
    <w:rsid w:val="0047559F"/>
    <w:rsid w:val="004756F6"/>
    <w:rsid w:val="00475965"/>
    <w:rsid w:val="00475A36"/>
    <w:rsid w:val="00475C2E"/>
    <w:rsid w:val="00475D5F"/>
    <w:rsid w:val="00475DCC"/>
    <w:rsid w:val="00475E22"/>
    <w:rsid w:val="00476813"/>
    <w:rsid w:val="00476E1F"/>
    <w:rsid w:val="0047719E"/>
    <w:rsid w:val="00477250"/>
    <w:rsid w:val="004775FB"/>
    <w:rsid w:val="004777F0"/>
    <w:rsid w:val="004779AA"/>
    <w:rsid w:val="00477A04"/>
    <w:rsid w:val="00477B52"/>
    <w:rsid w:val="00477C10"/>
    <w:rsid w:val="00477ED5"/>
    <w:rsid w:val="00480455"/>
    <w:rsid w:val="004804C3"/>
    <w:rsid w:val="0048088E"/>
    <w:rsid w:val="00480A6A"/>
    <w:rsid w:val="00481225"/>
    <w:rsid w:val="00481792"/>
    <w:rsid w:val="004817B3"/>
    <w:rsid w:val="00481CC3"/>
    <w:rsid w:val="00481D29"/>
    <w:rsid w:val="00482155"/>
    <w:rsid w:val="004821F6"/>
    <w:rsid w:val="0048232F"/>
    <w:rsid w:val="0048269A"/>
    <w:rsid w:val="00482720"/>
    <w:rsid w:val="00482982"/>
    <w:rsid w:val="00482D81"/>
    <w:rsid w:val="00482DA8"/>
    <w:rsid w:val="00483022"/>
    <w:rsid w:val="004830CA"/>
    <w:rsid w:val="004835E7"/>
    <w:rsid w:val="004836D6"/>
    <w:rsid w:val="00483849"/>
    <w:rsid w:val="0048394C"/>
    <w:rsid w:val="004843BB"/>
    <w:rsid w:val="00484A19"/>
    <w:rsid w:val="00484B84"/>
    <w:rsid w:val="00484B8F"/>
    <w:rsid w:val="00484CDE"/>
    <w:rsid w:val="00484EB1"/>
    <w:rsid w:val="00485040"/>
    <w:rsid w:val="004850C4"/>
    <w:rsid w:val="00485192"/>
    <w:rsid w:val="004852D6"/>
    <w:rsid w:val="004853D7"/>
    <w:rsid w:val="004855B3"/>
    <w:rsid w:val="0048568D"/>
    <w:rsid w:val="00485907"/>
    <w:rsid w:val="0048597F"/>
    <w:rsid w:val="004859A6"/>
    <w:rsid w:val="00485CEB"/>
    <w:rsid w:val="00485DB0"/>
    <w:rsid w:val="00486075"/>
    <w:rsid w:val="00486246"/>
    <w:rsid w:val="004867E2"/>
    <w:rsid w:val="004869E9"/>
    <w:rsid w:val="004869FE"/>
    <w:rsid w:val="00486C75"/>
    <w:rsid w:val="00486C8B"/>
    <w:rsid w:val="00486D07"/>
    <w:rsid w:val="00486F7F"/>
    <w:rsid w:val="0048730B"/>
    <w:rsid w:val="00487579"/>
    <w:rsid w:val="0048770E"/>
    <w:rsid w:val="0048776A"/>
    <w:rsid w:val="004878C6"/>
    <w:rsid w:val="0048799B"/>
    <w:rsid w:val="004879EE"/>
    <w:rsid w:val="00487D68"/>
    <w:rsid w:val="00487E68"/>
    <w:rsid w:val="00490450"/>
    <w:rsid w:val="004904A2"/>
    <w:rsid w:val="004909B8"/>
    <w:rsid w:val="00490B54"/>
    <w:rsid w:val="00490C62"/>
    <w:rsid w:val="00490D94"/>
    <w:rsid w:val="00491590"/>
    <w:rsid w:val="0049176A"/>
    <w:rsid w:val="00491B3A"/>
    <w:rsid w:val="00491E6E"/>
    <w:rsid w:val="00492084"/>
    <w:rsid w:val="004921FB"/>
    <w:rsid w:val="004926AD"/>
    <w:rsid w:val="00492CFD"/>
    <w:rsid w:val="00492E7D"/>
    <w:rsid w:val="00492EA1"/>
    <w:rsid w:val="00492EB3"/>
    <w:rsid w:val="00492F00"/>
    <w:rsid w:val="00492F8B"/>
    <w:rsid w:val="0049339D"/>
    <w:rsid w:val="004934E7"/>
    <w:rsid w:val="0049356C"/>
    <w:rsid w:val="004935E7"/>
    <w:rsid w:val="00493715"/>
    <w:rsid w:val="00493AF4"/>
    <w:rsid w:val="00493DA6"/>
    <w:rsid w:val="00494257"/>
    <w:rsid w:val="00494289"/>
    <w:rsid w:val="0049431D"/>
    <w:rsid w:val="00494388"/>
    <w:rsid w:val="0049439F"/>
    <w:rsid w:val="0049489D"/>
    <w:rsid w:val="004949E1"/>
    <w:rsid w:val="00494BE7"/>
    <w:rsid w:val="00494C1E"/>
    <w:rsid w:val="00494DD5"/>
    <w:rsid w:val="00494E9F"/>
    <w:rsid w:val="00494F96"/>
    <w:rsid w:val="0049505F"/>
    <w:rsid w:val="0049511C"/>
    <w:rsid w:val="0049528B"/>
    <w:rsid w:val="00495366"/>
    <w:rsid w:val="00495656"/>
    <w:rsid w:val="00495707"/>
    <w:rsid w:val="004957FB"/>
    <w:rsid w:val="00495805"/>
    <w:rsid w:val="00496001"/>
    <w:rsid w:val="00496092"/>
    <w:rsid w:val="00496262"/>
    <w:rsid w:val="0049628D"/>
    <w:rsid w:val="004962D2"/>
    <w:rsid w:val="00496518"/>
    <w:rsid w:val="00496A38"/>
    <w:rsid w:val="00496AAE"/>
    <w:rsid w:val="00496AE6"/>
    <w:rsid w:val="00496CF0"/>
    <w:rsid w:val="00496DB5"/>
    <w:rsid w:val="00496EF1"/>
    <w:rsid w:val="00496F40"/>
    <w:rsid w:val="0049713C"/>
    <w:rsid w:val="00497346"/>
    <w:rsid w:val="00497457"/>
    <w:rsid w:val="004975E1"/>
    <w:rsid w:val="00497727"/>
    <w:rsid w:val="0049797E"/>
    <w:rsid w:val="004979BD"/>
    <w:rsid w:val="00497B11"/>
    <w:rsid w:val="00497BC0"/>
    <w:rsid w:val="00497C34"/>
    <w:rsid w:val="00497F69"/>
    <w:rsid w:val="004A0535"/>
    <w:rsid w:val="004A05B7"/>
    <w:rsid w:val="004A07E4"/>
    <w:rsid w:val="004A07F8"/>
    <w:rsid w:val="004A0DA1"/>
    <w:rsid w:val="004A104B"/>
    <w:rsid w:val="004A1313"/>
    <w:rsid w:val="004A19A7"/>
    <w:rsid w:val="004A19EF"/>
    <w:rsid w:val="004A1CA2"/>
    <w:rsid w:val="004A1CF2"/>
    <w:rsid w:val="004A1DE9"/>
    <w:rsid w:val="004A1E87"/>
    <w:rsid w:val="004A2085"/>
    <w:rsid w:val="004A21AC"/>
    <w:rsid w:val="004A2703"/>
    <w:rsid w:val="004A286D"/>
    <w:rsid w:val="004A2ABD"/>
    <w:rsid w:val="004A2B66"/>
    <w:rsid w:val="004A2D46"/>
    <w:rsid w:val="004A3257"/>
    <w:rsid w:val="004A3E95"/>
    <w:rsid w:val="004A40F0"/>
    <w:rsid w:val="004A4248"/>
    <w:rsid w:val="004A4336"/>
    <w:rsid w:val="004A4643"/>
    <w:rsid w:val="004A4F59"/>
    <w:rsid w:val="004A52E9"/>
    <w:rsid w:val="004A570F"/>
    <w:rsid w:val="004A57F9"/>
    <w:rsid w:val="004A5AC4"/>
    <w:rsid w:val="004A5B95"/>
    <w:rsid w:val="004A5BEE"/>
    <w:rsid w:val="004A5C72"/>
    <w:rsid w:val="004A6343"/>
    <w:rsid w:val="004A63EC"/>
    <w:rsid w:val="004A6597"/>
    <w:rsid w:val="004A6611"/>
    <w:rsid w:val="004A69E3"/>
    <w:rsid w:val="004A6CE6"/>
    <w:rsid w:val="004A6D8B"/>
    <w:rsid w:val="004A7152"/>
    <w:rsid w:val="004A7192"/>
    <w:rsid w:val="004A725E"/>
    <w:rsid w:val="004A7848"/>
    <w:rsid w:val="004A7B6D"/>
    <w:rsid w:val="004A7D78"/>
    <w:rsid w:val="004B00E1"/>
    <w:rsid w:val="004B071F"/>
    <w:rsid w:val="004B0CB4"/>
    <w:rsid w:val="004B0D1F"/>
    <w:rsid w:val="004B0E55"/>
    <w:rsid w:val="004B0F9A"/>
    <w:rsid w:val="004B1209"/>
    <w:rsid w:val="004B1230"/>
    <w:rsid w:val="004B130C"/>
    <w:rsid w:val="004B134C"/>
    <w:rsid w:val="004B1853"/>
    <w:rsid w:val="004B1AB4"/>
    <w:rsid w:val="004B1BA8"/>
    <w:rsid w:val="004B1CB4"/>
    <w:rsid w:val="004B1D0D"/>
    <w:rsid w:val="004B1FE5"/>
    <w:rsid w:val="004B2206"/>
    <w:rsid w:val="004B2230"/>
    <w:rsid w:val="004B227F"/>
    <w:rsid w:val="004B28E1"/>
    <w:rsid w:val="004B293B"/>
    <w:rsid w:val="004B29BE"/>
    <w:rsid w:val="004B2A2C"/>
    <w:rsid w:val="004B2A48"/>
    <w:rsid w:val="004B2AC2"/>
    <w:rsid w:val="004B2CFF"/>
    <w:rsid w:val="004B2E66"/>
    <w:rsid w:val="004B2F18"/>
    <w:rsid w:val="004B3438"/>
    <w:rsid w:val="004B34A2"/>
    <w:rsid w:val="004B38F1"/>
    <w:rsid w:val="004B3996"/>
    <w:rsid w:val="004B3B47"/>
    <w:rsid w:val="004B3C32"/>
    <w:rsid w:val="004B3DDB"/>
    <w:rsid w:val="004B40C2"/>
    <w:rsid w:val="004B41F7"/>
    <w:rsid w:val="004B4366"/>
    <w:rsid w:val="004B44FD"/>
    <w:rsid w:val="004B45D1"/>
    <w:rsid w:val="004B46B3"/>
    <w:rsid w:val="004B49D3"/>
    <w:rsid w:val="004B4BCF"/>
    <w:rsid w:val="004B509B"/>
    <w:rsid w:val="004B525F"/>
    <w:rsid w:val="004B55B1"/>
    <w:rsid w:val="004B587A"/>
    <w:rsid w:val="004B5931"/>
    <w:rsid w:val="004B5A78"/>
    <w:rsid w:val="004B5BE2"/>
    <w:rsid w:val="004B5CFC"/>
    <w:rsid w:val="004B5D3E"/>
    <w:rsid w:val="004B61A1"/>
    <w:rsid w:val="004B6A6C"/>
    <w:rsid w:val="004B6A9C"/>
    <w:rsid w:val="004B6C7E"/>
    <w:rsid w:val="004B6F79"/>
    <w:rsid w:val="004B7142"/>
    <w:rsid w:val="004B71DE"/>
    <w:rsid w:val="004B724C"/>
    <w:rsid w:val="004B7392"/>
    <w:rsid w:val="004B7603"/>
    <w:rsid w:val="004B7638"/>
    <w:rsid w:val="004B769B"/>
    <w:rsid w:val="004B774D"/>
    <w:rsid w:val="004B7800"/>
    <w:rsid w:val="004B7B24"/>
    <w:rsid w:val="004C0013"/>
    <w:rsid w:val="004C03E8"/>
    <w:rsid w:val="004C071A"/>
    <w:rsid w:val="004C087A"/>
    <w:rsid w:val="004C088C"/>
    <w:rsid w:val="004C0AC8"/>
    <w:rsid w:val="004C0D4E"/>
    <w:rsid w:val="004C1278"/>
    <w:rsid w:val="004C1479"/>
    <w:rsid w:val="004C1910"/>
    <w:rsid w:val="004C1AC8"/>
    <w:rsid w:val="004C1AF4"/>
    <w:rsid w:val="004C1DB8"/>
    <w:rsid w:val="004C1F37"/>
    <w:rsid w:val="004C222E"/>
    <w:rsid w:val="004C2463"/>
    <w:rsid w:val="004C2550"/>
    <w:rsid w:val="004C2632"/>
    <w:rsid w:val="004C2812"/>
    <w:rsid w:val="004C2865"/>
    <w:rsid w:val="004C28EC"/>
    <w:rsid w:val="004C2CD1"/>
    <w:rsid w:val="004C2F9D"/>
    <w:rsid w:val="004C30B2"/>
    <w:rsid w:val="004C30BF"/>
    <w:rsid w:val="004C3141"/>
    <w:rsid w:val="004C346A"/>
    <w:rsid w:val="004C3A7B"/>
    <w:rsid w:val="004C3E15"/>
    <w:rsid w:val="004C3FD2"/>
    <w:rsid w:val="004C422C"/>
    <w:rsid w:val="004C48A5"/>
    <w:rsid w:val="004C4AED"/>
    <w:rsid w:val="004C4B8D"/>
    <w:rsid w:val="004C5096"/>
    <w:rsid w:val="004C51E1"/>
    <w:rsid w:val="004C5255"/>
    <w:rsid w:val="004C52DA"/>
    <w:rsid w:val="004C5934"/>
    <w:rsid w:val="004C5C71"/>
    <w:rsid w:val="004C5E1D"/>
    <w:rsid w:val="004C602F"/>
    <w:rsid w:val="004C625B"/>
    <w:rsid w:val="004C6371"/>
    <w:rsid w:val="004C643A"/>
    <w:rsid w:val="004C64BF"/>
    <w:rsid w:val="004C6CC2"/>
    <w:rsid w:val="004C7037"/>
    <w:rsid w:val="004C727D"/>
    <w:rsid w:val="004C7297"/>
    <w:rsid w:val="004C7317"/>
    <w:rsid w:val="004C7703"/>
    <w:rsid w:val="004C7708"/>
    <w:rsid w:val="004C796D"/>
    <w:rsid w:val="004C7A56"/>
    <w:rsid w:val="004D0175"/>
    <w:rsid w:val="004D01BC"/>
    <w:rsid w:val="004D08A1"/>
    <w:rsid w:val="004D08FB"/>
    <w:rsid w:val="004D0946"/>
    <w:rsid w:val="004D0D77"/>
    <w:rsid w:val="004D0E10"/>
    <w:rsid w:val="004D0EA4"/>
    <w:rsid w:val="004D0EC6"/>
    <w:rsid w:val="004D0F25"/>
    <w:rsid w:val="004D13FB"/>
    <w:rsid w:val="004D152F"/>
    <w:rsid w:val="004D17BA"/>
    <w:rsid w:val="004D18FF"/>
    <w:rsid w:val="004D1980"/>
    <w:rsid w:val="004D1AE1"/>
    <w:rsid w:val="004D1BAF"/>
    <w:rsid w:val="004D1CB7"/>
    <w:rsid w:val="004D1EEF"/>
    <w:rsid w:val="004D24BD"/>
    <w:rsid w:val="004D29AB"/>
    <w:rsid w:val="004D2C2D"/>
    <w:rsid w:val="004D2DBD"/>
    <w:rsid w:val="004D302C"/>
    <w:rsid w:val="004D3066"/>
    <w:rsid w:val="004D31C9"/>
    <w:rsid w:val="004D3383"/>
    <w:rsid w:val="004D39F4"/>
    <w:rsid w:val="004D3BA8"/>
    <w:rsid w:val="004D3E52"/>
    <w:rsid w:val="004D3FB4"/>
    <w:rsid w:val="004D4022"/>
    <w:rsid w:val="004D4038"/>
    <w:rsid w:val="004D52AF"/>
    <w:rsid w:val="004D55E5"/>
    <w:rsid w:val="004D561B"/>
    <w:rsid w:val="004D5B47"/>
    <w:rsid w:val="004D62A3"/>
    <w:rsid w:val="004D657B"/>
    <w:rsid w:val="004D6976"/>
    <w:rsid w:val="004D6BEE"/>
    <w:rsid w:val="004D71EB"/>
    <w:rsid w:val="004D7227"/>
    <w:rsid w:val="004D795A"/>
    <w:rsid w:val="004D7993"/>
    <w:rsid w:val="004D7BBA"/>
    <w:rsid w:val="004D7C62"/>
    <w:rsid w:val="004D7D07"/>
    <w:rsid w:val="004D7E08"/>
    <w:rsid w:val="004D7E83"/>
    <w:rsid w:val="004D7EC5"/>
    <w:rsid w:val="004E00E4"/>
    <w:rsid w:val="004E016B"/>
    <w:rsid w:val="004E026B"/>
    <w:rsid w:val="004E0357"/>
    <w:rsid w:val="004E036F"/>
    <w:rsid w:val="004E06D8"/>
    <w:rsid w:val="004E075C"/>
    <w:rsid w:val="004E0B6F"/>
    <w:rsid w:val="004E0DE8"/>
    <w:rsid w:val="004E0E1C"/>
    <w:rsid w:val="004E0E7F"/>
    <w:rsid w:val="004E0EB8"/>
    <w:rsid w:val="004E0F09"/>
    <w:rsid w:val="004E0F92"/>
    <w:rsid w:val="004E131A"/>
    <w:rsid w:val="004E1424"/>
    <w:rsid w:val="004E15B3"/>
    <w:rsid w:val="004E15E5"/>
    <w:rsid w:val="004E165F"/>
    <w:rsid w:val="004E18F5"/>
    <w:rsid w:val="004E1E94"/>
    <w:rsid w:val="004E2086"/>
    <w:rsid w:val="004E20A4"/>
    <w:rsid w:val="004E229A"/>
    <w:rsid w:val="004E26E5"/>
    <w:rsid w:val="004E2926"/>
    <w:rsid w:val="004E2ADC"/>
    <w:rsid w:val="004E2F8B"/>
    <w:rsid w:val="004E36D8"/>
    <w:rsid w:val="004E38A9"/>
    <w:rsid w:val="004E3914"/>
    <w:rsid w:val="004E3DBE"/>
    <w:rsid w:val="004E4075"/>
    <w:rsid w:val="004E40AF"/>
    <w:rsid w:val="004E40C7"/>
    <w:rsid w:val="004E43B2"/>
    <w:rsid w:val="004E43BF"/>
    <w:rsid w:val="004E450C"/>
    <w:rsid w:val="004E4D17"/>
    <w:rsid w:val="004E4E60"/>
    <w:rsid w:val="004E5A29"/>
    <w:rsid w:val="004E5A84"/>
    <w:rsid w:val="004E5EED"/>
    <w:rsid w:val="004E67F5"/>
    <w:rsid w:val="004E6824"/>
    <w:rsid w:val="004E6843"/>
    <w:rsid w:val="004E68E2"/>
    <w:rsid w:val="004E6A7E"/>
    <w:rsid w:val="004E6E8E"/>
    <w:rsid w:val="004E70CD"/>
    <w:rsid w:val="004E74B5"/>
    <w:rsid w:val="004E75D7"/>
    <w:rsid w:val="004E773D"/>
    <w:rsid w:val="004E7742"/>
    <w:rsid w:val="004E781D"/>
    <w:rsid w:val="004E78EC"/>
    <w:rsid w:val="004E7C5D"/>
    <w:rsid w:val="004E7DA2"/>
    <w:rsid w:val="004E7DD6"/>
    <w:rsid w:val="004E7FCE"/>
    <w:rsid w:val="004F00E3"/>
    <w:rsid w:val="004F0234"/>
    <w:rsid w:val="004F02C3"/>
    <w:rsid w:val="004F0397"/>
    <w:rsid w:val="004F061D"/>
    <w:rsid w:val="004F0A66"/>
    <w:rsid w:val="004F0A7F"/>
    <w:rsid w:val="004F0FD8"/>
    <w:rsid w:val="004F108D"/>
    <w:rsid w:val="004F10E9"/>
    <w:rsid w:val="004F1223"/>
    <w:rsid w:val="004F1446"/>
    <w:rsid w:val="004F16BF"/>
    <w:rsid w:val="004F17F4"/>
    <w:rsid w:val="004F1C34"/>
    <w:rsid w:val="004F1D02"/>
    <w:rsid w:val="004F1F83"/>
    <w:rsid w:val="004F1FD6"/>
    <w:rsid w:val="004F20D3"/>
    <w:rsid w:val="004F219A"/>
    <w:rsid w:val="004F21E2"/>
    <w:rsid w:val="004F23A0"/>
    <w:rsid w:val="004F2679"/>
    <w:rsid w:val="004F28C4"/>
    <w:rsid w:val="004F2A1F"/>
    <w:rsid w:val="004F2A58"/>
    <w:rsid w:val="004F2F21"/>
    <w:rsid w:val="004F3006"/>
    <w:rsid w:val="004F3140"/>
    <w:rsid w:val="004F3152"/>
    <w:rsid w:val="004F3412"/>
    <w:rsid w:val="004F35F6"/>
    <w:rsid w:val="004F380B"/>
    <w:rsid w:val="004F38F5"/>
    <w:rsid w:val="004F3ADE"/>
    <w:rsid w:val="004F3B1E"/>
    <w:rsid w:val="004F3E57"/>
    <w:rsid w:val="004F42C5"/>
    <w:rsid w:val="004F4362"/>
    <w:rsid w:val="004F46E0"/>
    <w:rsid w:val="004F4948"/>
    <w:rsid w:val="004F49CF"/>
    <w:rsid w:val="004F4DD3"/>
    <w:rsid w:val="004F4E41"/>
    <w:rsid w:val="004F4F5B"/>
    <w:rsid w:val="004F4F92"/>
    <w:rsid w:val="004F5381"/>
    <w:rsid w:val="004F57CF"/>
    <w:rsid w:val="004F5AB5"/>
    <w:rsid w:val="004F5D26"/>
    <w:rsid w:val="004F623D"/>
    <w:rsid w:val="004F630E"/>
    <w:rsid w:val="004F6913"/>
    <w:rsid w:val="004F6B69"/>
    <w:rsid w:val="004F6D87"/>
    <w:rsid w:val="004F6DF2"/>
    <w:rsid w:val="004F6F5D"/>
    <w:rsid w:val="004F6F89"/>
    <w:rsid w:val="004F70CF"/>
    <w:rsid w:val="004F723E"/>
    <w:rsid w:val="004F7282"/>
    <w:rsid w:val="004F7712"/>
    <w:rsid w:val="004F7865"/>
    <w:rsid w:val="004F7BC7"/>
    <w:rsid w:val="004F7C62"/>
    <w:rsid w:val="004F7C87"/>
    <w:rsid w:val="004F7D56"/>
    <w:rsid w:val="004F7D65"/>
    <w:rsid w:val="005002D2"/>
    <w:rsid w:val="00500470"/>
    <w:rsid w:val="0050069C"/>
    <w:rsid w:val="005010D5"/>
    <w:rsid w:val="005010EF"/>
    <w:rsid w:val="00501230"/>
    <w:rsid w:val="0050159D"/>
    <w:rsid w:val="00501A1B"/>
    <w:rsid w:val="00501A3F"/>
    <w:rsid w:val="00501AD4"/>
    <w:rsid w:val="00501AE0"/>
    <w:rsid w:val="00501D56"/>
    <w:rsid w:val="00501E0C"/>
    <w:rsid w:val="00502077"/>
    <w:rsid w:val="00502184"/>
    <w:rsid w:val="0050219B"/>
    <w:rsid w:val="0050239C"/>
    <w:rsid w:val="005023F2"/>
    <w:rsid w:val="005024D8"/>
    <w:rsid w:val="00502C1D"/>
    <w:rsid w:val="005035BC"/>
    <w:rsid w:val="00503627"/>
    <w:rsid w:val="005036CA"/>
    <w:rsid w:val="00503F17"/>
    <w:rsid w:val="00503F3D"/>
    <w:rsid w:val="005042E6"/>
    <w:rsid w:val="0050442F"/>
    <w:rsid w:val="00504514"/>
    <w:rsid w:val="00504EF3"/>
    <w:rsid w:val="00504EFF"/>
    <w:rsid w:val="00504FBB"/>
    <w:rsid w:val="005050AC"/>
    <w:rsid w:val="00505199"/>
    <w:rsid w:val="0050523D"/>
    <w:rsid w:val="005052BE"/>
    <w:rsid w:val="0050535B"/>
    <w:rsid w:val="00505415"/>
    <w:rsid w:val="0050559C"/>
    <w:rsid w:val="00505897"/>
    <w:rsid w:val="00505C8A"/>
    <w:rsid w:val="00505F85"/>
    <w:rsid w:val="005062C9"/>
    <w:rsid w:val="005064AE"/>
    <w:rsid w:val="005064B4"/>
    <w:rsid w:val="005065A4"/>
    <w:rsid w:val="0050660C"/>
    <w:rsid w:val="00506644"/>
    <w:rsid w:val="00506928"/>
    <w:rsid w:val="0050694F"/>
    <w:rsid w:val="00506B6A"/>
    <w:rsid w:val="00506BE8"/>
    <w:rsid w:val="00506C62"/>
    <w:rsid w:val="00507250"/>
    <w:rsid w:val="00507258"/>
    <w:rsid w:val="005074FF"/>
    <w:rsid w:val="00507662"/>
    <w:rsid w:val="00507692"/>
    <w:rsid w:val="00507A30"/>
    <w:rsid w:val="00507C01"/>
    <w:rsid w:val="00507C2A"/>
    <w:rsid w:val="00507E70"/>
    <w:rsid w:val="0051008F"/>
    <w:rsid w:val="00510357"/>
    <w:rsid w:val="00510409"/>
    <w:rsid w:val="0051048C"/>
    <w:rsid w:val="00510737"/>
    <w:rsid w:val="00510740"/>
    <w:rsid w:val="00510837"/>
    <w:rsid w:val="00510920"/>
    <w:rsid w:val="00510B5A"/>
    <w:rsid w:val="00510D93"/>
    <w:rsid w:val="00510DA7"/>
    <w:rsid w:val="00511124"/>
    <w:rsid w:val="005112A4"/>
    <w:rsid w:val="00511330"/>
    <w:rsid w:val="0051133C"/>
    <w:rsid w:val="00511340"/>
    <w:rsid w:val="00511424"/>
    <w:rsid w:val="005117CB"/>
    <w:rsid w:val="00511958"/>
    <w:rsid w:val="00511B1F"/>
    <w:rsid w:val="00511BD3"/>
    <w:rsid w:val="00511E13"/>
    <w:rsid w:val="00511EBA"/>
    <w:rsid w:val="0051225F"/>
    <w:rsid w:val="00512285"/>
    <w:rsid w:val="005123A3"/>
    <w:rsid w:val="005127BB"/>
    <w:rsid w:val="0051282C"/>
    <w:rsid w:val="00512987"/>
    <w:rsid w:val="00512F6F"/>
    <w:rsid w:val="00513181"/>
    <w:rsid w:val="005134F3"/>
    <w:rsid w:val="00513533"/>
    <w:rsid w:val="0051359B"/>
    <w:rsid w:val="00513706"/>
    <w:rsid w:val="00513ABC"/>
    <w:rsid w:val="0051417A"/>
    <w:rsid w:val="005142B3"/>
    <w:rsid w:val="005143C4"/>
    <w:rsid w:val="00514453"/>
    <w:rsid w:val="00514591"/>
    <w:rsid w:val="00514C25"/>
    <w:rsid w:val="00514C35"/>
    <w:rsid w:val="00514CBD"/>
    <w:rsid w:val="005150F7"/>
    <w:rsid w:val="005152B5"/>
    <w:rsid w:val="00515646"/>
    <w:rsid w:val="0051584D"/>
    <w:rsid w:val="00515884"/>
    <w:rsid w:val="00515C32"/>
    <w:rsid w:val="00515FAA"/>
    <w:rsid w:val="00516172"/>
    <w:rsid w:val="00516329"/>
    <w:rsid w:val="005163E9"/>
    <w:rsid w:val="00516420"/>
    <w:rsid w:val="0051663F"/>
    <w:rsid w:val="00516AC4"/>
    <w:rsid w:val="00516BE9"/>
    <w:rsid w:val="00516E1E"/>
    <w:rsid w:val="00516E98"/>
    <w:rsid w:val="00516EE4"/>
    <w:rsid w:val="0051779F"/>
    <w:rsid w:val="00517933"/>
    <w:rsid w:val="00517951"/>
    <w:rsid w:val="00517A05"/>
    <w:rsid w:val="00517B4B"/>
    <w:rsid w:val="00517F4D"/>
    <w:rsid w:val="00520057"/>
    <w:rsid w:val="00520352"/>
    <w:rsid w:val="005204EA"/>
    <w:rsid w:val="00520749"/>
    <w:rsid w:val="00520B62"/>
    <w:rsid w:val="00520E38"/>
    <w:rsid w:val="00520E6E"/>
    <w:rsid w:val="00520F52"/>
    <w:rsid w:val="00521319"/>
    <w:rsid w:val="00521365"/>
    <w:rsid w:val="00521754"/>
    <w:rsid w:val="00521826"/>
    <w:rsid w:val="00521914"/>
    <w:rsid w:val="00521965"/>
    <w:rsid w:val="00521EE7"/>
    <w:rsid w:val="00521F5B"/>
    <w:rsid w:val="0052213C"/>
    <w:rsid w:val="0052275A"/>
    <w:rsid w:val="005227E5"/>
    <w:rsid w:val="005227F7"/>
    <w:rsid w:val="00522BC8"/>
    <w:rsid w:val="00522C44"/>
    <w:rsid w:val="00522D25"/>
    <w:rsid w:val="00522E12"/>
    <w:rsid w:val="00522EFF"/>
    <w:rsid w:val="0052311F"/>
    <w:rsid w:val="00523227"/>
    <w:rsid w:val="005232DD"/>
    <w:rsid w:val="005234FA"/>
    <w:rsid w:val="005235DE"/>
    <w:rsid w:val="005236A0"/>
    <w:rsid w:val="005236C1"/>
    <w:rsid w:val="005237E3"/>
    <w:rsid w:val="00523A6A"/>
    <w:rsid w:val="00523B8E"/>
    <w:rsid w:val="00523BB6"/>
    <w:rsid w:val="00523C28"/>
    <w:rsid w:val="00523F73"/>
    <w:rsid w:val="005242AA"/>
    <w:rsid w:val="00524365"/>
    <w:rsid w:val="00524386"/>
    <w:rsid w:val="00524565"/>
    <w:rsid w:val="0052458A"/>
    <w:rsid w:val="005246F3"/>
    <w:rsid w:val="00524B1E"/>
    <w:rsid w:val="00525001"/>
    <w:rsid w:val="005250E3"/>
    <w:rsid w:val="00525217"/>
    <w:rsid w:val="005255AB"/>
    <w:rsid w:val="0052565D"/>
    <w:rsid w:val="005258C7"/>
    <w:rsid w:val="005259B1"/>
    <w:rsid w:val="00526059"/>
    <w:rsid w:val="00527196"/>
    <w:rsid w:val="0052728B"/>
    <w:rsid w:val="005272DF"/>
    <w:rsid w:val="0052772D"/>
    <w:rsid w:val="00527B60"/>
    <w:rsid w:val="0053000E"/>
    <w:rsid w:val="005301BB"/>
    <w:rsid w:val="005302C2"/>
    <w:rsid w:val="00530483"/>
    <w:rsid w:val="00530A13"/>
    <w:rsid w:val="00530A66"/>
    <w:rsid w:val="00530B38"/>
    <w:rsid w:val="00530C53"/>
    <w:rsid w:val="00530CBC"/>
    <w:rsid w:val="00530D9B"/>
    <w:rsid w:val="005315D7"/>
    <w:rsid w:val="00531718"/>
    <w:rsid w:val="00531755"/>
    <w:rsid w:val="00531B9E"/>
    <w:rsid w:val="00531BB0"/>
    <w:rsid w:val="00532389"/>
    <w:rsid w:val="00532494"/>
    <w:rsid w:val="005325AB"/>
    <w:rsid w:val="00532745"/>
    <w:rsid w:val="0053297C"/>
    <w:rsid w:val="00532EFD"/>
    <w:rsid w:val="00532F63"/>
    <w:rsid w:val="005330E3"/>
    <w:rsid w:val="005330F7"/>
    <w:rsid w:val="0053315A"/>
    <w:rsid w:val="0053336E"/>
    <w:rsid w:val="005333E7"/>
    <w:rsid w:val="00533447"/>
    <w:rsid w:val="005336E9"/>
    <w:rsid w:val="0053372A"/>
    <w:rsid w:val="005337B0"/>
    <w:rsid w:val="005339DE"/>
    <w:rsid w:val="00533CBD"/>
    <w:rsid w:val="00533DFA"/>
    <w:rsid w:val="00534247"/>
    <w:rsid w:val="005343D6"/>
    <w:rsid w:val="005347BD"/>
    <w:rsid w:val="0053492B"/>
    <w:rsid w:val="00534CAB"/>
    <w:rsid w:val="00534CEA"/>
    <w:rsid w:val="00534D2D"/>
    <w:rsid w:val="00534D7B"/>
    <w:rsid w:val="00534EB9"/>
    <w:rsid w:val="00535378"/>
    <w:rsid w:val="00535549"/>
    <w:rsid w:val="0053568D"/>
    <w:rsid w:val="005357AA"/>
    <w:rsid w:val="00535DAE"/>
    <w:rsid w:val="00535DE8"/>
    <w:rsid w:val="005362E8"/>
    <w:rsid w:val="0053643B"/>
    <w:rsid w:val="00536508"/>
    <w:rsid w:val="00536865"/>
    <w:rsid w:val="00536A65"/>
    <w:rsid w:val="00536E82"/>
    <w:rsid w:val="00536F42"/>
    <w:rsid w:val="00536FAD"/>
    <w:rsid w:val="0053704F"/>
    <w:rsid w:val="005370D2"/>
    <w:rsid w:val="00537123"/>
    <w:rsid w:val="00537182"/>
    <w:rsid w:val="00537426"/>
    <w:rsid w:val="00537549"/>
    <w:rsid w:val="0053772F"/>
    <w:rsid w:val="00537900"/>
    <w:rsid w:val="005379D1"/>
    <w:rsid w:val="00537F97"/>
    <w:rsid w:val="00537FC7"/>
    <w:rsid w:val="00540339"/>
    <w:rsid w:val="005403B3"/>
    <w:rsid w:val="0054090A"/>
    <w:rsid w:val="005409A5"/>
    <w:rsid w:val="005409BE"/>
    <w:rsid w:val="00541073"/>
    <w:rsid w:val="00541562"/>
    <w:rsid w:val="00541701"/>
    <w:rsid w:val="00541839"/>
    <w:rsid w:val="00541855"/>
    <w:rsid w:val="005419BE"/>
    <w:rsid w:val="005421C6"/>
    <w:rsid w:val="0054228D"/>
    <w:rsid w:val="0054247B"/>
    <w:rsid w:val="00542743"/>
    <w:rsid w:val="0054281B"/>
    <w:rsid w:val="00542958"/>
    <w:rsid w:val="00542C29"/>
    <w:rsid w:val="00542C2D"/>
    <w:rsid w:val="00542DE9"/>
    <w:rsid w:val="00542E5E"/>
    <w:rsid w:val="00542E9C"/>
    <w:rsid w:val="00542F8D"/>
    <w:rsid w:val="00542FD7"/>
    <w:rsid w:val="005431EA"/>
    <w:rsid w:val="00543494"/>
    <w:rsid w:val="00543A2B"/>
    <w:rsid w:val="00543A44"/>
    <w:rsid w:val="00543B85"/>
    <w:rsid w:val="00543D02"/>
    <w:rsid w:val="00543E3D"/>
    <w:rsid w:val="00543E85"/>
    <w:rsid w:val="00543ED4"/>
    <w:rsid w:val="00543F12"/>
    <w:rsid w:val="00544110"/>
    <w:rsid w:val="0054426D"/>
    <w:rsid w:val="005444F8"/>
    <w:rsid w:val="0054480E"/>
    <w:rsid w:val="00544BAD"/>
    <w:rsid w:val="00544EDA"/>
    <w:rsid w:val="00545331"/>
    <w:rsid w:val="0054536B"/>
    <w:rsid w:val="0054587A"/>
    <w:rsid w:val="005458F0"/>
    <w:rsid w:val="0054595E"/>
    <w:rsid w:val="00545B6F"/>
    <w:rsid w:val="00545F4D"/>
    <w:rsid w:val="00546313"/>
    <w:rsid w:val="005463E1"/>
    <w:rsid w:val="00546471"/>
    <w:rsid w:val="0054675C"/>
    <w:rsid w:val="00546896"/>
    <w:rsid w:val="00546B38"/>
    <w:rsid w:val="00546F0E"/>
    <w:rsid w:val="005471CB"/>
    <w:rsid w:val="005473BB"/>
    <w:rsid w:val="005474A0"/>
    <w:rsid w:val="00547C8E"/>
    <w:rsid w:val="00547EEC"/>
    <w:rsid w:val="005501D3"/>
    <w:rsid w:val="0055027C"/>
    <w:rsid w:val="005502D7"/>
    <w:rsid w:val="005503E3"/>
    <w:rsid w:val="0055045B"/>
    <w:rsid w:val="005506EB"/>
    <w:rsid w:val="005507B0"/>
    <w:rsid w:val="00550BF1"/>
    <w:rsid w:val="00550D69"/>
    <w:rsid w:val="00550DBC"/>
    <w:rsid w:val="00550E03"/>
    <w:rsid w:val="00550EC2"/>
    <w:rsid w:val="00551507"/>
    <w:rsid w:val="00551985"/>
    <w:rsid w:val="005519AB"/>
    <w:rsid w:val="00551A09"/>
    <w:rsid w:val="00551E01"/>
    <w:rsid w:val="00551EF3"/>
    <w:rsid w:val="005520DC"/>
    <w:rsid w:val="00552184"/>
    <w:rsid w:val="0055224F"/>
    <w:rsid w:val="00552317"/>
    <w:rsid w:val="00552523"/>
    <w:rsid w:val="0055270C"/>
    <w:rsid w:val="005527D1"/>
    <w:rsid w:val="00552A27"/>
    <w:rsid w:val="00552BD3"/>
    <w:rsid w:val="00552F2A"/>
    <w:rsid w:val="00553009"/>
    <w:rsid w:val="00553329"/>
    <w:rsid w:val="005533B3"/>
    <w:rsid w:val="005538D5"/>
    <w:rsid w:val="00553C9C"/>
    <w:rsid w:val="00553DD1"/>
    <w:rsid w:val="0055430B"/>
    <w:rsid w:val="00554373"/>
    <w:rsid w:val="00554452"/>
    <w:rsid w:val="00554540"/>
    <w:rsid w:val="005546BE"/>
    <w:rsid w:val="00554934"/>
    <w:rsid w:val="005549F9"/>
    <w:rsid w:val="00554A78"/>
    <w:rsid w:val="00554D87"/>
    <w:rsid w:val="00554D90"/>
    <w:rsid w:val="00554EC1"/>
    <w:rsid w:val="005550BB"/>
    <w:rsid w:val="00555109"/>
    <w:rsid w:val="0055513C"/>
    <w:rsid w:val="005551B0"/>
    <w:rsid w:val="0055547E"/>
    <w:rsid w:val="005554D4"/>
    <w:rsid w:val="005554D7"/>
    <w:rsid w:val="0055567C"/>
    <w:rsid w:val="00555762"/>
    <w:rsid w:val="0055587E"/>
    <w:rsid w:val="00555CCE"/>
    <w:rsid w:val="00555D48"/>
    <w:rsid w:val="00555D65"/>
    <w:rsid w:val="00555DCE"/>
    <w:rsid w:val="00555DFC"/>
    <w:rsid w:val="00555EC9"/>
    <w:rsid w:val="00555F24"/>
    <w:rsid w:val="00555F28"/>
    <w:rsid w:val="0055601D"/>
    <w:rsid w:val="0055612A"/>
    <w:rsid w:val="00556199"/>
    <w:rsid w:val="00556339"/>
    <w:rsid w:val="005565AA"/>
    <w:rsid w:val="00556645"/>
    <w:rsid w:val="00556B58"/>
    <w:rsid w:val="00556CAD"/>
    <w:rsid w:val="005573D8"/>
    <w:rsid w:val="005578F9"/>
    <w:rsid w:val="00557A8B"/>
    <w:rsid w:val="00557BC0"/>
    <w:rsid w:val="00557C6D"/>
    <w:rsid w:val="00557F40"/>
    <w:rsid w:val="00557FCB"/>
    <w:rsid w:val="005606E3"/>
    <w:rsid w:val="00560749"/>
    <w:rsid w:val="0056091C"/>
    <w:rsid w:val="00560EE2"/>
    <w:rsid w:val="00560FA8"/>
    <w:rsid w:val="0056116F"/>
    <w:rsid w:val="00561178"/>
    <w:rsid w:val="005615A1"/>
    <w:rsid w:val="005616AE"/>
    <w:rsid w:val="00561706"/>
    <w:rsid w:val="0056256A"/>
    <w:rsid w:val="00562994"/>
    <w:rsid w:val="005629C6"/>
    <w:rsid w:val="00562A82"/>
    <w:rsid w:val="00562EC2"/>
    <w:rsid w:val="005631EC"/>
    <w:rsid w:val="005632C9"/>
    <w:rsid w:val="0056349D"/>
    <w:rsid w:val="0056352B"/>
    <w:rsid w:val="00563CFE"/>
    <w:rsid w:val="00563E1A"/>
    <w:rsid w:val="00563EE6"/>
    <w:rsid w:val="00563F69"/>
    <w:rsid w:val="00564033"/>
    <w:rsid w:val="0056410C"/>
    <w:rsid w:val="005643B0"/>
    <w:rsid w:val="005644C3"/>
    <w:rsid w:val="00564576"/>
    <w:rsid w:val="0056499F"/>
    <w:rsid w:val="00564D28"/>
    <w:rsid w:val="00565603"/>
    <w:rsid w:val="005657CE"/>
    <w:rsid w:val="00565824"/>
    <w:rsid w:val="00565B4B"/>
    <w:rsid w:val="00565D43"/>
    <w:rsid w:val="00565ED4"/>
    <w:rsid w:val="005660D9"/>
    <w:rsid w:val="0056610D"/>
    <w:rsid w:val="00566181"/>
    <w:rsid w:val="005661DC"/>
    <w:rsid w:val="00566444"/>
    <w:rsid w:val="00566545"/>
    <w:rsid w:val="005666C3"/>
    <w:rsid w:val="005668E7"/>
    <w:rsid w:val="0056696F"/>
    <w:rsid w:val="0056699A"/>
    <w:rsid w:val="005669E1"/>
    <w:rsid w:val="00566ADB"/>
    <w:rsid w:val="00567085"/>
    <w:rsid w:val="005673F7"/>
    <w:rsid w:val="0056760F"/>
    <w:rsid w:val="00567765"/>
    <w:rsid w:val="00567DED"/>
    <w:rsid w:val="00567F93"/>
    <w:rsid w:val="00570056"/>
    <w:rsid w:val="0057050E"/>
    <w:rsid w:val="0057059F"/>
    <w:rsid w:val="005706EA"/>
    <w:rsid w:val="00570780"/>
    <w:rsid w:val="00570AED"/>
    <w:rsid w:val="00570EEF"/>
    <w:rsid w:val="00570F62"/>
    <w:rsid w:val="005710BB"/>
    <w:rsid w:val="0057121F"/>
    <w:rsid w:val="00571593"/>
    <w:rsid w:val="00572269"/>
    <w:rsid w:val="0057244A"/>
    <w:rsid w:val="00573096"/>
    <w:rsid w:val="0057340A"/>
    <w:rsid w:val="005737AA"/>
    <w:rsid w:val="00573901"/>
    <w:rsid w:val="00573CDA"/>
    <w:rsid w:val="00573E75"/>
    <w:rsid w:val="0057466B"/>
    <w:rsid w:val="00574840"/>
    <w:rsid w:val="00574AEF"/>
    <w:rsid w:val="00574B2F"/>
    <w:rsid w:val="00574B40"/>
    <w:rsid w:val="00574D25"/>
    <w:rsid w:val="00575120"/>
    <w:rsid w:val="00575768"/>
    <w:rsid w:val="00575CFF"/>
    <w:rsid w:val="00575D8D"/>
    <w:rsid w:val="00575E76"/>
    <w:rsid w:val="00575FC2"/>
    <w:rsid w:val="00576002"/>
    <w:rsid w:val="0057652A"/>
    <w:rsid w:val="005768D0"/>
    <w:rsid w:val="00576972"/>
    <w:rsid w:val="00576B92"/>
    <w:rsid w:val="00576DE2"/>
    <w:rsid w:val="005770D3"/>
    <w:rsid w:val="005770FC"/>
    <w:rsid w:val="0057735F"/>
    <w:rsid w:val="005773AC"/>
    <w:rsid w:val="005777E1"/>
    <w:rsid w:val="00577A8D"/>
    <w:rsid w:val="00577BEB"/>
    <w:rsid w:val="00580373"/>
    <w:rsid w:val="00580496"/>
    <w:rsid w:val="0058054F"/>
    <w:rsid w:val="005805FC"/>
    <w:rsid w:val="00580698"/>
    <w:rsid w:val="00580A79"/>
    <w:rsid w:val="00580DD9"/>
    <w:rsid w:val="00580E96"/>
    <w:rsid w:val="0058102F"/>
    <w:rsid w:val="005813F9"/>
    <w:rsid w:val="0058158D"/>
    <w:rsid w:val="00581786"/>
    <w:rsid w:val="00581859"/>
    <w:rsid w:val="00581C80"/>
    <w:rsid w:val="00581D06"/>
    <w:rsid w:val="00581EE2"/>
    <w:rsid w:val="00582282"/>
    <w:rsid w:val="005824C3"/>
    <w:rsid w:val="00582AE5"/>
    <w:rsid w:val="00582D03"/>
    <w:rsid w:val="00582E20"/>
    <w:rsid w:val="00582E63"/>
    <w:rsid w:val="0058314A"/>
    <w:rsid w:val="00583557"/>
    <w:rsid w:val="00583699"/>
    <w:rsid w:val="0058386B"/>
    <w:rsid w:val="005838EA"/>
    <w:rsid w:val="005839A2"/>
    <w:rsid w:val="00583B2A"/>
    <w:rsid w:val="00583B45"/>
    <w:rsid w:val="00583B87"/>
    <w:rsid w:val="00583CB2"/>
    <w:rsid w:val="00583D6F"/>
    <w:rsid w:val="00584012"/>
    <w:rsid w:val="005841A3"/>
    <w:rsid w:val="005842D6"/>
    <w:rsid w:val="00584305"/>
    <w:rsid w:val="0058509E"/>
    <w:rsid w:val="00585197"/>
    <w:rsid w:val="00585598"/>
    <w:rsid w:val="0058563B"/>
    <w:rsid w:val="005856F4"/>
    <w:rsid w:val="005857EA"/>
    <w:rsid w:val="0058582D"/>
    <w:rsid w:val="00585886"/>
    <w:rsid w:val="00585BCD"/>
    <w:rsid w:val="00585CDD"/>
    <w:rsid w:val="00585E66"/>
    <w:rsid w:val="00586157"/>
    <w:rsid w:val="00586170"/>
    <w:rsid w:val="005864D8"/>
    <w:rsid w:val="00586537"/>
    <w:rsid w:val="00586656"/>
    <w:rsid w:val="005867A8"/>
    <w:rsid w:val="005869AA"/>
    <w:rsid w:val="00586BC9"/>
    <w:rsid w:val="00586C83"/>
    <w:rsid w:val="0058703B"/>
    <w:rsid w:val="00587058"/>
    <w:rsid w:val="005871A6"/>
    <w:rsid w:val="005873A6"/>
    <w:rsid w:val="005876D4"/>
    <w:rsid w:val="00587856"/>
    <w:rsid w:val="00587868"/>
    <w:rsid w:val="00587CCA"/>
    <w:rsid w:val="00587DBC"/>
    <w:rsid w:val="00587E5F"/>
    <w:rsid w:val="00587ED5"/>
    <w:rsid w:val="00587FBD"/>
    <w:rsid w:val="005903B1"/>
    <w:rsid w:val="00590A58"/>
    <w:rsid w:val="00590EE0"/>
    <w:rsid w:val="00591083"/>
    <w:rsid w:val="00591140"/>
    <w:rsid w:val="0059117A"/>
    <w:rsid w:val="005912C0"/>
    <w:rsid w:val="00591400"/>
    <w:rsid w:val="0059167A"/>
    <w:rsid w:val="00591957"/>
    <w:rsid w:val="00591B05"/>
    <w:rsid w:val="00591B4E"/>
    <w:rsid w:val="00591BA8"/>
    <w:rsid w:val="00591BDA"/>
    <w:rsid w:val="00591D5D"/>
    <w:rsid w:val="005920D0"/>
    <w:rsid w:val="00592221"/>
    <w:rsid w:val="005923F0"/>
    <w:rsid w:val="00592607"/>
    <w:rsid w:val="005926E5"/>
    <w:rsid w:val="0059283D"/>
    <w:rsid w:val="005928E6"/>
    <w:rsid w:val="0059294E"/>
    <w:rsid w:val="005929EC"/>
    <w:rsid w:val="00592A10"/>
    <w:rsid w:val="00592ABD"/>
    <w:rsid w:val="00592BA2"/>
    <w:rsid w:val="00592E80"/>
    <w:rsid w:val="00593144"/>
    <w:rsid w:val="005938C5"/>
    <w:rsid w:val="00593C38"/>
    <w:rsid w:val="00593C6E"/>
    <w:rsid w:val="00593CBB"/>
    <w:rsid w:val="005940CC"/>
    <w:rsid w:val="0059435E"/>
    <w:rsid w:val="00594369"/>
    <w:rsid w:val="00594417"/>
    <w:rsid w:val="005944C0"/>
    <w:rsid w:val="00594B01"/>
    <w:rsid w:val="00594BDB"/>
    <w:rsid w:val="00594C0B"/>
    <w:rsid w:val="00594DAD"/>
    <w:rsid w:val="00594FE2"/>
    <w:rsid w:val="00595267"/>
    <w:rsid w:val="005952AF"/>
    <w:rsid w:val="005954D7"/>
    <w:rsid w:val="00595690"/>
    <w:rsid w:val="005959BE"/>
    <w:rsid w:val="00595A15"/>
    <w:rsid w:val="00595B81"/>
    <w:rsid w:val="00595BEA"/>
    <w:rsid w:val="00595CAE"/>
    <w:rsid w:val="00595D07"/>
    <w:rsid w:val="00595D9D"/>
    <w:rsid w:val="00595F6D"/>
    <w:rsid w:val="005961A5"/>
    <w:rsid w:val="00596414"/>
    <w:rsid w:val="0059649B"/>
    <w:rsid w:val="00596664"/>
    <w:rsid w:val="0059677E"/>
    <w:rsid w:val="0059696C"/>
    <w:rsid w:val="00596978"/>
    <w:rsid w:val="005969B3"/>
    <w:rsid w:val="00596FAB"/>
    <w:rsid w:val="00597051"/>
    <w:rsid w:val="00597190"/>
    <w:rsid w:val="00597468"/>
    <w:rsid w:val="005977E6"/>
    <w:rsid w:val="0059785A"/>
    <w:rsid w:val="005978DC"/>
    <w:rsid w:val="00597AD5"/>
    <w:rsid w:val="00597BF9"/>
    <w:rsid w:val="005A060D"/>
    <w:rsid w:val="005A0A4C"/>
    <w:rsid w:val="005A0C44"/>
    <w:rsid w:val="005A0EFB"/>
    <w:rsid w:val="005A12AE"/>
    <w:rsid w:val="005A154A"/>
    <w:rsid w:val="005A16E1"/>
    <w:rsid w:val="005A1892"/>
    <w:rsid w:val="005A191A"/>
    <w:rsid w:val="005A191B"/>
    <w:rsid w:val="005A1957"/>
    <w:rsid w:val="005A1C88"/>
    <w:rsid w:val="005A1F5D"/>
    <w:rsid w:val="005A1F70"/>
    <w:rsid w:val="005A2056"/>
    <w:rsid w:val="005A227A"/>
    <w:rsid w:val="005A2309"/>
    <w:rsid w:val="005A24FA"/>
    <w:rsid w:val="005A26B8"/>
    <w:rsid w:val="005A2752"/>
    <w:rsid w:val="005A2A52"/>
    <w:rsid w:val="005A2AC3"/>
    <w:rsid w:val="005A2C22"/>
    <w:rsid w:val="005A2CEB"/>
    <w:rsid w:val="005A2D42"/>
    <w:rsid w:val="005A2F83"/>
    <w:rsid w:val="005A3206"/>
    <w:rsid w:val="005A3636"/>
    <w:rsid w:val="005A373D"/>
    <w:rsid w:val="005A3918"/>
    <w:rsid w:val="005A3AA5"/>
    <w:rsid w:val="005A3B02"/>
    <w:rsid w:val="005A3B97"/>
    <w:rsid w:val="005A3EB3"/>
    <w:rsid w:val="005A401D"/>
    <w:rsid w:val="005A4223"/>
    <w:rsid w:val="005A42AE"/>
    <w:rsid w:val="005A4316"/>
    <w:rsid w:val="005A43B0"/>
    <w:rsid w:val="005A471D"/>
    <w:rsid w:val="005A4745"/>
    <w:rsid w:val="005A4AAF"/>
    <w:rsid w:val="005A4BEF"/>
    <w:rsid w:val="005A4D64"/>
    <w:rsid w:val="005A4F64"/>
    <w:rsid w:val="005A50CE"/>
    <w:rsid w:val="005A55A0"/>
    <w:rsid w:val="005A55FA"/>
    <w:rsid w:val="005A5722"/>
    <w:rsid w:val="005A595A"/>
    <w:rsid w:val="005A5EFB"/>
    <w:rsid w:val="005A66F8"/>
    <w:rsid w:val="005A6BD0"/>
    <w:rsid w:val="005A6C9B"/>
    <w:rsid w:val="005A773F"/>
    <w:rsid w:val="005A789A"/>
    <w:rsid w:val="005A792D"/>
    <w:rsid w:val="005A7AD9"/>
    <w:rsid w:val="005A7F26"/>
    <w:rsid w:val="005B0069"/>
    <w:rsid w:val="005B04AB"/>
    <w:rsid w:val="005B075B"/>
    <w:rsid w:val="005B0763"/>
    <w:rsid w:val="005B083F"/>
    <w:rsid w:val="005B0B85"/>
    <w:rsid w:val="005B0E13"/>
    <w:rsid w:val="005B1322"/>
    <w:rsid w:val="005B1594"/>
    <w:rsid w:val="005B16F1"/>
    <w:rsid w:val="005B1A4C"/>
    <w:rsid w:val="005B1CAA"/>
    <w:rsid w:val="005B1EE1"/>
    <w:rsid w:val="005B1FFF"/>
    <w:rsid w:val="005B27EF"/>
    <w:rsid w:val="005B2CD6"/>
    <w:rsid w:val="005B2DB5"/>
    <w:rsid w:val="005B3403"/>
    <w:rsid w:val="005B363C"/>
    <w:rsid w:val="005B369A"/>
    <w:rsid w:val="005B370E"/>
    <w:rsid w:val="005B3812"/>
    <w:rsid w:val="005B3A91"/>
    <w:rsid w:val="005B3C33"/>
    <w:rsid w:val="005B3CED"/>
    <w:rsid w:val="005B3FA3"/>
    <w:rsid w:val="005B434E"/>
    <w:rsid w:val="005B460D"/>
    <w:rsid w:val="005B4636"/>
    <w:rsid w:val="005B4961"/>
    <w:rsid w:val="005B4D6C"/>
    <w:rsid w:val="005B4D99"/>
    <w:rsid w:val="005B4F91"/>
    <w:rsid w:val="005B5041"/>
    <w:rsid w:val="005B5335"/>
    <w:rsid w:val="005B5405"/>
    <w:rsid w:val="005B5462"/>
    <w:rsid w:val="005B5857"/>
    <w:rsid w:val="005B590C"/>
    <w:rsid w:val="005B5988"/>
    <w:rsid w:val="005B5B11"/>
    <w:rsid w:val="005B5DE4"/>
    <w:rsid w:val="005B5E9B"/>
    <w:rsid w:val="005B618A"/>
    <w:rsid w:val="005B632B"/>
    <w:rsid w:val="005B6546"/>
    <w:rsid w:val="005B65C7"/>
    <w:rsid w:val="005B6A13"/>
    <w:rsid w:val="005B6B4E"/>
    <w:rsid w:val="005B6B78"/>
    <w:rsid w:val="005B6DCD"/>
    <w:rsid w:val="005B6F50"/>
    <w:rsid w:val="005B7140"/>
    <w:rsid w:val="005B7708"/>
    <w:rsid w:val="005B780A"/>
    <w:rsid w:val="005B78EC"/>
    <w:rsid w:val="005B7A73"/>
    <w:rsid w:val="005B7AD0"/>
    <w:rsid w:val="005B7E93"/>
    <w:rsid w:val="005C017C"/>
    <w:rsid w:val="005C03F4"/>
    <w:rsid w:val="005C041F"/>
    <w:rsid w:val="005C0638"/>
    <w:rsid w:val="005C0953"/>
    <w:rsid w:val="005C09EB"/>
    <w:rsid w:val="005C0CDA"/>
    <w:rsid w:val="005C10BA"/>
    <w:rsid w:val="005C12D7"/>
    <w:rsid w:val="005C13C8"/>
    <w:rsid w:val="005C1B83"/>
    <w:rsid w:val="005C1B9A"/>
    <w:rsid w:val="005C1BEC"/>
    <w:rsid w:val="005C1C55"/>
    <w:rsid w:val="005C1E28"/>
    <w:rsid w:val="005C20CF"/>
    <w:rsid w:val="005C21BC"/>
    <w:rsid w:val="005C22F8"/>
    <w:rsid w:val="005C26C0"/>
    <w:rsid w:val="005C2D55"/>
    <w:rsid w:val="005C2F86"/>
    <w:rsid w:val="005C2FB8"/>
    <w:rsid w:val="005C30E8"/>
    <w:rsid w:val="005C3301"/>
    <w:rsid w:val="005C337F"/>
    <w:rsid w:val="005C346B"/>
    <w:rsid w:val="005C385D"/>
    <w:rsid w:val="005C388C"/>
    <w:rsid w:val="005C3900"/>
    <w:rsid w:val="005C3913"/>
    <w:rsid w:val="005C3BD3"/>
    <w:rsid w:val="005C3DB6"/>
    <w:rsid w:val="005C40AD"/>
    <w:rsid w:val="005C4117"/>
    <w:rsid w:val="005C4404"/>
    <w:rsid w:val="005C45A1"/>
    <w:rsid w:val="005C4841"/>
    <w:rsid w:val="005C50D1"/>
    <w:rsid w:val="005C522F"/>
    <w:rsid w:val="005C570A"/>
    <w:rsid w:val="005C5881"/>
    <w:rsid w:val="005C5F4D"/>
    <w:rsid w:val="005C6072"/>
    <w:rsid w:val="005C60EF"/>
    <w:rsid w:val="005C611E"/>
    <w:rsid w:val="005C625C"/>
    <w:rsid w:val="005C6370"/>
    <w:rsid w:val="005C63B9"/>
    <w:rsid w:val="005C63F0"/>
    <w:rsid w:val="005C64D5"/>
    <w:rsid w:val="005C67D4"/>
    <w:rsid w:val="005C6BA9"/>
    <w:rsid w:val="005C6CC3"/>
    <w:rsid w:val="005C6D72"/>
    <w:rsid w:val="005C6E02"/>
    <w:rsid w:val="005C6E06"/>
    <w:rsid w:val="005C6FA5"/>
    <w:rsid w:val="005C72B9"/>
    <w:rsid w:val="005C757C"/>
    <w:rsid w:val="005C7590"/>
    <w:rsid w:val="005C76E4"/>
    <w:rsid w:val="005C783D"/>
    <w:rsid w:val="005C79CA"/>
    <w:rsid w:val="005C7C38"/>
    <w:rsid w:val="005C7CC1"/>
    <w:rsid w:val="005C7CFD"/>
    <w:rsid w:val="005D0396"/>
    <w:rsid w:val="005D03F0"/>
    <w:rsid w:val="005D044D"/>
    <w:rsid w:val="005D04D1"/>
    <w:rsid w:val="005D0634"/>
    <w:rsid w:val="005D0704"/>
    <w:rsid w:val="005D0968"/>
    <w:rsid w:val="005D0A67"/>
    <w:rsid w:val="005D0ABD"/>
    <w:rsid w:val="005D0B38"/>
    <w:rsid w:val="005D0B93"/>
    <w:rsid w:val="005D0BD9"/>
    <w:rsid w:val="005D0DF0"/>
    <w:rsid w:val="005D13FA"/>
    <w:rsid w:val="005D14EF"/>
    <w:rsid w:val="005D1698"/>
    <w:rsid w:val="005D1820"/>
    <w:rsid w:val="005D18AD"/>
    <w:rsid w:val="005D1BFB"/>
    <w:rsid w:val="005D1C92"/>
    <w:rsid w:val="005D1D04"/>
    <w:rsid w:val="005D1E49"/>
    <w:rsid w:val="005D2094"/>
    <w:rsid w:val="005D211A"/>
    <w:rsid w:val="005D2205"/>
    <w:rsid w:val="005D22F8"/>
    <w:rsid w:val="005D26B4"/>
    <w:rsid w:val="005D2906"/>
    <w:rsid w:val="005D29B8"/>
    <w:rsid w:val="005D2B6B"/>
    <w:rsid w:val="005D2E15"/>
    <w:rsid w:val="005D2EBB"/>
    <w:rsid w:val="005D3218"/>
    <w:rsid w:val="005D326C"/>
    <w:rsid w:val="005D32A9"/>
    <w:rsid w:val="005D346D"/>
    <w:rsid w:val="005D353C"/>
    <w:rsid w:val="005D379E"/>
    <w:rsid w:val="005D3814"/>
    <w:rsid w:val="005D3B3F"/>
    <w:rsid w:val="005D3C59"/>
    <w:rsid w:val="005D41A7"/>
    <w:rsid w:val="005D421E"/>
    <w:rsid w:val="005D46B9"/>
    <w:rsid w:val="005D4A8C"/>
    <w:rsid w:val="005D4E0C"/>
    <w:rsid w:val="005D4F7F"/>
    <w:rsid w:val="005D5015"/>
    <w:rsid w:val="005D5529"/>
    <w:rsid w:val="005D58BE"/>
    <w:rsid w:val="005D5A55"/>
    <w:rsid w:val="005D5B41"/>
    <w:rsid w:val="005D5C4D"/>
    <w:rsid w:val="005D5C82"/>
    <w:rsid w:val="005D5E5A"/>
    <w:rsid w:val="005D5EB1"/>
    <w:rsid w:val="005D5F31"/>
    <w:rsid w:val="005D616B"/>
    <w:rsid w:val="005D6266"/>
    <w:rsid w:val="005D647B"/>
    <w:rsid w:val="005D67C7"/>
    <w:rsid w:val="005D69C8"/>
    <w:rsid w:val="005D6A32"/>
    <w:rsid w:val="005D770A"/>
    <w:rsid w:val="005D77FF"/>
    <w:rsid w:val="005D7A16"/>
    <w:rsid w:val="005D7A62"/>
    <w:rsid w:val="005D7BBC"/>
    <w:rsid w:val="005D7E7F"/>
    <w:rsid w:val="005D7E95"/>
    <w:rsid w:val="005E0299"/>
    <w:rsid w:val="005E0482"/>
    <w:rsid w:val="005E081F"/>
    <w:rsid w:val="005E0BEF"/>
    <w:rsid w:val="005E0E4E"/>
    <w:rsid w:val="005E0F06"/>
    <w:rsid w:val="005E1040"/>
    <w:rsid w:val="005E1161"/>
    <w:rsid w:val="005E124D"/>
    <w:rsid w:val="005E1F2A"/>
    <w:rsid w:val="005E1F67"/>
    <w:rsid w:val="005E2182"/>
    <w:rsid w:val="005E2283"/>
    <w:rsid w:val="005E2304"/>
    <w:rsid w:val="005E23D3"/>
    <w:rsid w:val="005E24AC"/>
    <w:rsid w:val="005E250B"/>
    <w:rsid w:val="005E25EF"/>
    <w:rsid w:val="005E2CE7"/>
    <w:rsid w:val="005E2D89"/>
    <w:rsid w:val="005E2E49"/>
    <w:rsid w:val="005E2EBB"/>
    <w:rsid w:val="005E30BA"/>
    <w:rsid w:val="005E3454"/>
    <w:rsid w:val="005E3510"/>
    <w:rsid w:val="005E352A"/>
    <w:rsid w:val="005E3555"/>
    <w:rsid w:val="005E381A"/>
    <w:rsid w:val="005E389C"/>
    <w:rsid w:val="005E39F4"/>
    <w:rsid w:val="005E3A46"/>
    <w:rsid w:val="005E3B5E"/>
    <w:rsid w:val="005E3D18"/>
    <w:rsid w:val="005E3F10"/>
    <w:rsid w:val="005E3F70"/>
    <w:rsid w:val="005E43B8"/>
    <w:rsid w:val="005E45B1"/>
    <w:rsid w:val="005E4843"/>
    <w:rsid w:val="005E49FC"/>
    <w:rsid w:val="005E4B35"/>
    <w:rsid w:val="005E4CF3"/>
    <w:rsid w:val="005E5056"/>
    <w:rsid w:val="005E5346"/>
    <w:rsid w:val="005E543B"/>
    <w:rsid w:val="005E546C"/>
    <w:rsid w:val="005E571A"/>
    <w:rsid w:val="005E584A"/>
    <w:rsid w:val="005E5C13"/>
    <w:rsid w:val="005E5CC2"/>
    <w:rsid w:val="005E5F93"/>
    <w:rsid w:val="005E6215"/>
    <w:rsid w:val="005E626A"/>
    <w:rsid w:val="005E6852"/>
    <w:rsid w:val="005E68C2"/>
    <w:rsid w:val="005E6907"/>
    <w:rsid w:val="005E690A"/>
    <w:rsid w:val="005E6B37"/>
    <w:rsid w:val="005E6C38"/>
    <w:rsid w:val="005E6C91"/>
    <w:rsid w:val="005E6CBC"/>
    <w:rsid w:val="005E7257"/>
    <w:rsid w:val="005E737F"/>
    <w:rsid w:val="005E7388"/>
    <w:rsid w:val="005E73C0"/>
    <w:rsid w:val="005E740B"/>
    <w:rsid w:val="005E7A87"/>
    <w:rsid w:val="005E7B0D"/>
    <w:rsid w:val="005E7B31"/>
    <w:rsid w:val="005E7CC9"/>
    <w:rsid w:val="005E7FCB"/>
    <w:rsid w:val="005F0097"/>
    <w:rsid w:val="005F02AC"/>
    <w:rsid w:val="005F05BF"/>
    <w:rsid w:val="005F06BC"/>
    <w:rsid w:val="005F0A5E"/>
    <w:rsid w:val="005F0E95"/>
    <w:rsid w:val="005F1404"/>
    <w:rsid w:val="005F14A0"/>
    <w:rsid w:val="005F164F"/>
    <w:rsid w:val="005F17EF"/>
    <w:rsid w:val="005F1946"/>
    <w:rsid w:val="005F1B80"/>
    <w:rsid w:val="005F1C1A"/>
    <w:rsid w:val="005F1CF4"/>
    <w:rsid w:val="005F1ED8"/>
    <w:rsid w:val="005F21D4"/>
    <w:rsid w:val="005F2200"/>
    <w:rsid w:val="005F22E1"/>
    <w:rsid w:val="005F23DA"/>
    <w:rsid w:val="005F255F"/>
    <w:rsid w:val="005F2706"/>
    <w:rsid w:val="005F285C"/>
    <w:rsid w:val="005F2991"/>
    <w:rsid w:val="005F2B62"/>
    <w:rsid w:val="005F2C18"/>
    <w:rsid w:val="005F3328"/>
    <w:rsid w:val="005F3796"/>
    <w:rsid w:val="005F3799"/>
    <w:rsid w:val="005F3912"/>
    <w:rsid w:val="005F3D28"/>
    <w:rsid w:val="005F3E29"/>
    <w:rsid w:val="005F3E88"/>
    <w:rsid w:val="005F3ED9"/>
    <w:rsid w:val="005F3EF5"/>
    <w:rsid w:val="005F401C"/>
    <w:rsid w:val="005F43FC"/>
    <w:rsid w:val="005F4475"/>
    <w:rsid w:val="005F4574"/>
    <w:rsid w:val="005F4961"/>
    <w:rsid w:val="005F4A79"/>
    <w:rsid w:val="005F4D8A"/>
    <w:rsid w:val="005F4FD1"/>
    <w:rsid w:val="005F55A1"/>
    <w:rsid w:val="005F5756"/>
    <w:rsid w:val="005F5894"/>
    <w:rsid w:val="005F59EC"/>
    <w:rsid w:val="005F5AEE"/>
    <w:rsid w:val="005F5D70"/>
    <w:rsid w:val="005F5DB5"/>
    <w:rsid w:val="005F5EB0"/>
    <w:rsid w:val="005F5F33"/>
    <w:rsid w:val="005F602E"/>
    <w:rsid w:val="005F6078"/>
    <w:rsid w:val="005F607C"/>
    <w:rsid w:val="005F6313"/>
    <w:rsid w:val="005F66A2"/>
    <w:rsid w:val="005F6737"/>
    <w:rsid w:val="005F6762"/>
    <w:rsid w:val="005F6810"/>
    <w:rsid w:val="005F6883"/>
    <w:rsid w:val="005F68D5"/>
    <w:rsid w:val="005F6984"/>
    <w:rsid w:val="005F6A8F"/>
    <w:rsid w:val="005F6C1C"/>
    <w:rsid w:val="005F6E42"/>
    <w:rsid w:val="005F6EFE"/>
    <w:rsid w:val="005F70D4"/>
    <w:rsid w:val="005F7213"/>
    <w:rsid w:val="005F7736"/>
    <w:rsid w:val="005F7B6C"/>
    <w:rsid w:val="00600052"/>
    <w:rsid w:val="00600345"/>
    <w:rsid w:val="00600797"/>
    <w:rsid w:val="00600C76"/>
    <w:rsid w:val="00600E58"/>
    <w:rsid w:val="00600EEF"/>
    <w:rsid w:val="00600F4C"/>
    <w:rsid w:val="00600F77"/>
    <w:rsid w:val="00601304"/>
    <w:rsid w:val="006017FB"/>
    <w:rsid w:val="00601991"/>
    <w:rsid w:val="00601A80"/>
    <w:rsid w:val="00601BCA"/>
    <w:rsid w:val="006020DE"/>
    <w:rsid w:val="006021F1"/>
    <w:rsid w:val="006023CA"/>
    <w:rsid w:val="006025AB"/>
    <w:rsid w:val="0060286B"/>
    <w:rsid w:val="0060288D"/>
    <w:rsid w:val="00602B5B"/>
    <w:rsid w:val="00602C5B"/>
    <w:rsid w:val="00602E1E"/>
    <w:rsid w:val="0060302F"/>
    <w:rsid w:val="00603067"/>
    <w:rsid w:val="006031D1"/>
    <w:rsid w:val="00603540"/>
    <w:rsid w:val="006036B2"/>
    <w:rsid w:val="006036FF"/>
    <w:rsid w:val="00603825"/>
    <w:rsid w:val="00603857"/>
    <w:rsid w:val="0060394F"/>
    <w:rsid w:val="00603984"/>
    <w:rsid w:val="00603AD4"/>
    <w:rsid w:val="00603B56"/>
    <w:rsid w:val="00603DB9"/>
    <w:rsid w:val="00603F01"/>
    <w:rsid w:val="00604199"/>
    <w:rsid w:val="0060439C"/>
    <w:rsid w:val="00604579"/>
    <w:rsid w:val="00604D1C"/>
    <w:rsid w:val="00604D61"/>
    <w:rsid w:val="00604D7F"/>
    <w:rsid w:val="00604F0C"/>
    <w:rsid w:val="0060561D"/>
    <w:rsid w:val="00605882"/>
    <w:rsid w:val="00605B6F"/>
    <w:rsid w:val="00605E87"/>
    <w:rsid w:val="00605F53"/>
    <w:rsid w:val="00606034"/>
    <w:rsid w:val="006060EA"/>
    <w:rsid w:val="00606673"/>
    <w:rsid w:val="006069D8"/>
    <w:rsid w:val="00606A1C"/>
    <w:rsid w:val="00606F80"/>
    <w:rsid w:val="006071F1"/>
    <w:rsid w:val="00607617"/>
    <w:rsid w:val="00607669"/>
    <w:rsid w:val="00607883"/>
    <w:rsid w:val="006078AB"/>
    <w:rsid w:val="00607936"/>
    <w:rsid w:val="00607A69"/>
    <w:rsid w:val="00607AFD"/>
    <w:rsid w:val="00607B9E"/>
    <w:rsid w:val="00607BAB"/>
    <w:rsid w:val="00607CC5"/>
    <w:rsid w:val="0061025C"/>
    <w:rsid w:val="00610403"/>
    <w:rsid w:val="00610439"/>
    <w:rsid w:val="00610607"/>
    <w:rsid w:val="00610A79"/>
    <w:rsid w:val="00610AA9"/>
    <w:rsid w:val="00610BD1"/>
    <w:rsid w:val="00610EB5"/>
    <w:rsid w:val="006112F1"/>
    <w:rsid w:val="00611302"/>
    <w:rsid w:val="00611969"/>
    <w:rsid w:val="00611A0F"/>
    <w:rsid w:val="00611C97"/>
    <w:rsid w:val="00612047"/>
    <w:rsid w:val="00612063"/>
    <w:rsid w:val="0061206C"/>
    <w:rsid w:val="006122EB"/>
    <w:rsid w:val="00612322"/>
    <w:rsid w:val="006125FE"/>
    <w:rsid w:val="00612781"/>
    <w:rsid w:val="0061285F"/>
    <w:rsid w:val="00612CF0"/>
    <w:rsid w:val="00612E32"/>
    <w:rsid w:val="00612F97"/>
    <w:rsid w:val="00612FFD"/>
    <w:rsid w:val="006131AE"/>
    <w:rsid w:val="0061337F"/>
    <w:rsid w:val="006133DD"/>
    <w:rsid w:val="0061345D"/>
    <w:rsid w:val="00613516"/>
    <w:rsid w:val="00613F56"/>
    <w:rsid w:val="00614320"/>
    <w:rsid w:val="0061438F"/>
    <w:rsid w:val="00614414"/>
    <w:rsid w:val="006145DC"/>
    <w:rsid w:val="00614639"/>
    <w:rsid w:val="0061475B"/>
    <w:rsid w:val="00614A35"/>
    <w:rsid w:val="00615097"/>
    <w:rsid w:val="00615B91"/>
    <w:rsid w:val="00615BE5"/>
    <w:rsid w:val="00615C10"/>
    <w:rsid w:val="00615F3B"/>
    <w:rsid w:val="006161F5"/>
    <w:rsid w:val="0061620C"/>
    <w:rsid w:val="00616212"/>
    <w:rsid w:val="0061636F"/>
    <w:rsid w:val="00616798"/>
    <w:rsid w:val="006167C7"/>
    <w:rsid w:val="00616802"/>
    <w:rsid w:val="00616EB4"/>
    <w:rsid w:val="00617087"/>
    <w:rsid w:val="0061712E"/>
    <w:rsid w:val="00617354"/>
    <w:rsid w:val="0061742C"/>
    <w:rsid w:val="006174A1"/>
    <w:rsid w:val="0061796D"/>
    <w:rsid w:val="00617A9A"/>
    <w:rsid w:val="00617BEC"/>
    <w:rsid w:val="00617E12"/>
    <w:rsid w:val="00620353"/>
    <w:rsid w:val="0062082D"/>
    <w:rsid w:val="006208F4"/>
    <w:rsid w:val="0062099A"/>
    <w:rsid w:val="00620A9A"/>
    <w:rsid w:val="00620B83"/>
    <w:rsid w:val="00620D44"/>
    <w:rsid w:val="00620EE4"/>
    <w:rsid w:val="00620EF5"/>
    <w:rsid w:val="006211E9"/>
    <w:rsid w:val="0062128B"/>
    <w:rsid w:val="00621383"/>
    <w:rsid w:val="00621477"/>
    <w:rsid w:val="00621586"/>
    <w:rsid w:val="00621B06"/>
    <w:rsid w:val="00621ECA"/>
    <w:rsid w:val="006225DA"/>
    <w:rsid w:val="00622627"/>
    <w:rsid w:val="0062290B"/>
    <w:rsid w:val="00622A0B"/>
    <w:rsid w:val="00622A5F"/>
    <w:rsid w:val="00622BD7"/>
    <w:rsid w:val="00622E65"/>
    <w:rsid w:val="00622ED2"/>
    <w:rsid w:val="006235E9"/>
    <w:rsid w:val="00623761"/>
    <w:rsid w:val="006237BC"/>
    <w:rsid w:val="006237F7"/>
    <w:rsid w:val="00623866"/>
    <w:rsid w:val="006239BB"/>
    <w:rsid w:val="006239D0"/>
    <w:rsid w:val="006239FC"/>
    <w:rsid w:val="00623A22"/>
    <w:rsid w:val="00623A61"/>
    <w:rsid w:val="00623E17"/>
    <w:rsid w:val="00623E4F"/>
    <w:rsid w:val="00623F6E"/>
    <w:rsid w:val="00623FD4"/>
    <w:rsid w:val="00624455"/>
    <w:rsid w:val="00624529"/>
    <w:rsid w:val="006245DF"/>
    <w:rsid w:val="006246CE"/>
    <w:rsid w:val="006247BD"/>
    <w:rsid w:val="006247DC"/>
    <w:rsid w:val="006248DC"/>
    <w:rsid w:val="006249E5"/>
    <w:rsid w:val="00624A79"/>
    <w:rsid w:val="00624AA7"/>
    <w:rsid w:val="00624AEC"/>
    <w:rsid w:val="00624B72"/>
    <w:rsid w:val="00624C1A"/>
    <w:rsid w:val="00624C51"/>
    <w:rsid w:val="00624D48"/>
    <w:rsid w:val="00624FB0"/>
    <w:rsid w:val="0062500E"/>
    <w:rsid w:val="00625028"/>
    <w:rsid w:val="0062531B"/>
    <w:rsid w:val="00625692"/>
    <w:rsid w:val="006258FA"/>
    <w:rsid w:val="0062675E"/>
    <w:rsid w:val="00626877"/>
    <w:rsid w:val="00626CAF"/>
    <w:rsid w:val="00626F23"/>
    <w:rsid w:val="00626FDA"/>
    <w:rsid w:val="0062705E"/>
    <w:rsid w:val="0062725F"/>
    <w:rsid w:val="0062772A"/>
    <w:rsid w:val="006279A9"/>
    <w:rsid w:val="006300AA"/>
    <w:rsid w:val="00630113"/>
    <w:rsid w:val="00630116"/>
    <w:rsid w:val="00630330"/>
    <w:rsid w:val="00630433"/>
    <w:rsid w:val="0063048E"/>
    <w:rsid w:val="006304C5"/>
    <w:rsid w:val="006304C9"/>
    <w:rsid w:val="00630524"/>
    <w:rsid w:val="00630A24"/>
    <w:rsid w:val="0063111F"/>
    <w:rsid w:val="00631131"/>
    <w:rsid w:val="006314B3"/>
    <w:rsid w:val="0063158F"/>
    <w:rsid w:val="006316F2"/>
    <w:rsid w:val="00631800"/>
    <w:rsid w:val="00631A84"/>
    <w:rsid w:val="00631D26"/>
    <w:rsid w:val="00631D6B"/>
    <w:rsid w:val="00632404"/>
    <w:rsid w:val="0063258A"/>
    <w:rsid w:val="00632898"/>
    <w:rsid w:val="00632A13"/>
    <w:rsid w:val="00632C62"/>
    <w:rsid w:val="00632CE1"/>
    <w:rsid w:val="00633027"/>
    <w:rsid w:val="006330A1"/>
    <w:rsid w:val="006330F9"/>
    <w:rsid w:val="006331E6"/>
    <w:rsid w:val="006331EA"/>
    <w:rsid w:val="00633223"/>
    <w:rsid w:val="006332F8"/>
    <w:rsid w:val="0063355B"/>
    <w:rsid w:val="006337BB"/>
    <w:rsid w:val="00633802"/>
    <w:rsid w:val="00633B35"/>
    <w:rsid w:val="00633E1C"/>
    <w:rsid w:val="00634498"/>
    <w:rsid w:val="006344C2"/>
    <w:rsid w:val="0063456F"/>
    <w:rsid w:val="0063459A"/>
    <w:rsid w:val="006345E3"/>
    <w:rsid w:val="006345E9"/>
    <w:rsid w:val="00634790"/>
    <w:rsid w:val="0063479F"/>
    <w:rsid w:val="0063489B"/>
    <w:rsid w:val="0063498B"/>
    <w:rsid w:val="00634A56"/>
    <w:rsid w:val="00634D4C"/>
    <w:rsid w:val="00634F2C"/>
    <w:rsid w:val="006353F0"/>
    <w:rsid w:val="00635702"/>
    <w:rsid w:val="0063570F"/>
    <w:rsid w:val="006358D3"/>
    <w:rsid w:val="00635C5A"/>
    <w:rsid w:val="00635C84"/>
    <w:rsid w:val="00635D7F"/>
    <w:rsid w:val="00635E43"/>
    <w:rsid w:val="006362B4"/>
    <w:rsid w:val="006364A1"/>
    <w:rsid w:val="00636504"/>
    <w:rsid w:val="006367F8"/>
    <w:rsid w:val="0063687D"/>
    <w:rsid w:val="00636C1D"/>
    <w:rsid w:val="00636F6A"/>
    <w:rsid w:val="00637074"/>
    <w:rsid w:val="006374AB"/>
    <w:rsid w:val="006375E1"/>
    <w:rsid w:val="00637633"/>
    <w:rsid w:val="0063783C"/>
    <w:rsid w:val="006378BE"/>
    <w:rsid w:val="006379FD"/>
    <w:rsid w:val="00637BFD"/>
    <w:rsid w:val="00637C79"/>
    <w:rsid w:val="00637D31"/>
    <w:rsid w:val="00637D8D"/>
    <w:rsid w:val="00640252"/>
    <w:rsid w:val="00640A88"/>
    <w:rsid w:val="00640AE7"/>
    <w:rsid w:val="00640F0F"/>
    <w:rsid w:val="00641182"/>
    <w:rsid w:val="00641631"/>
    <w:rsid w:val="00641B37"/>
    <w:rsid w:val="00641BB6"/>
    <w:rsid w:val="00641BF3"/>
    <w:rsid w:val="00641C4E"/>
    <w:rsid w:val="00641CF8"/>
    <w:rsid w:val="00641D05"/>
    <w:rsid w:val="00642212"/>
    <w:rsid w:val="00642323"/>
    <w:rsid w:val="006423D7"/>
    <w:rsid w:val="006424E9"/>
    <w:rsid w:val="00642C00"/>
    <w:rsid w:val="006435D0"/>
    <w:rsid w:val="006437BB"/>
    <w:rsid w:val="0064381C"/>
    <w:rsid w:val="00643824"/>
    <w:rsid w:val="006438C2"/>
    <w:rsid w:val="00643A66"/>
    <w:rsid w:val="00643E08"/>
    <w:rsid w:val="00643EDE"/>
    <w:rsid w:val="00644231"/>
    <w:rsid w:val="00644265"/>
    <w:rsid w:val="0064451F"/>
    <w:rsid w:val="006446CB"/>
    <w:rsid w:val="00644735"/>
    <w:rsid w:val="006449D5"/>
    <w:rsid w:val="00644AB2"/>
    <w:rsid w:val="00644BA1"/>
    <w:rsid w:val="00645164"/>
    <w:rsid w:val="006454BB"/>
    <w:rsid w:val="006456F9"/>
    <w:rsid w:val="006463F0"/>
    <w:rsid w:val="0064643F"/>
    <w:rsid w:val="00646612"/>
    <w:rsid w:val="00646632"/>
    <w:rsid w:val="006466D5"/>
    <w:rsid w:val="00646745"/>
    <w:rsid w:val="0064674A"/>
    <w:rsid w:val="0064693F"/>
    <w:rsid w:val="00646B25"/>
    <w:rsid w:val="00646D04"/>
    <w:rsid w:val="006471CC"/>
    <w:rsid w:val="0064735B"/>
    <w:rsid w:val="006477B8"/>
    <w:rsid w:val="00647884"/>
    <w:rsid w:val="00647CEC"/>
    <w:rsid w:val="00647E21"/>
    <w:rsid w:val="0065020B"/>
    <w:rsid w:val="00650646"/>
    <w:rsid w:val="0065079F"/>
    <w:rsid w:val="00650A08"/>
    <w:rsid w:val="00650AAD"/>
    <w:rsid w:val="00651269"/>
    <w:rsid w:val="006513AF"/>
    <w:rsid w:val="00651458"/>
    <w:rsid w:val="00651497"/>
    <w:rsid w:val="00651719"/>
    <w:rsid w:val="00651A00"/>
    <w:rsid w:val="00651C06"/>
    <w:rsid w:val="00651FBD"/>
    <w:rsid w:val="00651FC5"/>
    <w:rsid w:val="00652027"/>
    <w:rsid w:val="00652658"/>
    <w:rsid w:val="006526A8"/>
    <w:rsid w:val="0065275C"/>
    <w:rsid w:val="00652806"/>
    <w:rsid w:val="00652B15"/>
    <w:rsid w:val="00652B63"/>
    <w:rsid w:val="006530CC"/>
    <w:rsid w:val="006534CA"/>
    <w:rsid w:val="006536D0"/>
    <w:rsid w:val="0065379F"/>
    <w:rsid w:val="006537BD"/>
    <w:rsid w:val="00653A2E"/>
    <w:rsid w:val="00653D90"/>
    <w:rsid w:val="00653E0E"/>
    <w:rsid w:val="006545BC"/>
    <w:rsid w:val="006545CC"/>
    <w:rsid w:val="00654EF2"/>
    <w:rsid w:val="00654F5A"/>
    <w:rsid w:val="00654FBB"/>
    <w:rsid w:val="006551CC"/>
    <w:rsid w:val="00655406"/>
    <w:rsid w:val="006554BE"/>
    <w:rsid w:val="00655773"/>
    <w:rsid w:val="00655858"/>
    <w:rsid w:val="00655C0B"/>
    <w:rsid w:val="00655E33"/>
    <w:rsid w:val="00655F6A"/>
    <w:rsid w:val="00656205"/>
    <w:rsid w:val="00656594"/>
    <w:rsid w:val="006567CA"/>
    <w:rsid w:val="0065699E"/>
    <w:rsid w:val="00656F4D"/>
    <w:rsid w:val="00657179"/>
    <w:rsid w:val="00657245"/>
    <w:rsid w:val="0065782F"/>
    <w:rsid w:val="006578C5"/>
    <w:rsid w:val="00657A98"/>
    <w:rsid w:val="00657AB0"/>
    <w:rsid w:val="00657BBD"/>
    <w:rsid w:val="00657EF3"/>
    <w:rsid w:val="00657F87"/>
    <w:rsid w:val="0066044D"/>
    <w:rsid w:val="00660A34"/>
    <w:rsid w:val="00660D2B"/>
    <w:rsid w:val="00660E6B"/>
    <w:rsid w:val="00661156"/>
    <w:rsid w:val="006615FD"/>
    <w:rsid w:val="006618EA"/>
    <w:rsid w:val="00661910"/>
    <w:rsid w:val="00661C6B"/>
    <w:rsid w:val="00661F6D"/>
    <w:rsid w:val="00662265"/>
    <w:rsid w:val="0066235D"/>
    <w:rsid w:val="00662509"/>
    <w:rsid w:val="00662AE1"/>
    <w:rsid w:val="00662E5D"/>
    <w:rsid w:val="00662FC9"/>
    <w:rsid w:val="00662FDC"/>
    <w:rsid w:val="0066377B"/>
    <w:rsid w:val="006637B8"/>
    <w:rsid w:val="006637FB"/>
    <w:rsid w:val="00663874"/>
    <w:rsid w:val="00663E33"/>
    <w:rsid w:val="00663EF2"/>
    <w:rsid w:val="0066401F"/>
    <w:rsid w:val="006641BF"/>
    <w:rsid w:val="00664221"/>
    <w:rsid w:val="0066431F"/>
    <w:rsid w:val="006645EA"/>
    <w:rsid w:val="006646AC"/>
    <w:rsid w:val="006649FD"/>
    <w:rsid w:val="00664AA6"/>
    <w:rsid w:val="0066510E"/>
    <w:rsid w:val="0066518F"/>
    <w:rsid w:val="0066521F"/>
    <w:rsid w:val="0066607B"/>
    <w:rsid w:val="00666118"/>
    <w:rsid w:val="006662B9"/>
    <w:rsid w:val="0066630A"/>
    <w:rsid w:val="006663F1"/>
    <w:rsid w:val="0066650D"/>
    <w:rsid w:val="0066658B"/>
    <w:rsid w:val="00666B4F"/>
    <w:rsid w:val="00667186"/>
    <w:rsid w:val="006674BE"/>
    <w:rsid w:val="006676EE"/>
    <w:rsid w:val="00667728"/>
    <w:rsid w:val="00667799"/>
    <w:rsid w:val="00667F62"/>
    <w:rsid w:val="00667F69"/>
    <w:rsid w:val="0067007C"/>
    <w:rsid w:val="006700AD"/>
    <w:rsid w:val="00670112"/>
    <w:rsid w:val="006701B6"/>
    <w:rsid w:val="00670240"/>
    <w:rsid w:val="00670343"/>
    <w:rsid w:val="006704DC"/>
    <w:rsid w:val="00670976"/>
    <w:rsid w:val="00670980"/>
    <w:rsid w:val="00670BF0"/>
    <w:rsid w:val="00670D23"/>
    <w:rsid w:val="00670D4B"/>
    <w:rsid w:val="0067115E"/>
    <w:rsid w:val="00671388"/>
    <w:rsid w:val="006713D3"/>
    <w:rsid w:val="00671581"/>
    <w:rsid w:val="00671624"/>
    <w:rsid w:val="006717AA"/>
    <w:rsid w:val="00671813"/>
    <w:rsid w:val="00671916"/>
    <w:rsid w:val="0067192A"/>
    <w:rsid w:val="00671B50"/>
    <w:rsid w:val="00671BAA"/>
    <w:rsid w:val="00671BAE"/>
    <w:rsid w:val="00671E45"/>
    <w:rsid w:val="00671E7A"/>
    <w:rsid w:val="00671E8F"/>
    <w:rsid w:val="00671EC2"/>
    <w:rsid w:val="006722EB"/>
    <w:rsid w:val="00672771"/>
    <w:rsid w:val="00672F0D"/>
    <w:rsid w:val="00673991"/>
    <w:rsid w:val="00673C0D"/>
    <w:rsid w:val="00673D49"/>
    <w:rsid w:val="00673EDC"/>
    <w:rsid w:val="00673F1E"/>
    <w:rsid w:val="00673F90"/>
    <w:rsid w:val="00674A82"/>
    <w:rsid w:val="00674E42"/>
    <w:rsid w:val="00674FCD"/>
    <w:rsid w:val="0067518D"/>
    <w:rsid w:val="006752AA"/>
    <w:rsid w:val="006753B4"/>
    <w:rsid w:val="0067544F"/>
    <w:rsid w:val="00675575"/>
    <w:rsid w:val="0067561E"/>
    <w:rsid w:val="00675C00"/>
    <w:rsid w:val="00675E35"/>
    <w:rsid w:val="00675E47"/>
    <w:rsid w:val="00676564"/>
    <w:rsid w:val="006766B1"/>
    <w:rsid w:val="0067690E"/>
    <w:rsid w:val="00676982"/>
    <w:rsid w:val="006769F9"/>
    <w:rsid w:val="00676C56"/>
    <w:rsid w:val="00676EB9"/>
    <w:rsid w:val="006770F5"/>
    <w:rsid w:val="00677481"/>
    <w:rsid w:val="00677E78"/>
    <w:rsid w:val="00677F46"/>
    <w:rsid w:val="0068018C"/>
    <w:rsid w:val="006802D4"/>
    <w:rsid w:val="006804C2"/>
    <w:rsid w:val="006806B6"/>
    <w:rsid w:val="006806FE"/>
    <w:rsid w:val="00680788"/>
    <w:rsid w:val="00680A2D"/>
    <w:rsid w:val="00680C15"/>
    <w:rsid w:val="00680C21"/>
    <w:rsid w:val="00680C53"/>
    <w:rsid w:val="00680CAE"/>
    <w:rsid w:val="00680F06"/>
    <w:rsid w:val="006811B7"/>
    <w:rsid w:val="0068179B"/>
    <w:rsid w:val="00681899"/>
    <w:rsid w:val="00681982"/>
    <w:rsid w:val="00681CC5"/>
    <w:rsid w:val="00682112"/>
    <w:rsid w:val="00682139"/>
    <w:rsid w:val="00682381"/>
    <w:rsid w:val="006826B6"/>
    <w:rsid w:val="00682908"/>
    <w:rsid w:val="006829FC"/>
    <w:rsid w:val="00682ABC"/>
    <w:rsid w:val="00683381"/>
    <w:rsid w:val="00683ACD"/>
    <w:rsid w:val="00683F63"/>
    <w:rsid w:val="0068420F"/>
    <w:rsid w:val="00684381"/>
    <w:rsid w:val="0068485A"/>
    <w:rsid w:val="00684A02"/>
    <w:rsid w:val="00684E5F"/>
    <w:rsid w:val="00684F5B"/>
    <w:rsid w:val="006859D5"/>
    <w:rsid w:val="00685A11"/>
    <w:rsid w:val="00685B84"/>
    <w:rsid w:val="00685C98"/>
    <w:rsid w:val="00686331"/>
    <w:rsid w:val="0068633A"/>
    <w:rsid w:val="006863DF"/>
    <w:rsid w:val="006867D5"/>
    <w:rsid w:val="006868A9"/>
    <w:rsid w:val="00686957"/>
    <w:rsid w:val="00686E23"/>
    <w:rsid w:val="00686FD7"/>
    <w:rsid w:val="0068712D"/>
    <w:rsid w:val="006872BA"/>
    <w:rsid w:val="0068737E"/>
    <w:rsid w:val="00687510"/>
    <w:rsid w:val="0068784D"/>
    <w:rsid w:val="006879A4"/>
    <w:rsid w:val="00687AAB"/>
    <w:rsid w:val="00687AB6"/>
    <w:rsid w:val="00687C1C"/>
    <w:rsid w:val="00687D02"/>
    <w:rsid w:val="006903B7"/>
    <w:rsid w:val="0069085D"/>
    <w:rsid w:val="00690A63"/>
    <w:rsid w:val="00690B52"/>
    <w:rsid w:val="00690BC7"/>
    <w:rsid w:val="00690D70"/>
    <w:rsid w:val="00690FFC"/>
    <w:rsid w:val="00691027"/>
    <w:rsid w:val="00691243"/>
    <w:rsid w:val="00691292"/>
    <w:rsid w:val="0069149D"/>
    <w:rsid w:val="00691648"/>
    <w:rsid w:val="00691727"/>
    <w:rsid w:val="00691780"/>
    <w:rsid w:val="006917BD"/>
    <w:rsid w:val="006917D7"/>
    <w:rsid w:val="00691937"/>
    <w:rsid w:val="006919B3"/>
    <w:rsid w:val="00691A22"/>
    <w:rsid w:val="00691B07"/>
    <w:rsid w:val="00691DB5"/>
    <w:rsid w:val="00692077"/>
    <w:rsid w:val="00692271"/>
    <w:rsid w:val="0069249B"/>
    <w:rsid w:val="00692538"/>
    <w:rsid w:val="006926C7"/>
    <w:rsid w:val="00692742"/>
    <w:rsid w:val="00692966"/>
    <w:rsid w:val="00693375"/>
    <w:rsid w:val="0069346B"/>
    <w:rsid w:val="00693552"/>
    <w:rsid w:val="00693553"/>
    <w:rsid w:val="00693907"/>
    <w:rsid w:val="00693A6F"/>
    <w:rsid w:val="00693B98"/>
    <w:rsid w:val="00693C2F"/>
    <w:rsid w:val="006941AA"/>
    <w:rsid w:val="006946AB"/>
    <w:rsid w:val="006947C8"/>
    <w:rsid w:val="00694CCB"/>
    <w:rsid w:val="00694E76"/>
    <w:rsid w:val="00694F44"/>
    <w:rsid w:val="00694FFE"/>
    <w:rsid w:val="0069502D"/>
    <w:rsid w:val="00695441"/>
    <w:rsid w:val="00695472"/>
    <w:rsid w:val="006954AA"/>
    <w:rsid w:val="00695733"/>
    <w:rsid w:val="00695852"/>
    <w:rsid w:val="00695D45"/>
    <w:rsid w:val="00695F7B"/>
    <w:rsid w:val="006960EC"/>
    <w:rsid w:val="00696556"/>
    <w:rsid w:val="006965F6"/>
    <w:rsid w:val="006967E1"/>
    <w:rsid w:val="00696A0D"/>
    <w:rsid w:val="00696A26"/>
    <w:rsid w:val="00696B85"/>
    <w:rsid w:val="00696DB1"/>
    <w:rsid w:val="00696E63"/>
    <w:rsid w:val="00696F39"/>
    <w:rsid w:val="00696F51"/>
    <w:rsid w:val="00696F95"/>
    <w:rsid w:val="00697074"/>
    <w:rsid w:val="00697126"/>
    <w:rsid w:val="0069746A"/>
    <w:rsid w:val="006974D9"/>
    <w:rsid w:val="00697577"/>
    <w:rsid w:val="00697596"/>
    <w:rsid w:val="006975BB"/>
    <w:rsid w:val="00697723"/>
    <w:rsid w:val="006977E6"/>
    <w:rsid w:val="00697B23"/>
    <w:rsid w:val="00697F7D"/>
    <w:rsid w:val="006A0036"/>
    <w:rsid w:val="006A096E"/>
    <w:rsid w:val="006A0B75"/>
    <w:rsid w:val="006A0FBF"/>
    <w:rsid w:val="006A0FD5"/>
    <w:rsid w:val="006A112F"/>
    <w:rsid w:val="006A11E3"/>
    <w:rsid w:val="006A1276"/>
    <w:rsid w:val="006A1300"/>
    <w:rsid w:val="006A13EF"/>
    <w:rsid w:val="006A1413"/>
    <w:rsid w:val="006A143B"/>
    <w:rsid w:val="006A145C"/>
    <w:rsid w:val="006A152F"/>
    <w:rsid w:val="006A16CD"/>
    <w:rsid w:val="006A1761"/>
    <w:rsid w:val="006A1784"/>
    <w:rsid w:val="006A186E"/>
    <w:rsid w:val="006A1C16"/>
    <w:rsid w:val="006A1F51"/>
    <w:rsid w:val="006A23EA"/>
    <w:rsid w:val="006A2598"/>
    <w:rsid w:val="006A2898"/>
    <w:rsid w:val="006A2A4B"/>
    <w:rsid w:val="006A2C01"/>
    <w:rsid w:val="006A306A"/>
    <w:rsid w:val="006A30B8"/>
    <w:rsid w:val="006A31AB"/>
    <w:rsid w:val="006A32A6"/>
    <w:rsid w:val="006A3B62"/>
    <w:rsid w:val="006A3C12"/>
    <w:rsid w:val="006A41BA"/>
    <w:rsid w:val="006A4396"/>
    <w:rsid w:val="006A4777"/>
    <w:rsid w:val="006A4AF5"/>
    <w:rsid w:val="006A5697"/>
    <w:rsid w:val="006A571D"/>
    <w:rsid w:val="006A57AC"/>
    <w:rsid w:val="006A57EC"/>
    <w:rsid w:val="006A5B8E"/>
    <w:rsid w:val="006A5F9B"/>
    <w:rsid w:val="006A61CD"/>
    <w:rsid w:val="006A6248"/>
    <w:rsid w:val="006A625D"/>
    <w:rsid w:val="006A643A"/>
    <w:rsid w:val="006A643E"/>
    <w:rsid w:val="006A65A3"/>
    <w:rsid w:val="006A663E"/>
    <w:rsid w:val="006A6664"/>
    <w:rsid w:val="006A6868"/>
    <w:rsid w:val="006A69F2"/>
    <w:rsid w:val="006A6F97"/>
    <w:rsid w:val="006A6FBC"/>
    <w:rsid w:val="006A77A7"/>
    <w:rsid w:val="006A7943"/>
    <w:rsid w:val="006A797B"/>
    <w:rsid w:val="006A7B58"/>
    <w:rsid w:val="006A7C08"/>
    <w:rsid w:val="006A7E5F"/>
    <w:rsid w:val="006A7EEE"/>
    <w:rsid w:val="006A7F89"/>
    <w:rsid w:val="006B03DC"/>
    <w:rsid w:val="006B050E"/>
    <w:rsid w:val="006B0697"/>
    <w:rsid w:val="006B0AF1"/>
    <w:rsid w:val="006B0ECA"/>
    <w:rsid w:val="006B1060"/>
    <w:rsid w:val="006B10F8"/>
    <w:rsid w:val="006B115A"/>
    <w:rsid w:val="006B1285"/>
    <w:rsid w:val="006B13A9"/>
    <w:rsid w:val="006B1451"/>
    <w:rsid w:val="006B1538"/>
    <w:rsid w:val="006B166D"/>
    <w:rsid w:val="006B16EE"/>
    <w:rsid w:val="006B177B"/>
    <w:rsid w:val="006B186A"/>
    <w:rsid w:val="006B195B"/>
    <w:rsid w:val="006B1B51"/>
    <w:rsid w:val="006B1DAD"/>
    <w:rsid w:val="006B1EA1"/>
    <w:rsid w:val="006B1F38"/>
    <w:rsid w:val="006B225B"/>
    <w:rsid w:val="006B22BC"/>
    <w:rsid w:val="006B2367"/>
    <w:rsid w:val="006B261B"/>
    <w:rsid w:val="006B26A4"/>
    <w:rsid w:val="006B28E5"/>
    <w:rsid w:val="006B2A45"/>
    <w:rsid w:val="006B2C11"/>
    <w:rsid w:val="006B2C90"/>
    <w:rsid w:val="006B2E43"/>
    <w:rsid w:val="006B2E45"/>
    <w:rsid w:val="006B30C6"/>
    <w:rsid w:val="006B31F5"/>
    <w:rsid w:val="006B3366"/>
    <w:rsid w:val="006B35D5"/>
    <w:rsid w:val="006B37A8"/>
    <w:rsid w:val="006B37EB"/>
    <w:rsid w:val="006B3A84"/>
    <w:rsid w:val="006B3D8B"/>
    <w:rsid w:val="006B3E45"/>
    <w:rsid w:val="006B3E51"/>
    <w:rsid w:val="006B415E"/>
    <w:rsid w:val="006B42A7"/>
    <w:rsid w:val="006B42F7"/>
    <w:rsid w:val="006B45D3"/>
    <w:rsid w:val="006B45FE"/>
    <w:rsid w:val="006B47EA"/>
    <w:rsid w:val="006B4BD1"/>
    <w:rsid w:val="006B4DE9"/>
    <w:rsid w:val="006B503D"/>
    <w:rsid w:val="006B506E"/>
    <w:rsid w:val="006B5119"/>
    <w:rsid w:val="006B5520"/>
    <w:rsid w:val="006B58C5"/>
    <w:rsid w:val="006B58E7"/>
    <w:rsid w:val="006B5AB1"/>
    <w:rsid w:val="006B5D6B"/>
    <w:rsid w:val="006B5E81"/>
    <w:rsid w:val="006B6191"/>
    <w:rsid w:val="006B6320"/>
    <w:rsid w:val="006B64B0"/>
    <w:rsid w:val="006B6563"/>
    <w:rsid w:val="006B674A"/>
    <w:rsid w:val="006B680C"/>
    <w:rsid w:val="006B6B1B"/>
    <w:rsid w:val="006B6C6E"/>
    <w:rsid w:val="006B6DD0"/>
    <w:rsid w:val="006B7009"/>
    <w:rsid w:val="006B70BE"/>
    <w:rsid w:val="006B76D0"/>
    <w:rsid w:val="006B789D"/>
    <w:rsid w:val="006B78A2"/>
    <w:rsid w:val="006B7985"/>
    <w:rsid w:val="006B7AAE"/>
    <w:rsid w:val="006B7B1D"/>
    <w:rsid w:val="006B7C6F"/>
    <w:rsid w:val="006B7F37"/>
    <w:rsid w:val="006C0078"/>
    <w:rsid w:val="006C0221"/>
    <w:rsid w:val="006C0385"/>
    <w:rsid w:val="006C0840"/>
    <w:rsid w:val="006C08D5"/>
    <w:rsid w:val="006C0A2C"/>
    <w:rsid w:val="006C0A87"/>
    <w:rsid w:val="006C0F76"/>
    <w:rsid w:val="006C0FB6"/>
    <w:rsid w:val="006C10D3"/>
    <w:rsid w:val="006C139E"/>
    <w:rsid w:val="006C144F"/>
    <w:rsid w:val="006C18DB"/>
    <w:rsid w:val="006C19BA"/>
    <w:rsid w:val="006C1A2B"/>
    <w:rsid w:val="006C1BA8"/>
    <w:rsid w:val="006C1CC5"/>
    <w:rsid w:val="006C1CE4"/>
    <w:rsid w:val="006C1D8D"/>
    <w:rsid w:val="006C1F09"/>
    <w:rsid w:val="006C1F51"/>
    <w:rsid w:val="006C1FA6"/>
    <w:rsid w:val="006C2121"/>
    <w:rsid w:val="006C222A"/>
    <w:rsid w:val="006C238B"/>
    <w:rsid w:val="006C28C5"/>
    <w:rsid w:val="006C2A6F"/>
    <w:rsid w:val="006C2A8E"/>
    <w:rsid w:val="006C2AF8"/>
    <w:rsid w:val="006C2C93"/>
    <w:rsid w:val="006C2CCE"/>
    <w:rsid w:val="006C2DCC"/>
    <w:rsid w:val="006C30DC"/>
    <w:rsid w:val="006C315D"/>
    <w:rsid w:val="006C34FC"/>
    <w:rsid w:val="006C381B"/>
    <w:rsid w:val="006C3BD6"/>
    <w:rsid w:val="006C3DE4"/>
    <w:rsid w:val="006C40D1"/>
    <w:rsid w:val="006C427E"/>
    <w:rsid w:val="006C448A"/>
    <w:rsid w:val="006C4675"/>
    <w:rsid w:val="006C4825"/>
    <w:rsid w:val="006C49C0"/>
    <w:rsid w:val="006C4BEE"/>
    <w:rsid w:val="006C4E36"/>
    <w:rsid w:val="006C4E64"/>
    <w:rsid w:val="006C5182"/>
    <w:rsid w:val="006C54CF"/>
    <w:rsid w:val="006C5A52"/>
    <w:rsid w:val="006C5A70"/>
    <w:rsid w:val="006C5B83"/>
    <w:rsid w:val="006C5D18"/>
    <w:rsid w:val="006C5F51"/>
    <w:rsid w:val="006C633F"/>
    <w:rsid w:val="006C650C"/>
    <w:rsid w:val="006C66B0"/>
    <w:rsid w:val="006C66D9"/>
    <w:rsid w:val="006C680E"/>
    <w:rsid w:val="006C6929"/>
    <w:rsid w:val="006C6BF5"/>
    <w:rsid w:val="006C6C03"/>
    <w:rsid w:val="006C6D7E"/>
    <w:rsid w:val="006C7295"/>
    <w:rsid w:val="006C72D8"/>
    <w:rsid w:val="006C7595"/>
    <w:rsid w:val="006C75FA"/>
    <w:rsid w:val="006C77D1"/>
    <w:rsid w:val="006C77E6"/>
    <w:rsid w:val="006C7A24"/>
    <w:rsid w:val="006C7A52"/>
    <w:rsid w:val="006C7A6C"/>
    <w:rsid w:val="006C7AF1"/>
    <w:rsid w:val="006C7BF5"/>
    <w:rsid w:val="006C7C5D"/>
    <w:rsid w:val="006C7D88"/>
    <w:rsid w:val="006C7F96"/>
    <w:rsid w:val="006D0720"/>
    <w:rsid w:val="006D088C"/>
    <w:rsid w:val="006D0C92"/>
    <w:rsid w:val="006D0D00"/>
    <w:rsid w:val="006D0D1B"/>
    <w:rsid w:val="006D0F37"/>
    <w:rsid w:val="006D1128"/>
    <w:rsid w:val="006D15C9"/>
    <w:rsid w:val="006D15CE"/>
    <w:rsid w:val="006D16CC"/>
    <w:rsid w:val="006D1D3B"/>
    <w:rsid w:val="006D1DCB"/>
    <w:rsid w:val="006D1FA3"/>
    <w:rsid w:val="006D20C5"/>
    <w:rsid w:val="006D2110"/>
    <w:rsid w:val="006D240B"/>
    <w:rsid w:val="006D2878"/>
    <w:rsid w:val="006D2934"/>
    <w:rsid w:val="006D2CE4"/>
    <w:rsid w:val="006D2FC6"/>
    <w:rsid w:val="006D340E"/>
    <w:rsid w:val="006D3411"/>
    <w:rsid w:val="006D345C"/>
    <w:rsid w:val="006D3848"/>
    <w:rsid w:val="006D3B77"/>
    <w:rsid w:val="006D3C14"/>
    <w:rsid w:val="006D3C7D"/>
    <w:rsid w:val="006D3D93"/>
    <w:rsid w:val="006D3E31"/>
    <w:rsid w:val="006D4030"/>
    <w:rsid w:val="006D40C6"/>
    <w:rsid w:val="006D43BB"/>
    <w:rsid w:val="006D489B"/>
    <w:rsid w:val="006D4987"/>
    <w:rsid w:val="006D4B8A"/>
    <w:rsid w:val="006D4E4B"/>
    <w:rsid w:val="006D5189"/>
    <w:rsid w:val="006D528F"/>
    <w:rsid w:val="006D5340"/>
    <w:rsid w:val="006D5506"/>
    <w:rsid w:val="006D579E"/>
    <w:rsid w:val="006D57BD"/>
    <w:rsid w:val="006D58A1"/>
    <w:rsid w:val="006D5BD8"/>
    <w:rsid w:val="006D5CA2"/>
    <w:rsid w:val="006D5D5F"/>
    <w:rsid w:val="006D6339"/>
    <w:rsid w:val="006D6406"/>
    <w:rsid w:val="006D6525"/>
    <w:rsid w:val="006D657D"/>
    <w:rsid w:val="006D685B"/>
    <w:rsid w:val="006D6CBC"/>
    <w:rsid w:val="006D6D37"/>
    <w:rsid w:val="006D6E3C"/>
    <w:rsid w:val="006D714C"/>
    <w:rsid w:val="006D7197"/>
    <w:rsid w:val="006D72B8"/>
    <w:rsid w:val="006E0059"/>
    <w:rsid w:val="006E01FD"/>
    <w:rsid w:val="006E074E"/>
    <w:rsid w:val="006E089A"/>
    <w:rsid w:val="006E0ED8"/>
    <w:rsid w:val="006E18C0"/>
    <w:rsid w:val="006E191F"/>
    <w:rsid w:val="006E1FCF"/>
    <w:rsid w:val="006E208E"/>
    <w:rsid w:val="006E21CC"/>
    <w:rsid w:val="006E2364"/>
    <w:rsid w:val="006E260C"/>
    <w:rsid w:val="006E2744"/>
    <w:rsid w:val="006E27AC"/>
    <w:rsid w:val="006E2C56"/>
    <w:rsid w:val="006E2D87"/>
    <w:rsid w:val="006E2DB0"/>
    <w:rsid w:val="006E2DCE"/>
    <w:rsid w:val="006E2E8D"/>
    <w:rsid w:val="006E32D6"/>
    <w:rsid w:val="006E3529"/>
    <w:rsid w:val="006E37D5"/>
    <w:rsid w:val="006E3A4E"/>
    <w:rsid w:val="006E3B84"/>
    <w:rsid w:val="006E3FC9"/>
    <w:rsid w:val="006E40B5"/>
    <w:rsid w:val="006E4170"/>
    <w:rsid w:val="006E430E"/>
    <w:rsid w:val="006E4415"/>
    <w:rsid w:val="006E44EA"/>
    <w:rsid w:val="006E47E7"/>
    <w:rsid w:val="006E485D"/>
    <w:rsid w:val="006E4E77"/>
    <w:rsid w:val="006E4EB6"/>
    <w:rsid w:val="006E4F6E"/>
    <w:rsid w:val="006E52FF"/>
    <w:rsid w:val="006E557B"/>
    <w:rsid w:val="006E56B0"/>
    <w:rsid w:val="006E5783"/>
    <w:rsid w:val="006E58DC"/>
    <w:rsid w:val="006E5DFD"/>
    <w:rsid w:val="006E6016"/>
    <w:rsid w:val="006E6179"/>
    <w:rsid w:val="006E622F"/>
    <w:rsid w:val="006E62B0"/>
    <w:rsid w:val="006E6AB4"/>
    <w:rsid w:val="006E6B05"/>
    <w:rsid w:val="006E6DAC"/>
    <w:rsid w:val="006E70E5"/>
    <w:rsid w:val="006E724D"/>
    <w:rsid w:val="006E72EF"/>
    <w:rsid w:val="006E76F2"/>
    <w:rsid w:val="006E7B04"/>
    <w:rsid w:val="006E7C69"/>
    <w:rsid w:val="006E7E70"/>
    <w:rsid w:val="006F004C"/>
    <w:rsid w:val="006F0113"/>
    <w:rsid w:val="006F04B1"/>
    <w:rsid w:val="006F069E"/>
    <w:rsid w:val="006F07AB"/>
    <w:rsid w:val="006F0824"/>
    <w:rsid w:val="006F09E2"/>
    <w:rsid w:val="006F0BE0"/>
    <w:rsid w:val="006F0D08"/>
    <w:rsid w:val="006F0D1B"/>
    <w:rsid w:val="006F134D"/>
    <w:rsid w:val="006F1608"/>
    <w:rsid w:val="006F163E"/>
    <w:rsid w:val="006F16F2"/>
    <w:rsid w:val="006F16FC"/>
    <w:rsid w:val="006F172C"/>
    <w:rsid w:val="006F19A8"/>
    <w:rsid w:val="006F1DBC"/>
    <w:rsid w:val="006F1DC6"/>
    <w:rsid w:val="006F1DF0"/>
    <w:rsid w:val="006F1E58"/>
    <w:rsid w:val="006F2422"/>
    <w:rsid w:val="006F257D"/>
    <w:rsid w:val="006F2730"/>
    <w:rsid w:val="006F27B0"/>
    <w:rsid w:val="006F2D4B"/>
    <w:rsid w:val="006F306C"/>
    <w:rsid w:val="006F3089"/>
    <w:rsid w:val="006F30BF"/>
    <w:rsid w:val="006F3223"/>
    <w:rsid w:val="006F353F"/>
    <w:rsid w:val="006F35FA"/>
    <w:rsid w:val="006F38D7"/>
    <w:rsid w:val="006F3C84"/>
    <w:rsid w:val="006F3D45"/>
    <w:rsid w:val="006F446D"/>
    <w:rsid w:val="006F44A9"/>
    <w:rsid w:val="006F44BB"/>
    <w:rsid w:val="006F4560"/>
    <w:rsid w:val="006F45D9"/>
    <w:rsid w:val="006F4999"/>
    <w:rsid w:val="006F49E5"/>
    <w:rsid w:val="006F49F3"/>
    <w:rsid w:val="006F4C2D"/>
    <w:rsid w:val="006F4E57"/>
    <w:rsid w:val="006F510A"/>
    <w:rsid w:val="006F5825"/>
    <w:rsid w:val="006F585A"/>
    <w:rsid w:val="006F5D66"/>
    <w:rsid w:val="006F615E"/>
    <w:rsid w:val="006F62AF"/>
    <w:rsid w:val="006F63A5"/>
    <w:rsid w:val="006F6737"/>
    <w:rsid w:val="006F69D9"/>
    <w:rsid w:val="006F6B5C"/>
    <w:rsid w:val="006F6CCD"/>
    <w:rsid w:val="006F6F47"/>
    <w:rsid w:val="006F738D"/>
    <w:rsid w:val="006F7610"/>
    <w:rsid w:val="006F7720"/>
    <w:rsid w:val="006F787A"/>
    <w:rsid w:val="006F789C"/>
    <w:rsid w:val="006F7CEA"/>
    <w:rsid w:val="006F7FE4"/>
    <w:rsid w:val="007002D3"/>
    <w:rsid w:val="007002DB"/>
    <w:rsid w:val="00700371"/>
    <w:rsid w:val="00700862"/>
    <w:rsid w:val="00700E7F"/>
    <w:rsid w:val="00700F4F"/>
    <w:rsid w:val="00700FB7"/>
    <w:rsid w:val="007011C1"/>
    <w:rsid w:val="0070142B"/>
    <w:rsid w:val="00701988"/>
    <w:rsid w:val="00701992"/>
    <w:rsid w:val="00701B19"/>
    <w:rsid w:val="00701FC6"/>
    <w:rsid w:val="0070211C"/>
    <w:rsid w:val="0070217A"/>
    <w:rsid w:val="0070276E"/>
    <w:rsid w:val="00702826"/>
    <w:rsid w:val="00702F8F"/>
    <w:rsid w:val="0070328E"/>
    <w:rsid w:val="00703475"/>
    <w:rsid w:val="007034F7"/>
    <w:rsid w:val="007036C2"/>
    <w:rsid w:val="0070370F"/>
    <w:rsid w:val="00703C51"/>
    <w:rsid w:val="00703EB7"/>
    <w:rsid w:val="00703F12"/>
    <w:rsid w:val="007041CE"/>
    <w:rsid w:val="007044AF"/>
    <w:rsid w:val="007048CD"/>
    <w:rsid w:val="00704968"/>
    <w:rsid w:val="00704C0E"/>
    <w:rsid w:val="00704C83"/>
    <w:rsid w:val="007052C9"/>
    <w:rsid w:val="0070568E"/>
    <w:rsid w:val="00705767"/>
    <w:rsid w:val="007058E5"/>
    <w:rsid w:val="0070595B"/>
    <w:rsid w:val="00705C55"/>
    <w:rsid w:val="00705D1F"/>
    <w:rsid w:val="00706105"/>
    <w:rsid w:val="007062D6"/>
    <w:rsid w:val="007067EA"/>
    <w:rsid w:val="007069DE"/>
    <w:rsid w:val="00706DC6"/>
    <w:rsid w:val="00707868"/>
    <w:rsid w:val="00707C45"/>
    <w:rsid w:val="00707D76"/>
    <w:rsid w:val="00707DF8"/>
    <w:rsid w:val="0071067B"/>
    <w:rsid w:val="0071079C"/>
    <w:rsid w:val="00710960"/>
    <w:rsid w:val="00710D6E"/>
    <w:rsid w:val="007110AB"/>
    <w:rsid w:val="007110F0"/>
    <w:rsid w:val="007117D7"/>
    <w:rsid w:val="00711A36"/>
    <w:rsid w:val="00711B7C"/>
    <w:rsid w:val="0071217F"/>
    <w:rsid w:val="0071250C"/>
    <w:rsid w:val="007129C9"/>
    <w:rsid w:val="00712B6B"/>
    <w:rsid w:val="00712DD9"/>
    <w:rsid w:val="00712DEB"/>
    <w:rsid w:val="00712DEE"/>
    <w:rsid w:val="00712F80"/>
    <w:rsid w:val="00713073"/>
    <w:rsid w:val="00713121"/>
    <w:rsid w:val="00713204"/>
    <w:rsid w:val="0071359A"/>
    <w:rsid w:val="0071387D"/>
    <w:rsid w:val="0071398F"/>
    <w:rsid w:val="007139A7"/>
    <w:rsid w:val="00713A73"/>
    <w:rsid w:val="00713C1F"/>
    <w:rsid w:val="00713D05"/>
    <w:rsid w:val="00713D11"/>
    <w:rsid w:val="00713DB6"/>
    <w:rsid w:val="00713E71"/>
    <w:rsid w:val="00714041"/>
    <w:rsid w:val="007144EF"/>
    <w:rsid w:val="00714851"/>
    <w:rsid w:val="00714B17"/>
    <w:rsid w:val="00714E48"/>
    <w:rsid w:val="00714E72"/>
    <w:rsid w:val="00714FEF"/>
    <w:rsid w:val="00715170"/>
    <w:rsid w:val="007151C2"/>
    <w:rsid w:val="0071529C"/>
    <w:rsid w:val="007156A7"/>
    <w:rsid w:val="007159A1"/>
    <w:rsid w:val="00715A67"/>
    <w:rsid w:val="00715DC6"/>
    <w:rsid w:val="00715E20"/>
    <w:rsid w:val="00716169"/>
    <w:rsid w:val="00716199"/>
    <w:rsid w:val="007162A9"/>
    <w:rsid w:val="00716366"/>
    <w:rsid w:val="00716667"/>
    <w:rsid w:val="007166B2"/>
    <w:rsid w:val="00716B06"/>
    <w:rsid w:val="00716C5A"/>
    <w:rsid w:val="00716C6C"/>
    <w:rsid w:val="00716DD4"/>
    <w:rsid w:val="00716E6F"/>
    <w:rsid w:val="00717126"/>
    <w:rsid w:val="007172AD"/>
    <w:rsid w:val="007172E7"/>
    <w:rsid w:val="00717A54"/>
    <w:rsid w:val="00717B6B"/>
    <w:rsid w:val="00720051"/>
    <w:rsid w:val="007201F5"/>
    <w:rsid w:val="007204B4"/>
    <w:rsid w:val="007204EC"/>
    <w:rsid w:val="0072067E"/>
    <w:rsid w:val="007206A6"/>
    <w:rsid w:val="007206D3"/>
    <w:rsid w:val="0072084C"/>
    <w:rsid w:val="007208F5"/>
    <w:rsid w:val="007209D0"/>
    <w:rsid w:val="00720A06"/>
    <w:rsid w:val="00720A53"/>
    <w:rsid w:val="00720A86"/>
    <w:rsid w:val="00720C79"/>
    <w:rsid w:val="00720E8F"/>
    <w:rsid w:val="0072101A"/>
    <w:rsid w:val="00721026"/>
    <w:rsid w:val="007214A7"/>
    <w:rsid w:val="007216B5"/>
    <w:rsid w:val="0072170E"/>
    <w:rsid w:val="0072198A"/>
    <w:rsid w:val="00721BB7"/>
    <w:rsid w:val="00721EDC"/>
    <w:rsid w:val="00721F27"/>
    <w:rsid w:val="00721F5D"/>
    <w:rsid w:val="00722313"/>
    <w:rsid w:val="0072241B"/>
    <w:rsid w:val="0072247B"/>
    <w:rsid w:val="007224F9"/>
    <w:rsid w:val="00722574"/>
    <w:rsid w:val="0072276A"/>
    <w:rsid w:val="007227D6"/>
    <w:rsid w:val="007228EC"/>
    <w:rsid w:val="007229EC"/>
    <w:rsid w:val="00722A1C"/>
    <w:rsid w:val="00722B1B"/>
    <w:rsid w:val="00722FE0"/>
    <w:rsid w:val="0072308D"/>
    <w:rsid w:val="007230B1"/>
    <w:rsid w:val="00723499"/>
    <w:rsid w:val="0072383E"/>
    <w:rsid w:val="007238CC"/>
    <w:rsid w:val="00723AD6"/>
    <w:rsid w:val="00723B2F"/>
    <w:rsid w:val="00723BA5"/>
    <w:rsid w:val="00723C24"/>
    <w:rsid w:val="007240CB"/>
    <w:rsid w:val="0072416F"/>
    <w:rsid w:val="00724194"/>
    <w:rsid w:val="007242B5"/>
    <w:rsid w:val="007245D4"/>
    <w:rsid w:val="00724640"/>
    <w:rsid w:val="00724695"/>
    <w:rsid w:val="00724841"/>
    <w:rsid w:val="007248AF"/>
    <w:rsid w:val="00724CCF"/>
    <w:rsid w:val="00724EBB"/>
    <w:rsid w:val="00724EF6"/>
    <w:rsid w:val="0072504C"/>
    <w:rsid w:val="00725210"/>
    <w:rsid w:val="007252A3"/>
    <w:rsid w:val="00725558"/>
    <w:rsid w:val="00725585"/>
    <w:rsid w:val="007256D7"/>
    <w:rsid w:val="0072583D"/>
    <w:rsid w:val="00725B71"/>
    <w:rsid w:val="00725EA8"/>
    <w:rsid w:val="00726667"/>
    <w:rsid w:val="007266A2"/>
    <w:rsid w:val="00726826"/>
    <w:rsid w:val="00726952"/>
    <w:rsid w:val="00726980"/>
    <w:rsid w:val="00726A97"/>
    <w:rsid w:val="00726ACE"/>
    <w:rsid w:val="00726AD1"/>
    <w:rsid w:val="00726BAB"/>
    <w:rsid w:val="00726BEB"/>
    <w:rsid w:val="00726CD9"/>
    <w:rsid w:val="00726D3B"/>
    <w:rsid w:val="00726D88"/>
    <w:rsid w:val="00726E36"/>
    <w:rsid w:val="00726E3E"/>
    <w:rsid w:val="00726E9D"/>
    <w:rsid w:val="00727207"/>
    <w:rsid w:val="00727388"/>
    <w:rsid w:val="00727567"/>
    <w:rsid w:val="0072761C"/>
    <w:rsid w:val="00727843"/>
    <w:rsid w:val="00727B63"/>
    <w:rsid w:val="00727C67"/>
    <w:rsid w:val="00727C94"/>
    <w:rsid w:val="00730127"/>
    <w:rsid w:val="007304AD"/>
    <w:rsid w:val="00730537"/>
    <w:rsid w:val="00730679"/>
    <w:rsid w:val="007309E6"/>
    <w:rsid w:val="00730B0A"/>
    <w:rsid w:val="00730C47"/>
    <w:rsid w:val="00730E7B"/>
    <w:rsid w:val="0073139B"/>
    <w:rsid w:val="0073144B"/>
    <w:rsid w:val="0073168F"/>
    <w:rsid w:val="00731B65"/>
    <w:rsid w:val="00731BBE"/>
    <w:rsid w:val="00731EAE"/>
    <w:rsid w:val="00732045"/>
    <w:rsid w:val="007323FC"/>
    <w:rsid w:val="0073256C"/>
    <w:rsid w:val="0073269B"/>
    <w:rsid w:val="00732709"/>
    <w:rsid w:val="00732A95"/>
    <w:rsid w:val="00732ADD"/>
    <w:rsid w:val="00732AEB"/>
    <w:rsid w:val="00732E6E"/>
    <w:rsid w:val="007333DA"/>
    <w:rsid w:val="00733496"/>
    <w:rsid w:val="007334CC"/>
    <w:rsid w:val="007336C6"/>
    <w:rsid w:val="007336D2"/>
    <w:rsid w:val="00733C20"/>
    <w:rsid w:val="00733DFC"/>
    <w:rsid w:val="00733E62"/>
    <w:rsid w:val="007341F9"/>
    <w:rsid w:val="00734446"/>
    <w:rsid w:val="0073451A"/>
    <w:rsid w:val="007345D2"/>
    <w:rsid w:val="00734A14"/>
    <w:rsid w:val="00734A5C"/>
    <w:rsid w:val="00734ACF"/>
    <w:rsid w:val="00734B0D"/>
    <w:rsid w:val="00734C00"/>
    <w:rsid w:val="00734DEE"/>
    <w:rsid w:val="00735033"/>
    <w:rsid w:val="007350FA"/>
    <w:rsid w:val="00735325"/>
    <w:rsid w:val="00735328"/>
    <w:rsid w:val="00735382"/>
    <w:rsid w:val="0073571A"/>
    <w:rsid w:val="0073574E"/>
    <w:rsid w:val="00735764"/>
    <w:rsid w:val="00735787"/>
    <w:rsid w:val="00735ED0"/>
    <w:rsid w:val="00736204"/>
    <w:rsid w:val="00736457"/>
    <w:rsid w:val="00736544"/>
    <w:rsid w:val="0073685B"/>
    <w:rsid w:val="00736B9C"/>
    <w:rsid w:val="00736CA1"/>
    <w:rsid w:val="00736F0A"/>
    <w:rsid w:val="00737048"/>
    <w:rsid w:val="00737475"/>
    <w:rsid w:val="00737823"/>
    <w:rsid w:val="007379D0"/>
    <w:rsid w:val="00737B7A"/>
    <w:rsid w:val="00737BD0"/>
    <w:rsid w:val="00737CAE"/>
    <w:rsid w:val="00737D73"/>
    <w:rsid w:val="00737E3C"/>
    <w:rsid w:val="007406E6"/>
    <w:rsid w:val="00740894"/>
    <w:rsid w:val="0074093F"/>
    <w:rsid w:val="00740D0A"/>
    <w:rsid w:val="00740E17"/>
    <w:rsid w:val="00740E60"/>
    <w:rsid w:val="0074100D"/>
    <w:rsid w:val="007410D5"/>
    <w:rsid w:val="00741173"/>
    <w:rsid w:val="00741CB9"/>
    <w:rsid w:val="00741DAD"/>
    <w:rsid w:val="00742194"/>
    <w:rsid w:val="007421BB"/>
    <w:rsid w:val="00742B06"/>
    <w:rsid w:val="007430C0"/>
    <w:rsid w:val="007431E1"/>
    <w:rsid w:val="00743281"/>
    <w:rsid w:val="0074331E"/>
    <w:rsid w:val="0074345D"/>
    <w:rsid w:val="00743549"/>
    <w:rsid w:val="0074364B"/>
    <w:rsid w:val="00743650"/>
    <w:rsid w:val="0074372E"/>
    <w:rsid w:val="00743918"/>
    <w:rsid w:val="0074396B"/>
    <w:rsid w:val="007439E8"/>
    <w:rsid w:val="00743C06"/>
    <w:rsid w:val="00743F02"/>
    <w:rsid w:val="00743FE5"/>
    <w:rsid w:val="0074431D"/>
    <w:rsid w:val="007444CD"/>
    <w:rsid w:val="00744548"/>
    <w:rsid w:val="0074459E"/>
    <w:rsid w:val="00744604"/>
    <w:rsid w:val="007446CA"/>
    <w:rsid w:val="007449A6"/>
    <w:rsid w:val="00744ACB"/>
    <w:rsid w:val="00744B36"/>
    <w:rsid w:val="00744D22"/>
    <w:rsid w:val="00744DAC"/>
    <w:rsid w:val="00744FF5"/>
    <w:rsid w:val="00745233"/>
    <w:rsid w:val="00745521"/>
    <w:rsid w:val="0074569B"/>
    <w:rsid w:val="007456C5"/>
    <w:rsid w:val="00745BA0"/>
    <w:rsid w:val="00745C7B"/>
    <w:rsid w:val="00745CEC"/>
    <w:rsid w:val="00745CFA"/>
    <w:rsid w:val="00745E62"/>
    <w:rsid w:val="007463BB"/>
    <w:rsid w:val="00746559"/>
    <w:rsid w:val="007465DC"/>
    <w:rsid w:val="007468CB"/>
    <w:rsid w:val="007469A9"/>
    <w:rsid w:val="00746B87"/>
    <w:rsid w:val="00746D8C"/>
    <w:rsid w:val="00746E86"/>
    <w:rsid w:val="0074739A"/>
    <w:rsid w:val="007473C9"/>
    <w:rsid w:val="0074753E"/>
    <w:rsid w:val="0074767C"/>
    <w:rsid w:val="00747722"/>
    <w:rsid w:val="00747870"/>
    <w:rsid w:val="00747CD4"/>
    <w:rsid w:val="0075051A"/>
    <w:rsid w:val="00750970"/>
    <w:rsid w:val="00750BE0"/>
    <w:rsid w:val="00751094"/>
    <w:rsid w:val="00751322"/>
    <w:rsid w:val="00751327"/>
    <w:rsid w:val="0075163D"/>
    <w:rsid w:val="00751667"/>
    <w:rsid w:val="007517F5"/>
    <w:rsid w:val="00751AA0"/>
    <w:rsid w:val="00751ADD"/>
    <w:rsid w:val="00751EB1"/>
    <w:rsid w:val="00751FB7"/>
    <w:rsid w:val="007520E5"/>
    <w:rsid w:val="00752142"/>
    <w:rsid w:val="00752213"/>
    <w:rsid w:val="0075222A"/>
    <w:rsid w:val="00752324"/>
    <w:rsid w:val="00752355"/>
    <w:rsid w:val="007523D3"/>
    <w:rsid w:val="007523F9"/>
    <w:rsid w:val="0075249E"/>
    <w:rsid w:val="00752749"/>
    <w:rsid w:val="007527DB"/>
    <w:rsid w:val="007529BE"/>
    <w:rsid w:val="00752A35"/>
    <w:rsid w:val="00752AEF"/>
    <w:rsid w:val="00752C12"/>
    <w:rsid w:val="007530EE"/>
    <w:rsid w:val="007532DC"/>
    <w:rsid w:val="007535CD"/>
    <w:rsid w:val="00753779"/>
    <w:rsid w:val="00753B1D"/>
    <w:rsid w:val="00753D70"/>
    <w:rsid w:val="00753EE3"/>
    <w:rsid w:val="00753FA7"/>
    <w:rsid w:val="00754027"/>
    <w:rsid w:val="00754033"/>
    <w:rsid w:val="0075424A"/>
    <w:rsid w:val="00754854"/>
    <w:rsid w:val="00754980"/>
    <w:rsid w:val="007549C8"/>
    <w:rsid w:val="00754A23"/>
    <w:rsid w:val="00754B64"/>
    <w:rsid w:val="00754BC7"/>
    <w:rsid w:val="00754DD9"/>
    <w:rsid w:val="00754F80"/>
    <w:rsid w:val="00755367"/>
    <w:rsid w:val="00755423"/>
    <w:rsid w:val="00755490"/>
    <w:rsid w:val="00755725"/>
    <w:rsid w:val="007557C7"/>
    <w:rsid w:val="00755AD1"/>
    <w:rsid w:val="00755D26"/>
    <w:rsid w:val="00755ED7"/>
    <w:rsid w:val="00756189"/>
    <w:rsid w:val="00756203"/>
    <w:rsid w:val="00756C38"/>
    <w:rsid w:val="00756C40"/>
    <w:rsid w:val="00756D46"/>
    <w:rsid w:val="00756F08"/>
    <w:rsid w:val="00757236"/>
    <w:rsid w:val="00757252"/>
    <w:rsid w:val="007573E8"/>
    <w:rsid w:val="007578A3"/>
    <w:rsid w:val="00757C00"/>
    <w:rsid w:val="00760952"/>
    <w:rsid w:val="0076096F"/>
    <w:rsid w:val="00760990"/>
    <w:rsid w:val="00760AA8"/>
    <w:rsid w:val="00760BB6"/>
    <w:rsid w:val="00760C4E"/>
    <w:rsid w:val="0076117E"/>
    <w:rsid w:val="0076140E"/>
    <w:rsid w:val="00761950"/>
    <w:rsid w:val="00761959"/>
    <w:rsid w:val="00761A8C"/>
    <w:rsid w:val="00761B23"/>
    <w:rsid w:val="00761D7E"/>
    <w:rsid w:val="00761F84"/>
    <w:rsid w:val="007621F8"/>
    <w:rsid w:val="00762481"/>
    <w:rsid w:val="007628F9"/>
    <w:rsid w:val="00762932"/>
    <w:rsid w:val="00762B07"/>
    <w:rsid w:val="00762B93"/>
    <w:rsid w:val="00762C03"/>
    <w:rsid w:val="00762C7B"/>
    <w:rsid w:val="00762D4F"/>
    <w:rsid w:val="00762E82"/>
    <w:rsid w:val="00762F1C"/>
    <w:rsid w:val="00763060"/>
    <w:rsid w:val="00763167"/>
    <w:rsid w:val="00763262"/>
    <w:rsid w:val="007633D3"/>
    <w:rsid w:val="0076381C"/>
    <w:rsid w:val="00763870"/>
    <w:rsid w:val="00763871"/>
    <w:rsid w:val="007640B1"/>
    <w:rsid w:val="007643FD"/>
    <w:rsid w:val="0076484D"/>
    <w:rsid w:val="007648D3"/>
    <w:rsid w:val="00764A45"/>
    <w:rsid w:val="00764C4E"/>
    <w:rsid w:val="00764D53"/>
    <w:rsid w:val="00764F16"/>
    <w:rsid w:val="00765323"/>
    <w:rsid w:val="00765345"/>
    <w:rsid w:val="007653C7"/>
    <w:rsid w:val="00765470"/>
    <w:rsid w:val="007655D3"/>
    <w:rsid w:val="0076564E"/>
    <w:rsid w:val="00765B1A"/>
    <w:rsid w:val="00765B97"/>
    <w:rsid w:val="00765BB7"/>
    <w:rsid w:val="00765DDF"/>
    <w:rsid w:val="00765FF8"/>
    <w:rsid w:val="00766047"/>
    <w:rsid w:val="007660C3"/>
    <w:rsid w:val="007666FA"/>
    <w:rsid w:val="00766974"/>
    <w:rsid w:val="00766A7C"/>
    <w:rsid w:val="0076731B"/>
    <w:rsid w:val="00767364"/>
    <w:rsid w:val="0076737E"/>
    <w:rsid w:val="00767490"/>
    <w:rsid w:val="00767633"/>
    <w:rsid w:val="007677B4"/>
    <w:rsid w:val="00767D71"/>
    <w:rsid w:val="00767D7D"/>
    <w:rsid w:val="00767ED4"/>
    <w:rsid w:val="00767ED8"/>
    <w:rsid w:val="007700A4"/>
    <w:rsid w:val="007700B6"/>
    <w:rsid w:val="007700FA"/>
    <w:rsid w:val="00770328"/>
    <w:rsid w:val="007707D1"/>
    <w:rsid w:val="007707FA"/>
    <w:rsid w:val="0077086C"/>
    <w:rsid w:val="00770A6B"/>
    <w:rsid w:val="00770C2A"/>
    <w:rsid w:val="00770F7C"/>
    <w:rsid w:val="00771109"/>
    <w:rsid w:val="007712D8"/>
    <w:rsid w:val="0077169B"/>
    <w:rsid w:val="007718EA"/>
    <w:rsid w:val="007719E2"/>
    <w:rsid w:val="00771F23"/>
    <w:rsid w:val="007720FA"/>
    <w:rsid w:val="007721D9"/>
    <w:rsid w:val="00772200"/>
    <w:rsid w:val="007729CB"/>
    <w:rsid w:val="00772B10"/>
    <w:rsid w:val="00772B9E"/>
    <w:rsid w:val="00772BAA"/>
    <w:rsid w:val="00772F57"/>
    <w:rsid w:val="00772F5E"/>
    <w:rsid w:val="007730F3"/>
    <w:rsid w:val="007731A0"/>
    <w:rsid w:val="00773306"/>
    <w:rsid w:val="00773319"/>
    <w:rsid w:val="007734E3"/>
    <w:rsid w:val="007735C2"/>
    <w:rsid w:val="007736BD"/>
    <w:rsid w:val="007736D4"/>
    <w:rsid w:val="00773E43"/>
    <w:rsid w:val="007745E5"/>
    <w:rsid w:val="00774653"/>
    <w:rsid w:val="0077498F"/>
    <w:rsid w:val="007755E4"/>
    <w:rsid w:val="00775AD7"/>
    <w:rsid w:val="00775BB9"/>
    <w:rsid w:val="00775F48"/>
    <w:rsid w:val="007761B0"/>
    <w:rsid w:val="00776301"/>
    <w:rsid w:val="0077648D"/>
    <w:rsid w:val="0077653A"/>
    <w:rsid w:val="007767DD"/>
    <w:rsid w:val="007768CA"/>
    <w:rsid w:val="00776D97"/>
    <w:rsid w:val="007774F4"/>
    <w:rsid w:val="0077751A"/>
    <w:rsid w:val="00777780"/>
    <w:rsid w:val="007778CF"/>
    <w:rsid w:val="0077794E"/>
    <w:rsid w:val="00777ADF"/>
    <w:rsid w:val="00777BE8"/>
    <w:rsid w:val="00777D18"/>
    <w:rsid w:val="00777D3D"/>
    <w:rsid w:val="00777D63"/>
    <w:rsid w:val="00777E4A"/>
    <w:rsid w:val="00780176"/>
    <w:rsid w:val="007802D6"/>
    <w:rsid w:val="0078038A"/>
    <w:rsid w:val="00780557"/>
    <w:rsid w:val="0078065B"/>
    <w:rsid w:val="007807EC"/>
    <w:rsid w:val="00780887"/>
    <w:rsid w:val="007808A5"/>
    <w:rsid w:val="00780A5A"/>
    <w:rsid w:val="00780C34"/>
    <w:rsid w:val="00780D79"/>
    <w:rsid w:val="00780DA7"/>
    <w:rsid w:val="00780ECF"/>
    <w:rsid w:val="00780F88"/>
    <w:rsid w:val="0078194C"/>
    <w:rsid w:val="00781976"/>
    <w:rsid w:val="00781A7B"/>
    <w:rsid w:val="00781CE4"/>
    <w:rsid w:val="00781EEA"/>
    <w:rsid w:val="0078242D"/>
    <w:rsid w:val="007828AD"/>
    <w:rsid w:val="007828FC"/>
    <w:rsid w:val="00782918"/>
    <w:rsid w:val="00782BBC"/>
    <w:rsid w:val="00782C19"/>
    <w:rsid w:val="00782CA8"/>
    <w:rsid w:val="007833A4"/>
    <w:rsid w:val="007835DF"/>
    <w:rsid w:val="007839EE"/>
    <w:rsid w:val="00783C0A"/>
    <w:rsid w:val="00783EA6"/>
    <w:rsid w:val="00783EB2"/>
    <w:rsid w:val="00784086"/>
    <w:rsid w:val="007843F2"/>
    <w:rsid w:val="0078440A"/>
    <w:rsid w:val="00784717"/>
    <w:rsid w:val="007851D6"/>
    <w:rsid w:val="00785525"/>
    <w:rsid w:val="00785840"/>
    <w:rsid w:val="0078590F"/>
    <w:rsid w:val="00785931"/>
    <w:rsid w:val="0078645E"/>
    <w:rsid w:val="00786546"/>
    <w:rsid w:val="0078696B"/>
    <w:rsid w:val="00786B4A"/>
    <w:rsid w:val="00787400"/>
    <w:rsid w:val="007874E9"/>
    <w:rsid w:val="0078756F"/>
    <w:rsid w:val="007876CA"/>
    <w:rsid w:val="0078794E"/>
    <w:rsid w:val="00787A55"/>
    <w:rsid w:val="0079008C"/>
    <w:rsid w:val="007900D9"/>
    <w:rsid w:val="007900EF"/>
    <w:rsid w:val="007903D4"/>
    <w:rsid w:val="00790424"/>
    <w:rsid w:val="00790487"/>
    <w:rsid w:val="007906FB"/>
    <w:rsid w:val="00790E17"/>
    <w:rsid w:val="00790E1C"/>
    <w:rsid w:val="00790E42"/>
    <w:rsid w:val="007910B6"/>
    <w:rsid w:val="0079111A"/>
    <w:rsid w:val="0079126C"/>
    <w:rsid w:val="0079126D"/>
    <w:rsid w:val="007912C5"/>
    <w:rsid w:val="00791383"/>
    <w:rsid w:val="007914C6"/>
    <w:rsid w:val="007915B8"/>
    <w:rsid w:val="007915F4"/>
    <w:rsid w:val="007917D3"/>
    <w:rsid w:val="00791810"/>
    <w:rsid w:val="0079191E"/>
    <w:rsid w:val="00791EF7"/>
    <w:rsid w:val="00791FCC"/>
    <w:rsid w:val="007921E9"/>
    <w:rsid w:val="00792552"/>
    <w:rsid w:val="007925EC"/>
    <w:rsid w:val="00792A24"/>
    <w:rsid w:val="00792BC3"/>
    <w:rsid w:val="00792DB9"/>
    <w:rsid w:val="00792E91"/>
    <w:rsid w:val="007930E2"/>
    <w:rsid w:val="007932F8"/>
    <w:rsid w:val="00793725"/>
    <w:rsid w:val="007937FD"/>
    <w:rsid w:val="007939B5"/>
    <w:rsid w:val="00793ADA"/>
    <w:rsid w:val="00793DE9"/>
    <w:rsid w:val="0079402B"/>
    <w:rsid w:val="007941AC"/>
    <w:rsid w:val="00794354"/>
    <w:rsid w:val="007943A8"/>
    <w:rsid w:val="0079456D"/>
    <w:rsid w:val="007949CD"/>
    <w:rsid w:val="00794BFF"/>
    <w:rsid w:val="0079500F"/>
    <w:rsid w:val="00795269"/>
    <w:rsid w:val="00795949"/>
    <w:rsid w:val="00795974"/>
    <w:rsid w:val="00795AA7"/>
    <w:rsid w:val="00795EB0"/>
    <w:rsid w:val="00796303"/>
    <w:rsid w:val="00796FA6"/>
    <w:rsid w:val="00797383"/>
    <w:rsid w:val="007974E7"/>
    <w:rsid w:val="007976BA"/>
    <w:rsid w:val="00797719"/>
    <w:rsid w:val="0079785C"/>
    <w:rsid w:val="007978F3"/>
    <w:rsid w:val="00797EAE"/>
    <w:rsid w:val="00797ED2"/>
    <w:rsid w:val="007A02E3"/>
    <w:rsid w:val="007A034B"/>
    <w:rsid w:val="007A07DD"/>
    <w:rsid w:val="007A0A03"/>
    <w:rsid w:val="007A0A12"/>
    <w:rsid w:val="007A0E8E"/>
    <w:rsid w:val="007A114E"/>
    <w:rsid w:val="007A1290"/>
    <w:rsid w:val="007A132D"/>
    <w:rsid w:val="007A1544"/>
    <w:rsid w:val="007A15D0"/>
    <w:rsid w:val="007A1761"/>
    <w:rsid w:val="007A1879"/>
    <w:rsid w:val="007A1AC8"/>
    <w:rsid w:val="007A1D83"/>
    <w:rsid w:val="007A2126"/>
    <w:rsid w:val="007A2224"/>
    <w:rsid w:val="007A282F"/>
    <w:rsid w:val="007A2980"/>
    <w:rsid w:val="007A2A56"/>
    <w:rsid w:val="007A2AF3"/>
    <w:rsid w:val="007A2B12"/>
    <w:rsid w:val="007A2B9B"/>
    <w:rsid w:val="007A2CC3"/>
    <w:rsid w:val="007A2D4C"/>
    <w:rsid w:val="007A324F"/>
    <w:rsid w:val="007A331A"/>
    <w:rsid w:val="007A39E0"/>
    <w:rsid w:val="007A3A26"/>
    <w:rsid w:val="007A3AF0"/>
    <w:rsid w:val="007A3CB6"/>
    <w:rsid w:val="007A3E0E"/>
    <w:rsid w:val="007A4339"/>
    <w:rsid w:val="007A4347"/>
    <w:rsid w:val="007A49D4"/>
    <w:rsid w:val="007A5007"/>
    <w:rsid w:val="007A50DC"/>
    <w:rsid w:val="007A5478"/>
    <w:rsid w:val="007A5605"/>
    <w:rsid w:val="007A5887"/>
    <w:rsid w:val="007A5A9F"/>
    <w:rsid w:val="007A5CA1"/>
    <w:rsid w:val="007A5FC0"/>
    <w:rsid w:val="007A65BA"/>
    <w:rsid w:val="007A68ED"/>
    <w:rsid w:val="007A6A84"/>
    <w:rsid w:val="007A6E02"/>
    <w:rsid w:val="007A6E3B"/>
    <w:rsid w:val="007A6E45"/>
    <w:rsid w:val="007A70FB"/>
    <w:rsid w:val="007A716B"/>
    <w:rsid w:val="007A7326"/>
    <w:rsid w:val="007A7484"/>
    <w:rsid w:val="007A750F"/>
    <w:rsid w:val="007A7599"/>
    <w:rsid w:val="007A75FA"/>
    <w:rsid w:val="007A77B3"/>
    <w:rsid w:val="007A786F"/>
    <w:rsid w:val="007A7BBD"/>
    <w:rsid w:val="007A7D70"/>
    <w:rsid w:val="007A7DCF"/>
    <w:rsid w:val="007B0153"/>
    <w:rsid w:val="007B0491"/>
    <w:rsid w:val="007B04C0"/>
    <w:rsid w:val="007B053C"/>
    <w:rsid w:val="007B05DD"/>
    <w:rsid w:val="007B0CEF"/>
    <w:rsid w:val="007B0D68"/>
    <w:rsid w:val="007B0E16"/>
    <w:rsid w:val="007B0E65"/>
    <w:rsid w:val="007B0F10"/>
    <w:rsid w:val="007B1399"/>
    <w:rsid w:val="007B18B1"/>
    <w:rsid w:val="007B1954"/>
    <w:rsid w:val="007B1EFD"/>
    <w:rsid w:val="007B20F8"/>
    <w:rsid w:val="007B2158"/>
    <w:rsid w:val="007B24DE"/>
    <w:rsid w:val="007B251D"/>
    <w:rsid w:val="007B256B"/>
    <w:rsid w:val="007B25DB"/>
    <w:rsid w:val="007B2D6E"/>
    <w:rsid w:val="007B2E12"/>
    <w:rsid w:val="007B2E33"/>
    <w:rsid w:val="007B2E83"/>
    <w:rsid w:val="007B3534"/>
    <w:rsid w:val="007B3640"/>
    <w:rsid w:val="007B37E6"/>
    <w:rsid w:val="007B382D"/>
    <w:rsid w:val="007B3BC2"/>
    <w:rsid w:val="007B4177"/>
    <w:rsid w:val="007B444E"/>
    <w:rsid w:val="007B49CB"/>
    <w:rsid w:val="007B4BBA"/>
    <w:rsid w:val="007B4BEC"/>
    <w:rsid w:val="007B4C56"/>
    <w:rsid w:val="007B4E64"/>
    <w:rsid w:val="007B4F58"/>
    <w:rsid w:val="007B528D"/>
    <w:rsid w:val="007B52CC"/>
    <w:rsid w:val="007B5453"/>
    <w:rsid w:val="007B54A1"/>
    <w:rsid w:val="007B58F3"/>
    <w:rsid w:val="007B59A8"/>
    <w:rsid w:val="007B5AE2"/>
    <w:rsid w:val="007B5C74"/>
    <w:rsid w:val="007B5CBF"/>
    <w:rsid w:val="007B5E15"/>
    <w:rsid w:val="007B6672"/>
    <w:rsid w:val="007B66D5"/>
    <w:rsid w:val="007B6B12"/>
    <w:rsid w:val="007B6F8D"/>
    <w:rsid w:val="007B71CE"/>
    <w:rsid w:val="007B7481"/>
    <w:rsid w:val="007B762C"/>
    <w:rsid w:val="007B77D1"/>
    <w:rsid w:val="007B7930"/>
    <w:rsid w:val="007B7A17"/>
    <w:rsid w:val="007B7A28"/>
    <w:rsid w:val="007B7B7F"/>
    <w:rsid w:val="007B7B9B"/>
    <w:rsid w:val="007C000E"/>
    <w:rsid w:val="007C044D"/>
    <w:rsid w:val="007C0641"/>
    <w:rsid w:val="007C07B6"/>
    <w:rsid w:val="007C092A"/>
    <w:rsid w:val="007C0956"/>
    <w:rsid w:val="007C0C89"/>
    <w:rsid w:val="007C0D0C"/>
    <w:rsid w:val="007C10F7"/>
    <w:rsid w:val="007C11BA"/>
    <w:rsid w:val="007C12CC"/>
    <w:rsid w:val="007C14D1"/>
    <w:rsid w:val="007C151F"/>
    <w:rsid w:val="007C152D"/>
    <w:rsid w:val="007C1844"/>
    <w:rsid w:val="007C19E8"/>
    <w:rsid w:val="007C1A44"/>
    <w:rsid w:val="007C1B11"/>
    <w:rsid w:val="007C1B45"/>
    <w:rsid w:val="007C1CD9"/>
    <w:rsid w:val="007C1F47"/>
    <w:rsid w:val="007C1F6C"/>
    <w:rsid w:val="007C23CF"/>
    <w:rsid w:val="007C2541"/>
    <w:rsid w:val="007C2A3E"/>
    <w:rsid w:val="007C2A5A"/>
    <w:rsid w:val="007C2AC2"/>
    <w:rsid w:val="007C2B9B"/>
    <w:rsid w:val="007C2D16"/>
    <w:rsid w:val="007C2D5B"/>
    <w:rsid w:val="007C2E33"/>
    <w:rsid w:val="007C2FAE"/>
    <w:rsid w:val="007C30CD"/>
    <w:rsid w:val="007C32BF"/>
    <w:rsid w:val="007C3330"/>
    <w:rsid w:val="007C33C1"/>
    <w:rsid w:val="007C3458"/>
    <w:rsid w:val="007C3555"/>
    <w:rsid w:val="007C35B9"/>
    <w:rsid w:val="007C361D"/>
    <w:rsid w:val="007C3625"/>
    <w:rsid w:val="007C364A"/>
    <w:rsid w:val="007C36C1"/>
    <w:rsid w:val="007C37C8"/>
    <w:rsid w:val="007C39AC"/>
    <w:rsid w:val="007C3C40"/>
    <w:rsid w:val="007C3CA8"/>
    <w:rsid w:val="007C4090"/>
    <w:rsid w:val="007C40A2"/>
    <w:rsid w:val="007C413B"/>
    <w:rsid w:val="007C42CA"/>
    <w:rsid w:val="007C4B84"/>
    <w:rsid w:val="007C4BB8"/>
    <w:rsid w:val="007C4D84"/>
    <w:rsid w:val="007C4F81"/>
    <w:rsid w:val="007C5001"/>
    <w:rsid w:val="007C5397"/>
    <w:rsid w:val="007C545E"/>
    <w:rsid w:val="007C54E0"/>
    <w:rsid w:val="007C54E6"/>
    <w:rsid w:val="007C550D"/>
    <w:rsid w:val="007C55F4"/>
    <w:rsid w:val="007C5A30"/>
    <w:rsid w:val="007C6293"/>
    <w:rsid w:val="007C6378"/>
    <w:rsid w:val="007C6597"/>
    <w:rsid w:val="007C67AD"/>
    <w:rsid w:val="007C68EA"/>
    <w:rsid w:val="007C690D"/>
    <w:rsid w:val="007C698E"/>
    <w:rsid w:val="007C6CDD"/>
    <w:rsid w:val="007C6E29"/>
    <w:rsid w:val="007C6F81"/>
    <w:rsid w:val="007C6F9C"/>
    <w:rsid w:val="007C6FE0"/>
    <w:rsid w:val="007C701B"/>
    <w:rsid w:val="007C70FD"/>
    <w:rsid w:val="007C7190"/>
    <w:rsid w:val="007C721B"/>
    <w:rsid w:val="007C74DA"/>
    <w:rsid w:val="007C74E9"/>
    <w:rsid w:val="007C74FC"/>
    <w:rsid w:val="007C7696"/>
    <w:rsid w:val="007C7B81"/>
    <w:rsid w:val="007C7D3B"/>
    <w:rsid w:val="007C7ED8"/>
    <w:rsid w:val="007D004F"/>
    <w:rsid w:val="007D06E0"/>
    <w:rsid w:val="007D0B38"/>
    <w:rsid w:val="007D0BD0"/>
    <w:rsid w:val="007D0D09"/>
    <w:rsid w:val="007D0E7C"/>
    <w:rsid w:val="007D137A"/>
    <w:rsid w:val="007D16E1"/>
    <w:rsid w:val="007D19BA"/>
    <w:rsid w:val="007D1CFE"/>
    <w:rsid w:val="007D1FD8"/>
    <w:rsid w:val="007D221D"/>
    <w:rsid w:val="007D258C"/>
    <w:rsid w:val="007D2913"/>
    <w:rsid w:val="007D2916"/>
    <w:rsid w:val="007D2923"/>
    <w:rsid w:val="007D294D"/>
    <w:rsid w:val="007D2BDA"/>
    <w:rsid w:val="007D2D54"/>
    <w:rsid w:val="007D374A"/>
    <w:rsid w:val="007D3CDC"/>
    <w:rsid w:val="007D3E4B"/>
    <w:rsid w:val="007D4413"/>
    <w:rsid w:val="007D4521"/>
    <w:rsid w:val="007D47AE"/>
    <w:rsid w:val="007D4A3D"/>
    <w:rsid w:val="007D4C0E"/>
    <w:rsid w:val="007D4C62"/>
    <w:rsid w:val="007D4D10"/>
    <w:rsid w:val="007D4D7E"/>
    <w:rsid w:val="007D5073"/>
    <w:rsid w:val="007D520F"/>
    <w:rsid w:val="007D52EE"/>
    <w:rsid w:val="007D5440"/>
    <w:rsid w:val="007D554A"/>
    <w:rsid w:val="007D5EB1"/>
    <w:rsid w:val="007D5EEB"/>
    <w:rsid w:val="007D6303"/>
    <w:rsid w:val="007D6873"/>
    <w:rsid w:val="007D6C26"/>
    <w:rsid w:val="007D6CCC"/>
    <w:rsid w:val="007D6D46"/>
    <w:rsid w:val="007D6E87"/>
    <w:rsid w:val="007D6EAA"/>
    <w:rsid w:val="007D6FD3"/>
    <w:rsid w:val="007D7080"/>
    <w:rsid w:val="007D7225"/>
    <w:rsid w:val="007D7247"/>
    <w:rsid w:val="007D7476"/>
    <w:rsid w:val="007D77BE"/>
    <w:rsid w:val="007D78DD"/>
    <w:rsid w:val="007D7F17"/>
    <w:rsid w:val="007E01F0"/>
    <w:rsid w:val="007E02F5"/>
    <w:rsid w:val="007E03D0"/>
    <w:rsid w:val="007E08FA"/>
    <w:rsid w:val="007E0960"/>
    <w:rsid w:val="007E0BBA"/>
    <w:rsid w:val="007E0FDB"/>
    <w:rsid w:val="007E10A6"/>
    <w:rsid w:val="007E134F"/>
    <w:rsid w:val="007E166C"/>
    <w:rsid w:val="007E1EC4"/>
    <w:rsid w:val="007E2138"/>
    <w:rsid w:val="007E22C1"/>
    <w:rsid w:val="007E2AA9"/>
    <w:rsid w:val="007E2AB7"/>
    <w:rsid w:val="007E2EF6"/>
    <w:rsid w:val="007E2FE0"/>
    <w:rsid w:val="007E30E2"/>
    <w:rsid w:val="007E3495"/>
    <w:rsid w:val="007E351C"/>
    <w:rsid w:val="007E35A5"/>
    <w:rsid w:val="007E361F"/>
    <w:rsid w:val="007E367F"/>
    <w:rsid w:val="007E37A3"/>
    <w:rsid w:val="007E37C3"/>
    <w:rsid w:val="007E3D14"/>
    <w:rsid w:val="007E3D7C"/>
    <w:rsid w:val="007E3F05"/>
    <w:rsid w:val="007E3F34"/>
    <w:rsid w:val="007E421B"/>
    <w:rsid w:val="007E421D"/>
    <w:rsid w:val="007E4277"/>
    <w:rsid w:val="007E4466"/>
    <w:rsid w:val="007E4562"/>
    <w:rsid w:val="007E4655"/>
    <w:rsid w:val="007E47A6"/>
    <w:rsid w:val="007E4A85"/>
    <w:rsid w:val="007E4D37"/>
    <w:rsid w:val="007E4D68"/>
    <w:rsid w:val="007E4DC2"/>
    <w:rsid w:val="007E4E9B"/>
    <w:rsid w:val="007E4F9D"/>
    <w:rsid w:val="007E5578"/>
    <w:rsid w:val="007E572D"/>
    <w:rsid w:val="007E5803"/>
    <w:rsid w:val="007E5C28"/>
    <w:rsid w:val="007E60FF"/>
    <w:rsid w:val="007E61A0"/>
    <w:rsid w:val="007E6640"/>
    <w:rsid w:val="007E69EB"/>
    <w:rsid w:val="007E6A23"/>
    <w:rsid w:val="007E6C4C"/>
    <w:rsid w:val="007E6D6B"/>
    <w:rsid w:val="007E6E0E"/>
    <w:rsid w:val="007E7025"/>
    <w:rsid w:val="007E731B"/>
    <w:rsid w:val="007E7339"/>
    <w:rsid w:val="007E73D3"/>
    <w:rsid w:val="007E744F"/>
    <w:rsid w:val="007E7505"/>
    <w:rsid w:val="007E7510"/>
    <w:rsid w:val="007E7F47"/>
    <w:rsid w:val="007E7F56"/>
    <w:rsid w:val="007F006B"/>
    <w:rsid w:val="007F01D4"/>
    <w:rsid w:val="007F0242"/>
    <w:rsid w:val="007F054D"/>
    <w:rsid w:val="007F0607"/>
    <w:rsid w:val="007F0C78"/>
    <w:rsid w:val="007F1017"/>
    <w:rsid w:val="007F1646"/>
    <w:rsid w:val="007F1B97"/>
    <w:rsid w:val="007F2271"/>
    <w:rsid w:val="007F23FC"/>
    <w:rsid w:val="007F2691"/>
    <w:rsid w:val="007F2CDD"/>
    <w:rsid w:val="007F2D77"/>
    <w:rsid w:val="007F2E5F"/>
    <w:rsid w:val="007F2EA5"/>
    <w:rsid w:val="007F31B5"/>
    <w:rsid w:val="007F3512"/>
    <w:rsid w:val="007F354A"/>
    <w:rsid w:val="007F371F"/>
    <w:rsid w:val="007F3C6C"/>
    <w:rsid w:val="007F3E84"/>
    <w:rsid w:val="007F4757"/>
    <w:rsid w:val="007F4803"/>
    <w:rsid w:val="007F49C9"/>
    <w:rsid w:val="007F4A3F"/>
    <w:rsid w:val="007F4A61"/>
    <w:rsid w:val="007F51D2"/>
    <w:rsid w:val="007F528D"/>
    <w:rsid w:val="007F5519"/>
    <w:rsid w:val="007F5BBF"/>
    <w:rsid w:val="007F5D67"/>
    <w:rsid w:val="007F614D"/>
    <w:rsid w:val="007F61C2"/>
    <w:rsid w:val="007F6316"/>
    <w:rsid w:val="007F657B"/>
    <w:rsid w:val="007F65BD"/>
    <w:rsid w:val="007F683D"/>
    <w:rsid w:val="007F6880"/>
    <w:rsid w:val="007F6968"/>
    <w:rsid w:val="007F6A36"/>
    <w:rsid w:val="007F6AF1"/>
    <w:rsid w:val="007F6FF0"/>
    <w:rsid w:val="007F706D"/>
    <w:rsid w:val="007F73CE"/>
    <w:rsid w:val="007F7531"/>
    <w:rsid w:val="007F75E8"/>
    <w:rsid w:val="007F76E9"/>
    <w:rsid w:val="007F796E"/>
    <w:rsid w:val="007F7978"/>
    <w:rsid w:val="007F7FEB"/>
    <w:rsid w:val="008001F4"/>
    <w:rsid w:val="00800274"/>
    <w:rsid w:val="0080033B"/>
    <w:rsid w:val="008003B4"/>
    <w:rsid w:val="00800450"/>
    <w:rsid w:val="008004F4"/>
    <w:rsid w:val="0080068B"/>
    <w:rsid w:val="008006D7"/>
    <w:rsid w:val="00800A32"/>
    <w:rsid w:val="00800B1E"/>
    <w:rsid w:val="00800F28"/>
    <w:rsid w:val="00800FB4"/>
    <w:rsid w:val="008012FD"/>
    <w:rsid w:val="00801444"/>
    <w:rsid w:val="008014A5"/>
    <w:rsid w:val="00801505"/>
    <w:rsid w:val="0080152A"/>
    <w:rsid w:val="0080185B"/>
    <w:rsid w:val="00801E7B"/>
    <w:rsid w:val="00801F0A"/>
    <w:rsid w:val="00802442"/>
    <w:rsid w:val="00802541"/>
    <w:rsid w:val="00802878"/>
    <w:rsid w:val="008029EB"/>
    <w:rsid w:val="00802EC9"/>
    <w:rsid w:val="0080308F"/>
    <w:rsid w:val="008030EF"/>
    <w:rsid w:val="008033D0"/>
    <w:rsid w:val="00803831"/>
    <w:rsid w:val="00803AD4"/>
    <w:rsid w:val="00803D15"/>
    <w:rsid w:val="00803D39"/>
    <w:rsid w:val="00803F08"/>
    <w:rsid w:val="00804280"/>
    <w:rsid w:val="00804BCB"/>
    <w:rsid w:val="00805142"/>
    <w:rsid w:val="0080514F"/>
    <w:rsid w:val="0080550B"/>
    <w:rsid w:val="008055EA"/>
    <w:rsid w:val="008059FE"/>
    <w:rsid w:val="00805C33"/>
    <w:rsid w:val="0080607C"/>
    <w:rsid w:val="00806396"/>
    <w:rsid w:val="0080684C"/>
    <w:rsid w:val="00806C40"/>
    <w:rsid w:val="00806CB1"/>
    <w:rsid w:val="00807199"/>
    <w:rsid w:val="008072AF"/>
    <w:rsid w:val="00807319"/>
    <w:rsid w:val="008074D3"/>
    <w:rsid w:val="00807A14"/>
    <w:rsid w:val="00807A8B"/>
    <w:rsid w:val="00807BB8"/>
    <w:rsid w:val="00807C19"/>
    <w:rsid w:val="008101B7"/>
    <w:rsid w:val="0081054F"/>
    <w:rsid w:val="00810640"/>
    <w:rsid w:val="0081089E"/>
    <w:rsid w:val="00810EAA"/>
    <w:rsid w:val="00810F94"/>
    <w:rsid w:val="0081106C"/>
    <w:rsid w:val="008111BC"/>
    <w:rsid w:val="00811307"/>
    <w:rsid w:val="00811383"/>
    <w:rsid w:val="00811416"/>
    <w:rsid w:val="00811541"/>
    <w:rsid w:val="00811567"/>
    <w:rsid w:val="00811716"/>
    <w:rsid w:val="00811BCB"/>
    <w:rsid w:val="00812149"/>
    <w:rsid w:val="008123F8"/>
    <w:rsid w:val="00812422"/>
    <w:rsid w:val="008124CB"/>
    <w:rsid w:val="008124FB"/>
    <w:rsid w:val="00812526"/>
    <w:rsid w:val="00812736"/>
    <w:rsid w:val="00812BBE"/>
    <w:rsid w:val="00812CAC"/>
    <w:rsid w:val="00812D89"/>
    <w:rsid w:val="00813052"/>
    <w:rsid w:val="00813218"/>
    <w:rsid w:val="008133A5"/>
    <w:rsid w:val="008133C1"/>
    <w:rsid w:val="008133FD"/>
    <w:rsid w:val="008136A9"/>
    <w:rsid w:val="00813762"/>
    <w:rsid w:val="008138F6"/>
    <w:rsid w:val="0081397A"/>
    <w:rsid w:val="008139DB"/>
    <w:rsid w:val="00813A73"/>
    <w:rsid w:val="00813B7D"/>
    <w:rsid w:val="00814104"/>
    <w:rsid w:val="00814353"/>
    <w:rsid w:val="0081436E"/>
    <w:rsid w:val="0081444D"/>
    <w:rsid w:val="008146ED"/>
    <w:rsid w:val="0081479F"/>
    <w:rsid w:val="008147D6"/>
    <w:rsid w:val="00814A93"/>
    <w:rsid w:val="00814C79"/>
    <w:rsid w:val="00814E39"/>
    <w:rsid w:val="008150F3"/>
    <w:rsid w:val="0081513E"/>
    <w:rsid w:val="008151C2"/>
    <w:rsid w:val="0081530E"/>
    <w:rsid w:val="008153CA"/>
    <w:rsid w:val="0081548F"/>
    <w:rsid w:val="00815725"/>
    <w:rsid w:val="00815BE2"/>
    <w:rsid w:val="00815D3A"/>
    <w:rsid w:val="008166EF"/>
    <w:rsid w:val="00816897"/>
    <w:rsid w:val="00816B23"/>
    <w:rsid w:val="00816D72"/>
    <w:rsid w:val="00817201"/>
    <w:rsid w:val="008172D8"/>
    <w:rsid w:val="00817359"/>
    <w:rsid w:val="008173F3"/>
    <w:rsid w:val="00817E3B"/>
    <w:rsid w:val="008200DC"/>
    <w:rsid w:val="008200E8"/>
    <w:rsid w:val="00820165"/>
    <w:rsid w:val="00820239"/>
    <w:rsid w:val="008203A3"/>
    <w:rsid w:val="00820425"/>
    <w:rsid w:val="00820631"/>
    <w:rsid w:val="0082071B"/>
    <w:rsid w:val="008208DA"/>
    <w:rsid w:val="008209D8"/>
    <w:rsid w:val="008209DB"/>
    <w:rsid w:val="00820B9B"/>
    <w:rsid w:val="00820C28"/>
    <w:rsid w:val="00820F9A"/>
    <w:rsid w:val="0082108D"/>
    <w:rsid w:val="0082108E"/>
    <w:rsid w:val="00821269"/>
    <w:rsid w:val="008212DF"/>
    <w:rsid w:val="0082163A"/>
    <w:rsid w:val="00821C0F"/>
    <w:rsid w:val="00821C3C"/>
    <w:rsid w:val="00821D3A"/>
    <w:rsid w:val="00821DC0"/>
    <w:rsid w:val="00821FF4"/>
    <w:rsid w:val="00822059"/>
    <w:rsid w:val="00822296"/>
    <w:rsid w:val="008223A9"/>
    <w:rsid w:val="008223D3"/>
    <w:rsid w:val="00822588"/>
    <w:rsid w:val="0082271F"/>
    <w:rsid w:val="008227E2"/>
    <w:rsid w:val="008227F3"/>
    <w:rsid w:val="00822983"/>
    <w:rsid w:val="00822988"/>
    <w:rsid w:val="00822AC5"/>
    <w:rsid w:val="00822B19"/>
    <w:rsid w:val="00822CB6"/>
    <w:rsid w:val="00823172"/>
    <w:rsid w:val="008232EA"/>
    <w:rsid w:val="0082358B"/>
    <w:rsid w:val="008236BE"/>
    <w:rsid w:val="00823798"/>
    <w:rsid w:val="0082393B"/>
    <w:rsid w:val="00823982"/>
    <w:rsid w:val="00823BCE"/>
    <w:rsid w:val="00823C97"/>
    <w:rsid w:val="008241A2"/>
    <w:rsid w:val="008241CA"/>
    <w:rsid w:val="008241F5"/>
    <w:rsid w:val="00824345"/>
    <w:rsid w:val="00824441"/>
    <w:rsid w:val="00824709"/>
    <w:rsid w:val="0082482D"/>
    <w:rsid w:val="008249DC"/>
    <w:rsid w:val="00824A39"/>
    <w:rsid w:val="00824A7A"/>
    <w:rsid w:val="00824EC4"/>
    <w:rsid w:val="0082503C"/>
    <w:rsid w:val="00825064"/>
    <w:rsid w:val="00825574"/>
    <w:rsid w:val="00825751"/>
    <w:rsid w:val="008257DD"/>
    <w:rsid w:val="008257E4"/>
    <w:rsid w:val="00825832"/>
    <w:rsid w:val="00825850"/>
    <w:rsid w:val="00825B2A"/>
    <w:rsid w:val="00825BB2"/>
    <w:rsid w:val="00825BB3"/>
    <w:rsid w:val="00825F66"/>
    <w:rsid w:val="00826190"/>
    <w:rsid w:val="0082638B"/>
    <w:rsid w:val="008264EB"/>
    <w:rsid w:val="008267CB"/>
    <w:rsid w:val="008267F5"/>
    <w:rsid w:val="00826C72"/>
    <w:rsid w:val="00826DE5"/>
    <w:rsid w:val="00826FE3"/>
    <w:rsid w:val="00827107"/>
    <w:rsid w:val="00827B0B"/>
    <w:rsid w:val="00827B3A"/>
    <w:rsid w:val="008304F3"/>
    <w:rsid w:val="008309C3"/>
    <w:rsid w:val="008309E6"/>
    <w:rsid w:val="00830A67"/>
    <w:rsid w:val="00830B99"/>
    <w:rsid w:val="00830BF5"/>
    <w:rsid w:val="00830E84"/>
    <w:rsid w:val="00831441"/>
    <w:rsid w:val="0083167E"/>
    <w:rsid w:val="00831736"/>
    <w:rsid w:val="00831941"/>
    <w:rsid w:val="008319AB"/>
    <w:rsid w:val="0083217F"/>
    <w:rsid w:val="00832334"/>
    <w:rsid w:val="0083240D"/>
    <w:rsid w:val="00832568"/>
    <w:rsid w:val="008326DD"/>
    <w:rsid w:val="00832AA0"/>
    <w:rsid w:val="00832C48"/>
    <w:rsid w:val="00832D0A"/>
    <w:rsid w:val="00832D6E"/>
    <w:rsid w:val="00832D9D"/>
    <w:rsid w:val="00833328"/>
    <w:rsid w:val="00833378"/>
    <w:rsid w:val="00833460"/>
    <w:rsid w:val="008334A1"/>
    <w:rsid w:val="00833531"/>
    <w:rsid w:val="00833625"/>
    <w:rsid w:val="008338CE"/>
    <w:rsid w:val="00833905"/>
    <w:rsid w:val="00833930"/>
    <w:rsid w:val="00833971"/>
    <w:rsid w:val="008339A1"/>
    <w:rsid w:val="00833B05"/>
    <w:rsid w:val="0083403D"/>
    <w:rsid w:val="008340D2"/>
    <w:rsid w:val="0083426C"/>
    <w:rsid w:val="008345FD"/>
    <w:rsid w:val="00834892"/>
    <w:rsid w:val="008349C6"/>
    <w:rsid w:val="00834A91"/>
    <w:rsid w:val="00834D8C"/>
    <w:rsid w:val="008350D5"/>
    <w:rsid w:val="0083532E"/>
    <w:rsid w:val="0083561F"/>
    <w:rsid w:val="00835AD4"/>
    <w:rsid w:val="00835C2C"/>
    <w:rsid w:val="00835DB6"/>
    <w:rsid w:val="00835F17"/>
    <w:rsid w:val="00835F1C"/>
    <w:rsid w:val="0083619F"/>
    <w:rsid w:val="00836217"/>
    <w:rsid w:val="008362B4"/>
    <w:rsid w:val="008367E4"/>
    <w:rsid w:val="008367F6"/>
    <w:rsid w:val="00836CC5"/>
    <w:rsid w:val="00836EE8"/>
    <w:rsid w:val="00836F8C"/>
    <w:rsid w:val="0083714A"/>
    <w:rsid w:val="008371F4"/>
    <w:rsid w:val="008373EA"/>
    <w:rsid w:val="00837408"/>
    <w:rsid w:val="0083753F"/>
    <w:rsid w:val="00837699"/>
    <w:rsid w:val="008379AF"/>
    <w:rsid w:val="00837BEB"/>
    <w:rsid w:val="00837D7F"/>
    <w:rsid w:val="00837D80"/>
    <w:rsid w:val="00837F13"/>
    <w:rsid w:val="0084022A"/>
    <w:rsid w:val="00840272"/>
    <w:rsid w:val="008402FB"/>
    <w:rsid w:val="008407EE"/>
    <w:rsid w:val="0084083D"/>
    <w:rsid w:val="00840996"/>
    <w:rsid w:val="00840CA2"/>
    <w:rsid w:val="00840EF7"/>
    <w:rsid w:val="00840FE2"/>
    <w:rsid w:val="00841154"/>
    <w:rsid w:val="008416D5"/>
    <w:rsid w:val="0084187F"/>
    <w:rsid w:val="008419CF"/>
    <w:rsid w:val="00841CF1"/>
    <w:rsid w:val="00841DC2"/>
    <w:rsid w:val="00841E94"/>
    <w:rsid w:val="00841EEA"/>
    <w:rsid w:val="00841F65"/>
    <w:rsid w:val="00842146"/>
    <w:rsid w:val="0084225B"/>
    <w:rsid w:val="0084237A"/>
    <w:rsid w:val="00842556"/>
    <w:rsid w:val="008426FE"/>
    <w:rsid w:val="008428D2"/>
    <w:rsid w:val="00842AC1"/>
    <w:rsid w:val="00842B66"/>
    <w:rsid w:val="00842EAD"/>
    <w:rsid w:val="008433B6"/>
    <w:rsid w:val="008435F3"/>
    <w:rsid w:val="0084374F"/>
    <w:rsid w:val="00843869"/>
    <w:rsid w:val="008438B4"/>
    <w:rsid w:val="00843A88"/>
    <w:rsid w:val="00843AEA"/>
    <w:rsid w:val="00843D1C"/>
    <w:rsid w:val="0084458E"/>
    <w:rsid w:val="00844729"/>
    <w:rsid w:val="00844947"/>
    <w:rsid w:val="00844C09"/>
    <w:rsid w:val="00845079"/>
    <w:rsid w:val="008452AE"/>
    <w:rsid w:val="008452FA"/>
    <w:rsid w:val="0084546C"/>
    <w:rsid w:val="008457CC"/>
    <w:rsid w:val="0084581D"/>
    <w:rsid w:val="008458CB"/>
    <w:rsid w:val="00845DEF"/>
    <w:rsid w:val="00845E66"/>
    <w:rsid w:val="00846A4A"/>
    <w:rsid w:val="00846B3C"/>
    <w:rsid w:val="00846BFD"/>
    <w:rsid w:val="00846C92"/>
    <w:rsid w:val="00846DAC"/>
    <w:rsid w:val="0084712C"/>
    <w:rsid w:val="008475A7"/>
    <w:rsid w:val="008476B8"/>
    <w:rsid w:val="008476EC"/>
    <w:rsid w:val="00847A78"/>
    <w:rsid w:val="00847BCE"/>
    <w:rsid w:val="00847C2D"/>
    <w:rsid w:val="00847D52"/>
    <w:rsid w:val="00847DF5"/>
    <w:rsid w:val="008507D8"/>
    <w:rsid w:val="00850981"/>
    <w:rsid w:val="00850AB9"/>
    <w:rsid w:val="00850AE0"/>
    <w:rsid w:val="00850B55"/>
    <w:rsid w:val="0085119B"/>
    <w:rsid w:val="008518C0"/>
    <w:rsid w:val="00851A6F"/>
    <w:rsid w:val="00851F41"/>
    <w:rsid w:val="00852163"/>
    <w:rsid w:val="00852281"/>
    <w:rsid w:val="00852324"/>
    <w:rsid w:val="00852438"/>
    <w:rsid w:val="0085264E"/>
    <w:rsid w:val="0085280D"/>
    <w:rsid w:val="008528CC"/>
    <w:rsid w:val="00852AAE"/>
    <w:rsid w:val="00852DDD"/>
    <w:rsid w:val="00853043"/>
    <w:rsid w:val="00853099"/>
    <w:rsid w:val="0085309D"/>
    <w:rsid w:val="008530EF"/>
    <w:rsid w:val="00853253"/>
    <w:rsid w:val="0085334A"/>
    <w:rsid w:val="0085339C"/>
    <w:rsid w:val="0085347C"/>
    <w:rsid w:val="00853493"/>
    <w:rsid w:val="008537B7"/>
    <w:rsid w:val="008539D5"/>
    <w:rsid w:val="00853B7B"/>
    <w:rsid w:val="00853B8C"/>
    <w:rsid w:val="00853B99"/>
    <w:rsid w:val="00853DFC"/>
    <w:rsid w:val="0085403D"/>
    <w:rsid w:val="00854544"/>
    <w:rsid w:val="00854637"/>
    <w:rsid w:val="0085478A"/>
    <w:rsid w:val="00854838"/>
    <w:rsid w:val="00854C3A"/>
    <w:rsid w:val="00854E56"/>
    <w:rsid w:val="00855006"/>
    <w:rsid w:val="008550EC"/>
    <w:rsid w:val="008551FD"/>
    <w:rsid w:val="008552B3"/>
    <w:rsid w:val="008558C8"/>
    <w:rsid w:val="00855AAF"/>
    <w:rsid w:val="00855B29"/>
    <w:rsid w:val="00855FCC"/>
    <w:rsid w:val="008560C1"/>
    <w:rsid w:val="00856137"/>
    <w:rsid w:val="00856186"/>
    <w:rsid w:val="008563D5"/>
    <w:rsid w:val="0085671C"/>
    <w:rsid w:val="00856897"/>
    <w:rsid w:val="00856912"/>
    <w:rsid w:val="00856B32"/>
    <w:rsid w:val="00856BA4"/>
    <w:rsid w:val="00856E1E"/>
    <w:rsid w:val="00856E93"/>
    <w:rsid w:val="00856E9A"/>
    <w:rsid w:val="00856F8A"/>
    <w:rsid w:val="00857022"/>
    <w:rsid w:val="0085703D"/>
    <w:rsid w:val="00857767"/>
    <w:rsid w:val="00857C10"/>
    <w:rsid w:val="00857EC4"/>
    <w:rsid w:val="008600E1"/>
    <w:rsid w:val="0086024E"/>
    <w:rsid w:val="00860376"/>
    <w:rsid w:val="008603A7"/>
    <w:rsid w:val="008604C9"/>
    <w:rsid w:val="0086075D"/>
    <w:rsid w:val="008607EC"/>
    <w:rsid w:val="00860A47"/>
    <w:rsid w:val="00860BC6"/>
    <w:rsid w:val="00860BD7"/>
    <w:rsid w:val="00860CF3"/>
    <w:rsid w:val="00860D11"/>
    <w:rsid w:val="00860D9F"/>
    <w:rsid w:val="00860F34"/>
    <w:rsid w:val="00860F89"/>
    <w:rsid w:val="00861015"/>
    <w:rsid w:val="00861109"/>
    <w:rsid w:val="0086141C"/>
    <w:rsid w:val="008615D1"/>
    <w:rsid w:val="008616D0"/>
    <w:rsid w:val="00861704"/>
    <w:rsid w:val="00861ABD"/>
    <w:rsid w:val="00861E1B"/>
    <w:rsid w:val="00861F0F"/>
    <w:rsid w:val="00861FCF"/>
    <w:rsid w:val="00862502"/>
    <w:rsid w:val="008625FE"/>
    <w:rsid w:val="008626C9"/>
    <w:rsid w:val="008626E8"/>
    <w:rsid w:val="008628A1"/>
    <w:rsid w:val="008629C8"/>
    <w:rsid w:val="00862E0F"/>
    <w:rsid w:val="008630E4"/>
    <w:rsid w:val="00863406"/>
    <w:rsid w:val="0086362D"/>
    <w:rsid w:val="008637BA"/>
    <w:rsid w:val="008637FF"/>
    <w:rsid w:val="008639CD"/>
    <w:rsid w:val="00863BDA"/>
    <w:rsid w:val="00863DCB"/>
    <w:rsid w:val="00863F46"/>
    <w:rsid w:val="00863FE5"/>
    <w:rsid w:val="00864366"/>
    <w:rsid w:val="0086441C"/>
    <w:rsid w:val="008645DD"/>
    <w:rsid w:val="0086465E"/>
    <w:rsid w:val="0086482F"/>
    <w:rsid w:val="00864B0B"/>
    <w:rsid w:val="00864BED"/>
    <w:rsid w:val="00865145"/>
    <w:rsid w:val="00865523"/>
    <w:rsid w:val="00865882"/>
    <w:rsid w:val="008660D4"/>
    <w:rsid w:val="00866137"/>
    <w:rsid w:val="0086635B"/>
    <w:rsid w:val="00866557"/>
    <w:rsid w:val="008665C2"/>
    <w:rsid w:val="008666C9"/>
    <w:rsid w:val="00866732"/>
    <w:rsid w:val="00866832"/>
    <w:rsid w:val="00866A2E"/>
    <w:rsid w:val="00866E17"/>
    <w:rsid w:val="008670C3"/>
    <w:rsid w:val="00867338"/>
    <w:rsid w:val="008679E8"/>
    <w:rsid w:val="00867C42"/>
    <w:rsid w:val="008703A8"/>
    <w:rsid w:val="008704F2"/>
    <w:rsid w:val="008708FE"/>
    <w:rsid w:val="0087091A"/>
    <w:rsid w:val="0087092F"/>
    <w:rsid w:val="0087093D"/>
    <w:rsid w:val="00870959"/>
    <w:rsid w:val="00870993"/>
    <w:rsid w:val="00870C4D"/>
    <w:rsid w:val="00870DA4"/>
    <w:rsid w:val="00870E31"/>
    <w:rsid w:val="00870E88"/>
    <w:rsid w:val="00871202"/>
    <w:rsid w:val="00871208"/>
    <w:rsid w:val="0087126B"/>
    <w:rsid w:val="00871348"/>
    <w:rsid w:val="008713C9"/>
    <w:rsid w:val="0087154B"/>
    <w:rsid w:val="00871849"/>
    <w:rsid w:val="00871A3E"/>
    <w:rsid w:val="00871AEF"/>
    <w:rsid w:val="00871D7A"/>
    <w:rsid w:val="00871FA9"/>
    <w:rsid w:val="008728E9"/>
    <w:rsid w:val="00872FCB"/>
    <w:rsid w:val="00873066"/>
    <w:rsid w:val="00873321"/>
    <w:rsid w:val="008733E1"/>
    <w:rsid w:val="0087351A"/>
    <w:rsid w:val="008735E3"/>
    <w:rsid w:val="0087383B"/>
    <w:rsid w:val="00873AA2"/>
    <w:rsid w:val="00873D9B"/>
    <w:rsid w:val="00873FF7"/>
    <w:rsid w:val="008742C8"/>
    <w:rsid w:val="008742F0"/>
    <w:rsid w:val="0087456B"/>
    <w:rsid w:val="008745C8"/>
    <w:rsid w:val="00874611"/>
    <w:rsid w:val="00874713"/>
    <w:rsid w:val="00874920"/>
    <w:rsid w:val="00874AB0"/>
    <w:rsid w:val="00874AE4"/>
    <w:rsid w:val="00874B54"/>
    <w:rsid w:val="00874ED5"/>
    <w:rsid w:val="0087516A"/>
    <w:rsid w:val="00875184"/>
    <w:rsid w:val="008752AA"/>
    <w:rsid w:val="0087559B"/>
    <w:rsid w:val="008755FC"/>
    <w:rsid w:val="00875A75"/>
    <w:rsid w:val="00875DE0"/>
    <w:rsid w:val="008762B7"/>
    <w:rsid w:val="0087673F"/>
    <w:rsid w:val="00876821"/>
    <w:rsid w:val="008768B2"/>
    <w:rsid w:val="00876A1D"/>
    <w:rsid w:val="00876A28"/>
    <w:rsid w:val="00876A66"/>
    <w:rsid w:val="00876DB5"/>
    <w:rsid w:val="00876EA0"/>
    <w:rsid w:val="00876F62"/>
    <w:rsid w:val="008771DB"/>
    <w:rsid w:val="0087730E"/>
    <w:rsid w:val="0087749D"/>
    <w:rsid w:val="00877559"/>
    <w:rsid w:val="0087755D"/>
    <w:rsid w:val="008776E1"/>
    <w:rsid w:val="008777DD"/>
    <w:rsid w:val="008778D8"/>
    <w:rsid w:val="00877B26"/>
    <w:rsid w:val="00877DF4"/>
    <w:rsid w:val="00877E0D"/>
    <w:rsid w:val="00877ECE"/>
    <w:rsid w:val="00877FA5"/>
    <w:rsid w:val="008807B7"/>
    <w:rsid w:val="00880842"/>
    <w:rsid w:val="00880958"/>
    <w:rsid w:val="00880AB3"/>
    <w:rsid w:val="008810A7"/>
    <w:rsid w:val="00881139"/>
    <w:rsid w:val="00881372"/>
    <w:rsid w:val="0088177C"/>
    <w:rsid w:val="00881B4A"/>
    <w:rsid w:val="00881C5B"/>
    <w:rsid w:val="00881D26"/>
    <w:rsid w:val="00881D2C"/>
    <w:rsid w:val="00881EAC"/>
    <w:rsid w:val="00881EF1"/>
    <w:rsid w:val="008824ED"/>
    <w:rsid w:val="008826D3"/>
    <w:rsid w:val="00882874"/>
    <w:rsid w:val="00882CB2"/>
    <w:rsid w:val="0088345B"/>
    <w:rsid w:val="008835CF"/>
    <w:rsid w:val="00883787"/>
    <w:rsid w:val="00883848"/>
    <w:rsid w:val="00883881"/>
    <w:rsid w:val="00883BCF"/>
    <w:rsid w:val="00883CA1"/>
    <w:rsid w:val="00883FAA"/>
    <w:rsid w:val="00883FF3"/>
    <w:rsid w:val="008847DE"/>
    <w:rsid w:val="0088488A"/>
    <w:rsid w:val="00884BCB"/>
    <w:rsid w:val="00884C1A"/>
    <w:rsid w:val="00884DF2"/>
    <w:rsid w:val="00884ED6"/>
    <w:rsid w:val="00884F74"/>
    <w:rsid w:val="00885261"/>
    <w:rsid w:val="008852A7"/>
    <w:rsid w:val="008852C5"/>
    <w:rsid w:val="00885436"/>
    <w:rsid w:val="00885579"/>
    <w:rsid w:val="00885651"/>
    <w:rsid w:val="008860C3"/>
    <w:rsid w:val="008863C1"/>
    <w:rsid w:val="008864BC"/>
    <w:rsid w:val="0088697A"/>
    <w:rsid w:val="00886CD2"/>
    <w:rsid w:val="00886E11"/>
    <w:rsid w:val="00886E16"/>
    <w:rsid w:val="00886E3E"/>
    <w:rsid w:val="00887276"/>
    <w:rsid w:val="008878D5"/>
    <w:rsid w:val="00887970"/>
    <w:rsid w:val="00887D64"/>
    <w:rsid w:val="008900CB"/>
    <w:rsid w:val="008901F1"/>
    <w:rsid w:val="0089038B"/>
    <w:rsid w:val="008903D5"/>
    <w:rsid w:val="008906BE"/>
    <w:rsid w:val="00890788"/>
    <w:rsid w:val="00890A2C"/>
    <w:rsid w:val="00890A78"/>
    <w:rsid w:val="00890AAB"/>
    <w:rsid w:val="00890C1B"/>
    <w:rsid w:val="00890C37"/>
    <w:rsid w:val="00890CEE"/>
    <w:rsid w:val="00890D9C"/>
    <w:rsid w:val="00890F5F"/>
    <w:rsid w:val="00891011"/>
    <w:rsid w:val="0089128C"/>
    <w:rsid w:val="00891311"/>
    <w:rsid w:val="00891781"/>
    <w:rsid w:val="00891854"/>
    <w:rsid w:val="00891CAC"/>
    <w:rsid w:val="00891FD3"/>
    <w:rsid w:val="00891FFF"/>
    <w:rsid w:val="00892803"/>
    <w:rsid w:val="008928B2"/>
    <w:rsid w:val="00892A36"/>
    <w:rsid w:val="00892BAA"/>
    <w:rsid w:val="00892C8F"/>
    <w:rsid w:val="00892DA2"/>
    <w:rsid w:val="00893239"/>
    <w:rsid w:val="00893654"/>
    <w:rsid w:val="0089378C"/>
    <w:rsid w:val="008939A3"/>
    <w:rsid w:val="00893C19"/>
    <w:rsid w:val="00893C3F"/>
    <w:rsid w:val="00893D28"/>
    <w:rsid w:val="00893DD4"/>
    <w:rsid w:val="00893E03"/>
    <w:rsid w:val="00893E66"/>
    <w:rsid w:val="00894366"/>
    <w:rsid w:val="00894489"/>
    <w:rsid w:val="00894615"/>
    <w:rsid w:val="008946C2"/>
    <w:rsid w:val="00894706"/>
    <w:rsid w:val="0089472C"/>
    <w:rsid w:val="00894A12"/>
    <w:rsid w:val="00894C02"/>
    <w:rsid w:val="00894EBB"/>
    <w:rsid w:val="00894F02"/>
    <w:rsid w:val="00894FCD"/>
    <w:rsid w:val="00895016"/>
    <w:rsid w:val="00895170"/>
    <w:rsid w:val="0089525D"/>
    <w:rsid w:val="00895514"/>
    <w:rsid w:val="0089555F"/>
    <w:rsid w:val="00895EAA"/>
    <w:rsid w:val="00896105"/>
    <w:rsid w:val="008961B8"/>
    <w:rsid w:val="00896224"/>
    <w:rsid w:val="008963A5"/>
    <w:rsid w:val="00896704"/>
    <w:rsid w:val="00896786"/>
    <w:rsid w:val="00896BB7"/>
    <w:rsid w:val="00896D1A"/>
    <w:rsid w:val="00896EE7"/>
    <w:rsid w:val="00896F8E"/>
    <w:rsid w:val="0089712E"/>
    <w:rsid w:val="0089730B"/>
    <w:rsid w:val="00897509"/>
    <w:rsid w:val="008977F6"/>
    <w:rsid w:val="00897A56"/>
    <w:rsid w:val="00897BC2"/>
    <w:rsid w:val="00897F5E"/>
    <w:rsid w:val="008A0126"/>
    <w:rsid w:val="008A03C2"/>
    <w:rsid w:val="008A04F4"/>
    <w:rsid w:val="008A0547"/>
    <w:rsid w:val="008A0686"/>
    <w:rsid w:val="008A069A"/>
    <w:rsid w:val="008A06E1"/>
    <w:rsid w:val="008A082E"/>
    <w:rsid w:val="008A0860"/>
    <w:rsid w:val="008A08FB"/>
    <w:rsid w:val="008A0957"/>
    <w:rsid w:val="008A0995"/>
    <w:rsid w:val="008A0A31"/>
    <w:rsid w:val="008A0A71"/>
    <w:rsid w:val="008A0B03"/>
    <w:rsid w:val="008A0BE0"/>
    <w:rsid w:val="008A1082"/>
    <w:rsid w:val="008A11F7"/>
    <w:rsid w:val="008A1383"/>
    <w:rsid w:val="008A148D"/>
    <w:rsid w:val="008A19AE"/>
    <w:rsid w:val="008A19FE"/>
    <w:rsid w:val="008A2081"/>
    <w:rsid w:val="008A24A9"/>
    <w:rsid w:val="008A29FD"/>
    <w:rsid w:val="008A2CF8"/>
    <w:rsid w:val="008A2DF7"/>
    <w:rsid w:val="008A329C"/>
    <w:rsid w:val="008A335E"/>
    <w:rsid w:val="008A3363"/>
    <w:rsid w:val="008A3371"/>
    <w:rsid w:val="008A3377"/>
    <w:rsid w:val="008A3471"/>
    <w:rsid w:val="008A3508"/>
    <w:rsid w:val="008A3754"/>
    <w:rsid w:val="008A386F"/>
    <w:rsid w:val="008A3C3E"/>
    <w:rsid w:val="008A3F85"/>
    <w:rsid w:val="008A4014"/>
    <w:rsid w:val="008A40A4"/>
    <w:rsid w:val="008A40B9"/>
    <w:rsid w:val="008A4209"/>
    <w:rsid w:val="008A4420"/>
    <w:rsid w:val="008A4782"/>
    <w:rsid w:val="008A479D"/>
    <w:rsid w:val="008A47CC"/>
    <w:rsid w:val="008A4A9C"/>
    <w:rsid w:val="008A4BAA"/>
    <w:rsid w:val="008A4BEA"/>
    <w:rsid w:val="008A4D75"/>
    <w:rsid w:val="008A4E5D"/>
    <w:rsid w:val="008A4E86"/>
    <w:rsid w:val="008A4FBB"/>
    <w:rsid w:val="008A5126"/>
    <w:rsid w:val="008A51A1"/>
    <w:rsid w:val="008A51CD"/>
    <w:rsid w:val="008A530D"/>
    <w:rsid w:val="008A55E6"/>
    <w:rsid w:val="008A5772"/>
    <w:rsid w:val="008A58EA"/>
    <w:rsid w:val="008A5D38"/>
    <w:rsid w:val="008A5E7C"/>
    <w:rsid w:val="008A6044"/>
    <w:rsid w:val="008A6516"/>
    <w:rsid w:val="008A6796"/>
    <w:rsid w:val="008A69B2"/>
    <w:rsid w:val="008A6CFB"/>
    <w:rsid w:val="008A79DE"/>
    <w:rsid w:val="008A7A82"/>
    <w:rsid w:val="008A7B04"/>
    <w:rsid w:val="008A7B52"/>
    <w:rsid w:val="008A7D2A"/>
    <w:rsid w:val="008A7EEE"/>
    <w:rsid w:val="008B00D7"/>
    <w:rsid w:val="008B01D5"/>
    <w:rsid w:val="008B033C"/>
    <w:rsid w:val="008B0469"/>
    <w:rsid w:val="008B0730"/>
    <w:rsid w:val="008B0E4B"/>
    <w:rsid w:val="008B0FC9"/>
    <w:rsid w:val="008B105C"/>
    <w:rsid w:val="008B1155"/>
    <w:rsid w:val="008B1757"/>
    <w:rsid w:val="008B1951"/>
    <w:rsid w:val="008B1AE2"/>
    <w:rsid w:val="008B211C"/>
    <w:rsid w:val="008B2326"/>
    <w:rsid w:val="008B2C1C"/>
    <w:rsid w:val="008B2C3A"/>
    <w:rsid w:val="008B2EEF"/>
    <w:rsid w:val="008B3318"/>
    <w:rsid w:val="008B34DD"/>
    <w:rsid w:val="008B3704"/>
    <w:rsid w:val="008B3C75"/>
    <w:rsid w:val="008B3D09"/>
    <w:rsid w:val="008B3FD3"/>
    <w:rsid w:val="008B407D"/>
    <w:rsid w:val="008B43B6"/>
    <w:rsid w:val="008B44B2"/>
    <w:rsid w:val="008B4614"/>
    <w:rsid w:val="008B4891"/>
    <w:rsid w:val="008B48A9"/>
    <w:rsid w:val="008B4A5D"/>
    <w:rsid w:val="008B4B31"/>
    <w:rsid w:val="008B4B4C"/>
    <w:rsid w:val="008B4BE4"/>
    <w:rsid w:val="008B4CBA"/>
    <w:rsid w:val="008B4CD8"/>
    <w:rsid w:val="008B4D25"/>
    <w:rsid w:val="008B4E5E"/>
    <w:rsid w:val="008B4F81"/>
    <w:rsid w:val="008B50D0"/>
    <w:rsid w:val="008B52C0"/>
    <w:rsid w:val="008B5498"/>
    <w:rsid w:val="008B558E"/>
    <w:rsid w:val="008B55AD"/>
    <w:rsid w:val="008B5A2F"/>
    <w:rsid w:val="008B5C36"/>
    <w:rsid w:val="008B5E09"/>
    <w:rsid w:val="008B5F08"/>
    <w:rsid w:val="008B5FC0"/>
    <w:rsid w:val="008B5FC2"/>
    <w:rsid w:val="008B60E6"/>
    <w:rsid w:val="008B61C0"/>
    <w:rsid w:val="008B6465"/>
    <w:rsid w:val="008B6849"/>
    <w:rsid w:val="008B6A4C"/>
    <w:rsid w:val="008B6BD8"/>
    <w:rsid w:val="008B6D13"/>
    <w:rsid w:val="008B74D0"/>
    <w:rsid w:val="008B76BA"/>
    <w:rsid w:val="008B771C"/>
    <w:rsid w:val="008B77F7"/>
    <w:rsid w:val="008B78F8"/>
    <w:rsid w:val="008B79A8"/>
    <w:rsid w:val="008B7D7E"/>
    <w:rsid w:val="008B7E68"/>
    <w:rsid w:val="008C036A"/>
    <w:rsid w:val="008C063D"/>
    <w:rsid w:val="008C0890"/>
    <w:rsid w:val="008C0C2F"/>
    <w:rsid w:val="008C1110"/>
    <w:rsid w:val="008C11A6"/>
    <w:rsid w:val="008C11E8"/>
    <w:rsid w:val="008C123D"/>
    <w:rsid w:val="008C1398"/>
    <w:rsid w:val="008C1567"/>
    <w:rsid w:val="008C1764"/>
    <w:rsid w:val="008C1B7E"/>
    <w:rsid w:val="008C22AB"/>
    <w:rsid w:val="008C22B0"/>
    <w:rsid w:val="008C24C4"/>
    <w:rsid w:val="008C2611"/>
    <w:rsid w:val="008C26F0"/>
    <w:rsid w:val="008C2AFB"/>
    <w:rsid w:val="008C2DBA"/>
    <w:rsid w:val="008C31FD"/>
    <w:rsid w:val="008C34DD"/>
    <w:rsid w:val="008C3873"/>
    <w:rsid w:val="008C3A70"/>
    <w:rsid w:val="008C3BE3"/>
    <w:rsid w:val="008C3E9E"/>
    <w:rsid w:val="008C3EC2"/>
    <w:rsid w:val="008C3EEF"/>
    <w:rsid w:val="008C3FE1"/>
    <w:rsid w:val="008C460F"/>
    <w:rsid w:val="008C4657"/>
    <w:rsid w:val="008C46B7"/>
    <w:rsid w:val="008C47E3"/>
    <w:rsid w:val="008C497A"/>
    <w:rsid w:val="008C49E7"/>
    <w:rsid w:val="008C4F11"/>
    <w:rsid w:val="008C51B5"/>
    <w:rsid w:val="008C531F"/>
    <w:rsid w:val="008C53C7"/>
    <w:rsid w:val="008C58C6"/>
    <w:rsid w:val="008C5AA2"/>
    <w:rsid w:val="008C5B8C"/>
    <w:rsid w:val="008C5C31"/>
    <w:rsid w:val="008C5CCE"/>
    <w:rsid w:val="008C5DB6"/>
    <w:rsid w:val="008C61CF"/>
    <w:rsid w:val="008C6624"/>
    <w:rsid w:val="008C66B2"/>
    <w:rsid w:val="008C6904"/>
    <w:rsid w:val="008C6B45"/>
    <w:rsid w:val="008C6C84"/>
    <w:rsid w:val="008C6CB3"/>
    <w:rsid w:val="008C6FB3"/>
    <w:rsid w:val="008C71E9"/>
    <w:rsid w:val="008C727A"/>
    <w:rsid w:val="008C79BC"/>
    <w:rsid w:val="008C7C2F"/>
    <w:rsid w:val="008C7D97"/>
    <w:rsid w:val="008C7E57"/>
    <w:rsid w:val="008C7EA1"/>
    <w:rsid w:val="008C7ECB"/>
    <w:rsid w:val="008C7FC2"/>
    <w:rsid w:val="008D0020"/>
    <w:rsid w:val="008D0209"/>
    <w:rsid w:val="008D0A36"/>
    <w:rsid w:val="008D0BCA"/>
    <w:rsid w:val="008D0DC1"/>
    <w:rsid w:val="008D0F9C"/>
    <w:rsid w:val="008D1804"/>
    <w:rsid w:val="008D1A0B"/>
    <w:rsid w:val="008D206A"/>
    <w:rsid w:val="008D2089"/>
    <w:rsid w:val="008D20E6"/>
    <w:rsid w:val="008D2148"/>
    <w:rsid w:val="008D21F5"/>
    <w:rsid w:val="008D22FC"/>
    <w:rsid w:val="008D2359"/>
    <w:rsid w:val="008D29AA"/>
    <w:rsid w:val="008D2D6E"/>
    <w:rsid w:val="008D2EEB"/>
    <w:rsid w:val="008D2F42"/>
    <w:rsid w:val="008D2F86"/>
    <w:rsid w:val="008D2FCC"/>
    <w:rsid w:val="008D3384"/>
    <w:rsid w:val="008D35B7"/>
    <w:rsid w:val="008D3882"/>
    <w:rsid w:val="008D3B41"/>
    <w:rsid w:val="008D3DEB"/>
    <w:rsid w:val="008D404C"/>
    <w:rsid w:val="008D41F1"/>
    <w:rsid w:val="008D432F"/>
    <w:rsid w:val="008D438F"/>
    <w:rsid w:val="008D4624"/>
    <w:rsid w:val="008D4755"/>
    <w:rsid w:val="008D48B9"/>
    <w:rsid w:val="008D4C3D"/>
    <w:rsid w:val="008D4CFE"/>
    <w:rsid w:val="008D50EE"/>
    <w:rsid w:val="008D54A3"/>
    <w:rsid w:val="008D5634"/>
    <w:rsid w:val="008D5A7D"/>
    <w:rsid w:val="008D5B95"/>
    <w:rsid w:val="008D5D75"/>
    <w:rsid w:val="008D600B"/>
    <w:rsid w:val="008D6084"/>
    <w:rsid w:val="008D608C"/>
    <w:rsid w:val="008D60BD"/>
    <w:rsid w:val="008D623D"/>
    <w:rsid w:val="008D648B"/>
    <w:rsid w:val="008D6684"/>
    <w:rsid w:val="008D6A3F"/>
    <w:rsid w:val="008D6BE2"/>
    <w:rsid w:val="008D6D14"/>
    <w:rsid w:val="008D6D5E"/>
    <w:rsid w:val="008D6EF3"/>
    <w:rsid w:val="008D7422"/>
    <w:rsid w:val="008D74DC"/>
    <w:rsid w:val="008D762B"/>
    <w:rsid w:val="008D76BF"/>
    <w:rsid w:val="008D7807"/>
    <w:rsid w:val="008D7832"/>
    <w:rsid w:val="008D7971"/>
    <w:rsid w:val="008D7A1F"/>
    <w:rsid w:val="008D7AC1"/>
    <w:rsid w:val="008D7BDE"/>
    <w:rsid w:val="008D7E05"/>
    <w:rsid w:val="008D7EC3"/>
    <w:rsid w:val="008E0023"/>
    <w:rsid w:val="008E087D"/>
    <w:rsid w:val="008E0A5C"/>
    <w:rsid w:val="008E0B54"/>
    <w:rsid w:val="008E0D3C"/>
    <w:rsid w:val="008E0F21"/>
    <w:rsid w:val="008E14ED"/>
    <w:rsid w:val="008E1925"/>
    <w:rsid w:val="008E1B9E"/>
    <w:rsid w:val="008E1FFF"/>
    <w:rsid w:val="008E20D3"/>
    <w:rsid w:val="008E218D"/>
    <w:rsid w:val="008E238B"/>
    <w:rsid w:val="008E2616"/>
    <w:rsid w:val="008E27A2"/>
    <w:rsid w:val="008E2B3B"/>
    <w:rsid w:val="008E2DEB"/>
    <w:rsid w:val="008E2E0C"/>
    <w:rsid w:val="008E3124"/>
    <w:rsid w:val="008E32B8"/>
    <w:rsid w:val="008E337F"/>
    <w:rsid w:val="008E340C"/>
    <w:rsid w:val="008E379C"/>
    <w:rsid w:val="008E38BA"/>
    <w:rsid w:val="008E3B8B"/>
    <w:rsid w:val="008E3C8B"/>
    <w:rsid w:val="008E3DCA"/>
    <w:rsid w:val="008E3EF8"/>
    <w:rsid w:val="008E3EFD"/>
    <w:rsid w:val="008E423F"/>
    <w:rsid w:val="008E446C"/>
    <w:rsid w:val="008E463C"/>
    <w:rsid w:val="008E4862"/>
    <w:rsid w:val="008E48C8"/>
    <w:rsid w:val="008E48EE"/>
    <w:rsid w:val="008E4A07"/>
    <w:rsid w:val="008E4AF7"/>
    <w:rsid w:val="008E4AFD"/>
    <w:rsid w:val="008E4D72"/>
    <w:rsid w:val="008E4E8C"/>
    <w:rsid w:val="008E4FA2"/>
    <w:rsid w:val="008E502B"/>
    <w:rsid w:val="008E5453"/>
    <w:rsid w:val="008E548F"/>
    <w:rsid w:val="008E54E6"/>
    <w:rsid w:val="008E55AB"/>
    <w:rsid w:val="008E56D9"/>
    <w:rsid w:val="008E56F2"/>
    <w:rsid w:val="008E595F"/>
    <w:rsid w:val="008E599A"/>
    <w:rsid w:val="008E59B5"/>
    <w:rsid w:val="008E5AF9"/>
    <w:rsid w:val="008E5C54"/>
    <w:rsid w:val="008E6375"/>
    <w:rsid w:val="008E65D2"/>
    <w:rsid w:val="008E663D"/>
    <w:rsid w:val="008E6994"/>
    <w:rsid w:val="008E6D57"/>
    <w:rsid w:val="008E6F9B"/>
    <w:rsid w:val="008E71C3"/>
    <w:rsid w:val="008E7285"/>
    <w:rsid w:val="008E743F"/>
    <w:rsid w:val="008E7676"/>
    <w:rsid w:val="008E7841"/>
    <w:rsid w:val="008E7910"/>
    <w:rsid w:val="008E7FC8"/>
    <w:rsid w:val="008F0104"/>
    <w:rsid w:val="008F036F"/>
    <w:rsid w:val="008F0399"/>
    <w:rsid w:val="008F04E4"/>
    <w:rsid w:val="008F052F"/>
    <w:rsid w:val="008F0562"/>
    <w:rsid w:val="008F07CF"/>
    <w:rsid w:val="008F0841"/>
    <w:rsid w:val="008F0B2E"/>
    <w:rsid w:val="008F0CA1"/>
    <w:rsid w:val="008F11B8"/>
    <w:rsid w:val="008F120A"/>
    <w:rsid w:val="008F13E7"/>
    <w:rsid w:val="008F1542"/>
    <w:rsid w:val="008F1DF8"/>
    <w:rsid w:val="008F1E62"/>
    <w:rsid w:val="008F1F7D"/>
    <w:rsid w:val="008F22F7"/>
    <w:rsid w:val="008F2326"/>
    <w:rsid w:val="008F266D"/>
    <w:rsid w:val="008F2791"/>
    <w:rsid w:val="008F27CD"/>
    <w:rsid w:val="008F27E0"/>
    <w:rsid w:val="008F2AB3"/>
    <w:rsid w:val="008F2AB5"/>
    <w:rsid w:val="008F2CD8"/>
    <w:rsid w:val="008F2E8B"/>
    <w:rsid w:val="008F31DB"/>
    <w:rsid w:val="008F37F6"/>
    <w:rsid w:val="008F39D0"/>
    <w:rsid w:val="008F4139"/>
    <w:rsid w:val="008F418C"/>
    <w:rsid w:val="008F439F"/>
    <w:rsid w:val="008F43F2"/>
    <w:rsid w:val="008F4444"/>
    <w:rsid w:val="008F44EF"/>
    <w:rsid w:val="008F450C"/>
    <w:rsid w:val="008F48EB"/>
    <w:rsid w:val="008F49C8"/>
    <w:rsid w:val="008F4A12"/>
    <w:rsid w:val="008F4AFB"/>
    <w:rsid w:val="008F4B27"/>
    <w:rsid w:val="008F4C41"/>
    <w:rsid w:val="008F4C60"/>
    <w:rsid w:val="008F4E39"/>
    <w:rsid w:val="008F4F0B"/>
    <w:rsid w:val="008F4F57"/>
    <w:rsid w:val="008F5201"/>
    <w:rsid w:val="008F533C"/>
    <w:rsid w:val="008F5635"/>
    <w:rsid w:val="008F56E0"/>
    <w:rsid w:val="008F580D"/>
    <w:rsid w:val="008F5D9E"/>
    <w:rsid w:val="008F63B2"/>
    <w:rsid w:val="008F63B4"/>
    <w:rsid w:val="008F64B5"/>
    <w:rsid w:val="008F6822"/>
    <w:rsid w:val="008F6AD9"/>
    <w:rsid w:val="008F6F2F"/>
    <w:rsid w:val="008F71B2"/>
    <w:rsid w:val="008F76AA"/>
    <w:rsid w:val="008F7867"/>
    <w:rsid w:val="008F7B51"/>
    <w:rsid w:val="008F7B9F"/>
    <w:rsid w:val="008F7BB1"/>
    <w:rsid w:val="008F7E2F"/>
    <w:rsid w:val="008F7F48"/>
    <w:rsid w:val="008F7FCB"/>
    <w:rsid w:val="0090027F"/>
    <w:rsid w:val="00900407"/>
    <w:rsid w:val="00900598"/>
    <w:rsid w:val="0090078F"/>
    <w:rsid w:val="00900B82"/>
    <w:rsid w:val="00901113"/>
    <w:rsid w:val="009013AD"/>
    <w:rsid w:val="009015E0"/>
    <w:rsid w:val="00901666"/>
    <w:rsid w:val="00901875"/>
    <w:rsid w:val="00901D24"/>
    <w:rsid w:val="00901E88"/>
    <w:rsid w:val="00902070"/>
    <w:rsid w:val="009028B0"/>
    <w:rsid w:val="00902AAB"/>
    <w:rsid w:val="00902BD4"/>
    <w:rsid w:val="00902D08"/>
    <w:rsid w:val="00902DBF"/>
    <w:rsid w:val="00902DCD"/>
    <w:rsid w:val="009033FD"/>
    <w:rsid w:val="00903458"/>
    <w:rsid w:val="009037C7"/>
    <w:rsid w:val="009039B1"/>
    <w:rsid w:val="00903CDF"/>
    <w:rsid w:val="00903E55"/>
    <w:rsid w:val="009040B0"/>
    <w:rsid w:val="00904466"/>
    <w:rsid w:val="009046C4"/>
    <w:rsid w:val="00904826"/>
    <w:rsid w:val="00904827"/>
    <w:rsid w:val="009051DC"/>
    <w:rsid w:val="00905220"/>
    <w:rsid w:val="00905403"/>
    <w:rsid w:val="00905543"/>
    <w:rsid w:val="009055D9"/>
    <w:rsid w:val="0090591F"/>
    <w:rsid w:val="00905963"/>
    <w:rsid w:val="00905F5D"/>
    <w:rsid w:val="00905FE0"/>
    <w:rsid w:val="00906002"/>
    <w:rsid w:val="009062A5"/>
    <w:rsid w:val="00906444"/>
    <w:rsid w:val="00906459"/>
    <w:rsid w:val="009064DF"/>
    <w:rsid w:val="009065C8"/>
    <w:rsid w:val="009065F9"/>
    <w:rsid w:val="0090672A"/>
    <w:rsid w:val="00906F83"/>
    <w:rsid w:val="00907193"/>
    <w:rsid w:val="0090719C"/>
    <w:rsid w:val="009071F9"/>
    <w:rsid w:val="00907277"/>
    <w:rsid w:val="0090752A"/>
    <w:rsid w:val="009077A5"/>
    <w:rsid w:val="009077B9"/>
    <w:rsid w:val="009077D7"/>
    <w:rsid w:val="00907A6B"/>
    <w:rsid w:val="00907F22"/>
    <w:rsid w:val="00907F5B"/>
    <w:rsid w:val="00910153"/>
    <w:rsid w:val="00910193"/>
    <w:rsid w:val="00910495"/>
    <w:rsid w:val="00910500"/>
    <w:rsid w:val="009105FC"/>
    <w:rsid w:val="00910718"/>
    <w:rsid w:val="00910C76"/>
    <w:rsid w:val="00910CB5"/>
    <w:rsid w:val="00910EC7"/>
    <w:rsid w:val="00910F1A"/>
    <w:rsid w:val="00911272"/>
    <w:rsid w:val="00911427"/>
    <w:rsid w:val="00911581"/>
    <w:rsid w:val="00911CA1"/>
    <w:rsid w:val="009123B6"/>
    <w:rsid w:val="009123DD"/>
    <w:rsid w:val="0091246A"/>
    <w:rsid w:val="00912693"/>
    <w:rsid w:val="00912786"/>
    <w:rsid w:val="00912795"/>
    <w:rsid w:val="00912CAE"/>
    <w:rsid w:val="00912D73"/>
    <w:rsid w:val="00912EAA"/>
    <w:rsid w:val="00912F59"/>
    <w:rsid w:val="009130AB"/>
    <w:rsid w:val="00913386"/>
    <w:rsid w:val="009134EF"/>
    <w:rsid w:val="009135D6"/>
    <w:rsid w:val="009135DA"/>
    <w:rsid w:val="00913A1D"/>
    <w:rsid w:val="00913AB1"/>
    <w:rsid w:val="00913ADE"/>
    <w:rsid w:val="00913AEE"/>
    <w:rsid w:val="00913E20"/>
    <w:rsid w:val="00913FD3"/>
    <w:rsid w:val="00914188"/>
    <w:rsid w:val="00914615"/>
    <w:rsid w:val="0091484E"/>
    <w:rsid w:val="00914852"/>
    <w:rsid w:val="00914B6B"/>
    <w:rsid w:val="00914C77"/>
    <w:rsid w:val="00914D13"/>
    <w:rsid w:val="00914DE9"/>
    <w:rsid w:val="00914E81"/>
    <w:rsid w:val="00914E8B"/>
    <w:rsid w:val="00914FBB"/>
    <w:rsid w:val="0091501D"/>
    <w:rsid w:val="0091528E"/>
    <w:rsid w:val="009153DC"/>
    <w:rsid w:val="009153E5"/>
    <w:rsid w:val="009160D5"/>
    <w:rsid w:val="00916174"/>
    <w:rsid w:val="00916388"/>
    <w:rsid w:val="00916830"/>
    <w:rsid w:val="00916CF6"/>
    <w:rsid w:val="00916D19"/>
    <w:rsid w:val="00916D33"/>
    <w:rsid w:val="00916D63"/>
    <w:rsid w:val="00916ED0"/>
    <w:rsid w:val="00917206"/>
    <w:rsid w:val="009175D0"/>
    <w:rsid w:val="00917997"/>
    <w:rsid w:val="00917A33"/>
    <w:rsid w:val="00917C8F"/>
    <w:rsid w:val="0092005D"/>
    <w:rsid w:val="009200FF"/>
    <w:rsid w:val="009203D5"/>
    <w:rsid w:val="0092089A"/>
    <w:rsid w:val="009210FF"/>
    <w:rsid w:val="00921154"/>
    <w:rsid w:val="009211DF"/>
    <w:rsid w:val="0092175B"/>
    <w:rsid w:val="00921BE6"/>
    <w:rsid w:val="009222B0"/>
    <w:rsid w:val="00922533"/>
    <w:rsid w:val="00922596"/>
    <w:rsid w:val="00922634"/>
    <w:rsid w:val="009226B3"/>
    <w:rsid w:val="00922796"/>
    <w:rsid w:val="00922984"/>
    <w:rsid w:val="00922B99"/>
    <w:rsid w:val="00922CEE"/>
    <w:rsid w:val="00922FC9"/>
    <w:rsid w:val="00922FCD"/>
    <w:rsid w:val="00923318"/>
    <w:rsid w:val="0092369B"/>
    <w:rsid w:val="009236A1"/>
    <w:rsid w:val="00923894"/>
    <w:rsid w:val="00923BBA"/>
    <w:rsid w:val="00923E3D"/>
    <w:rsid w:val="00923FCB"/>
    <w:rsid w:val="009240FB"/>
    <w:rsid w:val="0092455A"/>
    <w:rsid w:val="00924A87"/>
    <w:rsid w:val="00924AA4"/>
    <w:rsid w:val="00924E32"/>
    <w:rsid w:val="00925209"/>
    <w:rsid w:val="00925277"/>
    <w:rsid w:val="009253DE"/>
    <w:rsid w:val="00925590"/>
    <w:rsid w:val="00925853"/>
    <w:rsid w:val="00925C18"/>
    <w:rsid w:val="00926173"/>
    <w:rsid w:val="00926312"/>
    <w:rsid w:val="009264E7"/>
    <w:rsid w:val="00926E4E"/>
    <w:rsid w:val="00926FBD"/>
    <w:rsid w:val="0092701D"/>
    <w:rsid w:val="009270E6"/>
    <w:rsid w:val="009277D8"/>
    <w:rsid w:val="00927D80"/>
    <w:rsid w:val="00927DBA"/>
    <w:rsid w:val="0093011F"/>
    <w:rsid w:val="009306C5"/>
    <w:rsid w:val="00930BA8"/>
    <w:rsid w:val="009311A5"/>
    <w:rsid w:val="00931212"/>
    <w:rsid w:val="009312F4"/>
    <w:rsid w:val="0093159F"/>
    <w:rsid w:val="0093173C"/>
    <w:rsid w:val="00931958"/>
    <w:rsid w:val="00931EA5"/>
    <w:rsid w:val="00931EB3"/>
    <w:rsid w:val="00931FB3"/>
    <w:rsid w:val="009323EE"/>
    <w:rsid w:val="00932A1C"/>
    <w:rsid w:val="00932D15"/>
    <w:rsid w:val="00932D7A"/>
    <w:rsid w:val="00933048"/>
    <w:rsid w:val="009330BF"/>
    <w:rsid w:val="009330D0"/>
    <w:rsid w:val="009330D9"/>
    <w:rsid w:val="009330F1"/>
    <w:rsid w:val="009332C6"/>
    <w:rsid w:val="0093330E"/>
    <w:rsid w:val="00933812"/>
    <w:rsid w:val="00933B0A"/>
    <w:rsid w:val="00933DE1"/>
    <w:rsid w:val="00933F26"/>
    <w:rsid w:val="0093410A"/>
    <w:rsid w:val="009342DE"/>
    <w:rsid w:val="009345E6"/>
    <w:rsid w:val="009349E4"/>
    <w:rsid w:val="00934FED"/>
    <w:rsid w:val="0093519F"/>
    <w:rsid w:val="00935362"/>
    <w:rsid w:val="009353C1"/>
    <w:rsid w:val="009355D6"/>
    <w:rsid w:val="009359B7"/>
    <w:rsid w:val="00935A75"/>
    <w:rsid w:val="00935BE2"/>
    <w:rsid w:val="00935C9D"/>
    <w:rsid w:val="00935FCA"/>
    <w:rsid w:val="00936011"/>
    <w:rsid w:val="00936454"/>
    <w:rsid w:val="00936510"/>
    <w:rsid w:val="009369D7"/>
    <w:rsid w:val="00936F6F"/>
    <w:rsid w:val="00936F8C"/>
    <w:rsid w:val="009371CF"/>
    <w:rsid w:val="00937633"/>
    <w:rsid w:val="009377C8"/>
    <w:rsid w:val="00940005"/>
    <w:rsid w:val="00940042"/>
    <w:rsid w:val="0094031E"/>
    <w:rsid w:val="009405E3"/>
    <w:rsid w:val="00940765"/>
    <w:rsid w:val="009407A5"/>
    <w:rsid w:val="00940990"/>
    <w:rsid w:val="00940AF1"/>
    <w:rsid w:val="00940B1C"/>
    <w:rsid w:val="00940D6B"/>
    <w:rsid w:val="009411AA"/>
    <w:rsid w:val="00941578"/>
    <w:rsid w:val="0094159E"/>
    <w:rsid w:val="00942059"/>
    <w:rsid w:val="00942101"/>
    <w:rsid w:val="009421D4"/>
    <w:rsid w:val="009421FA"/>
    <w:rsid w:val="009423E6"/>
    <w:rsid w:val="009425BE"/>
    <w:rsid w:val="00942683"/>
    <w:rsid w:val="0094298F"/>
    <w:rsid w:val="00942C68"/>
    <w:rsid w:val="00942C77"/>
    <w:rsid w:val="00942D5C"/>
    <w:rsid w:val="00943037"/>
    <w:rsid w:val="0094306E"/>
    <w:rsid w:val="009431E2"/>
    <w:rsid w:val="009435E8"/>
    <w:rsid w:val="00943705"/>
    <w:rsid w:val="009437B1"/>
    <w:rsid w:val="0094383C"/>
    <w:rsid w:val="00943A61"/>
    <w:rsid w:val="00943B89"/>
    <w:rsid w:val="00943FDD"/>
    <w:rsid w:val="009445C5"/>
    <w:rsid w:val="009447E0"/>
    <w:rsid w:val="00944ADA"/>
    <w:rsid w:val="00944D20"/>
    <w:rsid w:val="0094516D"/>
    <w:rsid w:val="00945386"/>
    <w:rsid w:val="0094541E"/>
    <w:rsid w:val="009455A9"/>
    <w:rsid w:val="009455CF"/>
    <w:rsid w:val="00945834"/>
    <w:rsid w:val="00945DA6"/>
    <w:rsid w:val="009462CE"/>
    <w:rsid w:val="009465E2"/>
    <w:rsid w:val="00946E91"/>
    <w:rsid w:val="00947320"/>
    <w:rsid w:val="009473B4"/>
    <w:rsid w:val="009473E3"/>
    <w:rsid w:val="00947522"/>
    <w:rsid w:val="009475C0"/>
    <w:rsid w:val="0094761D"/>
    <w:rsid w:val="0094769A"/>
    <w:rsid w:val="00947818"/>
    <w:rsid w:val="009500DA"/>
    <w:rsid w:val="00950185"/>
    <w:rsid w:val="0095041C"/>
    <w:rsid w:val="009504A5"/>
    <w:rsid w:val="0095087C"/>
    <w:rsid w:val="00950BFD"/>
    <w:rsid w:val="00950CAF"/>
    <w:rsid w:val="00950DA4"/>
    <w:rsid w:val="00950EBB"/>
    <w:rsid w:val="00950FA2"/>
    <w:rsid w:val="009510A2"/>
    <w:rsid w:val="00951532"/>
    <w:rsid w:val="00951998"/>
    <w:rsid w:val="00951CCD"/>
    <w:rsid w:val="00951D6F"/>
    <w:rsid w:val="00952AF7"/>
    <w:rsid w:val="00952B6E"/>
    <w:rsid w:val="00952BC2"/>
    <w:rsid w:val="00952CD8"/>
    <w:rsid w:val="00952D69"/>
    <w:rsid w:val="00953084"/>
    <w:rsid w:val="009530EB"/>
    <w:rsid w:val="00953257"/>
    <w:rsid w:val="009534A8"/>
    <w:rsid w:val="00953623"/>
    <w:rsid w:val="00953C07"/>
    <w:rsid w:val="00953D8C"/>
    <w:rsid w:val="009543FA"/>
    <w:rsid w:val="0095476E"/>
    <w:rsid w:val="009548B0"/>
    <w:rsid w:val="009548E1"/>
    <w:rsid w:val="00954906"/>
    <w:rsid w:val="009549CD"/>
    <w:rsid w:val="00954EC2"/>
    <w:rsid w:val="00954F8F"/>
    <w:rsid w:val="009550D2"/>
    <w:rsid w:val="00955405"/>
    <w:rsid w:val="009554C4"/>
    <w:rsid w:val="009555C5"/>
    <w:rsid w:val="009557FB"/>
    <w:rsid w:val="00955838"/>
    <w:rsid w:val="009559E5"/>
    <w:rsid w:val="00955AFB"/>
    <w:rsid w:val="00955C33"/>
    <w:rsid w:val="00955E10"/>
    <w:rsid w:val="009562ED"/>
    <w:rsid w:val="009563F9"/>
    <w:rsid w:val="009564E9"/>
    <w:rsid w:val="00956552"/>
    <w:rsid w:val="0095672D"/>
    <w:rsid w:val="00956EEC"/>
    <w:rsid w:val="0095711A"/>
    <w:rsid w:val="0095724E"/>
    <w:rsid w:val="0095742F"/>
    <w:rsid w:val="0095744F"/>
    <w:rsid w:val="00957587"/>
    <w:rsid w:val="009577FD"/>
    <w:rsid w:val="009579EE"/>
    <w:rsid w:val="00957B1B"/>
    <w:rsid w:val="00957C47"/>
    <w:rsid w:val="009602B2"/>
    <w:rsid w:val="009606EB"/>
    <w:rsid w:val="009608A0"/>
    <w:rsid w:val="00960B1D"/>
    <w:rsid w:val="00960D73"/>
    <w:rsid w:val="00960E80"/>
    <w:rsid w:val="00960E81"/>
    <w:rsid w:val="009611F9"/>
    <w:rsid w:val="009614B3"/>
    <w:rsid w:val="00961825"/>
    <w:rsid w:val="00961DED"/>
    <w:rsid w:val="00961EF8"/>
    <w:rsid w:val="009620DA"/>
    <w:rsid w:val="00962554"/>
    <w:rsid w:val="00962CB9"/>
    <w:rsid w:val="00962ED1"/>
    <w:rsid w:val="00962F3A"/>
    <w:rsid w:val="00962F62"/>
    <w:rsid w:val="00962F70"/>
    <w:rsid w:val="0096317A"/>
    <w:rsid w:val="009637A5"/>
    <w:rsid w:val="00963957"/>
    <w:rsid w:val="00963D4D"/>
    <w:rsid w:val="00964312"/>
    <w:rsid w:val="00964879"/>
    <w:rsid w:val="00964944"/>
    <w:rsid w:val="00964ED3"/>
    <w:rsid w:val="00964ED6"/>
    <w:rsid w:val="00964F12"/>
    <w:rsid w:val="00965615"/>
    <w:rsid w:val="009657DF"/>
    <w:rsid w:val="0096586E"/>
    <w:rsid w:val="00965B8A"/>
    <w:rsid w:val="00965D55"/>
    <w:rsid w:val="00965D84"/>
    <w:rsid w:val="00965E96"/>
    <w:rsid w:val="009660F8"/>
    <w:rsid w:val="009662D8"/>
    <w:rsid w:val="00966310"/>
    <w:rsid w:val="00966444"/>
    <w:rsid w:val="009665C7"/>
    <w:rsid w:val="00966940"/>
    <w:rsid w:val="00966AF2"/>
    <w:rsid w:val="00966F05"/>
    <w:rsid w:val="00966FE4"/>
    <w:rsid w:val="00967542"/>
    <w:rsid w:val="00967589"/>
    <w:rsid w:val="00967598"/>
    <w:rsid w:val="0096766E"/>
    <w:rsid w:val="00967C81"/>
    <w:rsid w:val="00967E24"/>
    <w:rsid w:val="00967ED2"/>
    <w:rsid w:val="009700F2"/>
    <w:rsid w:val="0097013F"/>
    <w:rsid w:val="009702C9"/>
    <w:rsid w:val="00970310"/>
    <w:rsid w:val="00970531"/>
    <w:rsid w:val="00970536"/>
    <w:rsid w:val="00970803"/>
    <w:rsid w:val="00970F85"/>
    <w:rsid w:val="00971276"/>
    <w:rsid w:val="009713DD"/>
    <w:rsid w:val="0097145C"/>
    <w:rsid w:val="009714BA"/>
    <w:rsid w:val="009714C9"/>
    <w:rsid w:val="00971686"/>
    <w:rsid w:val="009717AC"/>
    <w:rsid w:val="0097189B"/>
    <w:rsid w:val="00971908"/>
    <w:rsid w:val="00971BC0"/>
    <w:rsid w:val="00971E8A"/>
    <w:rsid w:val="00971EED"/>
    <w:rsid w:val="00971F0C"/>
    <w:rsid w:val="009720F9"/>
    <w:rsid w:val="0097256A"/>
    <w:rsid w:val="0097276C"/>
    <w:rsid w:val="00972EB3"/>
    <w:rsid w:val="00972EEE"/>
    <w:rsid w:val="00973268"/>
    <w:rsid w:val="009735C9"/>
    <w:rsid w:val="009735EB"/>
    <w:rsid w:val="009735F1"/>
    <w:rsid w:val="0097368F"/>
    <w:rsid w:val="0097377A"/>
    <w:rsid w:val="00973795"/>
    <w:rsid w:val="009738D9"/>
    <w:rsid w:val="00973969"/>
    <w:rsid w:val="00973979"/>
    <w:rsid w:val="00973DDE"/>
    <w:rsid w:val="00974061"/>
    <w:rsid w:val="0097420B"/>
    <w:rsid w:val="0097431F"/>
    <w:rsid w:val="00974601"/>
    <w:rsid w:val="0097484B"/>
    <w:rsid w:val="00974890"/>
    <w:rsid w:val="00974D1E"/>
    <w:rsid w:val="00974F8A"/>
    <w:rsid w:val="00975109"/>
    <w:rsid w:val="00975197"/>
    <w:rsid w:val="009756B1"/>
    <w:rsid w:val="00975861"/>
    <w:rsid w:val="00975A1D"/>
    <w:rsid w:val="00975D42"/>
    <w:rsid w:val="0097601F"/>
    <w:rsid w:val="00976084"/>
    <w:rsid w:val="00976225"/>
    <w:rsid w:val="00976623"/>
    <w:rsid w:val="009766C1"/>
    <w:rsid w:val="00976A36"/>
    <w:rsid w:val="00977136"/>
    <w:rsid w:val="009776D7"/>
    <w:rsid w:val="009777F2"/>
    <w:rsid w:val="00977857"/>
    <w:rsid w:val="00977B9D"/>
    <w:rsid w:val="00977F75"/>
    <w:rsid w:val="009804D2"/>
    <w:rsid w:val="0098057F"/>
    <w:rsid w:val="00980803"/>
    <w:rsid w:val="00980936"/>
    <w:rsid w:val="009809D2"/>
    <w:rsid w:val="00980E4C"/>
    <w:rsid w:val="00980E80"/>
    <w:rsid w:val="0098119E"/>
    <w:rsid w:val="009811BF"/>
    <w:rsid w:val="00981624"/>
    <w:rsid w:val="009817A4"/>
    <w:rsid w:val="00981B29"/>
    <w:rsid w:val="00981D42"/>
    <w:rsid w:val="00981DE2"/>
    <w:rsid w:val="00981F99"/>
    <w:rsid w:val="0098286D"/>
    <w:rsid w:val="00982892"/>
    <w:rsid w:val="00982A60"/>
    <w:rsid w:val="00982B41"/>
    <w:rsid w:val="009831C4"/>
    <w:rsid w:val="0098320E"/>
    <w:rsid w:val="009833EF"/>
    <w:rsid w:val="00983966"/>
    <w:rsid w:val="00983C2B"/>
    <w:rsid w:val="00983E57"/>
    <w:rsid w:val="0098402E"/>
    <w:rsid w:val="00984156"/>
    <w:rsid w:val="0098418D"/>
    <w:rsid w:val="00984304"/>
    <w:rsid w:val="00984616"/>
    <w:rsid w:val="009849E4"/>
    <w:rsid w:val="00984B12"/>
    <w:rsid w:val="00984E91"/>
    <w:rsid w:val="009850DE"/>
    <w:rsid w:val="00985628"/>
    <w:rsid w:val="00985665"/>
    <w:rsid w:val="009858A8"/>
    <w:rsid w:val="00985A0E"/>
    <w:rsid w:val="00985D92"/>
    <w:rsid w:val="00985F68"/>
    <w:rsid w:val="00986038"/>
    <w:rsid w:val="00986370"/>
    <w:rsid w:val="009863E5"/>
    <w:rsid w:val="0098675D"/>
    <w:rsid w:val="0098676D"/>
    <w:rsid w:val="0098679D"/>
    <w:rsid w:val="0098686D"/>
    <w:rsid w:val="00986A0F"/>
    <w:rsid w:val="00986D3A"/>
    <w:rsid w:val="00986DC1"/>
    <w:rsid w:val="00987164"/>
    <w:rsid w:val="00987220"/>
    <w:rsid w:val="009873E0"/>
    <w:rsid w:val="00987703"/>
    <w:rsid w:val="009878CF"/>
    <w:rsid w:val="00987E6F"/>
    <w:rsid w:val="009900D5"/>
    <w:rsid w:val="009902CC"/>
    <w:rsid w:val="00990367"/>
    <w:rsid w:val="00990B19"/>
    <w:rsid w:val="00990BDB"/>
    <w:rsid w:val="00990C4B"/>
    <w:rsid w:val="00990C78"/>
    <w:rsid w:val="009915B8"/>
    <w:rsid w:val="00991627"/>
    <w:rsid w:val="00991BD3"/>
    <w:rsid w:val="009923B2"/>
    <w:rsid w:val="00992435"/>
    <w:rsid w:val="00992459"/>
    <w:rsid w:val="0099275A"/>
    <w:rsid w:val="00992B32"/>
    <w:rsid w:val="00992B7D"/>
    <w:rsid w:val="00992F3B"/>
    <w:rsid w:val="0099300F"/>
    <w:rsid w:val="00993363"/>
    <w:rsid w:val="009936AB"/>
    <w:rsid w:val="009937FF"/>
    <w:rsid w:val="00993824"/>
    <w:rsid w:val="0099388D"/>
    <w:rsid w:val="00993DED"/>
    <w:rsid w:val="0099414E"/>
    <w:rsid w:val="009941DC"/>
    <w:rsid w:val="009942D7"/>
    <w:rsid w:val="009944E8"/>
    <w:rsid w:val="00994635"/>
    <w:rsid w:val="009948C4"/>
    <w:rsid w:val="00994D55"/>
    <w:rsid w:val="00994FEC"/>
    <w:rsid w:val="009951CD"/>
    <w:rsid w:val="00995270"/>
    <w:rsid w:val="00995608"/>
    <w:rsid w:val="00995801"/>
    <w:rsid w:val="00995823"/>
    <w:rsid w:val="0099589E"/>
    <w:rsid w:val="0099598A"/>
    <w:rsid w:val="00995EF7"/>
    <w:rsid w:val="00996046"/>
    <w:rsid w:val="00996289"/>
    <w:rsid w:val="00996316"/>
    <w:rsid w:val="00996380"/>
    <w:rsid w:val="009965F1"/>
    <w:rsid w:val="009966BD"/>
    <w:rsid w:val="0099688A"/>
    <w:rsid w:val="00996B1A"/>
    <w:rsid w:val="00996E91"/>
    <w:rsid w:val="00996EC5"/>
    <w:rsid w:val="009970BE"/>
    <w:rsid w:val="0099716E"/>
    <w:rsid w:val="0099754F"/>
    <w:rsid w:val="00997893"/>
    <w:rsid w:val="009A03C0"/>
    <w:rsid w:val="009A0BEB"/>
    <w:rsid w:val="009A0C2A"/>
    <w:rsid w:val="009A0E9D"/>
    <w:rsid w:val="009A0EE1"/>
    <w:rsid w:val="009A0F1C"/>
    <w:rsid w:val="009A1088"/>
    <w:rsid w:val="009A1206"/>
    <w:rsid w:val="009A1E0D"/>
    <w:rsid w:val="009A214F"/>
    <w:rsid w:val="009A2180"/>
    <w:rsid w:val="009A2195"/>
    <w:rsid w:val="009A22BA"/>
    <w:rsid w:val="009A2487"/>
    <w:rsid w:val="009A24EC"/>
    <w:rsid w:val="009A2855"/>
    <w:rsid w:val="009A299C"/>
    <w:rsid w:val="009A2AA7"/>
    <w:rsid w:val="009A33FC"/>
    <w:rsid w:val="009A3504"/>
    <w:rsid w:val="009A3662"/>
    <w:rsid w:val="009A36EE"/>
    <w:rsid w:val="009A39F0"/>
    <w:rsid w:val="009A3A58"/>
    <w:rsid w:val="009A3E42"/>
    <w:rsid w:val="009A3EEF"/>
    <w:rsid w:val="009A3FE6"/>
    <w:rsid w:val="009A406B"/>
    <w:rsid w:val="009A41DE"/>
    <w:rsid w:val="009A4482"/>
    <w:rsid w:val="009A4A61"/>
    <w:rsid w:val="009A544B"/>
    <w:rsid w:val="009A571B"/>
    <w:rsid w:val="009A5984"/>
    <w:rsid w:val="009A5A0F"/>
    <w:rsid w:val="009A5A45"/>
    <w:rsid w:val="009A649C"/>
    <w:rsid w:val="009A69CE"/>
    <w:rsid w:val="009A734F"/>
    <w:rsid w:val="009A75F7"/>
    <w:rsid w:val="009A77D4"/>
    <w:rsid w:val="009A78A3"/>
    <w:rsid w:val="009A78DA"/>
    <w:rsid w:val="009A78F6"/>
    <w:rsid w:val="009A7E72"/>
    <w:rsid w:val="009A7F10"/>
    <w:rsid w:val="009B038A"/>
    <w:rsid w:val="009B0682"/>
    <w:rsid w:val="009B0A96"/>
    <w:rsid w:val="009B0C7B"/>
    <w:rsid w:val="009B0E5B"/>
    <w:rsid w:val="009B0ECD"/>
    <w:rsid w:val="009B1383"/>
    <w:rsid w:val="009B1520"/>
    <w:rsid w:val="009B1688"/>
    <w:rsid w:val="009B1712"/>
    <w:rsid w:val="009B1B88"/>
    <w:rsid w:val="009B1C87"/>
    <w:rsid w:val="009B1CFB"/>
    <w:rsid w:val="009B1F4F"/>
    <w:rsid w:val="009B20A5"/>
    <w:rsid w:val="009B20E2"/>
    <w:rsid w:val="009B2197"/>
    <w:rsid w:val="009B21B7"/>
    <w:rsid w:val="009B21FC"/>
    <w:rsid w:val="009B2363"/>
    <w:rsid w:val="009B2A5D"/>
    <w:rsid w:val="009B2C4E"/>
    <w:rsid w:val="009B2DE4"/>
    <w:rsid w:val="009B2ED4"/>
    <w:rsid w:val="009B31EA"/>
    <w:rsid w:val="009B3882"/>
    <w:rsid w:val="009B3990"/>
    <w:rsid w:val="009B3B33"/>
    <w:rsid w:val="009B3B44"/>
    <w:rsid w:val="009B3BF7"/>
    <w:rsid w:val="009B3CA4"/>
    <w:rsid w:val="009B3E26"/>
    <w:rsid w:val="009B3FD2"/>
    <w:rsid w:val="009B41A4"/>
    <w:rsid w:val="009B4BB0"/>
    <w:rsid w:val="009B4C4C"/>
    <w:rsid w:val="009B4E6C"/>
    <w:rsid w:val="009B4EF2"/>
    <w:rsid w:val="009B5434"/>
    <w:rsid w:val="009B568B"/>
    <w:rsid w:val="009B5744"/>
    <w:rsid w:val="009B586F"/>
    <w:rsid w:val="009B5963"/>
    <w:rsid w:val="009B59CC"/>
    <w:rsid w:val="009B5A7D"/>
    <w:rsid w:val="009B5B21"/>
    <w:rsid w:val="009B5B3F"/>
    <w:rsid w:val="009B6083"/>
    <w:rsid w:val="009B6B6F"/>
    <w:rsid w:val="009B6BCD"/>
    <w:rsid w:val="009B6C1B"/>
    <w:rsid w:val="009B6D96"/>
    <w:rsid w:val="009B7045"/>
    <w:rsid w:val="009B7718"/>
    <w:rsid w:val="009B7949"/>
    <w:rsid w:val="009B7C94"/>
    <w:rsid w:val="009B7CAA"/>
    <w:rsid w:val="009C00E3"/>
    <w:rsid w:val="009C01EE"/>
    <w:rsid w:val="009C060D"/>
    <w:rsid w:val="009C0769"/>
    <w:rsid w:val="009C081F"/>
    <w:rsid w:val="009C0AD9"/>
    <w:rsid w:val="009C0B95"/>
    <w:rsid w:val="009C0C33"/>
    <w:rsid w:val="009C0C53"/>
    <w:rsid w:val="009C0ED8"/>
    <w:rsid w:val="009C1070"/>
    <w:rsid w:val="009C162D"/>
    <w:rsid w:val="009C1825"/>
    <w:rsid w:val="009C1BA6"/>
    <w:rsid w:val="009C1C0B"/>
    <w:rsid w:val="009C1CAC"/>
    <w:rsid w:val="009C1F4B"/>
    <w:rsid w:val="009C1FF9"/>
    <w:rsid w:val="009C26D6"/>
    <w:rsid w:val="009C2910"/>
    <w:rsid w:val="009C295A"/>
    <w:rsid w:val="009C2B62"/>
    <w:rsid w:val="009C2BDF"/>
    <w:rsid w:val="009C2CDB"/>
    <w:rsid w:val="009C3995"/>
    <w:rsid w:val="009C399E"/>
    <w:rsid w:val="009C39EF"/>
    <w:rsid w:val="009C3D73"/>
    <w:rsid w:val="009C474E"/>
    <w:rsid w:val="009C47EA"/>
    <w:rsid w:val="009C4B93"/>
    <w:rsid w:val="009C4D1F"/>
    <w:rsid w:val="009C508F"/>
    <w:rsid w:val="009C547D"/>
    <w:rsid w:val="009C55B9"/>
    <w:rsid w:val="009C59E7"/>
    <w:rsid w:val="009C5C8E"/>
    <w:rsid w:val="009C6218"/>
    <w:rsid w:val="009C6583"/>
    <w:rsid w:val="009C65E3"/>
    <w:rsid w:val="009C666A"/>
    <w:rsid w:val="009C69FB"/>
    <w:rsid w:val="009C6A1B"/>
    <w:rsid w:val="009C6C5A"/>
    <w:rsid w:val="009C6CEA"/>
    <w:rsid w:val="009C6ED9"/>
    <w:rsid w:val="009C6EF0"/>
    <w:rsid w:val="009C7244"/>
    <w:rsid w:val="009C7337"/>
    <w:rsid w:val="009C7718"/>
    <w:rsid w:val="009C7947"/>
    <w:rsid w:val="009C7B85"/>
    <w:rsid w:val="009C7BC2"/>
    <w:rsid w:val="009C7D22"/>
    <w:rsid w:val="009C7D41"/>
    <w:rsid w:val="009C7E2C"/>
    <w:rsid w:val="009C7EC5"/>
    <w:rsid w:val="009D00DE"/>
    <w:rsid w:val="009D0244"/>
    <w:rsid w:val="009D02CE"/>
    <w:rsid w:val="009D0588"/>
    <w:rsid w:val="009D0782"/>
    <w:rsid w:val="009D0A07"/>
    <w:rsid w:val="009D0BD8"/>
    <w:rsid w:val="009D0F30"/>
    <w:rsid w:val="009D10A1"/>
    <w:rsid w:val="009D115A"/>
    <w:rsid w:val="009D1357"/>
    <w:rsid w:val="009D141E"/>
    <w:rsid w:val="009D15AC"/>
    <w:rsid w:val="009D164D"/>
    <w:rsid w:val="009D17E2"/>
    <w:rsid w:val="009D1AEA"/>
    <w:rsid w:val="009D1B91"/>
    <w:rsid w:val="009D1E94"/>
    <w:rsid w:val="009D1FA8"/>
    <w:rsid w:val="009D1FD4"/>
    <w:rsid w:val="009D216D"/>
    <w:rsid w:val="009D221D"/>
    <w:rsid w:val="009D234E"/>
    <w:rsid w:val="009D2382"/>
    <w:rsid w:val="009D23B7"/>
    <w:rsid w:val="009D2598"/>
    <w:rsid w:val="009D25F7"/>
    <w:rsid w:val="009D272D"/>
    <w:rsid w:val="009D2BFA"/>
    <w:rsid w:val="009D2DC3"/>
    <w:rsid w:val="009D324D"/>
    <w:rsid w:val="009D34E9"/>
    <w:rsid w:val="009D37C1"/>
    <w:rsid w:val="009D3B07"/>
    <w:rsid w:val="009D3B70"/>
    <w:rsid w:val="009D3E1D"/>
    <w:rsid w:val="009D453A"/>
    <w:rsid w:val="009D45DB"/>
    <w:rsid w:val="009D4CEA"/>
    <w:rsid w:val="009D5134"/>
    <w:rsid w:val="009D5448"/>
    <w:rsid w:val="009D5B91"/>
    <w:rsid w:val="009D613F"/>
    <w:rsid w:val="009D62E4"/>
    <w:rsid w:val="009D6571"/>
    <w:rsid w:val="009D66C1"/>
    <w:rsid w:val="009D6753"/>
    <w:rsid w:val="009D69DE"/>
    <w:rsid w:val="009D6B33"/>
    <w:rsid w:val="009D70E2"/>
    <w:rsid w:val="009D72FA"/>
    <w:rsid w:val="009D73A6"/>
    <w:rsid w:val="009D7490"/>
    <w:rsid w:val="009D7517"/>
    <w:rsid w:val="009D75A4"/>
    <w:rsid w:val="009D75C4"/>
    <w:rsid w:val="009D7835"/>
    <w:rsid w:val="009D792E"/>
    <w:rsid w:val="009E005D"/>
    <w:rsid w:val="009E00D5"/>
    <w:rsid w:val="009E018D"/>
    <w:rsid w:val="009E02F8"/>
    <w:rsid w:val="009E044B"/>
    <w:rsid w:val="009E054E"/>
    <w:rsid w:val="009E0716"/>
    <w:rsid w:val="009E07A7"/>
    <w:rsid w:val="009E0B60"/>
    <w:rsid w:val="009E0DFE"/>
    <w:rsid w:val="009E103F"/>
    <w:rsid w:val="009E11D8"/>
    <w:rsid w:val="009E13CA"/>
    <w:rsid w:val="009E144A"/>
    <w:rsid w:val="009E167D"/>
    <w:rsid w:val="009E18FD"/>
    <w:rsid w:val="009E1C5F"/>
    <w:rsid w:val="009E1CAA"/>
    <w:rsid w:val="009E1CC1"/>
    <w:rsid w:val="009E1EE2"/>
    <w:rsid w:val="009E2045"/>
    <w:rsid w:val="009E205D"/>
    <w:rsid w:val="009E2092"/>
    <w:rsid w:val="009E21AD"/>
    <w:rsid w:val="009E2959"/>
    <w:rsid w:val="009E2EE4"/>
    <w:rsid w:val="009E314A"/>
    <w:rsid w:val="009E31E7"/>
    <w:rsid w:val="009E38A8"/>
    <w:rsid w:val="009E392A"/>
    <w:rsid w:val="009E3956"/>
    <w:rsid w:val="009E3DBF"/>
    <w:rsid w:val="009E3F28"/>
    <w:rsid w:val="009E4221"/>
    <w:rsid w:val="009E429F"/>
    <w:rsid w:val="009E4366"/>
    <w:rsid w:val="009E44D8"/>
    <w:rsid w:val="009E47CE"/>
    <w:rsid w:val="009E4871"/>
    <w:rsid w:val="009E49C5"/>
    <w:rsid w:val="009E4B59"/>
    <w:rsid w:val="009E4C07"/>
    <w:rsid w:val="009E4D1C"/>
    <w:rsid w:val="009E4F1F"/>
    <w:rsid w:val="009E512A"/>
    <w:rsid w:val="009E5259"/>
    <w:rsid w:val="009E5294"/>
    <w:rsid w:val="009E5470"/>
    <w:rsid w:val="009E5680"/>
    <w:rsid w:val="009E5739"/>
    <w:rsid w:val="009E5940"/>
    <w:rsid w:val="009E5A2F"/>
    <w:rsid w:val="009E5AAF"/>
    <w:rsid w:val="009E5B2C"/>
    <w:rsid w:val="009E5C4E"/>
    <w:rsid w:val="009E5E63"/>
    <w:rsid w:val="009E6071"/>
    <w:rsid w:val="009E62F5"/>
    <w:rsid w:val="009E6506"/>
    <w:rsid w:val="009E69AD"/>
    <w:rsid w:val="009E6B06"/>
    <w:rsid w:val="009E6CA7"/>
    <w:rsid w:val="009E6DC0"/>
    <w:rsid w:val="009E7198"/>
    <w:rsid w:val="009E7220"/>
    <w:rsid w:val="009E739D"/>
    <w:rsid w:val="009E73CD"/>
    <w:rsid w:val="009E7539"/>
    <w:rsid w:val="009E758A"/>
    <w:rsid w:val="009E764E"/>
    <w:rsid w:val="009E7ABF"/>
    <w:rsid w:val="009E7E4A"/>
    <w:rsid w:val="009F0080"/>
    <w:rsid w:val="009F03A5"/>
    <w:rsid w:val="009F0529"/>
    <w:rsid w:val="009F065C"/>
    <w:rsid w:val="009F0899"/>
    <w:rsid w:val="009F09BA"/>
    <w:rsid w:val="009F0BC0"/>
    <w:rsid w:val="009F0CFE"/>
    <w:rsid w:val="009F0D1F"/>
    <w:rsid w:val="009F11E5"/>
    <w:rsid w:val="009F18B3"/>
    <w:rsid w:val="009F1F06"/>
    <w:rsid w:val="009F1FF8"/>
    <w:rsid w:val="009F222D"/>
    <w:rsid w:val="009F2249"/>
    <w:rsid w:val="009F2584"/>
    <w:rsid w:val="009F2AE1"/>
    <w:rsid w:val="009F2F76"/>
    <w:rsid w:val="009F3373"/>
    <w:rsid w:val="009F3685"/>
    <w:rsid w:val="009F39EE"/>
    <w:rsid w:val="009F3C5D"/>
    <w:rsid w:val="009F3EAF"/>
    <w:rsid w:val="009F3F8E"/>
    <w:rsid w:val="009F3FB0"/>
    <w:rsid w:val="009F4016"/>
    <w:rsid w:val="009F40B2"/>
    <w:rsid w:val="009F433E"/>
    <w:rsid w:val="009F4415"/>
    <w:rsid w:val="009F469D"/>
    <w:rsid w:val="009F4B1F"/>
    <w:rsid w:val="009F4C56"/>
    <w:rsid w:val="009F4C92"/>
    <w:rsid w:val="009F4D01"/>
    <w:rsid w:val="009F4D47"/>
    <w:rsid w:val="009F4D82"/>
    <w:rsid w:val="009F5023"/>
    <w:rsid w:val="009F5629"/>
    <w:rsid w:val="009F589E"/>
    <w:rsid w:val="009F6273"/>
    <w:rsid w:val="009F62FE"/>
    <w:rsid w:val="009F65E0"/>
    <w:rsid w:val="009F6A0B"/>
    <w:rsid w:val="009F6AD2"/>
    <w:rsid w:val="009F6BED"/>
    <w:rsid w:val="009F6C6C"/>
    <w:rsid w:val="009F6D08"/>
    <w:rsid w:val="009F6E69"/>
    <w:rsid w:val="009F7000"/>
    <w:rsid w:val="009F71CF"/>
    <w:rsid w:val="009F7603"/>
    <w:rsid w:val="009F7667"/>
    <w:rsid w:val="009F7768"/>
    <w:rsid w:val="009F792C"/>
    <w:rsid w:val="009F7B94"/>
    <w:rsid w:val="009F7B9C"/>
    <w:rsid w:val="009F7DD7"/>
    <w:rsid w:val="009F7E4E"/>
    <w:rsid w:val="009F7F96"/>
    <w:rsid w:val="00A00061"/>
    <w:rsid w:val="00A0029C"/>
    <w:rsid w:val="00A00385"/>
    <w:rsid w:val="00A005A7"/>
    <w:rsid w:val="00A00662"/>
    <w:rsid w:val="00A007C4"/>
    <w:rsid w:val="00A0087B"/>
    <w:rsid w:val="00A00ABE"/>
    <w:rsid w:val="00A00BAC"/>
    <w:rsid w:val="00A00ECF"/>
    <w:rsid w:val="00A01043"/>
    <w:rsid w:val="00A01184"/>
    <w:rsid w:val="00A01260"/>
    <w:rsid w:val="00A01262"/>
    <w:rsid w:val="00A0146C"/>
    <w:rsid w:val="00A0151D"/>
    <w:rsid w:val="00A015CA"/>
    <w:rsid w:val="00A01863"/>
    <w:rsid w:val="00A01890"/>
    <w:rsid w:val="00A01B96"/>
    <w:rsid w:val="00A01E42"/>
    <w:rsid w:val="00A0242E"/>
    <w:rsid w:val="00A0283B"/>
    <w:rsid w:val="00A028B1"/>
    <w:rsid w:val="00A028C4"/>
    <w:rsid w:val="00A02CAE"/>
    <w:rsid w:val="00A02CD9"/>
    <w:rsid w:val="00A02D3E"/>
    <w:rsid w:val="00A02DD9"/>
    <w:rsid w:val="00A02E37"/>
    <w:rsid w:val="00A037B2"/>
    <w:rsid w:val="00A039DF"/>
    <w:rsid w:val="00A03AC7"/>
    <w:rsid w:val="00A03AE6"/>
    <w:rsid w:val="00A03B75"/>
    <w:rsid w:val="00A03BA5"/>
    <w:rsid w:val="00A03D43"/>
    <w:rsid w:val="00A03D93"/>
    <w:rsid w:val="00A0403D"/>
    <w:rsid w:val="00A040E7"/>
    <w:rsid w:val="00A04289"/>
    <w:rsid w:val="00A04380"/>
    <w:rsid w:val="00A046E7"/>
    <w:rsid w:val="00A04DA8"/>
    <w:rsid w:val="00A05141"/>
    <w:rsid w:val="00A0521B"/>
    <w:rsid w:val="00A0542C"/>
    <w:rsid w:val="00A0592B"/>
    <w:rsid w:val="00A05C23"/>
    <w:rsid w:val="00A05FFD"/>
    <w:rsid w:val="00A06066"/>
    <w:rsid w:val="00A0608A"/>
    <w:rsid w:val="00A06F4E"/>
    <w:rsid w:val="00A06F92"/>
    <w:rsid w:val="00A07238"/>
    <w:rsid w:val="00A07643"/>
    <w:rsid w:val="00A07751"/>
    <w:rsid w:val="00A079A1"/>
    <w:rsid w:val="00A079E0"/>
    <w:rsid w:val="00A07EBA"/>
    <w:rsid w:val="00A1011C"/>
    <w:rsid w:val="00A10218"/>
    <w:rsid w:val="00A1035F"/>
    <w:rsid w:val="00A104CF"/>
    <w:rsid w:val="00A109F4"/>
    <w:rsid w:val="00A10B91"/>
    <w:rsid w:val="00A10C0D"/>
    <w:rsid w:val="00A10CA7"/>
    <w:rsid w:val="00A10D08"/>
    <w:rsid w:val="00A10D57"/>
    <w:rsid w:val="00A10E37"/>
    <w:rsid w:val="00A11027"/>
    <w:rsid w:val="00A11168"/>
    <w:rsid w:val="00A111F9"/>
    <w:rsid w:val="00A11264"/>
    <w:rsid w:val="00A113CB"/>
    <w:rsid w:val="00A1183C"/>
    <w:rsid w:val="00A11CD0"/>
    <w:rsid w:val="00A11D50"/>
    <w:rsid w:val="00A121AC"/>
    <w:rsid w:val="00A1247E"/>
    <w:rsid w:val="00A126CC"/>
    <w:rsid w:val="00A127D5"/>
    <w:rsid w:val="00A1284E"/>
    <w:rsid w:val="00A128AA"/>
    <w:rsid w:val="00A128AD"/>
    <w:rsid w:val="00A128E8"/>
    <w:rsid w:val="00A12A0B"/>
    <w:rsid w:val="00A12BAB"/>
    <w:rsid w:val="00A12E85"/>
    <w:rsid w:val="00A12F59"/>
    <w:rsid w:val="00A131C7"/>
    <w:rsid w:val="00A13231"/>
    <w:rsid w:val="00A135BD"/>
    <w:rsid w:val="00A1380A"/>
    <w:rsid w:val="00A13911"/>
    <w:rsid w:val="00A13948"/>
    <w:rsid w:val="00A13C40"/>
    <w:rsid w:val="00A13C4E"/>
    <w:rsid w:val="00A13D2D"/>
    <w:rsid w:val="00A13E8E"/>
    <w:rsid w:val="00A13ED5"/>
    <w:rsid w:val="00A13F6D"/>
    <w:rsid w:val="00A148A0"/>
    <w:rsid w:val="00A14A05"/>
    <w:rsid w:val="00A14AA7"/>
    <w:rsid w:val="00A14AC0"/>
    <w:rsid w:val="00A14B84"/>
    <w:rsid w:val="00A14F9F"/>
    <w:rsid w:val="00A1514F"/>
    <w:rsid w:val="00A152BC"/>
    <w:rsid w:val="00A15444"/>
    <w:rsid w:val="00A15493"/>
    <w:rsid w:val="00A1555B"/>
    <w:rsid w:val="00A155C5"/>
    <w:rsid w:val="00A15E05"/>
    <w:rsid w:val="00A161AB"/>
    <w:rsid w:val="00A16248"/>
    <w:rsid w:val="00A16A6B"/>
    <w:rsid w:val="00A16AD8"/>
    <w:rsid w:val="00A16C7D"/>
    <w:rsid w:val="00A16CE0"/>
    <w:rsid w:val="00A1715A"/>
    <w:rsid w:val="00A17369"/>
    <w:rsid w:val="00A173AB"/>
    <w:rsid w:val="00A173B7"/>
    <w:rsid w:val="00A17D9E"/>
    <w:rsid w:val="00A17F07"/>
    <w:rsid w:val="00A201C7"/>
    <w:rsid w:val="00A20355"/>
    <w:rsid w:val="00A203E0"/>
    <w:rsid w:val="00A2041D"/>
    <w:rsid w:val="00A2042A"/>
    <w:rsid w:val="00A205B6"/>
    <w:rsid w:val="00A205DE"/>
    <w:rsid w:val="00A20698"/>
    <w:rsid w:val="00A206D8"/>
    <w:rsid w:val="00A207C6"/>
    <w:rsid w:val="00A20897"/>
    <w:rsid w:val="00A20930"/>
    <w:rsid w:val="00A2093F"/>
    <w:rsid w:val="00A2098A"/>
    <w:rsid w:val="00A20AA7"/>
    <w:rsid w:val="00A20C0A"/>
    <w:rsid w:val="00A210CB"/>
    <w:rsid w:val="00A21CF3"/>
    <w:rsid w:val="00A21D39"/>
    <w:rsid w:val="00A21F1A"/>
    <w:rsid w:val="00A221D3"/>
    <w:rsid w:val="00A221F4"/>
    <w:rsid w:val="00A22255"/>
    <w:rsid w:val="00A222B1"/>
    <w:rsid w:val="00A22646"/>
    <w:rsid w:val="00A227D6"/>
    <w:rsid w:val="00A22CC2"/>
    <w:rsid w:val="00A22DB1"/>
    <w:rsid w:val="00A230B9"/>
    <w:rsid w:val="00A23390"/>
    <w:rsid w:val="00A23642"/>
    <w:rsid w:val="00A23BCC"/>
    <w:rsid w:val="00A23DBC"/>
    <w:rsid w:val="00A23EBE"/>
    <w:rsid w:val="00A24668"/>
    <w:rsid w:val="00A246CD"/>
    <w:rsid w:val="00A2479A"/>
    <w:rsid w:val="00A2490C"/>
    <w:rsid w:val="00A24CAC"/>
    <w:rsid w:val="00A24F56"/>
    <w:rsid w:val="00A24F6F"/>
    <w:rsid w:val="00A25024"/>
    <w:rsid w:val="00A250E3"/>
    <w:rsid w:val="00A25311"/>
    <w:rsid w:val="00A2572B"/>
    <w:rsid w:val="00A25742"/>
    <w:rsid w:val="00A2574F"/>
    <w:rsid w:val="00A25783"/>
    <w:rsid w:val="00A258F3"/>
    <w:rsid w:val="00A2596D"/>
    <w:rsid w:val="00A25B8B"/>
    <w:rsid w:val="00A25DE9"/>
    <w:rsid w:val="00A267AA"/>
    <w:rsid w:val="00A2684B"/>
    <w:rsid w:val="00A27141"/>
    <w:rsid w:val="00A272A8"/>
    <w:rsid w:val="00A272C2"/>
    <w:rsid w:val="00A272CA"/>
    <w:rsid w:val="00A273BB"/>
    <w:rsid w:val="00A274ED"/>
    <w:rsid w:val="00A2769F"/>
    <w:rsid w:val="00A27866"/>
    <w:rsid w:val="00A27AEC"/>
    <w:rsid w:val="00A27DD2"/>
    <w:rsid w:val="00A27ECB"/>
    <w:rsid w:val="00A30073"/>
    <w:rsid w:val="00A301AB"/>
    <w:rsid w:val="00A3096B"/>
    <w:rsid w:val="00A30B64"/>
    <w:rsid w:val="00A30B96"/>
    <w:rsid w:val="00A30CF5"/>
    <w:rsid w:val="00A30D3A"/>
    <w:rsid w:val="00A30EE4"/>
    <w:rsid w:val="00A30F3D"/>
    <w:rsid w:val="00A31362"/>
    <w:rsid w:val="00A31414"/>
    <w:rsid w:val="00A3186F"/>
    <w:rsid w:val="00A31877"/>
    <w:rsid w:val="00A318A3"/>
    <w:rsid w:val="00A31906"/>
    <w:rsid w:val="00A31AB8"/>
    <w:rsid w:val="00A31DC3"/>
    <w:rsid w:val="00A320DB"/>
    <w:rsid w:val="00A322EF"/>
    <w:rsid w:val="00A3244F"/>
    <w:rsid w:val="00A32784"/>
    <w:rsid w:val="00A327DD"/>
    <w:rsid w:val="00A32CB2"/>
    <w:rsid w:val="00A33397"/>
    <w:rsid w:val="00A33631"/>
    <w:rsid w:val="00A3363E"/>
    <w:rsid w:val="00A33714"/>
    <w:rsid w:val="00A33917"/>
    <w:rsid w:val="00A33AA3"/>
    <w:rsid w:val="00A33B46"/>
    <w:rsid w:val="00A33E98"/>
    <w:rsid w:val="00A34AC9"/>
    <w:rsid w:val="00A34BA1"/>
    <w:rsid w:val="00A34DFC"/>
    <w:rsid w:val="00A34E8E"/>
    <w:rsid w:val="00A34F9A"/>
    <w:rsid w:val="00A34FBC"/>
    <w:rsid w:val="00A350D0"/>
    <w:rsid w:val="00A351DB"/>
    <w:rsid w:val="00A3539D"/>
    <w:rsid w:val="00A353F2"/>
    <w:rsid w:val="00A35899"/>
    <w:rsid w:val="00A35970"/>
    <w:rsid w:val="00A35BB0"/>
    <w:rsid w:val="00A35BE1"/>
    <w:rsid w:val="00A35D16"/>
    <w:rsid w:val="00A35F0F"/>
    <w:rsid w:val="00A35FCB"/>
    <w:rsid w:val="00A360A6"/>
    <w:rsid w:val="00A361C4"/>
    <w:rsid w:val="00A3648B"/>
    <w:rsid w:val="00A36768"/>
    <w:rsid w:val="00A367BE"/>
    <w:rsid w:val="00A368E1"/>
    <w:rsid w:val="00A36938"/>
    <w:rsid w:val="00A36A4B"/>
    <w:rsid w:val="00A36A60"/>
    <w:rsid w:val="00A36CC3"/>
    <w:rsid w:val="00A36D97"/>
    <w:rsid w:val="00A36EEB"/>
    <w:rsid w:val="00A37061"/>
    <w:rsid w:val="00A373F9"/>
    <w:rsid w:val="00A37A5F"/>
    <w:rsid w:val="00A37BCD"/>
    <w:rsid w:val="00A37C08"/>
    <w:rsid w:val="00A37DC3"/>
    <w:rsid w:val="00A37EDD"/>
    <w:rsid w:val="00A400B8"/>
    <w:rsid w:val="00A4013D"/>
    <w:rsid w:val="00A403AB"/>
    <w:rsid w:val="00A40538"/>
    <w:rsid w:val="00A40797"/>
    <w:rsid w:val="00A4099F"/>
    <w:rsid w:val="00A40BA9"/>
    <w:rsid w:val="00A413D1"/>
    <w:rsid w:val="00A414DA"/>
    <w:rsid w:val="00A4163C"/>
    <w:rsid w:val="00A4180E"/>
    <w:rsid w:val="00A41BFF"/>
    <w:rsid w:val="00A41CAC"/>
    <w:rsid w:val="00A41EA4"/>
    <w:rsid w:val="00A41EFF"/>
    <w:rsid w:val="00A42166"/>
    <w:rsid w:val="00A422C3"/>
    <w:rsid w:val="00A423A5"/>
    <w:rsid w:val="00A427B2"/>
    <w:rsid w:val="00A4331C"/>
    <w:rsid w:val="00A43345"/>
    <w:rsid w:val="00A439F7"/>
    <w:rsid w:val="00A43A7C"/>
    <w:rsid w:val="00A43AB5"/>
    <w:rsid w:val="00A43B08"/>
    <w:rsid w:val="00A43B35"/>
    <w:rsid w:val="00A43C59"/>
    <w:rsid w:val="00A44131"/>
    <w:rsid w:val="00A44488"/>
    <w:rsid w:val="00A4458A"/>
    <w:rsid w:val="00A44757"/>
    <w:rsid w:val="00A44949"/>
    <w:rsid w:val="00A4495E"/>
    <w:rsid w:val="00A449EC"/>
    <w:rsid w:val="00A44A01"/>
    <w:rsid w:val="00A44A66"/>
    <w:rsid w:val="00A44DAF"/>
    <w:rsid w:val="00A450EB"/>
    <w:rsid w:val="00A45153"/>
    <w:rsid w:val="00A45BC6"/>
    <w:rsid w:val="00A45C93"/>
    <w:rsid w:val="00A45DAD"/>
    <w:rsid w:val="00A4615F"/>
    <w:rsid w:val="00A4629C"/>
    <w:rsid w:val="00A464C6"/>
    <w:rsid w:val="00A465E3"/>
    <w:rsid w:val="00A465EA"/>
    <w:rsid w:val="00A466C7"/>
    <w:rsid w:val="00A46CF0"/>
    <w:rsid w:val="00A46EEE"/>
    <w:rsid w:val="00A474E1"/>
    <w:rsid w:val="00A4752A"/>
    <w:rsid w:val="00A47B32"/>
    <w:rsid w:val="00A47BBB"/>
    <w:rsid w:val="00A47F65"/>
    <w:rsid w:val="00A5023A"/>
    <w:rsid w:val="00A50359"/>
    <w:rsid w:val="00A50797"/>
    <w:rsid w:val="00A5094B"/>
    <w:rsid w:val="00A50C0E"/>
    <w:rsid w:val="00A50D36"/>
    <w:rsid w:val="00A50E76"/>
    <w:rsid w:val="00A50ECD"/>
    <w:rsid w:val="00A51065"/>
    <w:rsid w:val="00A5168B"/>
    <w:rsid w:val="00A516EB"/>
    <w:rsid w:val="00A518F3"/>
    <w:rsid w:val="00A51920"/>
    <w:rsid w:val="00A51AA9"/>
    <w:rsid w:val="00A51D6A"/>
    <w:rsid w:val="00A51EB6"/>
    <w:rsid w:val="00A52338"/>
    <w:rsid w:val="00A52393"/>
    <w:rsid w:val="00A52729"/>
    <w:rsid w:val="00A528EB"/>
    <w:rsid w:val="00A529CB"/>
    <w:rsid w:val="00A52B77"/>
    <w:rsid w:val="00A52BF3"/>
    <w:rsid w:val="00A530EC"/>
    <w:rsid w:val="00A5313A"/>
    <w:rsid w:val="00A531FC"/>
    <w:rsid w:val="00A53216"/>
    <w:rsid w:val="00A5325F"/>
    <w:rsid w:val="00A53321"/>
    <w:rsid w:val="00A53328"/>
    <w:rsid w:val="00A53449"/>
    <w:rsid w:val="00A53554"/>
    <w:rsid w:val="00A535AE"/>
    <w:rsid w:val="00A5361D"/>
    <w:rsid w:val="00A53675"/>
    <w:rsid w:val="00A5377F"/>
    <w:rsid w:val="00A53819"/>
    <w:rsid w:val="00A53894"/>
    <w:rsid w:val="00A53B42"/>
    <w:rsid w:val="00A54065"/>
    <w:rsid w:val="00A5434D"/>
    <w:rsid w:val="00A54C11"/>
    <w:rsid w:val="00A54C97"/>
    <w:rsid w:val="00A55068"/>
    <w:rsid w:val="00A5532D"/>
    <w:rsid w:val="00A55484"/>
    <w:rsid w:val="00A5555D"/>
    <w:rsid w:val="00A555CE"/>
    <w:rsid w:val="00A557B9"/>
    <w:rsid w:val="00A55857"/>
    <w:rsid w:val="00A559E4"/>
    <w:rsid w:val="00A55DB4"/>
    <w:rsid w:val="00A562CE"/>
    <w:rsid w:val="00A56447"/>
    <w:rsid w:val="00A564D7"/>
    <w:rsid w:val="00A566B0"/>
    <w:rsid w:val="00A56AEF"/>
    <w:rsid w:val="00A56B6A"/>
    <w:rsid w:val="00A56F38"/>
    <w:rsid w:val="00A56F49"/>
    <w:rsid w:val="00A57069"/>
    <w:rsid w:val="00A5734D"/>
    <w:rsid w:val="00A5767B"/>
    <w:rsid w:val="00A5774A"/>
    <w:rsid w:val="00A578DC"/>
    <w:rsid w:val="00A57D06"/>
    <w:rsid w:val="00A6041B"/>
    <w:rsid w:val="00A60FD9"/>
    <w:rsid w:val="00A61052"/>
    <w:rsid w:val="00A61114"/>
    <w:rsid w:val="00A6171F"/>
    <w:rsid w:val="00A61965"/>
    <w:rsid w:val="00A61BC3"/>
    <w:rsid w:val="00A61BE8"/>
    <w:rsid w:val="00A61F9F"/>
    <w:rsid w:val="00A6205A"/>
    <w:rsid w:val="00A621CF"/>
    <w:rsid w:val="00A62367"/>
    <w:rsid w:val="00A62569"/>
    <w:rsid w:val="00A62769"/>
    <w:rsid w:val="00A62815"/>
    <w:rsid w:val="00A62826"/>
    <w:rsid w:val="00A628AD"/>
    <w:rsid w:val="00A62C4D"/>
    <w:rsid w:val="00A62F66"/>
    <w:rsid w:val="00A631A4"/>
    <w:rsid w:val="00A63A3C"/>
    <w:rsid w:val="00A63A6F"/>
    <w:rsid w:val="00A63C8A"/>
    <w:rsid w:val="00A63D46"/>
    <w:rsid w:val="00A63D4B"/>
    <w:rsid w:val="00A63EEC"/>
    <w:rsid w:val="00A64241"/>
    <w:rsid w:val="00A642FF"/>
    <w:rsid w:val="00A64493"/>
    <w:rsid w:val="00A64CC1"/>
    <w:rsid w:val="00A64E7E"/>
    <w:rsid w:val="00A64FBC"/>
    <w:rsid w:val="00A650AC"/>
    <w:rsid w:val="00A650BD"/>
    <w:rsid w:val="00A6536E"/>
    <w:rsid w:val="00A65433"/>
    <w:rsid w:val="00A654DA"/>
    <w:rsid w:val="00A656FC"/>
    <w:rsid w:val="00A65B01"/>
    <w:rsid w:val="00A65D50"/>
    <w:rsid w:val="00A661CF"/>
    <w:rsid w:val="00A6636E"/>
    <w:rsid w:val="00A66621"/>
    <w:rsid w:val="00A66707"/>
    <w:rsid w:val="00A6685E"/>
    <w:rsid w:val="00A6686D"/>
    <w:rsid w:val="00A66906"/>
    <w:rsid w:val="00A66FAC"/>
    <w:rsid w:val="00A67013"/>
    <w:rsid w:val="00A67183"/>
    <w:rsid w:val="00A6725B"/>
    <w:rsid w:val="00A672CF"/>
    <w:rsid w:val="00A67657"/>
    <w:rsid w:val="00A678FA"/>
    <w:rsid w:val="00A67AAD"/>
    <w:rsid w:val="00A67AC0"/>
    <w:rsid w:val="00A67B06"/>
    <w:rsid w:val="00A67C5C"/>
    <w:rsid w:val="00A67DA1"/>
    <w:rsid w:val="00A70006"/>
    <w:rsid w:val="00A70012"/>
    <w:rsid w:val="00A700F9"/>
    <w:rsid w:val="00A702EB"/>
    <w:rsid w:val="00A70605"/>
    <w:rsid w:val="00A7068F"/>
    <w:rsid w:val="00A708B0"/>
    <w:rsid w:val="00A70A9E"/>
    <w:rsid w:val="00A70E75"/>
    <w:rsid w:val="00A70F6A"/>
    <w:rsid w:val="00A7139C"/>
    <w:rsid w:val="00A713F1"/>
    <w:rsid w:val="00A714AD"/>
    <w:rsid w:val="00A71500"/>
    <w:rsid w:val="00A7162A"/>
    <w:rsid w:val="00A71710"/>
    <w:rsid w:val="00A7179C"/>
    <w:rsid w:val="00A71E4B"/>
    <w:rsid w:val="00A71EED"/>
    <w:rsid w:val="00A72074"/>
    <w:rsid w:val="00A72121"/>
    <w:rsid w:val="00A7233E"/>
    <w:rsid w:val="00A72755"/>
    <w:rsid w:val="00A72872"/>
    <w:rsid w:val="00A72909"/>
    <w:rsid w:val="00A729B1"/>
    <w:rsid w:val="00A729FD"/>
    <w:rsid w:val="00A72DF5"/>
    <w:rsid w:val="00A73046"/>
    <w:rsid w:val="00A73134"/>
    <w:rsid w:val="00A73615"/>
    <w:rsid w:val="00A73620"/>
    <w:rsid w:val="00A7366E"/>
    <w:rsid w:val="00A739F0"/>
    <w:rsid w:val="00A73AB5"/>
    <w:rsid w:val="00A73B24"/>
    <w:rsid w:val="00A73C42"/>
    <w:rsid w:val="00A73C98"/>
    <w:rsid w:val="00A73CD6"/>
    <w:rsid w:val="00A73CFB"/>
    <w:rsid w:val="00A73EB4"/>
    <w:rsid w:val="00A73ED3"/>
    <w:rsid w:val="00A73FEF"/>
    <w:rsid w:val="00A74040"/>
    <w:rsid w:val="00A743D0"/>
    <w:rsid w:val="00A748C5"/>
    <w:rsid w:val="00A74AF8"/>
    <w:rsid w:val="00A750F8"/>
    <w:rsid w:val="00A751C5"/>
    <w:rsid w:val="00A7559A"/>
    <w:rsid w:val="00A757D5"/>
    <w:rsid w:val="00A75893"/>
    <w:rsid w:val="00A75E2B"/>
    <w:rsid w:val="00A75E79"/>
    <w:rsid w:val="00A76168"/>
    <w:rsid w:val="00A761BF"/>
    <w:rsid w:val="00A76922"/>
    <w:rsid w:val="00A7694C"/>
    <w:rsid w:val="00A76E20"/>
    <w:rsid w:val="00A76EAB"/>
    <w:rsid w:val="00A76EF5"/>
    <w:rsid w:val="00A76FD3"/>
    <w:rsid w:val="00A77105"/>
    <w:rsid w:val="00A772C8"/>
    <w:rsid w:val="00A777B2"/>
    <w:rsid w:val="00A7797C"/>
    <w:rsid w:val="00A779B1"/>
    <w:rsid w:val="00A77BCC"/>
    <w:rsid w:val="00A77E35"/>
    <w:rsid w:val="00A80582"/>
    <w:rsid w:val="00A80E9B"/>
    <w:rsid w:val="00A80F0B"/>
    <w:rsid w:val="00A8128F"/>
    <w:rsid w:val="00A8134D"/>
    <w:rsid w:val="00A813D8"/>
    <w:rsid w:val="00A81508"/>
    <w:rsid w:val="00A8158B"/>
    <w:rsid w:val="00A815F8"/>
    <w:rsid w:val="00A816A3"/>
    <w:rsid w:val="00A817BB"/>
    <w:rsid w:val="00A817C1"/>
    <w:rsid w:val="00A81841"/>
    <w:rsid w:val="00A81C01"/>
    <w:rsid w:val="00A81EE7"/>
    <w:rsid w:val="00A81F9E"/>
    <w:rsid w:val="00A8210E"/>
    <w:rsid w:val="00A82190"/>
    <w:rsid w:val="00A8252B"/>
    <w:rsid w:val="00A82A62"/>
    <w:rsid w:val="00A82E41"/>
    <w:rsid w:val="00A82F20"/>
    <w:rsid w:val="00A8311B"/>
    <w:rsid w:val="00A836FB"/>
    <w:rsid w:val="00A8370F"/>
    <w:rsid w:val="00A83BAE"/>
    <w:rsid w:val="00A83D66"/>
    <w:rsid w:val="00A83DA7"/>
    <w:rsid w:val="00A840CC"/>
    <w:rsid w:val="00A8432E"/>
    <w:rsid w:val="00A843B2"/>
    <w:rsid w:val="00A844FF"/>
    <w:rsid w:val="00A84D98"/>
    <w:rsid w:val="00A85006"/>
    <w:rsid w:val="00A8510A"/>
    <w:rsid w:val="00A85329"/>
    <w:rsid w:val="00A85533"/>
    <w:rsid w:val="00A857D1"/>
    <w:rsid w:val="00A858F3"/>
    <w:rsid w:val="00A85B27"/>
    <w:rsid w:val="00A85CA8"/>
    <w:rsid w:val="00A85CD5"/>
    <w:rsid w:val="00A85EA5"/>
    <w:rsid w:val="00A85EF1"/>
    <w:rsid w:val="00A86024"/>
    <w:rsid w:val="00A861BD"/>
    <w:rsid w:val="00A866DD"/>
    <w:rsid w:val="00A86915"/>
    <w:rsid w:val="00A86ACF"/>
    <w:rsid w:val="00A86D1F"/>
    <w:rsid w:val="00A86E7D"/>
    <w:rsid w:val="00A86E8B"/>
    <w:rsid w:val="00A86FA4"/>
    <w:rsid w:val="00A870DD"/>
    <w:rsid w:val="00A87164"/>
    <w:rsid w:val="00A8724A"/>
    <w:rsid w:val="00A8761A"/>
    <w:rsid w:val="00A876D3"/>
    <w:rsid w:val="00A877F5"/>
    <w:rsid w:val="00A87E1B"/>
    <w:rsid w:val="00A900DF"/>
    <w:rsid w:val="00A90315"/>
    <w:rsid w:val="00A9051B"/>
    <w:rsid w:val="00A905E3"/>
    <w:rsid w:val="00A90691"/>
    <w:rsid w:val="00A90731"/>
    <w:rsid w:val="00A908A7"/>
    <w:rsid w:val="00A90F56"/>
    <w:rsid w:val="00A91001"/>
    <w:rsid w:val="00A913BE"/>
    <w:rsid w:val="00A91888"/>
    <w:rsid w:val="00A91ABC"/>
    <w:rsid w:val="00A91CDA"/>
    <w:rsid w:val="00A91E7B"/>
    <w:rsid w:val="00A91F5F"/>
    <w:rsid w:val="00A92132"/>
    <w:rsid w:val="00A9255E"/>
    <w:rsid w:val="00A9256A"/>
    <w:rsid w:val="00A9278F"/>
    <w:rsid w:val="00A92A31"/>
    <w:rsid w:val="00A92AB9"/>
    <w:rsid w:val="00A92FDD"/>
    <w:rsid w:val="00A93072"/>
    <w:rsid w:val="00A930FA"/>
    <w:rsid w:val="00A93138"/>
    <w:rsid w:val="00A93871"/>
    <w:rsid w:val="00A93877"/>
    <w:rsid w:val="00A93916"/>
    <w:rsid w:val="00A93953"/>
    <w:rsid w:val="00A93EEE"/>
    <w:rsid w:val="00A9406E"/>
    <w:rsid w:val="00A9410D"/>
    <w:rsid w:val="00A943E1"/>
    <w:rsid w:val="00A94667"/>
    <w:rsid w:val="00A94B57"/>
    <w:rsid w:val="00A94B8B"/>
    <w:rsid w:val="00A94C11"/>
    <w:rsid w:val="00A94E73"/>
    <w:rsid w:val="00A95639"/>
    <w:rsid w:val="00A959D8"/>
    <w:rsid w:val="00A95D69"/>
    <w:rsid w:val="00A95EBD"/>
    <w:rsid w:val="00A95F7B"/>
    <w:rsid w:val="00A966FA"/>
    <w:rsid w:val="00A96716"/>
    <w:rsid w:val="00A96B7D"/>
    <w:rsid w:val="00A96F34"/>
    <w:rsid w:val="00A97439"/>
    <w:rsid w:val="00A97783"/>
    <w:rsid w:val="00A97F8D"/>
    <w:rsid w:val="00AA0371"/>
    <w:rsid w:val="00AA0405"/>
    <w:rsid w:val="00AA0670"/>
    <w:rsid w:val="00AA0C2D"/>
    <w:rsid w:val="00AA0C69"/>
    <w:rsid w:val="00AA0DD9"/>
    <w:rsid w:val="00AA0FB3"/>
    <w:rsid w:val="00AA113D"/>
    <w:rsid w:val="00AA150D"/>
    <w:rsid w:val="00AA15C4"/>
    <w:rsid w:val="00AA1715"/>
    <w:rsid w:val="00AA1B2A"/>
    <w:rsid w:val="00AA1B60"/>
    <w:rsid w:val="00AA1CAD"/>
    <w:rsid w:val="00AA1D1B"/>
    <w:rsid w:val="00AA1FB6"/>
    <w:rsid w:val="00AA21F0"/>
    <w:rsid w:val="00AA226A"/>
    <w:rsid w:val="00AA2608"/>
    <w:rsid w:val="00AA27E2"/>
    <w:rsid w:val="00AA2F5A"/>
    <w:rsid w:val="00AA2FB5"/>
    <w:rsid w:val="00AA3198"/>
    <w:rsid w:val="00AA334E"/>
    <w:rsid w:val="00AA348F"/>
    <w:rsid w:val="00AA349E"/>
    <w:rsid w:val="00AA35FD"/>
    <w:rsid w:val="00AA3763"/>
    <w:rsid w:val="00AA3D06"/>
    <w:rsid w:val="00AA3D87"/>
    <w:rsid w:val="00AA3DBC"/>
    <w:rsid w:val="00AA4A8C"/>
    <w:rsid w:val="00AA4C56"/>
    <w:rsid w:val="00AA4EF8"/>
    <w:rsid w:val="00AA4F70"/>
    <w:rsid w:val="00AA4FE9"/>
    <w:rsid w:val="00AA526A"/>
    <w:rsid w:val="00AA54CA"/>
    <w:rsid w:val="00AA55E3"/>
    <w:rsid w:val="00AA5868"/>
    <w:rsid w:val="00AA5E20"/>
    <w:rsid w:val="00AA6019"/>
    <w:rsid w:val="00AA6122"/>
    <w:rsid w:val="00AA638C"/>
    <w:rsid w:val="00AA6408"/>
    <w:rsid w:val="00AA68B3"/>
    <w:rsid w:val="00AA6941"/>
    <w:rsid w:val="00AA697E"/>
    <w:rsid w:val="00AA69A5"/>
    <w:rsid w:val="00AA6BBB"/>
    <w:rsid w:val="00AA6C7D"/>
    <w:rsid w:val="00AA7320"/>
    <w:rsid w:val="00AA74D4"/>
    <w:rsid w:val="00AA74FE"/>
    <w:rsid w:val="00AA772F"/>
    <w:rsid w:val="00AA78BF"/>
    <w:rsid w:val="00AA7A1F"/>
    <w:rsid w:val="00AA7EB8"/>
    <w:rsid w:val="00AA7EF5"/>
    <w:rsid w:val="00AA7EF8"/>
    <w:rsid w:val="00AA7FD6"/>
    <w:rsid w:val="00AB0026"/>
    <w:rsid w:val="00AB0306"/>
    <w:rsid w:val="00AB042A"/>
    <w:rsid w:val="00AB067F"/>
    <w:rsid w:val="00AB0ACA"/>
    <w:rsid w:val="00AB0BDB"/>
    <w:rsid w:val="00AB1069"/>
    <w:rsid w:val="00AB10A4"/>
    <w:rsid w:val="00AB1240"/>
    <w:rsid w:val="00AB16BF"/>
    <w:rsid w:val="00AB1AB1"/>
    <w:rsid w:val="00AB1B06"/>
    <w:rsid w:val="00AB1CCE"/>
    <w:rsid w:val="00AB1DC1"/>
    <w:rsid w:val="00AB1DFC"/>
    <w:rsid w:val="00AB21BD"/>
    <w:rsid w:val="00AB21E2"/>
    <w:rsid w:val="00AB23E6"/>
    <w:rsid w:val="00AB252D"/>
    <w:rsid w:val="00AB25F6"/>
    <w:rsid w:val="00AB279F"/>
    <w:rsid w:val="00AB2805"/>
    <w:rsid w:val="00AB2875"/>
    <w:rsid w:val="00AB2929"/>
    <w:rsid w:val="00AB29E9"/>
    <w:rsid w:val="00AB2A4F"/>
    <w:rsid w:val="00AB2D34"/>
    <w:rsid w:val="00AB2DBE"/>
    <w:rsid w:val="00AB2F00"/>
    <w:rsid w:val="00AB300F"/>
    <w:rsid w:val="00AB33C1"/>
    <w:rsid w:val="00AB3430"/>
    <w:rsid w:val="00AB34C6"/>
    <w:rsid w:val="00AB3515"/>
    <w:rsid w:val="00AB3555"/>
    <w:rsid w:val="00AB35FF"/>
    <w:rsid w:val="00AB362A"/>
    <w:rsid w:val="00AB36E5"/>
    <w:rsid w:val="00AB37D5"/>
    <w:rsid w:val="00AB383A"/>
    <w:rsid w:val="00AB39C1"/>
    <w:rsid w:val="00AB3B5C"/>
    <w:rsid w:val="00AB3B76"/>
    <w:rsid w:val="00AB3F54"/>
    <w:rsid w:val="00AB4287"/>
    <w:rsid w:val="00AB443D"/>
    <w:rsid w:val="00AB45AE"/>
    <w:rsid w:val="00AB4657"/>
    <w:rsid w:val="00AB46AE"/>
    <w:rsid w:val="00AB4700"/>
    <w:rsid w:val="00AB49DF"/>
    <w:rsid w:val="00AB4AD1"/>
    <w:rsid w:val="00AB4B3B"/>
    <w:rsid w:val="00AB4CAC"/>
    <w:rsid w:val="00AB53A2"/>
    <w:rsid w:val="00AB55E4"/>
    <w:rsid w:val="00AB59FF"/>
    <w:rsid w:val="00AB5D73"/>
    <w:rsid w:val="00AB6189"/>
    <w:rsid w:val="00AB6293"/>
    <w:rsid w:val="00AB6593"/>
    <w:rsid w:val="00AB6C5C"/>
    <w:rsid w:val="00AB74A3"/>
    <w:rsid w:val="00AB7642"/>
    <w:rsid w:val="00AB775D"/>
    <w:rsid w:val="00AB778A"/>
    <w:rsid w:val="00AB7A97"/>
    <w:rsid w:val="00AB7CC9"/>
    <w:rsid w:val="00AB7CF1"/>
    <w:rsid w:val="00AB7CFA"/>
    <w:rsid w:val="00AC025E"/>
    <w:rsid w:val="00AC0588"/>
    <w:rsid w:val="00AC0DC0"/>
    <w:rsid w:val="00AC0EF0"/>
    <w:rsid w:val="00AC10BF"/>
    <w:rsid w:val="00AC10C3"/>
    <w:rsid w:val="00AC1135"/>
    <w:rsid w:val="00AC133B"/>
    <w:rsid w:val="00AC14D0"/>
    <w:rsid w:val="00AC1533"/>
    <w:rsid w:val="00AC17F4"/>
    <w:rsid w:val="00AC1AAE"/>
    <w:rsid w:val="00AC239E"/>
    <w:rsid w:val="00AC258F"/>
    <w:rsid w:val="00AC25A3"/>
    <w:rsid w:val="00AC25BE"/>
    <w:rsid w:val="00AC25E4"/>
    <w:rsid w:val="00AC2641"/>
    <w:rsid w:val="00AC2715"/>
    <w:rsid w:val="00AC2736"/>
    <w:rsid w:val="00AC27E9"/>
    <w:rsid w:val="00AC2A30"/>
    <w:rsid w:val="00AC2A70"/>
    <w:rsid w:val="00AC2B46"/>
    <w:rsid w:val="00AC2DDA"/>
    <w:rsid w:val="00AC303E"/>
    <w:rsid w:val="00AC3143"/>
    <w:rsid w:val="00AC315D"/>
    <w:rsid w:val="00AC324B"/>
    <w:rsid w:val="00AC32B0"/>
    <w:rsid w:val="00AC349A"/>
    <w:rsid w:val="00AC3BB8"/>
    <w:rsid w:val="00AC3BED"/>
    <w:rsid w:val="00AC3E01"/>
    <w:rsid w:val="00AC457A"/>
    <w:rsid w:val="00AC472F"/>
    <w:rsid w:val="00AC48CD"/>
    <w:rsid w:val="00AC49C4"/>
    <w:rsid w:val="00AC4AF1"/>
    <w:rsid w:val="00AC4B23"/>
    <w:rsid w:val="00AC53CA"/>
    <w:rsid w:val="00AC53D3"/>
    <w:rsid w:val="00AC56BF"/>
    <w:rsid w:val="00AC570D"/>
    <w:rsid w:val="00AC57B5"/>
    <w:rsid w:val="00AC57E8"/>
    <w:rsid w:val="00AC589E"/>
    <w:rsid w:val="00AC59A5"/>
    <w:rsid w:val="00AC5B48"/>
    <w:rsid w:val="00AC5FBA"/>
    <w:rsid w:val="00AC60A4"/>
    <w:rsid w:val="00AC60EF"/>
    <w:rsid w:val="00AC60F5"/>
    <w:rsid w:val="00AC660E"/>
    <w:rsid w:val="00AC6667"/>
    <w:rsid w:val="00AC67CE"/>
    <w:rsid w:val="00AC6998"/>
    <w:rsid w:val="00AC699E"/>
    <w:rsid w:val="00AC6B00"/>
    <w:rsid w:val="00AC6C40"/>
    <w:rsid w:val="00AC6CF3"/>
    <w:rsid w:val="00AC6DC8"/>
    <w:rsid w:val="00AC6EB6"/>
    <w:rsid w:val="00AC723C"/>
    <w:rsid w:val="00AC75EA"/>
    <w:rsid w:val="00AC7839"/>
    <w:rsid w:val="00AC792F"/>
    <w:rsid w:val="00AC794B"/>
    <w:rsid w:val="00AC7A93"/>
    <w:rsid w:val="00AC7D4E"/>
    <w:rsid w:val="00AC7DC5"/>
    <w:rsid w:val="00AC7ED5"/>
    <w:rsid w:val="00AC7F17"/>
    <w:rsid w:val="00AD04C7"/>
    <w:rsid w:val="00AD04C8"/>
    <w:rsid w:val="00AD0623"/>
    <w:rsid w:val="00AD07E0"/>
    <w:rsid w:val="00AD083C"/>
    <w:rsid w:val="00AD0C85"/>
    <w:rsid w:val="00AD0CE6"/>
    <w:rsid w:val="00AD0E8C"/>
    <w:rsid w:val="00AD0FC0"/>
    <w:rsid w:val="00AD1017"/>
    <w:rsid w:val="00AD136D"/>
    <w:rsid w:val="00AD1389"/>
    <w:rsid w:val="00AD146C"/>
    <w:rsid w:val="00AD148F"/>
    <w:rsid w:val="00AD18C6"/>
    <w:rsid w:val="00AD195E"/>
    <w:rsid w:val="00AD1D11"/>
    <w:rsid w:val="00AD1FDE"/>
    <w:rsid w:val="00AD20B2"/>
    <w:rsid w:val="00AD216F"/>
    <w:rsid w:val="00AD23B0"/>
    <w:rsid w:val="00AD24EC"/>
    <w:rsid w:val="00AD25BE"/>
    <w:rsid w:val="00AD25DA"/>
    <w:rsid w:val="00AD283D"/>
    <w:rsid w:val="00AD28F4"/>
    <w:rsid w:val="00AD2BE4"/>
    <w:rsid w:val="00AD2D46"/>
    <w:rsid w:val="00AD2FA5"/>
    <w:rsid w:val="00AD30E6"/>
    <w:rsid w:val="00AD3221"/>
    <w:rsid w:val="00AD333A"/>
    <w:rsid w:val="00AD3462"/>
    <w:rsid w:val="00AD37D5"/>
    <w:rsid w:val="00AD3BBD"/>
    <w:rsid w:val="00AD3C18"/>
    <w:rsid w:val="00AD3F3C"/>
    <w:rsid w:val="00AD432C"/>
    <w:rsid w:val="00AD43AA"/>
    <w:rsid w:val="00AD481C"/>
    <w:rsid w:val="00AD4910"/>
    <w:rsid w:val="00AD4E1B"/>
    <w:rsid w:val="00AD4F56"/>
    <w:rsid w:val="00AD5024"/>
    <w:rsid w:val="00AD5029"/>
    <w:rsid w:val="00AD50A8"/>
    <w:rsid w:val="00AD50C5"/>
    <w:rsid w:val="00AD5342"/>
    <w:rsid w:val="00AD56D0"/>
    <w:rsid w:val="00AD5960"/>
    <w:rsid w:val="00AD6088"/>
    <w:rsid w:val="00AD615B"/>
    <w:rsid w:val="00AD6201"/>
    <w:rsid w:val="00AD6257"/>
    <w:rsid w:val="00AD6502"/>
    <w:rsid w:val="00AD6C60"/>
    <w:rsid w:val="00AD6D2A"/>
    <w:rsid w:val="00AD6F0C"/>
    <w:rsid w:val="00AD6F62"/>
    <w:rsid w:val="00AD71BD"/>
    <w:rsid w:val="00AD7223"/>
    <w:rsid w:val="00AD7387"/>
    <w:rsid w:val="00AD73E9"/>
    <w:rsid w:val="00AD741C"/>
    <w:rsid w:val="00AD784D"/>
    <w:rsid w:val="00AD7A19"/>
    <w:rsid w:val="00AD7C05"/>
    <w:rsid w:val="00AE0028"/>
    <w:rsid w:val="00AE0084"/>
    <w:rsid w:val="00AE00C1"/>
    <w:rsid w:val="00AE0212"/>
    <w:rsid w:val="00AE045E"/>
    <w:rsid w:val="00AE04CF"/>
    <w:rsid w:val="00AE0816"/>
    <w:rsid w:val="00AE090A"/>
    <w:rsid w:val="00AE09F1"/>
    <w:rsid w:val="00AE0C2A"/>
    <w:rsid w:val="00AE0DF3"/>
    <w:rsid w:val="00AE0F63"/>
    <w:rsid w:val="00AE12C8"/>
    <w:rsid w:val="00AE1A34"/>
    <w:rsid w:val="00AE1AC6"/>
    <w:rsid w:val="00AE1AD1"/>
    <w:rsid w:val="00AE1E8A"/>
    <w:rsid w:val="00AE24DB"/>
    <w:rsid w:val="00AE25D0"/>
    <w:rsid w:val="00AE260B"/>
    <w:rsid w:val="00AE26B6"/>
    <w:rsid w:val="00AE28DA"/>
    <w:rsid w:val="00AE2B07"/>
    <w:rsid w:val="00AE3156"/>
    <w:rsid w:val="00AE355F"/>
    <w:rsid w:val="00AE356B"/>
    <w:rsid w:val="00AE3784"/>
    <w:rsid w:val="00AE37E0"/>
    <w:rsid w:val="00AE381F"/>
    <w:rsid w:val="00AE382A"/>
    <w:rsid w:val="00AE4416"/>
    <w:rsid w:val="00AE444D"/>
    <w:rsid w:val="00AE44CE"/>
    <w:rsid w:val="00AE45EF"/>
    <w:rsid w:val="00AE46A0"/>
    <w:rsid w:val="00AE46D9"/>
    <w:rsid w:val="00AE482F"/>
    <w:rsid w:val="00AE49EA"/>
    <w:rsid w:val="00AE4EAD"/>
    <w:rsid w:val="00AE52EC"/>
    <w:rsid w:val="00AE5747"/>
    <w:rsid w:val="00AE5769"/>
    <w:rsid w:val="00AE5BF7"/>
    <w:rsid w:val="00AE5DB7"/>
    <w:rsid w:val="00AE5E3C"/>
    <w:rsid w:val="00AE5F9E"/>
    <w:rsid w:val="00AE6116"/>
    <w:rsid w:val="00AE6160"/>
    <w:rsid w:val="00AE6251"/>
    <w:rsid w:val="00AE63D5"/>
    <w:rsid w:val="00AE658A"/>
    <w:rsid w:val="00AE658D"/>
    <w:rsid w:val="00AE663A"/>
    <w:rsid w:val="00AE6847"/>
    <w:rsid w:val="00AE6EED"/>
    <w:rsid w:val="00AE7293"/>
    <w:rsid w:val="00AE7492"/>
    <w:rsid w:val="00AE75FE"/>
    <w:rsid w:val="00AE78AA"/>
    <w:rsid w:val="00AE79D2"/>
    <w:rsid w:val="00AE7AE9"/>
    <w:rsid w:val="00AE7F47"/>
    <w:rsid w:val="00AF03AA"/>
    <w:rsid w:val="00AF0482"/>
    <w:rsid w:val="00AF0528"/>
    <w:rsid w:val="00AF0744"/>
    <w:rsid w:val="00AF0890"/>
    <w:rsid w:val="00AF0892"/>
    <w:rsid w:val="00AF08D1"/>
    <w:rsid w:val="00AF0AFD"/>
    <w:rsid w:val="00AF0CAB"/>
    <w:rsid w:val="00AF0D25"/>
    <w:rsid w:val="00AF0EB8"/>
    <w:rsid w:val="00AF0ED7"/>
    <w:rsid w:val="00AF1063"/>
    <w:rsid w:val="00AF11CD"/>
    <w:rsid w:val="00AF1315"/>
    <w:rsid w:val="00AF131B"/>
    <w:rsid w:val="00AF13D1"/>
    <w:rsid w:val="00AF16E1"/>
    <w:rsid w:val="00AF17A0"/>
    <w:rsid w:val="00AF184B"/>
    <w:rsid w:val="00AF1907"/>
    <w:rsid w:val="00AF19BF"/>
    <w:rsid w:val="00AF1AFE"/>
    <w:rsid w:val="00AF1CFF"/>
    <w:rsid w:val="00AF1D61"/>
    <w:rsid w:val="00AF1D71"/>
    <w:rsid w:val="00AF1EEF"/>
    <w:rsid w:val="00AF1FDA"/>
    <w:rsid w:val="00AF2100"/>
    <w:rsid w:val="00AF215C"/>
    <w:rsid w:val="00AF2223"/>
    <w:rsid w:val="00AF24DD"/>
    <w:rsid w:val="00AF2798"/>
    <w:rsid w:val="00AF27A3"/>
    <w:rsid w:val="00AF28B7"/>
    <w:rsid w:val="00AF29B5"/>
    <w:rsid w:val="00AF2B4A"/>
    <w:rsid w:val="00AF2DC3"/>
    <w:rsid w:val="00AF2E1B"/>
    <w:rsid w:val="00AF2E59"/>
    <w:rsid w:val="00AF319F"/>
    <w:rsid w:val="00AF31F5"/>
    <w:rsid w:val="00AF36C7"/>
    <w:rsid w:val="00AF3752"/>
    <w:rsid w:val="00AF375B"/>
    <w:rsid w:val="00AF387D"/>
    <w:rsid w:val="00AF3B8D"/>
    <w:rsid w:val="00AF3CCB"/>
    <w:rsid w:val="00AF3D0C"/>
    <w:rsid w:val="00AF4033"/>
    <w:rsid w:val="00AF4788"/>
    <w:rsid w:val="00AF49EE"/>
    <w:rsid w:val="00AF4BBA"/>
    <w:rsid w:val="00AF4ECA"/>
    <w:rsid w:val="00AF51DC"/>
    <w:rsid w:val="00AF5459"/>
    <w:rsid w:val="00AF563A"/>
    <w:rsid w:val="00AF589B"/>
    <w:rsid w:val="00AF5AA1"/>
    <w:rsid w:val="00AF5E0A"/>
    <w:rsid w:val="00AF5FEC"/>
    <w:rsid w:val="00AF63F6"/>
    <w:rsid w:val="00AF6732"/>
    <w:rsid w:val="00AF67CF"/>
    <w:rsid w:val="00AF6D7B"/>
    <w:rsid w:val="00AF72B2"/>
    <w:rsid w:val="00AF7472"/>
    <w:rsid w:val="00AF774F"/>
    <w:rsid w:val="00AF783E"/>
    <w:rsid w:val="00AF79D6"/>
    <w:rsid w:val="00B00473"/>
    <w:rsid w:val="00B006EB"/>
    <w:rsid w:val="00B0089C"/>
    <w:rsid w:val="00B00A8E"/>
    <w:rsid w:val="00B00B21"/>
    <w:rsid w:val="00B00F07"/>
    <w:rsid w:val="00B0106C"/>
    <w:rsid w:val="00B01AA0"/>
    <w:rsid w:val="00B01AA5"/>
    <w:rsid w:val="00B022F7"/>
    <w:rsid w:val="00B02376"/>
    <w:rsid w:val="00B02703"/>
    <w:rsid w:val="00B0287F"/>
    <w:rsid w:val="00B02944"/>
    <w:rsid w:val="00B033E5"/>
    <w:rsid w:val="00B034BC"/>
    <w:rsid w:val="00B034E3"/>
    <w:rsid w:val="00B0361E"/>
    <w:rsid w:val="00B0366C"/>
    <w:rsid w:val="00B039C1"/>
    <w:rsid w:val="00B03A63"/>
    <w:rsid w:val="00B03AA1"/>
    <w:rsid w:val="00B03ADA"/>
    <w:rsid w:val="00B03F8C"/>
    <w:rsid w:val="00B03FF1"/>
    <w:rsid w:val="00B0400A"/>
    <w:rsid w:val="00B04C42"/>
    <w:rsid w:val="00B04C5B"/>
    <w:rsid w:val="00B0503B"/>
    <w:rsid w:val="00B05058"/>
    <w:rsid w:val="00B053FD"/>
    <w:rsid w:val="00B0563D"/>
    <w:rsid w:val="00B057AD"/>
    <w:rsid w:val="00B05821"/>
    <w:rsid w:val="00B05922"/>
    <w:rsid w:val="00B05986"/>
    <w:rsid w:val="00B059E5"/>
    <w:rsid w:val="00B05BEA"/>
    <w:rsid w:val="00B05D0E"/>
    <w:rsid w:val="00B05DBB"/>
    <w:rsid w:val="00B06299"/>
    <w:rsid w:val="00B06327"/>
    <w:rsid w:val="00B06562"/>
    <w:rsid w:val="00B0657D"/>
    <w:rsid w:val="00B06847"/>
    <w:rsid w:val="00B06976"/>
    <w:rsid w:val="00B06BDF"/>
    <w:rsid w:val="00B06FAD"/>
    <w:rsid w:val="00B071CD"/>
    <w:rsid w:val="00B0738B"/>
    <w:rsid w:val="00B075A4"/>
    <w:rsid w:val="00B07668"/>
    <w:rsid w:val="00B0790A"/>
    <w:rsid w:val="00B07BC5"/>
    <w:rsid w:val="00B07C3F"/>
    <w:rsid w:val="00B10091"/>
    <w:rsid w:val="00B108CF"/>
    <w:rsid w:val="00B10BE5"/>
    <w:rsid w:val="00B10DB4"/>
    <w:rsid w:val="00B10F5D"/>
    <w:rsid w:val="00B11126"/>
    <w:rsid w:val="00B114AF"/>
    <w:rsid w:val="00B115B7"/>
    <w:rsid w:val="00B1161F"/>
    <w:rsid w:val="00B11B60"/>
    <w:rsid w:val="00B11E01"/>
    <w:rsid w:val="00B12076"/>
    <w:rsid w:val="00B120B4"/>
    <w:rsid w:val="00B12352"/>
    <w:rsid w:val="00B1261F"/>
    <w:rsid w:val="00B1292C"/>
    <w:rsid w:val="00B12A0B"/>
    <w:rsid w:val="00B12B09"/>
    <w:rsid w:val="00B12FDF"/>
    <w:rsid w:val="00B134B4"/>
    <w:rsid w:val="00B13505"/>
    <w:rsid w:val="00B135B2"/>
    <w:rsid w:val="00B13734"/>
    <w:rsid w:val="00B13AEB"/>
    <w:rsid w:val="00B13BCD"/>
    <w:rsid w:val="00B13BE0"/>
    <w:rsid w:val="00B14039"/>
    <w:rsid w:val="00B14218"/>
    <w:rsid w:val="00B14506"/>
    <w:rsid w:val="00B14906"/>
    <w:rsid w:val="00B14A69"/>
    <w:rsid w:val="00B14C55"/>
    <w:rsid w:val="00B14D0B"/>
    <w:rsid w:val="00B1512B"/>
    <w:rsid w:val="00B1520B"/>
    <w:rsid w:val="00B155CE"/>
    <w:rsid w:val="00B156A2"/>
    <w:rsid w:val="00B1584B"/>
    <w:rsid w:val="00B159D0"/>
    <w:rsid w:val="00B15A88"/>
    <w:rsid w:val="00B15B66"/>
    <w:rsid w:val="00B15C22"/>
    <w:rsid w:val="00B15D52"/>
    <w:rsid w:val="00B15E7C"/>
    <w:rsid w:val="00B15F73"/>
    <w:rsid w:val="00B16359"/>
    <w:rsid w:val="00B1641A"/>
    <w:rsid w:val="00B16542"/>
    <w:rsid w:val="00B16866"/>
    <w:rsid w:val="00B16B93"/>
    <w:rsid w:val="00B16DB9"/>
    <w:rsid w:val="00B170D4"/>
    <w:rsid w:val="00B170FE"/>
    <w:rsid w:val="00B1713D"/>
    <w:rsid w:val="00B172DE"/>
    <w:rsid w:val="00B1736F"/>
    <w:rsid w:val="00B1753F"/>
    <w:rsid w:val="00B1772C"/>
    <w:rsid w:val="00B178FE"/>
    <w:rsid w:val="00B17B35"/>
    <w:rsid w:val="00B17C23"/>
    <w:rsid w:val="00B17D27"/>
    <w:rsid w:val="00B17DA2"/>
    <w:rsid w:val="00B2004B"/>
    <w:rsid w:val="00B2010F"/>
    <w:rsid w:val="00B201A4"/>
    <w:rsid w:val="00B2038A"/>
    <w:rsid w:val="00B20403"/>
    <w:rsid w:val="00B204BD"/>
    <w:rsid w:val="00B204DB"/>
    <w:rsid w:val="00B2057D"/>
    <w:rsid w:val="00B205BA"/>
    <w:rsid w:val="00B2078C"/>
    <w:rsid w:val="00B20C29"/>
    <w:rsid w:val="00B20FD7"/>
    <w:rsid w:val="00B2102A"/>
    <w:rsid w:val="00B21110"/>
    <w:rsid w:val="00B21389"/>
    <w:rsid w:val="00B213A6"/>
    <w:rsid w:val="00B213DD"/>
    <w:rsid w:val="00B21597"/>
    <w:rsid w:val="00B220E0"/>
    <w:rsid w:val="00B2217E"/>
    <w:rsid w:val="00B22266"/>
    <w:rsid w:val="00B2228C"/>
    <w:rsid w:val="00B22568"/>
    <w:rsid w:val="00B2273B"/>
    <w:rsid w:val="00B22B60"/>
    <w:rsid w:val="00B230FF"/>
    <w:rsid w:val="00B2314E"/>
    <w:rsid w:val="00B231A4"/>
    <w:rsid w:val="00B2325A"/>
    <w:rsid w:val="00B2336E"/>
    <w:rsid w:val="00B235D5"/>
    <w:rsid w:val="00B236DB"/>
    <w:rsid w:val="00B23B8C"/>
    <w:rsid w:val="00B23C35"/>
    <w:rsid w:val="00B23C79"/>
    <w:rsid w:val="00B24105"/>
    <w:rsid w:val="00B24117"/>
    <w:rsid w:val="00B24579"/>
    <w:rsid w:val="00B24599"/>
    <w:rsid w:val="00B24ADD"/>
    <w:rsid w:val="00B24C1D"/>
    <w:rsid w:val="00B24DAE"/>
    <w:rsid w:val="00B24DF6"/>
    <w:rsid w:val="00B25407"/>
    <w:rsid w:val="00B259AE"/>
    <w:rsid w:val="00B259F9"/>
    <w:rsid w:val="00B25AA9"/>
    <w:rsid w:val="00B25D6C"/>
    <w:rsid w:val="00B25E2A"/>
    <w:rsid w:val="00B2602E"/>
    <w:rsid w:val="00B262E5"/>
    <w:rsid w:val="00B268E2"/>
    <w:rsid w:val="00B269C2"/>
    <w:rsid w:val="00B2736C"/>
    <w:rsid w:val="00B27436"/>
    <w:rsid w:val="00B27925"/>
    <w:rsid w:val="00B27AF7"/>
    <w:rsid w:val="00B27BBC"/>
    <w:rsid w:val="00B27E73"/>
    <w:rsid w:val="00B27F0D"/>
    <w:rsid w:val="00B27F72"/>
    <w:rsid w:val="00B30107"/>
    <w:rsid w:val="00B307DF"/>
    <w:rsid w:val="00B308D8"/>
    <w:rsid w:val="00B30A05"/>
    <w:rsid w:val="00B30CC3"/>
    <w:rsid w:val="00B30E2A"/>
    <w:rsid w:val="00B312B7"/>
    <w:rsid w:val="00B3165E"/>
    <w:rsid w:val="00B31789"/>
    <w:rsid w:val="00B31A38"/>
    <w:rsid w:val="00B31C00"/>
    <w:rsid w:val="00B31C9D"/>
    <w:rsid w:val="00B31F2F"/>
    <w:rsid w:val="00B3234B"/>
    <w:rsid w:val="00B324DA"/>
    <w:rsid w:val="00B32584"/>
    <w:rsid w:val="00B32898"/>
    <w:rsid w:val="00B329C1"/>
    <w:rsid w:val="00B32FF7"/>
    <w:rsid w:val="00B3308B"/>
    <w:rsid w:val="00B332D6"/>
    <w:rsid w:val="00B3333A"/>
    <w:rsid w:val="00B333BD"/>
    <w:rsid w:val="00B334D8"/>
    <w:rsid w:val="00B334E7"/>
    <w:rsid w:val="00B335F9"/>
    <w:rsid w:val="00B336F1"/>
    <w:rsid w:val="00B337BB"/>
    <w:rsid w:val="00B33B7D"/>
    <w:rsid w:val="00B33BB9"/>
    <w:rsid w:val="00B33FA8"/>
    <w:rsid w:val="00B3413F"/>
    <w:rsid w:val="00B34222"/>
    <w:rsid w:val="00B34423"/>
    <w:rsid w:val="00B347FD"/>
    <w:rsid w:val="00B348CF"/>
    <w:rsid w:val="00B349CF"/>
    <w:rsid w:val="00B34AB1"/>
    <w:rsid w:val="00B34FD8"/>
    <w:rsid w:val="00B34FE2"/>
    <w:rsid w:val="00B357D8"/>
    <w:rsid w:val="00B35936"/>
    <w:rsid w:val="00B35B1B"/>
    <w:rsid w:val="00B35C8F"/>
    <w:rsid w:val="00B35CF5"/>
    <w:rsid w:val="00B35E54"/>
    <w:rsid w:val="00B35EF1"/>
    <w:rsid w:val="00B36138"/>
    <w:rsid w:val="00B36508"/>
    <w:rsid w:val="00B366E6"/>
    <w:rsid w:val="00B369FD"/>
    <w:rsid w:val="00B36B73"/>
    <w:rsid w:val="00B36CCC"/>
    <w:rsid w:val="00B36D8B"/>
    <w:rsid w:val="00B36E9D"/>
    <w:rsid w:val="00B36F10"/>
    <w:rsid w:val="00B370BB"/>
    <w:rsid w:val="00B37367"/>
    <w:rsid w:val="00B379DC"/>
    <w:rsid w:val="00B37BFC"/>
    <w:rsid w:val="00B37D15"/>
    <w:rsid w:val="00B37D69"/>
    <w:rsid w:val="00B40358"/>
    <w:rsid w:val="00B40994"/>
    <w:rsid w:val="00B40B3E"/>
    <w:rsid w:val="00B40C59"/>
    <w:rsid w:val="00B40F37"/>
    <w:rsid w:val="00B411F0"/>
    <w:rsid w:val="00B4127B"/>
    <w:rsid w:val="00B415D8"/>
    <w:rsid w:val="00B41614"/>
    <w:rsid w:val="00B41683"/>
    <w:rsid w:val="00B41780"/>
    <w:rsid w:val="00B41ABF"/>
    <w:rsid w:val="00B41B19"/>
    <w:rsid w:val="00B41BC6"/>
    <w:rsid w:val="00B41EC0"/>
    <w:rsid w:val="00B41F44"/>
    <w:rsid w:val="00B4209D"/>
    <w:rsid w:val="00B421F7"/>
    <w:rsid w:val="00B42578"/>
    <w:rsid w:val="00B42851"/>
    <w:rsid w:val="00B42962"/>
    <w:rsid w:val="00B42B9B"/>
    <w:rsid w:val="00B42C14"/>
    <w:rsid w:val="00B42D59"/>
    <w:rsid w:val="00B42D82"/>
    <w:rsid w:val="00B42F74"/>
    <w:rsid w:val="00B42F80"/>
    <w:rsid w:val="00B43050"/>
    <w:rsid w:val="00B4307C"/>
    <w:rsid w:val="00B43236"/>
    <w:rsid w:val="00B435CB"/>
    <w:rsid w:val="00B43616"/>
    <w:rsid w:val="00B4371F"/>
    <w:rsid w:val="00B437DA"/>
    <w:rsid w:val="00B439DE"/>
    <w:rsid w:val="00B43A6C"/>
    <w:rsid w:val="00B43A8D"/>
    <w:rsid w:val="00B43DD7"/>
    <w:rsid w:val="00B43DF4"/>
    <w:rsid w:val="00B43E28"/>
    <w:rsid w:val="00B444B2"/>
    <w:rsid w:val="00B44554"/>
    <w:rsid w:val="00B44B6E"/>
    <w:rsid w:val="00B44E92"/>
    <w:rsid w:val="00B44FBE"/>
    <w:rsid w:val="00B4525B"/>
    <w:rsid w:val="00B45480"/>
    <w:rsid w:val="00B4557B"/>
    <w:rsid w:val="00B456F5"/>
    <w:rsid w:val="00B459D3"/>
    <w:rsid w:val="00B45E6D"/>
    <w:rsid w:val="00B46011"/>
    <w:rsid w:val="00B46291"/>
    <w:rsid w:val="00B4640C"/>
    <w:rsid w:val="00B465D1"/>
    <w:rsid w:val="00B465DD"/>
    <w:rsid w:val="00B467DE"/>
    <w:rsid w:val="00B46970"/>
    <w:rsid w:val="00B46971"/>
    <w:rsid w:val="00B4697E"/>
    <w:rsid w:val="00B46D99"/>
    <w:rsid w:val="00B46F6F"/>
    <w:rsid w:val="00B46F79"/>
    <w:rsid w:val="00B47144"/>
    <w:rsid w:val="00B47484"/>
    <w:rsid w:val="00B474C0"/>
    <w:rsid w:val="00B476CD"/>
    <w:rsid w:val="00B47754"/>
    <w:rsid w:val="00B47766"/>
    <w:rsid w:val="00B477C5"/>
    <w:rsid w:val="00B47EFC"/>
    <w:rsid w:val="00B47F8E"/>
    <w:rsid w:val="00B50139"/>
    <w:rsid w:val="00B504B2"/>
    <w:rsid w:val="00B5058A"/>
    <w:rsid w:val="00B5075C"/>
    <w:rsid w:val="00B507B6"/>
    <w:rsid w:val="00B509EC"/>
    <w:rsid w:val="00B50B0D"/>
    <w:rsid w:val="00B50CD0"/>
    <w:rsid w:val="00B50DB8"/>
    <w:rsid w:val="00B50E74"/>
    <w:rsid w:val="00B50FE4"/>
    <w:rsid w:val="00B50FEC"/>
    <w:rsid w:val="00B511F0"/>
    <w:rsid w:val="00B51251"/>
    <w:rsid w:val="00B5126D"/>
    <w:rsid w:val="00B5136E"/>
    <w:rsid w:val="00B5145B"/>
    <w:rsid w:val="00B5158C"/>
    <w:rsid w:val="00B51672"/>
    <w:rsid w:val="00B51911"/>
    <w:rsid w:val="00B519E6"/>
    <w:rsid w:val="00B519F3"/>
    <w:rsid w:val="00B51A55"/>
    <w:rsid w:val="00B523FE"/>
    <w:rsid w:val="00B52649"/>
    <w:rsid w:val="00B52F61"/>
    <w:rsid w:val="00B530EB"/>
    <w:rsid w:val="00B53107"/>
    <w:rsid w:val="00B53209"/>
    <w:rsid w:val="00B5321B"/>
    <w:rsid w:val="00B53332"/>
    <w:rsid w:val="00B5335D"/>
    <w:rsid w:val="00B533FE"/>
    <w:rsid w:val="00B534BB"/>
    <w:rsid w:val="00B5362D"/>
    <w:rsid w:val="00B53654"/>
    <w:rsid w:val="00B53701"/>
    <w:rsid w:val="00B53905"/>
    <w:rsid w:val="00B53A17"/>
    <w:rsid w:val="00B53C68"/>
    <w:rsid w:val="00B53D32"/>
    <w:rsid w:val="00B53DE0"/>
    <w:rsid w:val="00B53DED"/>
    <w:rsid w:val="00B53FC2"/>
    <w:rsid w:val="00B543F9"/>
    <w:rsid w:val="00B5458B"/>
    <w:rsid w:val="00B54B5B"/>
    <w:rsid w:val="00B54C9B"/>
    <w:rsid w:val="00B54C9D"/>
    <w:rsid w:val="00B55020"/>
    <w:rsid w:val="00B551A5"/>
    <w:rsid w:val="00B55327"/>
    <w:rsid w:val="00B5542C"/>
    <w:rsid w:val="00B5554A"/>
    <w:rsid w:val="00B5562E"/>
    <w:rsid w:val="00B5595C"/>
    <w:rsid w:val="00B55A76"/>
    <w:rsid w:val="00B55F06"/>
    <w:rsid w:val="00B562C8"/>
    <w:rsid w:val="00B564F1"/>
    <w:rsid w:val="00B569E7"/>
    <w:rsid w:val="00B57000"/>
    <w:rsid w:val="00B57030"/>
    <w:rsid w:val="00B57308"/>
    <w:rsid w:val="00B573CC"/>
    <w:rsid w:val="00B57461"/>
    <w:rsid w:val="00B57925"/>
    <w:rsid w:val="00B57930"/>
    <w:rsid w:val="00B579CE"/>
    <w:rsid w:val="00B57CC5"/>
    <w:rsid w:val="00B57CD6"/>
    <w:rsid w:val="00B57EC0"/>
    <w:rsid w:val="00B6004C"/>
    <w:rsid w:val="00B60217"/>
    <w:rsid w:val="00B60368"/>
    <w:rsid w:val="00B6091A"/>
    <w:rsid w:val="00B60939"/>
    <w:rsid w:val="00B60AFD"/>
    <w:rsid w:val="00B60E82"/>
    <w:rsid w:val="00B614FE"/>
    <w:rsid w:val="00B61618"/>
    <w:rsid w:val="00B6168E"/>
    <w:rsid w:val="00B6191E"/>
    <w:rsid w:val="00B61C8B"/>
    <w:rsid w:val="00B62078"/>
    <w:rsid w:val="00B62427"/>
    <w:rsid w:val="00B62570"/>
    <w:rsid w:val="00B62715"/>
    <w:rsid w:val="00B62AC2"/>
    <w:rsid w:val="00B62C79"/>
    <w:rsid w:val="00B62FE4"/>
    <w:rsid w:val="00B633B4"/>
    <w:rsid w:val="00B63575"/>
    <w:rsid w:val="00B635A7"/>
    <w:rsid w:val="00B6374E"/>
    <w:rsid w:val="00B637D0"/>
    <w:rsid w:val="00B63819"/>
    <w:rsid w:val="00B63D0F"/>
    <w:rsid w:val="00B64058"/>
    <w:rsid w:val="00B640E6"/>
    <w:rsid w:val="00B64210"/>
    <w:rsid w:val="00B6427D"/>
    <w:rsid w:val="00B642BB"/>
    <w:rsid w:val="00B642E8"/>
    <w:rsid w:val="00B64760"/>
    <w:rsid w:val="00B64B60"/>
    <w:rsid w:val="00B64E53"/>
    <w:rsid w:val="00B65447"/>
    <w:rsid w:val="00B6558A"/>
    <w:rsid w:val="00B65701"/>
    <w:rsid w:val="00B65833"/>
    <w:rsid w:val="00B65961"/>
    <w:rsid w:val="00B65CBA"/>
    <w:rsid w:val="00B66445"/>
    <w:rsid w:val="00B664D8"/>
    <w:rsid w:val="00B66545"/>
    <w:rsid w:val="00B66555"/>
    <w:rsid w:val="00B66943"/>
    <w:rsid w:val="00B66B9E"/>
    <w:rsid w:val="00B66CA1"/>
    <w:rsid w:val="00B66CFE"/>
    <w:rsid w:val="00B66F57"/>
    <w:rsid w:val="00B673EC"/>
    <w:rsid w:val="00B67707"/>
    <w:rsid w:val="00B67E25"/>
    <w:rsid w:val="00B67F33"/>
    <w:rsid w:val="00B70242"/>
    <w:rsid w:val="00B7040E"/>
    <w:rsid w:val="00B70721"/>
    <w:rsid w:val="00B70844"/>
    <w:rsid w:val="00B70C15"/>
    <w:rsid w:val="00B70E86"/>
    <w:rsid w:val="00B70FDD"/>
    <w:rsid w:val="00B710C7"/>
    <w:rsid w:val="00B711A7"/>
    <w:rsid w:val="00B717E1"/>
    <w:rsid w:val="00B71833"/>
    <w:rsid w:val="00B719A5"/>
    <w:rsid w:val="00B71ABF"/>
    <w:rsid w:val="00B722CF"/>
    <w:rsid w:val="00B7231F"/>
    <w:rsid w:val="00B723B2"/>
    <w:rsid w:val="00B72778"/>
    <w:rsid w:val="00B7293C"/>
    <w:rsid w:val="00B72E0D"/>
    <w:rsid w:val="00B72EF4"/>
    <w:rsid w:val="00B72F20"/>
    <w:rsid w:val="00B73034"/>
    <w:rsid w:val="00B73131"/>
    <w:rsid w:val="00B731DA"/>
    <w:rsid w:val="00B73234"/>
    <w:rsid w:val="00B7374F"/>
    <w:rsid w:val="00B73CDC"/>
    <w:rsid w:val="00B73EF1"/>
    <w:rsid w:val="00B74098"/>
    <w:rsid w:val="00B7450B"/>
    <w:rsid w:val="00B746A8"/>
    <w:rsid w:val="00B7470F"/>
    <w:rsid w:val="00B747AC"/>
    <w:rsid w:val="00B74A76"/>
    <w:rsid w:val="00B74A8F"/>
    <w:rsid w:val="00B74B68"/>
    <w:rsid w:val="00B74C71"/>
    <w:rsid w:val="00B75099"/>
    <w:rsid w:val="00B750CF"/>
    <w:rsid w:val="00B751DB"/>
    <w:rsid w:val="00B75330"/>
    <w:rsid w:val="00B75498"/>
    <w:rsid w:val="00B755AB"/>
    <w:rsid w:val="00B756D7"/>
    <w:rsid w:val="00B75818"/>
    <w:rsid w:val="00B75888"/>
    <w:rsid w:val="00B758AA"/>
    <w:rsid w:val="00B7592C"/>
    <w:rsid w:val="00B75971"/>
    <w:rsid w:val="00B75D59"/>
    <w:rsid w:val="00B761A1"/>
    <w:rsid w:val="00B7627A"/>
    <w:rsid w:val="00B76287"/>
    <w:rsid w:val="00B764EA"/>
    <w:rsid w:val="00B766A9"/>
    <w:rsid w:val="00B7680E"/>
    <w:rsid w:val="00B768BC"/>
    <w:rsid w:val="00B7697D"/>
    <w:rsid w:val="00B76A76"/>
    <w:rsid w:val="00B76AD0"/>
    <w:rsid w:val="00B76D1D"/>
    <w:rsid w:val="00B76F84"/>
    <w:rsid w:val="00B770BA"/>
    <w:rsid w:val="00B772EB"/>
    <w:rsid w:val="00B77683"/>
    <w:rsid w:val="00B777FF"/>
    <w:rsid w:val="00B778ED"/>
    <w:rsid w:val="00B77ACF"/>
    <w:rsid w:val="00B77BC0"/>
    <w:rsid w:val="00B77C23"/>
    <w:rsid w:val="00B77E4E"/>
    <w:rsid w:val="00B80094"/>
    <w:rsid w:val="00B80248"/>
    <w:rsid w:val="00B80476"/>
    <w:rsid w:val="00B805B8"/>
    <w:rsid w:val="00B809DA"/>
    <w:rsid w:val="00B80AD2"/>
    <w:rsid w:val="00B80B94"/>
    <w:rsid w:val="00B80BDA"/>
    <w:rsid w:val="00B80DAC"/>
    <w:rsid w:val="00B80FC8"/>
    <w:rsid w:val="00B8101F"/>
    <w:rsid w:val="00B8163E"/>
    <w:rsid w:val="00B8176E"/>
    <w:rsid w:val="00B818A4"/>
    <w:rsid w:val="00B81B57"/>
    <w:rsid w:val="00B81DC5"/>
    <w:rsid w:val="00B81F13"/>
    <w:rsid w:val="00B8226D"/>
    <w:rsid w:val="00B822AC"/>
    <w:rsid w:val="00B822C6"/>
    <w:rsid w:val="00B82465"/>
    <w:rsid w:val="00B825F5"/>
    <w:rsid w:val="00B82E92"/>
    <w:rsid w:val="00B8324A"/>
    <w:rsid w:val="00B83426"/>
    <w:rsid w:val="00B83A16"/>
    <w:rsid w:val="00B83D1F"/>
    <w:rsid w:val="00B84117"/>
    <w:rsid w:val="00B8421F"/>
    <w:rsid w:val="00B842A3"/>
    <w:rsid w:val="00B84597"/>
    <w:rsid w:val="00B84603"/>
    <w:rsid w:val="00B84632"/>
    <w:rsid w:val="00B84868"/>
    <w:rsid w:val="00B84B4D"/>
    <w:rsid w:val="00B85296"/>
    <w:rsid w:val="00B854A0"/>
    <w:rsid w:val="00B857F7"/>
    <w:rsid w:val="00B85AA2"/>
    <w:rsid w:val="00B85BA9"/>
    <w:rsid w:val="00B85C79"/>
    <w:rsid w:val="00B85D2C"/>
    <w:rsid w:val="00B85E89"/>
    <w:rsid w:val="00B85F63"/>
    <w:rsid w:val="00B860DB"/>
    <w:rsid w:val="00B8611C"/>
    <w:rsid w:val="00B86195"/>
    <w:rsid w:val="00B86309"/>
    <w:rsid w:val="00B86325"/>
    <w:rsid w:val="00B8649C"/>
    <w:rsid w:val="00B866AA"/>
    <w:rsid w:val="00B86738"/>
    <w:rsid w:val="00B8684C"/>
    <w:rsid w:val="00B86C74"/>
    <w:rsid w:val="00B86EA1"/>
    <w:rsid w:val="00B86EF5"/>
    <w:rsid w:val="00B86F35"/>
    <w:rsid w:val="00B8713E"/>
    <w:rsid w:val="00B87248"/>
    <w:rsid w:val="00B874AE"/>
    <w:rsid w:val="00B87582"/>
    <w:rsid w:val="00B876BC"/>
    <w:rsid w:val="00B87A1C"/>
    <w:rsid w:val="00B87F0A"/>
    <w:rsid w:val="00B90180"/>
    <w:rsid w:val="00B9021E"/>
    <w:rsid w:val="00B9042A"/>
    <w:rsid w:val="00B9043B"/>
    <w:rsid w:val="00B90497"/>
    <w:rsid w:val="00B90645"/>
    <w:rsid w:val="00B906BA"/>
    <w:rsid w:val="00B90887"/>
    <w:rsid w:val="00B90948"/>
    <w:rsid w:val="00B90A62"/>
    <w:rsid w:val="00B90AEA"/>
    <w:rsid w:val="00B90F1B"/>
    <w:rsid w:val="00B910D1"/>
    <w:rsid w:val="00B91160"/>
    <w:rsid w:val="00B91229"/>
    <w:rsid w:val="00B91250"/>
    <w:rsid w:val="00B914F2"/>
    <w:rsid w:val="00B91763"/>
    <w:rsid w:val="00B91853"/>
    <w:rsid w:val="00B91CAE"/>
    <w:rsid w:val="00B91EF5"/>
    <w:rsid w:val="00B920BA"/>
    <w:rsid w:val="00B92292"/>
    <w:rsid w:val="00B923B9"/>
    <w:rsid w:val="00B9286B"/>
    <w:rsid w:val="00B92A5D"/>
    <w:rsid w:val="00B92D0B"/>
    <w:rsid w:val="00B9333F"/>
    <w:rsid w:val="00B934DA"/>
    <w:rsid w:val="00B93531"/>
    <w:rsid w:val="00B93623"/>
    <w:rsid w:val="00B93748"/>
    <w:rsid w:val="00B93B36"/>
    <w:rsid w:val="00B93BCC"/>
    <w:rsid w:val="00B941BB"/>
    <w:rsid w:val="00B941F0"/>
    <w:rsid w:val="00B9422E"/>
    <w:rsid w:val="00B9435D"/>
    <w:rsid w:val="00B94380"/>
    <w:rsid w:val="00B943E3"/>
    <w:rsid w:val="00B9465F"/>
    <w:rsid w:val="00B9475A"/>
    <w:rsid w:val="00B947B0"/>
    <w:rsid w:val="00B94945"/>
    <w:rsid w:val="00B94C96"/>
    <w:rsid w:val="00B94DF1"/>
    <w:rsid w:val="00B950BC"/>
    <w:rsid w:val="00B95196"/>
    <w:rsid w:val="00B95E30"/>
    <w:rsid w:val="00B95FBD"/>
    <w:rsid w:val="00B96015"/>
    <w:rsid w:val="00B9606C"/>
    <w:rsid w:val="00B9635B"/>
    <w:rsid w:val="00B9640B"/>
    <w:rsid w:val="00B96C0F"/>
    <w:rsid w:val="00B96F77"/>
    <w:rsid w:val="00B9711B"/>
    <w:rsid w:val="00B97121"/>
    <w:rsid w:val="00B9755D"/>
    <w:rsid w:val="00B97572"/>
    <w:rsid w:val="00B977A2"/>
    <w:rsid w:val="00B9795F"/>
    <w:rsid w:val="00B97C39"/>
    <w:rsid w:val="00B97C96"/>
    <w:rsid w:val="00B97D1D"/>
    <w:rsid w:val="00BA03D5"/>
    <w:rsid w:val="00BA053F"/>
    <w:rsid w:val="00BA081D"/>
    <w:rsid w:val="00BA0952"/>
    <w:rsid w:val="00BA0EAF"/>
    <w:rsid w:val="00BA0F5F"/>
    <w:rsid w:val="00BA0F66"/>
    <w:rsid w:val="00BA14E8"/>
    <w:rsid w:val="00BA14FF"/>
    <w:rsid w:val="00BA15C1"/>
    <w:rsid w:val="00BA1A0D"/>
    <w:rsid w:val="00BA1B92"/>
    <w:rsid w:val="00BA1FF4"/>
    <w:rsid w:val="00BA22AB"/>
    <w:rsid w:val="00BA24BF"/>
    <w:rsid w:val="00BA277F"/>
    <w:rsid w:val="00BA2B6F"/>
    <w:rsid w:val="00BA2EB3"/>
    <w:rsid w:val="00BA2FD7"/>
    <w:rsid w:val="00BA3155"/>
    <w:rsid w:val="00BA322D"/>
    <w:rsid w:val="00BA32E5"/>
    <w:rsid w:val="00BA3400"/>
    <w:rsid w:val="00BA342B"/>
    <w:rsid w:val="00BA39E1"/>
    <w:rsid w:val="00BA3ACB"/>
    <w:rsid w:val="00BA3BDC"/>
    <w:rsid w:val="00BA3ED4"/>
    <w:rsid w:val="00BA3F76"/>
    <w:rsid w:val="00BA4059"/>
    <w:rsid w:val="00BA4284"/>
    <w:rsid w:val="00BA442B"/>
    <w:rsid w:val="00BA447A"/>
    <w:rsid w:val="00BA4664"/>
    <w:rsid w:val="00BA4739"/>
    <w:rsid w:val="00BA4DA0"/>
    <w:rsid w:val="00BA4E77"/>
    <w:rsid w:val="00BA4FA4"/>
    <w:rsid w:val="00BA5037"/>
    <w:rsid w:val="00BA5249"/>
    <w:rsid w:val="00BA549C"/>
    <w:rsid w:val="00BA550D"/>
    <w:rsid w:val="00BA5544"/>
    <w:rsid w:val="00BA563E"/>
    <w:rsid w:val="00BA56D1"/>
    <w:rsid w:val="00BA5880"/>
    <w:rsid w:val="00BA589F"/>
    <w:rsid w:val="00BA5923"/>
    <w:rsid w:val="00BA59EF"/>
    <w:rsid w:val="00BA59F0"/>
    <w:rsid w:val="00BA5B91"/>
    <w:rsid w:val="00BA5D06"/>
    <w:rsid w:val="00BA608C"/>
    <w:rsid w:val="00BA6691"/>
    <w:rsid w:val="00BA6788"/>
    <w:rsid w:val="00BA6801"/>
    <w:rsid w:val="00BA6F39"/>
    <w:rsid w:val="00BA73A2"/>
    <w:rsid w:val="00BA75C0"/>
    <w:rsid w:val="00BA78D8"/>
    <w:rsid w:val="00BA7954"/>
    <w:rsid w:val="00BA7A76"/>
    <w:rsid w:val="00BB05BE"/>
    <w:rsid w:val="00BB0B96"/>
    <w:rsid w:val="00BB0BDD"/>
    <w:rsid w:val="00BB0D05"/>
    <w:rsid w:val="00BB0E81"/>
    <w:rsid w:val="00BB0ED5"/>
    <w:rsid w:val="00BB1078"/>
    <w:rsid w:val="00BB1108"/>
    <w:rsid w:val="00BB11E6"/>
    <w:rsid w:val="00BB12B3"/>
    <w:rsid w:val="00BB12DD"/>
    <w:rsid w:val="00BB169C"/>
    <w:rsid w:val="00BB18D4"/>
    <w:rsid w:val="00BB1C1C"/>
    <w:rsid w:val="00BB1C85"/>
    <w:rsid w:val="00BB1DAC"/>
    <w:rsid w:val="00BB1DBC"/>
    <w:rsid w:val="00BB1E41"/>
    <w:rsid w:val="00BB1EA8"/>
    <w:rsid w:val="00BB1F6E"/>
    <w:rsid w:val="00BB233C"/>
    <w:rsid w:val="00BB2557"/>
    <w:rsid w:val="00BB25C8"/>
    <w:rsid w:val="00BB25F7"/>
    <w:rsid w:val="00BB26E9"/>
    <w:rsid w:val="00BB281B"/>
    <w:rsid w:val="00BB2A73"/>
    <w:rsid w:val="00BB2BA7"/>
    <w:rsid w:val="00BB2EE8"/>
    <w:rsid w:val="00BB31C5"/>
    <w:rsid w:val="00BB3524"/>
    <w:rsid w:val="00BB36C0"/>
    <w:rsid w:val="00BB36F6"/>
    <w:rsid w:val="00BB3B7F"/>
    <w:rsid w:val="00BB3C43"/>
    <w:rsid w:val="00BB42C1"/>
    <w:rsid w:val="00BB4715"/>
    <w:rsid w:val="00BB4863"/>
    <w:rsid w:val="00BB499E"/>
    <w:rsid w:val="00BB4ACC"/>
    <w:rsid w:val="00BB4B8E"/>
    <w:rsid w:val="00BB4D52"/>
    <w:rsid w:val="00BB4DD2"/>
    <w:rsid w:val="00BB4F54"/>
    <w:rsid w:val="00BB52EF"/>
    <w:rsid w:val="00BB54D8"/>
    <w:rsid w:val="00BB575E"/>
    <w:rsid w:val="00BB577B"/>
    <w:rsid w:val="00BB581D"/>
    <w:rsid w:val="00BB5935"/>
    <w:rsid w:val="00BB5A44"/>
    <w:rsid w:val="00BB5D02"/>
    <w:rsid w:val="00BB613E"/>
    <w:rsid w:val="00BB6152"/>
    <w:rsid w:val="00BB6380"/>
    <w:rsid w:val="00BB6CEA"/>
    <w:rsid w:val="00BB6D0A"/>
    <w:rsid w:val="00BB6D8F"/>
    <w:rsid w:val="00BB6EAE"/>
    <w:rsid w:val="00BB6F77"/>
    <w:rsid w:val="00BB703E"/>
    <w:rsid w:val="00BB7405"/>
    <w:rsid w:val="00BB742C"/>
    <w:rsid w:val="00BB74F7"/>
    <w:rsid w:val="00BB750E"/>
    <w:rsid w:val="00BB7885"/>
    <w:rsid w:val="00BB7C05"/>
    <w:rsid w:val="00BB7E5E"/>
    <w:rsid w:val="00BC02A0"/>
    <w:rsid w:val="00BC03C9"/>
    <w:rsid w:val="00BC03DA"/>
    <w:rsid w:val="00BC03F7"/>
    <w:rsid w:val="00BC053D"/>
    <w:rsid w:val="00BC075C"/>
    <w:rsid w:val="00BC09E9"/>
    <w:rsid w:val="00BC0A20"/>
    <w:rsid w:val="00BC0D97"/>
    <w:rsid w:val="00BC0ECF"/>
    <w:rsid w:val="00BC10BD"/>
    <w:rsid w:val="00BC1860"/>
    <w:rsid w:val="00BC18F4"/>
    <w:rsid w:val="00BC1BCA"/>
    <w:rsid w:val="00BC1C03"/>
    <w:rsid w:val="00BC1CDB"/>
    <w:rsid w:val="00BC1EB2"/>
    <w:rsid w:val="00BC2353"/>
    <w:rsid w:val="00BC2BC3"/>
    <w:rsid w:val="00BC2D35"/>
    <w:rsid w:val="00BC2EB9"/>
    <w:rsid w:val="00BC2F8D"/>
    <w:rsid w:val="00BC30FB"/>
    <w:rsid w:val="00BC3177"/>
    <w:rsid w:val="00BC32AD"/>
    <w:rsid w:val="00BC3631"/>
    <w:rsid w:val="00BC3636"/>
    <w:rsid w:val="00BC36E0"/>
    <w:rsid w:val="00BC3759"/>
    <w:rsid w:val="00BC38DE"/>
    <w:rsid w:val="00BC3A4C"/>
    <w:rsid w:val="00BC3C5E"/>
    <w:rsid w:val="00BC3CA0"/>
    <w:rsid w:val="00BC4018"/>
    <w:rsid w:val="00BC450A"/>
    <w:rsid w:val="00BC4626"/>
    <w:rsid w:val="00BC48C8"/>
    <w:rsid w:val="00BC4B07"/>
    <w:rsid w:val="00BC4D20"/>
    <w:rsid w:val="00BC4F58"/>
    <w:rsid w:val="00BC52A4"/>
    <w:rsid w:val="00BC52EB"/>
    <w:rsid w:val="00BC5A55"/>
    <w:rsid w:val="00BC5BE4"/>
    <w:rsid w:val="00BC5D2E"/>
    <w:rsid w:val="00BC5D8D"/>
    <w:rsid w:val="00BC5DC5"/>
    <w:rsid w:val="00BC602C"/>
    <w:rsid w:val="00BC60AE"/>
    <w:rsid w:val="00BC6376"/>
    <w:rsid w:val="00BC6433"/>
    <w:rsid w:val="00BC648C"/>
    <w:rsid w:val="00BC671B"/>
    <w:rsid w:val="00BC6958"/>
    <w:rsid w:val="00BC6A49"/>
    <w:rsid w:val="00BC6B5F"/>
    <w:rsid w:val="00BC6CD6"/>
    <w:rsid w:val="00BC6CE9"/>
    <w:rsid w:val="00BC71F8"/>
    <w:rsid w:val="00BC720A"/>
    <w:rsid w:val="00BC7363"/>
    <w:rsid w:val="00BC7447"/>
    <w:rsid w:val="00BC777F"/>
    <w:rsid w:val="00BC77E6"/>
    <w:rsid w:val="00BC7A0B"/>
    <w:rsid w:val="00BC7AEC"/>
    <w:rsid w:val="00BC7CFE"/>
    <w:rsid w:val="00BC7D4D"/>
    <w:rsid w:val="00BC7EC1"/>
    <w:rsid w:val="00BC7F6C"/>
    <w:rsid w:val="00BD15C7"/>
    <w:rsid w:val="00BD1679"/>
    <w:rsid w:val="00BD1A7C"/>
    <w:rsid w:val="00BD1B66"/>
    <w:rsid w:val="00BD1B77"/>
    <w:rsid w:val="00BD1CAB"/>
    <w:rsid w:val="00BD1D77"/>
    <w:rsid w:val="00BD1FFC"/>
    <w:rsid w:val="00BD226B"/>
    <w:rsid w:val="00BD24BB"/>
    <w:rsid w:val="00BD251D"/>
    <w:rsid w:val="00BD25EE"/>
    <w:rsid w:val="00BD27EA"/>
    <w:rsid w:val="00BD2AE1"/>
    <w:rsid w:val="00BD2D12"/>
    <w:rsid w:val="00BD2E33"/>
    <w:rsid w:val="00BD2F91"/>
    <w:rsid w:val="00BD3220"/>
    <w:rsid w:val="00BD33E3"/>
    <w:rsid w:val="00BD33FA"/>
    <w:rsid w:val="00BD37D7"/>
    <w:rsid w:val="00BD3987"/>
    <w:rsid w:val="00BD3B83"/>
    <w:rsid w:val="00BD3CD7"/>
    <w:rsid w:val="00BD4171"/>
    <w:rsid w:val="00BD4188"/>
    <w:rsid w:val="00BD4381"/>
    <w:rsid w:val="00BD447C"/>
    <w:rsid w:val="00BD44F4"/>
    <w:rsid w:val="00BD4522"/>
    <w:rsid w:val="00BD4537"/>
    <w:rsid w:val="00BD4559"/>
    <w:rsid w:val="00BD45F3"/>
    <w:rsid w:val="00BD469A"/>
    <w:rsid w:val="00BD48C0"/>
    <w:rsid w:val="00BD4D46"/>
    <w:rsid w:val="00BD4DFE"/>
    <w:rsid w:val="00BD4E08"/>
    <w:rsid w:val="00BD50FD"/>
    <w:rsid w:val="00BD5127"/>
    <w:rsid w:val="00BD571E"/>
    <w:rsid w:val="00BD5870"/>
    <w:rsid w:val="00BD5DE3"/>
    <w:rsid w:val="00BD5FB9"/>
    <w:rsid w:val="00BD60A7"/>
    <w:rsid w:val="00BD6546"/>
    <w:rsid w:val="00BD66A0"/>
    <w:rsid w:val="00BD6716"/>
    <w:rsid w:val="00BD673E"/>
    <w:rsid w:val="00BD68A3"/>
    <w:rsid w:val="00BD6938"/>
    <w:rsid w:val="00BD6993"/>
    <w:rsid w:val="00BD6CCE"/>
    <w:rsid w:val="00BD6CF3"/>
    <w:rsid w:val="00BD6D11"/>
    <w:rsid w:val="00BD6D8A"/>
    <w:rsid w:val="00BD6F8B"/>
    <w:rsid w:val="00BD724B"/>
    <w:rsid w:val="00BD7631"/>
    <w:rsid w:val="00BD794D"/>
    <w:rsid w:val="00BD7A8F"/>
    <w:rsid w:val="00BD7C13"/>
    <w:rsid w:val="00BD7F57"/>
    <w:rsid w:val="00BD7FF4"/>
    <w:rsid w:val="00BE04E2"/>
    <w:rsid w:val="00BE04E6"/>
    <w:rsid w:val="00BE0B19"/>
    <w:rsid w:val="00BE13F8"/>
    <w:rsid w:val="00BE15FB"/>
    <w:rsid w:val="00BE1819"/>
    <w:rsid w:val="00BE1833"/>
    <w:rsid w:val="00BE184E"/>
    <w:rsid w:val="00BE1A57"/>
    <w:rsid w:val="00BE1AD1"/>
    <w:rsid w:val="00BE1C76"/>
    <w:rsid w:val="00BE1FA9"/>
    <w:rsid w:val="00BE2016"/>
    <w:rsid w:val="00BE20DF"/>
    <w:rsid w:val="00BE2180"/>
    <w:rsid w:val="00BE21F2"/>
    <w:rsid w:val="00BE2292"/>
    <w:rsid w:val="00BE251D"/>
    <w:rsid w:val="00BE2808"/>
    <w:rsid w:val="00BE2A1E"/>
    <w:rsid w:val="00BE2CD0"/>
    <w:rsid w:val="00BE2E5D"/>
    <w:rsid w:val="00BE30B5"/>
    <w:rsid w:val="00BE35B3"/>
    <w:rsid w:val="00BE3DA8"/>
    <w:rsid w:val="00BE4275"/>
    <w:rsid w:val="00BE4278"/>
    <w:rsid w:val="00BE428A"/>
    <w:rsid w:val="00BE49F7"/>
    <w:rsid w:val="00BE4A9A"/>
    <w:rsid w:val="00BE4AB6"/>
    <w:rsid w:val="00BE537C"/>
    <w:rsid w:val="00BE5414"/>
    <w:rsid w:val="00BE5AE0"/>
    <w:rsid w:val="00BE5FA9"/>
    <w:rsid w:val="00BE6261"/>
    <w:rsid w:val="00BE6324"/>
    <w:rsid w:val="00BE6398"/>
    <w:rsid w:val="00BE64D3"/>
    <w:rsid w:val="00BE666A"/>
    <w:rsid w:val="00BE667C"/>
    <w:rsid w:val="00BE6762"/>
    <w:rsid w:val="00BE6B78"/>
    <w:rsid w:val="00BE705F"/>
    <w:rsid w:val="00BE7303"/>
    <w:rsid w:val="00BE7336"/>
    <w:rsid w:val="00BE73D4"/>
    <w:rsid w:val="00BE7795"/>
    <w:rsid w:val="00BE786E"/>
    <w:rsid w:val="00BE7A15"/>
    <w:rsid w:val="00BE7A55"/>
    <w:rsid w:val="00BE7AAD"/>
    <w:rsid w:val="00BE7EFC"/>
    <w:rsid w:val="00BF0148"/>
    <w:rsid w:val="00BF03B5"/>
    <w:rsid w:val="00BF03C7"/>
    <w:rsid w:val="00BF0628"/>
    <w:rsid w:val="00BF08F6"/>
    <w:rsid w:val="00BF0D07"/>
    <w:rsid w:val="00BF0D22"/>
    <w:rsid w:val="00BF0DA4"/>
    <w:rsid w:val="00BF0E00"/>
    <w:rsid w:val="00BF0F95"/>
    <w:rsid w:val="00BF1055"/>
    <w:rsid w:val="00BF112E"/>
    <w:rsid w:val="00BF13AC"/>
    <w:rsid w:val="00BF1509"/>
    <w:rsid w:val="00BF18D4"/>
    <w:rsid w:val="00BF1A5F"/>
    <w:rsid w:val="00BF1BCC"/>
    <w:rsid w:val="00BF1CAA"/>
    <w:rsid w:val="00BF1F6E"/>
    <w:rsid w:val="00BF216D"/>
    <w:rsid w:val="00BF2197"/>
    <w:rsid w:val="00BF21B0"/>
    <w:rsid w:val="00BF2433"/>
    <w:rsid w:val="00BF246F"/>
    <w:rsid w:val="00BF295C"/>
    <w:rsid w:val="00BF2A4C"/>
    <w:rsid w:val="00BF2C41"/>
    <w:rsid w:val="00BF2D16"/>
    <w:rsid w:val="00BF356E"/>
    <w:rsid w:val="00BF3839"/>
    <w:rsid w:val="00BF3901"/>
    <w:rsid w:val="00BF3B19"/>
    <w:rsid w:val="00BF3ED6"/>
    <w:rsid w:val="00BF41CE"/>
    <w:rsid w:val="00BF4359"/>
    <w:rsid w:val="00BF4883"/>
    <w:rsid w:val="00BF4919"/>
    <w:rsid w:val="00BF4A32"/>
    <w:rsid w:val="00BF4C01"/>
    <w:rsid w:val="00BF4CD4"/>
    <w:rsid w:val="00BF4F2B"/>
    <w:rsid w:val="00BF506A"/>
    <w:rsid w:val="00BF50D0"/>
    <w:rsid w:val="00BF52CC"/>
    <w:rsid w:val="00BF52D3"/>
    <w:rsid w:val="00BF53AF"/>
    <w:rsid w:val="00BF540A"/>
    <w:rsid w:val="00BF562B"/>
    <w:rsid w:val="00BF5719"/>
    <w:rsid w:val="00BF57E0"/>
    <w:rsid w:val="00BF5C8E"/>
    <w:rsid w:val="00BF61C9"/>
    <w:rsid w:val="00BF6343"/>
    <w:rsid w:val="00BF640D"/>
    <w:rsid w:val="00BF65A5"/>
    <w:rsid w:val="00BF69F9"/>
    <w:rsid w:val="00BF6C38"/>
    <w:rsid w:val="00BF6C94"/>
    <w:rsid w:val="00BF6E19"/>
    <w:rsid w:val="00BF6E50"/>
    <w:rsid w:val="00BF706B"/>
    <w:rsid w:val="00BF70CB"/>
    <w:rsid w:val="00BF7596"/>
    <w:rsid w:val="00BF7A47"/>
    <w:rsid w:val="00BF7A4E"/>
    <w:rsid w:val="00BF7EB3"/>
    <w:rsid w:val="00BF7F1C"/>
    <w:rsid w:val="00BF7F1D"/>
    <w:rsid w:val="00BF7F2C"/>
    <w:rsid w:val="00BF7F70"/>
    <w:rsid w:val="00C0001E"/>
    <w:rsid w:val="00C00119"/>
    <w:rsid w:val="00C00254"/>
    <w:rsid w:val="00C00308"/>
    <w:rsid w:val="00C00345"/>
    <w:rsid w:val="00C00424"/>
    <w:rsid w:val="00C004DD"/>
    <w:rsid w:val="00C0072E"/>
    <w:rsid w:val="00C00822"/>
    <w:rsid w:val="00C00BC2"/>
    <w:rsid w:val="00C00DC2"/>
    <w:rsid w:val="00C00FF9"/>
    <w:rsid w:val="00C010BB"/>
    <w:rsid w:val="00C010CF"/>
    <w:rsid w:val="00C011AE"/>
    <w:rsid w:val="00C014D2"/>
    <w:rsid w:val="00C01872"/>
    <w:rsid w:val="00C01953"/>
    <w:rsid w:val="00C01E97"/>
    <w:rsid w:val="00C020A3"/>
    <w:rsid w:val="00C02798"/>
    <w:rsid w:val="00C02A05"/>
    <w:rsid w:val="00C02A78"/>
    <w:rsid w:val="00C02B62"/>
    <w:rsid w:val="00C02F1F"/>
    <w:rsid w:val="00C02F2B"/>
    <w:rsid w:val="00C02FF8"/>
    <w:rsid w:val="00C03523"/>
    <w:rsid w:val="00C0352E"/>
    <w:rsid w:val="00C03537"/>
    <w:rsid w:val="00C038F5"/>
    <w:rsid w:val="00C03907"/>
    <w:rsid w:val="00C03ABA"/>
    <w:rsid w:val="00C03AEF"/>
    <w:rsid w:val="00C03EA6"/>
    <w:rsid w:val="00C04018"/>
    <w:rsid w:val="00C04218"/>
    <w:rsid w:val="00C04255"/>
    <w:rsid w:val="00C0449B"/>
    <w:rsid w:val="00C044B3"/>
    <w:rsid w:val="00C04A65"/>
    <w:rsid w:val="00C04B84"/>
    <w:rsid w:val="00C05081"/>
    <w:rsid w:val="00C050EA"/>
    <w:rsid w:val="00C05190"/>
    <w:rsid w:val="00C057F1"/>
    <w:rsid w:val="00C0580E"/>
    <w:rsid w:val="00C05937"/>
    <w:rsid w:val="00C05A13"/>
    <w:rsid w:val="00C05BBF"/>
    <w:rsid w:val="00C05E47"/>
    <w:rsid w:val="00C05F40"/>
    <w:rsid w:val="00C06028"/>
    <w:rsid w:val="00C06089"/>
    <w:rsid w:val="00C062A0"/>
    <w:rsid w:val="00C0642C"/>
    <w:rsid w:val="00C066AC"/>
    <w:rsid w:val="00C06807"/>
    <w:rsid w:val="00C06F94"/>
    <w:rsid w:val="00C07264"/>
    <w:rsid w:val="00C072C3"/>
    <w:rsid w:val="00C07316"/>
    <w:rsid w:val="00C07867"/>
    <w:rsid w:val="00C07B26"/>
    <w:rsid w:val="00C07BDE"/>
    <w:rsid w:val="00C07DEE"/>
    <w:rsid w:val="00C07E72"/>
    <w:rsid w:val="00C07FCD"/>
    <w:rsid w:val="00C10159"/>
    <w:rsid w:val="00C102EA"/>
    <w:rsid w:val="00C10D3A"/>
    <w:rsid w:val="00C11760"/>
    <w:rsid w:val="00C11A47"/>
    <w:rsid w:val="00C11BDA"/>
    <w:rsid w:val="00C11C59"/>
    <w:rsid w:val="00C11DA1"/>
    <w:rsid w:val="00C11F7A"/>
    <w:rsid w:val="00C12132"/>
    <w:rsid w:val="00C123A2"/>
    <w:rsid w:val="00C123D0"/>
    <w:rsid w:val="00C127ED"/>
    <w:rsid w:val="00C12B09"/>
    <w:rsid w:val="00C12B3E"/>
    <w:rsid w:val="00C12C14"/>
    <w:rsid w:val="00C1313B"/>
    <w:rsid w:val="00C13350"/>
    <w:rsid w:val="00C137DD"/>
    <w:rsid w:val="00C1385E"/>
    <w:rsid w:val="00C13B78"/>
    <w:rsid w:val="00C13BFD"/>
    <w:rsid w:val="00C13C5A"/>
    <w:rsid w:val="00C13D5D"/>
    <w:rsid w:val="00C1409B"/>
    <w:rsid w:val="00C143CA"/>
    <w:rsid w:val="00C147A1"/>
    <w:rsid w:val="00C1532B"/>
    <w:rsid w:val="00C15443"/>
    <w:rsid w:val="00C15525"/>
    <w:rsid w:val="00C155A8"/>
    <w:rsid w:val="00C1580C"/>
    <w:rsid w:val="00C1585D"/>
    <w:rsid w:val="00C15BC2"/>
    <w:rsid w:val="00C15C4F"/>
    <w:rsid w:val="00C15F92"/>
    <w:rsid w:val="00C16083"/>
    <w:rsid w:val="00C161EE"/>
    <w:rsid w:val="00C16301"/>
    <w:rsid w:val="00C1653B"/>
    <w:rsid w:val="00C16588"/>
    <w:rsid w:val="00C16627"/>
    <w:rsid w:val="00C16727"/>
    <w:rsid w:val="00C169BE"/>
    <w:rsid w:val="00C16AD1"/>
    <w:rsid w:val="00C16AFF"/>
    <w:rsid w:val="00C16FB4"/>
    <w:rsid w:val="00C17198"/>
    <w:rsid w:val="00C17763"/>
    <w:rsid w:val="00C1780D"/>
    <w:rsid w:val="00C17813"/>
    <w:rsid w:val="00C17A8E"/>
    <w:rsid w:val="00C17DC3"/>
    <w:rsid w:val="00C17FAD"/>
    <w:rsid w:val="00C2000E"/>
    <w:rsid w:val="00C200AA"/>
    <w:rsid w:val="00C2024D"/>
    <w:rsid w:val="00C20293"/>
    <w:rsid w:val="00C20353"/>
    <w:rsid w:val="00C20835"/>
    <w:rsid w:val="00C208C2"/>
    <w:rsid w:val="00C20A68"/>
    <w:rsid w:val="00C21774"/>
    <w:rsid w:val="00C21E99"/>
    <w:rsid w:val="00C21FC1"/>
    <w:rsid w:val="00C22158"/>
    <w:rsid w:val="00C221D7"/>
    <w:rsid w:val="00C22379"/>
    <w:rsid w:val="00C2285E"/>
    <w:rsid w:val="00C22E19"/>
    <w:rsid w:val="00C231C4"/>
    <w:rsid w:val="00C234C9"/>
    <w:rsid w:val="00C23549"/>
    <w:rsid w:val="00C23592"/>
    <w:rsid w:val="00C23665"/>
    <w:rsid w:val="00C23794"/>
    <w:rsid w:val="00C237ED"/>
    <w:rsid w:val="00C23AF0"/>
    <w:rsid w:val="00C23B7C"/>
    <w:rsid w:val="00C23C27"/>
    <w:rsid w:val="00C23C5E"/>
    <w:rsid w:val="00C23CB9"/>
    <w:rsid w:val="00C23E89"/>
    <w:rsid w:val="00C24489"/>
    <w:rsid w:val="00C24568"/>
    <w:rsid w:val="00C24632"/>
    <w:rsid w:val="00C24885"/>
    <w:rsid w:val="00C24AEA"/>
    <w:rsid w:val="00C24D32"/>
    <w:rsid w:val="00C24FD1"/>
    <w:rsid w:val="00C25418"/>
    <w:rsid w:val="00C25476"/>
    <w:rsid w:val="00C25905"/>
    <w:rsid w:val="00C25B9B"/>
    <w:rsid w:val="00C25D9C"/>
    <w:rsid w:val="00C25E44"/>
    <w:rsid w:val="00C25F03"/>
    <w:rsid w:val="00C2630E"/>
    <w:rsid w:val="00C26446"/>
    <w:rsid w:val="00C2647D"/>
    <w:rsid w:val="00C264BF"/>
    <w:rsid w:val="00C266A5"/>
    <w:rsid w:val="00C267EB"/>
    <w:rsid w:val="00C26A37"/>
    <w:rsid w:val="00C26DDD"/>
    <w:rsid w:val="00C26ECC"/>
    <w:rsid w:val="00C26ED5"/>
    <w:rsid w:val="00C2706B"/>
    <w:rsid w:val="00C27152"/>
    <w:rsid w:val="00C27178"/>
    <w:rsid w:val="00C2752C"/>
    <w:rsid w:val="00C27788"/>
    <w:rsid w:val="00C2778B"/>
    <w:rsid w:val="00C277B3"/>
    <w:rsid w:val="00C27956"/>
    <w:rsid w:val="00C2797B"/>
    <w:rsid w:val="00C279D6"/>
    <w:rsid w:val="00C30206"/>
    <w:rsid w:val="00C30632"/>
    <w:rsid w:val="00C30713"/>
    <w:rsid w:val="00C30725"/>
    <w:rsid w:val="00C307EC"/>
    <w:rsid w:val="00C30FB0"/>
    <w:rsid w:val="00C311CE"/>
    <w:rsid w:val="00C311DD"/>
    <w:rsid w:val="00C314B7"/>
    <w:rsid w:val="00C31649"/>
    <w:rsid w:val="00C31B05"/>
    <w:rsid w:val="00C31BF8"/>
    <w:rsid w:val="00C31D74"/>
    <w:rsid w:val="00C31EA3"/>
    <w:rsid w:val="00C31F0E"/>
    <w:rsid w:val="00C321F2"/>
    <w:rsid w:val="00C323E9"/>
    <w:rsid w:val="00C327B7"/>
    <w:rsid w:val="00C32A25"/>
    <w:rsid w:val="00C32ADF"/>
    <w:rsid w:val="00C32CBD"/>
    <w:rsid w:val="00C32EFA"/>
    <w:rsid w:val="00C33035"/>
    <w:rsid w:val="00C33933"/>
    <w:rsid w:val="00C33DA8"/>
    <w:rsid w:val="00C33E7F"/>
    <w:rsid w:val="00C33ED2"/>
    <w:rsid w:val="00C34679"/>
    <w:rsid w:val="00C3475E"/>
    <w:rsid w:val="00C34B4E"/>
    <w:rsid w:val="00C35895"/>
    <w:rsid w:val="00C358FB"/>
    <w:rsid w:val="00C35B33"/>
    <w:rsid w:val="00C35B5D"/>
    <w:rsid w:val="00C35D5B"/>
    <w:rsid w:val="00C35E94"/>
    <w:rsid w:val="00C3621E"/>
    <w:rsid w:val="00C3629C"/>
    <w:rsid w:val="00C3656F"/>
    <w:rsid w:val="00C368C2"/>
    <w:rsid w:val="00C36915"/>
    <w:rsid w:val="00C36A4A"/>
    <w:rsid w:val="00C36A6C"/>
    <w:rsid w:val="00C36B1B"/>
    <w:rsid w:val="00C3717F"/>
    <w:rsid w:val="00C3748A"/>
    <w:rsid w:val="00C40385"/>
    <w:rsid w:val="00C403BC"/>
    <w:rsid w:val="00C4075C"/>
    <w:rsid w:val="00C40A50"/>
    <w:rsid w:val="00C40B53"/>
    <w:rsid w:val="00C410BD"/>
    <w:rsid w:val="00C413B7"/>
    <w:rsid w:val="00C41414"/>
    <w:rsid w:val="00C41903"/>
    <w:rsid w:val="00C41975"/>
    <w:rsid w:val="00C41A91"/>
    <w:rsid w:val="00C41B51"/>
    <w:rsid w:val="00C41F7A"/>
    <w:rsid w:val="00C420B6"/>
    <w:rsid w:val="00C423C6"/>
    <w:rsid w:val="00C424A6"/>
    <w:rsid w:val="00C42835"/>
    <w:rsid w:val="00C42DAA"/>
    <w:rsid w:val="00C4311B"/>
    <w:rsid w:val="00C434BA"/>
    <w:rsid w:val="00C437DB"/>
    <w:rsid w:val="00C4399B"/>
    <w:rsid w:val="00C43ACA"/>
    <w:rsid w:val="00C43BD4"/>
    <w:rsid w:val="00C43BF2"/>
    <w:rsid w:val="00C43EDD"/>
    <w:rsid w:val="00C43FFA"/>
    <w:rsid w:val="00C440F1"/>
    <w:rsid w:val="00C443EE"/>
    <w:rsid w:val="00C444CF"/>
    <w:rsid w:val="00C446E5"/>
    <w:rsid w:val="00C4483C"/>
    <w:rsid w:val="00C44946"/>
    <w:rsid w:val="00C44AC7"/>
    <w:rsid w:val="00C44E9B"/>
    <w:rsid w:val="00C44F58"/>
    <w:rsid w:val="00C44FCE"/>
    <w:rsid w:val="00C45067"/>
    <w:rsid w:val="00C450A0"/>
    <w:rsid w:val="00C452F0"/>
    <w:rsid w:val="00C453C6"/>
    <w:rsid w:val="00C454D7"/>
    <w:rsid w:val="00C45654"/>
    <w:rsid w:val="00C456E5"/>
    <w:rsid w:val="00C457B8"/>
    <w:rsid w:val="00C45A0A"/>
    <w:rsid w:val="00C45B86"/>
    <w:rsid w:val="00C45BDE"/>
    <w:rsid w:val="00C45C09"/>
    <w:rsid w:val="00C45DFE"/>
    <w:rsid w:val="00C4649D"/>
    <w:rsid w:val="00C4664A"/>
    <w:rsid w:val="00C466D8"/>
    <w:rsid w:val="00C4677B"/>
    <w:rsid w:val="00C468AE"/>
    <w:rsid w:val="00C46CF0"/>
    <w:rsid w:val="00C46E6C"/>
    <w:rsid w:val="00C47144"/>
    <w:rsid w:val="00C474E4"/>
    <w:rsid w:val="00C475AA"/>
    <w:rsid w:val="00C476F7"/>
    <w:rsid w:val="00C477A6"/>
    <w:rsid w:val="00C477D5"/>
    <w:rsid w:val="00C47992"/>
    <w:rsid w:val="00C47A08"/>
    <w:rsid w:val="00C47F4C"/>
    <w:rsid w:val="00C507D4"/>
    <w:rsid w:val="00C50BB3"/>
    <w:rsid w:val="00C50DF2"/>
    <w:rsid w:val="00C50FC2"/>
    <w:rsid w:val="00C51005"/>
    <w:rsid w:val="00C51067"/>
    <w:rsid w:val="00C5135D"/>
    <w:rsid w:val="00C513E5"/>
    <w:rsid w:val="00C516D8"/>
    <w:rsid w:val="00C51773"/>
    <w:rsid w:val="00C51C50"/>
    <w:rsid w:val="00C5202B"/>
    <w:rsid w:val="00C52057"/>
    <w:rsid w:val="00C522F2"/>
    <w:rsid w:val="00C52515"/>
    <w:rsid w:val="00C525AA"/>
    <w:rsid w:val="00C526AE"/>
    <w:rsid w:val="00C52709"/>
    <w:rsid w:val="00C52A8F"/>
    <w:rsid w:val="00C52B2C"/>
    <w:rsid w:val="00C52E33"/>
    <w:rsid w:val="00C52F3D"/>
    <w:rsid w:val="00C5325D"/>
    <w:rsid w:val="00C53386"/>
    <w:rsid w:val="00C5369F"/>
    <w:rsid w:val="00C5378B"/>
    <w:rsid w:val="00C537E5"/>
    <w:rsid w:val="00C539CA"/>
    <w:rsid w:val="00C53DCB"/>
    <w:rsid w:val="00C53EE0"/>
    <w:rsid w:val="00C540CB"/>
    <w:rsid w:val="00C542C4"/>
    <w:rsid w:val="00C544E4"/>
    <w:rsid w:val="00C54540"/>
    <w:rsid w:val="00C54F9C"/>
    <w:rsid w:val="00C55029"/>
    <w:rsid w:val="00C55261"/>
    <w:rsid w:val="00C555DB"/>
    <w:rsid w:val="00C5583E"/>
    <w:rsid w:val="00C5595E"/>
    <w:rsid w:val="00C55A84"/>
    <w:rsid w:val="00C55C2A"/>
    <w:rsid w:val="00C55EEF"/>
    <w:rsid w:val="00C56220"/>
    <w:rsid w:val="00C56399"/>
    <w:rsid w:val="00C5664E"/>
    <w:rsid w:val="00C566EB"/>
    <w:rsid w:val="00C56E79"/>
    <w:rsid w:val="00C56ED2"/>
    <w:rsid w:val="00C56FA4"/>
    <w:rsid w:val="00C56FC8"/>
    <w:rsid w:val="00C574D3"/>
    <w:rsid w:val="00C5759C"/>
    <w:rsid w:val="00C576E1"/>
    <w:rsid w:val="00C57907"/>
    <w:rsid w:val="00C57D04"/>
    <w:rsid w:val="00C6000C"/>
    <w:rsid w:val="00C6007D"/>
    <w:rsid w:val="00C60568"/>
    <w:rsid w:val="00C6072D"/>
    <w:rsid w:val="00C60790"/>
    <w:rsid w:val="00C60911"/>
    <w:rsid w:val="00C60AC4"/>
    <w:rsid w:val="00C60BE3"/>
    <w:rsid w:val="00C60D7E"/>
    <w:rsid w:val="00C60F3A"/>
    <w:rsid w:val="00C60F3C"/>
    <w:rsid w:val="00C60F76"/>
    <w:rsid w:val="00C6106A"/>
    <w:rsid w:val="00C610E5"/>
    <w:rsid w:val="00C611C9"/>
    <w:rsid w:val="00C61333"/>
    <w:rsid w:val="00C61674"/>
    <w:rsid w:val="00C61BC4"/>
    <w:rsid w:val="00C61E3F"/>
    <w:rsid w:val="00C62024"/>
    <w:rsid w:val="00C620D1"/>
    <w:rsid w:val="00C623A2"/>
    <w:rsid w:val="00C62447"/>
    <w:rsid w:val="00C62674"/>
    <w:rsid w:val="00C629B0"/>
    <w:rsid w:val="00C62C7D"/>
    <w:rsid w:val="00C62EE5"/>
    <w:rsid w:val="00C62FC9"/>
    <w:rsid w:val="00C6319E"/>
    <w:rsid w:val="00C63234"/>
    <w:rsid w:val="00C6328A"/>
    <w:rsid w:val="00C632F6"/>
    <w:rsid w:val="00C633E5"/>
    <w:rsid w:val="00C633F4"/>
    <w:rsid w:val="00C635FD"/>
    <w:rsid w:val="00C63645"/>
    <w:rsid w:val="00C6392E"/>
    <w:rsid w:val="00C639A9"/>
    <w:rsid w:val="00C63F20"/>
    <w:rsid w:val="00C6428D"/>
    <w:rsid w:val="00C642F2"/>
    <w:rsid w:val="00C649B1"/>
    <w:rsid w:val="00C649F4"/>
    <w:rsid w:val="00C64CE3"/>
    <w:rsid w:val="00C64E16"/>
    <w:rsid w:val="00C64EDE"/>
    <w:rsid w:val="00C64F76"/>
    <w:rsid w:val="00C651F7"/>
    <w:rsid w:val="00C653FD"/>
    <w:rsid w:val="00C65576"/>
    <w:rsid w:val="00C6596D"/>
    <w:rsid w:val="00C65970"/>
    <w:rsid w:val="00C65CB3"/>
    <w:rsid w:val="00C65F86"/>
    <w:rsid w:val="00C66165"/>
    <w:rsid w:val="00C6617B"/>
    <w:rsid w:val="00C663DD"/>
    <w:rsid w:val="00C66720"/>
    <w:rsid w:val="00C66973"/>
    <w:rsid w:val="00C66B46"/>
    <w:rsid w:val="00C66C77"/>
    <w:rsid w:val="00C66C83"/>
    <w:rsid w:val="00C66CE1"/>
    <w:rsid w:val="00C6750B"/>
    <w:rsid w:val="00C675F3"/>
    <w:rsid w:val="00C6775D"/>
    <w:rsid w:val="00C67853"/>
    <w:rsid w:val="00C67915"/>
    <w:rsid w:val="00C67933"/>
    <w:rsid w:val="00C6799E"/>
    <w:rsid w:val="00C679B1"/>
    <w:rsid w:val="00C67C04"/>
    <w:rsid w:val="00C67D56"/>
    <w:rsid w:val="00C67DF6"/>
    <w:rsid w:val="00C709F5"/>
    <w:rsid w:val="00C70E52"/>
    <w:rsid w:val="00C70ECD"/>
    <w:rsid w:val="00C70F16"/>
    <w:rsid w:val="00C70F17"/>
    <w:rsid w:val="00C7121B"/>
    <w:rsid w:val="00C71241"/>
    <w:rsid w:val="00C71276"/>
    <w:rsid w:val="00C7151A"/>
    <w:rsid w:val="00C71552"/>
    <w:rsid w:val="00C715EE"/>
    <w:rsid w:val="00C718E2"/>
    <w:rsid w:val="00C71DB4"/>
    <w:rsid w:val="00C71EA2"/>
    <w:rsid w:val="00C71F60"/>
    <w:rsid w:val="00C721B2"/>
    <w:rsid w:val="00C72241"/>
    <w:rsid w:val="00C723D3"/>
    <w:rsid w:val="00C73228"/>
    <w:rsid w:val="00C732A1"/>
    <w:rsid w:val="00C7355A"/>
    <w:rsid w:val="00C736A0"/>
    <w:rsid w:val="00C73BC8"/>
    <w:rsid w:val="00C73D94"/>
    <w:rsid w:val="00C7410F"/>
    <w:rsid w:val="00C74159"/>
    <w:rsid w:val="00C744D4"/>
    <w:rsid w:val="00C74C70"/>
    <w:rsid w:val="00C750C8"/>
    <w:rsid w:val="00C75505"/>
    <w:rsid w:val="00C7560F"/>
    <w:rsid w:val="00C7564D"/>
    <w:rsid w:val="00C756EB"/>
    <w:rsid w:val="00C75726"/>
    <w:rsid w:val="00C75830"/>
    <w:rsid w:val="00C75B31"/>
    <w:rsid w:val="00C75E5A"/>
    <w:rsid w:val="00C760B7"/>
    <w:rsid w:val="00C770A0"/>
    <w:rsid w:val="00C772E3"/>
    <w:rsid w:val="00C7740B"/>
    <w:rsid w:val="00C774EE"/>
    <w:rsid w:val="00C77A60"/>
    <w:rsid w:val="00C77D19"/>
    <w:rsid w:val="00C77DD5"/>
    <w:rsid w:val="00C80128"/>
    <w:rsid w:val="00C803A9"/>
    <w:rsid w:val="00C805E1"/>
    <w:rsid w:val="00C806E0"/>
    <w:rsid w:val="00C80A0E"/>
    <w:rsid w:val="00C80BED"/>
    <w:rsid w:val="00C80C52"/>
    <w:rsid w:val="00C80DD6"/>
    <w:rsid w:val="00C8100D"/>
    <w:rsid w:val="00C810F2"/>
    <w:rsid w:val="00C813ED"/>
    <w:rsid w:val="00C81432"/>
    <w:rsid w:val="00C81619"/>
    <w:rsid w:val="00C816D2"/>
    <w:rsid w:val="00C817F8"/>
    <w:rsid w:val="00C81A6A"/>
    <w:rsid w:val="00C81E1B"/>
    <w:rsid w:val="00C81E77"/>
    <w:rsid w:val="00C8213F"/>
    <w:rsid w:val="00C8221E"/>
    <w:rsid w:val="00C824AF"/>
    <w:rsid w:val="00C825B2"/>
    <w:rsid w:val="00C825CC"/>
    <w:rsid w:val="00C825DC"/>
    <w:rsid w:val="00C83205"/>
    <w:rsid w:val="00C832BD"/>
    <w:rsid w:val="00C8331D"/>
    <w:rsid w:val="00C83588"/>
    <w:rsid w:val="00C836B8"/>
    <w:rsid w:val="00C837CC"/>
    <w:rsid w:val="00C83816"/>
    <w:rsid w:val="00C83A56"/>
    <w:rsid w:val="00C83FAF"/>
    <w:rsid w:val="00C843A1"/>
    <w:rsid w:val="00C84675"/>
    <w:rsid w:val="00C8475F"/>
    <w:rsid w:val="00C84C55"/>
    <w:rsid w:val="00C84ED0"/>
    <w:rsid w:val="00C850B8"/>
    <w:rsid w:val="00C85474"/>
    <w:rsid w:val="00C8549A"/>
    <w:rsid w:val="00C85546"/>
    <w:rsid w:val="00C85A2C"/>
    <w:rsid w:val="00C85CB0"/>
    <w:rsid w:val="00C86034"/>
    <w:rsid w:val="00C860A8"/>
    <w:rsid w:val="00C86292"/>
    <w:rsid w:val="00C8651A"/>
    <w:rsid w:val="00C86804"/>
    <w:rsid w:val="00C868CA"/>
    <w:rsid w:val="00C86E97"/>
    <w:rsid w:val="00C86F07"/>
    <w:rsid w:val="00C86F96"/>
    <w:rsid w:val="00C87828"/>
    <w:rsid w:val="00C8791C"/>
    <w:rsid w:val="00C8797A"/>
    <w:rsid w:val="00C87A6B"/>
    <w:rsid w:val="00C87CF6"/>
    <w:rsid w:val="00C87F22"/>
    <w:rsid w:val="00C900B8"/>
    <w:rsid w:val="00C90162"/>
    <w:rsid w:val="00C9036D"/>
    <w:rsid w:val="00C9046A"/>
    <w:rsid w:val="00C90644"/>
    <w:rsid w:val="00C908AC"/>
    <w:rsid w:val="00C90A5A"/>
    <w:rsid w:val="00C90ADA"/>
    <w:rsid w:val="00C90C71"/>
    <w:rsid w:val="00C91094"/>
    <w:rsid w:val="00C91279"/>
    <w:rsid w:val="00C92019"/>
    <w:rsid w:val="00C92141"/>
    <w:rsid w:val="00C921D5"/>
    <w:rsid w:val="00C92906"/>
    <w:rsid w:val="00C92991"/>
    <w:rsid w:val="00C92ADB"/>
    <w:rsid w:val="00C92C90"/>
    <w:rsid w:val="00C92D81"/>
    <w:rsid w:val="00C93192"/>
    <w:rsid w:val="00C931CF"/>
    <w:rsid w:val="00C932A4"/>
    <w:rsid w:val="00C93338"/>
    <w:rsid w:val="00C9335C"/>
    <w:rsid w:val="00C9370F"/>
    <w:rsid w:val="00C93767"/>
    <w:rsid w:val="00C938CF"/>
    <w:rsid w:val="00C938D8"/>
    <w:rsid w:val="00C93C84"/>
    <w:rsid w:val="00C94134"/>
    <w:rsid w:val="00C94155"/>
    <w:rsid w:val="00C9436C"/>
    <w:rsid w:val="00C94570"/>
    <w:rsid w:val="00C9475C"/>
    <w:rsid w:val="00C948FC"/>
    <w:rsid w:val="00C94A42"/>
    <w:rsid w:val="00C94A89"/>
    <w:rsid w:val="00C94A9E"/>
    <w:rsid w:val="00C94B0F"/>
    <w:rsid w:val="00C94B4B"/>
    <w:rsid w:val="00C94DDD"/>
    <w:rsid w:val="00C94EEA"/>
    <w:rsid w:val="00C95284"/>
    <w:rsid w:val="00C9539F"/>
    <w:rsid w:val="00C95525"/>
    <w:rsid w:val="00C95630"/>
    <w:rsid w:val="00C95636"/>
    <w:rsid w:val="00C9568A"/>
    <w:rsid w:val="00C95C16"/>
    <w:rsid w:val="00C9624D"/>
    <w:rsid w:val="00C96322"/>
    <w:rsid w:val="00C96454"/>
    <w:rsid w:val="00C96477"/>
    <w:rsid w:val="00C96499"/>
    <w:rsid w:val="00C96560"/>
    <w:rsid w:val="00C96614"/>
    <w:rsid w:val="00C969DA"/>
    <w:rsid w:val="00C96B3E"/>
    <w:rsid w:val="00C96DEE"/>
    <w:rsid w:val="00C974EA"/>
    <w:rsid w:val="00C97506"/>
    <w:rsid w:val="00C97699"/>
    <w:rsid w:val="00C97830"/>
    <w:rsid w:val="00C97AEA"/>
    <w:rsid w:val="00C97B93"/>
    <w:rsid w:val="00C97BDD"/>
    <w:rsid w:val="00C97E24"/>
    <w:rsid w:val="00C97F04"/>
    <w:rsid w:val="00CA0226"/>
    <w:rsid w:val="00CA0370"/>
    <w:rsid w:val="00CA094A"/>
    <w:rsid w:val="00CA0D74"/>
    <w:rsid w:val="00CA1275"/>
    <w:rsid w:val="00CA19AD"/>
    <w:rsid w:val="00CA1D90"/>
    <w:rsid w:val="00CA20F8"/>
    <w:rsid w:val="00CA2411"/>
    <w:rsid w:val="00CA248E"/>
    <w:rsid w:val="00CA2502"/>
    <w:rsid w:val="00CA2922"/>
    <w:rsid w:val="00CA2B0F"/>
    <w:rsid w:val="00CA2C77"/>
    <w:rsid w:val="00CA2D36"/>
    <w:rsid w:val="00CA2F88"/>
    <w:rsid w:val="00CA2FB8"/>
    <w:rsid w:val="00CA3158"/>
    <w:rsid w:val="00CA31CC"/>
    <w:rsid w:val="00CA331A"/>
    <w:rsid w:val="00CA3820"/>
    <w:rsid w:val="00CA3A54"/>
    <w:rsid w:val="00CA3B29"/>
    <w:rsid w:val="00CA3C3F"/>
    <w:rsid w:val="00CA3D29"/>
    <w:rsid w:val="00CA3F66"/>
    <w:rsid w:val="00CA41A8"/>
    <w:rsid w:val="00CA444F"/>
    <w:rsid w:val="00CA4A55"/>
    <w:rsid w:val="00CA4A6A"/>
    <w:rsid w:val="00CA4C13"/>
    <w:rsid w:val="00CA4C6D"/>
    <w:rsid w:val="00CA4CD9"/>
    <w:rsid w:val="00CA4FAC"/>
    <w:rsid w:val="00CA51C6"/>
    <w:rsid w:val="00CA5245"/>
    <w:rsid w:val="00CA5324"/>
    <w:rsid w:val="00CA54B0"/>
    <w:rsid w:val="00CA59B2"/>
    <w:rsid w:val="00CA5CA9"/>
    <w:rsid w:val="00CA5D4A"/>
    <w:rsid w:val="00CA6044"/>
    <w:rsid w:val="00CA654C"/>
    <w:rsid w:val="00CA6BDE"/>
    <w:rsid w:val="00CA6C9F"/>
    <w:rsid w:val="00CA6CB7"/>
    <w:rsid w:val="00CA6ED5"/>
    <w:rsid w:val="00CA71A3"/>
    <w:rsid w:val="00CA71F4"/>
    <w:rsid w:val="00CA737C"/>
    <w:rsid w:val="00CA7969"/>
    <w:rsid w:val="00CA7B09"/>
    <w:rsid w:val="00CA7B93"/>
    <w:rsid w:val="00CA7F09"/>
    <w:rsid w:val="00CA7F46"/>
    <w:rsid w:val="00CB018D"/>
    <w:rsid w:val="00CB0298"/>
    <w:rsid w:val="00CB08F8"/>
    <w:rsid w:val="00CB0D6E"/>
    <w:rsid w:val="00CB0F0B"/>
    <w:rsid w:val="00CB0F81"/>
    <w:rsid w:val="00CB113D"/>
    <w:rsid w:val="00CB1151"/>
    <w:rsid w:val="00CB1303"/>
    <w:rsid w:val="00CB161D"/>
    <w:rsid w:val="00CB17C0"/>
    <w:rsid w:val="00CB1830"/>
    <w:rsid w:val="00CB21A4"/>
    <w:rsid w:val="00CB22D6"/>
    <w:rsid w:val="00CB24A0"/>
    <w:rsid w:val="00CB2825"/>
    <w:rsid w:val="00CB2907"/>
    <w:rsid w:val="00CB2B20"/>
    <w:rsid w:val="00CB2D9B"/>
    <w:rsid w:val="00CB2E44"/>
    <w:rsid w:val="00CB2E52"/>
    <w:rsid w:val="00CB2F2A"/>
    <w:rsid w:val="00CB30B9"/>
    <w:rsid w:val="00CB3880"/>
    <w:rsid w:val="00CB38E2"/>
    <w:rsid w:val="00CB3994"/>
    <w:rsid w:val="00CB3C1C"/>
    <w:rsid w:val="00CB3DB2"/>
    <w:rsid w:val="00CB3FEC"/>
    <w:rsid w:val="00CB405D"/>
    <w:rsid w:val="00CB422C"/>
    <w:rsid w:val="00CB4441"/>
    <w:rsid w:val="00CB44F9"/>
    <w:rsid w:val="00CB45C7"/>
    <w:rsid w:val="00CB45EA"/>
    <w:rsid w:val="00CB46AE"/>
    <w:rsid w:val="00CB475A"/>
    <w:rsid w:val="00CB47E3"/>
    <w:rsid w:val="00CB4828"/>
    <w:rsid w:val="00CB488A"/>
    <w:rsid w:val="00CB4961"/>
    <w:rsid w:val="00CB5018"/>
    <w:rsid w:val="00CB504D"/>
    <w:rsid w:val="00CB5455"/>
    <w:rsid w:val="00CB56A6"/>
    <w:rsid w:val="00CB57F5"/>
    <w:rsid w:val="00CB5866"/>
    <w:rsid w:val="00CB5AEB"/>
    <w:rsid w:val="00CB5B1A"/>
    <w:rsid w:val="00CB5D8B"/>
    <w:rsid w:val="00CB5DCA"/>
    <w:rsid w:val="00CB62AE"/>
    <w:rsid w:val="00CB636F"/>
    <w:rsid w:val="00CB64CC"/>
    <w:rsid w:val="00CB6563"/>
    <w:rsid w:val="00CB6574"/>
    <w:rsid w:val="00CB69D6"/>
    <w:rsid w:val="00CB6B22"/>
    <w:rsid w:val="00CB6E56"/>
    <w:rsid w:val="00CB7274"/>
    <w:rsid w:val="00CB763E"/>
    <w:rsid w:val="00CB788A"/>
    <w:rsid w:val="00CB7902"/>
    <w:rsid w:val="00CB7A44"/>
    <w:rsid w:val="00CB7BAA"/>
    <w:rsid w:val="00CB7DE2"/>
    <w:rsid w:val="00CB7F5F"/>
    <w:rsid w:val="00CC0390"/>
    <w:rsid w:val="00CC04AC"/>
    <w:rsid w:val="00CC04F1"/>
    <w:rsid w:val="00CC0735"/>
    <w:rsid w:val="00CC0C3C"/>
    <w:rsid w:val="00CC0D01"/>
    <w:rsid w:val="00CC0F87"/>
    <w:rsid w:val="00CC14EA"/>
    <w:rsid w:val="00CC15B1"/>
    <w:rsid w:val="00CC1A9E"/>
    <w:rsid w:val="00CC1B39"/>
    <w:rsid w:val="00CC1BC3"/>
    <w:rsid w:val="00CC1C7B"/>
    <w:rsid w:val="00CC1D42"/>
    <w:rsid w:val="00CC2096"/>
    <w:rsid w:val="00CC23C9"/>
    <w:rsid w:val="00CC23E1"/>
    <w:rsid w:val="00CC24A7"/>
    <w:rsid w:val="00CC2599"/>
    <w:rsid w:val="00CC2856"/>
    <w:rsid w:val="00CC2912"/>
    <w:rsid w:val="00CC2B7C"/>
    <w:rsid w:val="00CC2F96"/>
    <w:rsid w:val="00CC2FDD"/>
    <w:rsid w:val="00CC301A"/>
    <w:rsid w:val="00CC3026"/>
    <w:rsid w:val="00CC3194"/>
    <w:rsid w:val="00CC34C6"/>
    <w:rsid w:val="00CC36B7"/>
    <w:rsid w:val="00CC3C05"/>
    <w:rsid w:val="00CC3E5F"/>
    <w:rsid w:val="00CC4024"/>
    <w:rsid w:val="00CC40BC"/>
    <w:rsid w:val="00CC41D2"/>
    <w:rsid w:val="00CC4722"/>
    <w:rsid w:val="00CC48E5"/>
    <w:rsid w:val="00CC4B9D"/>
    <w:rsid w:val="00CC4C5A"/>
    <w:rsid w:val="00CC50C4"/>
    <w:rsid w:val="00CC540C"/>
    <w:rsid w:val="00CC5462"/>
    <w:rsid w:val="00CC5613"/>
    <w:rsid w:val="00CC56C0"/>
    <w:rsid w:val="00CC571C"/>
    <w:rsid w:val="00CC5A1D"/>
    <w:rsid w:val="00CC5AE7"/>
    <w:rsid w:val="00CC5DF6"/>
    <w:rsid w:val="00CC5FBD"/>
    <w:rsid w:val="00CC611F"/>
    <w:rsid w:val="00CC6176"/>
    <w:rsid w:val="00CC6670"/>
    <w:rsid w:val="00CC69A4"/>
    <w:rsid w:val="00CC6AB9"/>
    <w:rsid w:val="00CC6ADD"/>
    <w:rsid w:val="00CC6CE3"/>
    <w:rsid w:val="00CC6DF0"/>
    <w:rsid w:val="00CC6E83"/>
    <w:rsid w:val="00CC6F5F"/>
    <w:rsid w:val="00CC715D"/>
    <w:rsid w:val="00CC77C2"/>
    <w:rsid w:val="00CC78A6"/>
    <w:rsid w:val="00CC7B64"/>
    <w:rsid w:val="00CC7E83"/>
    <w:rsid w:val="00CC7F16"/>
    <w:rsid w:val="00CD01B1"/>
    <w:rsid w:val="00CD0284"/>
    <w:rsid w:val="00CD030F"/>
    <w:rsid w:val="00CD0313"/>
    <w:rsid w:val="00CD06A4"/>
    <w:rsid w:val="00CD08A9"/>
    <w:rsid w:val="00CD08DD"/>
    <w:rsid w:val="00CD09E0"/>
    <w:rsid w:val="00CD0BD6"/>
    <w:rsid w:val="00CD0EEB"/>
    <w:rsid w:val="00CD0F05"/>
    <w:rsid w:val="00CD10FB"/>
    <w:rsid w:val="00CD125F"/>
    <w:rsid w:val="00CD12AE"/>
    <w:rsid w:val="00CD1C93"/>
    <w:rsid w:val="00CD1D09"/>
    <w:rsid w:val="00CD2014"/>
    <w:rsid w:val="00CD2174"/>
    <w:rsid w:val="00CD2280"/>
    <w:rsid w:val="00CD2391"/>
    <w:rsid w:val="00CD277C"/>
    <w:rsid w:val="00CD27BF"/>
    <w:rsid w:val="00CD3167"/>
    <w:rsid w:val="00CD34F3"/>
    <w:rsid w:val="00CD353F"/>
    <w:rsid w:val="00CD35B1"/>
    <w:rsid w:val="00CD362F"/>
    <w:rsid w:val="00CD3709"/>
    <w:rsid w:val="00CD3731"/>
    <w:rsid w:val="00CD3D8F"/>
    <w:rsid w:val="00CD3F82"/>
    <w:rsid w:val="00CD3FC2"/>
    <w:rsid w:val="00CD420D"/>
    <w:rsid w:val="00CD4684"/>
    <w:rsid w:val="00CD48C9"/>
    <w:rsid w:val="00CD4939"/>
    <w:rsid w:val="00CD49F3"/>
    <w:rsid w:val="00CD52FD"/>
    <w:rsid w:val="00CD53D7"/>
    <w:rsid w:val="00CD56E5"/>
    <w:rsid w:val="00CD5708"/>
    <w:rsid w:val="00CD5782"/>
    <w:rsid w:val="00CD597C"/>
    <w:rsid w:val="00CD5BFA"/>
    <w:rsid w:val="00CD5D53"/>
    <w:rsid w:val="00CD5F1C"/>
    <w:rsid w:val="00CD5F6E"/>
    <w:rsid w:val="00CD62CC"/>
    <w:rsid w:val="00CD62F2"/>
    <w:rsid w:val="00CD65B5"/>
    <w:rsid w:val="00CD680B"/>
    <w:rsid w:val="00CD6ADC"/>
    <w:rsid w:val="00CD6E5B"/>
    <w:rsid w:val="00CD6EBB"/>
    <w:rsid w:val="00CD7183"/>
    <w:rsid w:val="00CD731E"/>
    <w:rsid w:val="00CD753A"/>
    <w:rsid w:val="00CD7765"/>
    <w:rsid w:val="00CD7775"/>
    <w:rsid w:val="00CD7815"/>
    <w:rsid w:val="00CD789F"/>
    <w:rsid w:val="00CD7C47"/>
    <w:rsid w:val="00CE04F0"/>
    <w:rsid w:val="00CE056C"/>
    <w:rsid w:val="00CE05F7"/>
    <w:rsid w:val="00CE0708"/>
    <w:rsid w:val="00CE077F"/>
    <w:rsid w:val="00CE0819"/>
    <w:rsid w:val="00CE0A7D"/>
    <w:rsid w:val="00CE0AE6"/>
    <w:rsid w:val="00CE0B12"/>
    <w:rsid w:val="00CE0E23"/>
    <w:rsid w:val="00CE16C5"/>
    <w:rsid w:val="00CE20D5"/>
    <w:rsid w:val="00CE26B1"/>
    <w:rsid w:val="00CE2CBF"/>
    <w:rsid w:val="00CE2CDC"/>
    <w:rsid w:val="00CE2D62"/>
    <w:rsid w:val="00CE2E55"/>
    <w:rsid w:val="00CE2FCD"/>
    <w:rsid w:val="00CE3018"/>
    <w:rsid w:val="00CE3053"/>
    <w:rsid w:val="00CE3095"/>
    <w:rsid w:val="00CE314C"/>
    <w:rsid w:val="00CE31C3"/>
    <w:rsid w:val="00CE3380"/>
    <w:rsid w:val="00CE33B4"/>
    <w:rsid w:val="00CE3440"/>
    <w:rsid w:val="00CE36DD"/>
    <w:rsid w:val="00CE3C9B"/>
    <w:rsid w:val="00CE3CCA"/>
    <w:rsid w:val="00CE3E00"/>
    <w:rsid w:val="00CE3F3C"/>
    <w:rsid w:val="00CE4091"/>
    <w:rsid w:val="00CE461E"/>
    <w:rsid w:val="00CE4758"/>
    <w:rsid w:val="00CE4905"/>
    <w:rsid w:val="00CE4996"/>
    <w:rsid w:val="00CE4A85"/>
    <w:rsid w:val="00CE4EAB"/>
    <w:rsid w:val="00CE519A"/>
    <w:rsid w:val="00CE56A1"/>
    <w:rsid w:val="00CE56C4"/>
    <w:rsid w:val="00CE59DF"/>
    <w:rsid w:val="00CE5C46"/>
    <w:rsid w:val="00CE5C55"/>
    <w:rsid w:val="00CE5FE7"/>
    <w:rsid w:val="00CE612E"/>
    <w:rsid w:val="00CE6274"/>
    <w:rsid w:val="00CE62C5"/>
    <w:rsid w:val="00CE64AA"/>
    <w:rsid w:val="00CE6929"/>
    <w:rsid w:val="00CE6CB8"/>
    <w:rsid w:val="00CE6D6B"/>
    <w:rsid w:val="00CE7207"/>
    <w:rsid w:val="00CE720B"/>
    <w:rsid w:val="00CE755B"/>
    <w:rsid w:val="00CE759D"/>
    <w:rsid w:val="00CE75E1"/>
    <w:rsid w:val="00CE7691"/>
    <w:rsid w:val="00CE76A7"/>
    <w:rsid w:val="00CE76BC"/>
    <w:rsid w:val="00CE77E1"/>
    <w:rsid w:val="00CE782A"/>
    <w:rsid w:val="00CE7D07"/>
    <w:rsid w:val="00CE7D97"/>
    <w:rsid w:val="00CE7E1C"/>
    <w:rsid w:val="00CE7E47"/>
    <w:rsid w:val="00CE7EC8"/>
    <w:rsid w:val="00CE7FFE"/>
    <w:rsid w:val="00CF01F0"/>
    <w:rsid w:val="00CF01F9"/>
    <w:rsid w:val="00CF053E"/>
    <w:rsid w:val="00CF094A"/>
    <w:rsid w:val="00CF18C1"/>
    <w:rsid w:val="00CF1918"/>
    <w:rsid w:val="00CF280B"/>
    <w:rsid w:val="00CF298E"/>
    <w:rsid w:val="00CF29E6"/>
    <w:rsid w:val="00CF2B8D"/>
    <w:rsid w:val="00CF2E58"/>
    <w:rsid w:val="00CF2FF4"/>
    <w:rsid w:val="00CF300F"/>
    <w:rsid w:val="00CF3055"/>
    <w:rsid w:val="00CF3176"/>
    <w:rsid w:val="00CF34CA"/>
    <w:rsid w:val="00CF3586"/>
    <w:rsid w:val="00CF37C5"/>
    <w:rsid w:val="00CF3AAC"/>
    <w:rsid w:val="00CF3B5C"/>
    <w:rsid w:val="00CF3F87"/>
    <w:rsid w:val="00CF4402"/>
    <w:rsid w:val="00CF456B"/>
    <w:rsid w:val="00CF4EDC"/>
    <w:rsid w:val="00CF5130"/>
    <w:rsid w:val="00CF58E4"/>
    <w:rsid w:val="00CF5A22"/>
    <w:rsid w:val="00CF5FAA"/>
    <w:rsid w:val="00CF61DB"/>
    <w:rsid w:val="00CF68DF"/>
    <w:rsid w:val="00CF699F"/>
    <w:rsid w:val="00CF6D34"/>
    <w:rsid w:val="00CF6D4E"/>
    <w:rsid w:val="00CF7069"/>
    <w:rsid w:val="00CF70D4"/>
    <w:rsid w:val="00CF71A2"/>
    <w:rsid w:val="00CF71F2"/>
    <w:rsid w:val="00CF7B15"/>
    <w:rsid w:val="00CF7CF6"/>
    <w:rsid w:val="00CF7FED"/>
    <w:rsid w:val="00D000E9"/>
    <w:rsid w:val="00D002F1"/>
    <w:rsid w:val="00D005CC"/>
    <w:rsid w:val="00D0079F"/>
    <w:rsid w:val="00D00919"/>
    <w:rsid w:val="00D009C5"/>
    <w:rsid w:val="00D00C0C"/>
    <w:rsid w:val="00D00D74"/>
    <w:rsid w:val="00D00EC9"/>
    <w:rsid w:val="00D0140E"/>
    <w:rsid w:val="00D01534"/>
    <w:rsid w:val="00D01537"/>
    <w:rsid w:val="00D01656"/>
    <w:rsid w:val="00D01864"/>
    <w:rsid w:val="00D01883"/>
    <w:rsid w:val="00D019AB"/>
    <w:rsid w:val="00D01A49"/>
    <w:rsid w:val="00D01B3F"/>
    <w:rsid w:val="00D02354"/>
    <w:rsid w:val="00D0261E"/>
    <w:rsid w:val="00D0262E"/>
    <w:rsid w:val="00D026CB"/>
    <w:rsid w:val="00D0291C"/>
    <w:rsid w:val="00D0296B"/>
    <w:rsid w:val="00D02B82"/>
    <w:rsid w:val="00D02C1D"/>
    <w:rsid w:val="00D02D0C"/>
    <w:rsid w:val="00D02D72"/>
    <w:rsid w:val="00D02D93"/>
    <w:rsid w:val="00D02E68"/>
    <w:rsid w:val="00D02E71"/>
    <w:rsid w:val="00D02F70"/>
    <w:rsid w:val="00D030F7"/>
    <w:rsid w:val="00D0324A"/>
    <w:rsid w:val="00D032AE"/>
    <w:rsid w:val="00D033AC"/>
    <w:rsid w:val="00D033E4"/>
    <w:rsid w:val="00D03938"/>
    <w:rsid w:val="00D03970"/>
    <w:rsid w:val="00D03DA7"/>
    <w:rsid w:val="00D03E87"/>
    <w:rsid w:val="00D03F18"/>
    <w:rsid w:val="00D040B7"/>
    <w:rsid w:val="00D04330"/>
    <w:rsid w:val="00D046B6"/>
    <w:rsid w:val="00D047AC"/>
    <w:rsid w:val="00D04909"/>
    <w:rsid w:val="00D04951"/>
    <w:rsid w:val="00D04B74"/>
    <w:rsid w:val="00D04C83"/>
    <w:rsid w:val="00D04DF1"/>
    <w:rsid w:val="00D04E9C"/>
    <w:rsid w:val="00D05670"/>
    <w:rsid w:val="00D059B2"/>
    <w:rsid w:val="00D05A5A"/>
    <w:rsid w:val="00D05B22"/>
    <w:rsid w:val="00D05D5B"/>
    <w:rsid w:val="00D05F22"/>
    <w:rsid w:val="00D065A6"/>
    <w:rsid w:val="00D0670B"/>
    <w:rsid w:val="00D0698C"/>
    <w:rsid w:val="00D06C1B"/>
    <w:rsid w:val="00D06CD6"/>
    <w:rsid w:val="00D06F23"/>
    <w:rsid w:val="00D0700B"/>
    <w:rsid w:val="00D0708C"/>
    <w:rsid w:val="00D0744F"/>
    <w:rsid w:val="00D07506"/>
    <w:rsid w:val="00D0759C"/>
    <w:rsid w:val="00D07669"/>
    <w:rsid w:val="00D07C17"/>
    <w:rsid w:val="00D07E31"/>
    <w:rsid w:val="00D10103"/>
    <w:rsid w:val="00D101B4"/>
    <w:rsid w:val="00D10428"/>
    <w:rsid w:val="00D1044D"/>
    <w:rsid w:val="00D10516"/>
    <w:rsid w:val="00D105D0"/>
    <w:rsid w:val="00D106B6"/>
    <w:rsid w:val="00D106BA"/>
    <w:rsid w:val="00D10734"/>
    <w:rsid w:val="00D108B6"/>
    <w:rsid w:val="00D1091A"/>
    <w:rsid w:val="00D10943"/>
    <w:rsid w:val="00D10EE4"/>
    <w:rsid w:val="00D10F33"/>
    <w:rsid w:val="00D110BD"/>
    <w:rsid w:val="00D111C5"/>
    <w:rsid w:val="00D112E6"/>
    <w:rsid w:val="00D114F3"/>
    <w:rsid w:val="00D11716"/>
    <w:rsid w:val="00D11BD2"/>
    <w:rsid w:val="00D11BE7"/>
    <w:rsid w:val="00D12009"/>
    <w:rsid w:val="00D120CA"/>
    <w:rsid w:val="00D12539"/>
    <w:rsid w:val="00D128C8"/>
    <w:rsid w:val="00D128EE"/>
    <w:rsid w:val="00D12AD5"/>
    <w:rsid w:val="00D12AE8"/>
    <w:rsid w:val="00D12BFD"/>
    <w:rsid w:val="00D12E28"/>
    <w:rsid w:val="00D13254"/>
    <w:rsid w:val="00D133B2"/>
    <w:rsid w:val="00D13488"/>
    <w:rsid w:val="00D1348C"/>
    <w:rsid w:val="00D13675"/>
    <w:rsid w:val="00D13870"/>
    <w:rsid w:val="00D138E8"/>
    <w:rsid w:val="00D13E5A"/>
    <w:rsid w:val="00D141E1"/>
    <w:rsid w:val="00D14290"/>
    <w:rsid w:val="00D146B5"/>
    <w:rsid w:val="00D147C9"/>
    <w:rsid w:val="00D14943"/>
    <w:rsid w:val="00D14C02"/>
    <w:rsid w:val="00D14C75"/>
    <w:rsid w:val="00D14DA0"/>
    <w:rsid w:val="00D14ECE"/>
    <w:rsid w:val="00D15085"/>
    <w:rsid w:val="00D15319"/>
    <w:rsid w:val="00D153DE"/>
    <w:rsid w:val="00D1545D"/>
    <w:rsid w:val="00D15D6F"/>
    <w:rsid w:val="00D15E04"/>
    <w:rsid w:val="00D15EA7"/>
    <w:rsid w:val="00D162CB"/>
    <w:rsid w:val="00D16832"/>
    <w:rsid w:val="00D16AE3"/>
    <w:rsid w:val="00D16C57"/>
    <w:rsid w:val="00D16E6C"/>
    <w:rsid w:val="00D171EB"/>
    <w:rsid w:val="00D1720B"/>
    <w:rsid w:val="00D1729E"/>
    <w:rsid w:val="00D1756A"/>
    <w:rsid w:val="00D176AD"/>
    <w:rsid w:val="00D17741"/>
    <w:rsid w:val="00D1790A"/>
    <w:rsid w:val="00D17CDD"/>
    <w:rsid w:val="00D17D6C"/>
    <w:rsid w:val="00D17E53"/>
    <w:rsid w:val="00D2056A"/>
    <w:rsid w:val="00D2064C"/>
    <w:rsid w:val="00D207EE"/>
    <w:rsid w:val="00D20990"/>
    <w:rsid w:val="00D20AE6"/>
    <w:rsid w:val="00D20F17"/>
    <w:rsid w:val="00D21333"/>
    <w:rsid w:val="00D21697"/>
    <w:rsid w:val="00D217F7"/>
    <w:rsid w:val="00D2191B"/>
    <w:rsid w:val="00D219CF"/>
    <w:rsid w:val="00D21EAC"/>
    <w:rsid w:val="00D22180"/>
    <w:rsid w:val="00D221B4"/>
    <w:rsid w:val="00D222F8"/>
    <w:rsid w:val="00D22340"/>
    <w:rsid w:val="00D2236F"/>
    <w:rsid w:val="00D22696"/>
    <w:rsid w:val="00D22875"/>
    <w:rsid w:val="00D2307E"/>
    <w:rsid w:val="00D23100"/>
    <w:rsid w:val="00D23429"/>
    <w:rsid w:val="00D2373C"/>
    <w:rsid w:val="00D23AB7"/>
    <w:rsid w:val="00D240D5"/>
    <w:rsid w:val="00D240E6"/>
    <w:rsid w:val="00D2413B"/>
    <w:rsid w:val="00D241AA"/>
    <w:rsid w:val="00D242FA"/>
    <w:rsid w:val="00D243A4"/>
    <w:rsid w:val="00D24456"/>
    <w:rsid w:val="00D24582"/>
    <w:rsid w:val="00D2476B"/>
    <w:rsid w:val="00D24B3A"/>
    <w:rsid w:val="00D24F86"/>
    <w:rsid w:val="00D2510F"/>
    <w:rsid w:val="00D25110"/>
    <w:rsid w:val="00D251DE"/>
    <w:rsid w:val="00D254D8"/>
    <w:rsid w:val="00D255B8"/>
    <w:rsid w:val="00D2567E"/>
    <w:rsid w:val="00D25CA4"/>
    <w:rsid w:val="00D25D44"/>
    <w:rsid w:val="00D26016"/>
    <w:rsid w:val="00D261D7"/>
    <w:rsid w:val="00D26240"/>
    <w:rsid w:val="00D263D0"/>
    <w:rsid w:val="00D269F1"/>
    <w:rsid w:val="00D26A26"/>
    <w:rsid w:val="00D26B2A"/>
    <w:rsid w:val="00D26D82"/>
    <w:rsid w:val="00D2700E"/>
    <w:rsid w:val="00D2709D"/>
    <w:rsid w:val="00D273DA"/>
    <w:rsid w:val="00D2745E"/>
    <w:rsid w:val="00D2754D"/>
    <w:rsid w:val="00D275BB"/>
    <w:rsid w:val="00D279CA"/>
    <w:rsid w:val="00D27B27"/>
    <w:rsid w:val="00D27EC9"/>
    <w:rsid w:val="00D27F2C"/>
    <w:rsid w:val="00D30119"/>
    <w:rsid w:val="00D305AD"/>
    <w:rsid w:val="00D30B92"/>
    <w:rsid w:val="00D30DF1"/>
    <w:rsid w:val="00D310FE"/>
    <w:rsid w:val="00D31218"/>
    <w:rsid w:val="00D31393"/>
    <w:rsid w:val="00D31402"/>
    <w:rsid w:val="00D3161E"/>
    <w:rsid w:val="00D31813"/>
    <w:rsid w:val="00D3193C"/>
    <w:rsid w:val="00D319E5"/>
    <w:rsid w:val="00D31C4A"/>
    <w:rsid w:val="00D31C4D"/>
    <w:rsid w:val="00D31D2C"/>
    <w:rsid w:val="00D31DBC"/>
    <w:rsid w:val="00D31DF3"/>
    <w:rsid w:val="00D322F3"/>
    <w:rsid w:val="00D32368"/>
    <w:rsid w:val="00D323D7"/>
    <w:rsid w:val="00D3251F"/>
    <w:rsid w:val="00D325D2"/>
    <w:rsid w:val="00D32614"/>
    <w:rsid w:val="00D326C6"/>
    <w:rsid w:val="00D329C7"/>
    <w:rsid w:val="00D32AD7"/>
    <w:rsid w:val="00D32C73"/>
    <w:rsid w:val="00D32E1A"/>
    <w:rsid w:val="00D32E81"/>
    <w:rsid w:val="00D331D3"/>
    <w:rsid w:val="00D335F0"/>
    <w:rsid w:val="00D336F9"/>
    <w:rsid w:val="00D33BE9"/>
    <w:rsid w:val="00D33F35"/>
    <w:rsid w:val="00D33FAF"/>
    <w:rsid w:val="00D340F8"/>
    <w:rsid w:val="00D3410F"/>
    <w:rsid w:val="00D34375"/>
    <w:rsid w:val="00D344FE"/>
    <w:rsid w:val="00D3451A"/>
    <w:rsid w:val="00D34733"/>
    <w:rsid w:val="00D347A7"/>
    <w:rsid w:val="00D3483A"/>
    <w:rsid w:val="00D3490A"/>
    <w:rsid w:val="00D34929"/>
    <w:rsid w:val="00D34CD8"/>
    <w:rsid w:val="00D351AA"/>
    <w:rsid w:val="00D352FC"/>
    <w:rsid w:val="00D35391"/>
    <w:rsid w:val="00D357FF"/>
    <w:rsid w:val="00D3583F"/>
    <w:rsid w:val="00D35B88"/>
    <w:rsid w:val="00D35EB1"/>
    <w:rsid w:val="00D36529"/>
    <w:rsid w:val="00D36817"/>
    <w:rsid w:val="00D36FC3"/>
    <w:rsid w:val="00D374AA"/>
    <w:rsid w:val="00D375E8"/>
    <w:rsid w:val="00D378E5"/>
    <w:rsid w:val="00D37BC8"/>
    <w:rsid w:val="00D37C2B"/>
    <w:rsid w:val="00D37C3F"/>
    <w:rsid w:val="00D4002D"/>
    <w:rsid w:val="00D40330"/>
    <w:rsid w:val="00D40620"/>
    <w:rsid w:val="00D406DD"/>
    <w:rsid w:val="00D40797"/>
    <w:rsid w:val="00D40A0F"/>
    <w:rsid w:val="00D40EF7"/>
    <w:rsid w:val="00D40F14"/>
    <w:rsid w:val="00D41013"/>
    <w:rsid w:val="00D413B0"/>
    <w:rsid w:val="00D414DF"/>
    <w:rsid w:val="00D41555"/>
    <w:rsid w:val="00D415DA"/>
    <w:rsid w:val="00D41CCE"/>
    <w:rsid w:val="00D41CDC"/>
    <w:rsid w:val="00D420C7"/>
    <w:rsid w:val="00D42491"/>
    <w:rsid w:val="00D424C7"/>
    <w:rsid w:val="00D4251B"/>
    <w:rsid w:val="00D427C4"/>
    <w:rsid w:val="00D42AB1"/>
    <w:rsid w:val="00D43176"/>
    <w:rsid w:val="00D432F4"/>
    <w:rsid w:val="00D43626"/>
    <w:rsid w:val="00D436B1"/>
    <w:rsid w:val="00D437D6"/>
    <w:rsid w:val="00D43B2A"/>
    <w:rsid w:val="00D43F89"/>
    <w:rsid w:val="00D4421A"/>
    <w:rsid w:val="00D44BF4"/>
    <w:rsid w:val="00D44CF7"/>
    <w:rsid w:val="00D44D89"/>
    <w:rsid w:val="00D44EE2"/>
    <w:rsid w:val="00D450B7"/>
    <w:rsid w:val="00D452CC"/>
    <w:rsid w:val="00D45452"/>
    <w:rsid w:val="00D4578A"/>
    <w:rsid w:val="00D457EC"/>
    <w:rsid w:val="00D45D78"/>
    <w:rsid w:val="00D45E76"/>
    <w:rsid w:val="00D4605F"/>
    <w:rsid w:val="00D46B13"/>
    <w:rsid w:val="00D46B66"/>
    <w:rsid w:val="00D46C63"/>
    <w:rsid w:val="00D46CFC"/>
    <w:rsid w:val="00D47575"/>
    <w:rsid w:val="00D47A69"/>
    <w:rsid w:val="00D47B1C"/>
    <w:rsid w:val="00D501AE"/>
    <w:rsid w:val="00D50349"/>
    <w:rsid w:val="00D50621"/>
    <w:rsid w:val="00D50973"/>
    <w:rsid w:val="00D509B0"/>
    <w:rsid w:val="00D50B21"/>
    <w:rsid w:val="00D50DF6"/>
    <w:rsid w:val="00D50F46"/>
    <w:rsid w:val="00D510F2"/>
    <w:rsid w:val="00D51227"/>
    <w:rsid w:val="00D51298"/>
    <w:rsid w:val="00D5158C"/>
    <w:rsid w:val="00D5159F"/>
    <w:rsid w:val="00D51657"/>
    <w:rsid w:val="00D5168A"/>
    <w:rsid w:val="00D51A47"/>
    <w:rsid w:val="00D51C54"/>
    <w:rsid w:val="00D51C7E"/>
    <w:rsid w:val="00D52012"/>
    <w:rsid w:val="00D5210A"/>
    <w:rsid w:val="00D52144"/>
    <w:rsid w:val="00D5290B"/>
    <w:rsid w:val="00D52F60"/>
    <w:rsid w:val="00D53057"/>
    <w:rsid w:val="00D5313B"/>
    <w:rsid w:val="00D532C1"/>
    <w:rsid w:val="00D53391"/>
    <w:rsid w:val="00D53469"/>
    <w:rsid w:val="00D537D2"/>
    <w:rsid w:val="00D537DE"/>
    <w:rsid w:val="00D5396D"/>
    <w:rsid w:val="00D53A85"/>
    <w:rsid w:val="00D53B55"/>
    <w:rsid w:val="00D53C52"/>
    <w:rsid w:val="00D53F19"/>
    <w:rsid w:val="00D544C5"/>
    <w:rsid w:val="00D5496F"/>
    <w:rsid w:val="00D5552C"/>
    <w:rsid w:val="00D556B7"/>
    <w:rsid w:val="00D55964"/>
    <w:rsid w:val="00D55B01"/>
    <w:rsid w:val="00D55B4C"/>
    <w:rsid w:val="00D55B85"/>
    <w:rsid w:val="00D55CF6"/>
    <w:rsid w:val="00D55D5B"/>
    <w:rsid w:val="00D5604F"/>
    <w:rsid w:val="00D563D2"/>
    <w:rsid w:val="00D5653F"/>
    <w:rsid w:val="00D567E1"/>
    <w:rsid w:val="00D56849"/>
    <w:rsid w:val="00D568C9"/>
    <w:rsid w:val="00D56ACE"/>
    <w:rsid w:val="00D56CD2"/>
    <w:rsid w:val="00D56EDB"/>
    <w:rsid w:val="00D56F6B"/>
    <w:rsid w:val="00D56FDE"/>
    <w:rsid w:val="00D57221"/>
    <w:rsid w:val="00D576F5"/>
    <w:rsid w:val="00D578FC"/>
    <w:rsid w:val="00D5792D"/>
    <w:rsid w:val="00D57C2B"/>
    <w:rsid w:val="00D57C4B"/>
    <w:rsid w:val="00D57CC5"/>
    <w:rsid w:val="00D57EEC"/>
    <w:rsid w:val="00D57FFC"/>
    <w:rsid w:val="00D60039"/>
    <w:rsid w:val="00D6017F"/>
    <w:rsid w:val="00D60323"/>
    <w:rsid w:val="00D606E4"/>
    <w:rsid w:val="00D607EF"/>
    <w:rsid w:val="00D60E15"/>
    <w:rsid w:val="00D60FC8"/>
    <w:rsid w:val="00D6110C"/>
    <w:rsid w:val="00D612C5"/>
    <w:rsid w:val="00D61737"/>
    <w:rsid w:val="00D618D5"/>
    <w:rsid w:val="00D61A27"/>
    <w:rsid w:val="00D61F2D"/>
    <w:rsid w:val="00D61F91"/>
    <w:rsid w:val="00D62330"/>
    <w:rsid w:val="00D62423"/>
    <w:rsid w:val="00D6242D"/>
    <w:rsid w:val="00D62517"/>
    <w:rsid w:val="00D6251C"/>
    <w:rsid w:val="00D62524"/>
    <w:rsid w:val="00D62630"/>
    <w:rsid w:val="00D62B6E"/>
    <w:rsid w:val="00D62C61"/>
    <w:rsid w:val="00D62D4D"/>
    <w:rsid w:val="00D6300B"/>
    <w:rsid w:val="00D63989"/>
    <w:rsid w:val="00D63A66"/>
    <w:rsid w:val="00D63ECA"/>
    <w:rsid w:val="00D6426B"/>
    <w:rsid w:val="00D64315"/>
    <w:rsid w:val="00D64332"/>
    <w:rsid w:val="00D645F4"/>
    <w:rsid w:val="00D64A5F"/>
    <w:rsid w:val="00D64C71"/>
    <w:rsid w:val="00D650A9"/>
    <w:rsid w:val="00D6524D"/>
    <w:rsid w:val="00D659BF"/>
    <w:rsid w:val="00D65DE5"/>
    <w:rsid w:val="00D65F36"/>
    <w:rsid w:val="00D66027"/>
    <w:rsid w:val="00D6606C"/>
    <w:rsid w:val="00D66431"/>
    <w:rsid w:val="00D66437"/>
    <w:rsid w:val="00D666D8"/>
    <w:rsid w:val="00D668AB"/>
    <w:rsid w:val="00D668B8"/>
    <w:rsid w:val="00D6695A"/>
    <w:rsid w:val="00D66A61"/>
    <w:rsid w:val="00D66F5B"/>
    <w:rsid w:val="00D6736F"/>
    <w:rsid w:val="00D67449"/>
    <w:rsid w:val="00D67720"/>
    <w:rsid w:val="00D67754"/>
    <w:rsid w:val="00D6790F"/>
    <w:rsid w:val="00D67A25"/>
    <w:rsid w:val="00D67B09"/>
    <w:rsid w:val="00D67BC6"/>
    <w:rsid w:val="00D70257"/>
    <w:rsid w:val="00D70294"/>
    <w:rsid w:val="00D7030A"/>
    <w:rsid w:val="00D70473"/>
    <w:rsid w:val="00D704BD"/>
    <w:rsid w:val="00D7059C"/>
    <w:rsid w:val="00D70700"/>
    <w:rsid w:val="00D70946"/>
    <w:rsid w:val="00D70AEF"/>
    <w:rsid w:val="00D70CEE"/>
    <w:rsid w:val="00D70E18"/>
    <w:rsid w:val="00D70F16"/>
    <w:rsid w:val="00D71076"/>
    <w:rsid w:val="00D71137"/>
    <w:rsid w:val="00D71263"/>
    <w:rsid w:val="00D7126B"/>
    <w:rsid w:val="00D7148B"/>
    <w:rsid w:val="00D71A7D"/>
    <w:rsid w:val="00D72154"/>
    <w:rsid w:val="00D7244C"/>
    <w:rsid w:val="00D7258B"/>
    <w:rsid w:val="00D72954"/>
    <w:rsid w:val="00D72A64"/>
    <w:rsid w:val="00D72DBD"/>
    <w:rsid w:val="00D7327A"/>
    <w:rsid w:val="00D73346"/>
    <w:rsid w:val="00D73771"/>
    <w:rsid w:val="00D73922"/>
    <w:rsid w:val="00D73C26"/>
    <w:rsid w:val="00D73E7B"/>
    <w:rsid w:val="00D741D7"/>
    <w:rsid w:val="00D74502"/>
    <w:rsid w:val="00D746D7"/>
    <w:rsid w:val="00D74744"/>
    <w:rsid w:val="00D74A73"/>
    <w:rsid w:val="00D74CBF"/>
    <w:rsid w:val="00D750E9"/>
    <w:rsid w:val="00D7517E"/>
    <w:rsid w:val="00D7590B"/>
    <w:rsid w:val="00D75C9D"/>
    <w:rsid w:val="00D75D08"/>
    <w:rsid w:val="00D76009"/>
    <w:rsid w:val="00D76183"/>
    <w:rsid w:val="00D761D0"/>
    <w:rsid w:val="00D76503"/>
    <w:rsid w:val="00D76918"/>
    <w:rsid w:val="00D76959"/>
    <w:rsid w:val="00D76A44"/>
    <w:rsid w:val="00D76B34"/>
    <w:rsid w:val="00D76C41"/>
    <w:rsid w:val="00D76E54"/>
    <w:rsid w:val="00D7701E"/>
    <w:rsid w:val="00D77190"/>
    <w:rsid w:val="00D771DB"/>
    <w:rsid w:val="00D77348"/>
    <w:rsid w:val="00D77807"/>
    <w:rsid w:val="00D77964"/>
    <w:rsid w:val="00D77A99"/>
    <w:rsid w:val="00D77B32"/>
    <w:rsid w:val="00D77B99"/>
    <w:rsid w:val="00D77D7B"/>
    <w:rsid w:val="00D77DBE"/>
    <w:rsid w:val="00D80062"/>
    <w:rsid w:val="00D80110"/>
    <w:rsid w:val="00D801A5"/>
    <w:rsid w:val="00D801CE"/>
    <w:rsid w:val="00D801CF"/>
    <w:rsid w:val="00D801F5"/>
    <w:rsid w:val="00D8048B"/>
    <w:rsid w:val="00D804D1"/>
    <w:rsid w:val="00D809EE"/>
    <w:rsid w:val="00D80DA5"/>
    <w:rsid w:val="00D810ED"/>
    <w:rsid w:val="00D81218"/>
    <w:rsid w:val="00D815D3"/>
    <w:rsid w:val="00D815EF"/>
    <w:rsid w:val="00D818F7"/>
    <w:rsid w:val="00D818F8"/>
    <w:rsid w:val="00D81C5F"/>
    <w:rsid w:val="00D82080"/>
    <w:rsid w:val="00D820CC"/>
    <w:rsid w:val="00D8233E"/>
    <w:rsid w:val="00D82763"/>
    <w:rsid w:val="00D82852"/>
    <w:rsid w:val="00D82893"/>
    <w:rsid w:val="00D82A30"/>
    <w:rsid w:val="00D82AE5"/>
    <w:rsid w:val="00D82B7B"/>
    <w:rsid w:val="00D82E29"/>
    <w:rsid w:val="00D82FB0"/>
    <w:rsid w:val="00D835FD"/>
    <w:rsid w:val="00D839E0"/>
    <w:rsid w:val="00D83C75"/>
    <w:rsid w:val="00D83F2B"/>
    <w:rsid w:val="00D83FB8"/>
    <w:rsid w:val="00D8424B"/>
    <w:rsid w:val="00D846BB"/>
    <w:rsid w:val="00D8471F"/>
    <w:rsid w:val="00D848C1"/>
    <w:rsid w:val="00D84FDA"/>
    <w:rsid w:val="00D85564"/>
    <w:rsid w:val="00D857EF"/>
    <w:rsid w:val="00D8589F"/>
    <w:rsid w:val="00D85A56"/>
    <w:rsid w:val="00D85BC6"/>
    <w:rsid w:val="00D85D6D"/>
    <w:rsid w:val="00D85F72"/>
    <w:rsid w:val="00D862A3"/>
    <w:rsid w:val="00D862E5"/>
    <w:rsid w:val="00D869C1"/>
    <w:rsid w:val="00D86A86"/>
    <w:rsid w:val="00D86CC7"/>
    <w:rsid w:val="00D86CF6"/>
    <w:rsid w:val="00D871D2"/>
    <w:rsid w:val="00D873A4"/>
    <w:rsid w:val="00D876D7"/>
    <w:rsid w:val="00D8776A"/>
    <w:rsid w:val="00D877F2"/>
    <w:rsid w:val="00D87925"/>
    <w:rsid w:val="00D87D1C"/>
    <w:rsid w:val="00D901DC"/>
    <w:rsid w:val="00D904E8"/>
    <w:rsid w:val="00D909A6"/>
    <w:rsid w:val="00D90FB6"/>
    <w:rsid w:val="00D91080"/>
    <w:rsid w:val="00D910B9"/>
    <w:rsid w:val="00D910BD"/>
    <w:rsid w:val="00D910E9"/>
    <w:rsid w:val="00D91412"/>
    <w:rsid w:val="00D91414"/>
    <w:rsid w:val="00D9148E"/>
    <w:rsid w:val="00D91923"/>
    <w:rsid w:val="00D91E0E"/>
    <w:rsid w:val="00D91E4D"/>
    <w:rsid w:val="00D91F59"/>
    <w:rsid w:val="00D923E8"/>
    <w:rsid w:val="00D925EE"/>
    <w:rsid w:val="00D929D6"/>
    <w:rsid w:val="00D92A87"/>
    <w:rsid w:val="00D92D76"/>
    <w:rsid w:val="00D92F23"/>
    <w:rsid w:val="00D92F24"/>
    <w:rsid w:val="00D93251"/>
    <w:rsid w:val="00D93482"/>
    <w:rsid w:val="00D93753"/>
    <w:rsid w:val="00D940F6"/>
    <w:rsid w:val="00D94133"/>
    <w:rsid w:val="00D942D0"/>
    <w:rsid w:val="00D948EB"/>
    <w:rsid w:val="00D94A19"/>
    <w:rsid w:val="00D94B8B"/>
    <w:rsid w:val="00D94D38"/>
    <w:rsid w:val="00D94E7F"/>
    <w:rsid w:val="00D94EEF"/>
    <w:rsid w:val="00D95127"/>
    <w:rsid w:val="00D9514E"/>
    <w:rsid w:val="00D95290"/>
    <w:rsid w:val="00D957C6"/>
    <w:rsid w:val="00D95A47"/>
    <w:rsid w:val="00D95D26"/>
    <w:rsid w:val="00D95EC0"/>
    <w:rsid w:val="00D96134"/>
    <w:rsid w:val="00D9633E"/>
    <w:rsid w:val="00D964FD"/>
    <w:rsid w:val="00D967F3"/>
    <w:rsid w:val="00D96ACC"/>
    <w:rsid w:val="00D96BC4"/>
    <w:rsid w:val="00D96C80"/>
    <w:rsid w:val="00D96FD9"/>
    <w:rsid w:val="00D970ED"/>
    <w:rsid w:val="00D9718C"/>
    <w:rsid w:val="00DA011E"/>
    <w:rsid w:val="00DA0575"/>
    <w:rsid w:val="00DA0716"/>
    <w:rsid w:val="00DA082C"/>
    <w:rsid w:val="00DA084A"/>
    <w:rsid w:val="00DA0B8C"/>
    <w:rsid w:val="00DA0E21"/>
    <w:rsid w:val="00DA1002"/>
    <w:rsid w:val="00DA1210"/>
    <w:rsid w:val="00DA1250"/>
    <w:rsid w:val="00DA13AC"/>
    <w:rsid w:val="00DA18F9"/>
    <w:rsid w:val="00DA1A54"/>
    <w:rsid w:val="00DA1B8F"/>
    <w:rsid w:val="00DA1D3B"/>
    <w:rsid w:val="00DA1E49"/>
    <w:rsid w:val="00DA1FF1"/>
    <w:rsid w:val="00DA203E"/>
    <w:rsid w:val="00DA221D"/>
    <w:rsid w:val="00DA29E0"/>
    <w:rsid w:val="00DA29FE"/>
    <w:rsid w:val="00DA2B6B"/>
    <w:rsid w:val="00DA2E63"/>
    <w:rsid w:val="00DA2EEF"/>
    <w:rsid w:val="00DA30A1"/>
    <w:rsid w:val="00DA3167"/>
    <w:rsid w:val="00DA34DF"/>
    <w:rsid w:val="00DA3C77"/>
    <w:rsid w:val="00DA3C9D"/>
    <w:rsid w:val="00DA41D0"/>
    <w:rsid w:val="00DA45D8"/>
    <w:rsid w:val="00DA4AF2"/>
    <w:rsid w:val="00DA4B17"/>
    <w:rsid w:val="00DA4B63"/>
    <w:rsid w:val="00DA4B8C"/>
    <w:rsid w:val="00DA4DC3"/>
    <w:rsid w:val="00DA5286"/>
    <w:rsid w:val="00DA54F9"/>
    <w:rsid w:val="00DA57EB"/>
    <w:rsid w:val="00DA5803"/>
    <w:rsid w:val="00DA5C57"/>
    <w:rsid w:val="00DA5C94"/>
    <w:rsid w:val="00DA6124"/>
    <w:rsid w:val="00DA6369"/>
    <w:rsid w:val="00DA6560"/>
    <w:rsid w:val="00DA6586"/>
    <w:rsid w:val="00DA6B0D"/>
    <w:rsid w:val="00DA6B54"/>
    <w:rsid w:val="00DA70D7"/>
    <w:rsid w:val="00DA7219"/>
    <w:rsid w:val="00DA733F"/>
    <w:rsid w:val="00DA761C"/>
    <w:rsid w:val="00DA7664"/>
    <w:rsid w:val="00DA77A5"/>
    <w:rsid w:val="00DB0CE0"/>
    <w:rsid w:val="00DB110C"/>
    <w:rsid w:val="00DB119F"/>
    <w:rsid w:val="00DB1386"/>
    <w:rsid w:val="00DB13C4"/>
    <w:rsid w:val="00DB1653"/>
    <w:rsid w:val="00DB1FA2"/>
    <w:rsid w:val="00DB2023"/>
    <w:rsid w:val="00DB27AB"/>
    <w:rsid w:val="00DB31E3"/>
    <w:rsid w:val="00DB3F43"/>
    <w:rsid w:val="00DB45F4"/>
    <w:rsid w:val="00DB4639"/>
    <w:rsid w:val="00DB484F"/>
    <w:rsid w:val="00DB4A5E"/>
    <w:rsid w:val="00DB4AA3"/>
    <w:rsid w:val="00DB4AE0"/>
    <w:rsid w:val="00DB4B12"/>
    <w:rsid w:val="00DB4E98"/>
    <w:rsid w:val="00DB4EAC"/>
    <w:rsid w:val="00DB5242"/>
    <w:rsid w:val="00DB5382"/>
    <w:rsid w:val="00DB5763"/>
    <w:rsid w:val="00DB589A"/>
    <w:rsid w:val="00DB58A8"/>
    <w:rsid w:val="00DB59E6"/>
    <w:rsid w:val="00DB5B97"/>
    <w:rsid w:val="00DB5BC2"/>
    <w:rsid w:val="00DB5E7F"/>
    <w:rsid w:val="00DB5F3D"/>
    <w:rsid w:val="00DB6018"/>
    <w:rsid w:val="00DB6148"/>
    <w:rsid w:val="00DB652A"/>
    <w:rsid w:val="00DB6AD3"/>
    <w:rsid w:val="00DB6E6B"/>
    <w:rsid w:val="00DB7331"/>
    <w:rsid w:val="00DB7428"/>
    <w:rsid w:val="00DB75E6"/>
    <w:rsid w:val="00DB767C"/>
    <w:rsid w:val="00DB78A6"/>
    <w:rsid w:val="00DB7AB1"/>
    <w:rsid w:val="00DB7D39"/>
    <w:rsid w:val="00DB7E9C"/>
    <w:rsid w:val="00DB7FD4"/>
    <w:rsid w:val="00DC036C"/>
    <w:rsid w:val="00DC04F6"/>
    <w:rsid w:val="00DC0862"/>
    <w:rsid w:val="00DC086E"/>
    <w:rsid w:val="00DC0977"/>
    <w:rsid w:val="00DC0B06"/>
    <w:rsid w:val="00DC0BE4"/>
    <w:rsid w:val="00DC0CA2"/>
    <w:rsid w:val="00DC0CBB"/>
    <w:rsid w:val="00DC0D27"/>
    <w:rsid w:val="00DC10A7"/>
    <w:rsid w:val="00DC11C5"/>
    <w:rsid w:val="00DC125C"/>
    <w:rsid w:val="00DC138D"/>
    <w:rsid w:val="00DC176B"/>
    <w:rsid w:val="00DC1B42"/>
    <w:rsid w:val="00DC1BCC"/>
    <w:rsid w:val="00DC2078"/>
    <w:rsid w:val="00DC2133"/>
    <w:rsid w:val="00DC21BA"/>
    <w:rsid w:val="00DC21BB"/>
    <w:rsid w:val="00DC2440"/>
    <w:rsid w:val="00DC2713"/>
    <w:rsid w:val="00DC2943"/>
    <w:rsid w:val="00DC296A"/>
    <w:rsid w:val="00DC2A2F"/>
    <w:rsid w:val="00DC2F1B"/>
    <w:rsid w:val="00DC2FFD"/>
    <w:rsid w:val="00DC3010"/>
    <w:rsid w:val="00DC323E"/>
    <w:rsid w:val="00DC33DC"/>
    <w:rsid w:val="00DC3481"/>
    <w:rsid w:val="00DC356C"/>
    <w:rsid w:val="00DC3738"/>
    <w:rsid w:val="00DC37F0"/>
    <w:rsid w:val="00DC3AA9"/>
    <w:rsid w:val="00DC3C57"/>
    <w:rsid w:val="00DC3EF0"/>
    <w:rsid w:val="00DC414F"/>
    <w:rsid w:val="00DC4152"/>
    <w:rsid w:val="00DC4371"/>
    <w:rsid w:val="00DC4465"/>
    <w:rsid w:val="00DC48A4"/>
    <w:rsid w:val="00DC4983"/>
    <w:rsid w:val="00DC4A4A"/>
    <w:rsid w:val="00DC4D09"/>
    <w:rsid w:val="00DC4E29"/>
    <w:rsid w:val="00DC512A"/>
    <w:rsid w:val="00DC52AD"/>
    <w:rsid w:val="00DC541D"/>
    <w:rsid w:val="00DC5501"/>
    <w:rsid w:val="00DC59DC"/>
    <w:rsid w:val="00DC5CDE"/>
    <w:rsid w:val="00DC5DE4"/>
    <w:rsid w:val="00DC5FCB"/>
    <w:rsid w:val="00DC602D"/>
    <w:rsid w:val="00DC645F"/>
    <w:rsid w:val="00DC67DF"/>
    <w:rsid w:val="00DC687C"/>
    <w:rsid w:val="00DC69B3"/>
    <w:rsid w:val="00DC6F29"/>
    <w:rsid w:val="00DC7088"/>
    <w:rsid w:val="00DC7692"/>
    <w:rsid w:val="00DC7712"/>
    <w:rsid w:val="00DC7792"/>
    <w:rsid w:val="00DC78A9"/>
    <w:rsid w:val="00DC7E4B"/>
    <w:rsid w:val="00DC7F82"/>
    <w:rsid w:val="00DD06D4"/>
    <w:rsid w:val="00DD083F"/>
    <w:rsid w:val="00DD0C38"/>
    <w:rsid w:val="00DD0C64"/>
    <w:rsid w:val="00DD0C8F"/>
    <w:rsid w:val="00DD0EE2"/>
    <w:rsid w:val="00DD0F41"/>
    <w:rsid w:val="00DD0F4C"/>
    <w:rsid w:val="00DD10CB"/>
    <w:rsid w:val="00DD10EB"/>
    <w:rsid w:val="00DD15D3"/>
    <w:rsid w:val="00DD17A0"/>
    <w:rsid w:val="00DD190A"/>
    <w:rsid w:val="00DD1B9C"/>
    <w:rsid w:val="00DD1C08"/>
    <w:rsid w:val="00DD1C12"/>
    <w:rsid w:val="00DD1DC0"/>
    <w:rsid w:val="00DD1E95"/>
    <w:rsid w:val="00DD1EC2"/>
    <w:rsid w:val="00DD1F2E"/>
    <w:rsid w:val="00DD1F37"/>
    <w:rsid w:val="00DD21DE"/>
    <w:rsid w:val="00DD22E6"/>
    <w:rsid w:val="00DD251D"/>
    <w:rsid w:val="00DD273C"/>
    <w:rsid w:val="00DD292A"/>
    <w:rsid w:val="00DD29D0"/>
    <w:rsid w:val="00DD2D58"/>
    <w:rsid w:val="00DD2D90"/>
    <w:rsid w:val="00DD2E2C"/>
    <w:rsid w:val="00DD2E33"/>
    <w:rsid w:val="00DD2E83"/>
    <w:rsid w:val="00DD32FA"/>
    <w:rsid w:val="00DD3653"/>
    <w:rsid w:val="00DD3903"/>
    <w:rsid w:val="00DD3BAE"/>
    <w:rsid w:val="00DD3C5A"/>
    <w:rsid w:val="00DD3EF4"/>
    <w:rsid w:val="00DD3F28"/>
    <w:rsid w:val="00DD4018"/>
    <w:rsid w:val="00DD4537"/>
    <w:rsid w:val="00DD47F4"/>
    <w:rsid w:val="00DD4832"/>
    <w:rsid w:val="00DD48C7"/>
    <w:rsid w:val="00DD4D83"/>
    <w:rsid w:val="00DD4E15"/>
    <w:rsid w:val="00DD4E1E"/>
    <w:rsid w:val="00DD4E61"/>
    <w:rsid w:val="00DD4E7F"/>
    <w:rsid w:val="00DD4F3C"/>
    <w:rsid w:val="00DD511F"/>
    <w:rsid w:val="00DD5141"/>
    <w:rsid w:val="00DD518E"/>
    <w:rsid w:val="00DD5234"/>
    <w:rsid w:val="00DD52EE"/>
    <w:rsid w:val="00DD53A8"/>
    <w:rsid w:val="00DD565D"/>
    <w:rsid w:val="00DD58F9"/>
    <w:rsid w:val="00DD5A6C"/>
    <w:rsid w:val="00DD5AE7"/>
    <w:rsid w:val="00DD5AFE"/>
    <w:rsid w:val="00DD5E2B"/>
    <w:rsid w:val="00DD6095"/>
    <w:rsid w:val="00DD6168"/>
    <w:rsid w:val="00DD62A2"/>
    <w:rsid w:val="00DD63AC"/>
    <w:rsid w:val="00DD63FB"/>
    <w:rsid w:val="00DD64B5"/>
    <w:rsid w:val="00DD64D5"/>
    <w:rsid w:val="00DD67FC"/>
    <w:rsid w:val="00DD6C5E"/>
    <w:rsid w:val="00DD6C84"/>
    <w:rsid w:val="00DD6CBD"/>
    <w:rsid w:val="00DD6F0A"/>
    <w:rsid w:val="00DD7015"/>
    <w:rsid w:val="00DD71A8"/>
    <w:rsid w:val="00DD732A"/>
    <w:rsid w:val="00DD7C65"/>
    <w:rsid w:val="00DD7D32"/>
    <w:rsid w:val="00DE003F"/>
    <w:rsid w:val="00DE0294"/>
    <w:rsid w:val="00DE02B1"/>
    <w:rsid w:val="00DE02D5"/>
    <w:rsid w:val="00DE0321"/>
    <w:rsid w:val="00DE05BC"/>
    <w:rsid w:val="00DE061E"/>
    <w:rsid w:val="00DE0B4E"/>
    <w:rsid w:val="00DE0B70"/>
    <w:rsid w:val="00DE0D0F"/>
    <w:rsid w:val="00DE0D3B"/>
    <w:rsid w:val="00DE1609"/>
    <w:rsid w:val="00DE1AA8"/>
    <w:rsid w:val="00DE1C34"/>
    <w:rsid w:val="00DE1C9E"/>
    <w:rsid w:val="00DE1E46"/>
    <w:rsid w:val="00DE202B"/>
    <w:rsid w:val="00DE21F7"/>
    <w:rsid w:val="00DE23DD"/>
    <w:rsid w:val="00DE25BB"/>
    <w:rsid w:val="00DE2779"/>
    <w:rsid w:val="00DE294A"/>
    <w:rsid w:val="00DE2A6C"/>
    <w:rsid w:val="00DE2AF0"/>
    <w:rsid w:val="00DE2BE6"/>
    <w:rsid w:val="00DE2F68"/>
    <w:rsid w:val="00DE2FE0"/>
    <w:rsid w:val="00DE30D6"/>
    <w:rsid w:val="00DE3138"/>
    <w:rsid w:val="00DE3238"/>
    <w:rsid w:val="00DE329C"/>
    <w:rsid w:val="00DE338A"/>
    <w:rsid w:val="00DE371C"/>
    <w:rsid w:val="00DE37F8"/>
    <w:rsid w:val="00DE3B1F"/>
    <w:rsid w:val="00DE3CCA"/>
    <w:rsid w:val="00DE3E90"/>
    <w:rsid w:val="00DE4588"/>
    <w:rsid w:val="00DE47C0"/>
    <w:rsid w:val="00DE49DE"/>
    <w:rsid w:val="00DE4BFC"/>
    <w:rsid w:val="00DE4C6F"/>
    <w:rsid w:val="00DE4CBB"/>
    <w:rsid w:val="00DE4FCB"/>
    <w:rsid w:val="00DE5092"/>
    <w:rsid w:val="00DE5211"/>
    <w:rsid w:val="00DE5913"/>
    <w:rsid w:val="00DE5BE8"/>
    <w:rsid w:val="00DE5CCD"/>
    <w:rsid w:val="00DE5E87"/>
    <w:rsid w:val="00DE6111"/>
    <w:rsid w:val="00DE673C"/>
    <w:rsid w:val="00DE6780"/>
    <w:rsid w:val="00DE6AA3"/>
    <w:rsid w:val="00DE6B42"/>
    <w:rsid w:val="00DE6BC4"/>
    <w:rsid w:val="00DE6D43"/>
    <w:rsid w:val="00DE7322"/>
    <w:rsid w:val="00DE734D"/>
    <w:rsid w:val="00DE7606"/>
    <w:rsid w:val="00DE7673"/>
    <w:rsid w:val="00DE7770"/>
    <w:rsid w:val="00DE7832"/>
    <w:rsid w:val="00DE7A6A"/>
    <w:rsid w:val="00DE7A9B"/>
    <w:rsid w:val="00DE7AD4"/>
    <w:rsid w:val="00DE7B79"/>
    <w:rsid w:val="00DE7B88"/>
    <w:rsid w:val="00DE7C20"/>
    <w:rsid w:val="00DE7CC8"/>
    <w:rsid w:val="00DF001D"/>
    <w:rsid w:val="00DF02E9"/>
    <w:rsid w:val="00DF07BF"/>
    <w:rsid w:val="00DF0F8B"/>
    <w:rsid w:val="00DF10BD"/>
    <w:rsid w:val="00DF14E5"/>
    <w:rsid w:val="00DF15F7"/>
    <w:rsid w:val="00DF1611"/>
    <w:rsid w:val="00DF17D6"/>
    <w:rsid w:val="00DF18FC"/>
    <w:rsid w:val="00DF196B"/>
    <w:rsid w:val="00DF1B0B"/>
    <w:rsid w:val="00DF1F4A"/>
    <w:rsid w:val="00DF1FD5"/>
    <w:rsid w:val="00DF2199"/>
    <w:rsid w:val="00DF286D"/>
    <w:rsid w:val="00DF2BB1"/>
    <w:rsid w:val="00DF2BDF"/>
    <w:rsid w:val="00DF2ECF"/>
    <w:rsid w:val="00DF31EB"/>
    <w:rsid w:val="00DF3306"/>
    <w:rsid w:val="00DF341B"/>
    <w:rsid w:val="00DF357B"/>
    <w:rsid w:val="00DF36BD"/>
    <w:rsid w:val="00DF38AE"/>
    <w:rsid w:val="00DF3A23"/>
    <w:rsid w:val="00DF3AB5"/>
    <w:rsid w:val="00DF3BCE"/>
    <w:rsid w:val="00DF3CD3"/>
    <w:rsid w:val="00DF3CF3"/>
    <w:rsid w:val="00DF4461"/>
    <w:rsid w:val="00DF4967"/>
    <w:rsid w:val="00DF4999"/>
    <w:rsid w:val="00DF4AB3"/>
    <w:rsid w:val="00DF4D42"/>
    <w:rsid w:val="00DF4ED7"/>
    <w:rsid w:val="00DF580A"/>
    <w:rsid w:val="00DF5945"/>
    <w:rsid w:val="00DF5A30"/>
    <w:rsid w:val="00DF5CE7"/>
    <w:rsid w:val="00DF5D2B"/>
    <w:rsid w:val="00DF5D8D"/>
    <w:rsid w:val="00DF6011"/>
    <w:rsid w:val="00DF605D"/>
    <w:rsid w:val="00DF607D"/>
    <w:rsid w:val="00DF6160"/>
    <w:rsid w:val="00DF6237"/>
    <w:rsid w:val="00DF64F7"/>
    <w:rsid w:val="00DF65A7"/>
    <w:rsid w:val="00DF662C"/>
    <w:rsid w:val="00DF664A"/>
    <w:rsid w:val="00DF672A"/>
    <w:rsid w:val="00DF6CC2"/>
    <w:rsid w:val="00DF7029"/>
    <w:rsid w:val="00DF7434"/>
    <w:rsid w:val="00DF756C"/>
    <w:rsid w:val="00DF771A"/>
    <w:rsid w:val="00DF78E1"/>
    <w:rsid w:val="00DF7BBE"/>
    <w:rsid w:val="00DF7C47"/>
    <w:rsid w:val="00DF7CE8"/>
    <w:rsid w:val="00DF7DF7"/>
    <w:rsid w:val="00E0010E"/>
    <w:rsid w:val="00E0028A"/>
    <w:rsid w:val="00E002E0"/>
    <w:rsid w:val="00E0059F"/>
    <w:rsid w:val="00E00AA4"/>
    <w:rsid w:val="00E00E8E"/>
    <w:rsid w:val="00E011D9"/>
    <w:rsid w:val="00E0147B"/>
    <w:rsid w:val="00E01F39"/>
    <w:rsid w:val="00E02714"/>
    <w:rsid w:val="00E02AC5"/>
    <w:rsid w:val="00E02AD2"/>
    <w:rsid w:val="00E02B6D"/>
    <w:rsid w:val="00E02E4D"/>
    <w:rsid w:val="00E03119"/>
    <w:rsid w:val="00E03135"/>
    <w:rsid w:val="00E03784"/>
    <w:rsid w:val="00E038AE"/>
    <w:rsid w:val="00E0393C"/>
    <w:rsid w:val="00E03B6A"/>
    <w:rsid w:val="00E03B90"/>
    <w:rsid w:val="00E04133"/>
    <w:rsid w:val="00E04219"/>
    <w:rsid w:val="00E04433"/>
    <w:rsid w:val="00E046D1"/>
    <w:rsid w:val="00E047B3"/>
    <w:rsid w:val="00E0481A"/>
    <w:rsid w:val="00E04B33"/>
    <w:rsid w:val="00E04D6F"/>
    <w:rsid w:val="00E04E7E"/>
    <w:rsid w:val="00E04F73"/>
    <w:rsid w:val="00E054C9"/>
    <w:rsid w:val="00E05630"/>
    <w:rsid w:val="00E05877"/>
    <w:rsid w:val="00E058C5"/>
    <w:rsid w:val="00E05AAC"/>
    <w:rsid w:val="00E05C81"/>
    <w:rsid w:val="00E05EB0"/>
    <w:rsid w:val="00E05FB9"/>
    <w:rsid w:val="00E0604C"/>
    <w:rsid w:val="00E06187"/>
    <w:rsid w:val="00E0636F"/>
    <w:rsid w:val="00E065D5"/>
    <w:rsid w:val="00E06741"/>
    <w:rsid w:val="00E06755"/>
    <w:rsid w:val="00E067DD"/>
    <w:rsid w:val="00E0695B"/>
    <w:rsid w:val="00E06A7A"/>
    <w:rsid w:val="00E06DBB"/>
    <w:rsid w:val="00E06F95"/>
    <w:rsid w:val="00E071DD"/>
    <w:rsid w:val="00E07466"/>
    <w:rsid w:val="00E076BE"/>
    <w:rsid w:val="00E0771A"/>
    <w:rsid w:val="00E0776A"/>
    <w:rsid w:val="00E07901"/>
    <w:rsid w:val="00E07C20"/>
    <w:rsid w:val="00E07E82"/>
    <w:rsid w:val="00E07EEF"/>
    <w:rsid w:val="00E10149"/>
    <w:rsid w:val="00E1029C"/>
    <w:rsid w:val="00E10427"/>
    <w:rsid w:val="00E10476"/>
    <w:rsid w:val="00E104AC"/>
    <w:rsid w:val="00E10537"/>
    <w:rsid w:val="00E10576"/>
    <w:rsid w:val="00E1098D"/>
    <w:rsid w:val="00E10995"/>
    <w:rsid w:val="00E109E1"/>
    <w:rsid w:val="00E10B19"/>
    <w:rsid w:val="00E10E48"/>
    <w:rsid w:val="00E11027"/>
    <w:rsid w:val="00E1116D"/>
    <w:rsid w:val="00E11409"/>
    <w:rsid w:val="00E11707"/>
    <w:rsid w:val="00E11773"/>
    <w:rsid w:val="00E11B34"/>
    <w:rsid w:val="00E11B8D"/>
    <w:rsid w:val="00E11F3C"/>
    <w:rsid w:val="00E12074"/>
    <w:rsid w:val="00E1222F"/>
    <w:rsid w:val="00E123B5"/>
    <w:rsid w:val="00E12496"/>
    <w:rsid w:val="00E12896"/>
    <w:rsid w:val="00E129D8"/>
    <w:rsid w:val="00E12A70"/>
    <w:rsid w:val="00E12A7F"/>
    <w:rsid w:val="00E13563"/>
    <w:rsid w:val="00E13A44"/>
    <w:rsid w:val="00E13B08"/>
    <w:rsid w:val="00E143C4"/>
    <w:rsid w:val="00E1460C"/>
    <w:rsid w:val="00E14C49"/>
    <w:rsid w:val="00E14CD2"/>
    <w:rsid w:val="00E14CDC"/>
    <w:rsid w:val="00E14D12"/>
    <w:rsid w:val="00E14EFB"/>
    <w:rsid w:val="00E15561"/>
    <w:rsid w:val="00E15723"/>
    <w:rsid w:val="00E158F2"/>
    <w:rsid w:val="00E15C1D"/>
    <w:rsid w:val="00E15C9C"/>
    <w:rsid w:val="00E15E09"/>
    <w:rsid w:val="00E1606E"/>
    <w:rsid w:val="00E16268"/>
    <w:rsid w:val="00E16372"/>
    <w:rsid w:val="00E16690"/>
    <w:rsid w:val="00E16730"/>
    <w:rsid w:val="00E16E1C"/>
    <w:rsid w:val="00E1766C"/>
    <w:rsid w:val="00E17736"/>
    <w:rsid w:val="00E17A5E"/>
    <w:rsid w:val="00E17BDA"/>
    <w:rsid w:val="00E17CD1"/>
    <w:rsid w:val="00E17E36"/>
    <w:rsid w:val="00E2018E"/>
    <w:rsid w:val="00E201B8"/>
    <w:rsid w:val="00E201E6"/>
    <w:rsid w:val="00E2054F"/>
    <w:rsid w:val="00E205C9"/>
    <w:rsid w:val="00E2075A"/>
    <w:rsid w:val="00E209FD"/>
    <w:rsid w:val="00E20A2D"/>
    <w:rsid w:val="00E20BBB"/>
    <w:rsid w:val="00E20D98"/>
    <w:rsid w:val="00E20E4D"/>
    <w:rsid w:val="00E20ED6"/>
    <w:rsid w:val="00E20FA9"/>
    <w:rsid w:val="00E21081"/>
    <w:rsid w:val="00E21358"/>
    <w:rsid w:val="00E213E6"/>
    <w:rsid w:val="00E215EC"/>
    <w:rsid w:val="00E2176E"/>
    <w:rsid w:val="00E21814"/>
    <w:rsid w:val="00E21816"/>
    <w:rsid w:val="00E21875"/>
    <w:rsid w:val="00E21B4E"/>
    <w:rsid w:val="00E21BCE"/>
    <w:rsid w:val="00E21D49"/>
    <w:rsid w:val="00E2249B"/>
    <w:rsid w:val="00E22542"/>
    <w:rsid w:val="00E22550"/>
    <w:rsid w:val="00E2257C"/>
    <w:rsid w:val="00E22602"/>
    <w:rsid w:val="00E22739"/>
    <w:rsid w:val="00E22A0D"/>
    <w:rsid w:val="00E22B78"/>
    <w:rsid w:val="00E22F7C"/>
    <w:rsid w:val="00E23420"/>
    <w:rsid w:val="00E237D4"/>
    <w:rsid w:val="00E23994"/>
    <w:rsid w:val="00E239BA"/>
    <w:rsid w:val="00E23F8E"/>
    <w:rsid w:val="00E23FB8"/>
    <w:rsid w:val="00E23FDE"/>
    <w:rsid w:val="00E23FFD"/>
    <w:rsid w:val="00E245E6"/>
    <w:rsid w:val="00E24838"/>
    <w:rsid w:val="00E248F1"/>
    <w:rsid w:val="00E24A32"/>
    <w:rsid w:val="00E24D3D"/>
    <w:rsid w:val="00E24F0E"/>
    <w:rsid w:val="00E24F17"/>
    <w:rsid w:val="00E25432"/>
    <w:rsid w:val="00E2548E"/>
    <w:rsid w:val="00E254BF"/>
    <w:rsid w:val="00E255BA"/>
    <w:rsid w:val="00E25916"/>
    <w:rsid w:val="00E259A3"/>
    <w:rsid w:val="00E25A5F"/>
    <w:rsid w:val="00E25EA9"/>
    <w:rsid w:val="00E2657C"/>
    <w:rsid w:val="00E26663"/>
    <w:rsid w:val="00E266B9"/>
    <w:rsid w:val="00E2696E"/>
    <w:rsid w:val="00E2697D"/>
    <w:rsid w:val="00E26A20"/>
    <w:rsid w:val="00E26BEE"/>
    <w:rsid w:val="00E26C39"/>
    <w:rsid w:val="00E26F2E"/>
    <w:rsid w:val="00E26FE6"/>
    <w:rsid w:val="00E26FFA"/>
    <w:rsid w:val="00E27029"/>
    <w:rsid w:val="00E2754E"/>
    <w:rsid w:val="00E2771E"/>
    <w:rsid w:val="00E2776E"/>
    <w:rsid w:val="00E279B0"/>
    <w:rsid w:val="00E279D5"/>
    <w:rsid w:val="00E3005E"/>
    <w:rsid w:val="00E3043E"/>
    <w:rsid w:val="00E30492"/>
    <w:rsid w:val="00E306B1"/>
    <w:rsid w:val="00E30D80"/>
    <w:rsid w:val="00E315B3"/>
    <w:rsid w:val="00E31621"/>
    <w:rsid w:val="00E3172F"/>
    <w:rsid w:val="00E31880"/>
    <w:rsid w:val="00E31BF6"/>
    <w:rsid w:val="00E31D85"/>
    <w:rsid w:val="00E31F66"/>
    <w:rsid w:val="00E31FA2"/>
    <w:rsid w:val="00E320D5"/>
    <w:rsid w:val="00E32187"/>
    <w:rsid w:val="00E321CD"/>
    <w:rsid w:val="00E3221B"/>
    <w:rsid w:val="00E32568"/>
    <w:rsid w:val="00E325A2"/>
    <w:rsid w:val="00E32D9B"/>
    <w:rsid w:val="00E330EC"/>
    <w:rsid w:val="00E331CF"/>
    <w:rsid w:val="00E333A0"/>
    <w:rsid w:val="00E33604"/>
    <w:rsid w:val="00E33896"/>
    <w:rsid w:val="00E33BFF"/>
    <w:rsid w:val="00E342ED"/>
    <w:rsid w:val="00E34425"/>
    <w:rsid w:val="00E348D0"/>
    <w:rsid w:val="00E34948"/>
    <w:rsid w:val="00E34D2A"/>
    <w:rsid w:val="00E34DFA"/>
    <w:rsid w:val="00E34F19"/>
    <w:rsid w:val="00E35351"/>
    <w:rsid w:val="00E353AC"/>
    <w:rsid w:val="00E35443"/>
    <w:rsid w:val="00E356BA"/>
    <w:rsid w:val="00E35A21"/>
    <w:rsid w:val="00E35BF5"/>
    <w:rsid w:val="00E35C66"/>
    <w:rsid w:val="00E3613B"/>
    <w:rsid w:val="00E3642E"/>
    <w:rsid w:val="00E364FD"/>
    <w:rsid w:val="00E36507"/>
    <w:rsid w:val="00E36928"/>
    <w:rsid w:val="00E36EEB"/>
    <w:rsid w:val="00E36FB4"/>
    <w:rsid w:val="00E3700C"/>
    <w:rsid w:val="00E37108"/>
    <w:rsid w:val="00E3753D"/>
    <w:rsid w:val="00E37569"/>
    <w:rsid w:val="00E375D4"/>
    <w:rsid w:val="00E3771D"/>
    <w:rsid w:val="00E37744"/>
    <w:rsid w:val="00E378EB"/>
    <w:rsid w:val="00E37ACD"/>
    <w:rsid w:val="00E37D04"/>
    <w:rsid w:val="00E37F1E"/>
    <w:rsid w:val="00E37FC7"/>
    <w:rsid w:val="00E4011B"/>
    <w:rsid w:val="00E40585"/>
    <w:rsid w:val="00E40799"/>
    <w:rsid w:val="00E40DD0"/>
    <w:rsid w:val="00E40F2E"/>
    <w:rsid w:val="00E4125C"/>
    <w:rsid w:val="00E412ED"/>
    <w:rsid w:val="00E41993"/>
    <w:rsid w:val="00E41B40"/>
    <w:rsid w:val="00E41E30"/>
    <w:rsid w:val="00E41F6D"/>
    <w:rsid w:val="00E41FD3"/>
    <w:rsid w:val="00E42038"/>
    <w:rsid w:val="00E4220C"/>
    <w:rsid w:val="00E422BD"/>
    <w:rsid w:val="00E422FB"/>
    <w:rsid w:val="00E4268A"/>
    <w:rsid w:val="00E42828"/>
    <w:rsid w:val="00E428DE"/>
    <w:rsid w:val="00E429AC"/>
    <w:rsid w:val="00E429DC"/>
    <w:rsid w:val="00E42AC7"/>
    <w:rsid w:val="00E42C9F"/>
    <w:rsid w:val="00E42D5D"/>
    <w:rsid w:val="00E4397B"/>
    <w:rsid w:val="00E439D4"/>
    <w:rsid w:val="00E43A15"/>
    <w:rsid w:val="00E43A3D"/>
    <w:rsid w:val="00E43CF9"/>
    <w:rsid w:val="00E43D70"/>
    <w:rsid w:val="00E4402A"/>
    <w:rsid w:val="00E44284"/>
    <w:rsid w:val="00E447C9"/>
    <w:rsid w:val="00E44D58"/>
    <w:rsid w:val="00E4501B"/>
    <w:rsid w:val="00E45080"/>
    <w:rsid w:val="00E45141"/>
    <w:rsid w:val="00E454B9"/>
    <w:rsid w:val="00E45777"/>
    <w:rsid w:val="00E45854"/>
    <w:rsid w:val="00E458F8"/>
    <w:rsid w:val="00E45D12"/>
    <w:rsid w:val="00E45E7F"/>
    <w:rsid w:val="00E45FBC"/>
    <w:rsid w:val="00E462E1"/>
    <w:rsid w:val="00E4657F"/>
    <w:rsid w:val="00E466F3"/>
    <w:rsid w:val="00E46724"/>
    <w:rsid w:val="00E46779"/>
    <w:rsid w:val="00E46882"/>
    <w:rsid w:val="00E4690E"/>
    <w:rsid w:val="00E46A7D"/>
    <w:rsid w:val="00E474F4"/>
    <w:rsid w:val="00E47858"/>
    <w:rsid w:val="00E47892"/>
    <w:rsid w:val="00E47ABE"/>
    <w:rsid w:val="00E47B2C"/>
    <w:rsid w:val="00E47B7E"/>
    <w:rsid w:val="00E47BD0"/>
    <w:rsid w:val="00E47E99"/>
    <w:rsid w:val="00E47F4F"/>
    <w:rsid w:val="00E47FDE"/>
    <w:rsid w:val="00E5003D"/>
    <w:rsid w:val="00E50188"/>
    <w:rsid w:val="00E501F8"/>
    <w:rsid w:val="00E50570"/>
    <w:rsid w:val="00E506F8"/>
    <w:rsid w:val="00E509D6"/>
    <w:rsid w:val="00E50ADB"/>
    <w:rsid w:val="00E50AE0"/>
    <w:rsid w:val="00E50F63"/>
    <w:rsid w:val="00E51560"/>
    <w:rsid w:val="00E51683"/>
    <w:rsid w:val="00E516A1"/>
    <w:rsid w:val="00E51868"/>
    <w:rsid w:val="00E51925"/>
    <w:rsid w:val="00E51C77"/>
    <w:rsid w:val="00E523BB"/>
    <w:rsid w:val="00E523D6"/>
    <w:rsid w:val="00E523F0"/>
    <w:rsid w:val="00E52544"/>
    <w:rsid w:val="00E528B9"/>
    <w:rsid w:val="00E529BE"/>
    <w:rsid w:val="00E52B4B"/>
    <w:rsid w:val="00E52CB2"/>
    <w:rsid w:val="00E52DD5"/>
    <w:rsid w:val="00E52F44"/>
    <w:rsid w:val="00E53042"/>
    <w:rsid w:val="00E530EC"/>
    <w:rsid w:val="00E535AC"/>
    <w:rsid w:val="00E536BE"/>
    <w:rsid w:val="00E53BBD"/>
    <w:rsid w:val="00E53DBA"/>
    <w:rsid w:val="00E53F67"/>
    <w:rsid w:val="00E54347"/>
    <w:rsid w:val="00E54998"/>
    <w:rsid w:val="00E54AAE"/>
    <w:rsid w:val="00E54BAC"/>
    <w:rsid w:val="00E54DF6"/>
    <w:rsid w:val="00E54ED2"/>
    <w:rsid w:val="00E54EFB"/>
    <w:rsid w:val="00E550A1"/>
    <w:rsid w:val="00E550BB"/>
    <w:rsid w:val="00E552D6"/>
    <w:rsid w:val="00E553ED"/>
    <w:rsid w:val="00E55424"/>
    <w:rsid w:val="00E554E6"/>
    <w:rsid w:val="00E5573D"/>
    <w:rsid w:val="00E55771"/>
    <w:rsid w:val="00E55A4D"/>
    <w:rsid w:val="00E55B8B"/>
    <w:rsid w:val="00E55BB5"/>
    <w:rsid w:val="00E55F96"/>
    <w:rsid w:val="00E5609E"/>
    <w:rsid w:val="00E56546"/>
    <w:rsid w:val="00E565BF"/>
    <w:rsid w:val="00E56606"/>
    <w:rsid w:val="00E56865"/>
    <w:rsid w:val="00E568E5"/>
    <w:rsid w:val="00E56B75"/>
    <w:rsid w:val="00E56BE3"/>
    <w:rsid w:val="00E56C8E"/>
    <w:rsid w:val="00E56CB2"/>
    <w:rsid w:val="00E56E70"/>
    <w:rsid w:val="00E57152"/>
    <w:rsid w:val="00E57797"/>
    <w:rsid w:val="00E5787A"/>
    <w:rsid w:val="00E5797A"/>
    <w:rsid w:val="00E57CB8"/>
    <w:rsid w:val="00E57F0D"/>
    <w:rsid w:val="00E604C4"/>
    <w:rsid w:val="00E60C18"/>
    <w:rsid w:val="00E60CA0"/>
    <w:rsid w:val="00E60ED1"/>
    <w:rsid w:val="00E60FC7"/>
    <w:rsid w:val="00E610A3"/>
    <w:rsid w:val="00E611CD"/>
    <w:rsid w:val="00E612C2"/>
    <w:rsid w:val="00E61454"/>
    <w:rsid w:val="00E61A8F"/>
    <w:rsid w:val="00E61C02"/>
    <w:rsid w:val="00E61CD4"/>
    <w:rsid w:val="00E62132"/>
    <w:rsid w:val="00E6236D"/>
    <w:rsid w:val="00E625FE"/>
    <w:rsid w:val="00E6287B"/>
    <w:rsid w:val="00E628FD"/>
    <w:rsid w:val="00E62C5D"/>
    <w:rsid w:val="00E62CD8"/>
    <w:rsid w:val="00E62DD4"/>
    <w:rsid w:val="00E62EE9"/>
    <w:rsid w:val="00E6306A"/>
    <w:rsid w:val="00E63133"/>
    <w:rsid w:val="00E631FB"/>
    <w:rsid w:val="00E63206"/>
    <w:rsid w:val="00E635A1"/>
    <w:rsid w:val="00E635D5"/>
    <w:rsid w:val="00E63801"/>
    <w:rsid w:val="00E63A56"/>
    <w:rsid w:val="00E63C68"/>
    <w:rsid w:val="00E63DB4"/>
    <w:rsid w:val="00E63E46"/>
    <w:rsid w:val="00E63EE3"/>
    <w:rsid w:val="00E64309"/>
    <w:rsid w:val="00E6444A"/>
    <w:rsid w:val="00E645B1"/>
    <w:rsid w:val="00E6486D"/>
    <w:rsid w:val="00E64944"/>
    <w:rsid w:val="00E64977"/>
    <w:rsid w:val="00E649F4"/>
    <w:rsid w:val="00E64A0A"/>
    <w:rsid w:val="00E64AFB"/>
    <w:rsid w:val="00E64EC8"/>
    <w:rsid w:val="00E6531B"/>
    <w:rsid w:val="00E653F2"/>
    <w:rsid w:val="00E65749"/>
    <w:rsid w:val="00E658A3"/>
    <w:rsid w:val="00E65C36"/>
    <w:rsid w:val="00E65E79"/>
    <w:rsid w:val="00E66361"/>
    <w:rsid w:val="00E664DD"/>
    <w:rsid w:val="00E667BB"/>
    <w:rsid w:val="00E66BA2"/>
    <w:rsid w:val="00E66E77"/>
    <w:rsid w:val="00E670C9"/>
    <w:rsid w:val="00E6731D"/>
    <w:rsid w:val="00E673D1"/>
    <w:rsid w:val="00E67416"/>
    <w:rsid w:val="00E6757C"/>
    <w:rsid w:val="00E6758D"/>
    <w:rsid w:val="00E677D2"/>
    <w:rsid w:val="00E679B0"/>
    <w:rsid w:val="00E67ABC"/>
    <w:rsid w:val="00E67DD0"/>
    <w:rsid w:val="00E67E9B"/>
    <w:rsid w:val="00E701FC"/>
    <w:rsid w:val="00E70495"/>
    <w:rsid w:val="00E70956"/>
    <w:rsid w:val="00E70A78"/>
    <w:rsid w:val="00E70B10"/>
    <w:rsid w:val="00E70B8F"/>
    <w:rsid w:val="00E70B9A"/>
    <w:rsid w:val="00E70BD7"/>
    <w:rsid w:val="00E70DC9"/>
    <w:rsid w:val="00E70FDC"/>
    <w:rsid w:val="00E7110E"/>
    <w:rsid w:val="00E71122"/>
    <w:rsid w:val="00E713E4"/>
    <w:rsid w:val="00E71673"/>
    <w:rsid w:val="00E71819"/>
    <w:rsid w:val="00E718B6"/>
    <w:rsid w:val="00E71909"/>
    <w:rsid w:val="00E71DCB"/>
    <w:rsid w:val="00E71FE2"/>
    <w:rsid w:val="00E723A7"/>
    <w:rsid w:val="00E723BA"/>
    <w:rsid w:val="00E724AA"/>
    <w:rsid w:val="00E724B0"/>
    <w:rsid w:val="00E7263E"/>
    <w:rsid w:val="00E72729"/>
    <w:rsid w:val="00E72A03"/>
    <w:rsid w:val="00E72A40"/>
    <w:rsid w:val="00E73051"/>
    <w:rsid w:val="00E73087"/>
    <w:rsid w:val="00E7310A"/>
    <w:rsid w:val="00E7323C"/>
    <w:rsid w:val="00E732D9"/>
    <w:rsid w:val="00E7346C"/>
    <w:rsid w:val="00E73513"/>
    <w:rsid w:val="00E73581"/>
    <w:rsid w:val="00E7365C"/>
    <w:rsid w:val="00E73959"/>
    <w:rsid w:val="00E73EA5"/>
    <w:rsid w:val="00E73F49"/>
    <w:rsid w:val="00E73F73"/>
    <w:rsid w:val="00E7426B"/>
    <w:rsid w:val="00E74541"/>
    <w:rsid w:val="00E74625"/>
    <w:rsid w:val="00E746FD"/>
    <w:rsid w:val="00E747E3"/>
    <w:rsid w:val="00E74B55"/>
    <w:rsid w:val="00E74BC1"/>
    <w:rsid w:val="00E74C44"/>
    <w:rsid w:val="00E74FDD"/>
    <w:rsid w:val="00E7551A"/>
    <w:rsid w:val="00E75619"/>
    <w:rsid w:val="00E7562B"/>
    <w:rsid w:val="00E75633"/>
    <w:rsid w:val="00E75658"/>
    <w:rsid w:val="00E75988"/>
    <w:rsid w:val="00E75B2D"/>
    <w:rsid w:val="00E75DAF"/>
    <w:rsid w:val="00E75E3C"/>
    <w:rsid w:val="00E75F25"/>
    <w:rsid w:val="00E76213"/>
    <w:rsid w:val="00E762A7"/>
    <w:rsid w:val="00E7634E"/>
    <w:rsid w:val="00E76390"/>
    <w:rsid w:val="00E76483"/>
    <w:rsid w:val="00E76A2C"/>
    <w:rsid w:val="00E76B92"/>
    <w:rsid w:val="00E76E64"/>
    <w:rsid w:val="00E77199"/>
    <w:rsid w:val="00E77798"/>
    <w:rsid w:val="00E77C7A"/>
    <w:rsid w:val="00E77C90"/>
    <w:rsid w:val="00E80036"/>
    <w:rsid w:val="00E8023E"/>
    <w:rsid w:val="00E80306"/>
    <w:rsid w:val="00E80618"/>
    <w:rsid w:val="00E80743"/>
    <w:rsid w:val="00E80784"/>
    <w:rsid w:val="00E80C6F"/>
    <w:rsid w:val="00E813AE"/>
    <w:rsid w:val="00E814CD"/>
    <w:rsid w:val="00E815CF"/>
    <w:rsid w:val="00E81652"/>
    <w:rsid w:val="00E81697"/>
    <w:rsid w:val="00E817AB"/>
    <w:rsid w:val="00E81B03"/>
    <w:rsid w:val="00E82171"/>
    <w:rsid w:val="00E82177"/>
    <w:rsid w:val="00E82277"/>
    <w:rsid w:val="00E82533"/>
    <w:rsid w:val="00E82ACD"/>
    <w:rsid w:val="00E83014"/>
    <w:rsid w:val="00E830FC"/>
    <w:rsid w:val="00E83270"/>
    <w:rsid w:val="00E8339C"/>
    <w:rsid w:val="00E833F7"/>
    <w:rsid w:val="00E8350C"/>
    <w:rsid w:val="00E83524"/>
    <w:rsid w:val="00E835A0"/>
    <w:rsid w:val="00E83B65"/>
    <w:rsid w:val="00E83BDF"/>
    <w:rsid w:val="00E83C6E"/>
    <w:rsid w:val="00E83C7D"/>
    <w:rsid w:val="00E83DE0"/>
    <w:rsid w:val="00E84079"/>
    <w:rsid w:val="00E84122"/>
    <w:rsid w:val="00E8478A"/>
    <w:rsid w:val="00E8481F"/>
    <w:rsid w:val="00E84902"/>
    <w:rsid w:val="00E84FC6"/>
    <w:rsid w:val="00E851F4"/>
    <w:rsid w:val="00E852FD"/>
    <w:rsid w:val="00E855EB"/>
    <w:rsid w:val="00E855F9"/>
    <w:rsid w:val="00E8589A"/>
    <w:rsid w:val="00E85B22"/>
    <w:rsid w:val="00E8617F"/>
    <w:rsid w:val="00E8627D"/>
    <w:rsid w:val="00E86352"/>
    <w:rsid w:val="00E8660B"/>
    <w:rsid w:val="00E866DE"/>
    <w:rsid w:val="00E86A6C"/>
    <w:rsid w:val="00E86E12"/>
    <w:rsid w:val="00E8703E"/>
    <w:rsid w:val="00E87385"/>
    <w:rsid w:val="00E873BC"/>
    <w:rsid w:val="00E874A8"/>
    <w:rsid w:val="00E874FF"/>
    <w:rsid w:val="00E8758C"/>
    <w:rsid w:val="00E87643"/>
    <w:rsid w:val="00E87A1D"/>
    <w:rsid w:val="00E87A3E"/>
    <w:rsid w:val="00E87D3B"/>
    <w:rsid w:val="00E87DE0"/>
    <w:rsid w:val="00E87EA3"/>
    <w:rsid w:val="00E900ED"/>
    <w:rsid w:val="00E90470"/>
    <w:rsid w:val="00E904A6"/>
    <w:rsid w:val="00E90761"/>
    <w:rsid w:val="00E90970"/>
    <w:rsid w:val="00E909C2"/>
    <w:rsid w:val="00E90A9B"/>
    <w:rsid w:val="00E90C4E"/>
    <w:rsid w:val="00E90DE4"/>
    <w:rsid w:val="00E91073"/>
    <w:rsid w:val="00E91260"/>
    <w:rsid w:val="00E9152F"/>
    <w:rsid w:val="00E91935"/>
    <w:rsid w:val="00E91ABB"/>
    <w:rsid w:val="00E91AF4"/>
    <w:rsid w:val="00E91B9A"/>
    <w:rsid w:val="00E91C1C"/>
    <w:rsid w:val="00E91CB9"/>
    <w:rsid w:val="00E91F6B"/>
    <w:rsid w:val="00E92095"/>
    <w:rsid w:val="00E926A5"/>
    <w:rsid w:val="00E9292A"/>
    <w:rsid w:val="00E9299A"/>
    <w:rsid w:val="00E929A0"/>
    <w:rsid w:val="00E92B41"/>
    <w:rsid w:val="00E92B62"/>
    <w:rsid w:val="00E92ED4"/>
    <w:rsid w:val="00E92F5E"/>
    <w:rsid w:val="00E9342C"/>
    <w:rsid w:val="00E93492"/>
    <w:rsid w:val="00E93A73"/>
    <w:rsid w:val="00E93CBB"/>
    <w:rsid w:val="00E93F0B"/>
    <w:rsid w:val="00E941AA"/>
    <w:rsid w:val="00E941AD"/>
    <w:rsid w:val="00E94255"/>
    <w:rsid w:val="00E944B6"/>
    <w:rsid w:val="00E947FE"/>
    <w:rsid w:val="00E949BC"/>
    <w:rsid w:val="00E94DA2"/>
    <w:rsid w:val="00E94DF8"/>
    <w:rsid w:val="00E950F8"/>
    <w:rsid w:val="00E952C7"/>
    <w:rsid w:val="00E9549E"/>
    <w:rsid w:val="00E955C4"/>
    <w:rsid w:val="00E955DE"/>
    <w:rsid w:val="00E95654"/>
    <w:rsid w:val="00E958CC"/>
    <w:rsid w:val="00E96026"/>
    <w:rsid w:val="00E960A9"/>
    <w:rsid w:val="00E96129"/>
    <w:rsid w:val="00E965EE"/>
    <w:rsid w:val="00E96884"/>
    <w:rsid w:val="00E968AA"/>
    <w:rsid w:val="00E96D76"/>
    <w:rsid w:val="00E96DB0"/>
    <w:rsid w:val="00E96DB1"/>
    <w:rsid w:val="00E96EDE"/>
    <w:rsid w:val="00E96FF2"/>
    <w:rsid w:val="00E97220"/>
    <w:rsid w:val="00E97286"/>
    <w:rsid w:val="00E972AA"/>
    <w:rsid w:val="00E975E4"/>
    <w:rsid w:val="00E97732"/>
    <w:rsid w:val="00E9781E"/>
    <w:rsid w:val="00E97A39"/>
    <w:rsid w:val="00E97CDD"/>
    <w:rsid w:val="00E97DAD"/>
    <w:rsid w:val="00E97E30"/>
    <w:rsid w:val="00EA00D9"/>
    <w:rsid w:val="00EA035F"/>
    <w:rsid w:val="00EA0ADB"/>
    <w:rsid w:val="00EA0F01"/>
    <w:rsid w:val="00EA12B0"/>
    <w:rsid w:val="00EA16F2"/>
    <w:rsid w:val="00EA17C3"/>
    <w:rsid w:val="00EA17D2"/>
    <w:rsid w:val="00EA1BE3"/>
    <w:rsid w:val="00EA1EDD"/>
    <w:rsid w:val="00EA1F14"/>
    <w:rsid w:val="00EA2411"/>
    <w:rsid w:val="00EA2553"/>
    <w:rsid w:val="00EA25AB"/>
    <w:rsid w:val="00EA2B30"/>
    <w:rsid w:val="00EA2C56"/>
    <w:rsid w:val="00EA2CAA"/>
    <w:rsid w:val="00EA2D54"/>
    <w:rsid w:val="00EA3037"/>
    <w:rsid w:val="00EA34DE"/>
    <w:rsid w:val="00EA34F4"/>
    <w:rsid w:val="00EA3864"/>
    <w:rsid w:val="00EA38F2"/>
    <w:rsid w:val="00EA3C74"/>
    <w:rsid w:val="00EA3D09"/>
    <w:rsid w:val="00EA3DB1"/>
    <w:rsid w:val="00EA3FA6"/>
    <w:rsid w:val="00EA400B"/>
    <w:rsid w:val="00EA49CC"/>
    <w:rsid w:val="00EA4CB4"/>
    <w:rsid w:val="00EA51E8"/>
    <w:rsid w:val="00EA5247"/>
    <w:rsid w:val="00EA5251"/>
    <w:rsid w:val="00EA53B3"/>
    <w:rsid w:val="00EA55CE"/>
    <w:rsid w:val="00EA5E4E"/>
    <w:rsid w:val="00EA5F3E"/>
    <w:rsid w:val="00EA6032"/>
    <w:rsid w:val="00EA61CE"/>
    <w:rsid w:val="00EA6307"/>
    <w:rsid w:val="00EA63F1"/>
    <w:rsid w:val="00EA645F"/>
    <w:rsid w:val="00EA65DC"/>
    <w:rsid w:val="00EA66D5"/>
    <w:rsid w:val="00EA68D9"/>
    <w:rsid w:val="00EA6912"/>
    <w:rsid w:val="00EA6CC0"/>
    <w:rsid w:val="00EA6D6B"/>
    <w:rsid w:val="00EA6E86"/>
    <w:rsid w:val="00EA6E8E"/>
    <w:rsid w:val="00EA6F18"/>
    <w:rsid w:val="00EA6F92"/>
    <w:rsid w:val="00EA7018"/>
    <w:rsid w:val="00EA7137"/>
    <w:rsid w:val="00EA72B7"/>
    <w:rsid w:val="00EA73D1"/>
    <w:rsid w:val="00EA749A"/>
    <w:rsid w:val="00EA754A"/>
    <w:rsid w:val="00EA76B1"/>
    <w:rsid w:val="00EA7A76"/>
    <w:rsid w:val="00EA7ACE"/>
    <w:rsid w:val="00EA7AF9"/>
    <w:rsid w:val="00EA7B6B"/>
    <w:rsid w:val="00EA7FF8"/>
    <w:rsid w:val="00EB00BE"/>
    <w:rsid w:val="00EB0162"/>
    <w:rsid w:val="00EB0415"/>
    <w:rsid w:val="00EB0483"/>
    <w:rsid w:val="00EB07CE"/>
    <w:rsid w:val="00EB0965"/>
    <w:rsid w:val="00EB09CB"/>
    <w:rsid w:val="00EB0BB6"/>
    <w:rsid w:val="00EB0CEE"/>
    <w:rsid w:val="00EB0CF4"/>
    <w:rsid w:val="00EB10A5"/>
    <w:rsid w:val="00EB1148"/>
    <w:rsid w:val="00EB1297"/>
    <w:rsid w:val="00EB12B3"/>
    <w:rsid w:val="00EB13C2"/>
    <w:rsid w:val="00EB15B6"/>
    <w:rsid w:val="00EB1B83"/>
    <w:rsid w:val="00EB1B91"/>
    <w:rsid w:val="00EB1BE2"/>
    <w:rsid w:val="00EB1C53"/>
    <w:rsid w:val="00EB1CF7"/>
    <w:rsid w:val="00EB1D80"/>
    <w:rsid w:val="00EB1E55"/>
    <w:rsid w:val="00EB1F3F"/>
    <w:rsid w:val="00EB20CB"/>
    <w:rsid w:val="00EB2279"/>
    <w:rsid w:val="00EB2335"/>
    <w:rsid w:val="00EB2345"/>
    <w:rsid w:val="00EB259F"/>
    <w:rsid w:val="00EB26BF"/>
    <w:rsid w:val="00EB2827"/>
    <w:rsid w:val="00EB2963"/>
    <w:rsid w:val="00EB29A7"/>
    <w:rsid w:val="00EB2B1C"/>
    <w:rsid w:val="00EB30A7"/>
    <w:rsid w:val="00EB322B"/>
    <w:rsid w:val="00EB36B8"/>
    <w:rsid w:val="00EB3754"/>
    <w:rsid w:val="00EB3BF2"/>
    <w:rsid w:val="00EB3C6F"/>
    <w:rsid w:val="00EB41FF"/>
    <w:rsid w:val="00EB4202"/>
    <w:rsid w:val="00EB439A"/>
    <w:rsid w:val="00EB447C"/>
    <w:rsid w:val="00EB4491"/>
    <w:rsid w:val="00EB45B0"/>
    <w:rsid w:val="00EB4776"/>
    <w:rsid w:val="00EB47CF"/>
    <w:rsid w:val="00EB4916"/>
    <w:rsid w:val="00EB4C92"/>
    <w:rsid w:val="00EB4CAA"/>
    <w:rsid w:val="00EB4E09"/>
    <w:rsid w:val="00EB50BF"/>
    <w:rsid w:val="00EB511A"/>
    <w:rsid w:val="00EB5380"/>
    <w:rsid w:val="00EB56C5"/>
    <w:rsid w:val="00EB571E"/>
    <w:rsid w:val="00EB59AC"/>
    <w:rsid w:val="00EB59AD"/>
    <w:rsid w:val="00EB5A59"/>
    <w:rsid w:val="00EB5D7C"/>
    <w:rsid w:val="00EB5DA0"/>
    <w:rsid w:val="00EB617A"/>
    <w:rsid w:val="00EB6323"/>
    <w:rsid w:val="00EB6636"/>
    <w:rsid w:val="00EB6BAB"/>
    <w:rsid w:val="00EB6DB7"/>
    <w:rsid w:val="00EB7286"/>
    <w:rsid w:val="00EB7478"/>
    <w:rsid w:val="00EB76A2"/>
    <w:rsid w:val="00EB7D93"/>
    <w:rsid w:val="00EC00C9"/>
    <w:rsid w:val="00EC058B"/>
    <w:rsid w:val="00EC0D5B"/>
    <w:rsid w:val="00EC0EA9"/>
    <w:rsid w:val="00EC0EEE"/>
    <w:rsid w:val="00EC1032"/>
    <w:rsid w:val="00EC12FB"/>
    <w:rsid w:val="00EC1D41"/>
    <w:rsid w:val="00EC1E96"/>
    <w:rsid w:val="00EC24AF"/>
    <w:rsid w:val="00EC2649"/>
    <w:rsid w:val="00EC28CC"/>
    <w:rsid w:val="00EC29AD"/>
    <w:rsid w:val="00EC2F5A"/>
    <w:rsid w:val="00EC309A"/>
    <w:rsid w:val="00EC30E7"/>
    <w:rsid w:val="00EC3165"/>
    <w:rsid w:val="00EC3341"/>
    <w:rsid w:val="00EC36A0"/>
    <w:rsid w:val="00EC3990"/>
    <w:rsid w:val="00EC3AA1"/>
    <w:rsid w:val="00EC3B1C"/>
    <w:rsid w:val="00EC4339"/>
    <w:rsid w:val="00EC47FD"/>
    <w:rsid w:val="00EC49F8"/>
    <w:rsid w:val="00EC4BE4"/>
    <w:rsid w:val="00EC4FE9"/>
    <w:rsid w:val="00EC501A"/>
    <w:rsid w:val="00EC504E"/>
    <w:rsid w:val="00EC5052"/>
    <w:rsid w:val="00EC50CD"/>
    <w:rsid w:val="00EC54E5"/>
    <w:rsid w:val="00EC577E"/>
    <w:rsid w:val="00EC59EE"/>
    <w:rsid w:val="00EC5A28"/>
    <w:rsid w:val="00EC5A8F"/>
    <w:rsid w:val="00EC5E03"/>
    <w:rsid w:val="00EC5E60"/>
    <w:rsid w:val="00EC614D"/>
    <w:rsid w:val="00EC638F"/>
    <w:rsid w:val="00EC6460"/>
    <w:rsid w:val="00EC664E"/>
    <w:rsid w:val="00EC67F8"/>
    <w:rsid w:val="00EC691C"/>
    <w:rsid w:val="00EC6B99"/>
    <w:rsid w:val="00EC6C3F"/>
    <w:rsid w:val="00EC6D9C"/>
    <w:rsid w:val="00EC6E48"/>
    <w:rsid w:val="00EC6F9C"/>
    <w:rsid w:val="00EC7009"/>
    <w:rsid w:val="00EC7040"/>
    <w:rsid w:val="00EC70C9"/>
    <w:rsid w:val="00EC72DA"/>
    <w:rsid w:val="00EC740D"/>
    <w:rsid w:val="00EC74D8"/>
    <w:rsid w:val="00EC754D"/>
    <w:rsid w:val="00EC763A"/>
    <w:rsid w:val="00EC7656"/>
    <w:rsid w:val="00EC7A0B"/>
    <w:rsid w:val="00EC7CAE"/>
    <w:rsid w:val="00ED0497"/>
    <w:rsid w:val="00ED04DF"/>
    <w:rsid w:val="00ED088D"/>
    <w:rsid w:val="00ED0FD8"/>
    <w:rsid w:val="00ED101A"/>
    <w:rsid w:val="00ED10F9"/>
    <w:rsid w:val="00ED141A"/>
    <w:rsid w:val="00ED1542"/>
    <w:rsid w:val="00ED1AC5"/>
    <w:rsid w:val="00ED1AD4"/>
    <w:rsid w:val="00ED1B3E"/>
    <w:rsid w:val="00ED1C06"/>
    <w:rsid w:val="00ED1CBB"/>
    <w:rsid w:val="00ED21CF"/>
    <w:rsid w:val="00ED23C8"/>
    <w:rsid w:val="00ED2760"/>
    <w:rsid w:val="00ED28EE"/>
    <w:rsid w:val="00ED2A1E"/>
    <w:rsid w:val="00ED2CFA"/>
    <w:rsid w:val="00ED2D1F"/>
    <w:rsid w:val="00ED2D36"/>
    <w:rsid w:val="00ED2D85"/>
    <w:rsid w:val="00ED2EFC"/>
    <w:rsid w:val="00ED2FDD"/>
    <w:rsid w:val="00ED32EB"/>
    <w:rsid w:val="00ED35AB"/>
    <w:rsid w:val="00ED387D"/>
    <w:rsid w:val="00ED3885"/>
    <w:rsid w:val="00ED3A3C"/>
    <w:rsid w:val="00ED3CC9"/>
    <w:rsid w:val="00ED3D1E"/>
    <w:rsid w:val="00ED469A"/>
    <w:rsid w:val="00ED4957"/>
    <w:rsid w:val="00ED4C24"/>
    <w:rsid w:val="00ED5076"/>
    <w:rsid w:val="00ED5283"/>
    <w:rsid w:val="00ED546F"/>
    <w:rsid w:val="00ED57EA"/>
    <w:rsid w:val="00ED57F3"/>
    <w:rsid w:val="00ED58B7"/>
    <w:rsid w:val="00ED5B12"/>
    <w:rsid w:val="00ED5C10"/>
    <w:rsid w:val="00ED5EFE"/>
    <w:rsid w:val="00ED5F84"/>
    <w:rsid w:val="00ED5F9D"/>
    <w:rsid w:val="00ED61AE"/>
    <w:rsid w:val="00ED62B8"/>
    <w:rsid w:val="00ED62D1"/>
    <w:rsid w:val="00ED6364"/>
    <w:rsid w:val="00ED6A56"/>
    <w:rsid w:val="00ED6D3E"/>
    <w:rsid w:val="00ED7032"/>
    <w:rsid w:val="00ED713A"/>
    <w:rsid w:val="00ED713F"/>
    <w:rsid w:val="00ED72BE"/>
    <w:rsid w:val="00ED737D"/>
    <w:rsid w:val="00ED76F2"/>
    <w:rsid w:val="00ED7952"/>
    <w:rsid w:val="00ED7EA8"/>
    <w:rsid w:val="00EE01B9"/>
    <w:rsid w:val="00EE05A3"/>
    <w:rsid w:val="00EE0645"/>
    <w:rsid w:val="00EE06C9"/>
    <w:rsid w:val="00EE07D3"/>
    <w:rsid w:val="00EE0C1A"/>
    <w:rsid w:val="00EE0EED"/>
    <w:rsid w:val="00EE111D"/>
    <w:rsid w:val="00EE1661"/>
    <w:rsid w:val="00EE1C14"/>
    <w:rsid w:val="00EE1C46"/>
    <w:rsid w:val="00EE1C83"/>
    <w:rsid w:val="00EE1F99"/>
    <w:rsid w:val="00EE1FA3"/>
    <w:rsid w:val="00EE22AF"/>
    <w:rsid w:val="00EE2462"/>
    <w:rsid w:val="00EE25A8"/>
    <w:rsid w:val="00EE262E"/>
    <w:rsid w:val="00EE29FB"/>
    <w:rsid w:val="00EE2AB5"/>
    <w:rsid w:val="00EE2FE6"/>
    <w:rsid w:val="00EE336A"/>
    <w:rsid w:val="00EE384A"/>
    <w:rsid w:val="00EE384D"/>
    <w:rsid w:val="00EE39B5"/>
    <w:rsid w:val="00EE3A58"/>
    <w:rsid w:val="00EE3AF3"/>
    <w:rsid w:val="00EE3C17"/>
    <w:rsid w:val="00EE446C"/>
    <w:rsid w:val="00EE462B"/>
    <w:rsid w:val="00EE4680"/>
    <w:rsid w:val="00EE46F6"/>
    <w:rsid w:val="00EE4756"/>
    <w:rsid w:val="00EE4C70"/>
    <w:rsid w:val="00EE516C"/>
    <w:rsid w:val="00EE51A0"/>
    <w:rsid w:val="00EE51C4"/>
    <w:rsid w:val="00EE527E"/>
    <w:rsid w:val="00EE5392"/>
    <w:rsid w:val="00EE53F5"/>
    <w:rsid w:val="00EE5414"/>
    <w:rsid w:val="00EE5555"/>
    <w:rsid w:val="00EE5D84"/>
    <w:rsid w:val="00EE5D87"/>
    <w:rsid w:val="00EE5DC3"/>
    <w:rsid w:val="00EE62EA"/>
    <w:rsid w:val="00EE63BD"/>
    <w:rsid w:val="00EE66E6"/>
    <w:rsid w:val="00EE66FA"/>
    <w:rsid w:val="00EE6844"/>
    <w:rsid w:val="00EE69D2"/>
    <w:rsid w:val="00EE6B75"/>
    <w:rsid w:val="00EE6D08"/>
    <w:rsid w:val="00EE6DFD"/>
    <w:rsid w:val="00EE6FB6"/>
    <w:rsid w:val="00EE71EB"/>
    <w:rsid w:val="00EE7613"/>
    <w:rsid w:val="00EE791D"/>
    <w:rsid w:val="00EE7DB9"/>
    <w:rsid w:val="00EE7E5D"/>
    <w:rsid w:val="00EF0171"/>
    <w:rsid w:val="00EF030F"/>
    <w:rsid w:val="00EF0497"/>
    <w:rsid w:val="00EF07D8"/>
    <w:rsid w:val="00EF07F6"/>
    <w:rsid w:val="00EF0884"/>
    <w:rsid w:val="00EF09BC"/>
    <w:rsid w:val="00EF0A30"/>
    <w:rsid w:val="00EF0BD1"/>
    <w:rsid w:val="00EF0D39"/>
    <w:rsid w:val="00EF0D48"/>
    <w:rsid w:val="00EF1564"/>
    <w:rsid w:val="00EF15D8"/>
    <w:rsid w:val="00EF1972"/>
    <w:rsid w:val="00EF1A43"/>
    <w:rsid w:val="00EF1B25"/>
    <w:rsid w:val="00EF223B"/>
    <w:rsid w:val="00EF2662"/>
    <w:rsid w:val="00EF2762"/>
    <w:rsid w:val="00EF2918"/>
    <w:rsid w:val="00EF2A19"/>
    <w:rsid w:val="00EF2A7B"/>
    <w:rsid w:val="00EF2B0C"/>
    <w:rsid w:val="00EF2E52"/>
    <w:rsid w:val="00EF2E9E"/>
    <w:rsid w:val="00EF2EEC"/>
    <w:rsid w:val="00EF3290"/>
    <w:rsid w:val="00EF32FC"/>
    <w:rsid w:val="00EF3383"/>
    <w:rsid w:val="00EF3938"/>
    <w:rsid w:val="00EF3D92"/>
    <w:rsid w:val="00EF3EAA"/>
    <w:rsid w:val="00EF43FB"/>
    <w:rsid w:val="00EF4480"/>
    <w:rsid w:val="00EF4747"/>
    <w:rsid w:val="00EF4892"/>
    <w:rsid w:val="00EF4BF8"/>
    <w:rsid w:val="00EF4DB5"/>
    <w:rsid w:val="00EF4F64"/>
    <w:rsid w:val="00EF4F68"/>
    <w:rsid w:val="00EF522E"/>
    <w:rsid w:val="00EF53AD"/>
    <w:rsid w:val="00EF547A"/>
    <w:rsid w:val="00EF5654"/>
    <w:rsid w:val="00EF56A2"/>
    <w:rsid w:val="00EF5943"/>
    <w:rsid w:val="00EF5951"/>
    <w:rsid w:val="00EF5BC2"/>
    <w:rsid w:val="00EF5C41"/>
    <w:rsid w:val="00EF5C44"/>
    <w:rsid w:val="00EF5DFE"/>
    <w:rsid w:val="00EF61C3"/>
    <w:rsid w:val="00EF653F"/>
    <w:rsid w:val="00EF6565"/>
    <w:rsid w:val="00EF65C4"/>
    <w:rsid w:val="00EF6B89"/>
    <w:rsid w:val="00EF6C15"/>
    <w:rsid w:val="00EF6CC6"/>
    <w:rsid w:val="00EF6D81"/>
    <w:rsid w:val="00EF6D9D"/>
    <w:rsid w:val="00EF6E36"/>
    <w:rsid w:val="00EF6F10"/>
    <w:rsid w:val="00EF6F48"/>
    <w:rsid w:val="00EF6FD9"/>
    <w:rsid w:val="00EF7264"/>
    <w:rsid w:val="00EF72F6"/>
    <w:rsid w:val="00EF7632"/>
    <w:rsid w:val="00EF77EF"/>
    <w:rsid w:val="00EF7D8C"/>
    <w:rsid w:val="00F00075"/>
    <w:rsid w:val="00F000AF"/>
    <w:rsid w:val="00F009A6"/>
    <w:rsid w:val="00F00A08"/>
    <w:rsid w:val="00F00D41"/>
    <w:rsid w:val="00F01062"/>
    <w:rsid w:val="00F011E9"/>
    <w:rsid w:val="00F018A3"/>
    <w:rsid w:val="00F018B0"/>
    <w:rsid w:val="00F018C5"/>
    <w:rsid w:val="00F01AD0"/>
    <w:rsid w:val="00F02078"/>
    <w:rsid w:val="00F0213A"/>
    <w:rsid w:val="00F02233"/>
    <w:rsid w:val="00F02253"/>
    <w:rsid w:val="00F02271"/>
    <w:rsid w:val="00F0240B"/>
    <w:rsid w:val="00F025AC"/>
    <w:rsid w:val="00F025D2"/>
    <w:rsid w:val="00F02666"/>
    <w:rsid w:val="00F026B2"/>
    <w:rsid w:val="00F02BD6"/>
    <w:rsid w:val="00F03295"/>
    <w:rsid w:val="00F0330B"/>
    <w:rsid w:val="00F035BD"/>
    <w:rsid w:val="00F03A2C"/>
    <w:rsid w:val="00F03A8E"/>
    <w:rsid w:val="00F03C2E"/>
    <w:rsid w:val="00F03D7B"/>
    <w:rsid w:val="00F03EDF"/>
    <w:rsid w:val="00F042B8"/>
    <w:rsid w:val="00F0437D"/>
    <w:rsid w:val="00F0445A"/>
    <w:rsid w:val="00F044EA"/>
    <w:rsid w:val="00F04647"/>
    <w:rsid w:val="00F046E5"/>
    <w:rsid w:val="00F0479C"/>
    <w:rsid w:val="00F049A4"/>
    <w:rsid w:val="00F04A66"/>
    <w:rsid w:val="00F04D81"/>
    <w:rsid w:val="00F050BF"/>
    <w:rsid w:val="00F0516C"/>
    <w:rsid w:val="00F05206"/>
    <w:rsid w:val="00F055C8"/>
    <w:rsid w:val="00F05653"/>
    <w:rsid w:val="00F05884"/>
    <w:rsid w:val="00F05971"/>
    <w:rsid w:val="00F05B8A"/>
    <w:rsid w:val="00F067A2"/>
    <w:rsid w:val="00F06B40"/>
    <w:rsid w:val="00F06CEC"/>
    <w:rsid w:val="00F074A8"/>
    <w:rsid w:val="00F077B3"/>
    <w:rsid w:val="00F0795B"/>
    <w:rsid w:val="00F07AF9"/>
    <w:rsid w:val="00F07C51"/>
    <w:rsid w:val="00F07FF2"/>
    <w:rsid w:val="00F100C2"/>
    <w:rsid w:val="00F10219"/>
    <w:rsid w:val="00F1068F"/>
    <w:rsid w:val="00F10A51"/>
    <w:rsid w:val="00F1108B"/>
    <w:rsid w:val="00F111DE"/>
    <w:rsid w:val="00F11490"/>
    <w:rsid w:val="00F116E2"/>
    <w:rsid w:val="00F1185C"/>
    <w:rsid w:val="00F1190D"/>
    <w:rsid w:val="00F11AC8"/>
    <w:rsid w:val="00F11B07"/>
    <w:rsid w:val="00F11B8F"/>
    <w:rsid w:val="00F11DC6"/>
    <w:rsid w:val="00F1263A"/>
    <w:rsid w:val="00F12A5D"/>
    <w:rsid w:val="00F12C58"/>
    <w:rsid w:val="00F1320C"/>
    <w:rsid w:val="00F1332B"/>
    <w:rsid w:val="00F133C7"/>
    <w:rsid w:val="00F13496"/>
    <w:rsid w:val="00F13682"/>
    <w:rsid w:val="00F13D40"/>
    <w:rsid w:val="00F13D8E"/>
    <w:rsid w:val="00F14413"/>
    <w:rsid w:val="00F14747"/>
    <w:rsid w:val="00F14759"/>
    <w:rsid w:val="00F14D69"/>
    <w:rsid w:val="00F1520C"/>
    <w:rsid w:val="00F15240"/>
    <w:rsid w:val="00F15242"/>
    <w:rsid w:val="00F15374"/>
    <w:rsid w:val="00F15529"/>
    <w:rsid w:val="00F157C7"/>
    <w:rsid w:val="00F15CEA"/>
    <w:rsid w:val="00F15D28"/>
    <w:rsid w:val="00F163C1"/>
    <w:rsid w:val="00F1642B"/>
    <w:rsid w:val="00F164C9"/>
    <w:rsid w:val="00F165AA"/>
    <w:rsid w:val="00F167B3"/>
    <w:rsid w:val="00F16894"/>
    <w:rsid w:val="00F16A80"/>
    <w:rsid w:val="00F16C48"/>
    <w:rsid w:val="00F16CDC"/>
    <w:rsid w:val="00F16D30"/>
    <w:rsid w:val="00F16F6A"/>
    <w:rsid w:val="00F17168"/>
    <w:rsid w:val="00F1719D"/>
    <w:rsid w:val="00F1741F"/>
    <w:rsid w:val="00F17860"/>
    <w:rsid w:val="00F178DD"/>
    <w:rsid w:val="00F17A27"/>
    <w:rsid w:val="00F17BC8"/>
    <w:rsid w:val="00F17CB2"/>
    <w:rsid w:val="00F17D15"/>
    <w:rsid w:val="00F201BD"/>
    <w:rsid w:val="00F20281"/>
    <w:rsid w:val="00F206AC"/>
    <w:rsid w:val="00F207AE"/>
    <w:rsid w:val="00F20AA9"/>
    <w:rsid w:val="00F21546"/>
    <w:rsid w:val="00F215CD"/>
    <w:rsid w:val="00F21936"/>
    <w:rsid w:val="00F21957"/>
    <w:rsid w:val="00F21F95"/>
    <w:rsid w:val="00F22159"/>
    <w:rsid w:val="00F2218B"/>
    <w:rsid w:val="00F2238D"/>
    <w:rsid w:val="00F22494"/>
    <w:rsid w:val="00F226A5"/>
    <w:rsid w:val="00F226AD"/>
    <w:rsid w:val="00F227F4"/>
    <w:rsid w:val="00F22853"/>
    <w:rsid w:val="00F22AA4"/>
    <w:rsid w:val="00F22FEE"/>
    <w:rsid w:val="00F22FF0"/>
    <w:rsid w:val="00F232EE"/>
    <w:rsid w:val="00F232EF"/>
    <w:rsid w:val="00F235CD"/>
    <w:rsid w:val="00F23839"/>
    <w:rsid w:val="00F23959"/>
    <w:rsid w:val="00F23B58"/>
    <w:rsid w:val="00F23C06"/>
    <w:rsid w:val="00F23CC7"/>
    <w:rsid w:val="00F23F68"/>
    <w:rsid w:val="00F2449C"/>
    <w:rsid w:val="00F24837"/>
    <w:rsid w:val="00F24C70"/>
    <w:rsid w:val="00F25041"/>
    <w:rsid w:val="00F25045"/>
    <w:rsid w:val="00F25080"/>
    <w:rsid w:val="00F2575F"/>
    <w:rsid w:val="00F25887"/>
    <w:rsid w:val="00F259AA"/>
    <w:rsid w:val="00F25D0D"/>
    <w:rsid w:val="00F25D9E"/>
    <w:rsid w:val="00F25EEB"/>
    <w:rsid w:val="00F26051"/>
    <w:rsid w:val="00F26226"/>
    <w:rsid w:val="00F2629E"/>
    <w:rsid w:val="00F26346"/>
    <w:rsid w:val="00F264BB"/>
    <w:rsid w:val="00F267F9"/>
    <w:rsid w:val="00F2688D"/>
    <w:rsid w:val="00F269B2"/>
    <w:rsid w:val="00F269DA"/>
    <w:rsid w:val="00F26BB7"/>
    <w:rsid w:val="00F2739A"/>
    <w:rsid w:val="00F273B1"/>
    <w:rsid w:val="00F27565"/>
    <w:rsid w:val="00F2793B"/>
    <w:rsid w:val="00F27BC7"/>
    <w:rsid w:val="00F27E34"/>
    <w:rsid w:val="00F300F4"/>
    <w:rsid w:val="00F305E3"/>
    <w:rsid w:val="00F30E33"/>
    <w:rsid w:val="00F30E3B"/>
    <w:rsid w:val="00F310D4"/>
    <w:rsid w:val="00F31299"/>
    <w:rsid w:val="00F315C0"/>
    <w:rsid w:val="00F318C6"/>
    <w:rsid w:val="00F31AF5"/>
    <w:rsid w:val="00F31BFE"/>
    <w:rsid w:val="00F31D31"/>
    <w:rsid w:val="00F31D5A"/>
    <w:rsid w:val="00F32066"/>
    <w:rsid w:val="00F32222"/>
    <w:rsid w:val="00F32388"/>
    <w:rsid w:val="00F32689"/>
    <w:rsid w:val="00F32777"/>
    <w:rsid w:val="00F32810"/>
    <w:rsid w:val="00F32919"/>
    <w:rsid w:val="00F32A91"/>
    <w:rsid w:val="00F3321A"/>
    <w:rsid w:val="00F33513"/>
    <w:rsid w:val="00F335EF"/>
    <w:rsid w:val="00F33689"/>
    <w:rsid w:val="00F33C65"/>
    <w:rsid w:val="00F33DE9"/>
    <w:rsid w:val="00F33E6A"/>
    <w:rsid w:val="00F33FF4"/>
    <w:rsid w:val="00F343F6"/>
    <w:rsid w:val="00F34524"/>
    <w:rsid w:val="00F34687"/>
    <w:rsid w:val="00F346B7"/>
    <w:rsid w:val="00F3472E"/>
    <w:rsid w:val="00F34B2B"/>
    <w:rsid w:val="00F358EC"/>
    <w:rsid w:val="00F35BF2"/>
    <w:rsid w:val="00F35F7E"/>
    <w:rsid w:val="00F360C5"/>
    <w:rsid w:val="00F36110"/>
    <w:rsid w:val="00F3619A"/>
    <w:rsid w:val="00F368FB"/>
    <w:rsid w:val="00F369DD"/>
    <w:rsid w:val="00F36B24"/>
    <w:rsid w:val="00F36BC4"/>
    <w:rsid w:val="00F36DA8"/>
    <w:rsid w:val="00F36ECC"/>
    <w:rsid w:val="00F36F15"/>
    <w:rsid w:val="00F37046"/>
    <w:rsid w:val="00F370B8"/>
    <w:rsid w:val="00F374BB"/>
    <w:rsid w:val="00F37605"/>
    <w:rsid w:val="00F376A8"/>
    <w:rsid w:val="00F406D5"/>
    <w:rsid w:val="00F40735"/>
    <w:rsid w:val="00F40AAA"/>
    <w:rsid w:val="00F40B38"/>
    <w:rsid w:val="00F40BA7"/>
    <w:rsid w:val="00F40C73"/>
    <w:rsid w:val="00F40D9F"/>
    <w:rsid w:val="00F40E22"/>
    <w:rsid w:val="00F40E68"/>
    <w:rsid w:val="00F41113"/>
    <w:rsid w:val="00F411F8"/>
    <w:rsid w:val="00F414E7"/>
    <w:rsid w:val="00F418C4"/>
    <w:rsid w:val="00F41B27"/>
    <w:rsid w:val="00F41C2A"/>
    <w:rsid w:val="00F42017"/>
    <w:rsid w:val="00F421A1"/>
    <w:rsid w:val="00F424D3"/>
    <w:rsid w:val="00F42600"/>
    <w:rsid w:val="00F42BE8"/>
    <w:rsid w:val="00F42BED"/>
    <w:rsid w:val="00F42C3D"/>
    <w:rsid w:val="00F42C6F"/>
    <w:rsid w:val="00F42E91"/>
    <w:rsid w:val="00F430C7"/>
    <w:rsid w:val="00F433F0"/>
    <w:rsid w:val="00F4346E"/>
    <w:rsid w:val="00F43726"/>
    <w:rsid w:val="00F43740"/>
    <w:rsid w:val="00F43AE9"/>
    <w:rsid w:val="00F43B5A"/>
    <w:rsid w:val="00F43EB1"/>
    <w:rsid w:val="00F44083"/>
    <w:rsid w:val="00F4416A"/>
    <w:rsid w:val="00F44216"/>
    <w:rsid w:val="00F44515"/>
    <w:rsid w:val="00F44540"/>
    <w:rsid w:val="00F448FE"/>
    <w:rsid w:val="00F44C74"/>
    <w:rsid w:val="00F44D1C"/>
    <w:rsid w:val="00F4500A"/>
    <w:rsid w:val="00F45281"/>
    <w:rsid w:val="00F452CB"/>
    <w:rsid w:val="00F45645"/>
    <w:rsid w:val="00F457B8"/>
    <w:rsid w:val="00F45904"/>
    <w:rsid w:val="00F45AD4"/>
    <w:rsid w:val="00F45B91"/>
    <w:rsid w:val="00F45C81"/>
    <w:rsid w:val="00F45C92"/>
    <w:rsid w:val="00F46038"/>
    <w:rsid w:val="00F46151"/>
    <w:rsid w:val="00F46335"/>
    <w:rsid w:val="00F4635A"/>
    <w:rsid w:val="00F46411"/>
    <w:rsid w:val="00F465F2"/>
    <w:rsid w:val="00F4672C"/>
    <w:rsid w:val="00F4674F"/>
    <w:rsid w:val="00F4679B"/>
    <w:rsid w:val="00F46970"/>
    <w:rsid w:val="00F46ABD"/>
    <w:rsid w:val="00F46AD6"/>
    <w:rsid w:val="00F46C71"/>
    <w:rsid w:val="00F46C7A"/>
    <w:rsid w:val="00F46CB6"/>
    <w:rsid w:val="00F46D12"/>
    <w:rsid w:val="00F46D4D"/>
    <w:rsid w:val="00F46FDD"/>
    <w:rsid w:val="00F47106"/>
    <w:rsid w:val="00F47424"/>
    <w:rsid w:val="00F47ABD"/>
    <w:rsid w:val="00F47CC0"/>
    <w:rsid w:val="00F47DE8"/>
    <w:rsid w:val="00F47E76"/>
    <w:rsid w:val="00F47EB2"/>
    <w:rsid w:val="00F47F22"/>
    <w:rsid w:val="00F47F7F"/>
    <w:rsid w:val="00F500EB"/>
    <w:rsid w:val="00F50168"/>
    <w:rsid w:val="00F502C5"/>
    <w:rsid w:val="00F50749"/>
    <w:rsid w:val="00F50A0F"/>
    <w:rsid w:val="00F50A5D"/>
    <w:rsid w:val="00F50C91"/>
    <w:rsid w:val="00F50FBE"/>
    <w:rsid w:val="00F512A5"/>
    <w:rsid w:val="00F51362"/>
    <w:rsid w:val="00F51CE1"/>
    <w:rsid w:val="00F52150"/>
    <w:rsid w:val="00F5235A"/>
    <w:rsid w:val="00F52464"/>
    <w:rsid w:val="00F52655"/>
    <w:rsid w:val="00F52A77"/>
    <w:rsid w:val="00F52E27"/>
    <w:rsid w:val="00F53158"/>
    <w:rsid w:val="00F53786"/>
    <w:rsid w:val="00F53A40"/>
    <w:rsid w:val="00F53A47"/>
    <w:rsid w:val="00F53A7F"/>
    <w:rsid w:val="00F53F3C"/>
    <w:rsid w:val="00F542C1"/>
    <w:rsid w:val="00F543BD"/>
    <w:rsid w:val="00F5441D"/>
    <w:rsid w:val="00F54642"/>
    <w:rsid w:val="00F54761"/>
    <w:rsid w:val="00F548D0"/>
    <w:rsid w:val="00F54904"/>
    <w:rsid w:val="00F54AE4"/>
    <w:rsid w:val="00F54AF7"/>
    <w:rsid w:val="00F54BC4"/>
    <w:rsid w:val="00F5518F"/>
    <w:rsid w:val="00F55543"/>
    <w:rsid w:val="00F5560F"/>
    <w:rsid w:val="00F5577D"/>
    <w:rsid w:val="00F55857"/>
    <w:rsid w:val="00F55A48"/>
    <w:rsid w:val="00F55E73"/>
    <w:rsid w:val="00F55EDA"/>
    <w:rsid w:val="00F55EE5"/>
    <w:rsid w:val="00F55F2E"/>
    <w:rsid w:val="00F56353"/>
    <w:rsid w:val="00F564E1"/>
    <w:rsid w:val="00F565CD"/>
    <w:rsid w:val="00F56610"/>
    <w:rsid w:val="00F5671F"/>
    <w:rsid w:val="00F56CA8"/>
    <w:rsid w:val="00F57039"/>
    <w:rsid w:val="00F576C3"/>
    <w:rsid w:val="00F57829"/>
    <w:rsid w:val="00F5785F"/>
    <w:rsid w:val="00F578EB"/>
    <w:rsid w:val="00F57F53"/>
    <w:rsid w:val="00F60068"/>
    <w:rsid w:val="00F60092"/>
    <w:rsid w:val="00F60140"/>
    <w:rsid w:val="00F6028B"/>
    <w:rsid w:val="00F602AD"/>
    <w:rsid w:val="00F60589"/>
    <w:rsid w:val="00F605EE"/>
    <w:rsid w:val="00F6076A"/>
    <w:rsid w:val="00F609FF"/>
    <w:rsid w:val="00F60C8D"/>
    <w:rsid w:val="00F60FBA"/>
    <w:rsid w:val="00F617E3"/>
    <w:rsid w:val="00F61A72"/>
    <w:rsid w:val="00F61A9C"/>
    <w:rsid w:val="00F61B6D"/>
    <w:rsid w:val="00F61D57"/>
    <w:rsid w:val="00F61D73"/>
    <w:rsid w:val="00F61E94"/>
    <w:rsid w:val="00F61F93"/>
    <w:rsid w:val="00F61FF0"/>
    <w:rsid w:val="00F62597"/>
    <w:rsid w:val="00F62930"/>
    <w:rsid w:val="00F62B85"/>
    <w:rsid w:val="00F62E70"/>
    <w:rsid w:val="00F6371D"/>
    <w:rsid w:val="00F63751"/>
    <w:rsid w:val="00F637B7"/>
    <w:rsid w:val="00F63A13"/>
    <w:rsid w:val="00F63FF1"/>
    <w:rsid w:val="00F6402A"/>
    <w:rsid w:val="00F645FB"/>
    <w:rsid w:val="00F64743"/>
    <w:rsid w:val="00F64B03"/>
    <w:rsid w:val="00F64E66"/>
    <w:rsid w:val="00F65181"/>
    <w:rsid w:val="00F654AA"/>
    <w:rsid w:val="00F657F8"/>
    <w:rsid w:val="00F65844"/>
    <w:rsid w:val="00F65858"/>
    <w:rsid w:val="00F65F4B"/>
    <w:rsid w:val="00F66398"/>
    <w:rsid w:val="00F66806"/>
    <w:rsid w:val="00F6695B"/>
    <w:rsid w:val="00F66960"/>
    <w:rsid w:val="00F66A74"/>
    <w:rsid w:val="00F66C61"/>
    <w:rsid w:val="00F66E90"/>
    <w:rsid w:val="00F66EA8"/>
    <w:rsid w:val="00F66F07"/>
    <w:rsid w:val="00F673D0"/>
    <w:rsid w:val="00F675FC"/>
    <w:rsid w:val="00F67A93"/>
    <w:rsid w:val="00F67B58"/>
    <w:rsid w:val="00F67BA6"/>
    <w:rsid w:val="00F67C3D"/>
    <w:rsid w:val="00F7000B"/>
    <w:rsid w:val="00F70522"/>
    <w:rsid w:val="00F707C4"/>
    <w:rsid w:val="00F70917"/>
    <w:rsid w:val="00F709E7"/>
    <w:rsid w:val="00F70B80"/>
    <w:rsid w:val="00F70C9D"/>
    <w:rsid w:val="00F71198"/>
    <w:rsid w:val="00F7122A"/>
    <w:rsid w:val="00F71655"/>
    <w:rsid w:val="00F7180C"/>
    <w:rsid w:val="00F718A3"/>
    <w:rsid w:val="00F71A90"/>
    <w:rsid w:val="00F71CEE"/>
    <w:rsid w:val="00F71EE9"/>
    <w:rsid w:val="00F7221C"/>
    <w:rsid w:val="00F7258F"/>
    <w:rsid w:val="00F729C6"/>
    <w:rsid w:val="00F73110"/>
    <w:rsid w:val="00F732F9"/>
    <w:rsid w:val="00F73333"/>
    <w:rsid w:val="00F735AE"/>
    <w:rsid w:val="00F735E2"/>
    <w:rsid w:val="00F7371C"/>
    <w:rsid w:val="00F73736"/>
    <w:rsid w:val="00F739E5"/>
    <w:rsid w:val="00F74390"/>
    <w:rsid w:val="00F74941"/>
    <w:rsid w:val="00F74A90"/>
    <w:rsid w:val="00F74CD9"/>
    <w:rsid w:val="00F74CF9"/>
    <w:rsid w:val="00F74EBF"/>
    <w:rsid w:val="00F74F00"/>
    <w:rsid w:val="00F74F57"/>
    <w:rsid w:val="00F7510A"/>
    <w:rsid w:val="00F7514C"/>
    <w:rsid w:val="00F751D0"/>
    <w:rsid w:val="00F752DA"/>
    <w:rsid w:val="00F7538E"/>
    <w:rsid w:val="00F75730"/>
    <w:rsid w:val="00F758F5"/>
    <w:rsid w:val="00F75B8F"/>
    <w:rsid w:val="00F76095"/>
    <w:rsid w:val="00F761E5"/>
    <w:rsid w:val="00F762B8"/>
    <w:rsid w:val="00F763A3"/>
    <w:rsid w:val="00F767BE"/>
    <w:rsid w:val="00F769BF"/>
    <w:rsid w:val="00F769FB"/>
    <w:rsid w:val="00F76E10"/>
    <w:rsid w:val="00F76E28"/>
    <w:rsid w:val="00F7723A"/>
    <w:rsid w:val="00F774E5"/>
    <w:rsid w:val="00F77C76"/>
    <w:rsid w:val="00F77D09"/>
    <w:rsid w:val="00F77D59"/>
    <w:rsid w:val="00F77DC4"/>
    <w:rsid w:val="00F77ECE"/>
    <w:rsid w:val="00F80606"/>
    <w:rsid w:val="00F806DA"/>
    <w:rsid w:val="00F80848"/>
    <w:rsid w:val="00F80A7B"/>
    <w:rsid w:val="00F80B47"/>
    <w:rsid w:val="00F80BA7"/>
    <w:rsid w:val="00F80C4E"/>
    <w:rsid w:val="00F80CC0"/>
    <w:rsid w:val="00F80E5D"/>
    <w:rsid w:val="00F80EDE"/>
    <w:rsid w:val="00F80F4D"/>
    <w:rsid w:val="00F81200"/>
    <w:rsid w:val="00F81403"/>
    <w:rsid w:val="00F81760"/>
    <w:rsid w:val="00F81769"/>
    <w:rsid w:val="00F817CB"/>
    <w:rsid w:val="00F81B23"/>
    <w:rsid w:val="00F81F0F"/>
    <w:rsid w:val="00F820B8"/>
    <w:rsid w:val="00F820FE"/>
    <w:rsid w:val="00F822EB"/>
    <w:rsid w:val="00F82454"/>
    <w:rsid w:val="00F8259E"/>
    <w:rsid w:val="00F82792"/>
    <w:rsid w:val="00F82858"/>
    <w:rsid w:val="00F828E0"/>
    <w:rsid w:val="00F82ADE"/>
    <w:rsid w:val="00F82D41"/>
    <w:rsid w:val="00F83088"/>
    <w:rsid w:val="00F836E0"/>
    <w:rsid w:val="00F8374F"/>
    <w:rsid w:val="00F83868"/>
    <w:rsid w:val="00F839EC"/>
    <w:rsid w:val="00F83B61"/>
    <w:rsid w:val="00F83C37"/>
    <w:rsid w:val="00F83D62"/>
    <w:rsid w:val="00F83D64"/>
    <w:rsid w:val="00F83EC5"/>
    <w:rsid w:val="00F83F58"/>
    <w:rsid w:val="00F8445C"/>
    <w:rsid w:val="00F84830"/>
    <w:rsid w:val="00F84877"/>
    <w:rsid w:val="00F848F6"/>
    <w:rsid w:val="00F84911"/>
    <w:rsid w:val="00F84936"/>
    <w:rsid w:val="00F84A47"/>
    <w:rsid w:val="00F84AC8"/>
    <w:rsid w:val="00F84D9C"/>
    <w:rsid w:val="00F84E84"/>
    <w:rsid w:val="00F84EC1"/>
    <w:rsid w:val="00F8508B"/>
    <w:rsid w:val="00F850CA"/>
    <w:rsid w:val="00F851CE"/>
    <w:rsid w:val="00F856A6"/>
    <w:rsid w:val="00F85936"/>
    <w:rsid w:val="00F85BAE"/>
    <w:rsid w:val="00F85D26"/>
    <w:rsid w:val="00F85F93"/>
    <w:rsid w:val="00F8661B"/>
    <w:rsid w:val="00F86B12"/>
    <w:rsid w:val="00F86E28"/>
    <w:rsid w:val="00F86F5E"/>
    <w:rsid w:val="00F86F6E"/>
    <w:rsid w:val="00F86FAF"/>
    <w:rsid w:val="00F8701E"/>
    <w:rsid w:val="00F872C1"/>
    <w:rsid w:val="00F87455"/>
    <w:rsid w:val="00F874AF"/>
    <w:rsid w:val="00F87AD6"/>
    <w:rsid w:val="00F87B96"/>
    <w:rsid w:val="00F87C27"/>
    <w:rsid w:val="00F87E85"/>
    <w:rsid w:val="00F90115"/>
    <w:rsid w:val="00F9021F"/>
    <w:rsid w:val="00F903FC"/>
    <w:rsid w:val="00F9049D"/>
    <w:rsid w:val="00F904D0"/>
    <w:rsid w:val="00F90541"/>
    <w:rsid w:val="00F909CF"/>
    <w:rsid w:val="00F90BE4"/>
    <w:rsid w:val="00F90D97"/>
    <w:rsid w:val="00F910F5"/>
    <w:rsid w:val="00F91173"/>
    <w:rsid w:val="00F91219"/>
    <w:rsid w:val="00F9125F"/>
    <w:rsid w:val="00F913B9"/>
    <w:rsid w:val="00F9150F"/>
    <w:rsid w:val="00F9189F"/>
    <w:rsid w:val="00F91A2B"/>
    <w:rsid w:val="00F91B7A"/>
    <w:rsid w:val="00F91D77"/>
    <w:rsid w:val="00F92459"/>
    <w:rsid w:val="00F92E43"/>
    <w:rsid w:val="00F930C0"/>
    <w:rsid w:val="00F93324"/>
    <w:rsid w:val="00F93443"/>
    <w:rsid w:val="00F934BB"/>
    <w:rsid w:val="00F93829"/>
    <w:rsid w:val="00F93968"/>
    <w:rsid w:val="00F939CB"/>
    <w:rsid w:val="00F93A34"/>
    <w:rsid w:val="00F93C6B"/>
    <w:rsid w:val="00F93FAC"/>
    <w:rsid w:val="00F948F2"/>
    <w:rsid w:val="00F94912"/>
    <w:rsid w:val="00F949F9"/>
    <w:rsid w:val="00F94B04"/>
    <w:rsid w:val="00F94F39"/>
    <w:rsid w:val="00F94FA9"/>
    <w:rsid w:val="00F952B7"/>
    <w:rsid w:val="00F95768"/>
    <w:rsid w:val="00F95949"/>
    <w:rsid w:val="00F95E21"/>
    <w:rsid w:val="00F960FA"/>
    <w:rsid w:val="00F96C66"/>
    <w:rsid w:val="00F96EEC"/>
    <w:rsid w:val="00F970AB"/>
    <w:rsid w:val="00F970DB"/>
    <w:rsid w:val="00F970EA"/>
    <w:rsid w:val="00F971E0"/>
    <w:rsid w:val="00F97401"/>
    <w:rsid w:val="00F97457"/>
    <w:rsid w:val="00F975CA"/>
    <w:rsid w:val="00F97650"/>
    <w:rsid w:val="00F97A53"/>
    <w:rsid w:val="00F97A78"/>
    <w:rsid w:val="00F97C2D"/>
    <w:rsid w:val="00F97C55"/>
    <w:rsid w:val="00F97E5B"/>
    <w:rsid w:val="00F97EA1"/>
    <w:rsid w:val="00FA02F0"/>
    <w:rsid w:val="00FA045C"/>
    <w:rsid w:val="00FA0477"/>
    <w:rsid w:val="00FA076B"/>
    <w:rsid w:val="00FA0916"/>
    <w:rsid w:val="00FA0B20"/>
    <w:rsid w:val="00FA0FE0"/>
    <w:rsid w:val="00FA111B"/>
    <w:rsid w:val="00FA134E"/>
    <w:rsid w:val="00FA1614"/>
    <w:rsid w:val="00FA167D"/>
    <w:rsid w:val="00FA171E"/>
    <w:rsid w:val="00FA2348"/>
    <w:rsid w:val="00FA2379"/>
    <w:rsid w:val="00FA24E7"/>
    <w:rsid w:val="00FA251B"/>
    <w:rsid w:val="00FA25CC"/>
    <w:rsid w:val="00FA2699"/>
    <w:rsid w:val="00FA27E6"/>
    <w:rsid w:val="00FA2B6E"/>
    <w:rsid w:val="00FA30E0"/>
    <w:rsid w:val="00FA3538"/>
    <w:rsid w:val="00FA499B"/>
    <w:rsid w:val="00FA5324"/>
    <w:rsid w:val="00FA53F2"/>
    <w:rsid w:val="00FA57F9"/>
    <w:rsid w:val="00FA5858"/>
    <w:rsid w:val="00FA5DAD"/>
    <w:rsid w:val="00FA5F3A"/>
    <w:rsid w:val="00FA6450"/>
    <w:rsid w:val="00FA64F6"/>
    <w:rsid w:val="00FA662B"/>
    <w:rsid w:val="00FA66B8"/>
    <w:rsid w:val="00FA684E"/>
    <w:rsid w:val="00FA68F9"/>
    <w:rsid w:val="00FA699D"/>
    <w:rsid w:val="00FA6ACF"/>
    <w:rsid w:val="00FA6ADD"/>
    <w:rsid w:val="00FA6C46"/>
    <w:rsid w:val="00FA6E73"/>
    <w:rsid w:val="00FA72C7"/>
    <w:rsid w:val="00FA73B8"/>
    <w:rsid w:val="00FA757D"/>
    <w:rsid w:val="00FA787B"/>
    <w:rsid w:val="00FA7A0F"/>
    <w:rsid w:val="00FA7C67"/>
    <w:rsid w:val="00FA7D79"/>
    <w:rsid w:val="00FA7EDA"/>
    <w:rsid w:val="00FA7EF0"/>
    <w:rsid w:val="00FA7FC4"/>
    <w:rsid w:val="00FB0204"/>
    <w:rsid w:val="00FB0359"/>
    <w:rsid w:val="00FB0435"/>
    <w:rsid w:val="00FB04DC"/>
    <w:rsid w:val="00FB07A3"/>
    <w:rsid w:val="00FB08D1"/>
    <w:rsid w:val="00FB0A56"/>
    <w:rsid w:val="00FB0A84"/>
    <w:rsid w:val="00FB0BE6"/>
    <w:rsid w:val="00FB11D4"/>
    <w:rsid w:val="00FB15CF"/>
    <w:rsid w:val="00FB162D"/>
    <w:rsid w:val="00FB16C3"/>
    <w:rsid w:val="00FB1955"/>
    <w:rsid w:val="00FB1E81"/>
    <w:rsid w:val="00FB2333"/>
    <w:rsid w:val="00FB24C2"/>
    <w:rsid w:val="00FB2539"/>
    <w:rsid w:val="00FB2583"/>
    <w:rsid w:val="00FB2663"/>
    <w:rsid w:val="00FB26E2"/>
    <w:rsid w:val="00FB2806"/>
    <w:rsid w:val="00FB2AFF"/>
    <w:rsid w:val="00FB2C66"/>
    <w:rsid w:val="00FB2FCB"/>
    <w:rsid w:val="00FB3351"/>
    <w:rsid w:val="00FB3391"/>
    <w:rsid w:val="00FB3395"/>
    <w:rsid w:val="00FB36B1"/>
    <w:rsid w:val="00FB36DE"/>
    <w:rsid w:val="00FB386F"/>
    <w:rsid w:val="00FB3B37"/>
    <w:rsid w:val="00FB3D33"/>
    <w:rsid w:val="00FB40CF"/>
    <w:rsid w:val="00FB44E9"/>
    <w:rsid w:val="00FB46FE"/>
    <w:rsid w:val="00FB4734"/>
    <w:rsid w:val="00FB4A11"/>
    <w:rsid w:val="00FB4B0A"/>
    <w:rsid w:val="00FB4CCB"/>
    <w:rsid w:val="00FB4F41"/>
    <w:rsid w:val="00FB4FE9"/>
    <w:rsid w:val="00FB5040"/>
    <w:rsid w:val="00FB5079"/>
    <w:rsid w:val="00FB54F9"/>
    <w:rsid w:val="00FB57E4"/>
    <w:rsid w:val="00FB5AE7"/>
    <w:rsid w:val="00FB5B5D"/>
    <w:rsid w:val="00FB5D6E"/>
    <w:rsid w:val="00FB5EAB"/>
    <w:rsid w:val="00FB628F"/>
    <w:rsid w:val="00FB64C4"/>
    <w:rsid w:val="00FB696A"/>
    <w:rsid w:val="00FB6AD7"/>
    <w:rsid w:val="00FB6C36"/>
    <w:rsid w:val="00FB6DAE"/>
    <w:rsid w:val="00FB6E63"/>
    <w:rsid w:val="00FB6E9B"/>
    <w:rsid w:val="00FB71AA"/>
    <w:rsid w:val="00FB72C2"/>
    <w:rsid w:val="00FB73FB"/>
    <w:rsid w:val="00FB7535"/>
    <w:rsid w:val="00FB7D5B"/>
    <w:rsid w:val="00FB7E6C"/>
    <w:rsid w:val="00FB7F7E"/>
    <w:rsid w:val="00FB7F7F"/>
    <w:rsid w:val="00FC0643"/>
    <w:rsid w:val="00FC0826"/>
    <w:rsid w:val="00FC09CD"/>
    <w:rsid w:val="00FC0C3B"/>
    <w:rsid w:val="00FC0E85"/>
    <w:rsid w:val="00FC0F21"/>
    <w:rsid w:val="00FC0FE3"/>
    <w:rsid w:val="00FC1074"/>
    <w:rsid w:val="00FC152B"/>
    <w:rsid w:val="00FC1884"/>
    <w:rsid w:val="00FC1A15"/>
    <w:rsid w:val="00FC1AEB"/>
    <w:rsid w:val="00FC1CB8"/>
    <w:rsid w:val="00FC1E22"/>
    <w:rsid w:val="00FC2455"/>
    <w:rsid w:val="00FC28BB"/>
    <w:rsid w:val="00FC2CA1"/>
    <w:rsid w:val="00FC2DE5"/>
    <w:rsid w:val="00FC2E09"/>
    <w:rsid w:val="00FC332E"/>
    <w:rsid w:val="00FC343B"/>
    <w:rsid w:val="00FC35C0"/>
    <w:rsid w:val="00FC371D"/>
    <w:rsid w:val="00FC3784"/>
    <w:rsid w:val="00FC393F"/>
    <w:rsid w:val="00FC3B4A"/>
    <w:rsid w:val="00FC3FD0"/>
    <w:rsid w:val="00FC4880"/>
    <w:rsid w:val="00FC4A0B"/>
    <w:rsid w:val="00FC5101"/>
    <w:rsid w:val="00FC514D"/>
    <w:rsid w:val="00FC51CB"/>
    <w:rsid w:val="00FC51D2"/>
    <w:rsid w:val="00FC53CC"/>
    <w:rsid w:val="00FC545D"/>
    <w:rsid w:val="00FC5473"/>
    <w:rsid w:val="00FC56FC"/>
    <w:rsid w:val="00FC58F4"/>
    <w:rsid w:val="00FC594C"/>
    <w:rsid w:val="00FC5979"/>
    <w:rsid w:val="00FC5A31"/>
    <w:rsid w:val="00FC5E35"/>
    <w:rsid w:val="00FC5F0B"/>
    <w:rsid w:val="00FC601F"/>
    <w:rsid w:val="00FC605F"/>
    <w:rsid w:val="00FC64D2"/>
    <w:rsid w:val="00FC680B"/>
    <w:rsid w:val="00FC6A28"/>
    <w:rsid w:val="00FC6C82"/>
    <w:rsid w:val="00FC70C6"/>
    <w:rsid w:val="00FC7204"/>
    <w:rsid w:val="00FC74BF"/>
    <w:rsid w:val="00FC7508"/>
    <w:rsid w:val="00FC7562"/>
    <w:rsid w:val="00FC789D"/>
    <w:rsid w:val="00FC7C45"/>
    <w:rsid w:val="00FC7F50"/>
    <w:rsid w:val="00FD01A7"/>
    <w:rsid w:val="00FD0309"/>
    <w:rsid w:val="00FD03E7"/>
    <w:rsid w:val="00FD0601"/>
    <w:rsid w:val="00FD08C2"/>
    <w:rsid w:val="00FD0B3E"/>
    <w:rsid w:val="00FD0C90"/>
    <w:rsid w:val="00FD0ED5"/>
    <w:rsid w:val="00FD1732"/>
    <w:rsid w:val="00FD176D"/>
    <w:rsid w:val="00FD187F"/>
    <w:rsid w:val="00FD19AF"/>
    <w:rsid w:val="00FD1A19"/>
    <w:rsid w:val="00FD1F96"/>
    <w:rsid w:val="00FD203C"/>
    <w:rsid w:val="00FD203D"/>
    <w:rsid w:val="00FD2100"/>
    <w:rsid w:val="00FD214F"/>
    <w:rsid w:val="00FD24F7"/>
    <w:rsid w:val="00FD2820"/>
    <w:rsid w:val="00FD2BCF"/>
    <w:rsid w:val="00FD2DBE"/>
    <w:rsid w:val="00FD2DE6"/>
    <w:rsid w:val="00FD2FF8"/>
    <w:rsid w:val="00FD3001"/>
    <w:rsid w:val="00FD32A0"/>
    <w:rsid w:val="00FD343F"/>
    <w:rsid w:val="00FD34E2"/>
    <w:rsid w:val="00FD36B9"/>
    <w:rsid w:val="00FD37BA"/>
    <w:rsid w:val="00FD3820"/>
    <w:rsid w:val="00FD3B8B"/>
    <w:rsid w:val="00FD42A6"/>
    <w:rsid w:val="00FD42B4"/>
    <w:rsid w:val="00FD4330"/>
    <w:rsid w:val="00FD436C"/>
    <w:rsid w:val="00FD43AC"/>
    <w:rsid w:val="00FD446D"/>
    <w:rsid w:val="00FD44A1"/>
    <w:rsid w:val="00FD4556"/>
    <w:rsid w:val="00FD4B54"/>
    <w:rsid w:val="00FD50A2"/>
    <w:rsid w:val="00FD54BE"/>
    <w:rsid w:val="00FD54E7"/>
    <w:rsid w:val="00FD5AC6"/>
    <w:rsid w:val="00FD5C1A"/>
    <w:rsid w:val="00FD5C98"/>
    <w:rsid w:val="00FD5D87"/>
    <w:rsid w:val="00FD5E83"/>
    <w:rsid w:val="00FD6394"/>
    <w:rsid w:val="00FD641B"/>
    <w:rsid w:val="00FD6C73"/>
    <w:rsid w:val="00FD6CA3"/>
    <w:rsid w:val="00FD6F99"/>
    <w:rsid w:val="00FD7015"/>
    <w:rsid w:val="00FD741F"/>
    <w:rsid w:val="00FD7421"/>
    <w:rsid w:val="00FD746B"/>
    <w:rsid w:val="00FD7885"/>
    <w:rsid w:val="00FD7D53"/>
    <w:rsid w:val="00FD7ECD"/>
    <w:rsid w:val="00FD7F26"/>
    <w:rsid w:val="00FE03BB"/>
    <w:rsid w:val="00FE0760"/>
    <w:rsid w:val="00FE07BC"/>
    <w:rsid w:val="00FE07F1"/>
    <w:rsid w:val="00FE084E"/>
    <w:rsid w:val="00FE0C16"/>
    <w:rsid w:val="00FE0CDE"/>
    <w:rsid w:val="00FE0E6C"/>
    <w:rsid w:val="00FE0FA7"/>
    <w:rsid w:val="00FE0FB7"/>
    <w:rsid w:val="00FE1146"/>
    <w:rsid w:val="00FE1928"/>
    <w:rsid w:val="00FE1A18"/>
    <w:rsid w:val="00FE1A28"/>
    <w:rsid w:val="00FE1AFF"/>
    <w:rsid w:val="00FE1E2D"/>
    <w:rsid w:val="00FE1F5E"/>
    <w:rsid w:val="00FE2169"/>
    <w:rsid w:val="00FE22ED"/>
    <w:rsid w:val="00FE26EA"/>
    <w:rsid w:val="00FE2A65"/>
    <w:rsid w:val="00FE2B2E"/>
    <w:rsid w:val="00FE30AB"/>
    <w:rsid w:val="00FE3104"/>
    <w:rsid w:val="00FE33D8"/>
    <w:rsid w:val="00FE36A1"/>
    <w:rsid w:val="00FE36A4"/>
    <w:rsid w:val="00FE3A74"/>
    <w:rsid w:val="00FE3C40"/>
    <w:rsid w:val="00FE3FFA"/>
    <w:rsid w:val="00FE4013"/>
    <w:rsid w:val="00FE430A"/>
    <w:rsid w:val="00FE459B"/>
    <w:rsid w:val="00FE46B9"/>
    <w:rsid w:val="00FE46D3"/>
    <w:rsid w:val="00FE4B86"/>
    <w:rsid w:val="00FE4E3D"/>
    <w:rsid w:val="00FE5980"/>
    <w:rsid w:val="00FE5B9C"/>
    <w:rsid w:val="00FE5D1F"/>
    <w:rsid w:val="00FE5EB8"/>
    <w:rsid w:val="00FE5FA6"/>
    <w:rsid w:val="00FE6630"/>
    <w:rsid w:val="00FE6827"/>
    <w:rsid w:val="00FE6AD1"/>
    <w:rsid w:val="00FE6E7C"/>
    <w:rsid w:val="00FE70C3"/>
    <w:rsid w:val="00FE711B"/>
    <w:rsid w:val="00FE78C5"/>
    <w:rsid w:val="00FE78FA"/>
    <w:rsid w:val="00FE7EC0"/>
    <w:rsid w:val="00FE7F31"/>
    <w:rsid w:val="00FE7FF6"/>
    <w:rsid w:val="00FF014C"/>
    <w:rsid w:val="00FF045C"/>
    <w:rsid w:val="00FF0621"/>
    <w:rsid w:val="00FF0E06"/>
    <w:rsid w:val="00FF0E8E"/>
    <w:rsid w:val="00FF127B"/>
    <w:rsid w:val="00FF130F"/>
    <w:rsid w:val="00FF14A7"/>
    <w:rsid w:val="00FF16A7"/>
    <w:rsid w:val="00FF1EFC"/>
    <w:rsid w:val="00FF1F09"/>
    <w:rsid w:val="00FF2082"/>
    <w:rsid w:val="00FF20D5"/>
    <w:rsid w:val="00FF2775"/>
    <w:rsid w:val="00FF2C2F"/>
    <w:rsid w:val="00FF3450"/>
    <w:rsid w:val="00FF34FB"/>
    <w:rsid w:val="00FF34FE"/>
    <w:rsid w:val="00FF372A"/>
    <w:rsid w:val="00FF3DCF"/>
    <w:rsid w:val="00FF4091"/>
    <w:rsid w:val="00FF42A3"/>
    <w:rsid w:val="00FF4479"/>
    <w:rsid w:val="00FF492C"/>
    <w:rsid w:val="00FF49C7"/>
    <w:rsid w:val="00FF4A21"/>
    <w:rsid w:val="00FF4AC7"/>
    <w:rsid w:val="00FF579D"/>
    <w:rsid w:val="00FF5A37"/>
    <w:rsid w:val="00FF5AA3"/>
    <w:rsid w:val="00FF5AD8"/>
    <w:rsid w:val="00FF5B72"/>
    <w:rsid w:val="00FF5CE5"/>
    <w:rsid w:val="00FF5E0D"/>
    <w:rsid w:val="00FF6272"/>
    <w:rsid w:val="00FF62FC"/>
    <w:rsid w:val="00FF631E"/>
    <w:rsid w:val="00FF65DC"/>
    <w:rsid w:val="00FF66EB"/>
    <w:rsid w:val="00FF6775"/>
    <w:rsid w:val="00FF6B22"/>
    <w:rsid w:val="00FF6B8A"/>
    <w:rsid w:val="00FF6B96"/>
    <w:rsid w:val="00FF6C26"/>
    <w:rsid w:val="00FF6D35"/>
    <w:rsid w:val="00FF6FD6"/>
    <w:rsid w:val="00FF7025"/>
    <w:rsid w:val="00FF72C3"/>
    <w:rsid w:val="00FF76CC"/>
    <w:rsid w:val="00FF7727"/>
    <w:rsid w:val="00FF7C59"/>
    <w:rsid w:val="00FF7DC4"/>
    <w:rsid w:val="00FF7EC0"/>
    <w:rsid w:val="00FF7F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D6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6A16CD"/>
    <w:pPr>
      <w:keepNext/>
      <w:spacing w:before="240" w:after="60"/>
      <w:outlineLvl w:val="3"/>
    </w:pPr>
    <w:rPr>
      <w:b/>
      <w:bCs/>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uiPriority w:val="4"/>
    <w:qFormat/>
    <w:rsid w:val="00E2771E"/>
    <w:rPr>
      <w:rFonts w:ascii="Arial Narrow" w:hAnsi="Arial Narrow"/>
      <w:sz w:val="18"/>
    </w:rPr>
  </w:style>
  <w:style w:type="character" w:customStyle="1" w:styleId="TableFooterChar">
    <w:name w:val="Table Footer Char"/>
    <w:link w:val="TableFooter"/>
    <w:uiPriority w:val="4"/>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Caption Char Char"/>
    <w:basedOn w:val="Normal"/>
    <w:next w:val="Normal"/>
    <w:link w:val="CaptionChar"/>
    <w:uiPriority w:val="2"/>
    <w:unhideWhenUsed/>
    <w:qFormat/>
    <w:rsid w:val="00461260"/>
    <w:pPr>
      <w:spacing w:after="200"/>
    </w:pPr>
    <w:rPr>
      <w:rFonts w:ascii="Arial Narrow" w:hAnsi="Arial Narrow"/>
      <w:b/>
      <w:bCs/>
      <w:iCs/>
      <w:sz w:val="20"/>
      <w:szCs w:val="20"/>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uiPriority w:val="2"/>
    <w:rsid w:val="00461260"/>
    <w:rPr>
      <w:rFonts w:ascii="Arial Narrow" w:hAnsi="Arial Narrow" w:cs="Arial"/>
      <w:b/>
      <w:bCs/>
      <w:iCs/>
      <w:snapToGrid w:val="0"/>
      <w:lang w:eastAsia="en-US"/>
    </w:rPr>
  </w:style>
  <w:style w:type="paragraph" w:styleId="Title">
    <w:name w:val="Title"/>
    <w:basedOn w:val="Normal"/>
    <w:next w:val="Normal"/>
    <w:link w:val="TitleChar"/>
    <w:qFormat/>
    <w:rsid w:val="0055224F"/>
    <w:pPr>
      <w:ind w:left="720" w:hanging="720"/>
      <w:jc w:val="left"/>
      <w:outlineLvl w:val="0"/>
    </w:pPr>
    <w:rPr>
      <w:b/>
      <w:sz w:val="36"/>
      <w:szCs w:val="36"/>
    </w:rPr>
  </w:style>
  <w:style w:type="character" w:customStyle="1" w:styleId="TitleChar">
    <w:name w:val="Title Char"/>
    <w:basedOn w:val="DefaultParagraphFont"/>
    <w:link w:val="Title"/>
    <w:rsid w:val="0055224F"/>
    <w:rPr>
      <w:rFonts w:ascii="Calibri" w:hAnsi="Calibri" w:cs="Arial"/>
      <w:b/>
      <w:snapToGrid w:val="0"/>
      <w:sz w:val="36"/>
      <w:szCs w:val="36"/>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L1 Bulleted List,Summary Bullets,Footer Setting,Bullet List,FooterText,numbered,Paragraphe de liste1,Bulletr List Paragraph,列出段落,列出段落1,List Paragraph2,List Paragraph21,Párrafo de lista1,L"/>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L1 Bulleted List Char,Summary Bullets Char,Footer Setting Char,Bullet List Char,FooterText Char,numbered Char,Paragraphe de liste1 Char,Bulletr List Paragraph Char,列出段落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0E0129"/>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5F5D70"/>
    <w:pPr>
      <w:numPr>
        <w:numId w:val="1"/>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LOFHeading">
    <w:name w:val="L.O.F Heading"/>
    <w:basedOn w:val="Normal"/>
    <w:next w:val="Normal"/>
    <w:rsid w:val="009713DD"/>
    <w:pPr>
      <w:keepNext/>
      <w:widowControl/>
      <w:spacing w:before="240" w:after="360" w:line="276" w:lineRule="auto"/>
      <w:jc w:val="left"/>
    </w:pPr>
    <w:rPr>
      <w:rFonts w:ascii="Arial" w:hAnsi="Arial" w:cs="Times New Roman"/>
      <w:b/>
      <w:caps/>
      <w:snapToGrid/>
      <w:sz w:val="28"/>
      <w:szCs w:val="28"/>
      <w:lang w:eastAsia="en-AU"/>
    </w:rPr>
  </w:style>
  <w:style w:type="paragraph" w:customStyle="1" w:styleId="TableText0">
    <w:name w:val="Table Text"/>
    <w:basedOn w:val="Normal"/>
    <w:link w:val="TableTextChar0"/>
    <w:qFormat/>
    <w:rsid w:val="009713DD"/>
    <w:pPr>
      <w:widowControl/>
      <w:spacing w:before="60" w:after="60"/>
      <w:jc w:val="left"/>
    </w:pPr>
    <w:rPr>
      <w:rFonts w:ascii="Arial" w:eastAsia="Arial" w:hAnsi="Arial"/>
      <w:snapToGrid/>
      <w:sz w:val="18"/>
    </w:rPr>
  </w:style>
  <w:style w:type="character" w:customStyle="1" w:styleId="TableTextChar0">
    <w:name w:val="Table Text Char"/>
    <w:basedOn w:val="DefaultParagraphFont"/>
    <w:link w:val="TableText0"/>
    <w:rsid w:val="009713DD"/>
    <w:rPr>
      <w:rFonts w:ascii="Arial" w:eastAsia="Arial" w:hAnsi="Arial" w:cs="Arial"/>
      <w:sz w:val="18"/>
      <w:szCs w:val="22"/>
      <w:lang w:eastAsia="en-US"/>
    </w:rPr>
  </w:style>
  <w:style w:type="paragraph" w:customStyle="1" w:styleId="V50Instructions">
    <w:name w:val="V5.0 Instructions"/>
    <w:basedOn w:val="Normal"/>
    <w:link w:val="V50InstructionsChar"/>
    <w:qFormat/>
    <w:rsid w:val="00C277B3"/>
    <w:pPr>
      <w:widowControl/>
      <w:spacing w:before="120" w:after="160"/>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C277B3"/>
    <w:rPr>
      <w:rFonts w:asciiTheme="minorHAnsi" w:eastAsiaTheme="minorHAnsi" w:hAnsiTheme="minorHAnsi" w:cstheme="minorBidi"/>
      <w:color w:val="4BACC6" w:themeColor="accent5"/>
      <w:sz w:val="24"/>
      <w:szCs w:val="22"/>
      <w:lang w:eastAsia="en-US"/>
    </w:rPr>
  </w:style>
  <w:style w:type="paragraph" w:customStyle="1" w:styleId="TextUnderFigure">
    <w:name w:val="Text Under Figure"/>
    <w:basedOn w:val="Normal"/>
    <w:next w:val="Normal"/>
    <w:rsid w:val="00EA68D9"/>
    <w:pPr>
      <w:widowControl/>
      <w:spacing w:before="120" w:after="120" w:line="276" w:lineRule="auto"/>
      <w:contextualSpacing/>
      <w:jc w:val="left"/>
    </w:pPr>
    <w:rPr>
      <w:rFonts w:ascii="Arial" w:hAnsi="Arial" w:cs="Times New Roman"/>
      <w:i/>
      <w:snapToGrid/>
      <w:sz w:val="16"/>
      <w:lang w:eastAsia="en-AU"/>
    </w:rPr>
  </w:style>
  <w:style w:type="paragraph" w:customStyle="1" w:styleId="TableBullet">
    <w:name w:val="Table Bullet"/>
    <w:basedOn w:val="TableText0"/>
    <w:qFormat/>
    <w:rsid w:val="00EF4DB5"/>
    <w:pPr>
      <w:numPr>
        <w:numId w:val="3"/>
      </w:numPr>
      <w:ind w:left="357" w:hanging="357"/>
    </w:pPr>
    <w:rPr>
      <w:rFonts w:eastAsiaTheme="minorHAnsi" w:cstheme="minorBidi"/>
    </w:rPr>
  </w:style>
  <w:style w:type="paragraph" w:customStyle="1" w:styleId="TableHeading0">
    <w:name w:val="Table Heading"/>
    <w:basedOn w:val="Normal"/>
    <w:qFormat/>
    <w:rsid w:val="003F5D0A"/>
    <w:pPr>
      <w:keepNext/>
      <w:widowControl/>
      <w:spacing w:after="60"/>
      <w:jc w:val="left"/>
    </w:pPr>
    <w:rPr>
      <w:rFonts w:ascii="Arial Narrow" w:eastAsiaTheme="minorHAnsi" w:hAnsi="Arial Narrow" w:cstheme="minorBidi"/>
      <w:b/>
      <w:snapToGrid/>
      <w:sz w:val="20"/>
    </w:rPr>
  </w:style>
  <w:style w:type="paragraph" w:customStyle="1" w:styleId="BulletedText">
    <w:name w:val="Bulleted Text"/>
    <w:basedOn w:val="Normal"/>
    <w:rsid w:val="009E764E"/>
    <w:pPr>
      <w:widowControl/>
      <w:numPr>
        <w:numId w:val="4"/>
      </w:numPr>
      <w:spacing w:after="120" w:line="276" w:lineRule="auto"/>
    </w:pPr>
    <w:rPr>
      <w:rFonts w:ascii="Arial" w:hAnsi="Arial" w:cs="Times New Roman"/>
      <w:snapToGrid/>
      <w:sz w:val="22"/>
      <w:lang w:eastAsia="en-AU"/>
    </w:rPr>
  </w:style>
  <w:style w:type="paragraph" w:customStyle="1" w:styleId="MainBodyText">
    <w:name w:val="Main Body Text"/>
    <w:basedOn w:val="Normal"/>
    <w:link w:val="MainBodyTextChar"/>
    <w:rsid w:val="00FE5980"/>
    <w:pPr>
      <w:widowControl/>
      <w:spacing w:after="240" w:line="276" w:lineRule="auto"/>
    </w:pPr>
    <w:rPr>
      <w:rFonts w:ascii="Arial" w:hAnsi="Arial" w:cs="Times New Roman"/>
      <w:snapToGrid/>
      <w:sz w:val="22"/>
      <w:lang w:eastAsia="en-AU"/>
    </w:rPr>
  </w:style>
  <w:style w:type="character" w:customStyle="1" w:styleId="MainBodyTextChar">
    <w:name w:val="Main Body Text Char"/>
    <w:link w:val="MainBodyText"/>
    <w:rsid w:val="00FE5980"/>
    <w:rPr>
      <w:rFonts w:ascii="Arial" w:hAnsi="Arial"/>
      <w:sz w:val="22"/>
      <w:szCs w:val="22"/>
    </w:rPr>
  </w:style>
  <w:style w:type="paragraph" w:styleId="FootnoteText">
    <w:name w:val="footnote text"/>
    <w:basedOn w:val="Normal"/>
    <w:link w:val="FootnoteTextChar"/>
    <w:unhideWhenUsed/>
    <w:rsid w:val="00A10E37"/>
    <w:rPr>
      <w:sz w:val="20"/>
      <w:szCs w:val="20"/>
    </w:rPr>
  </w:style>
  <w:style w:type="character" w:customStyle="1" w:styleId="FootnoteTextChar">
    <w:name w:val="Footnote Text Char"/>
    <w:basedOn w:val="DefaultParagraphFont"/>
    <w:link w:val="FootnoteText"/>
    <w:rsid w:val="00A10E37"/>
    <w:rPr>
      <w:rFonts w:ascii="Calibri" w:hAnsi="Calibri" w:cs="Arial"/>
      <w:snapToGrid w:val="0"/>
      <w:lang w:eastAsia="en-US"/>
    </w:rPr>
  </w:style>
  <w:style w:type="character" w:styleId="FootnoteReference">
    <w:name w:val="footnote reference"/>
    <w:basedOn w:val="DefaultParagraphFont"/>
    <w:semiHidden/>
    <w:unhideWhenUsed/>
    <w:rsid w:val="00A10E37"/>
    <w:rPr>
      <w:vertAlign w:val="superscript"/>
    </w:rPr>
  </w:style>
  <w:style w:type="paragraph" w:customStyle="1" w:styleId="Default">
    <w:name w:val="Default"/>
    <w:rsid w:val="00677E78"/>
    <w:pPr>
      <w:autoSpaceDE w:val="0"/>
      <w:autoSpaceDN w:val="0"/>
      <w:adjustRightInd w:val="0"/>
    </w:pPr>
    <w:rPr>
      <w:rFonts w:ascii="Cambria" w:hAnsi="Cambria" w:cs="Cambria"/>
      <w:color w:val="000000"/>
      <w:sz w:val="24"/>
      <w:szCs w:val="24"/>
    </w:rPr>
  </w:style>
  <w:style w:type="character" w:customStyle="1" w:styleId="UnresolvedMention1">
    <w:name w:val="Unresolved Mention1"/>
    <w:basedOn w:val="DefaultParagraphFont"/>
    <w:uiPriority w:val="99"/>
    <w:semiHidden/>
    <w:unhideWhenUsed/>
    <w:rsid w:val="005578F9"/>
    <w:rPr>
      <w:color w:val="605E5C"/>
      <w:shd w:val="clear" w:color="auto" w:fill="E1DFDD"/>
    </w:rPr>
  </w:style>
  <w:style w:type="paragraph" w:customStyle="1" w:styleId="TableText1">
    <w:name w:val="TableText"/>
    <w:basedOn w:val="Normal"/>
    <w:link w:val="TableTextChar1"/>
    <w:qFormat/>
    <w:rsid w:val="007C6378"/>
    <w:pPr>
      <w:keepNext/>
      <w:widowControl/>
      <w:spacing w:before="40" w:after="40"/>
    </w:pPr>
    <w:rPr>
      <w:rFonts w:ascii="Arial Narrow" w:hAnsi="Arial Narrow" w:cs="Arial Narrow"/>
      <w:snapToGrid/>
      <w:sz w:val="20"/>
      <w:szCs w:val="20"/>
    </w:rPr>
  </w:style>
  <w:style w:type="character" w:customStyle="1" w:styleId="TableTextChar1">
    <w:name w:val="TableText Char"/>
    <w:basedOn w:val="DefaultParagraphFont"/>
    <w:link w:val="TableText1"/>
    <w:rsid w:val="007C6378"/>
    <w:rPr>
      <w:rFonts w:ascii="Arial Narrow" w:hAnsi="Arial Narrow" w:cs="Arial Narrow"/>
      <w:lang w:eastAsia="en-US"/>
    </w:rPr>
  </w:style>
  <w:style w:type="character" w:customStyle="1" w:styleId="Heading3Char">
    <w:name w:val="Heading 3 Char"/>
    <w:basedOn w:val="DefaultParagraphFont"/>
    <w:link w:val="Heading3"/>
    <w:uiPriority w:val="1"/>
    <w:rsid w:val="008D1804"/>
    <w:rPr>
      <w:rFonts w:ascii="Calibri" w:hAnsi="Calibri" w:cs="Arial"/>
      <w:snapToGrid w:val="0"/>
      <w:sz w:val="24"/>
      <w:szCs w:val="22"/>
      <w:u w:val="single"/>
      <w:lang w:eastAsia="en-US"/>
    </w:rPr>
  </w:style>
  <w:style w:type="paragraph" w:customStyle="1" w:styleId="KMC-Tabletext">
    <w:name w:val="KMC-Table text"/>
    <w:basedOn w:val="Normal"/>
    <w:qFormat/>
    <w:rsid w:val="000727B8"/>
    <w:pPr>
      <w:widowControl/>
      <w:spacing w:before="40" w:after="40"/>
    </w:pPr>
    <w:rPr>
      <w:rFonts w:ascii="Arial Narrow" w:hAnsi="Arial Narrow"/>
      <w:bCs/>
      <w:snapToGrid/>
      <w:sz w:val="22"/>
      <w:szCs w:val="20"/>
      <w:lang w:eastAsia="en-AU"/>
    </w:rPr>
  </w:style>
  <w:style w:type="paragraph" w:customStyle="1" w:styleId="TextUnderTable">
    <w:name w:val="Text Under Table"/>
    <w:basedOn w:val="TextUnderFigure"/>
    <w:link w:val="TextUnderTableChar"/>
    <w:qFormat/>
    <w:rsid w:val="00186DFC"/>
  </w:style>
  <w:style w:type="character" w:customStyle="1" w:styleId="TextUnderTableChar">
    <w:name w:val="Text Under Table Char"/>
    <w:link w:val="TextUnderTable"/>
    <w:rsid w:val="00186DFC"/>
    <w:rPr>
      <w:rFonts w:ascii="Arial" w:hAnsi="Arial"/>
      <w:i/>
      <w:sz w:val="16"/>
      <w:szCs w:val="22"/>
    </w:rPr>
  </w:style>
  <w:style w:type="paragraph" w:customStyle="1" w:styleId="TableTextHeading">
    <w:name w:val="Table Text Heading"/>
    <w:basedOn w:val="Normal"/>
    <w:rsid w:val="00D2413B"/>
    <w:pPr>
      <w:widowControl/>
      <w:spacing w:before="60" w:after="60"/>
      <w:jc w:val="center"/>
    </w:pPr>
    <w:rPr>
      <w:rFonts w:ascii="Arial Bold" w:hAnsi="Arial Bold" w:cs="Times New Roman"/>
      <w:b/>
      <w:snapToGrid/>
      <w:sz w:val="18"/>
      <w:szCs w:val="20"/>
      <w:lang w:eastAsia="en-AU"/>
    </w:rPr>
  </w:style>
  <w:style w:type="paragraph" w:customStyle="1" w:styleId="TableCaption">
    <w:name w:val="TableCaption"/>
    <w:basedOn w:val="Caption"/>
    <w:next w:val="MainBodyText"/>
    <w:qFormat/>
    <w:rsid w:val="0062772A"/>
    <w:pPr>
      <w:keepNext/>
      <w:widowControl/>
      <w:tabs>
        <w:tab w:val="left" w:pos="1701"/>
      </w:tabs>
      <w:spacing w:before="180" w:after="120" w:line="276" w:lineRule="auto"/>
      <w:ind w:left="1701" w:hanging="1701"/>
      <w:jc w:val="left"/>
      <w:outlineLvl w:val="2"/>
    </w:pPr>
    <w:rPr>
      <w:rFonts w:ascii="Arial" w:hAnsi="Arial" w:cs="Times New Roman"/>
      <w:snapToGrid/>
      <w:sz w:val="22"/>
      <w:lang w:eastAsia="en-AU"/>
    </w:rPr>
  </w:style>
  <w:style w:type="paragraph" w:customStyle="1" w:styleId="TableH1">
    <w:name w:val="Table H1"/>
    <w:basedOn w:val="BodyText"/>
    <w:uiPriority w:val="4"/>
    <w:qFormat/>
    <w:rsid w:val="0062772A"/>
    <w:pPr>
      <w:keepNext/>
      <w:widowControl/>
      <w:tabs>
        <w:tab w:val="left" w:pos="416"/>
        <w:tab w:val="left" w:pos="582"/>
        <w:tab w:val="left" w:pos="1134"/>
      </w:tabs>
      <w:spacing w:after="240"/>
    </w:pPr>
    <w:rPr>
      <w:rFonts w:cs="Times New Roman"/>
      <w:b/>
      <w:snapToGrid/>
      <w:sz w:val="20"/>
      <w:szCs w:val="20"/>
      <w:lang w:val="en-US"/>
    </w:rPr>
  </w:style>
  <w:style w:type="paragraph" w:customStyle="1" w:styleId="TableFigNotes0">
    <w:name w:val="TableFigNotes+0"/>
    <w:basedOn w:val="Normal"/>
    <w:uiPriority w:val="4"/>
    <w:rsid w:val="0062772A"/>
    <w:pPr>
      <w:keepLines/>
      <w:widowControl/>
      <w:jc w:val="left"/>
    </w:pPr>
    <w:rPr>
      <w:rFonts w:cs="Tahoma"/>
      <w:snapToGrid/>
      <w:color w:val="000000"/>
      <w:sz w:val="16"/>
      <w:szCs w:val="18"/>
      <w:lang w:eastAsia="en-AU"/>
    </w:rPr>
  </w:style>
  <w:style w:type="paragraph" w:customStyle="1" w:styleId="ListNumberedlvl8">
    <w:name w:val="List Numbered lvl 8"/>
    <w:basedOn w:val="Normal"/>
    <w:qFormat/>
    <w:rsid w:val="00EA25AB"/>
    <w:pPr>
      <w:widowControl/>
      <w:numPr>
        <w:ilvl w:val="7"/>
        <w:numId w:val="5"/>
      </w:numPr>
      <w:spacing w:after="240"/>
      <w:jc w:val="left"/>
    </w:pPr>
    <w:rPr>
      <w:rFonts w:asciiTheme="minorHAnsi" w:eastAsiaTheme="minorHAnsi" w:hAnsiTheme="minorHAnsi" w:cstheme="minorBidi"/>
      <w:snapToGrid/>
    </w:rPr>
  </w:style>
  <w:style w:type="paragraph" w:customStyle="1" w:styleId="ListNumberedlvl9">
    <w:name w:val="List Numbered lvl 9"/>
    <w:basedOn w:val="Normal"/>
    <w:qFormat/>
    <w:rsid w:val="00EA25AB"/>
    <w:pPr>
      <w:widowControl/>
      <w:numPr>
        <w:ilvl w:val="8"/>
        <w:numId w:val="5"/>
      </w:numPr>
      <w:spacing w:after="240"/>
      <w:jc w:val="left"/>
    </w:pPr>
    <w:rPr>
      <w:rFonts w:asciiTheme="minorHAnsi" w:eastAsiaTheme="minorHAnsi" w:hAnsiTheme="minorHAnsi" w:cstheme="minorBidi"/>
      <w:snapToGrid/>
    </w:rPr>
  </w:style>
  <w:style w:type="paragraph" w:styleId="ListBullet">
    <w:name w:val="List Bullet"/>
    <w:basedOn w:val="Normal"/>
    <w:uiPriority w:val="99"/>
    <w:unhideWhenUsed/>
    <w:rsid w:val="00EA25AB"/>
    <w:pPr>
      <w:widowControl/>
      <w:numPr>
        <w:numId w:val="6"/>
      </w:numPr>
      <w:spacing w:after="120" w:line="276" w:lineRule="auto"/>
      <w:jc w:val="left"/>
    </w:pPr>
    <w:rPr>
      <w:rFonts w:eastAsiaTheme="minorHAnsi" w:cstheme="minorBidi"/>
      <w:snapToGrid/>
    </w:rPr>
  </w:style>
  <w:style w:type="paragraph" w:customStyle="1" w:styleId="ListBulletlvl3">
    <w:name w:val="List Bullet lvl 3"/>
    <w:basedOn w:val="ListBullet"/>
    <w:qFormat/>
    <w:rsid w:val="00EA25AB"/>
    <w:pPr>
      <w:numPr>
        <w:ilvl w:val="2"/>
      </w:numPr>
    </w:pPr>
  </w:style>
  <w:style w:type="paragraph" w:customStyle="1" w:styleId="ListBulletlvl4">
    <w:name w:val="List Bullet lvl 4"/>
    <w:basedOn w:val="ListBullet"/>
    <w:qFormat/>
    <w:rsid w:val="00EA25AB"/>
    <w:pPr>
      <w:numPr>
        <w:ilvl w:val="3"/>
      </w:numPr>
    </w:pPr>
  </w:style>
  <w:style w:type="paragraph" w:customStyle="1" w:styleId="ListBulletlvl5">
    <w:name w:val="List Bullet lvl 5"/>
    <w:basedOn w:val="ListBullet"/>
    <w:qFormat/>
    <w:rsid w:val="00EA25AB"/>
    <w:pPr>
      <w:numPr>
        <w:ilvl w:val="4"/>
      </w:numPr>
    </w:pPr>
  </w:style>
  <w:style w:type="paragraph" w:customStyle="1" w:styleId="ListBulletlvl6">
    <w:name w:val="List Bullet lvl 6"/>
    <w:basedOn w:val="ListBullet"/>
    <w:qFormat/>
    <w:rsid w:val="00EA25AB"/>
    <w:pPr>
      <w:numPr>
        <w:ilvl w:val="5"/>
      </w:numPr>
    </w:pPr>
  </w:style>
  <w:style w:type="paragraph" w:customStyle="1" w:styleId="ListBulletlvl7">
    <w:name w:val="List Bullet lvl 7"/>
    <w:basedOn w:val="ListBullet"/>
    <w:qFormat/>
    <w:rsid w:val="00EA25AB"/>
    <w:pPr>
      <w:numPr>
        <w:ilvl w:val="6"/>
      </w:numPr>
    </w:pPr>
  </w:style>
  <w:style w:type="paragraph" w:customStyle="1" w:styleId="ListBulletlvl8">
    <w:name w:val="List Bullet lvl 8"/>
    <w:basedOn w:val="ListBullet"/>
    <w:qFormat/>
    <w:rsid w:val="00EA25AB"/>
    <w:pPr>
      <w:numPr>
        <w:ilvl w:val="7"/>
      </w:numPr>
    </w:pPr>
  </w:style>
  <w:style w:type="paragraph" w:customStyle="1" w:styleId="ListBulletlvl9">
    <w:name w:val="List Bullet lvl 9"/>
    <w:basedOn w:val="ListBullet"/>
    <w:qFormat/>
    <w:rsid w:val="00EA25AB"/>
    <w:pPr>
      <w:numPr>
        <w:ilvl w:val="8"/>
      </w:numPr>
    </w:pPr>
  </w:style>
  <w:style w:type="paragraph" w:styleId="Quote">
    <w:name w:val="Quote"/>
    <w:basedOn w:val="Normal"/>
    <w:next w:val="Normal"/>
    <w:link w:val="QuoteChar"/>
    <w:uiPriority w:val="29"/>
    <w:qFormat/>
    <w:rsid w:val="00EA25AB"/>
    <w:pPr>
      <w:widowControl/>
      <w:spacing w:line="360" w:lineRule="auto"/>
      <w:jc w:val="center"/>
    </w:pPr>
    <w:rPr>
      <w:rFonts w:asciiTheme="minorHAnsi" w:eastAsiaTheme="minorEastAsia" w:hAnsiTheme="minorHAnsi" w:cstheme="minorBidi"/>
      <w:b/>
      <w:i/>
      <w:iCs/>
      <w:snapToGrid/>
      <w:color w:val="4F81BD" w:themeColor="accent1"/>
      <w:sz w:val="26"/>
      <w:lang w:bidi="hi-IN"/>
    </w:rPr>
  </w:style>
  <w:style w:type="character" w:customStyle="1" w:styleId="QuoteChar">
    <w:name w:val="Quote Char"/>
    <w:basedOn w:val="DefaultParagraphFont"/>
    <w:link w:val="Quote"/>
    <w:uiPriority w:val="29"/>
    <w:rsid w:val="00EA25AB"/>
    <w:rPr>
      <w:rFonts w:asciiTheme="minorHAnsi" w:eastAsiaTheme="minorEastAsia" w:hAnsiTheme="minorHAnsi" w:cstheme="minorBidi"/>
      <w:b/>
      <w:i/>
      <w:iCs/>
      <w:color w:val="4F81BD" w:themeColor="accent1"/>
      <w:sz w:val="26"/>
      <w:szCs w:val="22"/>
      <w:lang w:eastAsia="en-US" w:bidi="hi-IN"/>
    </w:rPr>
  </w:style>
  <w:style w:type="table" w:customStyle="1" w:styleId="TableGrid1">
    <w:name w:val="Table Grid1"/>
    <w:basedOn w:val="TableNormal"/>
    <w:next w:val="TableGrid"/>
    <w:uiPriority w:val="59"/>
    <w:rsid w:val="00B923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50C0E"/>
    <w:rPr>
      <w:rFonts w:ascii="Calibri" w:hAnsi="Calibri" w:cs="Arial"/>
      <w:b/>
      <w:caps/>
      <w:snapToGrid w:val="0"/>
      <w:sz w:val="32"/>
      <w:szCs w:val="22"/>
      <w:lang w:eastAsia="en-US"/>
    </w:rPr>
  </w:style>
  <w:style w:type="paragraph" w:customStyle="1" w:styleId="FigureCaption">
    <w:name w:val="FigureCaption"/>
    <w:basedOn w:val="Caption"/>
    <w:next w:val="MainBodyText"/>
    <w:qFormat/>
    <w:rsid w:val="00721BB7"/>
    <w:pPr>
      <w:keepNext/>
      <w:widowControl/>
      <w:tabs>
        <w:tab w:val="left" w:pos="1701"/>
      </w:tabs>
      <w:spacing w:before="180" w:after="120" w:line="276" w:lineRule="auto"/>
      <w:ind w:left="1701" w:hanging="1701"/>
      <w:jc w:val="left"/>
      <w:outlineLvl w:val="2"/>
    </w:pPr>
    <w:rPr>
      <w:rFonts w:ascii="Arial" w:hAnsi="Arial" w:cs="Times New Roman"/>
      <w:iCs w:val="0"/>
      <w:snapToGrid/>
      <w:sz w:val="22"/>
      <w:lang w:eastAsia="en-AU"/>
    </w:rPr>
  </w:style>
  <w:style w:type="paragraph" w:customStyle="1" w:styleId="2Sections">
    <w:name w:val="2. Sections"/>
    <w:qFormat/>
    <w:rsid w:val="001524EA"/>
    <w:pPr>
      <w:spacing w:before="240" w:after="120"/>
      <w:ind w:left="720" w:hanging="720"/>
      <w:outlineLvl w:val="0"/>
    </w:pPr>
    <w:rPr>
      <w:rFonts w:asciiTheme="minorHAnsi" w:hAnsiTheme="minorHAnsi" w:cs="Arial"/>
      <w:b/>
      <w:snapToGrid w:val="0"/>
      <w:sz w:val="32"/>
      <w:szCs w:val="32"/>
      <w:lang w:eastAsia="en-US"/>
    </w:rPr>
  </w:style>
  <w:style w:type="paragraph" w:customStyle="1" w:styleId="Bodytextitalics">
    <w:name w:val="Body text italics"/>
    <w:basedOn w:val="BodyText"/>
    <w:qFormat/>
    <w:rsid w:val="001524EA"/>
    <w:pPr>
      <w:widowControl/>
      <w:spacing w:after="120"/>
      <w:ind w:left="720" w:hanging="720"/>
    </w:pPr>
    <w:rPr>
      <w:rFonts w:asciiTheme="minorHAnsi" w:eastAsiaTheme="minorHAnsi" w:hAnsiTheme="minorHAnsi" w:cstheme="minorBidi"/>
      <w:i/>
      <w:snapToGrid/>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3900">
      <w:bodyDiv w:val="1"/>
      <w:marLeft w:val="0"/>
      <w:marRight w:val="0"/>
      <w:marTop w:val="0"/>
      <w:marBottom w:val="0"/>
      <w:divBdr>
        <w:top w:val="none" w:sz="0" w:space="0" w:color="auto"/>
        <w:left w:val="none" w:sz="0" w:space="0" w:color="auto"/>
        <w:bottom w:val="none" w:sz="0" w:space="0" w:color="auto"/>
        <w:right w:val="none" w:sz="0" w:space="0" w:color="auto"/>
      </w:divBdr>
    </w:div>
    <w:div w:id="295646840">
      <w:bodyDiv w:val="1"/>
      <w:marLeft w:val="0"/>
      <w:marRight w:val="0"/>
      <w:marTop w:val="0"/>
      <w:marBottom w:val="0"/>
      <w:divBdr>
        <w:top w:val="none" w:sz="0" w:space="0" w:color="auto"/>
        <w:left w:val="none" w:sz="0" w:space="0" w:color="auto"/>
        <w:bottom w:val="none" w:sz="0" w:space="0" w:color="auto"/>
        <w:right w:val="none" w:sz="0" w:space="0" w:color="auto"/>
      </w:divBdr>
    </w:div>
    <w:div w:id="320936914">
      <w:bodyDiv w:val="1"/>
      <w:marLeft w:val="0"/>
      <w:marRight w:val="0"/>
      <w:marTop w:val="0"/>
      <w:marBottom w:val="0"/>
      <w:divBdr>
        <w:top w:val="none" w:sz="0" w:space="0" w:color="auto"/>
        <w:left w:val="none" w:sz="0" w:space="0" w:color="auto"/>
        <w:bottom w:val="none" w:sz="0" w:space="0" w:color="auto"/>
        <w:right w:val="none" w:sz="0" w:space="0" w:color="auto"/>
      </w:divBdr>
    </w:div>
    <w:div w:id="333915750">
      <w:bodyDiv w:val="1"/>
      <w:marLeft w:val="0"/>
      <w:marRight w:val="0"/>
      <w:marTop w:val="0"/>
      <w:marBottom w:val="0"/>
      <w:divBdr>
        <w:top w:val="none" w:sz="0" w:space="0" w:color="auto"/>
        <w:left w:val="none" w:sz="0" w:space="0" w:color="auto"/>
        <w:bottom w:val="none" w:sz="0" w:space="0" w:color="auto"/>
        <w:right w:val="none" w:sz="0" w:space="0" w:color="auto"/>
      </w:divBdr>
    </w:div>
    <w:div w:id="340083540">
      <w:bodyDiv w:val="1"/>
      <w:marLeft w:val="0"/>
      <w:marRight w:val="0"/>
      <w:marTop w:val="0"/>
      <w:marBottom w:val="0"/>
      <w:divBdr>
        <w:top w:val="none" w:sz="0" w:space="0" w:color="auto"/>
        <w:left w:val="none" w:sz="0" w:space="0" w:color="auto"/>
        <w:bottom w:val="none" w:sz="0" w:space="0" w:color="auto"/>
        <w:right w:val="none" w:sz="0" w:space="0" w:color="auto"/>
      </w:divBdr>
    </w:div>
    <w:div w:id="398211698">
      <w:bodyDiv w:val="1"/>
      <w:marLeft w:val="0"/>
      <w:marRight w:val="0"/>
      <w:marTop w:val="0"/>
      <w:marBottom w:val="0"/>
      <w:divBdr>
        <w:top w:val="none" w:sz="0" w:space="0" w:color="auto"/>
        <w:left w:val="none" w:sz="0" w:space="0" w:color="auto"/>
        <w:bottom w:val="none" w:sz="0" w:space="0" w:color="auto"/>
        <w:right w:val="none" w:sz="0" w:space="0" w:color="auto"/>
      </w:divBdr>
    </w:div>
    <w:div w:id="450441824">
      <w:bodyDiv w:val="1"/>
      <w:marLeft w:val="0"/>
      <w:marRight w:val="0"/>
      <w:marTop w:val="0"/>
      <w:marBottom w:val="0"/>
      <w:divBdr>
        <w:top w:val="none" w:sz="0" w:space="0" w:color="auto"/>
        <w:left w:val="none" w:sz="0" w:space="0" w:color="auto"/>
        <w:bottom w:val="none" w:sz="0" w:space="0" w:color="auto"/>
        <w:right w:val="none" w:sz="0" w:space="0" w:color="auto"/>
      </w:divBdr>
    </w:div>
    <w:div w:id="554435420">
      <w:bodyDiv w:val="1"/>
      <w:marLeft w:val="0"/>
      <w:marRight w:val="0"/>
      <w:marTop w:val="0"/>
      <w:marBottom w:val="0"/>
      <w:divBdr>
        <w:top w:val="none" w:sz="0" w:space="0" w:color="auto"/>
        <w:left w:val="none" w:sz="0" w:space="0" w:color="auto"/>
        <w:bottom w:val="none" w:sz="0" w:space="0" w:color="auto"/>
        <w:right w:val="none" w:sz="0" w:space="0" w:color="auto"/>
      </w:divBdr>
    </w:div>
    <w:div w:id="554779133">
      <w:bodyDiv w:val="1"/>
      <w:marLeft w:val="0"/>
      <w:marRight w:val="0"/>
      <w:marTop w:val="0"/>
      <w:marBottom w:val="0"/>
      <w:divBdr>
        <w:top w:val="none" w:sz="0" w:space="0" w:color="auto"/>
        <w:left w:val="none" w:sz="0" w:space="0" w:color="auto"/>
        <w:bottom w:val="none" w:sz="0" w:space="0" w:color="auto"/>
        <w:right w:val="none" w:sz="0" w:space="0" w:color="auto"/>
      </w:divBdr>
    </w:div>
    <w:div w:id="629820115">
      <w:bodyDiv w:val="1"/>
      <w:marLeft w:val="0"/>
      <w:marRight w:val="0"/>
      <w:marTop w:val="0"/>
      <w:marBottom w:val="0"/>
      <w:divBdr>
        <w:top w:val="none" w:sz="0" w:space="0" w:color="auto"/>
        <w:left w:val="none" w:sz="0" w:space="0" w:color="auto"/>
        <w:bottom w:val="none" w:sz="0" w:space="0" w:color="auto"/>
        <w:right w:val="none" w:sz="0" w:space="0" w:color="auto"/>
      </w:divBdr>
    </w:div>
    <w:div w:id="682778358">
      <w:bodyDiv w:val="1"/>
      <w:marLeft w:val="0"/>
      <w:marRight w:val="0"/>
      <w:marTop w:val="0"/>
      <w:marBottom w:val="0"/>
      <w:divBdr>
        <w:top w:val="none" w:sz="0" w:space="0" w:color="auto"/>
        <w:left w:val="none" w:sz="0" w:space="0" w:color="auto"/>
        <w:bottom w:val="none" w:sz="0" w:space="0" w:color="auto"/>
        <w:right w:val="none" w:sz="0" w:space="0" w:color="auto"/>
      </w:divBdr>
    </w:div>
    <w:div w:id="686950372">
      <w:bodyDiv w:val="1"/>
      <w:marLeft w:val="0"/>
      <w:marRight w:val="0"/>
      <w:marTop w:val="0"/>
      <w:marBottom w:val="0"/>
      <w:divBdr>
        <w:top w:val="none" w:sz="0" w:space="0" w:color="auto"/>
        <w:left w:val="none" w:sz="0" w:space="0" w:color="auto"/>
        <w:bottom w:val="none" w:sz="0" w:space="0" w:color="auto"/>
        <w:right w:val="none" w:sz="0" w:space="0" w:color="auto"/>
      </w:divBdr>
    </w:div>
    <w:div w:id="688676382">
      <w:bodyDiv w:val="1"/>
      <w:marLeft w:val="0"/>
      <w:marRight w:val="0"/>
      <w:marTop w:val="0"/>
      <w:marBottom w:val="0"/>
      <w:divBdr>
        <w:top w:val="none" w:sz="0" w:space="0" w:color="auto"/>
        <w:left w:val="none" w:sz="0" w:space="0" w:color="auto"/>
        <w:bottom w:val="none" w:sz="0" w:space="0" w:color="auto"/>
        <w:right w:val="none" w:sz="0" w:space="0" w:color="auto"/>
      </w:divBdr>
    </w:div>
    <w:div w:id="739642910">
      <w:bodyDiv w:val="1"/>
      <w:marLeft w:val="0"/>
      <w:marRight w:val="0"/>
      <w:marTop w:val="0"/>
      <w:marBottom w:val="0"/>
      <w:divBdr>
        <w:top w:val="none" w:sz="0" w:space="0" w:color="auto"/>
        <w:left w:val="none" w:sz="0" w:space="0" w:color="auto"/>
        <w:bottom w:val="none" w:sz="0" w:space="0" w:color="auto"/>
        <w:right w:val="none" w:sz="0" w:space="0" w:color="auto"/>
      </w:divBdr>
    </w:div>
    <w:div w:id="776415460">
      <w:bodyDiv w:val="1"/>
      <w:marLeft w:val="0"/>
      <w:marRight w:val="0"/>
      <w:marTop w:val="0"/>
      <w:marBottom w:val="0"/>
      <w:divBdr>
        <w:top w:val="none" w:sz="0" w:space="0" w:color="auto"/>
        <w:left w:val="none" w:sz="0" w:space="0" w:color="auto"/>
        <w:bottom w:val="none" w:sz="0" w:space="0" w:color="auto"/>
        <w:right w:val="none" w:sz="0" w:space="0" w:color="auto"/>
      </w:divBdr>
    </w:div>
    <w:div w:id="846139260">
      <w:bodyDiv w:val="1"/>
      <w:marLeft w:val="0"/>
      <w:marRight w:val="0"/>
      <w:marTop w:val="0"/>
      <w:marBottom w:val="0"/>
      <w:divBdr>
        <w:top w:val="none" w:sz="0" w:space="0" w:color="auto"/>
        <w:left w:val="none" w:sz="0" w:space="0" w:color="auto"/>
        <w:bottom w:val="none" w:sz="0" w:space="0" w:color="auto"/>
        <w:right w:val="none" w:sz="0" w:space="0" w:color="auto"/>
      </w:divBdr>
    </w:div>
    <w:div w:id="854005502">
      <w:bodyDiv w:val="1"/>
      <w:marLeft w:val="0"/>
      <w:marRight w:val="0"/>
      <w:marTop w:val="0"/>
      <w:marBottom w:val="0"/>
      <w:divBdr>
        <w:top w:val="none" w:sz="0" w:space="0" w:color="auto"/>
        <w:left w:val="none" w:sz="0" w:space="0" w:color="auto"/>
        <w:bottom w:val="none" w:sz="0" w:space="0" w:color="auto"/>
        <w:right w:val="none" w:sz="0" w:space="0" w:color="auto"/>
      </w:divBdr>
    </w:div>
    <w:div w:id="940651380">
      <w:bodyDiv w:val="1"/>
      <w:marLeft w:val="0"/>
      <w:marRight w:val="0"/>
      <w:marTop w:val="0"/>
      <w:marBottom w:val="0"/>
      <w:divBdr>
        <w:top w:val="none" w:sz="0" w:space="0" w:color="auto"/>
        <w:left w:val="none" w:sz="0" w:space="0" w:color="auto"/>
        <w:bottom w:val="none" w:sz="0" w:space="0" w:color="auto"/>
        <w:right w:val="none" w:sz="0" w:space="0" w:color="auto"/>
      </w:divBdr>
      <w:divsChild>
        <w:div w:id="1158810072">
          <w:marLeft w:val="360"/>
          <w:marRight w:val="0"/>
          <w:marTop w:val="200"/>
          <w:marBottom w:val="0"/>
          <w:divBdr>
            <w:top w:val="none" w:sz="0" w:space="0" w:color="auto"/>
            <w:left w:val="none" w:sz="0" w:space="0" w:color="auto"/>
            <w:bottom w:val="none" w:sz="0" w:space="0" w:color="auto"/>
            <w:right w:val="none" w:sz="0" w:space="0" w:color="auto"/>
          </w:divBdr>
        </w:div>
        <w:div w:id="1442991595">
          <w:marLeft w:val="360"/>
          <w:marRight w:val="0"/>
          <w:marTop w:val="200"/>
          <w:marBottom w:val="0"/>
          <w:divBdr>
            <w:top w:val="none" w:sz="0" w:space="0" w:color="auto"/>
            <w:left w:val="none" w:sz="0" w:space="0" w:color="auto"/>
            <w:bottom w:val="none" w:sz="0" w:space="0" w:color="auto"/>
            <w:right w:val="none" w:sz="0" w:space="0" w:color="auto"/>
          </w:divBdr>
        </w:div>
        <w:div w:id="1128354063">
          <w:marLeft w:val="360"/>
          <w:marRight w:val="0"/>
          <w:marTop w:val="200"/>
          <w:marBottom w:val="0"/>
          <w:divBdr>
            <w:top w:val="none" w:sz="0" w:space="0" w:color="auto"/>
            <w:left w:val="none" w:sz="0" w:space="0" w:color="auto"/>
            <w:bottom w:val="none" w:sz="0" w:space="0" w:color="auto"/>
            <w:right w:val="none" w:sz="0" w:space="0" w:color="auto"/>
          </w:divBdr>
        </w:div>
        <w:div w:id="110904653">
          <w:marLeft w:val="360"/>
          <w:marRight w:val="0"/>
          <w:marTop w:val="200"/>
          <w:marBottom w:val="0"/>
          <w:divBdr>
            <w:top w:val="none" w:sz="0" w:space="0" w:color="auto"/>
            <w:left w:val="none" w:sz="0" w:space="0" w:color="auto"/>
            <w:bottom w:val="none" w:sz="0" w:space="0" w:color="auto"/>
            <w:right w:val="none" w:sz="0" w:space="0" w:color="auto"/>
          </w:divBdr>
        </w:div>
        <w:div w:id="768503090">
          <w:marLeft w:val="1080"/>
          <w:marRight w:val="0"/>
          <w:marTop w:val="100"/>
          <w:marBottom w:val="0"/>
          <w:divBdr>
            <w:top w:val="none" w:sz="0" w:space="0" w:color="auto"/>
            <w:left w:val="none" w:sz="0" w:space="0" w:color="auto"/>
            <w:bottom w:val="none" w:sz="0" w:space="0" w:color="auto"/>
            <w:right w:val="none" w:sz="0" w:space="0" w:color="auto"/>
          </w:divBdr>
        </w:div>
        <w:div w:id="431781564">
          <w:marLeft w:val="1080"/>
          <w:marRight w:val="0"/>
          <w:marTop w:val="100"/>
          <w:marBottom w:val="0"/>
          <w:divBdr>
            <w:top w:val="none" w:sz="0" w:space="0" w:color="auto"/>
            <w:left w:val="none" w:sz="0" w:space="0" w:color="auto"/>
            <w:bottom w:val="none" w:sz="0" w:space="0" w:color="auto"/>
            <w:right w:val="none" w:sz="0" w:space="0" w:color="auto"/>
          </w:divBdr>
        </w:div>
        <w:div w:id="1831559962">
          <w:marLeft w:val="360"/>
          <w:marRight w:val="0"/>
          <w:marTop w:val="200"/>
          <w:marBottom w:val="0"/>
          <w:divBdr>
            <w:top w:val="none" w:sz="0" w:space="0" w:color="auto"/>
            <w:left w:val="none" w:sz="0" w:space="0" w:color="auto"/>
            <w:bottom w:val="none" w:sz="0" w:space="0" w:color="auto"/>
            <w:right w:val="none" w:sz="0" w:space="0" w:color="auto"/>
          </w:divBdr>
        </w:div>
        <w:div w:id="888416847">
          <w:marLeft w:val="360"/>
          <w:marRight w:val="0"/>
          <w:marTop w:val="200"/>
          <w:marBottom w:val="0"/>
          <w:divBdr>
            <w:top w:val="none" w:sz="0" w:space="0" w:color="auto"/>
            <w:left w:val="none" w:sz="0" w:space="0" w:color="auto"/>
            <w:bottom w:val="none" w:sz="0" w:space="0" w:color="auto"/>
            <w:right w:val="none" w:sz="0" w:space="0" w:color="auto"/>
          </w:divBdr>
        </w:div>
      </w:divsChild>
    </w:div>
    <w:div w:id="942881741">
      <w:bodyDiv w:val="1"/>
      <w:marLeft w:val="0"/>
      <w:marRight w:val="0"/>
      <w:marTop w:val="0"/>
      <w:marBottom w:val="0"/>
      <w:divBdr>
        <w:top w:val="none" w:sz="0" w:space="0" w:color="auto"/>
        <w:left w:val="none" w:sz="0" w:space="0" w:color="auto"/>
        <w:bottom w:val="none" w:sz="0" w:space="0" w:color="auto"/>
        <w:right w:val="none" w:sz="0" w:space="0" w:color="auto"/>
      </w:divBdr>
    </w:div>
    <w:div w:id="982585805">
      <w:bodyDiv w:val="1"/>
      <w:marLeft w:val="0"/>
      <w:marRight w:val="0"/>
      <w:marTop w:val="0"/>
      <w:marBottom w:val="0"/>
      <w:divBdr>
        <w:top w:val="none" w:sz="0" w:space="0" w:color="auto"/>
        <w:left w:val="none" w:sz="0" w:space="0" w:color="auto"/>
        <w:bottom w:val="none" w:sz="0" w:space="0" w:color="auto"/>
        <w:right w:val="none" w:sz="0" w:space="0" w:color="auto"/>
      </w:divBdr>
    </w:div>
    <w:div w:id="1111514559">
      <w:bodyDiv w:val="1"/>
      <w:marLeft w:val="0"/>
      <w:marRight w:val="0"/>
      <w:marTop w:val="0"/>
      <w:marBottom w:val="0"/>
      <w:divBdr>
        <w:top w:val="none" w:sz="0" w:space="0" w:color="auto"/>
        <w:left w:val="none" w:sz="0" w:space="0" w:color="auto"/>
        <w:bottom w:val="none" w:sz="0" w:space="0" w:color="auto"/>
        <w:right w:val="none" w:sz="0" w:space="0" w:color="auto"/>
      </w:divBdr>
      <w:divsChild>
        <w:div w:id="823205349">
          <w:marLeft w:val="360"/>
          <w:marRight w:val="0"/>
          <w:marTop w:val="200"/>
          <w:marBottom w:val="0"/>
          <w:divBdr>
            <w:top w:val="none" w:sz="0" w:space="0" w:color="auto"/>
            <w:left w:val="none" w:sz="0" w:space="0" w:color="auto"/>
            <w:bottom w:val="none" w:sz="0" w:space="0" w:color="auto"/>
            <w:right w:val="none" w:sz="0" w:space="0" w:color="auto"/>
          </w:divBdr>
        </w:div>
        <w:div w:id="1159275103">
          <w:marLeft w:val="360"/>
          <w:marRight w:val="0"/>
          <w:marTop w:val="200"/>
          <w:marBottom w:val="0"/>
          <w:divBdr>
            <w:top w:val="none" w:sz="0" w:space="0" w:color="auto"/>
            <w:left w:val="none" w:sz="0" w:space="0" w:color="auto"/>
            <w:bottom w:val="none" w:sz="0" w:space="0" w:color="auto"/>
            <w:right w:val="none" w:sz="0" w:space="0" w:color="auto"/>
          </w:divBdr>
        </w:div>
        <w:div w:id="719207862">
          <w:marLeft w:val="360"/>
          <w:marRight w:val="0"/>
          <w:marTop w:val="200"/>
          <w:marBottom w:val="0"/>
          <w:divBdr>
            <w:top w:val="none" w:sz="0" w:space="0" w:color="auto"/>
            <w:left w:val="none" w:sz="0" w:space="0" w:color="auto"/>
            <w:bottom w:val="none" w:sz="0" w:space="0" w:color="auto"/>
            <w:right w:val="none" w:sz="0" w:space="0" w:color="auto"/>
          </w:divBdr>
        </w:div>
        <w:div w:id="477846615">
          <w:marLeft w:val="360"/>
          <w:marRight w:val="0"/>
          <w:marTop w:val="200"/>
          <w:marBottom w:val="0"/>
          <w:divBdr>
            <w:top w:val="none" w:sz="0" w:space="0" w:color="auto"/>
            <w:left w:val="none" w:sz="0" w:space="0" w:color="auto"/>
            <w:bottom w:val="none" w:sz="0" w:space="0" w:color="auto"/>
            <w:right w:val="none" w:sz="0" w:space="0" w:color="auto"/>
          </w:divBdr>
        </w:div>
        <w:div w:id="2102985769">
          <w:marLeft w:val="1080"/>
          <w:marRight w:val="0"/>
          <w:marTop w:val="100"/>
          <w:marBottom w:val="0"/>
          <w:divBdr>
            <w:top w:val="none" w:sz="0" w:space="0" w:color="auto"/>
            <w:left w:val="none" w:sz="0" w:space="0" w:color="auto"/>
            <w:bottom w:val="none" w:sz="0" w:space="0" w:color="auto"/>
            <w:right w:val="none" w:sz="0" w:space="0" w:color="auto"/>
          </w:divBdr>
        </w:div>
        <w:div w:id="1298606682">
          <w:marLeft w:val="1080"/>
          <w:marRight w:val="0"/>
          <w:marTop w:val="100"/>
          <w:marBottom w:val="0"/>
          <w:divBdr>
            <w:top w:val="none" w:sz="0" w:space="0" w:color="auto"/>
            <w:left w:val="none" w:sz="0" w:space="0" w:color="auto"/>
            <w:bottom w:val="none" w:sz="0" w:space="0" w:color="auto"/>
            <w:right w:val="none" w:sz="0" w:space="0" w:color="auto"/>
          </w:divBdr>
        </w:div>
        <w:div w:id="63571022">
          <w:marLeft w:val="360"/>
          <w:marRight w:val="0"/>
          <w:marTop w:val="200"/>
          <w:marBottom w:val="0"/>
          <w:divBdr>
            <w:top w:val="none" w:sz="0" w:space="0" w:color="auto"/>
            <w:left w:val="none" w:sz="0" w:space="0" w:color="auto"/>
            <w:bottom w:val="none" w:sz="0" w:space="0" w:color="auto"/>
            <w:right w:val="none" w:sz="0" w:space="0" w:color="auto"/>
          </w:divBdr>
        </w:div>
        <w:div w:id="950822754">
          <w:marLeft w:val="360"/>
          <w:marRight w:val="0"/>
          <w:marTop w:val="200"/>
          <w:marBottom w:val="0"/>
          <w:divBdr>
            <w:top w:val="none" w:sz="0" w:space="0" w:color="auto"/>
            <w:left w:val="none" w:sz="0" w:space="0" w:color="auto"/>
            <w:bottom w:val="none" w:sz="0" w:space="0" w:color="auto"/>
            <w:right w:val="none" w:sz="0" w:space="0" w:color="auto"/>
          </w:divBdr>
        </w:div>
      </w:divsChild>
    </w:div>
    <w:div w:id="1156993843">
      <w:bodyDiv w:val="1"/>
      <w:marLeft w:val="0"/>
      <w:marRight w:val="0"/>
      <w:marTop w:val="0"/>
      <w:marBottom w:val="0"/>
      <w:divBdr>
        <w:top w:val="none" w:sz="0" w:space="0" w:color="auto"/>
        <w:left w:val="none" w:sz="0" w:space="0" w:color="auto"/>
        <w:bottom w:val="none" w:sz="0" w:space="0" w:color="auto"/>
        <w:right w:val="none" w:sz="0" w:space="0" w:color="auto"/>
      </w:divBdr>
    </w:div>
    <w:div w:id="1349596800">
      <w:bodyDiv w:val="1"/>
      <w:marLeft w:val="0"/>
      <w:marRight w:val="0"/>
      <w:marTop w:val="0"/>
      <w:marBottom w:val="0"/>
      <w:divBdr>
        <w:top w:val="none" w:sz="0" w:space="0" w:color="auto"/>
        <w:left w:val="none" w:sz="0" w:space="0" w:color="auto"/>
        <w:bottom w:val="none" w:sz="0" w:space="0" w:color="auto"/>
        <w:right w:val="none" w:sz="0" w:space="0" w:color="auto"/>
      </w:divBdr>
    </w:div>
    <w:div w:id="1368796246">
      <w:bodyDiv w:val="1"/>
      <w:marLeft w:val="0"/>
      <w:marRight w:val="0"/>
      <w:marTop w:val="0"/>
      <w:marBottom w:val="0"/>
      <w:divBdr>
        <w:top w:val="none" w:sz="0" w:space="0" w:color="auto"/>
        <w:left w:val="none" w:sz="0" w:space="0" w:color="auto"/>
        <w:bottom w:val="none" w:sz="0" w:space="0" w:color="auto"/>
        <w:right w:val="none" w:sz="0" w:space="0" w:color="auto"/>
      </w:divBdr>
    </w:div>
    <w:div w:id="1370447950">
      <w:bodyDiv w:val="1"/>
      <w:marLeft w:val="0"/>
      <w:marRight w:val="0"/>
      <w:marTop w:val="0"/>
      <w:marBottom w:val="0"/>
      <w:divBdr>
        <w:top w:val="none" w:sz="0" w:space="0" w:color="auto"/>
        <w:left w:val="none" w:sz="0" w:space="0" w:color="auto"/>
        <w:bottom w:val="none" w:sz="0" w:space="0" w:color="auto"/>
        <w:right w:val="none" w:sz="0" w:space="0" w:color="auto"/>
      </w:divBdr>
    </w:div>
    <w:div w:id="1401749531">
      <w:bodyDiv w:val="1"/>
      <w:marLeft w:val="0"/>
      <w:marRight w:val="0"/>
      <w:marTop w:val="0"/>
      <w:marBottom w:val="0"/>
      <w:divBdr>
        <w:top w:val="none" w:sz="0" w:space="0" w:color="auto"/>
        <w:left w:val="none" w:sz="0" w:space="0" w:color="auto"/>
        <w:bottom w:val="none" w:sz="0" w:space="0" w:color="auto"/>
        <w:right w:val="none" w:sz="0" w:space="0" w:color="auto"/>
      </w:divBdr>
    </w:div>
    <w:div w:id="1428229250">
      <w:bodyDiv w:val="1"/>
      <w:marLeft w:val="0"/>
      <w:marRight w:val="0"/>
      <w:marTop w:val="0"/>
      <w:marBottom w:val="0"/>
      <w:divBdr>
        <w:top w:val="none" w:sz="0" w:space="0" w:color="auto"/>
        <w:left w:val="none" w:sz="0" w:space="0" w:color="auto"/>
        <w:bottom w:val="none" w:sz="0" w:space="0" w:color="auto"/>
        <w:right w:val="none" w:sz="0" w:space="0" w:color="auto"/>
      </w:divBdr>
    </w:div>
    <w:div w:id="1457258909">
      <w:bodyDiv w:val="1"/>
      <w:marLeft w:val="0"/>
      <w:marRight w:val="0"/>
      <w:marTop w:val="0"/>
      <w:marBottom w:val="0"/>
      <w:divBdr>
        <w:top w:val="none" w:sz="0" w:space="0" w:color="auto"/>
        <w:left w:val="none" w:sz="0" w:space="0" w:color="auto"/>
        <w:bottom w:val="none" w:sz="0" w:space="0" w:color="auto"/>
        <w:right w:val="none" w:sz="0" w:space="0" w:color="auto"/>
      </w:divBdr>
    </w:div>
    <w:div w:id="1468477440">
      <w:bodyDiv w:val="1"/>
      <w:marLeft w:val="0"/>
      <w:marRight w:val="0"/>
      <w:marTop w:val="0"/>
      <w:marBottom w:val="0"/>
      <w:divBdr>
        <w:top w:val="none" w:sz="0" w:space="0" w:color="auto"/>
        <w:left w:val="none" w:sz="0" w:space="0" w:color="auto"/>
        <w:bottom w:val="none" w:sz="0" w:space="0" w:color="auto"/>
        <w:right w:val="none" w:sz="0" w:space="0" w:color="auto"/>
      </w:divBdr>
    </w:div>
    <w:div w:id="1483308337">
      <w:bodyDiv w:val="1"/>
      <w:marLeft w:val="0"/>
      <w:marRight w:val="0"/>
      <w:marTop w:val="0"/>
      <w:marBottom w:val="0"/>
      <w:divBdr>
        <w:top w:val="none" w:sz="0" w:space="0" w:color="auto"/>
        <w:left w:val="none" w:sz="0" w:space="0" w:color="auto"/>
        <w:bottom w:val="none" w:sz="0" w:space="0" w:color="auto"/>
        <w:right w:val="none" w:sz="0" w:space="0" w:color="auto"/>
      </w:divBdr>
      <w:divsChild>
        <w:div w:id="584653131">
          <w:marLeft w:val="360"/>
          <w:marRight w:val="0"/>
          <w:marTop w:val="200"/>
          <w:marBottom w:val="0"/>
          <w:divBdr>
            <w:top w:val="none" w:sz="0" w:space="0" w:color="auto"/>
            <w:left w:val="none" w:sz="0" w:space="0" w:color="auto"/>
            <w:bottom w:val="none" w:sz="0" w:space="0" w:color="auto"/>
            <w:right w:val="none" w:sz="0" w:space="0" w:color="auto"/>
          </w:divBdr>
        </w:div>
      </w:divsChild>
    </w:div>
    <w:div w:id="1626353127">
      <w:bodyDiv w:val="1"/>
      <w:marLeft w:val="0"/>
      <w:marRight w:val="0"/>
      <w:marTop w:val="0"/>
      <w:marBottom w:val="0"/>
      <w:divBdr>
        <w:top w:val="none" w:sz="0" w:space="0" w:color="auto"/>
        <w:left w:val="none" w:sz="0" w:space="0" w:color="auto"/>
        <w:bottom w:val="none" w:sz="0" w:space="0" w:color="auto"/>
        <w:right w:val="none" w:sz="0" w:space="0" w:color="auto"/>
      </w:divBdr>
    </w:div>
    <w:div w:id="1733500450">
      <w:bodyDiv w:val="1"/>
      <w:marLeft w:val="0"/>
      <w:marRight w:val="0"/>
      <w:marTop w:val="0"/>
      <w:marBottom w:val="0"/>
      <w:divBdr>
        <w:top w:val="none" w:sz="0" w:space="0" w:color="auto"/>
        <w:left w:val="none" w:sz="0" w:space="0" w:color="auto"/>
        <w:bottom w:val="none" w:sz="0" w:space="0" w:color="auto"/>
        <w:right w:val="none" w:sz="0" w:space="0" w:color="auto"/>
      </w:divBdr>
      <w:divsChild>
        <w:div w:id="1940915300">
          <w:marLeft w:val="360"/>
          <w:marRight w:val="0"/>
          <w:marTop w:val="200"/>
          <w:marBottom w:val="0"/>
          <w:divBdr>
            <w:top w:val="none" w:sz="0" w:space="0" w:color="auto"/>
            <w:left w:val="none" w:sz="0" w:space="0" w:color="auto"/>
            <w:bottom w:val="none" w:sz="0" w:space="0" w:color="auto"/>
            <w:right w:val="none" w:sz="0" w:space="0" w:color="auto"/>
          </w:divBdr>
        </w:div>
      </w:divsChild>
    </w:div>
    <w:div w:id="1995452684">
      <w:bodyDiv w:val="1"/>
      <w:marLeft w:val="0"/>
      <w:marRight w:val="0"/>
      <w:marTop w:val="0"/>
      <w:marBottom w:val="0"/>
      <w:divBdr>
        <w:top w:val="none" w:sz="0" w:space="0" w:color="auto"/>
        <w:left w:val="none" w:sz="0" w:space="0" w:color="auto"/>
        <w:bottom w:val="none" w:sz="0" w:space="0" w:color="auto"/>
        <w:right w:val="none" w:sz="0" w:space="0" w:color="auto"/>
      </w:divBdr>
    </w:div>
    <w:div w:id="2055275785">
      <w:bodyDiv w:val="1"/>
      <w:marLeft w:val="0"/>
      <w:marRight w:val="0"/>
      <w:marTop w:val="0"/>
      <w:marBottom w:val="0"/>
      <w:divBdr>
        <w:top w:val="none" w:sz="0" w:space="0" w:color="auto"/>
        <w:left w:val="none" w:sz="0" w:space="0" w:color="auto"/>
        <w:bottom w:val="none" w:sz="0" w:space="0" w:color="auto"/>
        <w:right w:val="none" w:sz="0" w:space="0" w:color="auto"/>
      </w:divBdr>
      <w:divsChild>
        <w:div w:id="965625084">
          <w:marLeft w:val="0"/>
          <w:marRight w:val="0"/>
          <w:marTop w:val="0"/>
          <w:marBottom w:val="0"/>
          <w:divBdr>
            <w:top w:val="none" w:sz="0" w:space="0" w:color="auto"/>
            <w:left w:val="none" w:sz="0" w:space="0" w:color="auto"/>
            <w:bottom w:val="none" w:sz="0" w:space="0" w:color="auto"/>
            <w:right w:val="none" w:sz="0" w:space="0" w:color="auto"/>
          </w:divBdr>
        </w:div>
      </w:divsChild>
    </w:div>
    <w:div w:id="2075810812">
      <w:bodyDiv w:val="1"/>
      <w:marLeft w:val="0"/>
      <w:marRight w:val="0"/>
      <w:marTop w:val="0"/>
      <w:marBottom w:val="0"/>
      <w:divBdr>
        <w:top w:val="none" w:sz="0" w:space="0" w:color="auto"/>
        <w:left w:val="none" w:sz="0" w:space="0" w:color="auto"/>
        <w:bottom w:val="none" w:sz="0" w:space="0" w:color="auto"/>
        <w:right w:val="none" w:sz="0" w:space="0" w:color="auto"/>
      </w:divBdr>
    </w:div>
    <w:div w:id="2088578018">
      <w:bodyDiv w:val="1"/>
      <w:marLeft w:val="0"/>
      <w:marRight w:val="0"/>
      <w:marTop w:val="0"/>
      <w:marBottom w:val="0"/>
      <w:divBdr>
        <w:top w:val="none" w:sz="0" w:space="0" w:color="auto"/>
        <w:left w:val="none" w:sz="0" w:space="0" w:color="auto"/>
        <w:bottom w:val="none" w:sz="0" w:space="0" w:color="auto"/>
        <w:right w:val="none" w:sz="0" w:space="0" w:color="auto"/>
      </w:divBdr>
    </w:div>
    <w:div w:id="213706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FE7ED-B9D0-4101-A9D3-008ACCB8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13964</Words>
  <Characters>80709</Characters>
  <Application>Microsoft Office Word</Application>
  <DocSecurity>0</DocSecurity>
  <Lines>672</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2020-02-17T22:47:00Z</dcterms:created>
  <dcterms:modified xsi:type="dcterms:W3CDTF">2020-02-21T05:42:00Z</dcterms:modified>
</cp:coreProperties>
</file>