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1F9" w:rsidRDefault="00DA31F9" w:rsidP="00DA31F9">
      <w:pPr>
        <w:autoSpaceDE w:val="0"/>
        <w:autoSpaceDN w:val="0"/>
        <w:adjustRightInd w:val="0"/>
        <w:jc w:val="both"/>
        <w:rPr>
          <w:rFonts w:cs="Calibri"/>
        </w:rPr>
      </w:pPr>
      <w:bookmarkStart w:id="0" w:name="_Toc380679747"/>
      <w:bookmarkStart w:id="1" w:name="_Toc380742604"/>
      <w:bookmarkStart w:id="2" w:name="_Toc380746171"/>
      <w:bookmarkStart w:id="3" w:name="_Toc380746294"/>
      <w:bookmarkStart w:id="4" w:name="_Toc380746578"/>
    </w:p>
    <w:p w:rsidR="003B61C2" w:rsidRPr="004B1FFC" w:rsidRDefault="003B61C2" w:rsidP="004B1FFC">
      <w:pPr>
        <w:pStyle w:val="1-MainHeading"/>
        <w:spacing w:before="0" w:after="0"/>
      </w:pPr>
      <w:r w:rsidRPr="007108BC">
        <w:t>7.05</w:t>
      </w:r>
      <w:r w:rsidRPr="007108BC">
        <w:tab/>
      </w:r>
      <w:r w:rsidR="00C52F5C" w:rsidRPr="00431AB9">
        <w:t xml:space="preserve">MULTICOMPONENT </w:t>
      </w:r>
      <w:r w:rsidR="00431AB9" w:rsidRPr="00431AB9">
        <w:t>MENINGOCOCCAL GROUP B VACCINE</w:t>
      </w:r>
      <w:r w:rsidRPr="00431AB9">
        <w:t xml:space="preserve">, </w:t>
      </w:r>
      <w:r w:rsidR="00C52F5C" w:rsidRPr="00431AB9">
        <w:br/>
        <w:t>Injection</w:t>
      </w:r>
      <w:r w:rsidRPr="00431AB9">
        <w:t xml:space="preserve"> 0.5</w:t>
      </w:r>
      <w:r w:rsidR="004B1FFC">
        <w:t xml:space="preserve"> </w:t>
      </w:r>
      <w:r w:rsidRPr="00431AB9">
        <w:t xml:space="preserve">mL, </w:t>
      </w:r>
      <w:r w:rsidR="00C52F5C" w:rsidRPr="00431AB9">
        <w:br/>
      </w:r>
      <w:r w:rsidRPr="00431AB9">
        <w:t>Bexsero</w:t>
      </w:r>
      <w:r w:rsidR="00C52F5C" w:rsidRPr="004B1FFC">
        <w:t>®,</w:t>
      </w:r>
      <w:r w:rsidRPr="004B1FFC">
        <w:t xml:space="preserve"> </w:t>
      </w:r>
      <w:r w:rsidR="00C52F5C" w:rsidRPr="004B1FFC">
        <w:br/>
      </w:r>
      <w:r w:rsidRPr="00431AB9">
        <w:t>GlaxoSmithKline Australia Pty Ltd.</w:t>
      </w:r>
    </w:p>
    <w:p w:rsidR="003B61C2" w:rsidRPr="005A1BBE" w:rsidRDefault="003B61C2" w:rsidP="005A1BBE">
      <w:pPr>
        <w:pStyle w:val="PBACHeading1"/>
      </w:pPr>
      <w:bookmarkStart w:id="5" w:name="_Toc19697617"/>
      <w:r w:rsidRPr="005A1BBE">
        <w:t>Purpose of Application</w:t>
      </w:r>
      <w:bookmarkEnd w:id="5"/>
    </w:p>
    <w:p w:rsidR="003B61C2" w:rsidRPr="007108BC" w:rsidRDefault="003B61C2" w:rsidP="00EB423F">
      <w:pPr>
        <w:pStyle w:val="bulletnumberedstyle"/>
      </w:pPr>
      <w:r w:rsidRPr="007108BC">
        <w:t xml:space="preserve">The resubmission requested listing on the National Immunisation Program (NIP) for multicomponent meningococcal </w:t>
      </w:r>
      <w:r w:rsidR="00483075" w:rsidRPr="007108BC">
        <w:t xml:space="preserve">group </w:t>
      </w:r>
      <w:r w:rsidRPr="007108BC">
        <w:t xml:space="preserve">B vaccine (4CMenB) for active immunisation against invasive meningococcal disease (IMD) caused by </w:t>
      </w:r>
      <w:r w:rsidR="00B959B0">
        <w:rPr>
          <w:i/>
        </w:rPr>
        <w:t>Neisseria</w:t>
      </w:r>
      <w:r w:rsidR="00FE1434">
        <w:rPr>
          <w:i/>
        </w:rPr>
        <w:t xml:space="preserve"> </w:t>
      </w:r>
      <w:r w:rsidRPr="007108BC">
        <w:rPr>
          <w:i/>
        </w:rPr>
        <w:t>meningitidis</w:t>
      </w:r>
      <w:r w:rsidRPr="007108BC">
        <w:t xml:space="preserve"> group B strains, in individuals from 2 month of age and older. Previous submissions for 4CMenB included a major submission in November 2013, major resubmission in July </w:t>
      </w:r>
      <w:r w:rsidR="00483075" w:rsidRPr="007108BC">
        <w:t>2</w:t>
      </w:r>
      <w:r w:rsidRPr="007108BC">
        <w:t xml:space="preserve">014 and a minor resubmission in July 2015. </w:t>
      </w:r>
    </w:p>
    <w:p w:rsidR="003B61C2" w:rsidRPr="007108BC" w:rsidRDefault="003B61C2" w:rsidP="00EB423F">
      <w:pPr>
        <w:pStyle w:val="bulletnumberedstyle"/>
      </w:pPr>
      <w:r w:rsidRPr="007108BC">
        <w:t xml:space="preserve">The resubmission requested a listing based on cost-effectiveness compared with no vaccine. The key components of the resubmission are presented in Table 1. </w:t>
      </w:r>
    </w:p>
    <w:p w:rsidR="003B61C2" w:rsidRPr="007108BC" w:rsidRDefault="003B61C2" w:rsidP="007108BC">
      <w:pPr>
        <w:keepNext/>
        <w:rPr>
          <w:rStyle w:val="CommentReference"/>
        </w:rPr>
      </w:pPr>
      <w:r w:rsidRPr="007108BC">
        <w:rPr>
          <w:rStyle w:val="CommentReference"/>
        </w:rPr>
        <w:t>Table 1:</w:t>
      </w:r>
      <w:r w:rsidR="00624D24">
        <w:rPr>
          <w:rStyle w:val="CommentReference"/>
        </w:rPr>
        <w:t xml:space="preserve"> </w:t>
      </w:r>
      <w:r w:rsidRPr="007108BC">
        <w:rPr>
          <w:rStyle w:val="CommentReference"/>
        </w:rPr>
        <w:t>Key components of the clinical issue addressed by the submission</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232"/>
        <w:gridCol w:w="7909"/>
      </w:tblGrid>
      <w:tr w:rsidR="005B14F1" w:rsidRPr="007108BC" w:rsidTr="00541F00">
        <w:trPr>
          <w:trHeight w:val="113"/>
        </w:trPr>
        <w:tc>
          <w:tcPr>
            <w:tcW w:w="1232" w:type="dxa"/>
            <w:shd w:val="clear" w:color="auto" w:fill="auto"/>
            <w:vAlign w:val="center"/>
          </w:tcPr>
          <w:p w:rsidR="005B14F1" w:rsidRPr="007108BC" w:rsidRDefault="005B14F1" w:rsidP="007108BC">
            <w:pPr>
              <w:pStyle w:val="Tabletext"/>
              <w:keepNext/>
              <w:jc w:val="both"/>
              <w:rPr>
                <w:b/>
              </w:rPr>
            </w:pPr>
            <w:r w:rsidRPr="007108BC">
              <w:rPr>
                <w:b/>
              </w:rPr>
              <w:t>Component</w:t>
            </w:r>
          </w:p>
        </w:tc>
        <w:tc>
          <w:tcPr>
            <w:tcW w:w="7909" w:type="dxa"/>
            <w:shd w:val="clear" w:color="auto" w:fill="auto"/>
            <w:vAlign w:val="center"/>
          </w:tcPr>
          <w:p w:rsidR="005B14F1" w:rsidRPr="007108BC" w:rsidRDefault="005B14F1" w:rsidP="007108BC">
            <w:pPr>
              <w:pStyle w:val="Tabletext"/>
              <w:keepNext/>
              <w:jc w:val="both"/>
              <w:rPr>
                <w:b/>
              </w:rPr>
            </w:pPr>
            <w:r w:rsidRPr="007108BC">
              <w:rPr>
                <w:b/>
              </w:rPr>
              <w:t>Description</w:t>
            </w:r>
          </w:p>
        </w:tc>
      </w:tr>
      <w:tr w:rsidR="005B14F1" w:rsidRPr="007108BC" w:rsidTr="00541F00">
        <w:trPr>
          <w:trHeight w:val="113"/>
        </w:trPr>
        <w:tc>
          <w:tcPr>
            <w:tcW w:w="1232" w:type="dxa"/>
            <w:shd w:val="clear" w:color="auto" w:fill="auto"/>
            <w:vAlign w:val="center"/>
          </w:tcPr>
          <w:p w:rsidR="005B14F1" w:rsidRPr="007108BC" w:rsidRDefault="005B14F1" w:rsidP="007108BC">
            <w:pPr>
              <w:pStyle w:val="Tabletext"/>
              <w:jc w:val="both"/>
            </w:pPr>
            <w:r w:rsidRPr="007108BC">
              <w:t>Population</w:t>
            </w:r>
          </w:p>
        </w:tc>
        <w:tc>
          <w:tcPr>
            <w:tcW w:w="7909" w:type="dxa"/>
            <w:shd w:val="clear" w:color="auto" w:fill="auto"/>
            <w:vAlign w:val="center"/>
          </w:tcPr>
          <w:p w:rsidR="005B14F1" w:rsidRPr="007108BC" w:rsidRDefault="005B14F1" w:rsidP="007108BC">
            <w:pPr>
              <w:pStyle w:val="Tabletext"/>
              <w:jc w:val="both"/>
            </w:pPr>
            <w:r w:rsidRPr="007108BC">
              <w:t xml:space="preserve">All infants/toddlers and adolescents for the prevention of IMD caused by </w:t>
            </w:r>
            <w:r w:rsidRPr="007108BC">
              <w:rPr>
                <w:i/>
              </w:rPr>
              <w:t>Neisseria meningitidis</w:t>
            </w:r>
            <w:r w:rsidRPr="007108BC">
              <w:t>.</w:t>
            </w:r>
          </w:p>
        </w:tc>
      </w:tr>
      <w:tr w:rsidR="005B14F1" w:rsidRPr="007108BC" w:rsidTr="00541F00">
        <w:trPr>
          <w:trHeight w:val="113"/>
        </w:trPr>
        <w:tc>
          <w:tcPr>
            <w:tcW w:w="1232" w:type="dxa"/>
            <w:shd w:val="clear" w:color="auto" w:fill="auto"/>
            <w:vAlign w:val="center"/>
          </w:tcPr>
          <w:p w:rsidR="005B14F1" w:rsidRPr="007108BC" w:rsidRDefault="005B14F1" w:rsidP="007108BC">
            <w:pPr>
              <w:pStyle w:val="Tabletext"/>
              <w:jc w:val="both"/>
            </w:pPr>
            <w:r w:rsidRPr="007108BC">
              <w:t>Intervention</w:t>
            </w:r>
          </w:p>
        </w:tc>
        <w:tc>
          <w:tcPr>
            <w:tcW w:w="7909" w:type="dxa"/>
            <w:shd w:val="clear" w:color="auto" w:fill="auto"/>
            <w:vAlign w:val="center"/>
          </w:tcPr>
          <w:p w:rsidR="005B14F1" w:rsidRPr="007108BC" w:rsidRDefault="005B14F1" w:rsidP="007108BC">
            <w:pPr>
              <w:pStyle w:val="Tabletext"/>
              <w:jc w:val="both"/>
            </w:pPr>
            <w:r w:rsidRPr="007108BC">
              <w:t>4CMenB vaccine suspension for injection 0.5mL pre-filled syringe. There are four vaccine antigens NHBA, NadA, fHbp and OMV.</w:t>
            </w:r>
          </w:p>
          <w:p w:rsidR="005B14F1" w:rsidRPr="007108BC" w:rsidRDefault="005B14F1" w:rsidP="007108BC">
            <w:pPr>
              <w:pStyle w:val="TableLeft"/>
              <w:jc w:val="both"/>
              <w:rPr>
                <w:szCs w:val="20"/>
              </w:rPr>
            </w:pPr>
            <w:r w:rsidRPr="007108BC">
              <w:rPr>
                <w:szCs w:val="20"/>
              </w:rPr>
              <w:t>The proposed additions to the NIP Schedule as follows:</w:t>
            </w:r>
          </w:p>
          <w:p w:rsidR="005B14F1" w:rsidRPr="007108BC" w:rsidRDefault="005B14F1" w:rsidP="007108BC">
            <w:pPr>
              <w:pStyle w:val="TableLeft"/>
              <w:jc w:val="both"/>
              <w:rPr>
                <w:szCs w:val="20"/>
              </w:rPr>
            </w:pPr>
            <w:r w:rsidRPr="007108BC">
              <w:rPr>
                <w:szCs w:val="20"/>
              </w:rPr>
              <w:t>Infants: routine doses at 2, 4 and 12 months (2 +1)</w:t>
            </w:r>
            <w:r w:rsidR="00483075" w:rsidRPr="007108BC">
              <w:rPr>
                <w:szCs w:val="20"/>
              </w:rPr>
              <w:t xml:space="preserve">. </w:t>
            </w:r>
          </w:p>
          <w:p w:rsidR="005B14F1" w:rsidRPr="007108BC" w:rsidRDefault="005B14F1" w:rsidP="007108BC">
            <w:pPr>
              <w:pStyle w:val="TableLeft"/>
              <w:jc w:val="both"/>
              <w:rPr>
                <w:szCs w:val="20"/>
              </w:rPr>
            </w:pPr>
            <w:r w:rsidRPr="007108BC">
              <w:rPr>
                <w:szCs w:val="20"/>
              </w:rPr>
              <w:t xml:space="preserve">Adolescents: routine vaccination in school year 10, two doses ≥ 8 weeks apart. </w:t>
            </w:r>
          </w:p>
          <w:p w:rsidR="005B14F1" w:rsidRPr="007108BC" w:rsidRDefault="005B14F1" w:rsidP="007108BC">
            <w:pPr>
              <w:pStyle w:val="TableLeft"/>
              <w:jc w:val="both"/>
              <w:rPr>
                <w:szCs w:val="20"/>
              </w:rPr>
            </w:pPr>
            <w:r w:rsidRPr="007108BC">
              <w:rPr>
                <w:szCs w:val="20"/>
                <w:u w:val="single"/>
              </w:rPr>
              <w:t>Catch-up schedule</w:t>
            </w:r>
            <w:r w:rsidRPr="007108BC" w:rsidDel="00FE1792">
              <w:rPr>
                <w:szCs w:val="20"/>
              </w:rPr>
              <w:t xml:space="preserve"> </w:t>
            </w:r>
          </w:p>
          <w:p w:rsidR="005B14F1" w:rsidRPr="007108BC" w:rsidRDefault="005B14F1" w:rsidP="007108BC">
            <w:pPr>
              <w:pStyle w:val="TableLeft"/>
              <w:jc w:val="both"/>
              <w:rPr>
                <w:szCs w:val="20"/>
              </w:rPr>
            </w:pPr>
            <w:r w:rsidRPr="007108BC">
              <w:rPr>
                <w:szCs w:val="20"/>
              </w:rPr>
              <w:t>Infants and toddlers: a catch-up program</w:t>
            </w:r>
            <w:r w:rsidR="00574164">
              <w:rPr>
                <w:szCs w:val="20"/>
              </w:rPr>
              <w:t xml:space="preserve"> aged</w:t>
            </w:r>
            <w:r w:rsidRPr="007108BC">
              <w:rPr>
                <w:szCs w:val="20"/>
              </w:rPr>
              <w:t xml:space="preserve"> &lt; 2 years.</w:t>
            </w:r>
          </w:p>
          <w:p w:rsidR="005B14F1" w:rsidRPr="007108BC" w:rsidRDefault="005B14F1" w:rsidP="007108BC">
            <w:pPr>
              <w:pStyle w:val="TableLeft"/>
              <w:jc w:val="both"/>
              <w:rPr>
                <w:rFonts w:eastAsia="Times New Roman" w:cs="Times New Roman"/>
                <w:lang w:bidi="ar-SA"/>
              </w:rPr>
            </w:pPr>
            <w:r w:rsidRPr="007108BC">
              <w:rPr>
                <w:rFonts w:eastAsia="Times New Roman" w:cs="Times New Roman"/>
                <w:lang w:bidi="ar-SA"/>
              </w:rPr>
              <w:t>Aboriginal and Torres Strait Islander: a catch-up program for children / adolescents aged &lt;</w:t>
            </w:r>
            <w:r w:rsidR="00FB35B2">
              <w:rPr>
                <w:rFonts w:eastAsia="Times New Roman" w:cs="Times New Roman"/>
                <w:lang w:bidi="ar-SA"/>
              </w:rPr>
              <w:t xml:space="preserve"> </w:t>
            </w:r>
            <w:r w:rsidRPr="007108BC">
              <w:rPr>
                <w:rFonts w:eastAsia="Times New Roman" w:cs="Times New Roman"/>
                <w:lang w:bidi="ar-SA"/>
              </w:rPr>
              <w:t>20 years.</w:t>
            </w:r>
          </w:p>
          <w:p w:rsidR="005B14F1" w:rsidRPr="007108BC" w:rsidRDefault="005B14F1" w:rsidP="007108BC">
            <w:pPr>
              <w:pStyle w:val="CommentText"/>
              <w:rPr>
                <w:i/>
              </w:rPr>
            </w:pPr>
            <w:r w:rsidRPr="007108BC">
              <w:rPr>
                <w:rFonts w:ascii="Arial Narrow" w:hAnsi="Arial Narrow"/>
              </w:rPr>
              <w:t>Medical high risk groups: age appropriate dosing for the population as defined by The Australian Immunisation Handbook</w:t>
            </w:r>
            <w:r w:rsidR="007108BC">
              <w:rPr>
                <w:rFonts w:ascii="Arial Narrow" w:hAnsi="Arial Narrow"/>
              </w:rPr>
              <w:t>.</w:t>
            </w:r>
          </w:p>
        </w:tc>
      </w:tr>
      <w:tr w:rsidR="005B14F1" w:rsidRPr="007108BC" w:rsidTr="00541F00">
        <w:trPr>
          <w:trHeight w:val="113"/>
        </w:trPr>
        <w:tc>
          <w:tcPr>
            <w:tcW w:w="1232" w:type="dxa"/>
            <w:shd w:val="clear" w:color="auto" w:fill="auto"/>
            <w:vAlign w:val="center"/>
          </w:tcPr>
          <w:p w:rsidR="005B14F1" w:rsidRPr="007108BC" w:rsidRDefault="005B14F1" w:rsidP="007108BC">
            <w:pPr>
              <w:pStyle w:val="Tabletext"/>
              <w:jc w:val="both"/>
            </w:pPr>
            <w:r w:rsidRPr="007108BC">
              <w:t>Comparator</w:t>
            </w:r>
          </w:p>
        </w:tc>
        <w:tc>
          <w:tcPr>
            <w:tcW w:w="7909" w:type="dxa"/>
            <w:shd w:val="clear" w:color="auto" w:fill="auto"/>
            <w:vAlign w:val="center"/>
          </w:tcPr>
          <w:p w:rsidR="005B14F1" w:rsidRPr="007108BC" w:rsidRDefault="005B14F1" w:rsidP="007108BC">
            <w:pPr>
              <w:pStyle w:val="Tabletext"/>
              <w:jc w:val="both"/>
              <w:rPr>
                <w:i/>
              </w:rPr>
            </w:pPr>
            <w:r w:rsidRPr="007108BC">
              <w:t xml:space="preserve">No vaccination. </w:t>
            </w:r>
          </w:p>
        </w:tc>
      </w:tr>
      <w:tr w:rsidR="005B14F1" w:rsidRPr="007108BC" w:rsidTr="00541F00">
        <w:trPr>
          <w:trHeight w:val="113"/>
        </w:trPr>
        <w:tc>
          <w:tcPr>
            <w:tcW w:w="1232" w:type="dxa"/>
            <w:shd w:val="clear" w:color="auto" w:fill="auto"/>
            <w:vAlign w:val="center"/>
          </w:tcPr>
          <w:p w:rsidR="005B14F1" w:rsidRPr="007108BC" w:rsidRDefault="005B14F1" w:rsidP="007108BC">
            <w:pPr>
              <w:pStyle w:val="Tabletext"/>
              <w:jc w:val="both"/>
            </w:pPr>
            <w:r w:rsidRPr="007108BC">
              <w:t>Outcomes</w:t>
            </w:r>
          </w:p>
        </w:tc>
        <w:tc>
          <w:tcPr>
            <w:tcW w:w="7909" w:type="dxa"/>
            <w:shd w:val="clear" w:color="auto" w:fill="auto"/>
            <w:vAlign w:val="center"/>
          </w:tcPr>
          <w:p w:rsidR="005B14F1" w:rsidRPr="007108BC" w:rsidRDefault="005B14F1" w:rsidP="007108BC">
            <w:pPr>
              <w:pStyle w:val="TableLeft"/>
              <w:jc w:val="both"/>
              <w:rPr>
                <w:szCs w:val="20"/>
              </w:rPr>
            </w:pPr>
            <w:r w:rsidRPr="007108BC">
              <w:rPr>
                <w:szCs w:val="20"/>
              </w:rPr>
              <w:t>Vaccine impact and vaccine effectiveness.</w:t>
            </w:r>
          </w:p>
          <w:p w:rsidR="005B14F1" w:rsidRPr="007108BC" w:rsidRDefault="005B14F1" w:rsidP="007108BC">
            <w:pPr>
              <w:pStyle w:val="TableLeft"/>
              <w:jc w:val="both"/>
              <w:rPr>
                <w:szCs w:val="20"/>
              </w:rPr>
            </w:pPr>
            <w:r w:rsidRPr="007108BC">
              <w:rPr>
                <w:szCs w:val="20"/>
              </w:rPr>
              <w:t>Reactivity and adverse events.</w:t>
            </w:r>
          </w:p>
          <w:p w:rsidR="005B14F1" w:rsidRPr="00D51D60" w:rsidRDefault="005B14F1" w:rsidP="007108BC">
            <w:pPr>
              <w:pStyle w:val="Tabletext"/>
              <w:jc w:val="both"/>
            </w:pPr>
            <w:r w:rsidRPr="007108BC">
              <w:t>Immunogenicity for persistence over longer-term follow-up.</w:t>
            </w:r>
            <w:r w:rsidRPr="00D51D60">
              <w:t xml:space="preserve"> </w:t>
            </w:r>
          </w:p>
          <w:p w:rsidR="005B14F1" w:rsidRPr="007108BC" w:rsidRDefault="005B14F1" w:rsidP="007108BC">
            <w:pPr>
              <w:pStyle w:val="Tabletext"/>
              <w:jc w:val="both"/>
            </w:pPr>
            <w:r w:rsidRPr="007108BC">
              <w:t xml:space="preserve">Cross-protection against gonorrhoea caused by related bacteria </w:t>
            </w:r>
            <w:r w:rsidR="007575EB" w:rsidRPr="007108BC">
              <w:rPr>
                <w:i/>
              </w:rPr>
              <w:t>N</w:t>
            </w:r>
            <w:r w:rsidR="007575EB">
              <w:rPr>
                <w:i/>
              </w:rPr>
              <w:t>eisseria</w:t>
            </w:r>
            <w:r w:rsidRPr="007108BC">
              <w:rPr>
                <w:i/>
              </w:rPr>
              <w:t xml:space="preserve"> gonorrhoea</w:t>
            </w:r>
            <w:r w:rsidRPr="007108BC">
              <w:t>.</w:t>
            </w:r>
          </w:p>
        </w:tc>
      </w:tr>
      <w:tr w:rsidR="005B14F1" w:rsidRPr="007108BC" w:rsidTr="00541F00">
        <w:trPr>
          <w:trHeight w:val="113"/>
        </w:trPr>
        <w:tc>
          <w:tcPr>
            <w:tcW w:w="1232" w:type="dxa"/>
            <w:shd w:val="clear" w:color="auto" w:fill="auto"/>
            <w:vAlign w:val="center"/>
          </w:tcPr>
          <w:p w:rsidR="005B14F1" w:rsidRPr="007108BC" w:rsidRDefault="005B14F1" w:rsidP="007108BC">
            <w:pPr>
              <w:pStyle w:val="Tabletext"/>
              <w:jc w:val="both"/>
            </w:pPr>
            <w:r w:rsidRPr="007108BC">
              <w:t>Clinical claim</w:t>
            </w:r>
          </w:p>
        </w:tc>
        <w:tc>
          <w:tcPr>
            <w:tcW w:w="7909" w:type="dxa"/>
            <w:shd w:val="clear" w:color="auto" w:fill="auto"/>
            <w:vAlign w:val="center"/>
          </w:tcPr>
          <w:p w:rsidR="005B14F1" w:rsidRPr="007108BC" w:rsidRDefault="005B14F1" w:rsidP="007108BC">
            <w:pPr>
              <w:pStyle w:val="Tabletext"/>
              <w:jc w:val="both"/>
            </w:pPr>
            <w:r w:rsidRPr="007108BC">
              <w:t>In infants, children and adolescents, 4CMenB is more effective than no Men B vaccination in preventing IMD.</w:t>
            </w:r>
          </w:p>
          <w:p w:rsidR="005B14F1" w:rsidRPr="007108BC" w:rsidRDefault="005B14F1" w:rsidP="00052446">
            <w:pPr>
              <w:pStyle w:val="Tabletext"/>
              <w:jc w:val="both"/>
              <w:rPr>
                <w:i/>
              </w:rPr>
            </w:pPr>
            <w:r w:rsidRPr="007108BC">
              <w:t>In adolescents, 4CMenB is more effective than no Men B vaccination in preventing gonorrhoea.</w:t>
            </w:r>
            <w:r w:rsidRPr="00D51D60">
              <w:t xml:space="preserve"> </w:t>
            </w:r>
          </w:p>
        </w:tc>
      </w:tr>
    </w:tbl>
    <w:p w:rsidR="003B61C2" w:rsidRDefault="003B61C2" w:rsidP="007108BC">
      <w:pPr>
        <w:pStyle w:val="TableFooter"/>
        <w:jc w:val="both"/>
      </w:pPr>
      <w:r w:rsidRPr="007108BC">
        <w:t xml:space="preserve">Abbreviations: 4CMenB= multicomponent meningococcal group B vaccine; ATAGI= Australian Technical Advisory Group on Immunisation; fHbp= factor H binding protein; IMD = invasive meningococcal disease; Men B= Meningococcal B; NadA= Neisseria Adhesin A; NHBA= Neisseria Heparin Binding Antigen; OMV= Outer Membrane Vesicles; </w:t>
      </w:r>
    </w:p>
    <w:p w:rsidR="003B61C2" w:rsidRPr="007108BC" w:rsidRDefault="003B61C2" w:rsidP="007108BC">
      <w:pPr>
        <w:pStyle w:val="TableFooter"/>
        <w:jc w:val="both"/>
      </w:pPr>
      <w:r w:rsidRPr="007108BC">
        <w:t>Source: Table 1.1, p.35 of the resubmission.</w:t>
      </w:r>
    </w:p>
    <w:p w:rsidR="003B61C2" w:rsidRPr="007108BC" w:rsidRDefault="003B61C2" w:rsidP="005A1BBE">
      <w:pPr>
        <w:pStyle w:val="PBACHeading1"/>
      </w:pPr>
      <w:bookmarkStart w:id="6" w:name="_Toc19697618"/>
      <w:r w:rsidRPr="007108BC">
        <w:lastRenderedPageBreak/>
        <w:t>Requested listing</w:t>
      </w:r>
      <w:bookmarkEnd w:id="6"/>
    </w:p>
    <w:p w:rsidR="003B61C2" w:rsidRPr="007108BC" w:rsidRDefault="003B61C2" w:rsidP="00EB423F">
      <w:pPr>
        <w:pStyle w:val="bulletnumberedstyle"/>
      </w:pPr>
      <w:r w:rsidRPr="007108BC">
        <w:t xml:space="preserve">The proposed </w:t>
      </w:r>
      <w:r w:rsidR="00DC7A6E" w:rsidRPr="007108BC">
        <w:t xml:space="preserve">listing </w:t>
      </w:r>
      <w:r w:rsidR="00BD208C">
        <w:t xml:space="preserve">was </w:t>
      </w:r>
      <w:r w:rsidRPr="007108BC">
        <w:t xml:space="preserve">consistent with ATAGI advice (ATAGI pre-submission advice, June 2019) and the </w:t>
      </w:r>
      <w:r w:rsidR="00DC7A6E" w:rsidRPr="007108BC">
        <w:t>product information (</w:t>
      </w:r>
      <w:r w:rsidRPr="007108BC">
        <w:t>PI</w:t>
      </w:r>
      <w:r w:rsidR="00DC7A6E" w:rsidRPr="007108BC">
        <w:t>)</w:t>
      </w:r>
      <w:r w:rsidRPr="007108BC">
        <w:t xml:space="preserve"> (4CMenB PI, p. 2). The requested restriction is summarised in Table 2. </w:t>
      </w:r>
    </w:p>
    <w:p w:rsidR="003B61C2" w:rsidRPr="007108BC" w:rsidRDefault="003B61C2" w:rsidP="007108BC">
      <w:pPr>
        <w:pStyle w:val="TableHeader"/>
        <w:keepNext/>
        <w:rPr>
          <w:rFonts w:ascii="Arial Narrow" w:hAnsi="Arial Narrow"/>
        </w:rPr>
      </w:pPr>
      <w:r w:rsidRPr="007108BC">
        <w:rPr>
          <w:rFonts w:ascii="Arial Narrow" w:hAnsi="Arial Narrow"/>
        </w:rPr>
        <w:t>Table 2: Essential elements of the requested listing</w:t>
      </w:r>
    </w:p>
    <w:tbl>
      <w:tblPr>
        <w:tblW w:w="9072" w:type="dxa"/>
        <w:tblBorders>
          <w:top w:val="single" w:sz="4" w:space="0" w:color="auto"/>
          <w:bottom w:val="single" w:sz="4" w:space="0" w:color="auto"/>
          <w:insideH w:val="single" w:sz="4" w:space="0" w:color="auto"/>
        </w:tblBorders>
        <w:tblLook w:val="04A0" w:firstRow="1" w:lastRow="0" w:firstColumn="1" w:lastColumn="0" w:noHBand="0" w:noVBand="1"/>
        <w:tblCaption w:val="Table 2: Essential elements of the requested listing"/>
      </w:tblPr>
      <w:tblGrid>
        <w:gridCol w:w="3549"/>
        <w:gridCol w:w="1388"/>
        <w:gridCol w:w="255"/>
        <w:gridCol w:w="1765"/>
        <w:gridCol w:w="2115"/>
      </w:tblGrid>
      <w:tr w:rsidR="003B61C2" w:rsidRPr="007108BC" w:rsidTr="009A0C6A">
        <w:tc>
          <w:tcPr>
            <w:tcW w:w="3085" w:type="dxa"/>
            <w:vAlign w:val="center"/>
          </w:tcPr>
          <w:p w:rsidR="003B61C2" w:rsidRPr="007108BC" w:rsidRDefault="003B61C2" w:rsidP="007108BC">
            <w:pPr>
              <w:pStyle w:val="Tabletext"/>
              <w:keepNext/>
              <w:rPr>
                <w:b/>
                <w:bCs/>
              </w:rPr>
            </w:pPr>
            <w:r w:rsidRPr="007108BC">
              <w:rPr>
                <w:b/>
              </w:rPr>
              <w:t>Name, restriction, manner of administration, form</w:t>
            </w:r>
          </w:p>
        </w:tc>
        <w:tc>
          <w:tcPr>
            <w:tcW w:w="1206" w:type="dxa"/>
            <w:vAlign w:val="center"/>
          </w:tcPr>
          <w:p w:rsidR="003B61C2" w:rsidRPr="007108BC" w:rsidRDefault="003B61C2" w:rsidP="007108BC">
            <w:pPr>
              <w:pStyle w:val="Tabletext"/>
              <w:keepNext/>
              <w:rPr>
                <w:b/>
                <w:bCs/>
              </w:rPr>
            </w:pPr>
          </w:p>
        </w:tc>
        <w:tc>
          <w:tcPr>
            <w:tcW w:w="0" w:type="auto"/>
            <w:vAlign w:val="center"/>
          </w:tcPr>
          <w:p w:rsidR="003B61C2" w:rsidRPr="007108BC" w:rsidRDefault="003B61C2" w:rsidP="007108BC">
            <w:pPr>
              <w:pStyle w:val="Tabletext"/>
              <w:keepNext/>
              <w:rPr>
                <w:b/>
                <w:bCs/>
              </w:rPr>
            </w:pPr>
          </w:p>
        </w:tc>
        <w:tc>
          <w:tcPr>
            <w:tcW w:w="1534" w:type="dxa"/>
            <w:vAlign w:val="center"/>
          </w:tcPr>
          <w:p w:rsidR="003B61C2" w:rsidRPr="007108BC" w:rsidRDefault="003B61C2" w:rsidP="007108BC">
            <w:pPr>
              <w:pStyle w:val="Tabletext"/>
              <w:keepNext/>
              <w:jc w:val="center"/>
              <w:rPr>
                <w:b/>
                <w:bCs/>
              </w:rPr>
            </w:pPr>
            <w:r w:rsidRPr="007108BC">
              <w:rPr>
                <w:b/>
              </w:rPr>
              <w:t>Nationally negotiated price</w:t>
            </w:r>
          </w:p>
        </w:tc>
        <w:tc>
          <w:tcPr>
            <w:tcW w:w="1838" w:type="dxa"/>
            <w:vAlign w:val="center"/>
          </w:tcPr>
          <w:p w:rsidR="003B61C2" w:rsidRPr="007108BC" w:rsidRDefault="003B61C2" w:rsidP="007108BC">
            <w:pPr>
              <w:pStyle w:val="Tabletext"/>
              <w:keepNext/>
              <w:rPr>
                <w:b/>
                <w:bCs/>
              </w:rPr>
            </w:pPr>
            <w:r w:rsidRPr="007108BC">
              <w:rPr>
                <w:b/>
              </w:rPr>
              <w:t>Proprietary name and manufacturer</w:t>
            </w:r>
          </w:p>
        </w:tc>
      </w:tr>
      <w:tr w:rsidR="003B61C2" w:rsidRPr="00D51D60" w:rsidTr="009A0C6A">
        <w:trPr>
          <w:trHeight w:val="357"/>
        </w:trPr>
        <w:tc>
          <w:tcPr>
            <w:tcW w:w="3085" w:type="dxa"/>
          </w:tcPr>
          <w:p w:rsidR="003B61C2" w:rsidRPr="00D51D60" w:rsidRDefault="003B61C2" w:rsidP="007108BC">
            <w:pPr>
              <w:pStyle w:val="Tabletext"/>
              <w:rPr>
                <w:bCs/>
              </w:rPr>
            </w:pPr>
            <w:r w:rsidRPr="00D51D60">
              <w:t xml:space="preserve">Multicomponent </w:t>
            </w:r>
            <w:r w:rsidR="00355F59" w:rsidRPr="00D51D60">
              <w:t>m</w:t>
            </w:r>
            <w:r w:rsidRPr="00D51D60">
              <w:t xml:space="preserve">eningococcal </w:t>
            </w:r>
            <w:r w:rsidR="00DC7A6E" w:rsidRPr="00D51D60">
              <w:t xml:space="preserve">group </w:t>
            </w:r>
            <w:r w:rsidRPr="00D51D60">
              <w:t xml:space="preserve">B </w:t>
            </w:r>
            <w:r w:rsidR="007108BC" w:rsidRPr="00D51D60">
              <w:t>v</w:t>
            </w:r>
            <w:r w:rsidRPr="00D51D60">
              <w:t>accine (4CMenB), 1 x 0.5 mL syringe</w:t>
            </w:r>
          </w:p>
        </w:tc>
        <w:tc>
          <w:tcPr>
            <w:tcW w:w="1206" w:type="dxa"/>
            <w:vAlign w:val="center"/>
          </w:tcPr>
          <w:p w:rsidR="003B61C2" w:rsidRPr="00D51D60" w:rsidRDefault="003B61C2" w:rsidP="007108BC">
            <w:pPr>
              <w:pStyle w:val="Tabletext"/>
              <w:jc w:val="center"/>
              <w:rPr>
                <w:rFonts w:ascii="Times" w:hAnsi="Times"/>
              </w:rPr>
            </w:pPr>
          </w:p>
        </w:tc>
        <w:tc>
          <w:tcPr>
            <w:tcW w:w="0" w:type="auto"/>
            <w:vAlign w:val="center"/>
          </w:tcPr>
          <w:p w:rsidR="003B61C2" w:rsidRPr="00D51D60" w:rsidRDefault="003B61C2" w:rsidP="007108BC">
            <w:pPr>
              <w:pStyle w:val="Tabletext"/>
              <w:jc w:val="center"/>
              <w:rPr>
                <w:rFonts w:ascii="Times" w:hAnsi="Times"/>
              </w:rPr>
            </w:pPr>
          </w:p>
        </w:tc>
        <w:tc>
          <w:tcPr>
            <w:tcW w:w="1534" w:type="dxa"/>
            <w:vAlign w:val="center"/>
          </w:tcPr>
          <w:p w:rsidR="003B61C2" w:rsidRPr="00D51D60" w:rsidRDefault="003B61C2" w:rsidP="007108BC">
            <w:pPr>
              <w:pStyle w:val="Tabletext"/>
              <w:jc w:val="center"/>
            </w:pPr>
            <w:r w:rsidRPr="00D51D60">
              <w:t>$</w:t>
            </w:r>
            <w:r w:rsidR="00BB196F">
              <w:rPr>
                <w:noProof/>
                <w:color w:val="000000"/>
                <w:highlight w:val="black"/>
              </w:rPr>
              <w:t>''''''</w:t>
            </w:r>
          </w:p>
        </w:tc>
        <w:tc>
          <w:tcPr>
            <w:tcW w:w="1838" w:type="dxa"/>
            <w:vAlign w:val="center"/>
          </w:tcPr>
          <w:p w:rsidR="003B61C2" w:rsidRPr="00D51D60" w:rsidRDefault="003B61C2" w:rsidP="007108BC">
            <w:pPr>
              <w:pStyle w:val="Tabletext"/>
              <w:rPr>
                <w:rFonts w:ascii="Times" w:hAnsi="Times"/>
              </w:rPr>
            </w:pPr>
            <w:r w:rsidRPr="00D51D60">
              <w:t>Bexsero®, GSK</w:t>
            </w:r>
          </w:p>
        </w:tc>
      </w:tr>
      <w:tr w:rsidR="003B61C2" w:rsidRPr="007108BC" w:rsidTr="009A0C6A">
        <w:trPr>
          <w:trHeight w:val="357"/>
        </w:trPr>
        <w:tc>
          <w:tcPr>
            <w:tcW w:w="9072" w:type="dxa"/>
            <w:gridSpan w:val="5"/>
          </w:tcPr>
          <w:p w:rsidR="003B61C2" w:rsidRPr="007108BC" w:rsidRDefault="003B61C2" w:rsidP="007108BC">
            <w:pPr>
              <w:pStyle w:val="Tabletext"/>
            </w:pPr>
            <w:r w:rsidRPr="007108BC">
              <w:t>National Immunisation Program</w:t>
            </w:r>
          </w:p>
          <w:p w:rsidR="003B61C2" w:rsidRPr="007108BC" w:rsidRDefault="003B61C2" w:rsidP="00B975BD">
            <w:pPr>
              <w:pStyle w:val="Tabletext"/>
              <w:numPr>
                <w:ilvl w:val="0"/>
                <w:numId w:val="5"/>
              </w:numPr>
            </w:pPr>
            <w:r w:rsidRPr="007108BC">
              <w:t>Two primary doses at 2 and 4 months and a booster dose at 12 months for infants aged 2 months</w:t>
            </w:r>
          </w:p>
          <w:p w:rsidR="003B61C2" w:rsidRPr="007108BC" w:rsidRDefault="003B61C2" w:rsidP="00B975BD">
            <w:pPr>
              <w:pStyle w:val="Tabletext"/>
              <w:numPr>
                <w:ilvl w:val="0"/>
                <w:numId w:val="5"/>
              </w:numPr>
            </w:pPr>
            <w:r w:rsidRPr="007108BC">
              <w:t>Two primary doses ≥ 1 month apart for adolescents aged 15 years (School Year 10)</w:t>
            </w:r>
          </w:p>
          <w:p w:rsidR="003B61C2" w:rsidRPr="007108BC" w:rsidRDefault="003B61C2" w:rsidP="00B975BD">
            <w:pPr>
              <w:pStyle w:val="Tabletext"/>
              <w:numPr>
                <w:ilvl w:val="0"/>
                <w:numId w:val="5"/>
              </w:numPr>
            </w:pPr>
            <w:r w:rsidRPr="007108BC">
              <w:t>Three primary doses at 2, 4 and 6 months with 8 weeks between doses and a booster at 12 months for infants with medical conditions</w:t>
            </w:r>
            <w:r w:rsidRPr="007108BC">
              <w:rPr>
                <w:vertAlign w:val="superscript"/>
              </w:rPr>
              <w:t>α</w:t>
            </w:r>
            <w:r w:rsidRPr="007108BC">
              <w:t xml:space="preserve"> known to increase risk of IMD</w:t>
            </w:r>
          </w:p>
        </w:tc>
      </w:tr>
    </w:tbl>
    <w:p w:rsidR="003B61C2" w:rsidRPr="007108BC" w:rsidRDefault="003B61C2" w:rsidP="007108BC">
      <w:pPr>
        <w:pStyle w:val="TableFooter"/>
        <w:jc w:val="both"/>
      </w:pPr>
      <w:r w:rsidRPr="007108BC">
        <w:t xml:space="preserve">Abbreviations: GSK= </w:t>
      </w:r>
      <w:r w:rsidR="00BD208C">
        <w:t>GlaxoSmithKline; 4CMenB= Multi</w:t>
      </w:r>
      <w:r w:rsidRPr="007108BC">
        <w:t xml:space="preserve">component Meningococcal B Vaccine; NIP= National Immunisation Program; </w:t>
      </w:r>
    </w:p>
    <w:p w:rsidR="003B61C2" w:rsidRPr="007108BC" w:rsidRDefault="003B61C2" w:rsidP="007108BC">
      <w:pPr>
        <w:pStyle w:val="TableFooter"/>
        <w:jc w:val="both"/>
      </w:pPr>
      <w:r w:rsidRPr="007108BC">
        <w:t xml:space="preserve">Note: </w:t>
      </w:r>
      <w:r w:rsidRPr="007108BC">
        <w:rPr>
          <w:vertAlign w:val="superscript"/>
        </w:rPr>
        <w:t>a</w:t>
      </w:r>
      <w:r w:rsidRPr="007108BC">
        <w:t>Includes those with a specified medical condition associated with increased risk of meningococcal disease, including inherited defects or deficiency of properdin or complement components, current or future treatment with eculizumab, functional or anatomical asplenia, HIV infection and haematopoietic stem cell transplant.</w:t>
      </w:r>
    </w:p>
    <w:p w:rsidR="003B61C2" w:rsidRPr="007108BC" w:rsidRDefault="003B61C2" w:rsidP="007108BC">
      <w:pPr>
        <w:pStyle w:val="TableFooter"/>
        <w:jc w:val="both"/>
      </w:pPr>
      <w:r w:rsidRPr="007108BC">
        <w:t xml:space="preserve">Source: p. 61 of the resubmission. </w:t>
      </w:r>
    </w:p>
    <w:p w:rsidR="003B61C2" w:rsidRPr="007108BC" w:rsidRDefault="003B61C2" w:rsidP="007108BC">
      <w:pPr>
        <w:pStyle w:val="TableFooter"/>
      </w:pPr>
    </w:p>
    <w:p w:rsidR="00E8011C" w:rsidRDefault="004409D3" w:rsidP="004409D3">
      <w:pPr>
        <w:pStyle w:val="bulletnumberedstyle"/>
      </w:pPr>
      <w:r>
        <w:t xml:space="preserve">In addition to the routine vaccination schedule </w:t>
      </w:r>
      <w:r w:rsidR="00105FDA">
        <w:t xml:space="preserve">included </w:t>
      </w:r>
      <w:r>
        <w:t xml:space="preserve">in Table 2, the resubmission proposed a time-limited catch-up for infants, toddlers (under 2 years of age), </w:t>
      </w:r>
      <w:r w:rsidRPr="00D51D60">
        <w:t>Aboriginal and Torres Strait Islander</w:t>
      </w:r>
      <w:r>
        <w:t xml:space="preserve"> people (under 20 years of age) and all people with</w:t>
      </w:r>
      <w:r w:rsidR="00105FDA">
        <w:t xml:space="preserve"> medical conditions known to increase the risk of IMD</w:t>
      </w:r>
      <w:r>
        <w:t xml:space="preserve"> (as defined by the Australian Immunisation Handbook). </w:t>
      </w:r>
    </w:p>
    <w:p w:rsidR="004409D3" w:rsidRDefault="00E8011C" w:rsidP="004409D3">
      <w:pPr>
        <w:pStyle w:val="bulletnumberedstyle"/>
      </w:pPr>
      <w:r>
        <w:t xml:space="preserve">The ATAGI considered the vaccination of people with high-risk conditions should be part of a routine, ongoing program rather than a time-limited catch-up program (ATAGI post-submission advice). Additionally, the vaccination of Aboriginal and Torres Strait Islander people should also be routine and ongoing but if this was not considered cost-effective, it may be appropriate to limit </w:t>
      </w:r>
      <w:r w:rsidR="004C6E47">
        <w:t xml:space="preserve">it to a catch-program of at least </w:t>
      </w:r>
      <w:r>
        <w:t xml:space="preserve">2 years duration. The ATAGI considered a catch-up program in adolescents would also be desirable </w:t>
      </w:r>
      <w:r w:rsidR="00574164">
        <w:t xml:space="preserve">(ATAGI post-submission advice) </w:t>
      </w:r>
      <w:r>
        <w:t>and the pre-PBAC response was supportive of this should the PBAC recommend implementation.</w:t>
      </w:r>
    </w:p>
    <w:p w:rsidR="003B61C2" w:rsidRPr="007108BC" w:rsidRDefault="003B61C2" w:rsidP="00EB423F">
      <w:pPr>
        <w:pStyle w:val="bulletnumberedstyle"/>
      </w:pPr>
      <w:r w:rsidRPr="007108BC">
        <w:t xml:space="preserve">Table 3 provides a summary of the requested prices and corresponding schedule costs in the previous and current (re)submission. </w:t>
      </w:r>
    </w:p>
    <w:p w:rsidR="003B61C2" w:rsidRPr="007108BC" w:rsidRDefault="003B61C2" w:rsidP="00025E74">
      <w:pPr>
        <w:keepNext/>
        <w:keepLines/>
        <w:rPr>
          <w:rFonts w:ascii="Arial Narrow" w:hAnsi="Arial Narrow"/>
          <w:b/>
          <w:sz w:val="20"/>
          <w:szCs w:val="20"/>
        </w:rPr>
      </w:pPr>
      <w:r w:rsidRPr="007108BC">
        <w:rPr>
          <w:rFonts w:ascii="Arial Narrow" w:hAnsi="Arial Narrow"/>
          <w:b/>
          <w:sz w:val="20"/>
          <w:szCs w:val="20"/>
        </w:rPr>
        <w:lastRenderedPageBreak/>
        <w:t>Table 3: Requested pricing from previous and current (re)submissions</w:t>
      </w: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3: Requested pricing from previous and current (re)submissions"/>
      </w:tblPr>
      <w:tblGrid>
        <w:gridCol w:w="901"/>
        <w:gridCol w:w="2053"/>
        <w:gridCol w:w="2054"/>
        <w:gridCol w:w="2052"/>
        <w:gridCol w:w="2054"/>
      </w:tblGrid>
      <w:tr w:rsidR="00776D3E" w:rsidRPr="00D51D60" w:rsidTr="004B0434">
        <w:trPr>
          <w:trHeight w:val="20"/>
          <w:tblHeader/>
        </w:trPr>
        <w:tc>
          <w:tcPr>
            <w:tcW w:w="494" w:type="pct"/>
            <w:shd w:val="clear" w:color="auto" w:fill="auto"/>
          </w:tcPr>
          <w:p w:rsidR="00776D3E" w:rsidRPr="00D51D60" w:rsidRDefault="00776D3E" w:rsidP="00025E74">
            <w:pPr>
              <w:keepNext/>
              <w:keepLines/>
              <w:rPr>
                <w:rFonts w:ascii="Arial Narrow" w:hAnsi="Arial Narrow"/>
                <w:sz w:val="20"/>
              </w:rPr>
            </w:pPr>
          </w:p>
        </w:tc>
        <w:tc>
          <w:tcPr>
            <w:tcW w:w="1126" w:type="pct"/>
            <w:shd w:val="clear" w:color="auto" w:fill="auto"/>
            <w:vAlign w:val="center"/>
          </w:tcPr>
          <w:p w:rsidR="00776D3E" w:rsidRPr="00AF65D2" w:rsidRDefault="00776D3E" w:rsidP="00025E74">
            <w:pPr>
              <w:keepNext/>
              <w:keepLines/>
              <w:jc w:val="center"/>
              <w:rPr>
                <w:rFonts w:ascii="Arial Narrow" w:hAnsi="Arial Narrow"/>
                <w:b/>
                <w:sz w:val="20"/>
              </w:rPr>
            </w:pPr>
            <w:r w:rsidRPr="00AF65D2">
              <w:rPr>
                <w:rFonts w:ascii="Arial Narrow" w:hAnsi="Arial Narrow"/>
                <w:b/>
                <w:sz w:val="20"/>
              </w:rPr>
              <w:t>November 2013</w:t>
            </w:r>
          </w:p>
          <w:p w:rsidR="00776D3E" w:rsidRPr="00AF65D2" w:rsidRDefault="00776D3E" w:rsidP="00025E74">
            <w:pPr>
              <w:keepNext/>
              <w:keepLines/>
              <w:jc w:val="center"/>
              <w:rPr>
                <w:rFonts w:ascii="Arial Narrow" w:hAnsi="Arial Narrow"/>
                <w:b/>
                <w:sz w:val="20"/>
              </w:rPr>
            </w:pPr>
            <w:r w:rsidRPr="00AF65D2">
              <w:rPr>
                <w:rFonts w:ascii="Arial Narrow" w:hAnsi="Arial Narrow"/>
                <w:b/>
                <w:sz w:val="20"/>
              </w:rPr>
              <w:t>major submission</w:t>
            </w:r>
          </w:p>
        </w:tc>
        <w:tc>
          <w:tcPr>
            <w:tcW w:w="1127" w:type="pct"/>
            <w:shd w:val="clear" w:color="auto" w:fill="auto"/>
            <w:vAlign w:val="center"/>
          </w:tcPr>
          <w:p w:rsidR="00776D3E" w:rsidRPr="00AF65D2" w:rsidRDefault="00776D3E" w:rsidP="00025E74">
            <w:pPr>
              <w:keepNext/>
              <w:keepLines/>
              <w:jc w:val="center"/>
              <w:rPr>
                <w:rFonts w:ascii="Arial Narrow" w:hAnsi="Arial Narrow"/>
                <w:b/>
                <w:sz w:val="20"/>
              </w:rPr>
            </w:pPr>
            <w:r w:rsidRPr="00AF65D2">
              <w:rPr>
                <w:rFonts w:ascii="Arial Narrow" w:hAnsi="Arial Narrow"/>
                <w:b/>
                <w:sz w:val="20"/>
              </w:rPr>
              <w:t>July 2014 major resubmission</w:t>
            </w:r>
          </w:p>
        </w:tc>
        <w:tc>
          <w:tcPr>
            <w:tcW w:w="1126" w:type="pct"/>
            <w:shd w:val="clear" w:color="auto" w:fill="auto"/>
            <w:vAlign w:val="center"/>
          </w:tcPr>
          <w:p w:rsidR="00776D3E" w:rsidRPr="00AF65D2" w:rsidRDefault="00776D3E" w:rsidP="00025E74">
            <w:pPr>
              <w:keepNext/>
              <w:keepLines/>
              <w:jc w:val="center"/>
              <w:rPr>
                <w:rFonts w:ascii="Arial Narrow" w:hAnsi="Arial Narrow"/>
                <w:b/>
                <w:sz w:val="20"/>
              </w:rPr>
            </w:pPr>
            <w:r w:rsidRPr="00AF65D2">
              <w:rPr>
                <w:rFonts w:ascii="Arial Narrow" w:hAnsi="Arial Narrow"/>
                <w:b/>
                <w:sz w:val="20"/>
              </w:rPr>
              <w:t>July 2015 minor resubmission</w:t>
            </w:r>
          </w:p>
        </w:tc>
        <w:tc>
          <w:tcPr>
            <w:tcW w:w="1127" w:type="pct"/>
            <w:shd w:val="clear" w:color="auto" w:fill="auto"/>
            <w:vAlign w:val="center"/>
          </w:tcPr>
          <w:p w:rsidR="00776D3E" w:rsidRPr="00AF65D2" w:rsidRDefault="00776D3E" w:rsidP="00025E74">
            <w:pPr>
              <w:keepNext/>
              <w:keepLines/>
              <w:jc w:val="center"/>
              <w:rPr>
                <w:rFonts w:ascii="Arial Narrow" w:hAnsi="Arial Narrow"/>
                <w:b/>
                <w:sz w:val="20"/>
              </w:rPr>
            </w:pPr>
            <w:r w:rsidRPr="00AF65D2">
              <w:rPr>
                <w:rFonts w:ascii="Arial Narrow" w:hAnsi="Arial Narrow"/>
                <w:b/>
                <w:sz w:val="20"/>
              </w:rPr>
              <w:t>Current major resubmission</w:t>
            </w:r>
          </w:p>
        </w:tc>
      </w:tr>
      <w:tr w:rsidR="00776D3E" w:rsidRPr="00D51D60" w:rsidTr="00355F59">
        <w:trPr>
          <w:trHeight w:val="20"/>
        </w:trPr>
        <w:tc>
          <w:tcPr>
            <w:tcW w:w="494" w:type="pct"/>
            <w:vAlign w:val="center"/>
          </w:tcPr>
          <w:p w:rsidR="00776D3E" w:rsidRPr="00D51D60" w:rsidRDefault="00776D3E" w:rsidP="00025E74">
            <w:pPr>
              <w:keepNext/>
              <w:keepLines/>
              <w:rPr>
                <w:rFonts w:ascii="Arial Narrow" w:hAnsi="Arial Narrow"/>
                <w:sz w:val="20"/>
              </w:rPr>
            </w:pPr>
            <w:r w:rsidRPr="00D51D60">
              <w:rPr>
                <w:rFonts w:ascii="Arial Narrow" w:hAnsi="Arial Narrow"/>
                <w:sz w:val="20"/>
              </w:rPr>
              <w:t>Requested NIP listing</w:t>
            </w:r>
          </w:p>
        </w:tc>
        <w:tc>
          <w:tcPr>
            <w:tcW w:w="1126" w:type="pct"/>
            <w:vAlign w:val="center"/>
          </w:tcPr>
          <w:p w:rsidR="00776D3E" w:rsidRPr="00D51D60" w:rsidRDefault="00776D3E" w:rsidP="00025E74">
            <w:pPr>
              <w:keepNext/>
              <w:keepLines/>
              <w:rPr>
                <w:rFonts w:ascii="Arial Narrow" w:hAnsi="Arial Narrow"/>
                <w:sz w:val="20"/>
              </w:rPr>
            </w:pPr>
            <w:r w:rsidRPr="00D51D60">
              <w:rPr>
                <w:rFonts w:ascii="Arial Narrow" w:hAnsi="Arial Narrow"/>
                <w:sz w:val="20"/>
              </w:rPr>
              <w:t xml:space="preserve">Prevention of Men B disease in infants and adolescents. </w:t>
            </w:r>
          </w:p>
        </w:tc>
        <w:tc>
          <w:tcPr>
            <w:tcW w:w="1127" w:type="pct"/>
            <w:vAlign w:val="center"/>
          </w:tcPr>
          <w:p w:rsidR="00776D3E" w:rsidRPr="00D51D60" w:rsidRDefault="00776D3E" w:rsidP="00025E74">
            <w:pPr>
              <w:keepNext/>
              <w:keepLines/>
              <w:rPr>
                <w:rFonts w:ascii="Arial Narrow" w:hAnsi="Arial Narrow"/>
                <w:sz w:val="20"/>
              </w:rPr>
            </w:pPr>
            <w:r w:rsidRPr="00D51D60">
              <w:rPr>
                <w:rFonts w:ascii="Arial Narrow" w:hAnsi="Arial Narrow"/>
                <w:color w:val="000000" w:themeColor="text1"/>
                <w:sz w:val="20"/>
              </w:rPr>
              <w:t>Unchanged.</w:t>
            </w:r>
          </w:p>
        </w:tc>
        <w:tc>
          <w:tcPr>
            <w:tcW w:w="1126" w:type="pct"/>
            <w:vAlign w:val="center"/>
          </w:tcPr>
          <w:p w:rsidR="00776D3E" w:rsidRPr="00D51D60" w:rsidRDefault="00776D3E" w:rsidP="00025E74">
            <w:pPr>
              <w:keepNext/>
              <w:keepLines/>
              <w:rPr>
                <w:rFonts w:ascii="Arial Narrow" w:hAnsi="Arial Narrow"/>
                <w:sz w:val="20"/>
              </w:rPr>
            </w:pPr>
            <w:r w:rsidRPr="00D51D60">
              <w:rPr>
                <w:rFonts w:ascii="Arial Narrow" w:hAnsi="Arial Narrow"/>
                <w:color w:val="000000" w:themeColor="text1"/>
                <w:sz w:val="20"/>
              </w:rPr>
              <w:t>Unchanged.</w:t>
            </w:r>
          </w:p>
        </w:tc>
        <w:tc>
          <w:tcPr>
            <w:tcW w:w="1127" w:type="pct"/>
            <w:shd w:val="clear" w:color="auto" w:fill="auto"/>
            <w:vAlign w:val="center"/>
          </w:tcPr>
          <w:p w:rsidR="00776D3E" w:rsidRPr="00D51D60" w:rsidRDefault="00776D3E" w:rsidP="00025E74">
            <w:pPr>
              <w:keepNext/>
              <w:keepLines/>
              <w:rPr>
                <w:rFonts w:ascii="Arial Narrow" w:hAnsi="Arial Narrow"/>
                <w:color w:val="000000" w:themeColor="text1"/>
                <w:sz w:val="20"/>
              </w:rPr>
            </w:pPr>
            <w:r w:rsidRPr="00D51D60">
              <w:rPr>
                <w:rFonts w:ascii="Arial Narrow" w:hAnsi="Arial Narrow"/>
                <w:color w:val="000000" w:themeColor="text1"/>
                <w:sz w:val="20"/>
              </w:rPr>
              <w:t>Addition of infants with medical conditions</w:t>
            </w:r>
            <w:r w:rsidRPr="00D51D60">
              <w:rPr>
                <w:rFonts w:ascii="Arial Narrow" w:hAnsi="Arial Narrow"/>
                <w:color w:val="000000" w:themeColor="text1"/>
                <w:sz w:val="20"/>
                <w:vertAlign w:val="superscript"/>
              </w:rPr>
              <w:t>b</w:t>
            </w:r>
            <w:r w:rsidRPr="00D51D60">
              <w:rPr>
                <w:rFonts w:ascii="Arial Narrow" w:hAnsi="Arial Narrow"/>
                <w:color w:val="000000" w:themeColor="text1"/>
                <w:sz w:val="20"/>
              </w:rPr>
              <w:t xml:space="preserve"> known to increase the risk of IMD. Addition of catch-up in </w:t>
            </w:r>
            <w:r w:rsidR="007713DA">
              <w:rPr>
                <w:rFonts w:ascii="Arial Narrow" w:hAnsi="Arial Narrow"/>
                <w:color w:val="000000" w:themeColor="text1"/>
                <w:sz w:val="20"/>
              </w:rPr>
              <w:t>Aboriginal and Torres Strait Islander</w:t>
            </w:r>
            <w:r w:rsidR="00624D24">
              <w:rPr>
                <w:rFonts w:ascii="Arial Narrow" w:hAnsi="Arial Narrow"/>
                <w:color w:val="000000" w:themeColor="text1"/>
                <w:sz w:val="20"/>
              </w:rPr>
              <w:t xml:space="preserve"> </w:t>
            </w:r>
            <w:r w:rsidRPr="00D51D60">
              <w:rPr>
                <w:rFonts w:ascii="Arial Narrow" w:hAnsi="Arial Narrow"/>
                <w:color w:val="000000" w:themeColor="text1"/>
                <w:sz w:val="20"/>
              </w:rPr>
              <w:t>people aged 2-19 y</w:t>
            </w:r>
            <w:r w:rsidR="00FE1434" w:rsidRPr="00D51D60">
              <w:rPr>
                <w:rFonts w:ascii="Arial Narrow" w:hAnsi="Arial Narrow"/>
                <w:color w:val="000000" w:themeColor="text1"/>
                <w:sz w:val="20"/>
              </w:rPr>
              <w:t>.</w:t>
            </w:r>
            <w:r w:rsidRPr="00D51D60">
              <w:rPr>
                <w:rFonts w:ascii="Arial Narrow" w:hAnsi="Arial Narrow"/>
                <w:color w:val="000000" w:themeColor="text1"/>
                <w:sz w:val="20"/>
              </w:rPr>
              <w:t xml:space="preserve">o. </w:t>
            </w:r>
          </w:p>
        </w:tc>
      </w:tr>
      <w:tr w:rsidR="00776D3E" w:rsidRPr="00D51D60" w:rsidTr="00355F59">
        <w:trPr>
          <w:trHeight w:val="965"/>
        </w:trPr>
        <w:tc>
          <w:tcPr>
            <w:tcW w:w="494" w:type="pct"/>
            <w:vMerge w:val="restart"/>
            <w:vAlign w:val="center"/>
          </w:tcPr>
          <w:p w:rsidR="00776D3E" w:rsidRPr="00D51D60" w:rsidRDefault="00776D3E" w:rsidP="00025E74">
            <w:pPr>
              <w:keepNext/>
              <w:keepLines/>
              <w:rPr>
                <w:rFonts w:ascii="Arial Narrow" w:hAnsi="Arial Narrow"/>
                <w:sz w:val="20"/>
              </w:rPr>
            </w:pPr>
            <w:r w:rsidRPr="00D51D60">
              <w:rPr>
                <w:rFonts w:ascii="Arial Narrow" w:hAnsi="Arial Narrow"/>
                <w:sz w:val="20"/>
              </w:rPr>
              <w:t>Requested price</w:t>
            </w:r>
          </w:p>
        </w:tc>
        <w:tc>
          <w:tcPr>
            <w:tcW w:w="1126" w:type="pct"/>
            <w:vAlign w:val="center"/>
          </w:tcPr>
          <w:p w:rsidR="00776D3E" w:rsidRPr="00D51D60" w:rsidRDefault="00776D3E" w:rsidP="00025E74">
            <w:pPr>
              <w:keepNext/>
              <w:keepLines/>
              <w:rPr>
                <w:rFonts w:ascii="Arial Narrow" w:hAnsi="Arial Narrow"/>
                <w:sz w:val="20"/>
              </w:rPr>
            </w:pPr>
            <w:r w:rsidRPr="00D51D60">
              <w:rPr>
                <w:rFonts w:ascii="Arial Narrow" w:hAnsi="Arial Narrow"/>
                <w:sz w:val="20"/>
              </w:rPr>
              <w:t>Proposed in submission:</w:t>
            </w:r>
          </w:p>
          <w:p w:rsidR="00776D3E" w:rsidRPr="00D51D60" w:rsidRDefault="00776D3E" w:rsidP="00025E74">
            <w:pPr>
              <w:keepNext/>
              <w:keepLines/>
              <w:rPr>
                <w:rFonts w:ascii="Arial Narrow" w:hAnsi="Arial Narrow"/>
                <w:sz w:val="20"/>
              </w:rPr>
            </w:pPr>
            <w:r w:rsidRPr="00D51D60">
              <w:rPr>
                <w:rFonts w:ascii="Arial Narrow" w:hAnsi="Arial Narrow"/>
                <w:sz w:val="20"/>
              </w:rPr>
              <w:t>$</w:t>
            </w:r>
            <w:r w:rsidR="00BB196F">
              <w:rPr>
                <w:rFonts w:ascii="Arial Narrow" w:hAnsi="Arial Narrow"/>
                <w:noProof/>
                <w:color w:val="000000"/>
                <w:sz w:val="20"/>
                <w:highlight w:val="black"/>
              </w:rPr>
              <w:t>'''''''</w:t>
            </w:r>
            <w:r w:rsidRPr="00D51D60">
              <w:rPr>
                <w:rFonts w:ascii="Arial Narrow" w:hAnsi="Arial Narrow"/>
                <w:sz w:val="20"/>
              </w:rPr>
              <w:t xml:space="preserve"> per dose, plus </w:t>
            </w:r>
            <w:r w:rsidR="00BB196F">
              <w:rPr>
                <w:rFonts w:ascii="Arial Narrow" w:hAnsi="Arial Narrow"/>
                <w:noProof/>
                <w:color w:val="000000"/>
                <w:sz w:val="20"/>
                <w:highlight w:val="black"/>
              </w:rPr>
              <w:t>'''''</w:t>
            </w:r>
            <w:r w:rsidRPr="00D51D60">
              <w:rPr>
                <w:rFonts w:ascii="Arial Narrow" w:hAnsi="Arial Narrow"/>
                <w:sz w:val="20"/>
              </w:rPr>
              <w:t>% discount in the catch-up program.</w:t>
            </w:r>
          </w:p>
        </w:tc>
        <w:tc>
          <w:tcPr>
            <w:tcW w:w="1127" w:type="pct"/>
            <w:vAlign w:val="center"/>
          </w:tcPr>
          <w:p w:rsidR="00776D3E" w:rsidRPr="00D51D60" w:rsidRDefault="00776D3E" w:rsidP="00025E74">
            <w:pPr>
              <w:keepNext/>
              <w:keepLines/>
              <w:rPr>
                <w:rFonts w:ascii="Arial Narrow" w:hAnsi="Arial Narrow"/>
                <w:sz w:val="20"/>
              </w:rPr>
            </w:pPr>
            <w:r w:rsidRPr="00D51D60">
              <w:rPr>
                <w:rFonts w:ascii="Arial Narrow" w:hAnsi="Arial Narrow"/>
                <w:sz w:val="20"/>
              </w:rPr>
              <w:t>Proposed in submission:</w:t>
            </w:r>
          </w:p>
          <w:p w:rsidR="00776D3E" w:rsidRPr="00D51D60" w:rsidRDefault="00776D3E" w:rsidP="00025E74">
            <w:pPr>
              <w:keepNext/>
              <w:keepLines/>
              <w:rPr>
                <w:rFonts w:ascii="Arial Narrow" w:hAnsi="Arial Narrow"/>
                <w:sz w:val="20"/>
              </w:rPr>
            </w:pPr>
            <w:r w:rsidRPr="00D51D60">
              <w:rPr>
                <w:rFonts w:ascii="Arial Narrow" w:hAnsi="Arial Narrow"/>
                <w:sz w:val="20"/>
              </w:rPr>
              <w:t>$</w:t>
            </w:r>
            <w:r w:rsidR="00BB196F">
              <w:rPr>
                <w:rFonts w:ascii="Arial Narrow" w:hAnsi="Arial Narrow"/>
                <w:noProof/>
                <w:color w:val="000000"/>
                <w:sz w:val="20"/>
                <w:highlight w:val="black"/>
              </w:rPr>
              <w:t>'''''</w:t>
            </w:r>
            <w:r w:rsidRPr="00D51D60">
              <w:rPr>
                <w:rFonts w:ascii="Arial Narrow" w:hAnsi="Arial Narrow"/>
                <w:sz w:val="20"/>
              </w:rPr>
              <w:t xml:space="preserve"> per dose, </w:t>
            </w:r>
            <w:r w:rsidRPr="00376F60">
              <w:rPr>
                <w:rFonts w:ascii="Arial Narrow" w:hAnsi="Arial Narrow"/>
                <w:sz w:val="20"/>
              </w:rPr>
              <w:t xml:space="preserve">plus </w:t>
            </w:r>
            <w:r w:rsidR="00BB196F">
              <w:rPr>
                <w:rFonts w:ascii="Arial Narrow" w:hAnsi="Arial Narrow"/>
                <w:noProof/>
                <w:color w:val="000000"/>
                <w:sz w:val="20"/>
                <w:highlight w:val="black"/>
              </w:rPr>
              <w:t>''''''</w:t>
            </w:r>
            <w:r w:rsidR="00376F60" w:rsidRPr="00376F60">
              <w:rPr>
                <w:rFonts w:ascii="Arial Narrow" w:hAnsi="Arial Narrow"/>
                <w:sz w:val="20"/>
              </w:rPr>
              <w:t xml:space="preserve">% </w:t>
            </w:r>
            <w:r w:rsidRPr="00D51D60">
              <w:rPr>
                <w:rFonts w:ascii="Arial Narrow" w:hAnsi="Arial Narrow"/>
                <w:sz w:val="20"/>
              </w:rPr>
              <w:t xml:space="preserve"> discount in the catch-up program. </w:t>
            </w:r>
          </w:p>
        </w:tc>
        <w:tc>
          <w:tcPr>
            <w:tcW w:w="1126" w:type="pct"/>
            <w:vMerge w:val="restart"/>
            <w:vAlign w:val="center"/>
          </w:tcPr>
          <w:p w:rsidR="00776D3E" w:rsidRPr="00D51D60" w:rsidRDefault="00776D3E" w:rsidP="00025E74">
            <w:pPr>
              <w:keepNext/>
              <w:keepLines/>
              <w:rPr>
                <w:rFonts w:ascii="Arial Narrow" w:hAnsi="Arial Narrow"/>
                <w:sz w:val="20"/>
              </w:rPr>
            </w:pPr>
            <w:r w:rsidRPr="00D51D60">
              <w:rPr>
                <w:rFonts w:ascii="Arial Narrow" w:hAnsi="Arial Narrow"/>
                <w:sz w:val="20"/>
              </w:rPr>
              <w:t>$</w:t>
            </w:r>
            <w:r w:rsidR="00BB196F">
              <w:rPr>
                <w:rFonts w:ascii="Arial Narrow" w:hAnsi="Arial Narrow"/>
                <w:noProof/>
                <w:color w:val="000000"/>
                <w:sz w:val="20"/>
                <w:highlight w:val="black"/>
              </w:rPr>
              <w:t>''''''</w:t>
            </w:r>
            <w:r w:rsidRPr="00D51D60">
              <w:rPr>
                <w:rFonts w:ascii="Arial Narrow" w:hAnsi="Arial Narrow"/>
                <w:sz w:val="20"/>
              </w:rPr>
              <w:t xml:space="preserve"> per dose, plus free vaccine to half of the adolescent catch-up cohort for program 5</w:t>
            </w:r>
            <w:r w:rsidRPr="00D51D60">
              <w:rPr>
                <w:rFonts w:ascii="Arial Narrow" w:hAnsi="Arial Narrow"/>
                <w:sz w:val="20"/>
                <w:vertAlign w:val="superscript"/>
              </w:rPr>
              <w:t>a</w:t>
            </w:r>
            <w:r w:rsidRPr="00D51D60">
              <w:rPr>
                <w:rFonts w:ascii="Arial Narrow" w:hAnsi="Arial Narrow"/>
                <w:sz w:val="20"/>
              </w:rPr>
              <w:t>.</w:t>
            </w:r>
          </w:p>
        </w:tc>
        <w:tc>
          <w:tcPr>
            <w:tcW w:w="1127" w:type="pct"/>
            <w:vMerge w:val="restart"/>
            <w:shd w:val="clear" w:color="auto" w:fill="auto"/>
            <w:vAlign w:val="center"/>
          </w:tcPr>
          <w:p w:rsidR="00776D3E" w:rsidRPr="00D51D60" w:rsidRDefault="00776D3E" w:rsidP="00025E74">
            <w:pPr>
              <w:keepNext/>
              <w:keepLines/>
              <w:rPr>
                <w:rFonts w:ascii="Arial Narrow" w:hAnsi="Arial Narrow"/>
                <w:sz w:val="20"/>
              </w:rPr>
            </w:pPr>
            <w:r w:rsidRPr="00D51D60">
              <w:rPr>
                <w:rFonts w:ascii="Arial Narrow" w:hAnsi="Arial Narrow"/>
                <w:sz w:val="20"/>
              </w:rPr>
              <w:t>$</w:t>
            </w:r>
            <w:r w:rsidR="00BB196F">
              <w:rPr>
                <w:rFonts w:ascii="Arial Narrow" w:hAnsi="Arial Narrow"/>
                <w:noProof/>
                <w:color w:val="000000"/>
                <w:sz w:val="20"/>
                <w:highlight w:val="black"/>
              </w:rPr>
              <w:t>'''''''</w:t>
            </w:r>
            <w:r w:rsidRPr="00D51D60">
              <w:rPr>
                <w:rFonts w:ascii="Arial Narrow" w:hAnsi="Arial Narrow"/>
                <w:sz w:val="20"/>
              </w:rPr>
              <w:t xml:space="preserve"> per dose.</w:t>
            </w:r>
            <w:r w:rsidRPr="00D51D60">
              <w:rPr>
                <w:rFonts w:ascii="Arial Narrow" w:hAnsi="Arial Narrow"/>
                <w:color w:val="000000" w:themeColor="text1"/>
                <w:sz w:val="20"/>
              </w:rPr>
              <w:t xml:space="preserve"> No adolescent catch-up program.</w:t>
            </w:r>
          </w:p>
        </w:tc>
      </w:tr>
      <w:tr w:rsidR="00776D3E" w:rsidRPr="007108BC" w:rsidTr="00355F59">
        <w:trPr>
          <w:trHeight w:val="1722"/>
        </w:trPr>
        <w:tc>
          <w:tcPr>
            <w:tcW w:w="494" w:type="pct"/>
            <w:vMerge/>
            <w:vAlign w:val="center"/>
          </w:tcPr>
          <w:p w:rsidR="00776D3E" w:rsidRPr="007108BC" w:rsidRDefault="00776D3E" w:rsidP="00025E74">
            <w:pPr>
              <w:keepNext/>
              <w:keepLines/>
              <w:rPr>
                <w:rFonts w:ascii="Arial Narrow" w:hAnsi="Arial Narrow"/>
                <w:sz w:val="20"/>
              </w:rPr>
            </w:pPr>
          </w:p>
        </w:tc>
        <w:tc>
          <w:tcPr>
            <w:tcW w:w="1126" w:type="pct"/>
            <w:vAlign w:val="center"/>
          </w:tcPr>
          <w:p w:rsidR="00776D3E" w:rsidRPr="007108BC" w:rsidRDefault="00776D3E" w:rsidP="00025E74">
            <w:pPr>
              <w:keepNext/>
              <w:keepLines/>
              <w:rPr>
                <w:rFonts w:ascii="Arial Narrow" w:hAnsi="Arial Narrow"/>
                <w:sz w:val="20"/>
              </w:rPr>
            </w:pPr>
            <w:r w:rsidRPr="007108BC">
              <w:rPr>
                <w:rFonts w:ascii="Arial Narrow" w:hAnsi="Arial Narrow"/>
                <w:sz w:val="20"/>
              </w:rPr>
              <w:t>Considered at PBAC meeting:</w:t>
            </w:r>
          </w:p>
          <w:p w:rsidR="00776D3E" w:rsidRPr="007108BC" w:rsidRDefault="00776D3E" w:rsidP="00025E74">
            <w:pPr>
              <w:keepNext/>
              <w:keepLines/>
              <w:rPr>
                <w:rFonts w:ascii="Arial Narrow" w:hAnsi="Arial Narrow"/>
                <w:sz w:val="20"/>
              </w:rPr>
            </w:pPr>
            <w:r w:rsidRPr="007108BC">
              <w:rPr>
                <w:rFonts w:ascii="Arial Narrow" w:hAnsi="Arial Narrow"/>
                <w:sz w:val="20"/>
              </w:rPr>
              <w:t>$</w:t>
            </w:r>
            <w:r w:rsidR="00BB196F">
              <w:rPr>
                <w:rFonts w:ascii="Arial Narrow" w:hAnsi="Arial Narrow"/>
                <w:noProof/>
                <w:color w:val="000000"/>
                <w:sz w:val="20"/>
                <w:highlight w:val="black"/>
              </w:rPr>
              <w:t>''''''</w:t>
            </w:r>
            <w:r w:rsidRPr="007108BC">
              <w:rPr>
                <w:rFonts w:ascii="Arial Narrow" w:hAnsi="Arial Narrow"/>
                <w:sz w:val="20"/>
              </w:rPr>
              <w:t xml:space="preserve"> per dose</w:t>
            </w:r>
          </w:p>
        </w:tc>
        <w:tc>
          <w:tcPr>
            <w:tcW w:w="1127" w:type="pct"/>
            <w:vAlign w:val="center"/>
          </w:tcPr>
          <w:p w:rsidR="00776D3E" w:rsidRPr="00D51D60" w:rsidRDefault="00776D3E" w:rsidP="00025E74">
            <w:pPr>
              <w:keepNext/>
              <w:keepLines/>
              <w:rPr>
                <w:rFonts w:ascii="Arial Narrow" w:hAnsi="Arial Narrow"/>
                <w:sz w:val="20"/>
              </w:rPr>
            </w:pPr>
            <w:r w:rsidRPr="007108BC">
              <w:rPr>
                <w:rFonts w:ascii="Arial Narrow" w:hAnsi="Arial Narrow"/>
                <w:sz w:val="20"/>
              </w:rPr>
              <w:t>Considered at PBAC meeting</w:t>
            </w:r>
            <w:r w:rsidRPr="00D51D60">
              <w:rPr>
                <w:rFonts w:ascii="Arial Narrow" w:hAnsi="Arial Narrow"/>
                <w:sz w:val="20"/>
              </w:rPr>
              <w:t>:</w:t>
            </w:r>
          </w:p>
          <w:p w:rsidR="00776D3E" w:rsidRPr="007108BC" w:rsidRDefault="00776D3E" w:rsidP="00025E74">
            <w:pPr>
              <w:keepNext/>
              <w:keepLines/>
              <w:rPr>
                <w:rFonts w:ascii="Arial Narrow" w:hAnsi="Arial Narrow"/>
                <w:sz w:val="20"/>
              </w:rPr>
            </w:pPr>
            <w:r w:rsidRPr="007108BC">
              <w:rPr>
                <w:rFonts w:ascii="Arial Narrow" w:hAnsi="Arial Narrow"/>
                <w:sz w:val="20"/>
              </w:rPr>
              <w:t>$</w:t>
            </w:r>
            <w:r w:rsidR="00BB196F">
              <w:rPr>
                <w:rFonts w:ascii="Arial Narrow" w:hAnsi="Arial Narrow"/>
                <w:noProof/>
                <w:color w:val="000000"/>
                <w:sz w:val="20"/>
                <w:highlight w:val="black"/>
              </w:rPr>
              <w:t xml:space="preserve">'''''' </w:t>
            </w:r>
            <w:r w:rsidRPr="007108BC">
              <w:rPr>
                <w:rFonts w:ascii="Arial Narrow" w:hAnsi="Arial Narrow"/>
                <w:sz w:val="20"/>
              </w:rPr>
              <w:t xml:space="preserve">per dose, plus </w:t>
            </w:r>
            <w:r w:rsidR="00BB196F">
              <w:rPr>
                <w:rFonts w:ascii="Arial Narrow" w:hAnsi="Arial Narrow"/>
                <w:noProof/>
                <w:color w:val="000000"/>
                <w:sz w:val="20"/>
                <w:highlight w:val="black"/>
              </w:rPr>
              <w:t>''''''</w:t>
            </w:r>
            <w:r w:rsidRPr="007108BC">
              <w:rPr>
                <w:rFonts w:ascii="Arial Narrow" w:hAnsi="Arial Narrow"/>
                <w:sz w:val="20"/>
              </w:rPr>
              <w:t>% discount in the catch-up program, plus free vaccine to half of the adolescent catch-up cohort.</w:t>
            </w:r>
          </w:p>
        </w:tc>
        <w:tc>
          <w:tcPr>
            <w:tcW w:w="1126" w:type="pct"/>
            <w:vMerge/>
            <w:vAlign w:val="center"/>
          </w:tcPr>
          <w:p w:rsidR="00776D3E" w:rsidRPr="007108BC" w:rsidRDefault="00776D3E" w:rsidP="00025E74">
            <w:pPr>
              <w:keepNext/>
              <w:keepLines/>
              <w:rPr>
                <w:rFonts w:ascii="Arial Narrow" w:hAnsi="Arial Narrow"/>
                <w:sz w:val="20"/>
              </w:rPr>
            </w:pPr>
          </w:p>
        </w:tc>
        <w:tc>
          <w:tcPr>
            <w:tcW w:w="1127" w:type="pct"/>
            <w:vMerge/>
            <w:shd w:val="clear" w:color="auto" w:fill="auto"/>
            <w:vAlign w:val="center"/>
          </w:tcPr>
          <w:p w:rsidR="00776D3E" w:rsidRPr="007108BC" w:rsidRDefault="00776D3E" w:rsidP="00025E74">
            <w:pPr>
              <w:keepNext/>
              <w:keepLines/>
              <w:rPr>
                <w:rFonts w:ascii="Arial Narrow" w:hAnsi="Arial Narrow"/>
                <w:i/>
                <w:sz w:val="20"/>
              </w:rPr>
            </w:pPr>
          </w:p>
        </w:tc>
      </w:tr>
      <w:tr w:rsidR="00776D3E" w:rsidRPr="007108BC" w:rsidTr="00355F59">
        <w:trPr>
          <w:trHeight w:val="1261"/>
        </w:trPr>
        <w:tc>
          <w:tcPr>
            <w:tcW w:w="494" w:type="pct"/>
            <w:vMerge w:val="restart"/>
            <w:vAlign w:val="center"/>
          </w:tcPr>
          <w:p w:rsidR="00776D3E" w:rsidRPr="007108BC" w:rsidRDefault="00776D3E" w:rsidP="00025E74">
            <w:pPr>
              <w:keepNext/>
              <w:keepLines/>
              <w:rPr>
                <w:rFonts w:ascii="Arial Narrow" w:hAnsi="Arial Narrow"/>
                <w:sz w:val="20"/>
              </w:rPr>
            </w:pPr>
            <w:r w:rsidRPr="007108BC">
              <w:rPr>
                <w:rFonts w:ascii="Arial Narrow" w:hAnsi="Arial Narrow"/>
                <w:sz w:val="20"/>
              </w:rPr>
              <w:t>Schedule cost</w:t>
            </w:r>
          </w:p>
        </w:tc>
        <w:tc>
          <w:tcPr>
            <w:tcW w:w="1126" w:type="pct"/>
            <w:vAlign w:val="center"/>
          </w:tcPr>
          <w:p w:rsidR="00776D3E" w:rsidRPr="007108BC" w:rsidRDefault="00776D3E" w:rsidP="00025E74">
            <w:pPr>
              <w:keepNext/>
              <w:keepLines/>
              <w:rPr>
                <w:rFonts w:ascii="Arial Narrow" w:hAnsi="Arial Narrow"/>
                <w:sz w:val="20"/>
              </w:rPr>
            </w:pPr>
            <w:r w:rsidRPr="007108BC">
              <w:rPr>
                <w:rFonts w:ascii="Arial Narrow" w:hAnsi="Arial Narrow"/>
                <w:sz w:val="20"/>
              </w:rPr>
              <w:t>Proposed in submission:</w:t>
            </w:r>
          </w:p>
          <w:p w:rsidR="00776D3E" w:rsidRPr="007108BC" w:rsidRDefault="00776D3E" w:rsidP="00025E74">
            <w:pPr>
              <w:pStyle w:val="Tabletext"/>
              <w:keepNext/>
              <w:keepLines/>
            </w:pPr>
            <w:r w:rsidRPr="007108BC">
              <w:t>Infant schedule (3+1): $</w:t>
            </w:r>
            <w:r w:rsidR="00BB196F">
              <w:rPr>
                <w:noProof/>
                <w:color w:val="000000"/>
                <w:highlight w:val="black"/>
              </w:rPr>
              <w:t>'''''''''</w:t>
            </w:r>
          </w:p>
          <w:p w:rsidR="00776D3E" w:rsidRPr="007108BC" w:rsidRDefault="00776D3E" w:rsidP="00025E74">
            <w:pPr>
              <w:pStyle w:val="Tabletext"/>
              <w:keepNext/>
              <w:keepLines/>
              <w:rPr>
                <w:i/>
              </w:rPr>
            </w:pPr>
            <w:r w:rsidRPr="00D51D60">
              <w:t>Adolescent schedule (2 doses): $</w:t>
            </w:r>
            <w:r w:rsidR="00BB196F">
              <w:rPr>
                <w:noProof/>
                <w:color w:val="000000"/>
                <w:highlight w:val="black"/>
              </w:rPr>
              <w:t>''''''''''</w:t>
            </w:r>
          </w:p>
        </w:tc>
        <w:tc>
          <w:tcPr>
            <w:tcW w:w="1127" w:type="pct"/>
            <w:vMerge w:val="restart"/>
            <w:vAlign w:val="center"/>
          </w:tcPr>
          <w:p w:rsidR="00776D3E" w:rsidRPr="00D51D60" w:rsidRDefault="00776D3E" w:rsidP="00025E74">
            <w:pPr>
              <w:pStyle w:val="Tabletext"/>
              <w:keepNext/>
              <w:keepLines/>
            </w:pPr>
            <w:r w:rsidRPr="00D51D60">
              <w:t>Infant schedule (3+1): $</w:t>
            </w:r>
            <w:r w:rsidR="00BB196F">
              <w:rPr>
                <w:noProof/>
                <w:color w:val="000000"/>
                <w:highlight w:val="black"/>
              </w:rPr>
              <w:t>'''''''''</w:t>
            </w:r>
          </w:p>
          <w:p w:rsidR="00776D3E" w:rsidRPr="00D51D60" w:rsidRDefault="00776D3E" w:rsidP="00025E74">
            <w:pPr>
              <w:pStyle w:val="Tabletext"/>
              <w:keepNext/>
              <w:keepLines/>
            </w:pPr>
            <w:r w:rsidRPr="00D51D60">
              <w:t>Adolescent schedule (2 doses): $</w:t>
            </w:r>
            <w:r w:rsidR="00BB196F">
              <w:rPr>
                <w:noProof/>
                <w:color w:val="000000"/>
                <w:highlight w:val="black"/>
              </w:rPr>
              <w:t>'''''</w:t>
            </w:r>
          </w:p>
          <w:p w:rsidR="00776D3E" w:rsidRPr="007108BC" w:rsidRDefault="00776D3E" w:rsidP="00025E74">
            <w:pPr>
              <w:keepNext/>
              <w:keepLines/>
              <w:rPr>
                <w:rFonts w:ascii="Arial Narrow" w:hAnsi="Arial Narrow"/>
                <w:sz w:val="20"/>
              </w:rPr>
            </w:pPr>
          </w:p>
        </w:tc>
        <w:tc>
          <w:tcPr>
            <w:tcW w:w="1126" w:type="pct"/>
            <w:vMerge w:val="restart"/>
            <w:vAlign w:val="center"/>
          </w:tcPr>
          <w:p w:rsidR="00776D3E" w:rsidRPr="007108BC" w:rsidRDefault="00776D3E" w:rsidP="00025E74">
            <w:pPr>
              <w:pStyle w:val="Tabletext"/>
              <w:keepNext/>
              <w:keepLines/>
            </w:pPr>
            <w:r w:rsidRPr="007108BC">
              <w:t>Infant schedule (3+1): $</w:t>
            </w:r>
            <w:r w:rsidR="00BB196F">
              <w:rPr>
                <w:noProof/>
                <w:color w:val="000000"/>
                <w:highlight w:val="black"/>
              </w:rPr>
              <w:t>''''''''''</w:t>
            </w:r>
          </w:p>
          <w:p w:rsidR="00776D3E" w:rsidRPr="00D51D60" w:rsidRDefault="00776D3E" w:rsidP="00025E74">
            <w:pPr>
              <w:pStyle w:val="Tabletext"/>
              <w:keepNext/>
              <w:keepLines/>
            </w:pPr>
            <w:r w:rsidRPr="00D51D60">
              <w:t>Adolescent schedule (2 doses): $</w:t>
            </w:r>
            <w:r w:rsidR="00BB196F">
              <w:rPr>
                <w:noProof/>
                <w:color w:val="000000"/>
                <w:highlight w:val="black"/>
              </w:rPr>
              <w:t>''''''</w:t>
            </w:r>
          </w:p>
          <w:p w:rsidR="00776D3E" w:rsidRPr="007108BC" w:rsidRDefault="00776D3E" w:rsidP="00025E74">
            <w:pPr>
              <w:pStyle w:val="Tabletext"/>
              <w:keepNext/>
              <w:keepLines/>
            </w:pPr>
            <w:r w:rsidRPr="007108BC">
              <w:t>Total infant and adolescent schedule: $</w:t>
            </w:r>
            <w:r w:rsidR="00BB196F">
              <w:rPr>
                <w:noProof/>
                <w:color w:val="000000"/>
                <w:highlight w:val="black"/>
              </w:rPr>
              <w:t>'''''''''</w:t>
            </w:r>
          </w:p>
        </w:tc>
        <w:tc>
          <w:tcPr>
            <w:tcW w:w="1127" w:type="pct"/>
            <w:vMerge w:val="restart"/>
            <w:shd w:val="clear" w:color="auto" w:fill="auto"/>
            <w:vAlign w:val="center"/>
          </w:tcPr>
          <w:p w:rsidR="00776D3E" w:rsidRPr="007108BC" w:rsidRDefault="00776D3E" w:rsidP="00025E74">
            <w:pPr>
              <w:pStyle w:val="Tabletext"/>
              <w:keepNext/>
              <w:keepLines/>
            </w:pPr>
            <w:r w:rsidRPr="007108BC">
              <w:t>Infants schedule (2+1): $</w:t>
            </w:r>
            <w:r w:rsidR="00BB196F">
              <w:rPr>
                <w:noProof/>
                <w:color w:val="000000"/>
                <w:highlight w:val="black"/>
              </w:rPr>
              <w:t>'''''''''</w:t>
            </w:r>
          </w:p>
          <w:p w:rsidR="00776D3E" w:rsidRPr="00D51D60" w:rsidRDefault="00776D3E" w:rsidP="00025E74">
            <w:pPr>
              <w:pStyle w:val="Tabletext"/>
              <w:keepNext/>
              <w:keepLines/>
            </w:pPr>
            <w:r w:rsidRPr="00D51D60">
              <w:t>Adolescent schedule (2 doses): $</w:t>
            </w:r>
            <w:r w:rsidR="00BB196F">
              <w:rPr>
                <w:noProof/>
                <w:color w:val="000000"/>
                <w:highlight w:val="black"/>
              </w:rPr>
              <w:t>''''''</w:t>
            </w:r>
          </w:p>
          <w:p w:rsidR="00776D3E" w:rsidRPr="007108BC" w:rsidRDefault="00776D3E" w:rsidP="00025E74">
            <w:pPr>
              <w:pStyle w:val="Tabletext"/>
              <w:keepNext/>
              <w:keepLines/>
            </w:pPr>
            <w:r w:rsidRPr="007108BC">
              <w:t>Total infant and adolescent schedule: $</w:t>
            </w:r>
            <w:r w:rsidR="00BB196F">
              <w:rPr>
                <w:noProof/>
                <w:color w:val="000000"/>
                <w:highlight w:val="black"/>
              </w:rPr>
              <w:t>'''''''''</w:t>
            </w:r>
          </w:p>
        </w:tc>
      </w:tr>
      <w:tr w:rsidR="00776D3E" w:rsidRPr="00D51D60" w:rsidTr="00355F59">
        <w:trPr>
          <w:trHeight w:val="1722"/>
        </w:trPr>
        <w:tc>
          <w:tcPr>
            <w:tcW w:w="494" w:type="pct"/>
            <w:vMerge/>
            <w:vAlign w:val="center"/>
          </w:tcPr>
          <w:p w:rsidR="00776D3E" w:rsidRPr="00D51D60" w:rsidRDefault="00776D3E" w:rsidP="00025E74">
            <w:pPr>
              <w:keepNext/>
              <w:keepLines/>
              <w:rPr>
                <w:rFonts w:ascii="Arial Narrow" w:hAnsi="Arial Narrow"/>
                <w:sz w:val="20"/>
              </w:rPr>
            </w:pPr>
          </w:p>
        </w:tc>
        <w:tc>
          <w:tcPr>
            <w:tcW w:w="1126" w:type="pct"/>
            <w:vAlign w:val="center"/>
          </w:tcPr>
          <w:p w:rsidR="00776D3E" w:rsidRPr="00D51D60" w:rsidRDefault="00776D3E" w:rsidP="00025E74">
            <w:pPr>
              <w:pStyle w:val="Tabletext"/>
              <w:keepNext/>
              <w:keepLines/>
            </w:pPr>
            <w:r w:rsidRPr="00D51D60">
              <w:t>Considered at PBAC meeting:</w:t>
            </w:r>
          </w:p>
          <w:p w:rsidR="00776D3E" w:rsidRPr="00D51D60" w:rsidRDefault="00776D3E" w:rsidP="00025E74">
            <w:pPr>
              <w:pStyle w:val="Tabletext"/>
              <w:keepNext/>
              <w:keepLines/>
            </w:pPr>
            <w:r w:rsidRPr="00D51D60">
              <w:t>Infant schedule (3+1): $</w:t>
            </w:r>
            <w:r w:rsidR="00BB196F">
              <w:rPr>
                <w:noProof/>
                <w:color w:val="000000"/>
                <w:highlight w:val="black"/>
              </w:rPr>
              <w:t>''''''''''</w:t>
            </w:r>
          </w:p>
          <w:p w:rsidR="00776D3E" w:rsidRPr="00D51D60" w:rsidRDefault="00776D3E" w:rsidP="00025E74">
            <w:pPr>
              <w:pStyle w:val="Tabletext"/>
              <w:keepNext/>
              <w:keepLines/>
            </w:pPr>
            <w:r w:rsidRPr="00D51D60">
              <w:t>Adolescent schedule (2 doses): $</w:t>
            </w:r>
            <w:r w:rsidR="00BB196F">
              <w:rPr>
                <w:noProof/>
                <w:color w:val="000000"/>
                <w:highlight w:val="black"/>
              </w:rPr>
              <w:t>'''''</w:t>
            </w:r>
          </w:p>
          <w:p w:rsidR="00776D3E" w:rsidRPr="00D51D60" w:rsidRDefault="00776D3E" w:rsidP="00025E74">
            <w:pPr>
              <w:keepNext/>
              <w:keepLines/>
              <w:rPr>
                <w:rFonts w:ascii="Arial Narrow" w:hAnsi="Arial Narrow"/>
                <w:sz w:val="20"/>
              </w:rPr>
            </w:pPr>
          </w:p>
        </w:tc>
        <w:tc>
          <w:tcPr>
            <w:tcW w:w="1127" w:type="pct"/>
            <w:vMerge/>
            <w:vAlign w:val="center"/>
          </w:tcPr>
          <w:p w:rsidR="00776D3E" w:rsidRPr="00D51D60" w:rsidRDefault="00776D3E" w:rsidP="00025E74">
            <w:pPr>
              <w:pStyle w:val="Tabletext"/>
              <w:keepNext/>
              <w:keepLines/>
            </w:pPr>
          </w:p>
        </w:tc>
        <w:tc>
          <w:tcPr>
            <w:tcW w:w="1126" w:type="pct"/>
            <w:vMerge/>
            <w:vAlign w:val="center"/>
          </w:tcPr>
          <w:p w:rsidR="00776D3E" w:rsidRPr="00D51D60" w:rsidRDefault="00776D3E" w:rsidP="00025E74">
            <w:pPr>
              <w:pStyle w:val="Tabletext"/>
              <w:keepNext/>
              <w:keepLines/>
            </w:pPr>
          </w:p>
        </w:tc>
        <w:tc>
          <w:tcPr>
            <w:tcW w:w="1127" w:type="pct"/>
            <w:vMerge/>
            <w:shd w:val="clear" w:color="auto" w:fill="auto"/>
            <w:vAlign w:val="center"/>
          </w:tcPr>
          <w:p w:rsidR="00776D3E" w:rsidRPr="00D51D60" w:rsidRDefault="00776D3E" w:rsidP="00025E74">
            <w:pPr>
              <w:pStyle w:val="Tabletext"/>
              <w:keepNext/>
              <w:keepLines/>
            </w:pPr>
          </w:p>
        </w:tc>
      </w:tr>
    </w:tbl>
    <w:p w:rsidR="003B61C2" w:rsidRPr="007108BC" w:rsidRDefault="003B61C2" w:rsidP="00025E74">
      <w:pPr>
        <w:keepNext/>
        <w:keepLines/>
        <w:jc w:val="both"/>
        <w:rPr>
          <w:rFonts w:ascii="Arial Narrow" w:hAnsi="Arial Narrow"/>
          <w:sz w:val="18"/>
          <w:szCs w:val="18"/>
        </w:rPr>
      </w:pPr>
      <w:r w:rsidRPr="007108BC">
        <w:rPr>
          <w:rFonts w:ascii="Arial Narrow" w:hAnsi="Arial Narrow"/>
          <w:sz w:val="18"/>
          <w:szCs w:val="18"/>
        </w:rPr>
        <w:t>Abbreviations: NIP= National Immunisation Program; IMD= invasive meningococcal disease; PBAC= Pharmaceutical Benefit Advisory Committee; y</w:t>
      </w:r>
      <w:r w:rsidR="00FE1434">
        <w:rPr>
          <w:rFonts w:ascii="Arial Narrow" w:hAnsi="Arial Narrow"/>
          <w:sz w:val="18"/>
          <w:szCs w:val="18"/>
        </w:rPr>
        <w:t>.</w:t>
      </w:r>
      <w:r w:rsidRPr="007108BC">
        <w:rPr>
          <w:rFonts w:ascii="Arial Narrow" w:hAnsi="Arial Narrow"/>
          <w:sz w:val="18"/>
          <w:szCs w:val="18"/>
        </w:rPr>
        <w:t xml:space="preserve">o = year olds. </w:t>
      </w:r>
    </w:p>
    <w:p w:rsidR="003B61C2" w:rsidRPr="007108BC" w:rsidRDefault="003B61C2" w:rsidP="00025E74">
      <w:pPr>
        <w:keepNext/>
        <w:keepLines/>
        <w:jc w:val="both"/>
        <w:rPr>
          <w:rFonts w:ascii="Arial Narrow" w:hAnsi="Arial Narrow"/>
          <w:sz w:val="18"/>
          <w:szCs w:val="18"/>
        </w:rPr>
      </w:pPr>
      <w:r w:rsidRPr="007108BC">
        <w:rPr>
          <w:rFonts w:ascii="Arial Narrow" w:hAnsi="Arial Narrow"/>
          <w:sz w:val="18"/>
          <w:szCs w:val="18"/>
        </w:rPr>
        <w:t xml:space="preserve">Note: </w:t>
      </w:r>
      <w:r w:rsidRPr="007108BC">
        <w:rPr>
          <w:rFonts w:ascii="Arial Narrow" w:hAnsi="Arial Narrow"/>
          <w:sz w:val="18"/>
          <w:szCs w:val="18"/>
          <w:vertAlign w:val="superscript"/>
        </w:rPr>
        <w:t>a</w:t>
      </w:r>
      <w:r w:rsidRPr="007108BC">
        <w:rPr>
          <w:rFonts w:ascii="Arial Narrow" w:hAnsi="Arial Narrow"/>
          <w:sz w:val="18"/>
          <w:szCs w:val="18"/>
        </w:rPr>
        <w:t xml:space="preserve"> Preferred program of routine infant and adolescent with catch-up for older infants and toddlers and adolescents; </w:t>
      </w:r>
      <w:r w:rsidRPr="007108BC">
        <w:rPr>
          <w:rFonts w:ascii="Arial Narrow" w:hAnsi="Arial Narrow"/>
          <w:sz w:val="18"/>
          <w:szCs w:val="18"/>
          <w:vertAlign w:val="superscript"/>
        </w:rPr>
        <w:t>b</w:t>
      </w:r>
      <w:r w:rsidRPr="007108BC">
        <w:rPr>
          <w:rFonts w:ascii="Arial Narrow" w:hAnsi="Arial Narrow"/>
          <w:sz w:val="18"/>
          <w:szCs w:val="18"/>
        </w:rPr>
        <w:t>Includes inherited defects or deficiency of properdin or complement components, current or future treatment with eculizumab, functional or anatomical asplenia, HIV infection and haematopoietic stem cell transplant.</w:t>
      </w:r>
    </w:p>
    <w:p w:rsidR="003B61C2" w:rsidRPr="007108BC" w:rsidRDefault="003B61C2" w:rsidP="00025E74">
      <w:pPr>
        <w:keepNext/>
        <w:keepLines/>
        <w:jc w:val="both"/>
        <w:rPr>
          <w:rFonts w:ascii="Arial Narrow" w:hAnsi="Arial Narrow"/>
          <w:sz w:val="18"/>
          <w:szCs w:val="18"/>
        </w:rPr>
      </w:pPr>
      <w:r w:rsidRPr="007108BC">
        <w:rPr>
          <w:rFonts w:ascii="Arial Narrow" w:hAnsi="Arial Narrow"/>
          <w:sz w:val="18"/>
          <w:szCs w:val="18"/>
        </w:rPr>
        <w:t xml:space="preserve">Source: </w:t>
      </w:r>
      <w:r w:rsidR="00841191" w:rsidRPr="007108BC">
        <w:rPr>
          <w:rFonts w:ascii="Arial Narrow" w:hAnsi="Arial Narrow"/>
          <w:sz w:val="18"/>
          <w:szCs w:val="18"/>
        </w:rPr>
        <w:t>paragraph 3</w:t>
      </w:r>
      <w:r w:rsidR="00841191">
        <w:rPr>
          <w:rFonts w:ascii="Arial Narrow" w:hAnsi="Arial Narrow"/>
          <w:sz w:val="18"/>
          <w:szCs w:val="18"/>
        </w:rPr>
        <w:t xml:space="preserve">, </w:t>
      </w:r>
      <w:r w:rsidRPr="007108BC">
        <w:rPr>
          <w:rFonts w:ascii="Arial Narrow" w:hAnsi="Arial Narrow"/>
          <w:sz w:val="18"/>
          <w:szCs w:val="18"/>
        </w:rPr>
        <w:t xml:space="preserve">4CMenB </w:t>
      </w:r>
      <w:r w:rsidR="00841191">
        <w:rPr>
          <w:rFonts w:ascii="Arial Narrow" w:hAnsi="Arial Narrow"/>
          <w:sz w:val="18"/>
          <w:szCs w:val="18"/>
        </w:rPr>
        <w:t xml:space="preserve">minutes, </w:t>
      </w:r>
      <w:r w:rsidRPr="007108BC">
        <w:rPr>
          <w:rFonts w:ascii="Arial Narrow" w:hAnsi="Arial Narrow"/>
          <w:sz w:val="18"/>
          <w:szCs w:val="18"/>
        </w:rPr>
        <w:t>July 2015</w:t>
      </w:r>
      <w:r w:rsidR="00841191">
        <w:rPr>
          <w:rFonts w:ascii="Arial Narrow" w:hAnsi="Arial Narrow"/>
          <w:sz w:val="18"/>
          <w:szCs w:val="18"/>
        </w:rPr>
        <w:t xml:space="preserve"> PBAC meeting; </w:t>
      </w:r>
      <w:r w:rsidRPr="007108BC">
        <w:rPr>
          <w:rFonts w:ascii="Arial Narrow" w:hAnsi="Arial Narrow"/>
          <w:sz w:val="18"/>
          <w:szCs w:val="18"/>
        </w:rPr>
        <w:t xml:space="preserve">p.61-62 of the resubmission. </w:t>
      </w:r>
    </w:p>
    <w:p w:rsidR="003B61C2" w:rsidRPr="007108BC" w:rsidRDefault="003B61C2" w:rsidP="00025E74">
      <w:pPr>
        <w:pStyle w:val="BodyText"/>
        <w:keepNext/>
        <w:keepLines/>
      </w:pPr>
    </w:p>
    <w:p w:rsidR="003B61C2" w:rsidRPr="008E44DD" w:rsidRDefault="003B61C2" w:rsidP="00EB423F">
      <w:pPr>
        <w:pStyle w:val="bulletnumberedstyle"/>
        <w:rPr>
          <w:color w:val="3366FF"/>
        </w:rPr>
      </w:pPr>
      <w:r w:rsidRPr="007108BC">
        <w:t xml:space="preserve">The requested NIP listing is consistent with the infant target population in the UK Public Health England (PHE) Vaccination program. The UK PHE Vaccination program does not provide vaccination for adolescents. </w:t>
      </w:r>
    </w:p>
    <w:p w:rsidR="00EE7D9D" w:rsidRDefault="008E44DD" w:rsidP="008E44DD">
      <w:pPr>
        <w:pStyle w:val="PBACHeading1"/>
        <w:numPr>
          <w:ilvl w:val="0"/>
          <w:numId w:val="0"/>
        </w:numPr>
        <w:rPr>
          <w:rFonts w:cs="Times New Roman"/>
          <w:b w:val="0"/>
          <w:i/>
          <w:snapToGrid/>
          <w:sz w:val="24"/>
          <w:szCs w:val="24"/>
          <w:lang w:eastAsia="en-AU"/>
        </w:rPr>
      </w:pPr>
      <w:r w:rsidRPr="00574164">
        <w:rPr>
          <w:rFonts w:cs="Times New Roman"/>
          <w:b w:val="0"/>
          <w:i/>
          <w:snapToGrid/>
          <w:sz w:val="24"/>
          <w:szCs w:val="24"/>
          <w:lang w:eastAsia="en-AU"/>
        </w:rPr>
        <w:t>For more detail on PBAC’s view, see section 7 PBAC outcome.</w:t>
      </w:r>
    </w:p>
    <w:p w:rsidR="00EE7D9D" w:rsidRDefault="00EE7D9D">
      <w:pPr>
        <w:rPr>
          <w:i/>
        </w:rPr>
      </w:pPr>
      <w:r>
        <w:rPr>
          <w:b/>
          <w:i/>
        </w:rPr>
        <w:br w:type="page"/>
      </w:r>
    </w:p>
    <w:p w:rsidR="003B61C2" w:rsidRPr="007108BC" w:rsidRDefault="003B61C2" w:rsidP="005A1BBE">
      <w:pPr>
        <w:pStyle w:val="PBACHeading1"/>
      </w:pPr>
      <w:bookmarkStart w:id="7" w:name="_Toc19697619"/>
      <w:r w:rsidRPr="007108BC">
        <w:lastRenderedPageBreak/>
        <w:t>Background</w:t>
      </w:r>
      <w:bookmarkEnd w:id="7"/>
    </w:p>
    <w:p w:rsidR="003B61C2" w:rsidRPr="007108BC" w:rsidRDefault="003B61C2" w:rsidP="005A1BBE">
      <w:pPr>
        <w:pStyle w:val="Heading2"/>
      </w:pPr>
      <w:r w:rsidRPr="007108BC">
        <w:t>Registration status</w:t>
      </w:r>
    </w:p>
    <w:p w:rsidR="003B61C2" w:rsidRPr="007108BC" w:rsidRDefault="003B61C2" w:rsidP="00EB423F">
      <w:pPr>
        <w:pStyle w:val="bulletnumberedstyle"/>
      </w:pPr>
      <w:r w:rsidRPr="007108BC">
        <w:t xml:space="preserve">4CMenB was </w:t>
      </w:r>
      <w:r w:rsidR="00574164">
        <w:t xml:space="preserve">registered by the </w:t>
      </w:r>
      <w:r w:rsidRPr="007108BC">
        <w:t xml:space="preserve">TGA on 14 August 2013 for active immunisation against invasive disease caused by </w:t>
      </w:r>
      <w:r w:rsidR="00B959B0">
        <w:rPr>
          <w:i/>
        </w:rPr>
        <w:t>Neisseria meningitidi</w:t>
      </w:r>
      <w:r w:rsidRPr="007108BC">
        <w:rPr>
          <w:i/>
        </w:rPr>
        <w:t>s</w:t>
      </w:r>
      <w:r w:rsidRPr="007108BC">
        <w:t xml:space="preserve"> group B strains in individuals from 2 months of age and older. An abbreviated infant schedule consisting of two primary doses followed by a booster (2 + 1)</w:t>
      </w:r>
      <w:r w:rsidR="005B14F1" w:rsidRPr="007108BC">
        <w:t xml:space="preserve"> was</w:t>
      </w:r>
      <w:r w:rsidRPr="007108BC">
        <w:t xml:space="preserve"> approved on 24 May 2019. </w:t>
      </w:r>
    </w:p>
    <w:p w:rsidR="003B61C2" w:rsidRPr="007108BC" w:rsidRDefault="003B61C2" w:rsidP="005A1BBE">
      <w:pPr>
        <w:pStyle w:val="Heading2"/>
      </w:pPr>
      <w:r w:rsidRPr="007108BC">
        <w:t>Previous PBAC consideration</w:t>
      </w:r>
    </w:p>
    <w:p w:rsidR="003B61C2" w:rsidRPr="007108BC" w:rsidRDefault="003B61C2" w:rsidP="00EB423F">
      <w:pPr>
        <w:pStyle w:val="bulletnumberedstyle"/>
      </w:pPr>
      <w:r w:rsidRPr="007108BC">
        <w:t xml:space="preserve">Table 4 summarises previous concerns and how these were addressed in the current resubmission. </w:t>
      </w:r>
    </w:p>
    <w:p w:rsidR="003B61C2" w:rsidRPr="007108BC" w:rsidRDefault="003B61C2" w:rsidP="00D47FDA">
      <w:pPr>
        <w:keepNext/>
        <w:keepLines/>
        <w:rPr>
          <w:rStyle w:val="CommentReference"/>
        </w:rPr>
      </w:pPr>
      <w:r w:rsidRPr="007108BC">
        <w:rPr>
          <w:rStyle w:val="CommentReference"/>
        </w:rPr>
        <w:lastRenderedPageBreak/>
        <w:t>Table 4:</w:t>
      </w:r>
      <w:r w:rsidR="00624D24">
        <w:rPr>
          <w:rStyle w:val="CommentReference"/>
        </w:rPr>
        <w:t xml:space="preserve"> </w:t>
      </w:r>
      <w:r w:rsidRPr="007108BC">
        <w:rPr>
          <w:rStyle w:val="CommentReference"/>
        </w:rPr>
        <w:t>Summary of outstanding matters of concern</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4: Summary of outstanding matters of concern"/>
      </w:tblPr>
      <w:tblGrid>
        <w:gridCol w:w="1271"/>
        <w:gridCol w:w="3940"/>
        <w:gridCol w:w="3784"/>
      </w:tblGrid>
      <w:tr w:rsidR="003B61C2" w:rsidRPr="007108BC" w:rsidTr="00025E74">
        <w:trPr>
          <w:trHeight w:val="159"/>
          <w:tblHeader/>
        </w:trPr>
        <w:tc>
          <w:tcPr>
            <w:tcW w:w="1271" w:type="dxa"/>
            <w:vAlign w:val="center"/>
          </w:tcPr>
          <w:p w:rsidR="003B61C2" w:rsidRPr="007108BC" w:rsidRDefault="003B61C2" w:rsidP="00D47FDA">
            <w:pPr>
              <w:pStyle w:val="Tabletext"/>
              <w:keepNext/>
              <w:keepLines/>
              <w:rPr>
                <w:b/>
              </w:rPr>
            </w:pPr>
            <w:r w:rsidRPr="007108BC">
              <w:rPr>
                <w:b/>
              </w:rPr>
              <w:t>Component</w:t>
            </w:r>
          </w:p>
        </w:tc>
        <w:tc>
          <w:tcPr>
            <w:tcW w:w="3940" w:type="dxa"/>
            <w:shd w:val="clear" w:color="auto" w:fill="auto"/>
            <w:vAlign w:val="center"/>
          </w:tcPr>
          <w:p w:rsidR="003B61C2" w:rsidRPr="007108BC" w:rsidRDefault="003B61C2" w:rsidP="00D47FDA">
            <w:pPr>
              <w:pStyle w:val="Tabletext"/>
              <w:keepNext/>
              <w:keepLines/>
              <w:jc w:val="center"/>
              <w:rPr>
                <w:b/>
              </w:rPr>
            </w:pPr>
            <w:r w:rsidRPr="007108BC">
              <w:rPr>
                <w:b/>
              </w:rPr>
              <w:t>Matter of concern</w:t>
            </w:r>
          </w:p>
        </w:tc>
        <w:tc>
          <w:tcPr>
            <w:tcW w:w="3784" w:type="dxa"/>
            <w:vAlign w:val="center"/>
          </w:tcPr>
          <w:p w:rsidR="003B61C2" w:rsidRPr="007108BC" w:rsidRDefault="003B61C2" w:rsidP="00D47FDA">
            <w:pPr>
              <w:pStyle w:val="Tabletext"/>
              <w:keepNext/>
              <w:keepLines/>
              <w:jc w:val="center"/>
              <w:rPr>
                <w:b/>
              </w:rPr>
            </w:pPr>
            <w:r w:rsidRPr="007108BC">
              <w:rPr>
                <w:b/>
              </w:rPr>
              <w:t>How the resubmission addresses it</w:t>
            </w:r>
          </w:p>
        </w:tc>
      </w:tr>
      <w:tr w:rsidR="003B61C2" w:rsidRPr="007108BC" w:rsidTr="00025E74">
        <w:trPr>
          <w:trHeight w:val="1401"/>
        </w:trPr>
        <w:tc>
          <w:tcPr>
            <w:tcW w:w="1271" w:type="dxa"/>
            <w:shd w:val="clear" w:color="auto" w:fill="auto"/>
            <w:vAlign w:val="center"/>
          </w:tcPr>
          <w:p w:rsidR="003B61C2" w:rsidRPr="007108BC" w:rsidRDefault="003B61C2" w:rsidP="00D47FDA">
            <w:pPr>
              <w:pStyle w:val="Tabletext"/>
              <w:keepNext/>
              <w:keepLines/>
            </w:pPr>
            <w:r w:rsidRPr="007108BC">
              <w:t xml:space="preserve">Effectiveness </w:t>
            </w:r>
          </w:p>
        </w:tc>
        <w:tc>
          <w:tcPr>
            <w:tcW w:w="3940" w:type="dxa"/>
            <w:shd w:val="clear" w:color="auto" w:fill="auto"/>
            <w:vAlign w:val="center"/>
          </w:tcPr>
          <w:p w:rsidR="003B61C2" w:rsidRPr="007108BC" w:rsidRDefault="003B61C2" w:rsidP="00D47FDA">
            <w:pPr>
              <w:pStyle w:val="Tabletext"/>
              <w:keepNext/>
              <w:keepLines/>
            </w:pPr>
            <w:r w:rsidRPr="007108BC">
              <w:t>The PBAC stated that an ICER &gt;$200,000/QALY was unacceptably high and was based on uncertain and optimistic assumptions about the extent and duration of effect and herd immunity, noting particularly the ESC and ATAGI doubts about the vaccine’s effectiveness against NHBA. (</w:t>
            </w:r>
            <w:r w:rsidR="00C378BA" w:rsidRPr="007108BC">
              <w:t>paragraph 7.8</w:t>
            </w:r>
            <w:r w:rsidR="00C378BA">
              <w:t>, 4CMenB PSD, July 2014</w:t>
            </w:r>
            <w:r w:rsidR="00F426D8">
              <w:t xml:space="preserve"> </w:t>
            </w:r>
            <w:r w:rsidR="00C378BA">
              <w:t>PBAC meeting</w:t>
            </w:r>
            <w:r w:rsidRPr="007108BC">
              <w:t>).</w:t>
            </w:r>
          </w:p>
        </w:tc>
        <w:tc>
          <w:tcPr>
            <w:tcW w:w="3784" w:type="dxa"/>
            <w:vAlign w:val="center"/>
          </w:tcPr>
          <w:p w:rsidR="003B61C2" w:rsidRPr="007108BC" w:rsidRDefault="003B61C2" w:rsidP="00D47FDA">
            <w:pPr>
              <w:pStyle w:val="Tabletext"/>
              <w:keepNext/>
              <w:keepLines/>
              <w:rPr>
                <w:i/>
              </w:rPr>
            </w:pPr>
            <w:r w:rsidRPr="007108BC">
              <w:t>The resubmission relied on VE estimates based on a 3-year observational study of routine infant 4CMenB vaccination program in the UK.</w:t>
            </w:r>
            <w:r w:rsidR="00926AEF">
              <w:t xml:space="preserve"> </w:t>
            </w:r>
            <w:r w:rsidR="00926AEF" w:rsidRPr="002B098D">
              <w:t>The ESC noted VE was appropriately based on real world evidence rather than relying on immunogenicity data.</w:t>
            </w:r>
            <w:r w:rsidRPr="00D51D60">
              <w:t xml:space="preserve"> </w:t>
            </w:r>
          </w:p>
        </w:tc>
      </w:tr>
      <w:tr w:rsidR="003B61C2" w:rsidRPr="007108BC" w:rsidTr="00025E74">
        <w:trPr>
          <w:trHeight w:val="977"/>
        </w:trPr>
        <w:tc>
          <w:tcPr>
            <w:tcW w:w="1271" w:type="dxa"/>
            <w:shd w:val="clear" w:color="auto" w:fill="auto"/>
            <w:vAlign w:val="center"/>
          </w:tcPr>
          <w:p w:rsidR="003B61C2" w:rsidRPr="007108BC" w:rsidRDefault="003B61C2" w:rsidP="00D47FDA">
            <w:pPr>
              <w:pStyle w:val="Tabletext"/>
              <w:keepNext/>
              <w:keepLines/>
            </w:pPr>
            <w:r w:rsidRPr="007108BC">
              <w:t>Herd immunity</w:t>
            </w:r>
          </w:p>
        </w:tc>
        <w:tc>
          <w:tcPr>
            <w:tcW w:w="3940" w:type="dxa"/>
            <w:shd w:val="clear" w:color="auto" w:fill="auto"/>
            <w:vAlign w:val="center"/>
          </w:tcPr>
          <w:p w:rsidR="003B61C2" w:rsidRPr="007108BC" w:rsidRDefault="00F426D8" w:rsidP="00D47FDA">
            <w:pPr>
              <w:pStyle w:val="Tabletext"/>
              <w:keepNext/>
              <w:keepLines/>
            </w:pPr>
            <w:r>
              <w:t>U</w:t>
            </w:r>
            <w:r w:rsidRPr="007108BC">
              <w:t xml:space="preserve">ncertain and </w:t>
            </w:r>
            <w:r>
              <w:t xml:space="preserve">optimistic assumptions about…… herd immunity </w:t>
            </w:r>
            <w:r w:rsidRPr="007108BC">
              <w:t>(paragraph 7.8</w:t>
            </w:r>
            <w:r>
              <w:t>, 4CMenB PSD, July 2014 PBAC meeting</w:t>
            </w:r>
            <w:r w:rsidRPr="007108BC">
              <w:t>).</w:t>
            </w:r>
            <w:r>
              <w:t xml:space="preserve"> </w:t>
            </w:r>
          </w:p>
        </w:tc>
        <w:tc>
          <w:tcPr>
            <w:tcW w:w="3784" w:type="dxa"/>
            <w:vAlign w:val="center"/>
          </w:tcPr>
          <w:p w:rsidR="003B61C2" w:rsidRPr="007108BC" w:rsidRDefault="003B61C2" w:rsidP="00D47FDA">
            <w:pPr>
              <w:pStyle w:val="Tabletext"/>
              <w:keepNext/>
              <w:keepLines/>
              <w:rPr>
                <w:b/>
                <w:i/>
              </w:rPr>
            </w:pPr>
            <w:r w:rsidRPr="007108BC">
              <w:t>No herd effect in Section 3 based on the change in carriage from the South Australian ‘B Part of It’ Study (0% reduction</w:t>
            </w:r>
            <w:r w:rsidRPr="00D51D60">
              <w:t xml:space="preserve">).The impact of herd immunity was tested in a sensitivity analysis only. </w:t>
            </w:r>
            <w:r w:rsidR="00034481" w:rsidRPr="002B098D">
              <w:t>The ESC considered this was appropriate</w:t>
            </w:r>
            <w:r w:rsidR="007F6692">
              <w:rPr>
                <w:i/>
              </w:rPr>
              <w:t>.</w:t>
            </w:r>
          </w:p>
        </w:tc>
      </w:tr>
      <w:tr w:rsidR="003B61C2" w:rsidRPr="007108BC" w:rsidTr="00025E74">
        <w:trPr>
          <w:trHeight w:val="808"/>
        </w:trPr>
        <w:tc>
          <w:tcPr>
            <w:tcW w:w="1271" w:type="dxa"/>
            <w:vAlign w:val="center"/>
          </w:tcPr>
          <w:p w:rsidR="003B61C2" w:rsidRPr="007108BC" w:rsidRDefault="003B61C2" w:rsidP="00D47FDA">
            <w:pPr>
              <w:pStyle w:val="Tabletext"/>
              <w:keepNext/>
              <w:keepLines/>
            </w:pPr>
            <w:r w:rsidRPr="007108BC">
              <w:t xml:space="preserve">Persistence </w:t>
            </w:r>
          </w:p>
        </w:tc>
        <w:tc>
          <w:tcPr>
            <w:tcW w:w="3940" w:type="dxa"/>
            <w:shd w:val="clear" w:color="auto" w:fill="auto"/>
            <w:vAlign w:val="center"/>
          </w:tcPr>
          <w:p w:rsidR="003B61C2" w:rsidRPr="007108BC" w:rsidRDefault="00F426D8" w:rsidP="00D47FDA">
            <w:pPr>
              <w:pStyle w:val="Tabletext"/>
              <w:keepNext/>
              <w:keepLines/>
            </w:pPr>
            <w:r>
              <w:t>U</w:t>
            </w:r>
            <w:r w:rsidRPr="007108BC">
              <w:t xml:space="preserve">ncertain and optimistic assumptions about the </w:t>
            </w:r>
            <w:r>
              <w:t>……</w:t>
            </w:r>
            <w:r w:rsidRPr="007108BC">
              <w:t xml:space="preserve">duration of effect </w:t>
            </w:r>
            <w:r>
              <w:t>…….</w:t>
            </w:r>
            <w:r w:rsidRPr="007108BC">
              <w:t>(paragraph 7.8</w:t>
            </w:r>
            <w:r>
              <w:t>, 4CMenB PSD, July 2014 PBAC meeting</w:t>
            </w:r>
            <w:r w:rsidRPr="007108BC">
              <w:t>)..</w:t>
            </w:r>
          </w:p>
        </w:tc>
        <w:tc>
          <w:tcPr>
            <w:tcW w:w="3784" w:type="dxa"/>
            <w:vAlign w:val="center"/>
          </w:tcPr>
          <w:p w:rsidR="003B61C2" w:rsidRPr="007108BC" w:rsidRDefault="003B61C2" w:rsidP="00D47FDA">
            <w:pPr>
              <w:pStyle w:val="Tabletext"/>
              <w:keepNext/>
              <w:keepLines/>
            </w:pPr>
            <w:r w:rsidRPr="007108BC">
              <w:t>Longer-term immunogenicity persistence data (2-3 y for infants and 7.5 y for adolescents) from two immunogenicity studies (</w:t>
            </w:r>
            <w:r w:rsidRPr="007108BC">
              <w:rPr>
                <w:bCs/>
              </w:rPr>
              <w:t>V72_28 and V72_28E1) was used</w:t>
            </w:r>
            <w:r w:rsidRPr="007108BC">
              <w:t xml:space="preserve">. </w:t>
            </w:r>
            <w:r w:rsidRPr="002B098D">
              <w:t>Th</w:t>
            </w:r>
            <w:r w:rsidR="00034481" w:rsidRPr="002B098D">
              <w:t xml:space="preserve">e ESC considered this </w:t>
            </w:r>
            <w:r w:rsidR="00926AEF" w:rsidRPr="002B098D">
              <w:t>wa</w:t>
            </w:r>
            <w:r w:rsidRPr="002B098D">
              <w:t>s appropriate.</w:t>
            </w:r>
            <w:r w:rsidRPr="007108BC">
              <w:t xml:space="preserve"> </w:t>
            </w:r>
          </w:p>
        </w:tc>
      </w:tr>
      <w:tr w:rsidR="003B61C2" w:rsidRPr="007108BC" w:rsidTr="00025E74">
        <w:trPr>
          <w:trHeight w:val="999"/>
        </w:trPr>
        <w:tc>
          <w:tcPr>
            <w:tcW w:w="1271" w:type="dxa"/>
            <w:vAlign w:val="center"/>
          </w:tcPr>
          <w:p w:rsidR="003B61C2" w:rsidRPr="007108BC" w:rsidRDefault="003B61C2" w:rsidP="00D47FDA">
            <w:pPr>
              <w:pStyle w:val="Tabletext"/>
              <w:keepNext/>
              <w:keepLines/>
            </w:pPr>
            <w:r w:rsidRPr="007108BC">
              <w:t>Infant fever</w:t>
            </w:r>
          </w:p>
        </w:tc>
        <w:tc>
          <w:tcPr>
            <w:tcW w:w="3940" w:type="dxa"/>
            <w:shd w:val="clear" w:color="auto" w:fill="auto"/>
            <w:vAlign w:val="center"/>
          </w:tcPr>
          <w:p w:rsidR="003B61C2" w:rsidRPr="007108BC" w:rsidRDefault="003B61C2" w:rsidP="00D47FDA">
            <w:pPr>
              <w:keepNext/>
              <w:keepLines/>
              <w:autoSpaceDE w:val="0"/>
              <w:autoSpaceDN w:val="0"/>
              <w:adjustRightInd w:val="0"/>
              <w:rPr>
                <w:rFonts w:ascii="Arial Narrow" w:hAnsi="Arial Narrow"/>
                <w:sz w:val="20"/>
                <w:szCs w:val="20"/>
              </w:rPr>
            </w:pPr>
            <w:r w:rsidRPr="007108BC">
              <w:rPr>
                <w:rFonts w:ascii="Arial Narrow" w:hAnsi="Arial Narrow"/>
                <w:sz w:val="20"/>
                <w:szCs w:val="20"/>
              </w:rPr>
              <w:t xml:space="preserve">High incidence of fever in infants (based on immunogenicity studies). </w:t>
            </w:r>
            <w:r w:rsidRPr="007108BC">
              <w:rPr>
                <w:rFonts w:ascii="Arial Narrow" w:hAnsi="Arial Narrow"/>
                <w:color w:val="000000"/>
                <w:sz w:val="20"/>
                <w:szCs w:val="20"/>
              </w:rPr>
              <w:t>The PBAC acknowledged that the higher rates of fever in infants would indicate that prophylactic paracetamol would be appropriate, noting that the impact of, and compliance with, this recommendation was unknown (</w:t>
            </w:r>
            <w:r w:rsidR="00D86A86" w:rsidRPr="007108BC">
              <w:rPr>
                <w:rFonts w:ascii="Arial Narrow" w:hAnsi="Arial Narrow"/>
                <w:sz w:val="20"/>
                <w:szCs w:val="20"/>
              </w:rPr>
              <w:t>paragraph 7.4</w:t>
            </w:r>
            <w:r w:rsidR="00145ECF">
              <w:rPr>
                <w:rFonts w:ascii="Arial Narrow" w:hAnsi="Arial Narrow"/>
                <w:sz w:val="20"/>
                <w:szCs w:val="20"/>
              </w:rPr>
              <w:t>, 4CMenB PSD, July 2015 PBAC meeting</w:t>
            </w:r>
            <w:r w:rsidRPr="007108BC">
              <w:rPr>
                <w:rFonts w:ascii="Arial Narrow" w:hAnsi="Arial Narrow"/>
                <w:sz w:val="20"/>
                <w:szCs w:val="20"/>
              </w:rPr>
              <w:t xml:space="preserve">) </w:t>
            </w:r>
          </w:p>
        </w:tc>
        <w:tc>
          <w:tcPr>
            <w:tcW w:w="3784" w:type="dxa"/>
            <w:vAlign w:val="center"/>
          </w:tcPr>
          <w:p w:rsidR="003B61C2" w:rsidRPr="007108BC" w:rsidRDefault="003B61C2" w:rsidP="00D47FDA">
            <w:pPr>
              <w:pStyle w:val="Tabletext"/>
              <w:keepNext/>
              <w:keepLines/>
            </w:pPr>
            <w:r w:rsidRPr="007108BC">
              <w:t>The incidence of infant fever from the real world data presented in the resubmission was:</w:t>
            </w:r>
          </w:p>
          <w:p w:rsidR="003B61C2" w:rsidRPr="007108BC" w:rsidRDefault="003B61C2" w:rsidP="00D47FDA">
            <w:pPr>
              <w:pStyle w:val="Tabletext"/>
              <w:keepNext/>
              <w:keepLines/>
              <w:numPr>
                <w:ilvl w:val="0"/>
                <w:numId w:val="4"/>
              </w:numPr>
              <w:ind w:left="360"/>
            </w:pPr>
            <w:r w:rsidRPr="007108BC">
              <w:t xml:space="preserve">0.05% per dose (11/23,500 in South Australian Meningococcal B vaccination program </w:t>
            </w:r>
          </w:p>
          <w:p w:rsidR="003B61C2" w:rsidRPr="007108BC" w:rsidRDefault="003B61C2" w:rsidP="00D47FDA">
            <w:pPr>
              <w:pStyle w:val="Tabletext"/>
              <w:keepNext/>
              <w:keepLines/>
              <w:numPr>
                <w:ilvl w:val="0"/>
                <w:numId w:val="4"/>
              </w:numPr>
              <w:ind w:left="360"/>
            </w:pPr>
            <w:r w:rsidRPr="007108BC">
              <w:t>0.01% of doses (364/3,000,000)</w:t>
            </w:r>
            <w:r w:rsidR="00624D24">
              <w:t xml:space="preserve"> </w:t>
            </w:r>
            <w:r w:rsidRPr="007108BC">
              <w:t>in UK PHE study</w:t>
            </w:r>
            <w:r w:rsidR="00624D24">
              <w:t xml:space="preserve"> </w:t>
            </w:r>
          </w:p>
          <w:p w:rsidR="003B61C2" w:rsidRPr="007108BC" w:rsidRDefault="003B61C2" w:rsidP="00D47FDA">
            <w:pPr>
              <w:pStyle w:val="Tabletext"/>
              <w:keepNext/>
              <w:keepLines/>
            </w:pPr>
            <w:r w:rsidRPr="007108BC">
              <w:t>The resubmission relied on the UK PHE study completion rate of the 2+1 Men B course (86.7%) to support that there was no loss of confidence in the program due to infant fever</w:t>
            </w:r>
          </w:p>
        </w:tc>
      </w:tr>
      <w:tr w:rsidR="003B61C2" w:rsidRPr="007108BC" w:rsidTr="00025E74">
        <w:trPr>
          <w:trHeight w:val="1787"/>
        </w:trPr>
        <w:tc>
          <w:tcPr>
            <w:tcW w:w="1271" w:type="dxa"/>
            <w:vAlign w:val="center"/>
          </w:tcPr>
          <w:p w:rsidR="003B61C2" w:rsidRPr="007108BC" w:rsidRDefault="003B61C2" w:rsidP="00D47FDA">
            <w:pPr>
              <w:pStyle w:val="Tabletext"/>
              <w:keepNext/>
              <w:keepLines/>
            </w:pPr>
            <w:r w:rsidRPr="007108BC">
              <w:t>Discounting rate</w:t>
            </w:r>
          </w:p>
        </w:tc>
        <w:tc>
          <w:tcPr>
            <w:tcW w:w="3940" w:type="dxa"/>
            <w:shd w:val="clear" w:color="auto" w:fill="auto"/>
            <w:vAlign w:val="center"/>
          </w:tcPr>
          <w:p w:rsidR="009232EC" w:rsidRDefault="003B61C2" w:rsidP="00D47FDA">
            <w:pPr>
              <w:pStyle w:val="Tabletext"/>
              <w:keepNext/>
              <w:keepLines/>
            </w:pPr>
            <w:r w:rsidRPr="007108BC">
              <w:t>The July 2015 resubmission applied a 5% discount rate for costs and outcomes in year 1-30 and 1.5% for costs and outcomes in years 31-100</w:t>
            </w:r>
            <w:r w:rsidR="009232EC">
              <w:t xml:space="preserve">. </w:t>
            </w:r>
          </w:p>
          <w:p w:rsidR="009232EC" w:rsidRDefault="00F93E0A" w:rsidP="00D47FDA">
            <w:pPr>
              <w:pStyle w:val="Tabletext"/>
              <w:keepNext/>
              <w:keepLines/>
            </w:pPr>
            <w:r>
              <w:t>The PBAC</w:t>
            </w:r>
            <w:r w:rsidR="009232EC">
              <w:t xml:space="preserve"> considered t</w:t>
            </w:r>
            <w:r w:rsidR="003B61C2" w:rsidRPr="00D51D60">
              <w:t xml:space="preserve">here is no intrinsic reason to treat </w:t>
            </w:r>
            <w:r w:rsidR="003D4649" w:rsidRPr="00D51D60">
              <w:t xml:space="preserve">the costs and health benefits of </w:t>
            </w:r>
            <w:r w:rsidR="003B61C2" w:rsidRPr="00D51D60">
              <w:t>this intervention differently from any other intervention. The benefit of preventing IMD is saving lives and preventing future morbidity/mortality for individuals vaccinated now (and into the future) (</w:t>
            </w:r>
            <w:r w:rsidR="00145ECF" w:rsidRPr="00D51D60">
              <w:t>paragraph 6.22</w:t>
            </w:r>
            <w:r w:rsidR="00145ECF">
              <w:t>, 4CMenB PSD, July 2015 PBAC meeting</w:t>
            </w:r>
            <w:r w:rsidR="003B61C2" w:rsidRPr="00D51D60">
              <w:t xml:space="preserve">). </w:t>
            </w:r>
          </w:p>
          <w:p w:rsidR="003B61C2" w:rsidRPr="007108BC" w:rsidRDefault="003B61C2" w:rsidP="00D47FDA">
            <w:pPr>
              <w:pStyle w:val="Tabletext"/>
              <w:keepNext/>
              <w:keepLines/>
            </w:pPr>
            <w:r w:rsidRPr="00D51D60">
              <w:t xml:space="preserve">The PBAC </w:t>
            </w:r>
            <w:r w:rsidR="009D679D" w:rsidRPr="00D51D60">
              <w:t xml:space="preserve">reaffirmed its preference that </w:t>
            </w:r>
            <w:r w:rsidRPr="00D51D60">
              <w:t xml:space="preserve">a 5% pa discount rate apply to costs and outcomes </w:t>
            </w:r>
            <w:r w:rsidR="003D4649" w:rsidRPr="00D51D60">
              <w:t>(</w:t>
            </w:r>
            <w:r w:rsidR="00CE10D9" w:rsidRPr="00D51D60">
              <w:t>paragraph 7.6</w:t>
            </w:r>
            <w:r w:rsidR="00CE10D9">
              <w:t>, 4CMenB PSD, July 2015 PBAC meeting</w:t>
            </w:r>
            <w:r w:rsidR="003D4649" w:rsidRPr="00D51D60">
              <w:t>)</w:t>
            </w:r>
          </w:p>
        </w:tc>
        <w:tc>
          <w:tcPr>
            <w:tcW w:w="3784" w:type="dxa"/>
            <w:vAlign w:val="center"/>
          </w:tcPr>
          <w:p w:rsidR="003B61C2" w:rsidRPr="007108BC" w:rsidRDefault="003B61C2" w:rsidP="00D47FDA">
            <w:pPr>
              <w:pStyle w:val="Tabletext"/>
              <w:keepNext/>
              <w:keepLines/>
              <w:rPr>
                <w:i/>
              </w:rPr>
            </w:pPr>
            <w:r w:rsidRPr="007108BC">
              <w:t xml:space="preserve">The model base case assumed a 3.5% discount rate. </w:t>
            </w:r>
            <w:r w:rsidRPr="00D51D60">
              <w:t xml:space="preserve">This is inconsistent with </w:t>
            </w:r>
            <w:r w:rsidR="00B12974" w:rsidRPr="00D51D60">
              <w:t>the PBAC</w:t>
            </w:r>
            <w:r w:rsidR="00270B45">
              <w:t xml:space="preserve"> guidelines</w:t>
            </w:r>
            <w:r w:rsidRPr="00D51D60">
              <w:t xml:space="preserve">. </w:t>
            </w:r>
          </w:p>
        </w:tc>
      </w:tr>
    </w:tbl>
    <w:p w:rsidR="003B61C2" w:rsidRPr="007108BC" w:rsidRDefault="003B61C2" w:rsidP="00D47FDA">
      <w:pPr>
        <w:pStyle w:val="TableFooter"/>
        <w:keepNext/>
        <w:keepLines/>
      </w:pPr>
      <w:r w:rsidRPr="007108BC">
        <w:t xml:space="preserve">Abbreviations: 4CMenB= </w:t>
      </w:r>
      <w:r w:rsidR="00BD208C">
        <w:t>Multi</w:t>
      </w:r>
      <w:r w:rsidRPr="007108BC">
        <w:t>component Meningococcal B Vaccine; IMD= invasive meningococcal disease; PBAC= Pharmaceutical Benefit Advisory Committee; PHE= Public Health England; PSD= public summary document; QALY= quality adjusted life year; UK PHE= United Kingdom Public Health England; VE= vaccine effectiveness; VI= vaccine impact</w:t>
      </w:r>
    </w:p>
    <w:p w:rsidR="003B61C2" w:rsidRPr="00D51D60" w:rsidRDefault="003B61C2" w:rsidP="00D47FDA">
      <w:pPr>
        <w:pStyle w:val="TableFooter"/>
        <w:keepNext/>
        <w:keepLines/>
      </w:pPr>
      <w:r w:rsidRPr="007108BC">
        <w:t>Source:</w:t>
      </w:r>
      <w:r w:rsidR="00624D24">
        <w:t xml:space="preserve"> </w:t>
      </w:r>
      <w:r w:rsidRPr="007108BC">
        <w:t>Table</w:t>
      </w:r>
      <w:r w:rsidR="00946F98">
        <w:t xml:space="preserve"> 1.2, p.36 of the resubmission; </w:t>
      </w:r>
      <w:r w:rsidR="00946F98" w:rsidRPr="00D51D60">
        <w:t>paragraph 2.1</w:t>
      </w:r>
      <w:r w:rsidR="00946F98">
        <w:t xml:space="preserve">, </w:t>
      </w:r>
      <w:r w:rsidRPr="00D51D60">
        <w:t>4CMenB</w:t>
      </w:r>
      <w:r w:rsidR="00946F98">
        <w:t xml:space="preserve"> minutes</w:t>
      </w:r>
      <w:r w:rsidRPr="00D51D60">
        <w:t>, July 2015</w:t>
      </w:r>
      <w:r w:rsidR="00946F98">
        <w:t xml:space="preserve"> PBAC meeting</w:t>
      </w:r>
      <w:r w:rsidRPr="00D51D60">
        <w:t xml:space="preserve">. </w:t>
      </w:r>
    </w:p>
    <w:p w:rsidR="003B61C2" w:rsidRPr="007108BC" w:rsidRDefault="003B61C2" w:rsidP="007108BC"/>
    <w:p w:rsidR="00355F59" w:rsidRDefault="00355F59" w:rsidP="00EB423F">
      <w:pPr>
        <w:pStyle w:val="bulletnumberedstyle"/>
      </w:pPr>
      <w:r w:rsidRPr="009B7004">
        <w:t xml:space="preserve">The main differences </w:t>
      </w:r>
      <w:r w:rsidR="001F00B1" w:rsidRPr="009B7004">
        <w:t>between the</w:t>
      </w:r>
      <w:r w:rsidRPr="009B7004">
        <w:t xml:space="preserve"> current resubmission </w:t>
      </w:r>
      <w:r w:rsidR="001F00B1" w:rsidRPr="009B7004">
        <w:t xml:space="preserve">and the </w:t>
      </w:r>
      <w:r w:rsidRPr="009B7004">
        <w:t xml:space="preserve">previous (re)submissions are: </w:t>
      </w:r>
      <w:r w:rsidR="003715A8" w:rsidRPr="009B7004">
        <w:t xml:space="preserve">real world evidence </w:t>
      </w:r>
      <w:r w:rsidR="00485EA1" w:rsidRPr="009B7004">
        <w:t xml:space="preserve">was used </w:t>
      </w:r>
      <w:r w:rsidR="003715A8" w:rsidRPr="009B7004">
        <w:t xml:space="preserve">as the main source to derive VE (instead of immunogenicity data), proposed a 2 + 1 schedule (instead of a 3 + 1), no </w:t>
      </w:r>
      <w:r w:rsidR="003715A8" w:rsidRPr="009B7004">
        <w:lastRenderedPageBreak/>
        <w:t xml:space="preserve">catch-up program for adolescents (except for </w:t>
      </w:r>
      <w:r w:rsidR="009C4D93">
        <w:t>Aboriginal and Torres Strait Islander</w:t>
      </w:r>
      <w:r w:rsidR="009C4D93" w:rsidRPr="009B7004">
        <w:t xml:space="preserve"> </w:t>
      </w:r>
      <w:r w:rsidR="003715A8" w:rsidRPr="009B7004">
        <w:t xml:space="preserve">adolescents), no herd immunity was assumed in the base case, a constant 3.5% discount rate was assumed for costs and health benefits, additional IMD sequelae </w:t>
      </w:r>
      <w:r w:rsidR="00485EA1" w:rsidRPr="009B7004">
        <w:t xml:space="preserve">and other indirect costs and consequences </w:t>
      </w:r>
      <w:r w:rsidR="003715A8" w:rsidRPr="009B7004">
        <w:t xml:space="preserve">were incorporated into the </w:t>
      </w:r>
      <w:r w:rsidR="00574164">
        <w:t xml:space="preserve">economic </w:t>
      </w:r>
      <w:r w:rsidR="003715A8" w:rsidRPr="009B7004">
        <w:t>model</w:t>
      </w:r>
      <w:r w:rsidR="00485EA1" w:rsidRPr="009B7004">
        <w:t xml:space="preserve"> and</w:t>
      </w:r>
      <w:r w:rsidR="003715A8" w:rsidRPr="009B7004">
        <w:t xml:space="preserve"> a separate economic model was provided to model </w:t>
      </w:r>
      <w:r w:rsidR="00485EA1" w:rsidRPr="009B7004">
        <w:t xml:space="preserve">the Aboriginal and Torres Strait Islander </w:t>
      </w:r>
      <w:r w:rsidR="003715A8" w:rsidRPr="009B7004">
        <w:t>population</w:t>
      </w:r>
      <w:r w:rsidR="00485EA1" w:rsidRPr="009B7004">
        <w:t>.</w:t>
      </w:r>
      <w:r w:rsidR="00624D24">
        <w:t xml:space="preserve"> </w:t>
      </w:r>
    </w:p>
    <w:p w:rsidR="002B098D" w:rsidRPr="00946F98" w:rsidRDefault="002B098D" w:rsidP="002B098D">
      <w:pPr>
        <w:pStyle w:val="bulletnumberedstyle"/>
        <w:numPr>
          <w:ilvl w:val="0"/>
          <w:numId w:val="0"/>
        </w:numPr>
        <w:rPr>
          <w:i/>
        </w:rPr>
      </w:pPr>
      <w:r w:rsidRPr="00946F98">
        <w:rPr>
          <w:i/>
        </w:rPr>
        <w:t>For more detail on PBAC’s view, see section 7 PBAC outcome.</w:t>
      </w:r>
    </w:p>
    <w:p w:rsidR="003B61C2" w:rsidRPr="007108BC" w:rsidRDefault="003B61C2" w:rsidP="005A1BBE">
      <w:pPr>
        <w:pStyle w:val="PBACHeading1"/>
      </w:pPr>
      <w:bookmarkStart w:id="8" w:name="_Toc19697620"/>
      <w:r w:rsidRPr="007108BC">
        <w:t>Population and disease</w:t>
      </w:r>
      <w:bookmarkEnd w:id="8"/>
    </w:p>
    <w:p w:rsidR="00EE7D9D" w:rsidRDefault="003B61C2" w:rsidP="00EB423F">
      <w:pPr>
        <w:pStyle w:val="bulletnumberedstyle"/>
      </w:pPr>
      <w:r w:rsidRPr="007108BC">
        <w:t xml:space="preserve">IMD is a rare disease caused by the bacterium </w:t>
      </w:r>
      <w:r w:rsidR="00B959B0">
        <w:rPr>
          <w:i/>
        </w:rPr>
        <w:t>Neisseria meningitidi</w:t>
      </w:r>
      <w:r w:rsidRPr="007108BC">
        <w:rPr>
          <w:i/>
        </w:rPr>
        <w:t>s</w:t>
      </w:r>
      <w:r w:rsidRPr="007108BC">
        <w:t xml:space="preserve">. From a public health perspective it is a disease of particular importance due to its potential to cause epidemics for which a causal relationship has been established for six of the twelve known serogroups, A, B, C, W, X and Y. The geographic distribution and epidemic potential differs depending on the serogroup. In Australia, the incidence of IMD has varied throughout the years </w:t>
      </w:r>
      <w:r w:rsidR="00574164">
        <w:t xml:space="preserve">with </w:t>
      </w:r>
      <w:r w:rsidRPr="007108BC">
        <w:t xml:space="preserve">serogroup B </w:t>
      </w:r>
      <w:r w:rsidR="00574164">
        <w:t xml:space="preserve">the </w:t>
      </w:r>
      <w:r w:rsidRPr="007108BC">
        <w:t>dominant</w:t>
      </w:r>
      <w:r w:rsidR="00574164">
        <w:t xml:space="preserve"> strain</w:t>
      </w:r>
      <w:r w:rsidRPr="007108BC">
        <w:t>, however with an observed decline since 2003-2004 (Figure 1)</w:t>
      </w:r>
      <w:r w:rsidR="00B30899">
        <w:t>.</w:t>
      </w:r>
      <w:r w:rsidR="00B30899" w:rsidRPr="00B30899">
        <w:t xml:space="preserve"> The epidemiology of serogroup B IMD </w:t>
      </w:r>
      <w:r w:rsidR="00B30899">
        <w:t xml:space="preserve">also </w:t>
      </w:r>
      <w:r w:rsidR="00B30899" w:rsidRPr="00B30899">
        <w:t>varies by region, with a higher incidence observed in South Australia compared with other jurisdictions.</w:t>
      </w:r>
    </w:p>
    <w:p w:rsidR="00EE7D9D" w:rsidRDefault="00EE7D9D">
      <w:r>
        <w:br w:type="page"/>
      </w:r>
    </w:p>
    <w:p w:rsidR="00C67AA9" w:rsidRDefault="00C67AA9">
      <w:pPr>
        <w:rPr>
          <w:rFonts w:ascii="Arial Narrow" w:hAnsi="Arial Narrow"/>
          <w:b/>
          <w:sz w:val="20"/>
          <w:szCs w:val="20"/>
        </w:rPr>
      </w:pPr>
    </w:p>
    <w:p w:rsidR="003B61C2" w:rsidRPr="007108BC" w:rsidRDefault="003B61C2" w:rsidP="007108BC">
      <w:pPr>
        <w:rPr>
          <w:rFonts w:ascii="Arial Narrow" w:hAnsi="Arial Narrow"/>
          <w:b/>
          <w:sz w:val="20"/>
          <w:szCs w:val="20"/>
        </w:rPr>
      </w:pPr>
      <w:r w:rsidRPr="007108BC">
        <w:rPr>
          <w:rFonts w:ascii="Arial Narrow" w:hAnsi="Arial Narrow"/>
          <w:b/>
          <w:sz w:val="20"/>
          <w:szCs w:val="20"/>
        </w:rPr>
        <w:t>Figure 1. IMD notification rates by serogroup and year, Australia, 1999–2018*</w:t>
      </w:r>
    </w:p>
    <w:p w:rsidR="003B61C2" w:rsidRPr="007108BC" w:rsidRDefault="003B61C2" w:rsidP="007108BC">
      <w:pPr>
        <w:ind w:firstLine="567"/>
        <w:rPr>
          <w:rFonts w:ascii="Arial Narrow" w:hAnsi="Arial Narrow"/>
          <w:sz w:val="18"/>
          <w:szCs w:val="18"/>
        </w:rPr>
      </w:pPr>
      <w:r w:rsidRPr="007108BC">
        <w:rPr>
          <w:rFonts w:ascii="Arial Narrow" w:hAnsi="Arial Narrow"/>
          <w:noProof/>
          <w:sz w:val="18"/>
          <w:szCs w:val="18"/>
        </w:rPr>
        <w:drawing>
          <wp:inline distT="0" distB="0" distL="0" distR="0" wp14:anchorId="7A5E0A98" wp14:editId="04C96C0C">
            <wp:extent cx="5358765" cy="2622550"/>
            <wp:effectExtent l="0" t="0" r="0" b="6350"/>
            <wp:docPr id="27" name="Picture 27" title="Figure 1. IMD notification rates by serogroup and year, Australia, 1999–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13196"/>
                    <a:stretch/>
                  </pic:blipFill>
                  <pic:spPr bwMode="auto">
                    <a:xfrm>
                      <a:off x="0" y="0"/>
                      <a:ext cx="5402301" cy="2643856"/>
                    </a:xfrm>
                    <a:prstGeom prst="rect">
                      <a:avLst/>
                    </a:prstGeom>
                    <a:noFill/>
                    <a:ln>
                      <a:noFill/>
                    </a:ln>
                    <a:extLst>
                      <a:ext uri="{53640926-AAD7-44D8-BBD7-CCE9431645EC}">
                        <a14:shadowObscured xmlns:a14="http://schemas.microsoft.com/office/drawing/2010/main"/>
                      </a:ext>
                    </a:extLst>
                  </pic:spPr>
                </pic:pic>
              </a:graphicData>
            </a:graphic>
          </wp:inline>
        </w:drawing>
      </w:r>
    </w:p>
    <w:p w:rsidR="003B61C2" w:rsidRPr="007108BC" w:rsidRDefault="003B61C2" w:rsidP="007108BC">
      <w:pPr>
        <w:ind w:left="567"/>
        <w:jc w:val="both"/>
        <w:rPr>
          <w:rFonts w:ascii="Arial Narrow" w:hAnsi="Arial Narrow"/>
          <w:sz w:val="18"/>
          <w:szCs w:val="18"/>
        </w:rPr>
      </w:pPr>
      <w:r w:rsidRPr="007108BC">
        <w:rPr>
          <w:rFonts w:ascii="Arial Narrow" w:hAnsi="Arial Narrow"/>
          <w:sz w:val="18"/>
          <w:szCs w:val="18"/>
        </w:rPr>
        <w:t xml:space="preserve">Abbreviations: IMD= invasive meningococcal disease. </w:t>
      </w:r>
    </w:p>
    <w:p w:rsidR="003B61C2" w:rsidRPr="007108BC" w:rsidRDefault="003B61C2" w:rsidP="007108BC">
      <w:pPr>
        <w:ind w:left="567"/>
        <w:jc w:val="both"/>
        <w:rPr>
          <w:rFonts w:ascii="Arial Narrow" w:hAnsi="Arial Narrow"/>
          <w:sz w:val="18"/>
          <w:szCs w:val="18"/>
        </w:rPr>
      </w:pPr>
      <w:r w:rsidRPr="007108BC">
        <w:rPr>
          <w:rFonts w:ascii="Arial Narrow" w:hAnsi="Arial Narrow"/>
          <w:sz w:val="18"/>
          <w:szCs w:val="18"/>
        </w:rPr>
        <w:t>Note: *Data (NNDSS) shown is for cases with a diagnosis date from 1 January 1999 to 31 December 2018. Cases from 1999–2007 were extracted in March 2018; cases from 2008 onwards were extracted in February 2019. Unknown serogroup encompasses both ungrouped and non</w:t>
      </w:r>
      <w:r w:rsidR="00FE1434">
        <w:rPr>
          <w:rFonts w:ascii="Arial Narrow" w:hAnsi="Arial Narrow"/>
          <w:sz w:val="18"/>
          <w:szCs w:val="18"/>
        </w:rPr>
        <w:t>-</w:t>
      </w:r>
      <w:r w:rsidRPr="007108BC">
        <w:rPr>
          <w:rFonts w:ascii="Arial Narrow" w:hAnsi="Arial Narrow"/>
          <w:sz w:val="18"/>
          <w:szCs w:val="18"/>
        </w:rPr>
        <w:t xml:space="preserve">groupable IMD. Trends not shown for serogroups A (n=5), E (n=2) and X (n=2). </w:t>
      </w:r>
    </w:p>
    <w:p w:rsidR="003B61C2" w:rsidRPr="007108BC" w:rsidRDefault="003B61C2" w:rsidP="007108BC">
      <w:pPr>
        <w:ind w:left="567"/>
        <w:jc w:val="both"/>
        <w:rPr>
          <w:rFonts w:ascii="Arial Narrow" w:hAnsi="Arial Narrow"/>
          <w:sz w:val="18"/>
          <w:szCs w:val="18"/>
        </w:rPr>
      </w:pPr>
      <w:r w:rsidRPr="007108BC">
        <w:rPr>
          <w:rFonts w:ascii="Arial Narrow" w:hAnsi="Arial Narrow"/>
          <w:sz w:val="18"/>
          <w:szCs w:val="18"/>
        </w:rPr>
        <w:t>Source: Figure 1, ATAGI pre-submission advice, June 2019, p. 5</w:t>
      </w:r>
    </w:p>
    <w:p w:rsidR="003B61C2" w:rsidRPr="007108BC" w:rsidRDefault="003B61C2" w:rsidP="00B80584"/>
    <w:p w:rsidR="003B61C2" w:rsidRPr="007108BC" w:rsidRDefault="003B61C2" w:rsidP="00EB423F">
      <w:pPr>
        <w:pStyle w:val="bulletnumberedstyle"/>
      </w:pPr>
      <w:r w:rsidRPr="007108BC">
        <w:t xml:space="preserve">The key clinical manifestation of IMD are meningitis and septicaemia. </w:t>
      </w:r>
      <w:r w:rsidR="00252978">
        <w:t>D</w:t>
      </w:r>
      <w:r w:rsidR="00252978" w:rsidRPr="007F6692">
        <w:t>epending on age and serogroup</w:t>
      </w:r>
      <w:r w:rsidR="00252978">
        <w:t xml:space="preserve">, </w:t>
      </w:r>
      <w:r w:rsidR="007F6692" w:rsidRPr="007F6692">
        <w:t xml:space="preserve">up </w:t>
      </w:r>
      <w:r w:rsidR="005404DB" w:rsidRPr="007F6692">
        <w:t xml:space="preserve">to </w:t>
      </w:r>
      <w:r w:rsidRPr="007F6692">
        <w:t>15%</w:t>
      </w:r>
      <w:r w:rsidRPr="007108BC">
        <w:t xml:space="preserve"> of patients </w:t>
      </w:r>
      <w:r w:rsidR="00252978">
        <w:t xml:space="preserve">may </w:t>
      </w:r>
      <w:r w:rsidRPr="007108BC">
        <w:t>die</w:t>
      </w:r>
      <w:r w:rsidR="005404DB">
        <w:t xml:space="preserve"> </w:t>
      </w:r>
      <w:r w:rsidR="00252978">
        <w:t xml:space="preserve">with some deaths occurring </w:t>
      </w:r>
      <w:r w:rsidRPr="007108BC">
        <w:t>within 24 to 48 hours after the onset of symptoms.</w:t>
      </w:r>
      <w:r w:rsidR="00624D24">
        <w:t xml:space="preserve"> </w:t>
      </w:r>
      <w:r w:rsidRPr="007108BC">
        <w:t>Around one-third of survivors develop permanent sequelae including limb deformity, vision or hearing difficulties, arthritis</w:t>
      </w:r>
      <w:r w:rsidR="00BE2478">
        <w:t>,</w:t>
      </w:r>
      <w:r w:rsidRPr="007108BC">
        <w:t xml:space="preserve"> or learning difficulties.</w:t>
      </w:r>
    </w:p>
    <w:p w:rsidR="003B61C2" w:rsidRPr="007108BC" w:rsidRDefault="003B61C2" w:rsidP="00EB423F">
      <w:pPr>
        <w:pStyle w:val="bulletnumberedstyle"/>
      </w:pPr>
      <w:r w:rsidRPr="007108BC">
        <w:t>The incidence of IMD is bimodal, with most cases occurring before 4 years of age and peaking again between 15-19 years of age (Figure 2).</w:t>
      </w:r>
      <w:r w:rsidR="00624D24">
        <w:t xml:space="preserve"> </w:t>
      </w:r>
    </w:p>
    <w:p w:rsidR="00C67AA9" w:rsidRDefault="00C67AA9">
      <w:pPr>
        <w:rPr>
          <w:rFonts w:ascii="Arial Narrow" w:hAnsi="Arial Narrow"/>
          <w:b/>
          <w:sz w:val="20"/>
          <w:szCs w:val="20"/>
        </w:rPr>
      </w:pPr>
      <w:r>
        <w:rPr>
          <w:rFonts w:ascii="Arial Narrow" w:hAnsi="Arial Narrow"/>
          <w:b/>
          <w:sz w:val="20"/>
          <w:szCs w:val="20"/>
        </w:rPr>
        <w:br w:type="page"/>
      </w:r>
    </w:p>
    <w:p w:rsidR="003B61C2" w:rsidRPr="007108BC" w:rsidRDefault="003B61C2" w:rsidP="007108BC">
      <w:pPr>
        <w:rPr>
          <w:rFonts w:ascii="Arial Narrow" w:hAnsi="Arial Narrow"/>
          <w:b/>
          <w:sz w:val="20"/>
          <w:szCs w:val="20"/>
        </w:rPr>
      </w:pPr>
      <w:r w:rsidRPr="007108BC">
        <w:rPr>
          <w:rFonts w:ascii="Arial Narrow" w:hAnsi="Arial Narrow"/>
          <w:b/>
          <w:sz w:val="20"/>
          <w:szCs w:val="20"/>
        </w:rPr>
        <w:lastRenderedPageBreak/>
        <w:t>Figure 2. Age-specific notifications of IMD in Australia, 2018, by serogroup and age group</w:t>
      </w:r>
    </w:p>
    <w:p w:rsidR="003B61C2" w:rsidRPr="007108BC" w:rsidRDefault="003B61C2" w:rsidP="007108BC">
      <w:pPr>
        <w:ind w:left="567"/>
      </w:pPr>
      <w:r w:rsidRPr="007108BC">
        <w:rPr>
          <w:noProof/>
        </w:rPr>
        <w:drawing>
          <wp:inline distT="0" distB="0" distL="0" distR="0" wp14:anchorId="3E42C188" wp14:editId="22074896">
            <wp:extent cx="5372083" cy="3140765"/>
            <wp:effectExtent l="0" t="0" r="635" b="2540"/>
            <wp:docPr id="28" name="Picture 28" title="Figure 2. Age-specific notifications of IMD in Australia, 2018, by serogroup and age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7860" cy="3149989"/>
                    </a:xfrm>
                    <a:prstGeom prst="rect">
                      <a:avLst/>
                    </a:prstGeom>
                    <a:noFill/>
                    <a:ln>
                      <a:noFill/>
                    </a:ln>
                  </pic:spPr>
                </pic:pic>
              </a:graphicData>
            </a:graphic>
          </wp:inline>
        </w:drawing>
      </w:r>
    </w:p>
    <w:p w:rsidR="003B61C2" w:rsidRPr="007108BC" w:rsidRDefault="003B61C2" w:rsidP="007108BC">
      <w:pPr>
        <w:ind w:firstLine="567"/>
        <w:rPr>
          <w:rFonts w:ascii="Arial Narrow" w:hAnsi="Arial Narrow"/>
          <w:sz w:val="18"/>
          <w:szCs w:val="18"/>
        </w:rPr>
      </w:pPr>
      <w:r w:rsidRPr="007108BC">
        <w:rPr>
          <w:rFonts w:ascii="Arial Narrow" w:hAnsi="Arial Narrow"/>
          <w:sz w:val="18"/>
          <w:szCs w:val="18"/>
        </w:rPr>
        <w:t xml:space="preserve">Abbreviations: IMD= invasive meningococcal disease. </w:t>
      </w:r>
    </w:p>
    <w:p w:rsidR="003B61C2" w:rsidRPr="007108BC" w:rsidRDefault="003B61C2" w:rsidP="007108BC">
      <w:pPr>
        <w:ind w:firstLine="567"/>
        <w:rPr>
          <w:rFonts w:ascii="Arial Narrow" w:hAnsi="Arial Narrow"/>
          <w:sz w:val="18"/>
          <w:szCs w:val="18"/>
        </w:rPr>
      </w:pPr>
      <w:r w:rsidRPr="007108BC">
        <w:rPr>
          <w:rFonts w:ascii="Arial Narrow" w:hAnsi="Arial Narrow"/>
          <w:sz w:val="18"/>
          <w:szCs w:val="18"/>
        </w:rPr>
        <w:t xml:space="preserve">Source: Figure 1.5, p. 43 of the resubmission. </w:t>
      </w:r>
    </w:p>
    <w:p w:rsidR="003B61C2" w:rsidRPr="007108BC" w:rsidRDefault="003B61C2" w:rsidP="007108BC">
      <w:pPr>
        <w:rPr>
          <w:rFonts w:ascii="Arial Narrow" w:hAnsi="Arial Narrow"/>
          <w:sz w:val="18"/>
          <w:szCs w:val="18"/>
        </w:rPr>
      </w:pPr>
    </w:p>
    <w:p w:rsidR="003B61C2" w:rsidRPr="007108BC" w:rsidRDefault="003B61C2" w:rsidP="00EB423F">
      <w:pPr>
        <w:pStyle w:val="bulletnumberedstyle"/>
      </w:pPr>
      <w:r w:rsidRPr="007108BC">
        <w:t xml:space="preserve">In 2018, </w:t>
      </w:r>
      <w:r w:rsidR="00262872" w:rsidRPr="007108BC">
        <w:t>there were 281 IMD cases</w:t>
      </w:r>
      <w:r w:rsidR="001F00B1">
        <w:t xml:space="preserve">; </w:t>
      </w:r>
      <w:r w:rsidRPr="007108BC">
        <w:t>Men</w:t>
      </w:r>
      <w:r w:rsidR="00485EA1" w:rsidRPr="007108BC">
        <w:t xml:space="preserve"> </w:t>
      </w:r>
      <w:r w:rsidRPr="007108BC">
        <w:t xml:space="preserve">B </w:t>
      </w:r>
      <w:r w:rsidR="00485EA1" w:rsidRPr="007108BC">
        <w:t xml:space="preserve">was </w:t>
      </w:r>
      <w:r w:rsidR="00A126F6" w:rsidRPr="007108BC">
        <w:t xml:space="preserve">established as </w:t>
      </w:r>
      <w:r w:rsidR="00485EA1" w:rsidRPr="007108BC">
        <w:t xml:space="preserve">the cause </w:t>
      </w:r>
      <w:r w:rsidRPr="007108BC">
        <w:t>for 119</w:t>
      </w:r>
      <w:r w:rsidR="00D10800" w:rsidRPr="007108BC">
        <w:t xml:space="preserve"> cases</w:t>
      </w:r>
      <w:r w:rsidR="00262872" w:rsidRPr="007108BC">
        <w:t xml:space="preserve"> </w:t>
      </w:r>
      <w:r w:rsidRPr="007108BC">
        <w:t xml:space="preserve">(42.3%) </w:t>
      </w:r>
      <w:r w:rsidR="00262872" w:rsidRPr="007108BC">
        <w:t>and Men</w:t>
      </w:r>
      <w:r w:rsidR="00A126F6" w:rsidRPr="007108BC">
        <w:t xml:space="preserve"> </w:t>
      </w:r>
      <w:r w:rsidR="00262872" w:rsidRPr="007108BC">
        <w:t xml:space="preserve">W </w:t>
      </w:r>
      <w:r w:rsidR="00574164">
        <w:t xml:space="preserve">in </w:t>
      </w:r>
      <w:r w:rsidR="00262872" w:rsidRPr="007108BC">
        <w:t xml:space="preserve">100 </w:t>
      </w:r>
      <w:r w:rsidR="00D10800" w:rsidRPr="007108BC">
        <w:t xml:space="preserve">cases </w:t>
      </w:r>
      <w:r w:rsidR="00262872" w:rsidRPr="007108BC">
        <w:t xml:space="preserve">(36%). There were 16 deaths attributable to IMD with 4 due to Men B and 10 due to Men W. A </w:t>
      </w:r>
      <w:r w:rsidR="00F43071" w:rsidRPr="007108BC">
        <w:t xml:space="preserve">vaccination to prevent Men W (Men ACWY) </w:t>
      </w:r>
      <w:r w:rsidR="00574164">
        <w:t xml:space="preserve">was included on the NIP for infants in July 2018 and for adolescents in April </w:t>
      </w:r>
      <w:r w:rsidR="00262872" w:rsidRPr="007108BC">
        <w:t>2019.</w:t>
      </w:r>
      <w:r w:rsidR="00624D24">
        <w:t xml:space="preserve"> </w:t>
      </w:r>
    </w:p>
    <w:p w:rsidR="00596CF3" w:rsidRDefault="00596CF3" w:rsidP="00596CF3">
      <w:pPr>
        <w:pStyle w:val="bulletnumberedstyle"/>
      </w:pPr>
      <w:r>
        <w:t xml:space="preserve">The burden of IMD </w:t>
      </w:r>
      <w:r w:rsidR="00773956">
        <w:t xml:space="preserve">caused by </w:t>
      </w:r>
      <w:r>
        <w:t>Men B is higher in Aboriginal and Torres Strait Islander children aged &lt; 15 years compared with non-Indigenous children</w:t>
      </w:r>
      <w:r w:rsidR="00C6552E">
        <w:t xml:space="preserve"> (Figure 3)</w:t>
      </w:r>
      <w:r>
        <w:t xml:space="preserve">. However, there is no disparity observed in adolescents and young adults aged 15 to 24 years of age. </w:t>
      </w:r>
      <w:r w:rsidR="004C6E47" w:rsidRPr="004C6E47">
        <w:t xml:space="preserve">The PBAC noted the average annual rate of serogroup B IMD notifications in Aboriginal and Torres Strait Islander </w:t>
      </w:r>
      <w:r w:rsidR="00782011">
        <w:t xml:space="preserve">children under 5 years of age </w:t>
      </w:r>
      <w:r w:rsidR="004C6E47" w:rsidRPr="004C6E47">
        <w:t xml:space="preserve">between 2016 and 2018 was </w:t>
      </w:r>
      <w:r w:rsidR="00782011">
        <w:t>11.0</w:t>
      </w:r>
      <w:r w:rsidR="004C6E47" w:rsidRPr="004C6E47">
        <w:t xml:space="preserve"> per</w:t>
      </w:r>
      <w:r w:rsidR="00782011">
        <w:t xml:space="preserve"> 100,000 population compared to</w:t>
      </w:r>
      <w:r w:rsidR="00782011" w:rsidRPr="00782011">
        <w:t xml:space="preserve"> 1.7</w:t>
      </w:r>
      <w:r w:rsidR="00782011">
        <w:t xml:space="preserve"> per 100,000 in </w:t>
      </w:r>
      <w:r w:rsidR="004C6E47" w:rsidRPr="004C6E47">
        <w:t>non-</w:t>
      </w:r>
      <w:r w:rsidR="004C6E47">
        <w:t>I</w:t>
      </w:r>
      <w:r w:rsidR="004C6E47" w:rsidRPr="004C6E47">
        <w:t>ndigenous</w:t>
      </w:r>
      <w:r w:rsidR="00782011">
        <w:t xml:space="preserve"> children (rate ratio = 6.6) (</w:t>
      </w:r>
      <w:r w:rsidR="00782011" w:rsidRPr="00782011">
        <w:t>ATAGI pre submission advice, June 2019</w:t>
      </w:r>
      <w:r w:rsidR="00782011">
        <w:t>)</w:t>
      </w:r>
      <w:r w:rsidR="004C6E47" w:rsidRPr="004C6E47">
        <w:t>.</w:t>
      </w:r>
    </w:p>
    <w:p w:rsidR="00DC42C7" w:rsidRDefault="00DC42C7">
      <w:pPr>
        <w:rPr>
          <w:noProof/>
        </w:rPr>
      </w:pPr>
      <w:r>
        <w:rPr>
          <w:noProof/>
        </w:rPr>
        <w:br w:type="page"/>
      </w:r>
    </w:p>
    <w:p w:rsidR="00596CF3" w:rsidRPr="007108BC" w:rsidRDefault="00596CF3" w:rsidP="00596CF3">
      <w:pPr>
        <w:rPr>
          <w:rFonts w:ascii="Arial Narrow" w:hAnsi="Arial Narrow"/>
          <w:b/>
          <w:sz w:val="20"/>
          <w:szCs w:val="20"/>
        </w:rPr>
      </w:pPr>
      <w:r>
        <w:rPr>
          <w:rFonts w:ascii="Arial Narrow" w:hAnsi="Arial Narrow"/>
          <w:b/>
          <w:sz w:val="20"/>
          <w:szCs w:val="20"/>
        </w:rPr>
        <w:lastRenderedPageBreak/>
        <w:t>Figure 3</w:t>
      </w:r>
      <w:r w:rsidRPr="007108BC">
        <w:rPr>
          <w:rFonts w:ascii="Arial Narrow" w:hAnsi="Arial Narrow"/>
          <w:b/>
          <w:sz w:val="20"/>
          <w:szCs w:val="20"/>
        </w:rPr>
        <w:t xml:space="preserve">. </w:t>
      </w:r>
      <w:r>
        <w:rPr>
          <w:rFonts w:ascii="Arial Narrow" w:hAnsi="Arial Narrow"/>
          <w:b/>
          <w:sz w:val="20"/>
          <w:szCs w:val="20"/>
        </w:rPr>
        <w:t xml:space="preserve">Average annual rates of serogroup B IMD notifications and rate ratio </w:t>
      </w:r>
      <w:r w:rsidR="00EF757F">
        <w:rPr>
          <w:rFonts w:ascii="Arial Narrow" w:hAnsi="Arial Narrow"/>
          <w:b/>
          <w:sz w:val="20"/>
          <w:szCs w:val="20"/>
        </w:rPr>
        <w:t xml:space="preserve">(RR) </w:t>
      </w:r>
      <w:r>
        <w:rPr>
          <w:rFonts w:ascii="Arial Narrow" w:hAnsi="Arial Narrow"/>
          <w:b/>
          <w:sz w:val="20"/>
          <w:szCs w:val="20"/>
        </w:rPr>
        <w:t>for notifications in Aboriginal and Torres Strait Islander and non-Indigenous persons, by age group, 2016 to 2018</w:t>
      </w:r>
    </w:p>
    <w:p w:rsidR="00596CF3" w:rsidRDefault="00596CF3" w:rsidP="00596CF3">
      <w:pPr>
        <w:jc w:val="both"/>
      </w:pPr>
      <w:r>
        <w:rPr>
          <w:noProof/>
        </w:rPr>
        <w:drawing>
          <wp:inline distT="0" distB="0" distL="0" distR="0" wp14:anchorId="58B15E56" wp14:editId="73CB7F0E">
            <wp:extent cx="5727700" cy="3036570"/>
            <wp:effectExtent l="0" t="0" r="6350" b="0"/>
            <wp:docPr id="1" name="Picture 1" title="Figure 3. Average annual rates of serogroup B IMD notifications and rate ratio (RR) for notifications in Aboriginal and Torres Strait Islander and non-Indigenous persons, by age group, 2016 to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3036570"/>
                    </a:xfrm>
                    <a:prstGeom prst="rect">
                      <a:avLst/>
                    </a:prstGeom>
                    <a:noFill/>
                    <a:ln>
                      <a:noFill/>
                    </a:ln>
                  </pic:spPr>
                </pic:pic>
              </a:graphicData>
            </a:graphic>
          </wp:inline>
        </w:drawing>
      </w:r>
    </w:p>
    <w:p w:rsidR="00596CF3" w:rsidRPr="00C6552E" w:rsidRDefault="00C6552E" w:rsidP="00596CF3">
      <w:pPr>
        <w:jc w:val="both"/>
        <w:rPr>
          <w:rFonts w:ascii="Arial Narrow" w:hAnsi="Arial Narrow"/>
          <w:sz w:val="18"/>
          <w:szCs w:val="18"/>
        </w:rPr>
      </w:pPr>
      <w:r w:rsidRPr="007108BC">
        <w:rPr>
          <w:rFonts w:ascii="Arial Narrow" w:hAnsi="Arial Narrow"/>
          <w:sz w:val="18"/>
          <w:szCs w:val="18"/>
        </w:rPr>
        <w:t xml:space="preserve">Source: Figure </w:t>
      </w:r>
      <w:r>
        <w:rPr>
          <w:rFonts w:ascii="Arial Narrow" w:hAnsi="Arial Narrow"/>
          <w:sz w:val="18"/>
          <w:szCs w:val="18"/>
        </w:rPr>
        <w:t xml:space="preserve">5, </w:t>
      </w:r>
      <w:r w:rsidRPr="00C6552E">
        <w:rPr>
          <w:rFonts w:ascii="Arial Narrow" w:hAnsi="Arial Narrow"/>
          <w:sz w:val="18"/>
          <w:szCs w:val="18"/>
        </w:rPr>
        <w:t>ATAGI pre su</w:t>
      </w:r>
      <w:r>
        <w:rPr>
          <w:rFonts w:ascii="Arial Narrow" w:hAnsi="Arial Narrow"/>
          <w:sz w:val="18"/>
          <w:szCs w:val="18"/>
        </w:rPr>
        <w:t xml:space="preserve">bmission advice, June 2019, </w:t>
      </w:r>
      <w:r w:rsidR="006A09AC">
        <w:rPr>
          <w:rFonts w:ascii="Arial Narrow" w:hAnsi="Arial Narrow"/>
          <w:sz w:val="18"/>
          <w:szCs w:val="18"/>
        </w:rPr>
        <w:t>, p.10</w:t>
      </w:r>
    </w:p>
    <w:p w:rsidR="00596CF3" w:rsidRDefault="00596CF3" w:rsidP="00596CF3">
      <w:pPr>
        <w:jc w:val="both"/>
      </w:pPr>
    </w:p>
    <w:p w:rsidR="00596CF3" w:rsidRPr="007108BC" w:rsidRDefault="00596CF3" w:rsidP="00596CF3">
      <w:pPr>
        <w:jc w:val="both"/>
      </w:pPr>
    </w:p>
    <w:p w:rsidR="003B61C2" w:rsidRPr="007108BC" w:rsidRDefault="003B61C2" w:rsidP="00EB423F">
      <w:pPr>
        <w:pStyle w:val="bulletnumberedstyle"/>
      </w:pPr>
      <w:r w:rsidRPr="007108BC">
        <w:t>4CMenB is proposed to be included in the NIP and was assumed to replace the current private uptake of the vaccine and the existing South Australian Government program</w:t>
      </w:r>
      <w:r w:rsidR="00B30899">
        <w:t xml:space="preserve"> (implemented due to the higher incidence </w:t>
      </w:r>
      <w:r w:rsidR="00773956">
        <w:t xml:space="preserve">IMD caused by </w:t>
      </w:r>
      <w:r w:rsidR="00B30899">
        <w:t>Men B observed in South Australia)</w:t>
      </w:r>
      <w:r w:rsidRPr="007108BC">
        <w:t xml:space="preserve">. </w:t>
      </w:r>
    </w:p>
    <w:p w:rsidR="003B61C2" w:rsidRPr="007108BC" w:rsidRDefault="003B61C2" w:rsidP="00EB423F">
      <w:pPr>
        <w:pStyle w:val="bulletnumberedstyle"/>
      </w:pPr>
      <w:r w:rsidRPr="007108BC">
        <w:t xml:space="preserve">The submission provided additional evidence to support a secondary superiority clinical claim for the prevention of gonorrhoea. </w:t>
      </w:r>
    </w:p>
    <w:p w:rsidR="003B61C2" w:rsidRPr="007108BC" w:rsidRDefault="003B61C2" w:rsidP="005A1BBE">
      <w:pPr>
        <w:pStyle w:val="PBACHeading1"/>
      </w:pPr>
      <w:bookmarkStart w:id="9" w:name="_Toc19697621"/>
      <w:r w:rsidRPr="007108BC">
        <w:t>Comparator</w:t>
      </w:r>
      <w:bookmarkEnd w:id="9"/>
    </w:p>
    <w:p w:rsidR="003B61C2" w:rsidRPr="00D51D60" w:rsidRDefault="003B61C2" w:rsidP="00EB423F">
      <w:pPr>
        <w:pStyle w:val="bulletnumberedstyle"/>
        <w:rPr>
          <w:color w:val="3366FF"/>
        </w:rPr>
      </w:pPr>
      <w:r w:rsidRPr="007108BC">
        <w:t>The resubmission nominated no vac</w:t>
      </w:r>
      <w:r w:rsidR="00C32B05">
        <w:t>cine as the main comparator. T</w:t>
      </w:r>
      <w:r w:rsidRPr="00D51D60">
        <w:t xml:space="preserve">he PBAC </w:t>
      </w:r>
      <w:r w:rsidR="00C32B05">
        <w:t>previously considered t</w:t>
      </w:r>
      <w:r w:rsidRPr="00D51D60">
        <w:t xml:space="preserve">he nominated comparator was appropriate as no vaccine against Men B infection was available </w:t>
      </w:r>
      <w:r w:rsidR="00C32B05">
        <w:t xml:space="preserve">at the time </w:t>
      </w:r>
      <w:r w:rsidRPr="00D51D60">
        <w:t>(</w:t>
      </w:r>
      <w:r w:rsidR="00841191" w:rsidRPr="00D51D60">
        <w:t>paragraph 5.2</w:t>
      </w:r>
      <w:r w:rsidR="00841191">
        <w:t>, 4CMenB</w:t>
      </w:r>
      <w:r w:rsidR="00A90199">
        <w:t xml:space="preserve"> Public Summary Document</w:t>
      </w:r>
      <w:r w:rsidR="00841191">
        <w:t xml:space="preserve"> </w:t>
      </w:r>
      <w:r w:rsidR="00A90199">
        <w:t>(</w:t>
      </w:r>
      <w:r w:rsidR="00841191">
        <w:t>PSD</w:t>
      </w:r>
      <w:r w:rsidR="00A90199">
        <w:t>)</w:t>
      </w:r>
      <w:r w:rsidR="00841191">
        <w:t>, November 2013 PBAC meeting</w:t>
      </w:r>
      <w:r w:rsidRPr="00D51D60">
        <w:t>). A</w:t>
      </w:r>
      <w:r w:rsidR="00E20381" w:rsidRPr="00D51D60">
        <w:t xml:space="preserve">n additional meningococcal group B vaccine was </w:t>
      </w:r>
      <w:r w:rsidRPr="00D51D60">
        <w:t>registered</w:t>
      </w:r>
      <w:r w:rsidR="00E20381" w:rsidRPr="00D51D60">
        <w:t xml:space="preserve"> by the TGA</w:t>
      </w:r>
      <w:r w:rsidRPr="00D51D60">
        <w:t xml:space="preserve"> in September 2017 for use in children aged </w:t>
      </w:r>
      <w:r w:rsidRPr="00D51D60">
        <w:rPr>
          <w:rFonts w:cs="Calibri"/>
        </w:rPr>
        <w:t>≥</w:t>
      </w:r>
      <w:r w:rsidRPr="00D51D60">
        <w:t xml:space="preserve"> 10 years for the prevention of </w:t>
      </w:r>
      <w:r w:rsidR="00B959B0">
        <w:rPr>
          <w:i/>
        </w:rPr>
        <w:t>Neisseria</w:t>
      </w:r>
      <w:r w:rsidRPr="00DB5D1B">
        <w:rPr>
          <w:i/>
        </w:rPr>
        <w:t xml:space="preserve"> meningitidis </w:t>
      </w:r>
      <w:r w:rsidRPr="00D51D60">
        <w:t>serogroup B (MenB-fHbp).</w:t>
      </w:r>
      <w:r w:rsidR="0014455C">
        <w:t xml:space="preserve"> </w:t>
      </w:r>
      <w:r w:rsidRPr="007108BC">
        <w:t xml:space="preserve">The resubmission argued that this was not interchangeable with 4CMenB because it did not target infants/toddlers and did not have cross-protection against gonorrhoea in adolescents. </w:t>
      </w:r>
      <w:r w:rsidR="006F33EA" w:rsidRPr="000D2F9F">
        <w:t xml:space="preserve">The </w:t>
      </w:r>
      <w:r w:rsidR="005E61EC">
        <w:t>Pre-Sub-Committee Response (</w:t>
      </w:r>
      <w:r w:rsidR="006F33EA" w:rsidRPr="000D2F9F">
        <w:t>PSCR</w:t>
      </w:r>
      <w:r w:rsidR="005E61EC">
        <w:t>)</w:t>
      </w:r>
      <w:r w:rsidR="006F33EA" w:rsidRPr="000D2F9F">
        <w:t xml:space="preserve"> </w:t>
      </w:r>
      <w:r w:rsidR="00392B14" w:rsidRPr="000D2F9F">
        <w:t xml:space="preserve"> </w:t>
      </w:r>
      <w:r w:rsidR="006F33EA" w:rsidRPr="000D2F9F">
        <w:t xml:space="preserve">stated that cross-protection against gonorrhoea is specific to the antigenic composition of 4CMenB and therefore MenB-fHbp should not be considered a near-market comparator for children aged ≥ </w:t>
      </w:r>
      <w:r w:rsidR="006F33EA" w:rsidRPr="000D2F9F">
        <w:lastRenderedPageBreak/>
        <w:t>10 years.</w:t>
      </w:r>
      <w:r w:rsidR="00AB3212" w:rsidRPr="00AB3212">
        <w:t xml:space="preserve"> </w:t>
      </w:r>
      <w:r w:rsidR="00252978">
        <w:t xml:space="preserve">The PBAC considered </w:t>
      </w:r>
      <w:r w:rsidR="00AB3212" w:rsidRPr="00D51D60">
        <w:t xml:space="preserve">MenB-fHbp may be considered </w:t>
      </w:r>
      <w:r w:rsidR="00252978">
        <w:t xml:space="preserve">an alternative vaccine </w:t>
      </w:r>
      <w:r w:rsidR="00AB3212" w:rsidRPr="00D51D60">
        <w:t xml:space="preserve">for children </w:t>
      </w:r>
      <w:r w:rsidR="00252978">
        <w:t xml:space="preserve">and adolescents </w:t>
      </w:r>
      <w:r w:rsidR="00AB3212" w:rsidRPr="00D51D60">
        <w:t xml:space="preserve">aged </w:t>
      </w:r>
      <w:r w:rsidR="00AB3212" w:rsidRPr="00D51D60">
        <w:rPr>
          <w:rFonts w:cs="Calibri"/>
        </w:rPr>
        <w:t>≥</w:t>
      </w:r>
      <w:r w:rsidR="00AB3212" w:rsidRPr="00D51D60">
        <w:t xml:space="preserve"> 10 years.</w:t>
      </w:r>
    </w:p>
    <w:p w:rsidR="008E44DD" w:rsidRDefault="003B61C2" w:rsidP="005A1BBE">
      <w:pPr>
        <w:pStyle w:val="PBACHeading1"/>
      </w:pPr>
      <w:bookmarkStart w:id="10" w:name="_Toc19697622"/>
      <w:r w:rsidRPr="007108BC">
        <w:t>Consideration of the evidence</w:t>
      </w:r>
      <w:bookmarkStart w:id="11" w:name="_Toc19697623"/>
      <w:bookmarkEnd w:id="10"/>
    </w:p>
    <w:p w:rsidR="008E44DD" w:rsidRPr="0052367C" w:rsidRDefault="008E44DD" w:rsidP="0052367C">
      <w:pPr>
        <w:pStyle w:val="Heading2"/>
      </w:pPr>
      <w:r w:rsidRPr="0052367C">
        <w:t>Sponsor hearing</w:t>
      </w:r>
    </w:p>
    <w:p w:rsidR="008E44DD" w:rsidRDefault="008E44DD" w:rsidP="008E44DD">
      <w:pPr>
        <w:pStyle w:val="bulletnumberedstyle"/>
      </w:pPr>
      <w:r w:rsidRPr="008E44DD">
        <w:t>There was no hearing for this item</w:t>
      </w:r>
      <w:r>
        <w:t>.</w:t>
      </w:r>
    </w:p>
    <w:p w:rsidR="008E44DD" w:rsidRPr="0052367C" w:rsidRDefault="008E44DD" w:rsidP="0052367C">
      <w:pPr>
        <w:pStyle w:val="Heading2"/>
      </w:pPr>
      <w:r w:rsidRPr="0052367C">
        <w:t>Consumer comments</w:t>
      </w:r>
    </w:p>
    <w:p w:rsidR="006208AD" w:rsidRDefault="006208AD" w:rsidP="006208AD">
      <w:pPr>
        <w:pStyle w:val="bulletnumberedstyle"/>
      </w:pPr>
      <w:r>
        <w:t>The PBAC noted and welcomed the input from individuals (201), health care professionals (28) and organisations (6) via the Consumer Comments facility on the PBS website</w:t>
      </w:r>
      <w:r w:rsidRPr="005025CA">
        <w:t>.</w:t>
      </w:r>
      <w:r w:rsidR="00D47FDA">
        <w:t xml:space="preserve"> </w:t>
      </w:r>
      <w:r w:rsidRPr="005025CA">
        <w:t>The comments descr</w:t>
      </w:r>
      <w:r w:rsidR="00B042EF" w:rsidRPr="005025CA">
        <w:t xml:space="preserve">ibed </w:t>
      </w:r>
      <w:r w:rsidR="005025CA">
        <w:t>the devastating</w:t>
      </w:r>
      <w:r w:rsidR="00A33B5B">
        <w:t>,</w:t>
      </w:r>
      <w:r w:rsidR="005025CA">
        <w:t xml:space="preserve"> </w:t>
      </w:r>
      <w:r w:rsidR="00A33B5B">
        <w:t xml:space="preserve">often life-long </w:t>
      </w:r>
      <w:r w:rsidR="005025CA">
        <w:t>consequences</w:t>
      </w:r>
      <w:r w:rsidR="00A33B5B">
        <w:t xml:space="preserve"> </w:t>
      </w:r>
      <w:r w:rsidR="005025CA">
        <w:t>of IMD and the high impact on the quality of life of families that are affected. Many comments raised the equity issues associated with the affordability of the vaccine with some families not offered the vaccine due to the high cost.</w:t>
      </w:r>
      <w:r w:rsidR="00A33B5B">
        <w:t xml:space="preserve"> Many comments related to the difficultly in diagnosing IMD and the speed with which the condition can progress. Respondents commented that children and adolescents should be protected against all strains of IMD and Men B is the only strain not currently covered. There was a perception amongst some respondents that vaccination provided 100% protection from IMD and provided protection for unvaccinated individuals (i.e., herd immunity)</w:t>
      </w:r>
      <w:r w:rsidR="00DC7136">
        <w:t>, however the clinical evidence indicates that the vaccine is not 100% effective with IMD having been reported in vaccinated individuals and that only vaccinated individuals are protected</w:t>
      </w:r>
      <w:r w:rsidR="00A33B5B">
        <w:t>.</w:t>
      </w:r>
      <w:r w:rsidR="00D47FDA">
        <w:t xml:space="preserve"> </w:t>
      </w:r>
    </w:p>
    <w:p w:rsidR="003B61C2" w:rsidRPr="005A1BBE" w:rsidRDefault="003B61C2" w:rsidP="005A1BBE">
      <w:pPr>
        <w:pStyle w:val="Heading2"/>
      </w:pPr>
      <w:r w:rsidRPr="005A1BBE">
        <w:t>Clinical trials</w:t>
      </w:r>
      <w:bookmarkEnd w:id="11"/>
    </w:p>
    <w:p w:rsidR="003B61C2" w:rsidRPr="007108BC" w:rsidRDefault="003B61C2" w:rsidP="00EB423F">
      <w:pPr>
        <w:pStyle w:val="bulletnumberedstyle"/>
      </w:pPr>
      <w:r w:rsidRPr="007108BC">
        <w:t xml:space="preserve">The resubmission presented four real world evidence studies to support the clinical claim of superior effectiveness compared to no vaccination. The main study was the UK PHE Vaccination Program that vaccinated infants against IMD caused by Men B. Three other studies, the Quebec Regional Vaccination Program, the Portugal PT-BEST study and the ‘South Australia B part of it’ were also presented as supporting evidence. </w:t>
      </w:r>
      <w:r w:rsidRPr="00D51D60">
        <w:t xml:space="preserve">These studies had not previously been considered by </w:t>
      </w:r>
      <w:r w:rsidR="009A41A1" w:rsidRPr="00D51D60">
        <w:t xml:space="preserve">the </w:t>
      </w:r>
      <w:r w:rsidRPr="00D51D60">
        <w:t>PBAC.</w:t>
      </w:r>
      <w:r w:rsidRPr="007108BC">
        <w:t xml:space="preserve"> </w:t>
      </w:r>
    </w:p>
    <w:p w:rsidR="003B61C2" w:rsidRPr="007108BC" w:rsidRDefault="003B61C2" w:rsidP="00EB423F">
      <w:pPr>
        <w:pStyle w:val="bulletnumberedstyle"/>
      </w:pPr>
      <w:r w:rsidRPr="007108BC">
        <w:t>The resubmission presented 6 immunogenicity randomised controlled trials (RCTs) as supportive evidence of</w:t>
      </w:r>
      <w:r w:rsidR="00DC7136">
        <w:t xml:space="preserve"> the efficacy of</w:t>
      </w:r>
      <w:r w:rsidRPr="007108BC">
        <w:t xml:space="preserve"> 4CMenB [V72_28, V72_28E1, V72_56, V72P12E2, V72_41, V72_75]. </w:t>
      </w:r>
      <w:r w:rsidRPr="00D51D60">
        <w:t>These studies had not previously been considered by the PBAC. Of these, only 3 (V72_28, V72_28E1 and V72_75) were considered relevant</w:t>
      </w:r>
      <w:r w:rsidR="00574164">
        <w:t xml:space="preserve"> to the evaluation</w:t>
      </w:r>
      <w:r w:rsidR="00C1067A">
        <w:t>.</w:t>
      </w:r>
      <w:r w:rsidRPr="00D51D60">
        <w:t xml:space="preserve"> The </w:t>
      </w:r>
      <w:r w:rsidR="00846128">
        <w:t xml:space="preserve">studies </w:t>
      </w:r>
      <w:r w:rsidRPr="00D51D60">
        <w:t xml:space="preserve">excluded </w:t>
      </w:r>
      <w:r w:rsidR="00846128">
        <w:t xml:space="preserve">by the evaluation assessed </w:t>
      </w:r>
      <w:r w:rsidRPr="00D51D60">
        <w:t>concomitance of 4CMenB with a vaccine not listed in the NIP, additional doses beyond the proposed schedule and one</w:t>
      </w:r>
      <w:r w:rsidR="0036754D" w:rsidRPr="00D51D60">
        <w:t xml:space="preserve"> that assessed the safety and immunogenicity of 4CMenB when formulated with </w:t>
      </w:r>
      <w:r w:rsidR="00683266" w:rsidRPr="00D51D60">
        <w:t xml:space="preserve">the </w:t>
      </w:r>
      <w:r w:rsidR="000D2F9F">
        <w:t xml:space="preserve">outer membrane vehicle </w:t>
      </w:r>
      <w:r w:rsidR="0036754D" w:rsidRPr="00D51D60">
        <w:t xml:space="preserve">antigen manufactured at two different </w:t>
      </w:r>
      <w:r w:rsidR="008B4545" w:rsidRPr="00D51D60">
        <w:t xml:space="preserve">manufacturing </w:t>
      </w:r>
      <w:r w:rsidR="00683266" w:rsidRPr="00D51D60">
        <w:t>sites</w:t>
      </w:r>
      <w:r w:rsidRPr="00D51D60">
        <w:t>.</w:t>
      </w:r>
      <w:r w:rsidR="00624D24">
        <w:t xml:space="preserve"> </w:t>
      </w:r>
    </w:p>
    <w:p w:rsidR="003B61C2" w:rsidRPr="007108BC" w:rsidRDefault="003B61C2" w:rsidP="00EB423F">
      <w:pPr>
        <w:pStyle w:val="bulletnumberedstyle"/>
      </w:pPr>
      <w:r w:rsidRPr="007108BC">
        <w:lastRenderedPageBreak/>
        <w:t xml:space="preserve">The resubmission also presented three real world evidence studies to support the clinical claim of superior effectiveness compared to no vaccination against </w:t>
      </w:r>
      <w:r w:rsidR="007575EB">
        <w:rPr>
          <w:i/>
          <w:iCs/>
        </w:rPr>
        <w:t xml:space="preserve">Neisseria </w:t>
      </w:r>
      <w:r w:rsidRPr="007108BC">
        <w:rPr>
          <w:i/>
          <w:iCs/>
        </w:rPr>
        <w:t xml:space="preserve">gonorrhoea </w:t>
      </w:r>
      <w:r w:rsidRPr="007108BC">
        <w:t xml:space="preserve">in adolescents. </w:t>
      </w:r>
      <w:r w:rsidR="0014455C">
        <w:t>The evaluation considered that o</w:t>
      </w:r>
      <w:r w:rsidRPr="00D51D60">
        <w:t xml:space="preserve">ne of these studies was relevant as the other two did not provide evidence on cross-protection of 4CMenB against </w:t>
      </w:r>
      <w:r w:rsidR="007575EB">
        <w:rPr>
          <w:i/>
        </w:rPr>
        <w:t>Neisseria</w:t>
      </w:r>
      <w:r w:rsidRPr="00B959B0">
        <w:rPr>
          <w:i/>
        </w:rPr>
        <w:t xml:space="preserve"> gonorrhoea</w:t>
      </w:r>
      <w:r w:rsidRPr="007108BC">
        <w:t xml:space="preserve">. </w:t>
      </w:r>
    </w:p>
    <w:p w:rsidR="003B61C2" w:rsidRPr="007108BC" w:rsidRDefault="003B61C2" w:rsidP="00EB423F">
      <w:pPr>
        <w:pStyle w:val="bulletnumberedstyle"/>
      </w:pPr>
      <w:r w:rsidRPr="007108BC">
        <w:t>Details of the real world evidence trials presented in the submission to support the clinical effectiveness claim are provided in the table below.</w:t>
      </w:r>
      <w:r w:rsidR="00624D24">
        <w:t xml:space="preserve"> </w:t>
      </w:r>
    </w:p>
    <w:p w:rsidR="005516FE" w:rsidRDefault="005516FE">
      <w:pPr>
        <w:rPr>
          <w:rFonts w:ascii="Arial Narrow" w:hAnsi="Arial Narrow"/>
          <w:b/>
          <w:sz w:val="20"/>
          <w:szCs w:val="20"/>
        </w:rPr>
      </w:pPr>
      <w:r>
        <w:rPr>
          <w:rFonts w:ascii="Arial Narrow" w:hAnsi="Arial Narrow"/>
          <w:b/>
          <w:sz w:val="20"/>
          <w:szCs w:val="20"/>
        </w:rPr>
        <w:br w:type="page"/>
      </w:r>
    </w:p>
    <w:p w:rsidR="003B61C2" w:rsidRPr="007108BC" w:rsidRDefault="003B61C2" w:rsidP="007108BC">
      <w:pPr>
        <w:rPr>
          <w:rFonts w:ascii="Arial Narrow" w:hAnsi="Arial Narrow"/>
          <w:b/>
          <w:sz w:val="20"/>
          <w:szCs w:val="20"/>
        </w:rPr>
      </w:pPr>
      <w:r w:rsidRPr="007108BC">
        <w:rPr>
          <w:rFonts w:ascii="Arial Narrow" w:hAnsi="Arial Narrow"/>
          <w:b/>
          <w:sz w:val="20"/>
          <w:szCs w:val="20"/>
        </w:rPr>
        <w:lastRenderedPageBreak/>
        <w:t>Table 5: Real-world evidence and associated reports presented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5: Real-world evidence and associated reports presented in the resubmission"/>
      </w:tblPr>
      <w:tblGrid>
        <w:gridCol w:w="1154"/>
        <w:gridCol w:w="5347"/>
        <w:gridCol w:w="2516"/>
      </w:tblGrid>
      <w:tr w:rsidR="003B61C2" w:rsidRPr="007108BC" w:rsidTr="00051F71">
        <w:trPr>
          <w:tblHeader/>
        </w:trPr>
        <w:tc>
          <w:tcPr>
            <w:tcW w:w="640" w:type="pct"/>
            <w:shd w:val="clear" w:color="auto" w:fill="auto"/>
            <w:vAlign w:val="center"/>
          </w:tcPr>
          <w:p w:rsidR="003B61C2" w:rsidRPr="007108BC" w:rsidRDefault="003B61C2" w:rsidP="007108BC">
            <w:pPr>
              <w:pStyle w:val="Tabletext"/>
              <w:rPr>
                <w:b/>
              </w:rPr>
            </w:pPr>
            <w:r w:rsidRPr="007108BC">
              <w:rPr>
                <w:b/>
              </w:rPr>
              <w:t>Trial ID</w:t>
            </w:r>
          </w:p>
        </w:tc>
        <w:tc>
          <w:tcPr>
            <w:tcW w:w="2965" w:type="pct"/>
            <w:shd w:val="clear" w:color="auto" w:fill="auto"/>
            <w:vAlign w:val="center"/>
          </w:tcPr>
          <w:p w:rsidR="003B61C2" w:rsidRPr="007108BC" w:rsidRDefault="003B61C2" w:rsidP="007108BC">
            <w:pPr>
              <w:pStyle w:val="Tabletext"/>
              <w:jc w:val="center"/>
              <w:rPr>
                <w:b/>
              </w:rPr>
            </w:pPr>
            <w:r w:rsidRPr="007108BC">
              <w:rPr>
                <w:b/>
              </w:rPr>
              <w:t>Protocol title/ Publication title</w:t>
            </w:r>
          </w:p>
        </w:tc>
        <w:tc>
          <w:tcPr>
            <w:tcW w:w="1395" w:type="pct"/>
            <w:shd w:val="clear" w:color="auto" w:fill="auto"/>
            <w:vAlign w:val="center"/>
          </w:tcPr>
          <w:p w:rsidR="003B61C2" w:rsidRPr="007108BC" w:rsidRDefault="003B61C2" w:rsidP="007108BC">
            <w:pPr>
              <w:pStyle w:val="Tabletext"/>
              <w:jc w:val="center"/>
              <w:rPr>
                <w:b/>
              </w:rPr>
            </w:pPr>
            <w:r w:rsidRPr="007108BC">
              <w:rPr>
                <w:b/>
              </w:rPr>
              <w:t>Publication citation</w:t>
            </w:r>
          </w:p>
        </w:tc>
      </w:tr>
      <w:tr w:rsidR="006E6448" w:rsidRPr="007108BC" w:rsidTr="006E6448">
        <w:tc>
          <w:tcPr>
            <w:tcW w:w="640" w:type="pct"/>
            <w:vMerge w:val="restart"/>
            <w:shd w:val="clear" w:color="auto" w:fill="auto"/>
            <w:vAlign w:val="center"/>
          </w:tcPr>
          <w:p w:rsidR="006E6448" w:rsidRPr="007108BC" w:rsidRDefault="006E6448" w:rsidP="007108BC">
            <w:pPr>
              <w:pStyle w:val="Tabletext"/>
              <w:rPr>
                <w:rFonts w:ascii="Times" w:hAnsi="Times"/>
              </w:rPr>
            </w:pPr>
            <w:r w:rsidRPr="007108BC">
              <w:t>UK PHE Vaccination Program</w:t>
            </w:r>
          </w:p>
        </w:tc>
        <w:tc>
          <w:tcPr>
            <w:tcW w:w="2965" w:type="pct"/>
            <w:vMerge w:val="restart"/>
            <w:shd w:val="clear" w:color="auto" w:fill="auto"/>
            <w:vAlign w:val="center"/>
          </w:tcPr>
          <w:p w:rsidR="006E6448" w:rsidRDefault="006E6448" w:rsidP="007108BC">
            <w:pPr>
              <w:pStyle w:val="Tabletext"/>
              <w:rPr>
                <w:szCs w:val="18"/>
              </w:rPr>
            </w:pPr>
            <w:r w:rsidRPr="007108BC">
              <w:rPr>
                <w:szCs w:val="18"/>
              </w:rPr>
              <w:t>Parikh S, Campbell H, Andrews, Ribeiro S, White J, Ramsay M et al. Progress report on 4CMenB (Bexsero®) vaccine coverage and effectiveness in England; 3rd annual report 01 September 2015-31 August 2018</w:t>
            </w:r>
          </w:p>
          <w:p w:rsidR="006E6448" w:rsidRDefault="006E6448" w:rsidP="007108BC">
            <w:pPr>
              <w:pStyle w:val="Tabletext"/>
              <w:rPr>
                <w:szCs w:val="18"/>
              </w:rPr>
            </w:pPr>
          </w:p>
          <w:p w:rsidR="006E6448" w:rsidRDefault="006E6448" w:rsidP="007108BC">
            <w:pPr>
              <w:pStyle w:val="Tabletext"/>
              <w:rPr>
                <w:szCs w:val="18"/>
              </w:rPr>
            </w:pPr>
            <w:r w:rsidRPr="007108BC">
              <w:rPr>
                <w:szCs w:val="18"/>
              </w:rPr>
              <w:t>Parikh SR, Andrews NJ, Beebeejaun K, Campbell H, Ribeiro S, Ward C et al. Effectiveness and impact of a reduced infant schedule of 4CMenB vaccine against group B meningococcal disease in England: a national observational cohort study</w:t>
            </w:r>
          </w:p>
          <w:p w:rsidR="006E6448" w:rsidRDefault="006E6448" w:rsidP="007108BC">
            <w:pPr>
              <w:pStyle w:val="Tabletext"/>
              <w:rPr>
                <w:szCs w:val="18"/>
              </w:rPr>
            </w:pPr>
          </w:p>
          <w:p w:rsidR="006E6448" w:rsidRDefault="006E6448" w:rsidP="007108BC">
            <w:pPr>
              <w:pStyle w:val="Tabletext"/>
              <w:rPr>
                <w:szCs w:val="18"/>
              </w:rPr>
            </w:pPr>
            <w:r w:rsidRPr="007108BC">
              <w:rPr>
                <w:szCs w:val="18"/>
              </w:rPr>
              <w:t>Bryan P, Seabroke S, Wong J, Donegan K, Webb E, Goldsmith C. Safety of multicomponent meningococcal group B vaccine (4CMenB) in routine infant immunisation in the UK: a prospective surveillance study.</w:t>
            </w:r>
          </w:p>
          <w:p w:rsidR="006E6448" w:rsidRPr="007108BC" w:rsidRDefault="006E6448" w:rsidP="007108BC">
            <w:pPr>
              <w:pStyle w:val="Tabletext"/>
              <w:rPr>
                <w:szCs w:val="18"/>
              </w:rPr>
            </w:pPr>
          </w:p>
        </w:tc>
        <w:tc>
          <w:tcPr>
            <w:tcW w:w="1395" w:type="pct"/>
            <w:tcBorders>
              <w:bottom w:val="nil"/>
            </w:tcBorders>
            <w:shd w:val="clear" w:color="auto" w:fill="auto"/>
          </w:tcPr>
          <w:p w:rsidR="006E6448" w:rsidRDefault="006E6448" w:rsidP="006E6448">
            <w:pPr>
              <w:pStyle w:val="Tabletext"/>
            </w:pPr>
          </w:p>
          <w:p w:rsidR="006E6448" w:rsidRPr="007108BC" w:rsidRDefault="006A09AC" w:rsidP="006E6448">
            <w:pPr>
              <w:pStyle w:val="Tabletext"/>
            </w:pPr>
            <w:r w:rsidRPr="007108BC">
              <w:t>Not published</w:t>
            </w:r>
          </w:p>
        </w:tc>
      </w:tr>
      <w:tr w:rsidR="006E6448" w:rsidRPr="007108BC" w:rsidTr="006E6448">
        <w:tc>
          <w:tcPr>
            <w:tcW w:w="640" w:type="pct"/>
            <w:vMerge/>
            <w:shd w:val="clear" w:color="auto" w:fill="auto"/>
            <w:vAlign w:val="center"/>
          </w:tcPr>
          <w:p w:rsidR="006E6448" w:rsidRPr="007108BC" w:rsidRDefault="006E6448" w:rsidP="007108BC">
            <w:pPr>
              <w:pStyle w:val="Tabletext"/>
              <w:rPr>
                <w:rFonts w:ascii="Times" w:hAnsi="Times"/>
              </w:rPr>
            </w:pPr>
          </w:p>
        </w:tc>
        <w:tc>
          <w:tcPr>
            <w:tcW w:w="2965" w:type="pct"/>
            <w:vMerge/>
            <w:shd w:val="clear" w:color="auto" w:fill="auto"/>
            <w:vAlign w:val="center"/>
          </w:tcPr>
          <w:p w:rsidR="006E6448" w:rsidRPr="007108BC" w:rsidRDefault="006E6448" w:rsidP="007108BC">
            <w:pPr>
              <w:pStyle w:val="Tabletext"/>
              <w:rPr>
                <w:szCs w:val="18"/>
              </w:rPr>
            </w:pPr>
          </w:p>
        </w:tc>
        <w:tc>
          <w:tcPr>
            <w:tcW w:w="1395" w:type="pct"/>
            <w:tcBorders>
              <w:top w:val="nil"/>
              <w:bottom w:val="nil"/>
            </w:tcBorders>
            <w:shd w:val="clear" w:color="auto" w:fill="auto"/>
          </w:tcPr>
          <w:p w:rsidR="006E6448" w:rsidRDefault="006E6448" w:rsidP="006E6448">
            <w:pPr>
              <w:pStyle w:val="Tabletext"/>
              <w:rPr>
                <w:i/>
              </w:rPr>
            </w:pPr>
          </w:p>
          <w:p w:rsidR="006E6448" w:rsidRDefault="006E6448" w:rsidP="006E6448">
            <w:pPr>
              <w:pStyle w:val="Tabletext"/>
              <w:rPr>
                <w:i/>
              </w:rPr>
            </w:pPr>
          </w:p>
          <w:p w:rsidR="006E6448" w:rsidRDefault="006E6448" w:rsidP="006E6448">
            <w:pPr>
              <w:pStyle w:val="Tabletext"/>
              <w:rPr>
                <w:i/>
              </w:rPr>
            </w:pPr>
          </w:p>
          <w:p w:rsidR="006E6448" w:rsidRPr="007108BC" w:rsidRDefault="006E6448" w:rsidP="006E6448">
            <w:pPr>
              <w:pStyle w:val="Tabletext"/>
            </w:pPr>
            <w:r w:rsidRPr="007108BC">
              <w:rPr>
                <w:i/>
              </w:rPr>
              <w:t xml:space="preserve">Lancet </w:t>
            </w:r>
            <w:r w:rsidRPr="007108BC">
              <w:t>2016; 388(10061), 2775-2782</w:t>
            </w:r>
          </w:p>
        </w:tc>
      </w:tr>
      <w:tr w:rsidR="006E6448" w:rsidRPr="007108BC" w:rsidTr="006E6448">
        <w:tc>
          <w:tcPr>
            <w:tcW w:w="640" w:type="pct"/>
            <w:vMerge/>
            <w:tcBorders>
              <w:bottom w:val="single" w:sz="4" w:space="0" w:color="auto"/>
            </w:tcBorders>
            <w:shd w:val="clear" w:color="auto" w:fill="auto"/>
            <w:vAlign w:val="center"/>
          </w:tcPr>
          <w:p w:rsidR="006E6448" w:rsidRPr="007108BC" w:rsidRDefault="006E6448" w:rsidP="007108BC">
            <w:pPr>
              <w:pStyle w:val="Tabletext"/>
            </w:pPr>
          </w:p>
        </w:tc>
        <w:tc>
          <w:tcPr>
            <w:tcW w:w="2965" w:type="pct"/>
            <w:vMerge/>
            <w:tcBorders>
              <w:bottom w:val="single" w:sz="4" w:space="0" w:color="auto"/>
            </w:tcBorders>
            <w:shd w:val="clear" w:color="auto" w:fill="auto"/>
            <w:vAlign w:val="center"/>
          </w:tcPr>
          <w:p w:rsidR="006E6448" w:rsidRPr="007108BC" w:rsidRDefault="006E6448" w:rsidP="007108BC">
            <w:pPr>
              <w:pStyle w:val="Tabletext"/>
              <w:rPr>
                <w:szCs w:val="18"/>
              </w:rPr>
            </w:pPr>
          </w:p>
        </w:tc>
        <w:tc>
          <w:tcPr>
            <w:tcW w:w="1395" w:type="pct"/>
            <w:tcBorders>
              <w:top w:val="nil"/>
              <w:bottom w:val="single" w:sz="4" w:space="0" w:color="auto"/>
            </w:tcBorders>
            <w:shd w:val="clear" w:color="auto" w:fill="auto"/>
          </w:tcPr>
          <w:p w:rsidR="006E6448" w:rsidRDefault="006E6448" w:rsidP="006E6448">
            <w:pPr>
              <w:pStyle w:val="Tabletext"/>
              <w:rPr>
                <w:i/>
                <w:szCs w:val="18"/>
              </w:rPr>
            </w:pPr>
          </w:p>
          <w:p w:rsidR="006E6448" w:rsidRDefault="006E6448" w:rsidP="006E6448">
            <w:pPr>
              <w:pStyle w:val="Tabletext"/>
              <w:rPr>
                <w:i/>
                <w:szCs w:val="18"/>
              </w:rPr>
            </w:pPr>
          </w:p>
          <w:p w:rsidR="006E6448" w:rsidRDefault="006E6448" w:rsidP="006E6448">
            <w:pPr>
              <w:pStyle w:val="Tabletext"/>
              <w:rPr>
                <w:i/>
                <w:szCs w:val="18"/>
              </w:rPr>
            </w:pPr>
          </w:p>
          <w:p w:rsidR="006E6448" w:rsidRPr="007108BC" w:rsidRDefault="006E6448" w:rsidP="006E6448">
            <w:pPr>
              <w:pStyle w:val="Tabletext"/>
              <w:rPr>
                <w:i/>
                <w:szCs w:val="18"/>
              </w:rPr>
            </w:pPr>
            <w:r w:rsidRPr="007108BC">
              <w:rPr>
                <w:i/>
                <w:szCs w:val="18"/>
              </w:rPr>
              <w:t xml:space="preserve">Lancet Child Adolesc Health </w:t>
            </w:r>
            <w:r w:rsidRPr="007108BC">
              <w:rPr>
                <w:szCs w:val="18"/>
              </w:rPr>
              <w:t>2018, 2(6), 395-403</w:t>
            </w:r>
          </w:p>
        </w:tc>
      </w:tr>
      <w:tr w:rsidR="006E6448" w:rsidRPr="007108BC" w:rsidTr="006E6448">
        <w:tc>
          <w:tcPr>
            <w:tcW w:w="640" w:type="pct"/>
            <w:vMerge w:val="restart"/>
            <w:tcBorders>
              <w:top w:val="single" w:sz="4" w:space="0" w:color="auto"/>
            </w:tcBorders>
            <w:shd w:val="clear" w:color="auto" w:fill="auto"/>
            <w:vAlign w:val="center"/>
          </w:tcPr>
          <w:p w:rsidR="006E6448" w:rsidRPr="007108BC" w:rsidRDefault="006E6448" w:rsidP="007108BC">
            <w:pPr>
              <w:pStyle w:val="Tabletext"/>
            </w:pPr>
            <w:r w:rsidRPr="007108BC">
              <w:t>Quebec regional vaccination program</w:t>
            </w:r>
          </w:p>
        </w:tc>
        <w:tc>
          <w:tcPr>
            <w:tcW w:w="2965" w:type="pct"/>
            <w:tcBorders>
              <w:top w:val="single" w:sz="4" w:space="0" w:color="auto"/>
              <w:bottom w:val="nil"/>
            </w:tcBorders>
            <w:shd w:val="clear" w:color="auto" w:fill="auto"/>
            <w:vAlign w:val="center"/>
          </w:tcPr>
          <w:p w:rsidR="006E6448" w:rsidRPr="007108BC" w:rsidRDefault="006E6448" w:rsidP="007108BC">
            <w:pPr>
              <w:pStyle w:val="Tabletext"/>
              <w:rPr>
                <w:szCs w:val="18"/>
              </w:rPr>
            </w:pPr>
            <w:r w:rsidRPr="007108BC">
              <w:rPr>
                <w:szCs w:val="18"/>
              </w:rPr>
              <w:t>De Serres G, Billard M, Gariepy M, Rouleau I, Yoth E et al. Short-term safety of 4CMenB vaccine during a mass meningococcal B vaccination campaign in Quebec, Canada</w:t>
            </w:r>
            <w:r>
              <w:rPr>
                <w:szCs w:val="18"/>
              </w:rPr>
              <w:t>.</w:t>
            </w:r>
          </w:p>
          <w:p w:rsidR="006E6448" w:rsidRPr="007108BC" w:rsidRDefault="006E6448" w:rsidP="007108BC">
            <w:pPr>
              <w:pStyle w:val="Tabletext"/>
              <w:rPr>
                <w:szCs w:val="18"/>
              </w:rPr>
            </w:pPr>
          </w:p>
        </w:tc>
        <w:tc>
          <w:tcPr>
            <w:tcW w:w="1395" w:type="pct"/>
            <w:tcBorders>
              <w:top w:val="single" w:sz="4" w:space="0" w:color="auto"/>
              <w:bottom w:val="nil"/>
            </w:tcBorders>
            <w:shd w:val="clear" w:color="auto" w:fill="auto"/>
          </w:tcPr>
          <w:p w:rsidR="006E6448" w:rsidRPr="007108BC" w:rsidRDefault="006E6448" w:rsidP="006E6448">
            <w:pPr>
              <w:pStyle w:val="Tabletext"/>
              <w:rPr>
                <w:i/>
                <w:szCs w:val="18"/>
              </w:rPr>
            </w:pPr>
            <w:r w:rsidRPr="007108BC">
              <w:rPr>
                <w:i/>
                <w:szCs w:val="18"/>
              </w:rPr>
              <w:t xml:space="preserve">Vaccine </w:t>
            </w:r>
            <w:r w:rsidRPr="007108BC">
              <w:rPr>
                <w:szCs w:val="18"/>
              </w:rPr>
              <w:t>2018</w:t>
            </w:r>
            <w:r w:rsidRPr="007108BC">
              <w:rPr>
                <w:i/>
                <w:szCs w:val="18"/>
              </w:rPr>
              <w:t xml:space="preserve">; </w:t>
            </w:r>
            <w:r w:rsidRPr="007108BC">
              <w:rPr>
                <w:szCs w:val="18"/>
              </w:rPr>
              <w:t>36(52), 8039-8046</w:t>
            </w:r>
            <w:r w:rsidRPr="007108BC">
              <w:rPr>
                <w:i/>
                <w:szCs w:val="18"/>
              </w:rPr>
              <w:t>.</w:t>
            </w:r>
          </w:p>
        </w:tc>
      </w:tr>
      <w:tr w:rsidR="006E6448" w:rsidRPr="007108BC" w:rsidTr="006E6448">
        <w:tc>
          <w:tcPr>
            <w:tcW w:w="640" w:type="pct"/>
            <w:vMerge/>
            <w:shd w:val="clear" w:color="auto" w:fill="auto"/>
            <w:vAlign w:val="center"/>
          </w:tcPr>
          <w:p w:rsidR="006E6448" w:rsidRPr="007108BC" w:rsidRDefault="006E6448" w:rsidP="007108BC">
            <w:pPr>
              <w:pStyle w:val="Tabletext"/>
            </w:pPr>
          </w:p>
        </w:tc>
        <w:tc>
          <w:tcPr>
            <w:tcW w:w="2965" w:type="pct"/>
            <w:tcBorders>
              <w:top w:val="nil"/>
              <w:bottom w:val="nil"/>
            </w:tcBorders>
            <w:shd w:val="clear" w:color="auto" w:fill="auto"/>
            <w:vAlign w:val="center"/>
          </w:tcPr>
          <w:p w:rsidR="006E6448" w:rsidRPr="007108BC" w:rsidRDefault="006E6448" w:rsidP="007108BC">
            <w:pPr>
              <w:pStyle w:val="Tabletext"/>
              <w:rPr>
                <w:szCs w:val="18"/>
              </w:rPr>
            </w:pPr>
            <w:r w:rsidRPr="007108BC">
              <w:rPr>
                <w:szCs w:val="18"/>
              </w:rPr>
              <w:t>De Wals P, Deceuninck G, Lefebvre B, Tsang R, Law D, De Serres G et al. Impact of an Immunization Campaign to Control an Increased Incidence of Serogroup B Meningococcal Disease in One Region of Quebec, Canada.</w:t>
            </w:r>
          </w:p>
          <w:p w:rsidR="006E6448" w:rsidRPr="007108BC" w:rsidRDefault="006E6448" w:rsidP="007108BC">
            <w:pPr>
              <w:pStyle w:val="Tabletext"/>
              <w:rPr>
                <w:szCs w:val="18"/>
              </w:rPr>
            </w:pPr>
          </w:p>
        </w:tc>
        <w:tc>
          <w:tcPr>
            <w:tcW w:w="1395" w:type="pct"/>
            <w:tcBorders>
              <w:top w:val="nil"/>
              <w:bottom w:val="nil"/>
            </w:tcBorders>
            <w:shd w:val="clear" w:color="auto" w:fill="auto"/>
          </w:tcPr>
          <w:p w:rsidR="006E6448" w:rsidRDefault="006E6448" w:rsidP="006E6448">
            <w:pPr>
              <w:pStyle w:val="Tabletext"/>
              <w:rPr>
                <w:i/>
              </w:rPr>
            </w:pPr>
          </w:p>
          <w:p w:rsidR="006E6448" w:rsidRPr="007108BC" w:rsidRDefault="006E6448" w:rsidP="006E6448">
            <w:pPr>
              <w:pStyle w:val="Tabletext"/>
              <w:rPr>
                <w:i/>
              </w:rPr>
            </w:pPr>
            <w:r w:rsidRPr="007108BC">
              <w:rPr>
                <w:i/>
              </w:rPr>
              <w:t xml:space="preserve">Clin Infect Dis </w:t>
            </w:r>
            <w:r w:rsidRPr="007108BC">
              <w:t>2017; 64(9), 1263-1267</w:t>
            </w:r>
          </w:p>
        </w:tc>
      </w:tr>
      <w:tr w:rsidR="006E6448" w:rsidRPr="007108BC" w:rsidTr="006E6448">
        <w:tc>
          <w:tcPr>
            <w:tcW w:w="640" w:type="pct"/>
            <w:vMerge/>
            <w:shd w:val="clear" w:color="auto" w:fill="auto"/>
            <w:vAlign w:val="center"/>
          </w:tcPr>
          <w:p w:rsidR="006E6448" w:rsidRPr="007108BC" w:rsidRDefault="006E6448" w:rsidP="007108BC">
            <w:pPr>
              <w:pStyle w:val="Tabletext"/>
            </w:pPr>
          </w:p>
        </w:tc>
        <w:tc>
          <w:tcPr>
            <w:tcW w:w="2965" w:type="pct"/>
            <w:tcBorders>
              <w:top w:val="nil"/>
              <w:bottom w:val="nil"/>
            </w:tcBorders>
            <w:shd w:val="clear" w:color="auto" w:fill="auto"/>
            <w:vAlign w:val="center"/>
          </w:tcPr>
          <w:p w:rsidR="006E6448" w:rsidRPr="007108BC" w:rsidRDefault="006E6448" w:rsidP="007108BC">
            <w:pPr>
              <w:pStyle w:val="Tabletext"/>
              <w:rPr>
                <w:szCs w:val="18"/>
              </w:rPr>
            </w:pPr>
            <w:r w:rsidRPr="007108BC">
              <w:rPr>
                <w:szCs w:val="18"/>
              </w:rPr>
              <w:t>De Wals P, Deceuninck G, Lefebvre B, Tsang R, Belinga JB, De Serres G.</w:t>
            </w:r>
            <w:r w:rsidR="00624D24">
              <w:rPr>
                <w:szCs w:val="18"/>
              </w:rPr>
              <w:t xml:space="preserve"> </w:t>
            </w:r>
            <w:r w:rsidRPr="007108BC">
              <w:rPr>
                <w:szCs w:val="18"/>
              </w:rPr>
              <w:t>Epidemiological impact of the vaccination campaign against serogroup B meningococcal disease in the Saguenay - Lac-Saint-Jean region in 2014: report of 30 June 2018 [English translation].</w:t>
            </w:r>
          </w:p>
          <w:p w:rsidR="006E6448" w:rsidRPr="007108BC" w:rsidRDefault="006E6448" w:rsidP="007108BC">
            <w:pPr>
              <w:pStyle w:val="Tabletext"/>
              <w:rPr>
                <w:szCs w:val="18"/>
              </w:rPr>
            </w:pPr>
          </w:p>
        </w:tc>
        <w:tc>
          <w:tcPr>
            <w:tcW w:w="1395" w:type="pct"/>
            <w:tcBorders>
              <w:top w:val="nil"/>
              <w:bottom w:val="nil"/>
            </w:tcBorders>
            <w:shd w:val="clear" w:color="auto" w:fill="auto"/>
          </w:tcPr>
          <w:p w:rsidR="006E6448" w:rsidRDefault="006E6448" w:rsidP="006E6448">
            <w:pPr>
              <w:pStyle w:val="Tabletext"/>
            </w:pPr>
          </w:p>
          <w:p w:rsidR="006E6448" w:rsidRPr="007108BC" w:rsidRDefault="006E6448" w:rsidP="006E6448">
            <w:pPr>
              <w:pStyle w:val="Tabletext"/>
              <w:rPr>
                <w:rFonts w:ascii="Times" w:hAnsi="Times"/>
              </w:rPr>
            </w:pPr>
            <w:r w:rsidRPr="007108BC">
              <w:t>Not published</w:t>
            </w:r>
          </w:p>
        </w:tc>
      </w:tr>
      <w:tr w:rsidR="006E6448" w:rsidRPr="007108BC" w:rsidTr="006E6448">
        <w:tc>
          <w:tcPr>
            <w:tcW w:w="640" w:type="pct"/>
            <w:vMerge/>
            <w:shd w:val="clear" w:color="auto" w:fill="auto"/>
            <w:vAlign w:val="center"/>
          </w:tcPr>
          <w:p w:rsidR="006E6448" w:rsidRPr="007108BC" w:rsidRDefault="006E6448" w:rsidP="007108BC">
            <w:pPr>
              <w:pStyle w:val="Tabletext"/>
            </w:pPr>
          </w:p>
        </w:tc>
        <w:tc>
          <w:tcPr>
            <w:tcW w:w="2965" w:type="pct"/>
            <w:tcBorders>
              <w:top w:val="nil"/>
              <w:bottom w:val="nil"/>
            </w:tcBorders>
            <w:shd w:val="clear" w:color="auto" w:fill="auto"/>
            <w:vAlign w:val="center"/>
          </w:tcPr>
          <w:p w:rsidR="006E6448" w:rsidRPr="00D51D60" w:rsidRDefault="006E6448" w:rsidP="007108BC">
            <w:pPr>
              <w:pStyle w:val="Tabletext"/>
              <w:rPr>
                <w:szCs w:val="18"/>
              </w:rPr>
            </w:pPr>
            <w:r w:rsidRPr="00D51D60">
              <w:rPr>
                <w:szCs w:val="18"/>
              </w:rPr>
              <w:t>Deceuninck G, Lefebvre B, Tsang R, Betala-Belinga JF, De Serres G, De Wals P. Impact of a mass vaccination campaign against Serogroup B meningococcal disease in the Saguenay-Lac-Saint-Jean region of Quebec four years after its launch.</w:t>
            </w:r>
          </w:p>
          <w:p w:rsidR="006E6448" w:rsidRPr="007108BC" w:rsidRDefault="006E6448" w:rsidP="007108BC">
            <w:pPr>
              <w:pStyle w:val="Tabletext"/>
              <w:rPr>
                <w:i/>
                <w:szCs w:val="18"/>
              </w:rPr>
            </w:pPr>
          </w:p>
        </w:tc>
        <w:tc>
          <w:tcPr>
            <w:tcW w:w="1395" w:type="pct"/>
            <w:tcBorders>
              <w:top w:val="nil"/>
              <w:bottom w:val="nil"/>
            </w:tcBorders>
            <w:shd w:val="clear" w:color="auto" w:fill="auto"/>
          </w:tcPr>
          <w:p w:rsidR="006E6448" w:rsidRDefault="006E6448" w:rsidP="006E6448">
            <w:pPr>
              <w:pStyle w:val="Tabletext"/>
              <w:rPr>
                <w:i/>
              </w:rPr>
            </w:pPr>
          </w:p>
          <w:p w:rsidR="006E6448" w:rsidRPr="007108BC" w:rsidRDefault="006E6448" w:rsidP="006E6448">
            <w:pPr>
              <w:pStyle w:val="Tabletext"/>
              <w:rPr>
                <w:i/>
              </w:rPr>
            </w:pPr>
            <w:r w:rsidRPr="007108BC">
              <w:rPr>
                <w:i/>
              </w:rPr>
              <w:t>Vaccine 2019; 37: 4243-4245.</w:t>
            </w:r>
          </w:p>
        </w:tc>
      </w:tr>
      <w:tr w:rsidR="006E6448" w:rsidRPr="00D51D60" w:rsidTr="006E6448">
        <w:tc>
          <w:tcPr>
            <w:tcW w:w="640" w:type="pct"/>
            <w:vMerge/>
            <w:tcBorders>
              <w:bottom w:val="nil"/>
            </w:tcBorders>
            <w:shd w:val="clear" w:color="auto" w:fill="auto"/>
            <w:vAlign w:val="center"/>
          </w:tcPr>
          <w:p w:rsidR="006E6448" w:rsidRPr="00D51D60" w:rsidRDefault="006E6448" w:rsidP="007108BC">
            <w:pPr>
              <w:pStyle w:val="Tabletext"/>
            </w:pPr>
          </w:p>
        </w:tc>
        <w:tc>
          <w:tcPr>
            <w:tcW w:w="2965" w:type="pct"/>
            <w:tcBorders>
              <w:top w:val="nil"/>
              <w:bottom w:val="nil"/>
            </w:tcBorders>
            <w:shd w:val="clear" w:color="auto" w:fill="auto"/>
            <w:vAlign w:val="center"/>
          </w:tcPr>
          <w:p w:rsidR="006E6448" w:rsidRDefault="006E6448" w:rsidP="007108BC">
            <w:pPr>
              <w:pStyle w:val="Tabletext"/>
              <w:rPr>
                <w:szCs w:val="18"/>
              </w:rPr>
            </w:pPr>
            <w:r w:rsidRPr="00D51D60">
              <w:rPr>
                <w:szCs w:val="18"/>
              </w:rPr>
              <w:t>De Serres G, Billard MN, Gariepy MC, Roy MC, Boucher FD, Gagne H, Belley S, Toth E, et al. Nephrotic syndrome following four-component meningococcal B vaccination: Epidemiologic investigation of a surveillance signal.</w:t>
            </w:r>
          </w:p>
          <w:p w:rsidR="006E6448" w:rsidRPr="00D51D60" w:rsidRDefault="006E6448" w:rsidP="007108BC">
            <w:pPr>
              <w:pStyle w:val="Tabletext"/>
              <w:rPr>
                <w:szCs w:val="18"/>
              </w:rPr>
            </w:pPr>
          </w:p>
        </w:tc>
        <w:tc>
          <w:tcPr>
            <w:tcW w:w="1395" w:type="pct"/>
            <w:tcBorders>
              <w:top w:val="nil"/>
              <w:bottom w:val="nil"/>
            </w:tcBorders>
            <w:shd w:val="clear" w:color="auto" w:fill="auto"/>
          </w:tcPr>
          <w:p w:rsidR="006E6448" w:rsidRDefault="006E6448" w:rsidP="006E6448">
            <w:pPr>
              <w:pStyle w:val="Tabletext"/>
            </w:pPr>
          </w:p>
          <w:p w:rsidR="006E6448" w:rsidRPr="00D51D60" w:rsidRDefault="006E6448" w:rsidP="006E6448">
            <w:pPr>
              <w:pStyle w:val="Tabletext"/>
            </w:pPr>
            <w:r w:rsidRPr="00D51D60">
              <w:t>Vaccine 2019; 37: 4996-5002.</w:t>
            </w:r>
          </w:p>
        </w:tc>
      </w:tr>
      <w:tr w:rsidR="003B61C2" w:rsidRPr="007108BC" w:rsidTr="00051F71">
        <w:tc>
          <w:tcPr>
            <w:tcW w:w="640" w:type="pct"/>
            <w:tcBorders>
              <w:bottom w:val="single" w:sz="4" w:space="0" w:color="auto"/>
            </w:tcBorders>
            <w:shd w:val="clear" w:color="auto" w:fill="auto"/>
            <w:vAlign w:val="center"/>
          </w:tcPr>
          <w:p w:rsidR="003B61C2" w:rsidRPr="007108BC" w:rsidRDefault="003B61C2" w:rsidP="007108BC">
            <w:pPr>
              <w:pStyle w:val="Tabletext"/>
            </w:pPr>
            <w:r w:rsidRPr="007108BC">
              <w:t>PT-BEST</w:t>
            </w:r>
          </w:p>
        </w:tc>
        <w:tc>
          <w:tcPr>
            <w:tcW w:w="2965" w:type="pct"/>
            <w:tcBorders>
              <w:bottom w:val="single" w:sz="4" w:space="0" w:color="auto"/>
            </w:tcBorders>
            <w:shd w:val="clear" w:color="auto" w:fill="auto"/>
            <w:vAlign w:val="center"/>
          </w:tcPr>
          <w:p w:rsidR="003B61C2" w:rsidRPr="007108BC" w:rsidRDefault="003B61C2" w:rsidP="007108BC">
            <w:pPr>
              <w:pStyle w:val="Tabletext"/>
              <w:rPr>
                <w:rFonts w:ascii="Times" w:hAnsi="Times"/>
              </w:rPr>
            </w:pPr>
            <w:r w:rsidRPr="007108BC">
              <w:rPr>
                <w:szCs w:val="18"/>
              </w:rPr>
              <w:t>Rodrigues F, Marlow R, Ladhani S, Simões MJ and Finn A. Preliminary data from the Portuguese Meningococcus Group B Vaccine Effectiveness Study (PT-BEST)– Preliminary results.</w:t>
            </w:r>
          </w:p>
        </w:tc>
        <w:tc>
          <w:tcPr>
            <w:tcW w:w="1395" w:type="pct"/>
            <w:tcBorders>
              <w:bottom w:val="single" w:sz="4" w:space="0" w:color="auto"/>
            </w:tcBorders>
            <w:shd w:val="clear" w:color="auto" w:fill="auto"/>
            <w:vAlign w:val="center"/>
          </w:tcPr>
          <w:p w:rsidR="003B61C2" w:rsidRPr="007108BC" w:rsidRDefault="003B61C2" w:rsidP="007108BC">
            <w:pPr>
              <w:pStyle w:val="Tabletext"/>
              <w:rPr>
                <w:rFonts w:ascii="Times" w:hAnsi="Times"/>
                <w:i/>
              </w:rPr>
            </w:pPr>
            <w:r w:rsidRPr="007108BC">
              <w:t xml:space="preserve">15th Congress of The European Meningococcal and Haemophilus Disease Society (EMGM), Lisbon, May 2019 </w:t>
            </w:r>
            <w:r w:rsidRPr="00D51D60">
              <w:t>(powerpoint slides)</w:t>
            </w:r>
          </w:p>
        </w:tc>
      </w:tr>
      <w:tr w:rsidR="006E6448" w:rsidRPr="007108BC" w:rsidTr="006E6448">
        <w:trPr>
          <w:trHeight w:val="5967"/>
        </w:trPr>
        <w:tc>
          <w:tcPr>
            <w:tcW w:w="640" w:type="pct"/>
            <w:tcBorders>
              <w:top w:val="single" w:sz="4" w:space="0" w:color="auto"/>
            </w:tcBorders>
            <w:shd w:val="clear" w:color="auto" w:fill="auto"/>
            <w:vAlign w:val="center"/>
          </w:tcPr>
          <w:p w:rsidR="006E6448" w:rsidRPr="007108BC" w:rsidRDefault="006E6448" w:rsidP="007108BC">
            <w:pPr>
              <w:pStyle w:val="Tabletext"/>
            </w:pPr>
            <w:r w:rsidRPr="007108BC">
              <w:lastRenderedPageBreak/>
              <w:t>South Australia B Part of it</w:t>
            </w:r>
          </w:p>
        </w:tc>
        <w:tc>
          <w:tcPr>
            <w:tcW w:w="2965" w:type="pct"/>
            <w:tcBorders>
              <w:top w:val="single" w:sz="4" w:space="0" w:color="auto"/>
            </w:tcBorders>
            <w:shd w:val="clear" w:color="auto" w:fill="auto"/>
          </w:tcPr>
          <w:p w:rsidR="006E6448" w:rsidRDefault="006E6448" w:rsidP="006E6448">
            <w:pPr>
              <w:pStyle w:val="Tabletext"/>
              <w:rPr>
                <w:szCs w:val="18"/>
              </w:rPr>
            </w:pPr>
            <w:r w:rsidRPr="007108BC">
              <w:rPr>
                <w:szCs w:val="18"/>
              </w:rPr>
              <w:t>Marshall HS, McMillan M, Koehler A, Lawrence A, MacLennan J, Maiden MCJ et al. B Part of It protocol: a cluster randomised controlled trial to assess the impact of 4CMenB vaccine on pharyngeal carriage of Neisseria meningitidis in adolescents.</w:t>
            </w:r>
          </w:p>
          <w:p w:rsidR="006E6448" w:rsidRPr="007108BC" w:rsidRDefault="006E6448" w:rsidP="006E6448">
            <w:pPr>
              <w:pStyle w:val="Tabletext"/>
              <w:rPr>
                <w:szCs w:val="18"/>
              </w:rPr>
            </w:pPr>
          </w:p>
          <w:p w:rsidR="006E6448" w:rsidRDefault="006E6448" w:rsidP="006E6448">
            <w:pPr>
              <w:pStyle w:val="Tabletext"/>
              <w:rPr>
                <w:szCs w:val="18"/>
              </w:rPr>
            </w:pPr>
            <w:r w:rsidRPr="007108BC">
              <w:rPr>
                <w:szCs w:val="18"/>
              </w:rPr>
              <w:t>Marshall H, Koehler A, Pratt N, Quinn H, Ahoure M, Crawford N et al. Enhanced passive surveillance of adverse events following implementation of a meningococcal B vaccine herd immunity study "B Part Of It" in senior school students in Australia.</w:t>
            </w:r>
          </w:p>
          <w:p w:rsidR="006E6448" w:rsidRPr="007108BC" w:rsidRDefault="006E6448" w:rsidP="006E6448">
            <w:pPr>
              <w:pStyle w:val="Tabletext"/>
              <w:rPr>
                <w:szCs w:val="18"/>
              </w:rPr>
            </w:pPr>
          </w:p>
          <w:p w:rsidR="006E6448" w:rsidRDefault="006E6448" w:rsidP="006E6448">
            <w:pPr>
              <w:pStyle w:val="Tabletext"/>
              <w:rPr>
                <w:szCs w:val="18"/>
              </w:rPr>
            </w:pPr>
            <w:r w:rsidRPr="007108BC">
              <w:rPr>
                <w:szCs w:val="18"/>
              </w:rPr>
              <w:t>Marshall H, McMillan M, Lee S, Rokkas S, Koehler A, Lawrence A et al. B Part Of It: SA Men B Vaccine Herd Immunity Study</w:t>
            </w:r>
          </w:p>
          <w:p w:rsidR="006E6448" w:rsidRPr="007108BC" w:rsidRDefault="006E6448" w:rsidP="006E6448">
            <w:pPr>
              <w:pStyle w:val="Tabletext"/>
              <w:rPr>
                <w:szCs w:val="18"/>
              </w:rPr>
            </w:pPr>
          </w:p>
          <w:p w:rsidR="006E6448" w:rsidRDefault="006E6448" w:rsidP="006E6448">
            <w:pPr>
              <w:pStyle w:val="Tabletext"/>
              <w:rPr>
                <w:szCs w:val="18"/>
              </w:rPr>
            </w:pPr>
            <w:r w:rsidRPr="007108BC">
              <w:rPr>
                <w:szCs w:val="18"/>
              </w:rPr>
              <w:t>Marshall HS (2019) B Part of It study: Impact of 4CMenB vaccine on carriage of Neisseria meningitidis in adolescents</w:t>
            </w:r>
          </w:p>
          <w:p w:rsidR="006E6448" w:rsidRPr="007108BC" w:rsidRDefault="006E6448" w:rsidP="006E6448">
            <w:pPr>
              <w:pStyle w:val="Tabletext"/>
              <w:rPr>
                <w:szCs w:val="18"/>
              </w:rPr>
            </w:pPr>
          </w:p>
          <w:p w:rsidR="006E6448" w:rsidRDefault="006E6448" w:rsidP="006E6448">
            <w:pPr>
              <w:pStyle w:val="Tabletext"/>
              <w:rPr>
                <w:szCs w:val="18"/>
              </w:rPr>
            </w:pPr>
            <w:r w:rsidRPr="00D51D60">
              <w:rPr>
                <w:szCs w:val="18"/>
              </w:rPr>
              <w:t>Marshall HS, McMillan M, Koehler A, Lawrence A, MacLennan J, Maiden M, Ramsay M, Ladhani SN, et al. B Part of It School leaver protocol: An observational repeat cross-sectional study to assess the impact of a meningococcal serogroup B (4CMenB) vaccine programme on carriage of Neisseria meningitidis.</w:t>
            </w:r>
          </w:p>
          <w:p w:rsidR="006E6448" w:rsidRPr="00D51D60" w:rsidRDefault="006E6448" w:rsidP="006E6448">
            <w:pPr>
              <w:pStyle w:val="Tabletext"/>
              <w:rPr>
                <w:szCs w:val="18"/>
              </w:rPr>
            </w:pPr>
          </w:p>
          <w:p w:rsidR="006E6448" w:rsidRPr="007108BC" w:rsidRDefault="006E6448" w:rsidP="006E6448">
            <w:pPr>
              <w:pStyle w:val="Tabletext"/>
              <w:rPr>
                <w:szCs w:val="18"/>
              </w:rPr>
            </w:pPr>
            <w:r w:rsidRPr="00D51D60">
              <w:rPr>
                <w:szCs w:val="18"/>
              </w:rPr>
              <w:t>McMillan M, Walters L, Mark T, Lawrence A, Leong LEX, Sullivan T, Rogers GB, Andrews RM, Marshall HS. B Part of It study: a longitudinal study to assess carriage of Neisseria meningitidis in first year university students in South Australia.</w:t>
            </w:r>
          </w:p>
        </w:tc>
        <w:tc>
          <w:tcPr>
            <w:tcW w:w="1395" w:type="pct"/>
            <w:tcBorders>
              <w:top w:val="single" w:sz="4" w:space="0" w:color="auto"/>
            </w:tcBorders>
            <w:shd w:val="clear" w:color="auto" w:fill="auto"/>
          </w:tcPr>
          <w:p w:rsidR="006E6448" w:rsidRPr="007108BC" w:rsidRDefault="006E6448" w:rsidP="006E6448">
            <w:pPr>
              <w:pStyle w:val="Tabletext"/>
              <w:rPr>
                <w:i/>
                <w:szCs w:val="18"/>
              </w:rPr>
            </w:pPr>
            <w:r w:rsidRPr="007108BC">
              <w:rPr>
                <w:i/>
                <w:szCs w:val="18"/>
              </w:rPr>
              <w:t xml:space="preserve">BMJ Open </w:t>
            </w:r>
            <w:r w:rsidRPr="007108BC">
              <w:rPr>
                <w:szCs w:val="18"/>
              </w:rPr>
              <w:t>2018; 8(7).</w:t>
            </w:r>
            <w:r w:rsidRPr="007108BC">
              <w:t xml:space="preserve"> </w:t>
            </w:r>
            <w:r w:rsidRPr="007108BC">
              <w:rPr>
                <w:szCs w:val="18"/>
              </w:rPr>
              <w:t>8:e020988. doi: 10.1136/bmjopen-2017-020988</w:t>
            </w:r>
          </w:p>
          <w:p w:rsidR="006C4051" w:rsidRDefault="006C4051" w:rsidP="006E6448">
            <w:pPr>
              <w:pStyle w:val="Tabletext"/>
              <w:rPr>
                <w:szCs w:val="18"/>
              </w:rPr>
            </w:pPr>
          </w:p>
          <w:p w:rsidR="006C4051" w:rsidRDefault="006C4051" w:rsidP="006E6448">
            <w:pPr>
              <w:pStyle w:val="Tabletext"/>
              <w:rPr>
                <w:szCs w:val="18"/>
              </w:rPr>
            </w:pPr>
          </w:p>
          <w:p w:rsidR="006E6448" w:rsidRPr="007108BC" w:rsidRDefault="006E6448" w:rsidP="006E6448">
            <w:pPr>
              <w:pStyle w:val="Tabletext"/>
              <w:rPr>
                <w:szCs w:val="18"/>
              </w:rPr>
            </w:pPr>
            <w:r w:rsidRPr="007108BC">
              <w:rPr>
                <w:szCs w:val="18"/>
              </w:rPr>
              <w:t>36th Annual Meeting of the European Society for Paediatric Infectious Diseases, Malm</w:t>
            </w:r>
            <w:r>
              <w:rPr>
                <w:szCs w:val="18"/>
              </w:rPr>
              <w:t>ö</w:t>
            </w:r>
            <w:r w:rsidRPr="007108BC">
              <w:rPr>
                <w:szCs w:val="18"/>
              </w:rPr>
              <w:t>, Sweden May 2018</w:t>
            </w:r>
          </w:p>
          <w:p w:rsidR="006E6448" w:rsidRPr="007108BC" w:rsidRDefault="006E6448" w:rsidP="006E6448">
            <w:pPr>
              <w:pStyle w:val="Tabletext"/>
              <w:rPr>
                <w:i/>
                <w:szCs w:val="18"/>
              </w:rPr>
            </w:pPr>
            <w:r w:rsidRPr="007108BC">
              <w:rPr>
                <w:szCs w:val="18"/>
              </w:rPr>
              <w:t>International Pathogenic Neisseria Conference (IPNC), California, USA September 2018</w:t>
            </w:r>
          </w:p>
          <w:p w:rsidR="006C4051" w:rsidRDefault="006E6448" w:rsidP="006E6448">
            <w:pPr>
              <w:pStyle w:val="Tabletext"/>
              <w:rPr>
                <w:i/>
                <w:szCs w:val="18"/>
              </w:rPr>
            </w:pPr>
            <w:r w:rsidRPr="007108BC">
              <w:rPr>
                <w:szCs w:val="18"/>
              </w:rPr>
              <w:t xml:space="preserve">The European Meningococcal and Haemophilus Disease Society. May 2019. Lisbon, Portugal </w:t>
            </w:r>
            <w:r w:rsidRPr="00D51D60">
              <w:rPr>
                <w:szCs w:val="18"/>
              </w:rPr>
              <w:t xml:space="preserve">(powerpoint slides). </w:t>
            </w:r>
          </w:p>
          <w:p w:rsidR="00025E74" w:rsidRDefault="00025E74" w:rsidP="006E6448">
            <w:pPr>
              <w:pStyle w:val="Tabletext"/>
              <w:rPr>
                <w:i/>
                <w:szCs w:val="18"/>
              </w:rPr>
            </w:pPr>
          </w:p>
          <w:p w:rsidR="006C4051" w:rsidRDefault="006E6448" w:rsidP="006E6448">
            <w:pPr>
              <w:pStyle w:val="Tabletext"/>
              <w:rPr>
                <w:i/>
                <w:szCs w:val="18"/>
              </w:rPr>
            </w:pPr>
            <w:r w:rsidRPr="007108BC">
              <w:rPr>
                <w:i/>
                <w:szCs w:val="18"/>
              </w:rPr>
              <w:t>BMJ Open 2019; 9: e027233.</w:t>
            </w:r>
          </w:p>
          <w:p w:rsidR="00025E74" w:rsidRDefault="00025E74" w:rsidP="006E6448">
            <w:pPr>
              <w:pStyle w:val="Tabletext"/>
              <w:rPr>
                <w:i/>
                <w:szCs w:val="18"/>
              </w:rPr>
            </w:pPr>
          </w:p>
          <w:p w:rsidR="00025E74" w:rsidRPr="00025E74" w:rsidRDefault="00025E74" w:rsidP="006E6448">
            <w:pPr>
              <w:pStyle w:val="Tabletext"/>
              <w:rPr>
                <w:i/>
                <w:szCs w:val="18"/>
              </w:rPr>
            </w:pPr>
          </w:p>
          <w:p w:rsidR="006E6448" w:rsidRPr="007108BC" w:rsidRDefault="006E6448" w:rsidP="006E6448">
            <w:pPr>
              <w:pStyle w:val="Tabletext"/>
              <w:rPr>
                <w:i/>
                <w:szCs w:val="18"/>
              </w:rPr>
            </w:pPr>
            <w:r w:rsidRPr="00D51D60">
              <w:rPr>
                <w:szCs w:val="18"/>
              </w:rPr>
              <w:t>Human vaccines and Immunotherapeutics 2019; 15: 987</w:t>
            </w:r>
            <w:r w:rsidRPr="00D51D60">
              <w:rPr>
                <w:rFonts w:ascii="Cambria Math" w:hAnsi="Cambria Math" w:cs="Cambria Math"/>
                <w:szCs w:val="18"/>
              </w:rPr>
              <w:t>‐</w:t>
            </w:r>
            <w:r w:rsidRPr="00D51D60">
              <w:rPr>
                <w:szCs w:val="18"/>
              </w:rPr>
              <w:t>994</w:t>
            </w:r>
          </w:p>
        </w:tc>
      </w:tr>
    </w:tbl>
    <w:p w:rsidR="003B61C2" w:rsidRPr="007108BC" w:rsidRDefault="003B61C2" w:rsidP="007108BC">
      <w:pPr>
        <w:pStyle w:val="TableFooter"/>
      </w:pPr>
      <w:r w:rsidRPr="007108BC">
        <w:t>Source: Table 2-10, p.73-74 of the resubmission.</w:t>
      </w:r>
      <w:r w:rsidR="00E90F0E" w:rsidRPr="00E90F0E">
        <w:t xml:space="preserve"> </w:t>
      </w:r>
    </w:p>
    <w:p w:rsidR="003B61C2" w:rsidRPr="007108BC" w:rsidRDefault="003B61C2" w:rsidP="00B80584">
      <w:pPr>
        <w:rPr>
          <w:rStyle w:val="CommentReference"/>
          <w:b w:val="0"/>
        </w:rPr>
      </w:pPr>
    </w:p>
    <w:p w:rsidR="003B61C2" w:rsidRPr="007108BC" w:rsidRDefault="003B61C2" w:rsidP="00EB423F">
      <w:pPr>
        <w:pStyle w:val="bulletnumberedstyle"/>
      </w:pPr>
      <w:r w:rsidRPr="007108BC">
        <w:t xml:space="preserve">The </w:t>
      </w:r>
      <w:r w:rsidR="002713F1">
        <w:t xml:space="preserve">evaluation </w:t>
      </w:r>
      <w:r w:rsidR="003B7AF7">
        <w:t>rated the risk of bias of the real world evidence studies using the ROBINS-1 tool which is designed for assessing bias in observational studies, and the studies were considered to have a</w:t>
      </w:r>
      <w:r w:rsidR="002713F1">
        <w:t xml:space="preserve"> low to medium</w:t>
      </w:r>
      <w:r w:rsidR="003B7AF7">
        <w:t xml:space="preserve"> risk of bias</w:t>
      </w:r>
      <w:r w:rsidR="002713F1">
        <w:t xml:space="preserve"> (Table 6)</w:t>
      </w:r>
      <w:r w:rsidRPr="007108BC">
        <w:t>.</w:t>
      </w:r>
      <w:r w:rsidR="002713F1">
        <w:t xml:space="preserve"> </w:t>
      </w:r>
      <w:r w:rsidR="002713F1" w:rsidRPr="002713F1">
        <w:t>However, t</w:t>
      </w:r>
      <w:r w:rsidR="00193B25" w:rsidRPr="002713F1">
        <w:t xml:space="preserve">he PBAC </w:t>
      </w:r>
      <w:r w:rsidR="000F1242">
        <w:t xml:space="preserve">did not agree with the evaluation and noted </w:t>
      </w:r>
      <w:r w:rsidR="002713F1" w:rsidRPr="002713F1">
        <w:t xml:space="preserve">that evidence from observational studies is generally associated with a high risk of </w:t>
      </w:r>
      <w:r w:rsidR="00193B25" w:rsidRPr="002713F1">
        <w:t>bias</w:t>
      </w:r>
      <w:r w:rsidR="006873A9">
        <w:t xml:space="preserve"> compared </w:t>
      </w:r>
      <w:r w:rsidR="002713F1" w:rsidRPr="002713F1">
        <w:t>to evidence from randomised controlled trials</w:t>
      </w:r>
      <w:r w:rsidR="00193B25" w:rsidRPr="002713F1">
        <w:t>.</w:t>
      </w:r>
      <w:r w:rsidR="00624D24">
        <w:t xml:space="preserve"> </w:t>
      </w:r>
      <w:r w:rsidR="00C11C7B">
        <w:t>Specifically, the observational studies are at high risk of confounding due to underlying differences between vaccinated and unvaccinated children, and due to temporal changes in the incidence o</w:t>
      </w:r>
      <w:r w:rsidR="000F1242">
        <w:t>f</w:t>
      </w:r>
      <w:r w:rsidR="00C11C7B">
        <w:t xml:space="preserve"> disease unrelated to the vaccination program.</w:t>
      </w:r>
    </w:p>
    <w:p w:rsidR="003B61C2" w:rsidRPr="007108BC" w:rsidRDefault="003B61C2" w:rsidP="00D47FDA">
      <w:pPr>
        <w:keepNext/>
        <w:keepLines/>
        <w:rPr>
          <w:rFonts w:ascii="Arial Narrow" w:hAnsi="Arial Narrow"/>
          <w:b/>
          <w:sz w:val="20"/>
          <w:szCs w:val="16"/>
        </w:rPr>
      </w:pPr>
      <w:r w:rsidRPr="007108BC">
        <w:rPr>
          <w:rFonts w:ascii="Arial Narrow" w:hAnsi="Arial Narrow"/>
          <w:b/>
          <w:sz w:val="20"/>
          <w:szCs w:val="16"/>
        </w:rPr>
        <w:lastRenderedPageBreak/>
        <w:t>Table 6: Key features of the included evidence</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6: Key features of the included evidence"/>
      </w:tblPr>
      <w:tblGrid>
        <w:gridCol w:w="1133"/>
        <w:gridCol w:w="1317"/>
        <w:gridCol w:w="1472"/>
        <w:gridCol w:w="1177"/>
        <w:gridCol w:w="1388"/>
        <w:gridCol w:w="1237"/>
        <w:gridCol w:w="1297"/>
      </w:tblGrid>
      <w:tr w:rsidR="003B61C2" w:rsidRPr="007108BC" w:rsidTr="00051F71">
        <w:trPr>
          <w:trHeight w:val="446"/>
        </w:trPr>
        <w:tc>
          <w:tcPr>
            <w:tcW w:w="652" w:type="pct"/>
            <w:shd w:val="clear" w:color="auto" w:fill="auto"/>
            <w:vAlign w:val="center"/>
          </w:tcPr>
          <w:p w:rsidR="003B61C2" w:rsidRPr="007108BC" w:rsidRDefault="003B61C2" w:rsidP="00D47FDA">
            <w:pPr>
              <w:keepNext/>
              <w:keepLines/>
              <w:rPr>
                <w:rFonts w:ascii="Arial Narrow" w:hAnsi="Arial Narrow"/>
                <w:b/>
                <w:sz w:val="20"/>
                <w:szCs w:val="20"/>
              </w:rPr>
            </w:pPr>
            <w:r w:rsidRPr="007108BC">
              <w:rPr>
                <w:rFonts w:ascii="Arial Narrow" w:hAnsi="Arial Narrow"/>
                <w:b/>
                <w:sz w:val="20"/>
                <w:szCs w:val="20"/>
              </w:rPr>
              <w:t>Trial</w:t>
            </w:r>
          </w:p>
        </w:tc>
        <w:tc>
          <w:tcPr>
            <w:tcW w:w="754" w:type="pct"/>
            <w:shd w:val="clear" w:color="auto" w:fill="auto"/>
            <w:vAlign w:val="center"/>
          </w:tcPr>
          <w:p w:rsidR="003B61C2" w:rsidRPr="007108BC" w:rsidRDefault="003B61C2" w:rsidP="00D47FDA">
            <w:pPr>
              <w:keepNext/>
              <w:keepLines/>
              <w:rPr>
                <w:rFonts w:ascii="Arial Narrow" w:hAnsi="Arial Narrow"/>
                <w:b/>
                <w:sz w:val="20"/>
                <w:szCs w:val="20"/>
              </w:rPr>
            </w:pPr>
            <w:r w:rsidRPr="007108BC">
              <w:rPr>
                <w:rFonts w:ascii="Arial Narrow" w:hAnsi="Arial Narrow"/>
                <w:b/>
                <w:sz w:val="20"/>
                <w:szCs w:val="20"/>
              </w:rPr>
              <w:t>Program</w:t>
            </w:r>
          </w:p>
        </w:tc>
        <w:tc>
          <w:tcPr>
            <w:tcW w:w="783" w:type="pct"/>
            <w:shd w:val="clear" w:color="auto" w:fill="auto"/>
            <w:vAlign w:val="center"/>
          </w:tcPr>
          <w:p w:rsidR="003B61C2" w:rsidRPr="007108BC" w:rsidRDefault="003B61C2" w:rsidP="00D47FDA">
            <w:pPr>
              <w:keepNext/>
              <w:keepLines/>
              <w:rPr>
                <w:rFonts w:ascii="Arial Narrow" w:hAnsi="Arial Narrow"/>
                <w:b/>
                <w:sz w:val="20"/>
                <w:szCs w:val="20"/>
              </w:rPr>
            </w:pPr>
            <w:r w:rsidRPr="007108BC">
              <w:rPr>
                <w:rFonts w:ascii="Arial Narrow" w:hAnsi="Arial Narrow"/>
                <w:b/>
                <w:sz w:val="20"/>
                <w:szCs w:val="20"/>
              </w:rPr>
              <w:t>Design/ duration</w:t>
            </w:r>
          </w:p>
        </w:tc>
        <w:tc>
          <w:tcPr>
            <w:tcW w:w="566" w:type="pct"/>
            <w:shd w:val="clear" w:color="auto" w:fill="auto"/>
            <w:vAlign w:val="center"/>
          </w:tcPr>
          <w:p w:rsidR="003B61C2" w:rsidRPr="001A6805" w:rsidRDefault="003B61C2" w:rsidP="00D47FDA">
            <w:pPr>
              <w:keepNext/>
              <w:keepLines/>
              <w:rPr>
                <w:rFonts w:ascii="Arial Narrow" w:hAnsi="Arial Narrow"/>
                <w:b/>
                <w:sz w:val="20"/>
                <w:szCs w:val="20"/>
              </w:rPr>
            </w:pPr>
            <w:r w:rsidRPr="001A6805">
              <w:rPr>
                <w:rFonts w:ascii="Arial Narrow" w:hAnsi="Arial Narrow"/>
                <w:b/>
                <w:sz w:val="20"/>
                <w:szCs w:val="20"/>
              </w:rPr>
              <w:t>Risk of bias</w:t>
            </w:r>
            <w:r w:rsidR="00252978">
              <w:rPr>
                <w:rFonts w:ascii="Arial Narrow" w:hAnsi="Arial Narrow"/>
                <w:b/>
                <w:sz w:val="20"/>
                <w:szCs w:val="20"/>
              </w:rPr>
              <w:t xml:space="preserve"> (observational studies) </w:t>
            </w:r>
          </w:p>
        </w:tc>
        <w:tc>
          <w:tcPr>
            <w:tcW w:w="793" w:type="pct"/>
            <w:shd w:val="clear" w:color="auto" w:fill="auto"/>
            <w:vAlign w:val="center"/>
          </w:tcPr>
          <w:p w:rsidR="003B61C2" w:rsidRPr="007108BC" w:rsidRDefault="003B61C2" w:rsidP="00D47FDA">
            <w:pPr>
              <w:keepNext/>
              <w:keepLines/>
              <w:rPr>
                <w:rFonts w:ascii="Arial Narrow" w:hAnsi="Arial Narrow"/>
                <w:b/>
                <w:sz w:val="20"/>
                <w:szCs w:val="20"/>
              </w:rPr>
            </w:pPr>
            <w:r w:rsidRPr="007108BC">
              <w:rPr>
                <w:rFonts w:ascii="Arial Narrow" w:hAnsi="Arial Narrow"/>
                <w:b/>
                <w:sz w:val="20"/>
                <w:szCs w:val="20"/>
              </w:rPr>
              <w:t>Patient population</w:t>
            </w:r>
          </w:p>
        </w:tc>
        <w:tc>
          <w:tcPr>
            <w:tcW w:w="709" w:type="pct"/>
            <w:shd w:val="clear" w:color="auto" w:fill="auto"/>
            <w:vAlign w:val="center"/>
          </w:tcPr>
          <w:p w:rsidR="003B61C2" w:rsidRPr="007108BC" w:rsidRDefault="003B61C2" w:rsidP="00D47FDA">
            <w:pPr>
              <w:keepNext/>
              <w:keepLines/>
              <w:rPr>
                <w:rFonts w:ascii="Arial Narrow" w:hAnsi="Arial Narrow"/>
                <w:b/>
                <w:sz w:val="20"/>
                <w:szCs w:val="20"/>
              </w:rPr>
            </w:pPr>
            <w:r w:rsidRPr="007108BC">
              <w:rPr>
                <w:rFonts w:ascii="Arial Narrow" w:hAnsi="Arial Narrow"/>
                <w:b/>
                <w:sz w:val="20"/>
                <w:szCs w:val="20"/>
              </w:rPr>
              <w:t>Outcome(s)</w:t>
            </w:r>
          </w:p>
        </w:tc>
        <w:tc>
          <w:tcPr>
            <w:tcW w:w="742" w:type="pct"/>
            <w:shd w:val="clear" w:color="auto" w:fill="auto"/>
            <w:vAlign w:val="center"/>
          </w:tcPr>
          <w:p w:rsidR="003B61C2" w:rsidRPr="007108BC" w:rsidRDefault="003B61C2" w:rsidP="00D47FDA">
            <w:pPr>
              <w:keepNext/>
              <w:keepLines/>
              <w:rPr>
                <w:rFonts w:ascii="Arial Narrow" w:hAnsi="Arial Narrow"/>
                <w:b/>
                <w:sz w:val="20"/>
                <w:szCs w:val="20"/>
              </w:rPr>
            </w:pPr>
            <w:r w:rsidRPr="007108BC">
              <w:rPr>
                <w:rFonts w:ascii="Arial Narrow" w:hAnsi="Arial Narrow"/>
                <w:b/>
                <w:sz w:val="20"/>
                <w:szCs w:val="20"/>
              </w:rPr>
              <w:t>Use in modelled evaluation</w:t>
            </w:r>
          </w:p>
        </w:tc>
      </w:tr>
      <w:tr w:rsidR="003B61C2" w:rsidRPr="00D51D60" w:rsidTr="00051F71">
        <w:trPr>
          <w:trHeight w:val="682"/>
        </w:trPr>
        <w:tc>
          <w:tcPr>
            <w:tcW w:w="652" w:type="pct"/>
            <w:shd w:val="clear" w:color="auto" w:fill="auto"/>
            <w:vAlign w:val="center"/>
          </w:tcPr>
          <w:p w:rsidR="003B61C2" w:rsidRPr="00D51D60" w:rsidRDefault="003B61C2" w:rsidP="00D47FDA">
            <w:pPr>
              <w:keepNext/>
              <w:keepLines/>
              <w:rPr>
                <w:rFonts w:ascii="Arial Narrow" w:hAnsi="Arial Narrow" w:cstheme="minorHAnsi"/>
                <w:sz w:val="20"/>
                <w:szCs w:val="20"/>
              </w:rPr>
            </w:pPr>
            <w:r w:rsidRPr="00D51D60">
              <w:rPr>
                <w:rFonts w:ascii="Arial Narrow" w:hAnsi="Arial Narrow" w:cstheme="minorHAnsi"/>
                <w:sz w:val="20"/>
                <w:szCs w:val="20"/>
              </w:rPr>
              <w:t xml:space="preserve">UK PHE Vaccination Program </w:t>
            </w:r>
          </w:p>
        </w:tc>
        <w:tc>
          <w:tcPr>
            <w:tcW w:w="754" w:type="pct"/>
            <w:shd w:val="clear" w:color="auto" w:fill="auto"/>
            <w:vAlign w:val="center"/>
          </w:tcPr>
          <w:p w:rsidR="003B61C2" w:rsidRPr="00D51D60" w:rsidRDefault="003B61C2" w:rsidP="00D47FDA">
            <w:pPr>
              <w:keepNext/>
              <w:keepLines/>
              <w:rPr>
                <w:rFonts w:ascii="Arial Narrow" w:hAnsi="Arial Narrow"/>
                <w:sz w:val="20"/>
                <w:szCs w:val="20"/>
              </w:rPr>
            </w:pPr>
            <w:r w:rsidRPr="00D51D60">
              <w:rPr>
                <w:rFonts w:ascii="Arial Narrow" w:hAnsi="Arial Narrow"/>
                <w:sz w:val="20"/>
                <w:szCs w:val="20"/>
              </w:rPr>
              <w:t>Population based</w:t>
            </w:r>
          </w:p>
        </w:tc>
        <w:tc>
          <w:tcPr>
            <w:tcW w:w="783" w:type="pct"/>
            <w:shd w:val="clear" w:color="auto" w:fill="auto"/>
            <w:vAlign w:val="center"/>
          </w:tcPr>
          <w:p w:rsidR="003B61C2" w:rsidRPr="00D51D60" w:rsidRDefault="003B61C2" w:rsidP="00D47FDA">
            <w:pPr>
              <w:keepNext/>
              <w:keepLines/>
              <w:ind w:right="403"/>
              <w:textAlignment w:val="baseline"/>
              <w:rPr>
                <w:rFonts w:ascii="Arial Narrow" w:hAnsi="Arial Narrow" w:cstheme="minorHAnsi"/>
                <w:sz w:val="20"/>
                <w:szCs w:val="20"/>
              </w:rPr>
            </w:pPr>
            <w:r w:rsidRPr="00D51D60">
              <w:rPr>
                <w:rFonts w:ascii="Arial Narrow" w:hAnsi="Arial Narrow" w:cstheme="minorHAnsi"/>
                <w:sz w:val="20"/>
                <w:szCs w:val="20"/>
              </w:rPr>
              <w:t>Observational cohort study</w:t>
            </w:r>
          </w:p>
          <w:p w:rsidR="003B61C2" w:rsidRPr="00D51D60" w:rsidRDefault="003B61C2" w:rsidP="00D47FDA">
            <w:pPr>
              <w:keepNext/>
              <w:keepLines/>
              <w:rPr>
                <w:rFonts w:ascii="Arial Narrow" w:hAnsi="Arial Narrow"/>
                <w:sz w:val="20"/>
                <w:szCs w:val="20"/>
              </w:rPr>
            </w:pPr>
            <w:r w:rsidRPr="00D51D60">
              <w:rPr>
                <w:rFonts w:ascii="Arial Narrow" w:hAnsi="Arial Narrow"/>
                <w:sz w:val="20"/>
                <w:szCs w:val="20"/>
              </w:rPr>
              <w:t>3 years</w:t>
            </w:r>
          </w:p>
        </w:tc>
        <w:tc>
          <w:tcPr>
            <w:tcW w:w="566" w:type="pct"/>
            <w:shd w:val="clear" w:color="auto" w:fill="auto"/>
            <w:vAlign w:val="center"/>
          </w:tcPr>
          <w:p w:rsidR="003B61C2" w:rsidRPr="001A6805" w:rsidRDefault="003B61C2" w:rsidP="00D47FDA">
            <w:pPr>
              <w:keepNext/>
              <w:keepLines/>
              <w:rPr>
                <w:rFonts w:ascii="Arial Narrow" w:hAnsi="Arial Narrow"/>
                <w:sz w:val="20"/>
                <w:szCs w:val="20"/>
              </w:rPr>
            </w:pPr>
            <w:r w:rsidRPr="001A6805">
              <w:rPr>
                <w:rFonts w:ascii="Arial Narrow" w:hAnsi="Arial Narrow"/>
                <w:sz w:val="20"/>
                <w:szCs w:val="20"/>
              </w:rPr>
              <w:t>Low</w:t>
            </w:r>
          </w:p>
        </w:tc>
        <w:tc>
          <w:tcPr>
            <w:tcW w:w="793" w:type="pct"/>
            <w:shd w:val="clear" w:color="auto" w:fill="auto"/>
            <w:vAlign w:val="center"/>
          </w:tcPr>
          <w:p w:rsidR="003B61C2" w:rsidRPr="00D51D60" w:rsidRDefault="003B61C2" w:rsidP="00D47FDA">
            <w:pPr>
              <w:keepNext/>
              <w:keepLines/>
              <w:autoSpaceDE w:val="0"/>
              <w:autoSpaceDN w:val="0"/>
              <w:adjustRightInd w:val="0"/>
              <w:rPr>
                <w:rFonts w:ascii="Arial Narrow" w:hAnsi="Arial Narrow"/>
                <w:sz w:val="20"/>
                <w:szCs w:val="20"/>
              </w:rPr>
            </w:pPr>
            <w:r w:rsidRPr="00D51D60">
              <w:rPr>
                <w:rFonts w:ascii="Arial Narrow" w:hAnsi="Arial Narrow" w:cstheme="minorHAnsi"/>
                <w:sz w:val="20"/>
                <w:szCs w:val="20"/>
              </w:rPr>
              <w:t>UK infants/toddlers</w:t>
            </w:r>
          </w:p>
        </w:tc>
        <w:tc>
          <w:tcPr>
            <w:tcW w:w="709" w:type="pct"/>
            <w:shd w:val="clear" w:color="auto" w:fill="auto"/>
            <w:vAlign w:val="center"/>
          </w:tcPr>
          <w:p w:rsidR="003B61C2" w:rsidRPr="00D51D60" w:rsidRDefault="003B61C2" w:rsidP="00D47FDA">
            <w:pPr>
              <w:keepNext/>
              <w:keepLines/>
              <w:contextualSpacing/>
              <w:textAlignment w:val="baseline"/>
              <w:rPr>
                <w:rFonts w:ascii="Arial Narrow" w:hAnsi="Arial Narrow"/>
                <w:sz w:val="20"/>
                <w:szCs w:val="20"/>
              </w:rPr>
            </w:pPr>
            <w:r w:rsidRPr="00D51D60">
              <w:rPr>
                <w:rFonts w:ascii="Arial Narrow" w:hAnsi="Arial Narrow" w:cs="Segoe UI"/>
                <w:sz w:val="20"/>
                <w:szCs w:val="20"/>
                <w:lang w:eastAsia="en-GB"/>
              </w:rPr>
              <w:t>VE and VI.</w:t>
            </w:r>
          </w:p>
        </w:tc>
        <w:tc>
          <w:tcPr>
            <w:tcW w:w="742" w:type="pct"/>
            <w:shd w:val="clear" w:color="auto" w:fill="auto"/>
            <w:vAlign w:val="center"/>
          </w:tcPr>
          <w:p w:rsidR="003B61C2" w:rsidRPr="00D51D60" w:rsidRDefault="003B61C2" w:rsidP="00D47FDA">
            <w:pPr>
              <w:keepNext/>
              <w:keepLines/>
              <w:rPr>
                <w:rFonts w:ascii="Arial Narrow" w:hAnsi="Arial Narrow"/>
                <w:iCs/>
                <w:sz w:val="20"/>
                <w:szCs w:val="20"/>
              </w:rPr>
            </w:pPr>
            <w:r w:rsidRPr="00D51D60">
              <w:rPr>
                <w:rFonts w:ascii="Arial Narrow" w:hAnsi="Arial Narrow"/>
                <w:iCs/>
                <w:sz w:val="20"/>
                <w:szCs w:val="20"/>
              </w:rPr>
              <w:t xml:space="preserve">Used to model the VE. </w:t>
            </w:r>
          </w:p>
        </w:tc>
      </w:tr>
      <w:tr w:rsidR="003B61C2" w:rsidRPr="00D51D60" w:rsidTr="00051F71">
        <w:trPr>
          <w:trHeight w:val="905"/>
        </w:trPr>
        <w:tc>
          <w:tcPr>
            <w:tcW w:w="652" w:type="pct"/>
            <w:shd w:val="clear" w:color="auto" w:fill="auto"/>
            <w:vAlign w:val="center"/>
          </w:tcPr>
          <w:p w:rsidR="003B61C2" w:rsidRPr="00D51D60" w:rsidRDefault="003B61C2" w:rsidP="00D47FDA">
            <w:pPr>
              <w:keepNext/>
              <w:keepLines/>
              <w:rPr>
                <w:rFonts w:ascii="Arial Narrow" w:hAnsi="Arial Narrow" w:cstheme="minorHAnsi"/>
                <w:sz w:val="20"/>
                <w:szCs w:val="20"/>
              </w:rPr>
            </w:pPr>
            <w:r w:rsidRPr="00D51D60">
              <w:rPr>
                <w:rFonts w:ascii="Arial Narrow" w:hAnsi="Arial Narrow" w:cstheme="minorHAnsi"/>
                <w:sz w:val="20"/>
                <w:szCs w:val="20"/>
              </w:rPr>
              <w:t>Quebec Regional Vaccination Program</w:t>
            </w:r>
          </w:p>
        </w:tc>
        <w:tc>
          <w:tcPr>
            <w:tcW w:w="754" w:type="pct"/>
            <w:shd w:val="clear" w:color="auto" w:fill="auto"/>
            <w:vAlign w:val="center"/>
          </w:tcPr>
          <w:p w:rsidR="003B61C2" w:rsidRPr="00D51D60" w:rsidRDefault="003B61C2" w:rsidP="00D47FDA">
            <w:pPr>
              <w:keepNext/>
              <w:keepLines/>
              <w:rPr>
                <w:rFonts w:ascii="Arial Narrow" w:hAnsi="Arial Narrow"/>
                <w:sz w:val="20"/>
                <w:szCs w:val="20"/>
              </w:rPr>
            </w:pPr>
            <w:r w:rsidRPr="00D51D60">
              <w:rPr>
                <w:rFonts w:ascii="Arial Narrow" w:hAnsi="Arial Narrow"/>
                <w:sz w:val="20"/>
                <w:szCs w:val="20"/>
              </w:rPr>
              <w:t>Population based in response to outbreak</w:t>
            </w:r>
          </w:p>
        </w:tc>
        <w:tc>
          <w:tcPr>
            <w:tcW w:w="783" w:type="pct"/>
            <w:shd w:val="clear" w:color="auto" w:fill="auto"/>
            <w:vAlign w:val="center"/>
          </w:tcPr>
          <w:p w:rsidR="003B61C2" w:rsidRPr="00D51D60" w:rsidRDefault="003B61C2" w:rsidP="00D47FDA">
            <w:pPr>
              <w:keepNext/>
              <w:keepLines/>
              <w:rPr>
                <w:rFonts w:ascii="Arial Narrow" w:hAnsi="Arial Narrow"/>
                <w:sz w:val="20"/>
                <w:szCs w:val="20"/>
              </w:rPr>
            </w:pPr>
            <w:r w:rsidRPr="00D51D60">
              <w:rPr>
                <w:rFonts w:ascii="Arial Narrow" w:hAnsi="Arial Narrow"/>
                <w:sz w:val="20"/>
                <w:szCs w:val="20"/>
              </w:rPr>
              <w:t>Vaccination impact study</w:t>
            </w:r>
          </w:p>
          <w:p w:rsidR="003B61C2" w:rsidRPr="00D51D60" w:rsidRDefault="003B61C2" w:rsidP="00D47FDA">
            <w:pPr>
              <w:keepNext/>
              <w:keepLines/>
              <w:rPr>
                <w:rFonts w:ascii="Arial Narrow" w:hAnsi="Arial Narrow"/>
                <w:sz w:val="20"/>
                <w:szCs w:val="20"/>
              </w:rPr>
            </w:pPr>
            <w:r w:rsidRPr="00D51D60">
              <w:rPr>
                <w:rFonts w:ascii="Arial Narrow" w:hAnsi="Arial Narrow"/>
                <w:sz w:val="20"/>
                <w:szCs w:val="20"/>
              </w:rPr>
              <w:t>2 years</w:t>
            </w:r>
          </w:p>
        </w:tc>
        <w:tc>
          <w:tcPr>
            <w:tcW w:w="566" w:type="pct"/>
            <w:shd w:val="clear" w:color="auto" w:fill="auto"/>
            <w:vAlign w:val="center"/>
          </w:tcPr>
          <w:p w:rsidR="003B61C2" w:rsidRPr="001A6805" w:rsidRDefault="003B61C2" w:rsidP="00D47FDA">
            <w:pPr>
              <w:keepNext/>
              <w:keepLines/>
              <w:rPr>
                <w:rFonts w:ascii="Arial Narrow" w:hAnsi="Arial Narrow"/>
                <w:sz w:val="20"/>
                <w:szCs w:val="20"/>
              </w:rPr>
            </w:pPr>
            <w:r w:rsidRPr="001A6805">
              <w:rPr>
                <w:rFonts w:ascii="Arial Narrow" w:hAnsi="Arial Narrow"/>
                <w:sz w:val="20"/>
                <w:szCs w:val="20"/>
              </w:rPr>
              <w:t>Low</w:t>
            </w:r>
          </w:p>
        </w:tc>
        <w:tc>
          <w:tcPr>
            <w:tcW w:w="793" w:type="pct"/>
            <w:shd w:val="clear" w:color="auto" w:fill="auto"/>
            <w:vAlign w:val="center"/>
          </w:tcPr>
          <w:p w:rsidR="003B61C2" w:rsidRPr="00D51D60" w:rsidRDefault="003B61C2" w:rsidP="00D47FDA">
            <w:pPr>
              <w:keepNext/>
              <w:keepLines/>
              <w:rPr>
                <w:rFonts w:ascii="Arial Narrow" w:hAnsi="Arial Narrow"/>
                <w:sz w:val="20"/>
                <w:szCs w:val="20"/>
              </w:rPr>
            </w:pPr>
            <w:r w:rsidRPr="00D51D60">
              <w:rPr>
                <w:rFonts w:ascii="Arial Narrow" w:hAnsi="Arial Narrow" w:cstheme="minorHAnsi"/>
                <w:sz w:val="20"/>
                <w:szCs w:val="20"/>
              </w:rPr>
              <w:t>2 m - 20 years of age residing or attending school in the SLSJ region</w:t>
            </w:r>
          </w:p>
        </w:tc>
        <w:tc>
          <w:tcPr>
            <w:tcW w:w="709" w:type="pct"/>
            <w:shd w:val="clear" w:color="auto" w:fill="auto"/>
            <w:vAlign w:val="center"/>
          </w:tcPr>
          <w:p w:rsidR="003B61C2" w:rsidRPr="00D51D60" w:rsidRDefault="003B61C2" w:rsidP="00D47FDA">
            <w:pPr>
              <w:keepNext/>
              <w:keepLines/>
              <w:contextualSpacing/>
              <w:textAlignment w:val="baseline"/>
              <w:rPr>
                <w:rFonts w:ascii="Arial Narrow" w:hAnsi="Arial Narrow"/>
                <w:sz w:val="20"/>
                <w:szCs w:val="20"/>
              </w:rPr>
            </w:pPr>
            <w:r w:rsidRPr="00D51D60">
              <w:rPr>
                <w:rFonts w:ascii="Arial Narrow" w:hAnsi="Arial Narrow" w:cs="Segoe UI"/>
                <w:sz w:val="20"/>
                <w:szCs w:val="20"/>
                <w:lang w:eastAsia="en-GB"/>
              </w:rPr>
              <w:t xml:space="preserve">VI and safety </w:t>
            </w:r>
          </w:p>
        </w:tc>
        <w:tc>
          <w:tcPr>
            <w:tcW w:w="742" w:type="pct"/>
            <w:shd w:val="clear" w:color="auto" w:fill="auto"/>
            <w:vAlign w:val="center"/>
          </w:tcPr>
          <w:p w:rsidR="003B61C2" w:rsidRPr="00D51D60" w:rsidRDefault="003B61C2" w:rsidP="00D47FDA">
            <w:pPr>
              <w:keepNext/>
              <w:keepLines/>
              <w:rPr>
                <w:rFonts w:ascii="Arial Narrow" w:hAnsi="Arial Narrow"/>
                <w:iCs/>
                <w:sz w:val="20"/>
                <w:szCs w:val="20"/>
              </w:rPr>
            </w:pPr>
            <w:r w:rsidRPr="00D51D60">
              <w:rPr>
                <w:rFonts w:ascii="Arial Narrow" w:hAnsi="Arial Narrow"/>
                <w:iCs/>
                <w:sz w:val="20"/>
                <w:szCs w:val="20"/>
              </w:rPr>
              <w:t>Not used</w:t>
            </w:r>
          </w:p>
        </w:tc>
      </w:tr>
      <w:tr w:rsidR="003B61C2" w:rsidRPr="00D51D60" w:rsidTr="00051F71">
        <w:trPr>
          <w:trHeight w:val="1141"/>
        </w:trPr>
        <w:tc>
          <w:tcPr>
            <w:tcW w:w="652" w:type="pct"/>
            <w:shd w:val="clear" w:color="auto" w:fill="auto"/>
            <w:vAlign w:val="center"/>
          </w:tcPr>
          <w:p w:rsidR="003B61C2" w:rsidRPr="00D51D60" w:rsidRDefault="003B61C2" w:rsidP="00D47FDA">
            <w:pPr>
              <w:keepNext/>
              <w:keepLines/>
              <w:rPr>
                <w:rFonts w:ascii="Arial Narrow" w:hAnsi="Arial Narrow" w:cstheme="minorHAnsi"/>
                <w:sz w:val="20"/>
                <w:szCs w:val="20"/>
              </w:rPr>
            </w:pPr>
            <w:r w:rsidRPr="00D51D60">
              <w:rPr>
                <w:rFonts w:ascii="Arial Narrow" w:hAnsi="Arial Narrow" w:cstheme="minorHAnsi"/>
                <w:sz w:val="20"/>
                <w:szCs w:val="20"/>
              </w:rPr>
              <w:t>Portugal PT-BEST</w:t>
            </w:r>
          </w:p>
        </w:tc>
        <w:tc>
          <w:tcPr>
            <w:tcW w:w="754" w:type="pct"/>
            <w:shd w:val="clear" w:color="auto" w:fill="auto"/>
            <w:vAlign w:val="center"/>
          </w:tcPr>
          <w:p w:rsidR="003B61C2" w:rsidRPr="00D51D60" w:rsidRDefault="003B61C2" w:rsidP="00D47FDA">
            <w:pPr>
              <w:keepNext/>
              <w:keepLines/>
              <w:rPr>
                <w:rFonts w:ascii="Arial Narrow" w:hAnsi="Arial Narrow"/>
                <w:sz w:val="20"/>
                <w:szCs w:val="20"/>
              </w:rPr>
            </w:pPr>
            <w:r w:rsidRPr="00D51D60">
              <w:rPr>
                <w:rFonts w:ascii="Arial Narrow" w:hAnsi="Arial Narrow" w:cstheme="minorHAnsi"/>
                <w:sz w:val="20"/>
                <w:szCs w:val="20"/>
              </w:rPr>
              <w:t>Private use</w:t>
            </w:r>
          </w:p>
        </w:tc>
        <w:tc>
          <w:tcPr>
            <w:tcW w:w="783" w:type="pct"/>
            <w:shd w:val="clear" w:color="auto" w:fill="auto"/>
            <w:vAlign w:val="center"/>
          </w:tcPr>
          <w:p w:rsidR="003B61C2" w:rsidRPr="00D51D60" w:rsidRDefault="003B61C2" w:rsidP="00D47FDA">
            <w:pPr>
              <w:keepNext/>
              <w:keepLines/>
              <w:ind w:right="403"/>
              <w:textAlignment w:val="baseline"/>
              <w:rPr>
                <w:rFonts w:ascii="Arial Narrow" w:hAnsi="Arial Narrow" w:cstheme="minorHAnsi"/>
                <w:sz w:val="20"/>
                <w:szCs w:val="20"/>
              </w:rPr>
            </w:pPr>
            <w:r w:rsidRPr="00D51D60">
              <w:rPr>
                <w:rFonts w:ascii="Arial Narrow" w:hAnsi="Arial Narrow" w:cstheme="minorHAnsi"/>
                <w:sz w:val="20"/>
                <w:szCs w:val="20"/>
              </w:rPr>
              <w:t>Case control study</w:t>
            </w:r>
          </w:p>
          <w:p w:rsidR="003B61C2" w:rsidRPr="00D51D60" w:rsidRDefault="003B61C2" w:rsidP="00D47FDA">
            <w:pPr>
              <w:keepNext/>
              <w:keepLines/>
              <w:rPr>
                <w:rFonts w:ascii="Arial Narrow" w:hAnsi="Arial Narrow"/>
                <w:sz w:val="20"/>
                <w:szCs w:val="20"/>
              </w:rPr>
            </w:pPr>
            <w:r w:rsidRPr="00D51D60">
              <w:rPr>
                <w:rFonts w:ascii="Arial Narrow" w:hAnsi="Arial Narrow" w:cstheme="minorHAnsi"/>
                <w:sz w:val="20"/>
                <w:szCs w:val="20"/>
              </w:rPr>
              <w:t>4.5 years</w:t>
            </w:r>
          </w:p>
        </w:tc>
        <w:tc>
          <w:tcPr>
            <w:tcW w:w="566" w:type="pct"/>
            <w:shd w:val="clear" w:color="auto" w:fill="auto"/>
            <w:vAlign w:val="center"/>
          </w:tcPr>
          <w:p w:rsidR="003B61C2" w:rsidRPr="001A6805" w:rsidRDefault="003B61C2" w:rsidP="00D47FDA">
            <w:pPr>
              <w:keepNext/>
              <w:keepLines/>
              <w:rPr>
                <w:rFonts w:ascii="Arial Narrow" w:hAnsi="Arial Narrow"/>
                <w:sz w:val="20"/>
                <w:szCs w:val="20"/>
              </w:rPr>
            </w:pPr>
            <w:r w:rsidRPr="001A6805">
              <w:rPr>
                <w:rFonts w:ascii="Arial Narrow" w:hAnsi="Arial Narrow"/>
                <w:sz w:val="20"/>
                <w:szCs w:val="20"/>
              </w:rPr>
              <w:t>Medium</w:t>
            </w:r>
          </w:p>
        </w:tc>
        <w:tc>
          <w:tcPr>
            <w:tcW w:w="793" w:type="pct"/>
            <w:shd w:val="clear" w:color="auto" w:fill="auto"/>
            <w:vAlign w:val="center"/>
          </w:tcPr>
          <w:p w:rsidR="003B61C2" w:rsidRPr="00D51D60" w:rsidRDefault="003B61C2" w:rsidP="00D47FDA">
            <w:pPr>
              <w:keepNext/>
              <w:keepLines/>
              <w:rPr>
                <w:rFonts w:ascii="Arial Narrow" w:hAnsi="Arial Narrow"/>
                <w:sz w:val="20"/>
                <w:szCs w:val="20"/>
              </w:rPr>
            </w:pPr>
            <w:r w:rsidRPr="00D51D60">
              <w:rPr>
                <w:rFonts w:ascii="Arial Narrow" w:hAnsi="Arial Narrow" w:cstheme="minorHAnsi"/>
                <w:sz w:val="20"/>
                <w:szCs w:val="20"/>
              </w:rPr>
              <w:t>Children and adolescents (2 m to 18 years) with IMD; for each case, two controls identified.</w:t>
            </w:r>
          </w:p>
        </w:tc>
        <w:tc>
          <w:tcPr>
            <w:tcW w:w="709" w:type="pct"/>
            <w:shd w:val="clear" w:color="auto" w:fill="auto"/>
            <w:vAlign w:val="center"/>
          </w:tcPr>
          <w:p w:rsidR="003B61C2" w:rsidRPr="00D51D60" w:rsidRDefault="003B61C2" w:rsidP="00D47FDA">
            <w:pPr>
              <w:keepNext/>
              <w:keepLines/>
              <w:contextualSpacing/>
              <w:textAlignment w:val="baseline"/>
              <w:rPr>
                <w:rFonts w:ascii="Arial Narrow" w:hAnsi="Arial Narrow" w:cs="Segoe UI"/>
                <w:sz w:val="20"/>
                <w:szCs w:val="20"/>
                <w:lang w:eastAsia="en-GB"/>
              </w:rPr>
            </w:pPr>
            <w:r w:rsidRPr="00D51D60">
              <w:rPr>
                <w:rFonts w:ascii="Arial Narrow" w:hAnsi="Arial Narrow" w:cs="Segoe UI"/>
                <w:sz w:val="20"/>
                <w:szCs w:val="20"/>
                <w:lang w:eastAsia="en-GB"/>
              </w:rPr>
              <w:t>VE for protection against IMD B.</w:t>
            </w:r>
          </w:p>
          <w:p w:rsidR="003B61C2" w:rsidRPr="00D51D60" w:rsidRDefault="003B61C2" w:rsidP="00D47FDA">
            <w:pPr>
              <w:keepNext/>
              <w:keepLines/>
              <w:rPr>
                <w:rFonts w:ascii="Arial Narrow" w:hAnsi="Arial Narrow"/>
                <w:sz w:val="20"/>
                <w:szCs w:val="20"/>
              </w:rPr>
            </w:pPr>
            <w:r w:rsidRPr="00D51D60">
              <w:rPr>
                <w:rFonts w:ascii="Arial Narrow" w:hAnsi="Arial Narrow" w:cs="Segoe UI"/>
                <w:sz w:val="20"/>
                <w:szCs w:val="20"/>
                <w:lang w:eastAsia="en-GB"/>
              </w:rPr>
              <w:t xml:space="preserve">VE for protection against all IMD. </w:t>
            </w:r>
          </w:p>
        </w:tc>
        <w:tc>
          <w:tcPr>
            <w:tcW w:w="742" w:type="pct"/>
            <w:shd w:val="clear" w:color="auto" w:fill="auto"/>
            <w:vAlign w:val="center"/>
          </w:tcPr>
          <w:p w:rsidR="003B61C2" w:rsidRPr="00D51D60" w:rsidRDefault="003B61C2" w:rsidP="00D47FDA">
            <w:pPr>
              <w:keepNext/>
              <w:keepLines/>
              <w:rPr>
                <w:rFonts w:ascii="Arial Narrow" w:hAnsi="Arial Narrow"/>
                <w:iCs/>
                <w:sz w:val="20"/>
                <w:szCs w:val="20"/>
              </w:rPr>
            </w:pPr>
            <w:r w:rsidRPr="00D51D60">
              <w:rPr>
                <w:rFonts w:ascii="Arial Narrow" w:hAnsi="Arial Narrow"/>
                <w:iCs/>
                <w:sz w:val="20"/>
                <w:szCs w:val="20"/>
              </w:rPr>
              <w:t xml:space="preserve">Used to assess VE in the sensitivity analysis. </w:t>
            </w:r>
          </w:p>
        </w:tc>
      </w:tr>
      <w:tr w:rsidR="003B61C2" w:rsidRPr="00D51D60" w:rsidTr="00051F71">
        <w:trPr>
          <w:trHeight w:val="905"/>
        </w:trPr>
        <w:tc>
          <w:tcPr>
            <w:tcW w:w="652" w:type="pct"/>
            <w:shd w:val="clear" w:color="auto" w:fill="auto"/>
            <w:vAlign w:val="center"/>
          </w:tcPr>
          <w:p w:rsidR="003B61C2" w:rsidRPr="00D51D60" w:rsidRDefault="003B61C2" w:rsidP="00D47FDA">
            <w:pPr>
              <w:keepNext/>
              <w:keepLines/>
              <w:rPr>
                <w:rFonts w:ascii="Arial Narrow" w:hAnsi="Arial Narrow" w:cstheme="minorHAnsi"/>
                <w:sz w:val="20"/>
                <w:szCs w:val="20"/>
              </w:rPr>
            </w:pPr>
            <w:r w:rsidRPr="00D51D60">
              <w:rPr>
                <w:rFonts w:ascii="Arial Narrow" w:hAnsi="Arial Narrow" w:cstheme="minorHAnsi"/>
                <w:sz w:val="20"/>
                <w:szCs w:val="20"/>
              </w:rPr>
              <w:t>South Australia B Part of it</w:t>
            </w:r>
          </w:p>
          <w:p w:rsidR="003B61C2" w:rsidRPr="00D51D60" w:rsidRDefault="003B61C2" w:rsidP="00D47FDA">
            <w:pPr>
              <w:keepNext/>
              <w:keepLines/>
              <w:rPr>
                <w:rFonts w:ascii="Arial Narrow" w:hAnsi="Arial Narrow" w:cstheme="minorHAnsi"/>
                <w:sz w:val="20"/>
                <w:szCs w:val="20"/>
              </w:rPr>
            </w:pPr>
          </w:p>
        </w:tc>
        <w:tc>
          <w:tcPr>
            <w:tcW w:w="754" w:type="pct"/>
            <w:shd w:val="clear" w:color="auto" w:fill="auto"/>
            <w:vAlign w:val="center"/>
          </w:tcPr>
          <w:p w:rsidR="003B61C2" w:rsidRPr="00D51D60" w:rsidRDefault="003B61C2" w:rsidP="00D47FDA">
            <w:pPr>
              <w:keepNext/>
              <w:keepLines/>
              <w:rPr>
                <w:rFonts w:ascii="Arial Narrow" w:hAnsi="Arial Narrow"/>
                <w:sz w:val="20"/>
                <w:szCs w:val="20"/>
              </w:rPr>
            </w:pPr>
            <w:r w:rsidRPr="00D51D60">
              <w:rPr>
                <w:rFonts w:ascii="Arial Narrow" w:hAnsi="Arial Narrow"/>
                <w:sz w:val="20"/>
                <w:szCs w:val="20"/>
              </w:rPr>
              <w:t>Carriage study</w:t>
            </w:r>
          </w:p>
        </w:tc>
        <w:tc>
          <w:tcPr>
            <w:tcW w:w="783" w:type="pct"/>
            <w:shd w:val="clear" w:color="auto" w:fill="auto"/>
            <w:vAlign w:val="center"/>
          </w:tcPr>
          <w:p w:rsidR="003B61C2" w:rsidRPr="00D51D60" w:rsidRDefault="003B61C2" w:rsidP="00D47FDA">
            <w:pPr>
              <w:keepNext/>
              <w:keepLines/>
              <w:rPr>
                <w:rFonts w:ascii="Arial Narrow" w:hAnsi="Arial Narrow"/>
                <w:sz w:val="20"/>
                <w:szCs w:val="20"/>
              </w:rPr>
            </w:pPr>
            <w:r w:rsidRPr="00D51D60">
              <w:rPr>
                <w:rFonts w:ascii="Arial Narrow" w:hAnsi="Arial Narrow"/>
                <w:sz w:val="20"/>
                <w:szCs w:val="20"/>
              </w:rPr>
              <w:t>Parallel cluster RCT</w:t>
            </w:r>
          </w:p>
          <w:p w:rsidR="003B61C2" w:rsidRPr="00D51D60" w:rsidRDefault="003B61C2" w:rsidP="00D47FDA">
            <w:pPr>
              <w:keepNext/>
              <w:keepLines/>
              <w:rPr>
                <w:rFonts w:ascii="Arial Narrow" w:hAnsi="Arial Narrow"/>
                <w:sz w:val="20"/>
                <w:szCs w:val="20"/>
              </w:rPr>
            </w:pPr>
            <w:r w:rsidRPr="00D51D60">
              <w:rPr>
                <w:rFonts w:ascii="Arial Narrow" w:hAnsi="Arial Narrow"/>
                <w:sz w:val="20"/>
                <w:szCs w:val="20"/>
              </w:rPr>
              <w:t>1 year</w:t>
            </w:r>
          </w:p>
        </w:tc>
        <w:tc>
          <w:tcPr>
            <w:tcW w:w="566" w:type="pct"/>
            <w:shd w:val="clear" w:color="auto" w:fill="auto"/>
            <w:vAlign w:val="center"/>
          </w:tcPr>
          <w:p w:rsidR="003B61C2" w:rsidRPr="001A6805" w:rsidRDefault="003B61C2" w:rsidP="00D47FDA">
            <w:pPr>
              <w:keepNext/>
              <w:keepLines/>
              <w:rPr>
                <w:rFonts w:ascii="Arial Narrow" w:hAnsi="Arial Narrow"/>
                <w:sz w:val="20"/>
                <w:szCs w:val="20"/>
              </w:rPr>
            </w:pPr>
            <w:r w:rsidRPr="001A6805">
              <w:rPr>
                <w:rFonts w:ascii="Arial Narrow" w:hAnsi="Arial Narrow"/>
                <w:sz w:val="20"/>
                <w:szCs w:val="20"/>
              </w:rPr>
              <w:t>Low</w:t>
            </w:r>
          </w:p>
        </w:tc>
        <w:tc>
          <w:tcPr>
            <w:tcW w:w="793" w:type="pct"/>
            <w:shd w:val="clear" w:color="auto" w:fill="auto"/>
            <w:vAlign w:val="center"/>
          </w:tcPr>
          <w:p w:rsidR="003B61C2" w:rsidRPr="00D51D60" w:rsidRDefault="003B61C2" w:rsidP="00D47FDA">
            <w:pPr>
              <w:keepNext/>
              <w:keepLines/>
              <w:rPr>
                <w:rFonts w:ascii="Arial Narrow" w:hAnsi="Arial Narrow"/>
                <w:sz w:val="20"/>
                <w:szCs w:val="20"/>
              </w:rPr>
            </w:pPr>
            <w:r w:rsidRPr="00D51D60">
              <w:rPr>
                <w:rFonts w:ascii="Arial Narrow" w:hAnsi="Arial Narrow" w:cstheme="minorHAnsi"/>
                <w:sz w:val="20"/>
                <w:szCs w:val="20"/>
              </w:rPr>
              <w:t>Students in Years 10, 11 and 12 attending school.</w:t>
            </w:r>
          </w:p>
        </w:tc>
        <w:tc>
          <w:tcPr>
            <w:tcW w:w="709" w:type="pct"/>
            <w:shd w:val="clear" w:color="auto" w:fill="auto"/>
            <w:vAlign w:val="center"/>
          </w:tcPr>
          <w:p w:rsidR="003B61C2" w:rsidRPr="00D51D60" w:rsidRDefault="003B61C2" w:rsidP="00D47FDA">
            <w:pPr>
              <w:keepNext/>
              <w:keepLines/>
              <w:rPr>
                <w:rFonts w:ascii="Arial Narrow" w:hAnsi="Arial Narrow"/>
                <w:sz w:val="20"/>
                <w:szCs w:val="20"/>
              </w:rPr>
            </w:pPr>
            <w:r w:rsidRPr="00D51D60">
              <w:rPr>
                <w:rFonts w:ascii="Arial Narrow" w:hAnsi="Arial Narrow"/>
                <w:sz w:val="20"/>
                <w:szCs w:val="20"/>
              </w:rPr>
              <w:t>VI, safety and difference in carriage</w:t>
            </w:r>
          </w:p>
        </w:tc>
        <w:tc>
          <w:tcPr>
            <w:tcW w:w="742" w:type="pct"/>
            <w:shd w:val="clear" w:color="auto" w:fill="auto"/>
            <w:vAlign w:val="center"/>
          </w:tcPr>
          <w:p w:rsidR="003B61C2" w:rsidRPr="00D51D60" w:rsidRDefault="003B61C2" w:rsidP="00D47FDA">
            <w:pPr>
              <w:keepNext/>
              <w:keepLines/>
              <w:rPr>
                <w:rFonts w:ascii="Arial Narrow" w:hAnsi="Arial Narrow"/>
                <w:iCs/>
                <w:sz w:val="20"/>
                <w:szCs w:val="20"/>
              </w:rPr>
            </w:pPr>
            <w:r w:rsidRPr="00D51D60">
              <w:rPr>
                <w:rFonts w:ascii="Arial Narrow" w:hAnsi="Arial Narrow"/>
                <w:iCs/>
                <w:sz w:val="20"/>
                <w:szCs w:val="20"/>
              </w:rPr>
              <w:t xml:space="preserve">Used to support herd immunity assumption in Section 3. </w:t>
            </w:r>
          </w:p>
        </w:tc>
      </w:tr>
    </w:tbl>
    <w:p w:rsidR="003B61C2" w:rsidRPr="007108BC" w:rsidRDefault="003B61C2" w:rsidP="00D47FDA">
      <w:pPr>
        <w:keepNext/>
        <w:keepLines/>
        <w:jc w:val="both"/>
        <w:rPr>
          <w:rFonts w:ascii="Arial Narrow" w:hAnsi="Arial Narrow"/>
          <w:sz w:val="18"/>
          <w:szCs w:val="18"/>
        </w:rPr>
      </w:pPr>
      <w:r w:rsidRPr="007108BC">
        <w:rPr>
          <w:rFonts w:ascii="Arial Narrow" w:hAnsi="Arial Narrow"/>
          <w:sz w:val="18"/>
          <w:szCs w:val="18"/>
        </w:rPr>
        <w:t>Abbreviations: IMD = invasive meningococcal disease; m= months; Men B = meningococcal B; RCT= randomised controlled trial; SLSJ = Saguenay-Lac-Saint-Jean; UK PHE= United Kingdom Vaccination Program by Public Health England; VE= vaccine effectiveness; VI= vaccine impact.</w:t>
      </w:r>
    </w:p>
    <w:p w:rsidR="003B61C2" w:rsidRPr="007108BC" w:rsidRDefault="003B61C2" w:rsidP="00D47FDA">
      <w:pPr>
        <w:keepNext/>
        <w:keepLines/>
        <w:jc w:val="both"/>
        <w:rPr>
          <w:rFonts w:ascii="Arial Narrow" w:hAnsi="Arial Narrow"/>
          <w:sz w:val="18"/>
          <w:szCs w:val="18"/>
        </w:rPr>
      </w:pPr>
      <w:r w:rsidRPr="007108BC">
        <w:rPr>
          <w:rFonts w:ascii="Arial Narrow" w:hAnsi="Arial Narrow"/>
          <w:sz w:val="18"/>
          <w:szCs w:val="18"/>
        </w:rPr>
        <w:t xml:space="preserve">Note: The ROBINS-1 tool was used to assess the risk of bias of observational studies. </w:t>
      </w:r>
    </w:p>
    <w:p w:rsidR="003B61C2" w:rsidRPr="007108BC" w:rsidRDefault="003B61C2" w:rsidP="00D47FDA">
      <w:pPr>
        <w:keepNext/>
        <w:keepLines/>
        <w:jc w:val="both"/>
        <w:rPr>
          <w:rFonts w:ascii="Arial Narrow" w:hAnsi="Arial Narrow"/>
          <w:sz w:val="18"/>
          <w:szCs w:val="18"/>
        </w:rPr>
      </w:pPr>
      <w:r w:rsidRPr="007108BC">
        <w:rPr>
          <w:rFonts w:ascii="Arial Narrow" w:hAnsi="Arial Narrow"/>
          <w:sz w:val="18"/>
          <w:szCs w:val="18"/>
        </w:rPr>
        <w:t xml:space="preserve">Source: Table 2.11, p. 77 of the resubmission. </w:t>
      </w:r>
    </w:p>
    <w:p w:rsidR="003B61C2" w:rsidRPr="007108BC" w:rsidRDefault="003B61C2" w:rsidP="007108BC">
      <w:pPr>
        <w:pStyle w:val="ListParagraph"/>
        <w:spacing w:after="0"/>
      </w:pPr>
    </w:p>
    <w:p w:rsidR="00647CB6" w:rsidRPr="007108BC" w:rsidRDefault="003B61C2" w:rsidP="00EB423F">
      <w:pPr>
        <w:pStyle w:val="bulletnumberedstyle"/>
      </w:pPr>
      <w:r w:rsidRPr="007108BC">
        <w:t xml:space="preserve">Vaccine effectiveness (VE) is estimated by comparing the proportion of cases who are vaccinated with the proportion of cases in the population eligible for vaccination (rather than only unvaccinated cases) (ATAGI pre-submission advice, June 2019). Generally, VE is estimated using the screening method especially when data on the vaccination status of cases only are available. </w:t>
      </w:r>
      <w:r w:rsidR="00C17CBF">
        <w:t>The screening method for calculating</w:t>
      </w:r>
      <w:r w:rsidR="00C17CBF" w:rsidRPr="00C17CBF">
        <w:t xml:space="preserve"> VE may not</w:t>
      </w:r>
      <w:r w:rsidR="00C17CBF">
        <w:t xml:space="preserve"> provide a reliable estimate if</w:t>
      </w:r>
      <w:r w:rsidR="00C17CBF" w:rsidRPr="00C17CBF">
        <w:t xml:space="preserve"> (1) the disease is rare, (2</w:t>
      </w:r>
      <w:r w:rsidR="00C17CBF">
        <w:t xml:space="preserve">) the vaccine coverage is high </w:t>
      </w:r>
      <w:r w:rsidR="00C17CBF" w:rsidRPr="00C17CBF">
        <w:t>and (3</w:t>
      </w:r>
      <w:r w:rsidR="00C17CBF">
        <w:t xml:space="preserve">) the vaccine is effective as </w:t>
      </w:r>
      <w:r w:rsidR="00C17CBF" w:rsidRPr="00C17CBF">
        <w:t>these three properties may lead to small frequencies for the number of vaccinated cases, or unvaccinated cases, or both</w:t>
      </w:r>
      <w:r w:rsidR="00C17CBF">
        <w:t xml:space="preserve">. </w:t>
      </w:r>
      <w:r w:rsidR="00C11C7B">
        <w:t xml:space="preserve">The PBAC noted that although there is no intrinsic bias in VE estimates from the screening method attributable to these three factors, it acknowledged that VE estimates will be uncertain if the total number of cases is small. </w:t>
      </w:r>
      <w:r w:rsidR="000F1242">
        <w:t xml:space="preserve">The PBAC </w:t>
      </w:r>
      <w:r w:rsidR="00C11C7B">
        <w:t xml:space="preserve">noted that despite the uncertainty in the VE estimate from the UK PHE study, </w:t>
      </w:r>
      <w:r w:rsidR="000C3620">
        <w:t xml:space="preserve">the data were most consistent with a VE of 58.9% while the </w:t>
      </w:r>
      <w:r w:rsidR="00C11C7B">
        <w:t>upper bound of the 95% confidence interval suggest</w:t>
      </w:r>
      <w:r w:rsidR="000C3620">
        <w:t>s</w:t>
      </w:r>
      <w:r w:rsidR="00C11C7B">
        <w:t xml:space="preserve"> </w:t>
      </w:r>
      <w:r w:rsidR="000C3620">
        <w:t>the data</w:t>
      </w:r>
      <w:r w:rsidR="00C11C7B">
        <w:t xml:space="preserve"> were not consistent with a VE of greater than 87.1%.</w:t>
      </w:r>
    </w:p>
    <w:p w:rsidR="003B61C2" w:rsidRPr="007108BC" w:rsidRDefault="00647CB6" w:rsidP="00EB423F">
      <w:pPr>
        <w:pStyle w:val="bulletnumberedstyle"/>
      </w:pPr>
      <w:r w:rsidRPr="007108BC">
        <w:t>V</w:t>
      </w:r>
      <w:r w:rsidR="003B61C2" w:rsidRPr="007108BC">
        <w:t>accine impact (VI) refers to the overall effect of a vaccination program and is measured by comparing one population in which the vaccination is implemented to a reference population without the vaccination program.</w:t>
      </w:r>
    </w:p>
    <w:p w:rsidR="003B61C2" w:rsidRPr="007108BC" w:rsidRDefault="003B61C2" w:rsidP="005262EB">
      <w:pPr>
        <w:pStyle w:val="bulletnumberedstyle"/>
      </w:pPr>
      <w:r w:rsidRPr="007108BC">
        <w:t xml:space="preserve">VI </w:t>
      </w:r>
      <w:r w:rsidR="002C5F58" w:rsidRPr="007108BC">
        <w:t xml:space="preserve">for the UK PHE vaccination program </w:t>
      </w:r>
      <w:r w:rsidRPr="007108BC">
        <w:t xml:space="preserve">was estimated using a Poisson model constructed based on the incidence rates ratio (IRR) adjusted by year, age and vaccine </w:t>
      </w:r>
      <w:r w:rsidRPr="007108BC">
        <w:lastRenderedPageBreak/>
        <w:t xml:space="preserve">eligible period. The IRR </w:t>
      </w:r>
      <w:r w:rsidR="00DB5D1B">
        <w:t>was</w:t>
      </w:r>
      <w:r w:rsidR="00DB5D1B" w:rsidRPr="007108BC">
        <w:t xml:space="preserve"> </w:t>
      </w:r>
      <w:r w:rsidRPr="007108BC">
        <w:t>calculated relative to the baseline of the non-vaccine eligible cohort. This was used to produce an interrupted time series model with IRR in the non-vaccinated targeted aged group used to predict changes in the vaccine targeted ages.</w:t>
      </w:r>
      <w:r w:rsidR="005262EB" w:rsidRPr="005262EB">
        <w:t xml:space="preserve"> The PBAC </w:t>
      </w:r>
      <w:r w:rsidR="000C3620">
        <w:t>noted</w:t>
      </w:r>
      <w:r w:rsidR="000C3620" w:rsidRPr="005262EB">
        <w:t xml:space="preserve"> </w:t>
      </w:r>
      <w:r w:rsidR="005262EB" w:rsidRPr="005262EB">
        <w:t xml:space="preserve">the modelling used to estimate VI </w:t>
      </w:r>
      <w:r w:rsidR="000C3620">
        <w:t xml:space="preserve">captures the change in disease incidence beyond that explainable by random variation, after taking into consideration the change in incidence over time and in unvaccinated age groups. The PBAC noted that any changes in incidence over time </w:t>
      </w:r>
      <w:r w:rsidR="005262EB" w:rsidRPr="005262EB">
        <w:t xml:space="preserve">may </w:t>
      </w:r>
      <w:r w:rsidR="000C3620">
        <w:t>be due to factors other than the vaccin</w:t>
      </w:r>
      <w:r w:rsidR="000F1242">
        <w:t>e</w:t>
      </w:r>
      <w:r w:rsidR="000C3620">
        <w:t xml:space="preserve"> program, </w:t>
      </w:r>
      <w:r w:rsidR="00AD668F">
        <w:t xml:space="preserve">and </w:t>
      </w:r>
      <w:r w:rsidR="000C3620">
        <w:t xml:space="preserve">therefore attributing 100% of the apparent reduction to vaccine impact was </w:t>
      </w:r>
      <w:r w:rsidR="00AD668F">
        <w:t>very</w:t>
      </w:r>
      <w:r w:rsidR="000C3620">
        <w:t xml:space="preserve"> uncertain</w:t>
      </w:r>
      <w:r w:rsidR="005262EB" w:rsidRPr="005262EB">
        <w:t>.</w:t>
      </w:r>
      <w:r w:rsidR="00624D24">
        <w:t xml:space="preserve"> </w:t>
      </w:r>
      <w:r w:rsidR="000C3620">
        <w:t xml:space="preserve">This uncertainty extends to </w:t>
      </w:r>
      <w:r w:rsidR="00AD668F">
        <w:t>extrapolation</w:t>
      </w:r>
      <w:r w:rsidR="000C3620">
        <w:t xml:space="preserve"> of VE from the VI.</w:t>
      </w:r>
    </w:p>
    <w:p w:rsidR="003B61C2" w:rsidRPr="007108BC" w:rsidRDefault="003B61C2" w:rsidP="005A1BBE">
      <w:pPr>
        <w:pStyle w:val="Heading2"/>
      </w:pPr>
      <w:bookmarkStart w:id="12" w:name="_Toc19697624"/>
      <w:r w:rsidRPr="007108BC">
        <w:t>Comparative effectiveness</w:t>
      </w:r>
      <w:bookmarkEnd w:id="12"/>
    </w:p>
    <w:p w:rsidR="003B61C2" w:rsidRPr="007108BC" w:rsidRDefault="0000792C" w:rsidP="00EB423F">
      <w:pPr>
        <w:pStyle w:val="bulletnumberedstyle"/>
        <w:rPr>
          <w:color w:val="3366FF"/>
        </w:rPr>
      </w:pPr>
      <w:r w:rsidRPr="007108BC">
        <w:t>P</w:t>
      </w:r>
      <w:r w:rsidR="003B61C2" w:rsidRPr="007108BC">
        <w:t xml:space="preserve">revious submissions </w:t>
      </w:r>
      <w:r w:rsidRPr="007108BC">
        <w:t xml:space="preserve">relied on immunogenicity data with </w:t>
      </w:r>
      <w:r w:rsidR="003B61C2" w:rsidRPr="007108BC">
        <w:t>the hSBA titre used as a surrogate for VE (derived from study V72P6) which reached 98% when a full s</w:t>
      </w:r>
      <w:r w:rsidR="00DF22A3">
        <w:t>chedule (3+1) was assumed</w:t>
      </w:r>
      <w:r w:rsidR="003B61C2" w:rsidRPr="007108BC">
        <w:t xml:space="preserve">. </w:t>
      </w:r>
      <w:r w:rsidRPr="007108BC">
        <w:t xml:space="preserve">The </w:t>
      </w:r>
      <w:r w:rsidR="00683266" w:rsidRPr="007108BC">
        <w:t xml:space="preserve">current </w:t>
      </w:r>
      <w:r w:rsidRPr="007108BC">
        <w:t xml:space="preserve">resubmission relied on </w:t>
      </w:r>
      <w:r w:rsidR="00C9661D" w:rsidRPr="007108BC">
        <w:t>estimates of VE</w:t>
      </w:r>
      <w:r w:rsidRPr="007108BC">
        <w:t xml:space="preserve"> </w:t>
      </w:r>
      <w:r w:rsidR="00B36877" w:rsidRPr="007108BC">
        <w:t xml:space="preserve">and VI </w:t>
      </w:r>
      <w:r w:rsidRPr="007108BC">
        <w:t xml:space="preserve">calculated from the UK PHE </w:t>
      </w:r>
      <w:r w:rsidR="00683266" w:rsidRPr="007108BC">
        <w:t>V</w:t>
      </w:r>
      <w:r w:rsidRPr="007108BC">
        <w:t xml:space="preserve">accination program using a 2+1 infant schedule. </w:t>
      </w:r>
      <w:r w:rsidR="003B636C" w:rsidRPr="00DF22A3">
        <w:t>The ESC acknowledged that calculating VE using</w:t>
      </w:r>
      <w:r w:rsidR="00025D93" w:rsidRPr="00DF22A3">
        <w:t xml:space="preserve"> data from the UK PHE Vaccination program </w:t>
      </w:r>
      <w:r w:rsidR="003B636C" w:rsidRPr="00DF22A3">
        <w:t xml:space="preserve">was preferable to using immunogenicity data. </w:t>
      </w:r>
    </w:p>
    <w:p w:rsidR="007520EB" w:rsidRPr="009B7004" w:rsidRDefault="007520EB" w:rsidP="00EB423F">
      <w:pPr>
        <w:pStyle w:val="bulletnumberedstyle"/>
      </w:pPr>
      <w:r w:rsidRPr="009B7004">
        <w:t xml:space="preserve">The resubmission argued that </w:t>
      </w:r>
      <w:r w:rsidR="002C5F58" w:rsidRPr="009B7004">
        <w:t xml:space="preserve">the </w:t>
      </w:r>
      <w:r w:rsidR="003D59F7" w:rsidRPr="009B7004">
        <w:t xml:space="preserve">standard method for </w:t>
      </w:r>
      <w:r w:rsidR="003D59F7" w:rsidRPr="00E90F0E">
        <w:t xml:space="preserve">estimating </w:t>
      </w:r>
      <w:r w:rsidR="00E90F0E" w:rsidRPr="00E90F0E">
        <w:t>VE</w:t>
      </w:r>
      <w:r w:rsidR="003D59F7" w:rsidRPr="00E90F0E">
        <w:t xml:space="preserve"> (</w:t>
      </w:r>
      <w:r w:rsidRPr="00E90F0E">
        <w:t>screening</w:t>
      </w:r>
      <w:r w:rsidRPr="009B7004">
        <w:t xml:space="preserve"> method</w:t>
      </w:r>
      <w:r w:rsidR="003D59F7" w:rsidRPr="009B7004">
        <w:t>)</w:t>
      </w:r>
      <w:r w:rsidRPr="009B7004">
        <w:t xml:space="preserve"> led to inaccurate results </w:t>
      </w:r>
      <w:r w:rsidR="00747230" w:rsidRPr="009B7004">
        <w:t xml:space="preserve">and wide confidence intervals </w:t>
      </w:r>
      <w:r w:rsidRPr="009B7004">
        <w:t xml:space="preserve">because </w:t>
      </w:r>
      <w:r w:rsidR="00747230" w:rsidRPr="009B7004">
        <w:t xml:space="preserve">Men B </w:t>
      </w:r>
      <w:r w:rsidRPr="009B7004">
        <w:t xml:space="preserve">was </w:t>
      </w:r>
      <w:r w:rsidR="00541F00" w:rsidRPr="009B7004">
        <w:t xml:space="preserve">a </w:t>
      </w:r>
      <w:r w:rsidRPr="009B7004">
        <w:t>rare</w:t>
      </w:r>
      <w:r w:rsidR="00747230" w:rsidRPr="009B7004">
        <w:t xml:space="preserve"> disease</w:t>
      </w:r>
      <w:r w:rsidRPr="009B7004">
        <w:t xml:space="preserve">, the vaccination coverage was high and the vaccine was effective. </w:t>
      </w:r>
      <w:r w:rsidR="00FA4FB3">
        <w:t xml:space="preserve">An alternative method of calculating VE was proposed with the </w:t>
      </w:r>
      <w:r w:rsidR="00FA4FB3">
        <w:rPr>
          <w:iCs/>
        </w:rPr>
        <w:t xml:space="preserve">adjusted </w:t>
      </w:r>
      <w:r w:rsidR="00747230" w:rsidRPr="003B636C">
        <w:rPr>
          <w:iCs/>
        </w:rPr>
        <w:t>VE calculated</w:t>
      </w:r>
      <w:r w:rsidR="00747230" w:rsidRPr="00D51D60">
        <w:rPr>
          <w:iCs/>
        </w:rPr>
        <w:t xml:space="preserve"> directly from </w:t>
      </w:r>
      <w:r w:rsidR="00BB196F">
        <w:rPr>
          <w:iCs/>
          <w:noProof/>
          <w:color w:val="000000"/>
          <w:highlight w:val="black"/>
        </w:rPr>
        <w:t>'''''' '''''''''''''''' '''' '''' ''' ''''''' '''''' ''''''''' '''''''''''''''''''' '''''''''''''''</w:t>
      </w:r>
      <w:r w:rsidR="00747230" w:rsidRPr="00D51D60">
        <w:rPr>
          <w:iCs/>
        </w:rPr>
        <w:t>.</w:t>
      </w:r>
      <w:r w:rsidR="00FA4FB3">
        <w:rPr>
          <w:iCs/>
        </w:rPr>
        <w:t xml:space="preserve"> The calculation relies on the </w:t>
      </w:r>
      <w:r w:rsidR="00BB196F">
        <w:rPr>
          <w:iCs/>
          <w:noProof/>
          <w:color w:val="000000"/>
          <w:highlight w:val="black"/>
        </w:rPr>
        <w:t>''''''''''''''''''''''''' ''''''''''''''''' ''''' '''''''' '''' ''''''''''' ''''''''''' ''' ''''' '''''''''''''' '''''''''' '''' ''''''''''''''''''''''' ''''''''''''''''' ''''''''''''''' '''''''''''''''''</w:t>
      </w:r>
      <w:r w:rsidR="00FA4FB3">
        <w:rPr>
          <w:iCs/>
        </w:rPr>
        <w:t xml:space="preserve">. The economic model in the resubmission relied on the adjusted VE. </w:t>
      </w:r>
    </w:p>
    <w:p w:rsidR="003B61C2" w:rsidRPr="00EA016D" w:rsidRDefault="003B61C2" w:rsidP="00EB423F">
      <w:pPr>
        <w:pStyle w:val="bulletnumberedstyle"/>
        <w:rPr>
          <w:i/>
          <w:color w:val="3366FF"/>
        </w:rPr>
      </w:pPr>
      <w:r w:rsidRPr="00D51D60">
        <w:t>The adjust</w:t>
      </w:r>
      <w:r w:rsidR="00F97C63">
        <w:t>ment</w:t>
      </w:r>
      <w:r w:rsidRPr="00D51D60">
        <w:t xml:space="preserve"> </w:t>
      </w:r>
      <w:r w:rsidR="00BB196F">
        <w:rPr>
          <w:noProof/>
          <w:color w:val="000000"/>
          <w:highlight w:val="black"/>
        </w:rPr>
        <w:t xml:space="preserve">''''''''''''''''''' </w:t>
      </w:r>
      <w:r w:rsidRPr="00D51D60">
        <w:t>the VE from 58.9% (95% CI: -31.5, 87.1)</w:t>
      </w:r>
      <w:r w:rsidRPr="00D51D60" w:rsidDel="006A0F77">
        <w:t xml:space="preserve"> </w:t>
      </w:r>
      <w:r w:rsidRPr="00D51D60">
        <w:t xml:space="preserve">to </w:t>
      </w:r>
      <w:r w:rsidR="00BB196F">
        <w:rPr>
          <w:noProof/>
          <w:color w:val="000000"/>
          <w:highlight w:val="black"/>
        </w:rPr>
        <w:t>''''''''</w:t>
      </w:r>
      <w:r w:rsidRPr="00D51D60">
        <w:t xml:space="preserve">% (95% CI: </w:t>
      </w:r>
      <w:r w:rsidR="00BB196F">
        <w:rPr>
          <w:noProof/>
          <w:color w:val="000000"/>
          <w:highlight w:val="black"/>
        </w:rPr>
        <w:t>'''''''''</w:t>
      </w:r>
      <w:r w:rsidRPr="00D51D60">
        <w:t xml:space="preserve">, </w:t>
      </w:r>
      <w:r w:rsidR="00BB196F">
        <w:rPr>
          <w:noProof/>
          <w:color w:val="000000"/>
          <w:highlight w:val="black"/>
        </w:rPr>
        <w:t>'''''''''</w:t>
      </w:r>
      <w:r w:rsidRPr="00D51D60">
        <w:t xml:space="preserve">). </w:t>
      </w:r>
      <w:r w:rsidR="00DF22A3">
        <w:t xml:space="preserve">The </w:t>
      </w:r>
      <w:r w:rsidRPr="00D51D60">
        <w:t xml:space="preserve">ATAGI considered this adjustment inappropriate because methodological details had not been peer-reviewed nor published, uncertainties in some parameters, assumptions and potential errors in the estimation of VI. </w:t>
      </w:r>
      <w:r w:rsidR="00305B25" w:rsidRPr="00305B25">
        <w:t xml:space="preserve">The PBAC </w:t>
      </w:r>
      <w:r w:rsidR="00EA016D" w:rsidRPr="00305B25">
        <w:t xml:space="preserve">considered that the screening method </w:t>
      </w:r>
      <w:r w:rsidR="009E0565" w:rsidRPr="00305B25">
        <w:t>result</w:t>
      </w:r>
      <w:r w:rsidR="000F1242">
        <w:t>ed</w:t>
      </w:r>
      <w:r w:rsidR="009E0565" w:rsidRPr="00305B25">
        <w:t xml:space="preserve"> in </w:t>
      </w:r>
      <w:r w:rsidR="00AD668F">
        <w:t>imprecise</w:t>
      </w:r>
      <w:r w:rsidR="00AD668F" w:rsidRPr="00305B25">
        <w:t xml:space="preserve"> </w:t>
      </w:r>
      <w:r w:rsidR="009E0565" w:rsidRPr="00305B25">
        <w:t>estimate</w:t>
      </w:r>
      <w:r w:rsidR="00AD668F">
        <w:t>s</w:t>
      </w:r>
      <w:r w:rsidR="009E0565" w:rsidRPr="00305B25">
        <w:t xml:space="preserve"> of </w:t>
      </w:r>
      <w:r w:rsidR="00AD668F">
        <w:t>VE, especially when a disease is rare, coverage is very high, or the true VE is modest. T</w:t>
      </w:r>
      <w:r w:rsidR="00EA016D" w:rsidRPr="00305B25">
        <w:t>he</w:t>
      </w:r>
      <w:r w:rsidR="00AD668F">
        <w:t xml:space="preserve"> PBAC did not agree</w:t>
      </w:r>
      <w:r w:rsidR="000F1242">
        <w:t xml:space="preserve"> with the resubmission</w:t>
      </w:r>
      <w:r w:rsidR="00AD668F">
        <w:t xml:space="preserve"> that these factors resulted in unreliable VE estimates per se, although noted that confounding caused by differences between vaccinated and unvaccinated children could bias the VE estimate (in either direction). The PBAC noted </w:t>
      </w:r>
      <w:r w:rsidR="00EA016D" w:rsidRPr="00305B25">
        <w:t xml:space="preserve">that the alternative approach to estimating VE </w:t>
      </w:r>
      <w:r w:rsidR="00BB196F">
        <w:rPr>
          <w:noProof/>
          <w:color w:val="000000"/>
          <w:highlight w:val="black"/>
        </w:rPr>
        <w:t>'''''''''''''''''''''''' ''''''''' '''''' ''''''</w:t>
      </w:r>
      <w:r w:rsidR="00305B25">
        <w:t xml:space="preserve"> was </w:t>
      </w:r>
      <w:r w:rsidR="00187F3F" w:rsidRPr="00305B25">
        <w:t xml:space="preserve">also associated with </w:t>
      </w:r>
      <w:r w:rsidR="00AD668F">
        <w:t>significant</w:t>
      </w:r>
      <w:r w:rsidR="00AD668F" w:rsidRPr="00305B25">
        <w:t xml:space="preserve"> </w:t>
      </w:r>
      <w:r w:rsidR="00187F3F" w:rsidRPr="00305B25">
        <w:t>uncertainty</w:t>
      </w:r>
      <w:r w:rsidR="006B423D">
        <w:t xml:space="preserve"> </w:t>
      </w:r>
      <w:r w:rsidR="00BB196F">
        <w:rPr>
          <w:noProof/>
          <w:color w:val="000000"/>
          <w:highlight w:val="black"/>
        </w:rPr>
        <w:t>''''''''''''''''''''' '''''''''' ''''''''''''''' ''' ''''''''''''''''' ''''''''''''''''' '''''' ''''''''''''''' ''' ''''''''''''''''''' ''''''' ''''''''' ''''' '''''''''''''''''''''''' ''''' '''''' '''''''''''''' ''''''''''''''''''</w:t>
      </w:r>
      <w:r w:rsidR="00AD668F">
        <w:t xml:space="preserve"> and therefore the PBAC did not accept that it represented a more reliable </w:t>
      </w:r>
      <w:r w:rsidR="00E4229A">
        <w:t>estimate of the VE</w:t>
      </w:r>
      <w:r w:rsidR="00305B25" w:rsidRPr="00305B25">
        <w:t>.</w:t>
      </w:r>
      <w:r w:rsidR="00AD668F">
        <w:t xml:space="preserve"> The PBAC noted that the two VE estimates were inconsistent, noting that the point estimate of the adjusted VE (</w:t>
      </w:r>
      <w:r w:rsidR="00BB196F">
        <w:rPr>
          <w:noProof/>
          <w:color w:val="000000"/>
          <w:highlight w:val="black"/>
        </w:rPr>
        <w:t>'''''''''</w:t>
      </w:r>
      <w:r w:rsidR="00AD668F">
        <w:t xml:space="preserve">%) was </w:t>
      </w:r>
      <w:r w:rsidR="00E4229A">
        <w:t xml:space="preserve">poorly consistent with </w:t>
      </w:r>
      <w:r w:rsidR="00E4229A">
        <w:lastRenderedPageBreak/>
        <w:t xml:space="preserve">the number of cases observed among vaccinated children (25 of 29), being </w:t>
      </w:r>
      <w:r w:rsidR="00BB196F">
        <w:rPr>
          <w:noProof/>
          <w:color w:val="000000"/>
          <w:highlight w:val="black"/>
        </w:rPr>
        <w:t>''''''''''''' ''''''''''''' ''''''' ''''''''''' '''''''' ''''''''''''''''''' '''''''''</w:t>
      </w:r>
      <w:r w:rsidR="00AD668F">
        <w:t xml:space="preserve"> for the </w:t>
      </w:r>
      <w:r w:rsidR="00E4229A">
        <w:t xml:space="preserve">VE using the </w:t>
      </w:r>
      <w:r w:rsidR="00AD668F">
        <w:t>screening method (87.1%).</w:t>
      </w:r>
      <w:r w:rsidR="00D47FDA">
        <w:t xml:space="preserve"> </w:t>
      </w:r>
      <w:r w:rsidR="00AD668F">
        <w:t>On balance,</w:t>
      </w:r>
      <w:r w:rsidR="00EA016D" w:rsidRPr="00305B25">
        <w:t xml:space="preserve"> </w:t>
      </w:r>
      <w:r w:rsidR="00AD668F">
        <w:t>t</w:t>
      </w:r>
      <w:r w:rsidR="006B66B5" w:rsidRPr="006B66B5">
        <w:t>he PBAC considered</w:t>
      </w:r>
      <w:r w:rsidR="006B66B5" w:rsidRPr="006B66B5">
        <w:rPr>
          <w:i/>
        </w:rPr>
        <w:t xml:space="preserve"> </w:t>
      </w:r>
      <w:r w:rsidR="006B66B5" w:rsidRPr="006B66B5">
        <w:t xml:space="preserve">the true VE was likely to </w:t>
      </w:r>
      <w:r w:rsidR="006B66B5">
        <w:t>lie betwe</w:t>
      </w:r>
      <w:r w:rsidR="00305B25">
        <w:t xml:space="preserve">en </w:t>
      </w:r>
      <w:r w:rsidR="006B66B5" w:rsidRPr="006B66B5">
        <w:t xml:space="preserve">the VE </w:t>
      </w:r>
      <w:r w:rsidR="00305B25">
        <w:t>calculated</w:t>
      </w:r>
      <w:r w:rsidR="006B66B5" w:rsidRPr="006B66B5">
        <w:t xml:space="preserve"> using the screening method (58.9%) and the adjusted VE (</w:t>
      </w:r>
      <w:r w:rsidR="00BB196F">
        <w:rPr>
          <w:noProof/>
          <w:color w:val="000000"/>
          <w:highlight w:val="black"/>
        </w:rPr>
        <w:t>''''''''</w:t>
      </w:r>
      <w:r w:rsidR="006B66B5" w:rsidRPr="006B66B5">
        <w:t>%).</w:t>
      </w:r>
    </w:p>
    <w:p w:rsidR="003B61C2" w:rsidRPr="007108BC" w:rsidRDefault="00EA016D" w:rsidP="00EB423F">
      <w:pPr>
        <w:pStyle w:val="bulletnumberedstyle"/>
        <w:rPr>
          <w:color w:val="3366FF"/>
        </w:rPr>
      </w:pPr>
      <w:r>
        <w:t xml:space="preserve">The estimates of VE calculated from the evidence presented in the resubmission </w:t>
      </w:r>
      <w:r w:rsidR="00EF757F">
        <w:t>are</w:t>
      </w:r>
      <w:r w:rsidR="00312E17">
        <w:t xml:space="preserve"> </w:t>
      </w:r>
      <w:r>
        <w:t xml:space="preserve">summarised in the table below. </w:t>
      </w:r>
    </w:p>
    <w:p w:rsidR="003B61C2" w:rsidRPr="007108BC" w:rsidRDefault="003B61C2" w:rsidP="007108BC">
      <w:pPr>
        <w:keepNext/>
        <w:rPr>
          <w:rStyle w:val="CommentReference"/>
        </w:rPr>
      </w:pPr>
      <w:r w:rsidRPr="007108BC">
        <w:rPr>
          <w:rStyle w:val="CommentReference"/>
        </w:rPr>
        <w:t>Table 7: Results of vaccine effectiveness across the real-world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7: Results of vaccine effectiveness across the real-world evidence"/>
      </w:tblPr>
      <w:tblGrid>
        <w:gridCol w:w="918"/>
        <w:gridCol w:w="1329"/>
        <w:gridCol w:w="1843"/>
        <w:gridCol w:w="1093"/>
        <w:gridCol w:w="1567"/>
        <w:gridCol w:w="2267"/>
      </w:tblGrid>
      <w:tr w:rsidR="003B61C2" w:rsidRPr="007108BC" w:rsidTr="00051F71">
        <w:trPr>
          <w:trHeight w:val="19"/>
          <w:tblHeader/>
        </w:trPr>
        <w:tc>
          <w:tcPr>
            <w:tcW w:w="509" w:type="pct"/>
            <w:shd w:val="clear" w:color="auto" w:fill="auto"/>
            <w:vAlign w:val="center"/>
          </w:tcPr>
          <w:p w:rsidR="003B61C2" w:rsidRPr="007108BC" w:rsidRDefault="003B61C2" w:rsidP="007108BC">
            <w:pPr>
              <w:pStyle w:val="Tabletext"/>
              <w:keepNext/>
              <w:rPr>
                <w:b/>
              </w:rPr>
            </w:pPr>
            <w:r w:rsidRPr="007108BC">
              <w:rPr>
                <w:b/>
              </w:rPr>
              <w:t>Trial ID</w:t>
            </w:r>
          </w:p>
        </w:tc>
        <w:tc>
          <w:tcPr>
            <w:tcW w:w="737" w:type="pct"/>
            <w:shd w:val="clear" w:color="auto" w:fill="auto"/>
            <w:vAlign w:val="center"/>
          </w:tcPr>
          <w:p w:rsidR="003B61C2" w:rsidRPr="007108BC" w:rsidRDefault="003B61C2" w:rsidP="007108BC">
            <w:pPr>
              <w:pStyle w:val="Tabletext"/>
              <w:keepNext/>
              <w:rPr>
                <w:b/>
              </w:rPr>
            </w:pPr>
            <w:r w:rsidRPr="007108BC">
              <w:rPr>
                <w:b/>
              </w:rPr>
              <w:t>Age group</w:t>
            </w:r>
          </w:p>
        </w:tc>
        <w:tc>
          <w:tcPr>
            <w:tcW w:w="1022" w:type="pct"/>
            <w:shd w:val="clear" w:color="auto" w:fill="auto"/>
            <w:vAlign w:val="center"/>
          </w:tcPr>
          <w:p w:rsidR="003B61C2" w:rsidRPr="007108BC" w:rsidRDefault="003B61C2" w:rsidP="007108BC">
            <w:pPr>
              <w:pStyle w:val="Tabletext"/>
              <w:keepNext/>
              <w:rPr>
                <w:b/>
              </w:rPr>
            </w:pPr>
            <w:r w:rsidRPr="007108BC">
              <w:rPr>
                <w:b/>
              </w:rPr>
              <w:t>Number of IMD cases, n</w:t>
            </w:r>
          </w:p>
        </w:tc>
        <w:tc>
          <w:tcPr>
            <w:tcW w:w="606" w:type="pct"/>
            <w:shd w:val="clear" w:color="auto" w:fill="auto"/>
            <w:vAlign w:val="center"/>
          </w:tcPr>
          <w:p w:rsidR="003B61C2" w:rsidRPr="007108BC" w:rsidRDefault="003B61C2" w:rsidP="007108BC">
            <w:pPr>
              <w:pStyle w:val="Tabletext"/>
              <w:keepNext/>
              <w:rPr>
                <w:b/>
              </w:rPr>
            </w:pPr>
            <w:r w:rsidRPr="007108BC">
              <w:rPr>
                <w:b/>
              </w:rPr>
              <w:t>Coverage</w:t>
            </w:r>
          </w:p>
        </w:tc>
        <w:tc>
          <w:tcPr>
            <w:tcW w:w="869" w:type="pct"/>
            <w:shd w:val="clear" w:color="auto" w:fill="auto"/>
            <w:vAlign w:val="center"/>
          </w:tcPr>
          <w:p w:rsidR="003B61C2" w:rsidRPr="007108BC" w:rsidRDefault="003B61C2" w:rsidP="007108BC">
            <w:pPr>
              <w:pStyle w:val="Tabletext"/>
              <w:keepNext/>
              <w:rPr>
                <w:b/>
              </w:rPr>
            </w:pPr>
            <w:r w:rsidRPr="007108BC">
              <w:rPr>
                <w:b/>
              </w:rPr>
              <w:t>Vaccination status</w:t>
            </w:r>
          </w:p>
        </w:tc>
        <w:tc>
          <w:tcPr>
            <w:tcW w:w="1257" w:type="pct"/>
            <w:shd w:val="clear" w:color="auto" w:fill="auto"/>
            <w:vAlign w:val="center"/>
          </w:tcPr>
          <w:p w:rsidR="003B61C2" w:rsidRPr="007108BC" w:rsidRDefault="003B61C2" w:rsidP="007108BC">
            <w:pPr>
              <w:pStyle w:val="Tabletext"/>
              <w:keepNext/>
              <w:rPr>
                <w:b/>
              </w:rPr>
            </w:pPr>
            <w:r w:rsidRPr="007108BC">
              <w:rPr>
                <w:b/>
              </w:rPr>
              <w:t>VE against Men B disease</w:t>
            </w:r>
          </w:p>
        </w:tc>
      </w:tr>
      <w:tr w:rsidR="003B61C2" w:rsidRPr="007108BC" w:rsidTr="00051F71">
        <w:trPr>
          <w:trHeight w:val="19"/>
        </w:trPr>
        <w:tc>
          <w:tcPr>
            <w:tcW w:w="509" w:type="pct"/>
            <w:shd w:val="clear" w:color="auto" w:fill="auto"/>
            <w:vAlign w:val="center"/>
          </w:tcPr>
          <w:p w:rsidR="003B61C2" w:rsidRPr="007108BC" w:rsidRDefault="003B61C2" w:rsidP="007108BC">
            <w:pPr>
              <w:pStyle w:val="Tabletext"/>
            </w:pPr>
            <w:r w:rsidRPr="007108BC">
              <w:t>UK PHE</w:t>
            </w:r>
          </w:p>
        </w:tc>
        <w:tc>
          <w:tcPr>
            <w:tcW w:w="737" w:type="pct"/>
            <w:shd w:val="clear" w:color="auto" w:fill="auto"/>
            <w:vAlign w:val="center"/>
          </w:tcPr>
          <w:p w:rsidR="003B61C2" w:rsidRPr="007108BC" w:rsidRDefault="003B61C2" w:rsidP="007108BC">
            <w:pPr>
              <w:pStyle w:val="Tabletext"/>
            </w:pPr>
            <w:r w:rsidRPr="007108BC">
              <w:t>Cases aged ≥ 12 months</w:t>
            </w:r>
          </w:p>
        </w:tc>
        <w:tc>
          <w:tcPr>
            <w:tcW w:w="1022" w:type="pct"/>
            <w:shd w:val="clear" w:color="auto" w:fill="auto"/>
            <w:vAlign w:val="center"/>
          </w:tcPr>
          <w:p w:rsidR="003B61C2" w:rsidRPr="007108BC" w:rsidRDefault="00E26178" w:rsidP="007108BC">
            <w:pPr>
              <w:pStyle w:val="Tabletext"/>
              <w:jc w:val="center"/>
            </w:pPr>
            <w:r w:rsidRPr="007108BC">
              <w:t xml:space="preserve">29 total, </w:t>
            </w:r>
            <w:r w:rsidR="003B61C2" w:rsidRPr="007108BC">
              <w:t>25 in vaccinated</w:t>
            </w:r>
            <w:r w:rsidRPr="007108BC">
              <w:t>, 4 unvaccinated</w:t>
            </w:r>
          </w:p>
        </w:tc>
        <w:tc>
          <w:tcPr>
            <w:tcW w:w="606" w:type="pct"/>
            <w:shd w:val="clear" w:color="auto" w:fill="auto"/>
            <w:vAlign w:val="center"/>
          </w:tcPr>
          <w:p w:rsidR="003B61C2" w:rsidRPr="007108BC" w:rsidRDefault="003B61C2" w:rsidP="007108BC">
            <w:pPr>
              <w:pStyle w:val="Tabletext"/>
              <w:jc w:val="center"/>
            </w:pPr>
            <w:r w:rsidRPr="007108BC">
              <w:t>92.6%</w:t>
            </w:r>
          </w:p>
        </w:tc>
        <w:tc>
          <w:tcPr>
            <w:tcW w:w="869" w:type="pct"/>
            <w:shd w:val="clear" w:color="auto" w:fill="auto"/>
            <w:vAlign w:val="center"/>
          </w:tcPr>
          <w:p w:rsidR="003B61C2" w:rsidRPr="007108BC" w:rsidRDefault="003B61C2" w:rsidP="007108BC">
            <w:pPr>
              <w:pStyle w:val="Tabletext"/>
              <w:jc w:val="center"/>
            </w:pPr>
            <w:r w:rsidRPr="007108BC">
              <w:t>2 + 1</w:t>
            </w:r>
          </w:p>
        </w:tc>
        <w:tc>
          <w:tcPr>
            <w:tcW w:w="1257" w:type="pct"/>
            <w:shd w:val="clear" w:color="auto" w:fill="auto"/>
            <w:vAlign w:val="center"/>
          </w:tcPr>
          <w:p w:rsidR="003B61C2" w:rsidRPr="007108BC" w:rsidRDefault="003B61C2" w:rsidP="007108BC">
            <w:pPr>
              <w:pStyle w:val="Tabletext"/>
              <w:jc w:val="center"/>
            </w:pPr>
            <w:r w:rsidRPr="007108BC">
              <w:t>58.9% (95% CI: -31.5, 87.1)</w:t>
            </w:r>
          </w:p>
        </w:tc>
      </w:tr>
      <w:tr w:rsidR="003B61C2" w:rsidRPr="007108BC" w:rsidTr="00051F71">
        <w:trPr>
          <w:trHeight w:val="19"/>
        </w:trPr>
        <w:tc>
          <w:tcPr>
            <w:tcW w:w="509" w:type="pct"/>
            <w:vMerge w:val="restart"/>
            <w:shd w:val="clear" w:color="auto" w:fill="auto"/>
            <w:vAlign w:val="center"/>
          </w:tcPr>
          <w:p w:rsidR="003B61C2" w:rsidRPr="007108BC" w:rsidRDefault="003B61C2" w:rsidP="007108BC">
            <w:pPr>
              <w:pStyle w:val="Tabletext"/>
            </w:pPr>
            <w:r w:rsidRPr="007108BC">
              <w:t>UK PHE adjusted</w:t>
            </w:r>
          </w:p>
        </w:tc>
        <w:tc>
          <w:tcPr>
            <w:tcW w:w="737" w:type="pct"/>
            <w:shd w:val="clear" w:color="auto" w:fill="auto"/>
            <w:vAlign w:val="center"/>
          </w:tcPr>
          <w:p w:rsidR="003B61C2" w:rsidRPr="007108BC" w:rsidRDefault="003B61C2" w:rsidP="007108BC">
            <w:pPr>
              <w:pStyle w:val="Tabletext"/>
            </w:pPr>
            <w:r w:rsidRPr="007108BC">
              <w:t>Cases aged ≥ 12 months</w:t>
            </w:r>
          </w:p>
        </w:tc>
        <w:tc>
          <w:tcPr>
            <w:tcW w:w="1022" w:type="pct"/>
            <w:shd w:val="clear" w:color="auto" w:fill="auto"/>
            <w:vAlign w:val="center"/>
          </w:tcPr>
          <w:p w:rsidR="003B61C2" w:rsidRPr="007108BC" w:rsidRDefault="003B61C2" w:rsidP="007108BC">
            <w:pPr>
              <w:pStyle w:val="Tabletext"/>
              <w:jc w:val="center"/>
            </w:pPr>
            <w:r w:rsidRPr="007108BC">
              <w:t>-</w:t>
            </w:r>
          </w:p>
        </w:tc>
        <w:tc>
          <w:tcPr>
            <w:tcW w:w="606" w:type="pct"/>
            <w:shd w:val="clear" w:color="auto" w:fill="auto"/>
            <w:vAlign w:val="center"/>
          </w:tcPr>
          <w:p w:rsidR="003B61C2" w:rsidRPr="007108BC" w:rsidRDefault="003B61C2" w:rsidP="007108BC">
            <w:pPr>
              <w:pStyle w:val="Tabletext"/>
              <w:jc w:val="center"/>
            </w:pPr>
            <w:r w:rsidRPr="007108BC">
              <w:t>95.1%</w:t>
            </w:r>
          </w:p>
        </w:tc>
        <w:tc>
          <w:tcPr>
            <w:tcW w:w="869" w:type="pct"/>
            <w:shd w:val="clear" w:color="auto" w:fill="auto"/>
            <w:vAlign w:val="center"/>
          </w:tcPr>
          <w:p w:rsidR="003B61C2" w:rsidRPr="007108BC" w:rsidRDefault="003B61C2" w:rsidP="007108BC">
            <w:pPr>
              <w:pStyle w:val="Tabletext"/>
              <w:jc w:val="center"/>
            </w:pPr>
            <w:r w:rsidRPr="007108BC">
              <w:t>2 + 1</w:t>
            </w:r>
          </w:p>
        </w:tc>
        <w:tc>
          <w:tcPr>
            <w:tcW w:w="1257" w:type="pct"/>
            <w:shd w:val="clear" w:color="auto" w:fill="auto"/>
            <w:vAlign w:val="center"/>
          </w:tcPr>
          <w:p w:rsidR="003B61C2" w:rsidRPr="007108BC" w:rsidRDefault="00BB196F" w:rsidP="007108BC">
            <w:pPr>
              <w:pStyle w:val="Tabletext"/>
              <w:jc w:val="center"/>
              <w:rPr>
                <w:b/>
              </w:rPr>
            </w:pPr>
            <w:r>
              <w:rPr>
                <w:b/>
                <w:noProof/>
                <w:color w:val="000000"/>
                <w:highlight w:val="black"/>
              </w:rPr>
              <w:t>''''''''</w:t>
            </w:r>
            <w:r w:rsidR="003B61C2" w:rsidRPr="007108BC">
              <w:rPr>
                <w:b/>
              </w:rPr>
              <w:t xml:space="preserve">% (95% CI: </w:t>
            </w:r>
            <w:r>
              <w:rPr>
                <w:b/>
                <w:noProof/>
                <w:color w:val="000000"/>
                <w:highlight w:val="black"/>
              </w:rPr>
              <w:t>'''''''''</w:t>
            </w:r>
            <w:r w:rsidR="003B61C2" w:rsidRPr="007108BC">
              <w:rPr>
                <w:b/>
              </w:rPr>
              <w:t xml:space="preserve">, </w:t>
            </w:r>
            <w:r>
              <w:rPr>
                <w:b/>
                <w:noProof/>
                <w:color w:val="000000"/>
                <w:highlight w:val="black"/>
              </w:rPr>
              <w:t>''''''''</w:t>
            </w:r>
            <w:r w:rsidR="003B61C2" w:rsidRPr="007108BC">
              <w:rPr>
                <w:b/>
              </w:rPr>
              <w:t>)</w:t>
            </w:r>
          </w:p>
        </w:tc>
      </w:tr>
      <w:tr w:rsidR="00D65C9F" w:rsidRPr="007108BC" w:rsidTr="00051F71">
        <w:trPr>
          <w:trHeight w:val="19"/>
        </w:trPr>
        <w:tc>
          <w:tcPr>
            <w:tcW w:w="509" w:type="pct"/>
            <w:vMerge/>
            <w:shd w:val="clear" w:color="auto" w:fill="auto"/>
            <w:vAlign w:val="center"/>
          </w:tcPr>
          <w:p w:rsidR="00D65C9F" w:rsidRPr="007108BC" w:rsidRDefault="00D65C9F" w:rsidP="00D65C9F">
            <w:pPr>
              <w:pStyle w:val="Tabletext"/>
            </w:pPr>
          </w:p>
        </w:tc>
        <w:tc>
          <w:tcPr>
            <w:tcW w:w="737" w:type="pct"/>
            <w:shd w:val="clear" w:color="auto" w:fill="auto"/>
            <w:vAlign w:val="center"/>
          </w:tcPr>
          <w:p w:rsidR="00D65C9F" w:rsidRPr="007108BC" w:rsidRDefault="00D65C9F" w:rsidP="00D65C9F">
            <w:pPr>
              <w:pStyle w:val="Tabletext"/>
            </w:pPr>
            <w:r w:rsidRPr="007108BC">
              <w:t>18 to 52 week cohort</w:t>
            </w:r>
          </w:p>
        </w:tc>
        <w:tc>
          <w:tcPr>
            <w:tcW w:w="1022" w:type="pct"/>
            <w:shd w:val="clear" w:color="auto" w:fill="auto"/>
            <w:vAlign w:val="center"/>
          </w:tcPr>
          <w:p w:rsidR="00D65C9F" w:rsidRPr="007108BC" w:rsidRDefault="00D65C9F" w:rsidP="00D65C9F">
            <w:pPr>
              <w:pStyle w:val="Tabletext"/>
              <w:jc w:val="center"/>
            </w:pPr>
            <w:r w:rsidRPr="007108BC">
              <w:t>-</w:t>
            </w:r>
          </w:p>
        </w:tc>
        <w:tc>
          <w:tcPr>
            <w:tcW w:w="606" w:type="pct"/>
            <w:shd w:val="clear" w:color="auto" w:fill="auto"/>
            <w:vAlign w:val="center"/>
          </w:tcPr>
          <w:p w:rsidR="00D65C9F" w:rsidRPr="007108BC" w:rsidRDefault="00D65C9F" w:rsidP="00D65C9F">
            <w:pPr>
              <w:pStyle w:val="Tabletext"/>
              <w:jc w:val="center"/>
            </w:pPr>
            <w:r w:rsidRPr="007108BC">
              <w:t>95.1%</w:t>
            </w:r>
          </w:p>
        </w:tc>
        <w:tc>
          <w:tcPr>
            <w:tcW w:w="869" w:type="pct"/>
            <w:shd w:val="clear" w:color="auto" w:fill="auto"/>
            <w:vAlign w:val="center"/>
          </w:tcPr>
          <w:p w:rsidR="00D65C9F" w:rsidRPr="007108BC" w:rsidRDefault="00D65C9F" w:rsidP="00D65C9F">
            <w:pPr>
              <w:pStyle w:val="Tabletext"/>
              <w:jc w:val="center"/>
            </w:pPr>
            <w:r w:rsidRPr="007108BC">
              <w:t>2 + 0</w:t>
            </w:r>
          </w:p>
        </w:tc>
        <w:tc>
          <w:tcPr>
            <w:tcW w:w="1257" w:type="pct"/>
            <w:shd w:val="clear" w:color="auto" w:fill="auto"/>
            <w:vAlign w:val="center"/>
          </w:tcPr>
          <w:p w:rsidR="00D65C9F" w:rsidRPr="00D65C9F" w:rsidRDefault="00BB196F" w:rsidP="00D65C9F">
            <w:pPr>
              <w:pStyle w:val="Tabletext"/>
              <w:jc w:val="center"/>
              <w:rPr>
                <w:b/>
              </w:rPr>
            </w:pPr>
            <w:r>
              <w:rPr>
                <w:b/>
                <w:noProof/>
                <w:color w:val="000000"/>
                <w:highlight w:val="black"/>
              </w:rPr>
              <w:t>''''''''</w:t>
            </w:r>
            <w:r w:rsidR="00D65C9F" w:rsidRPr="009F7B42">
              <w:rPr>
                <w:b/>
              </w:rPr>
              <w:t xml:space="preserve">% (95% CI: </w:t>
            </w:r>
            <w:r>
              <w:rPr>
                <w:b/>
                <w:noProof/>
                <w:color w:val="000000"/>
                <w:highlight w:val="black"/>
              </w:rPr>
              <w:t>'''''''''</w:t>
            </w:r>
            <w:r w:rsidR="00D65C9F" w:rsidRPr="009F7B42">
              <w:rPr>
                <w:b/>
              </w:rPr>
              <w:t xml:space="preserve">, </w:t>
            </w:r>
            <w:r>
              <w:rPr>
                <w:b/>
                <w:noProof/>
                <w:color w:val="000000"/>
                <w:highlight w:val="black"/>
              </w:rPr>
              <w:t>'''''''''</w:t>
            </w:r>
            <w:r w:rsidR="00D65C9F" w:rsidRPr="00D65C9F">
              <w:rPr>
                <w:b/>
              </w:rPr>
              <w:t>)</w:t>
            </w:r>
          </w:p>
        </w:tc>
      </w:tr>
      <w:tr w:rsidR="003B61C2" w:rsidRPr="007108BC" w:rsidTr="00051F71">
        <w:trPr>
          <w:trHeight w:val="19"/>
        </w:trPr>
        <w:tc>
          <w:tcPr>
            <w:tcW w:w="509" w:type="pct"/>
            <w:shd w:val="clear" w:color="auto" w:fill="auto"/>
            <w:vAlign w:val="center"/>
          </w:tcPr>
          <w:p w:rsidR="003B61C2" w:rsidRPr="007108BC" w:rsidRDefault="003B61C2" w:rsidP="007108BC">
            <w:pPr>
              <w:pStyle w:val="Tabletext"/>
            </w:pPr>
            <w:r w:rsidRPr="007108BC">
              <w:t>Quebec</w:t>
            </w:r>
          </w:p>
        </w:tc>
        <w:tc>
          <w:tcPr>
            <w:tcW w:w="737" w:type="pct"/>
            <w:shd w:val="clear" w:color="auto" w:fill="auto"/>
            <w:vAlign w:val="center"/>
          </w:tcPr>
          <w:p w:rsidR="003B61C2" w:rsidRPr="007108BC" w:rsidRDefault="003B61C2" w:rsidP="007108BC">
            <w:pPr>
              <w:pStyle w:val="Tabletext"/>
            </w:pPr>
            <w:r w:rsidRPr="007108BC">
              <w:t>&gt; 2 months to 20 years</w:t>
            </w:r>
          </w:p>
        </w:tc>
        <w:tc>
          <w:tcPr>
            <w:tcW w:w="1022" w:type="pct"/>
            <w:shd w:val="clear" w:color="auto" w:fill="auto"/>
            <w:vAlign w:val="center"/>
          </w:tcPr>
          <w:p w:rsidR="003B61C2" w:rsidRPr="007108BC" w:rsidRDefault="003B61C2" w:rsidP="007108BC">
            <w:pPr>
              <w:pStyle w:val="Tabletext"/>
              <w:jc w:val="center"/>
            </w:pPr>
            <w:r w:rsidRPr="007108BC">
              <w:t>5 total, 1 vaccinated and 4 unvaccinated</w:t>
            </w:r>
          </w:p>
        </w:tc>
        <w:tc>
          <w:tcPr>
            <w:tcW w:w="606" w:type="pct"/>
            <w:shd w:val="clear" w:color="auto" w:fill="auto"/>
            <w:vAlign w:val="center"/>
          </w:tcPr>
          <w:p w:rsidR="003B61C2" w:rsidRPr="007108BC" w:rsidRDefault="003B61C2" w:rsidP="007108BC">
            <w:pPr>
              <w:pStyle w:val="Tabletext"/>
              <w:jc w:val="center"/>
            </w:pPr>
            <w:r w:rsidRPr="007108BC">
              <w:t>83%</w:t>
            </w:r>
          </w:p>
        </w:tc>
        <w:tc>
          <w:tcPr>
            <w:tcW w:w="869" w:type="pct"/>
            <w:shd w:val="clear" w:color="auto" w:fill="auto"/>
            <w:vAlign w:val="center"/>
          </w:tcPr>
          <w:p w:rsidR="003B61C2" w:rsidRPr="007108BC" w:rsidRDefault="003B61C2" w:rsidP="007108BC">
            <w:pPr>
              <w:pStyle w:val="Tabletext"/>
              <w:jc w:val="center"/>
            </w:pPr>
            <w:r w:rsidRPr="007108BC">
              <w:t>At least one dose</w:t>
            </w:r>
          </w:p>
        </w:tc>
        <w:tc>
          <w:tcPr>
            <w:tcW w:w="1257" w:type="pct"/>
            <w:shd w:val="clear" w:color="auto" w:fill="auto"/>
            <w:vAlign w:val="center"/>
          </w:tcPr>
          <w:p w:rsidR="003B61C2" w:rsidRPr="007108BC" w:rsidRDefault="003B61C2" w:rsidP="007108BC">
            <w:pPr>
              <w:pStyle w:val="Tabletext"/>
              <w:jc w:val="center"/>
            </w:pPr>
            <w:r w:rsidRPr="007108BC">
              <w:t>Over 4 years 79% (95% CI: -231, 99)</w:t>
            </w:r>
          </w:p>
        </w:tc>
      </w:tr>
      <w:tr w:rsidR="003B61C2" w:rsidRPr="007108BC" w:rsidTr="00051F71">
        <w:trPr>
          <w:trHeight w:val="19"/>
        </w:trPr>
        <w:tc>
          <w:tcPr>
            <w:tcW w:w="509" w:type="pct"/>
            <w:vMerge w:val="restart"/>
            <w:shd w:val="clear" w:color="auto" w:fill="auto"/>
            <w:vAlign w:val="center"/>
          </w:tcPr>
          <w:p w:rsidR="003B61C2" w:rsidRPr="007108BC" w:rsidRDefault="003B61C2" w:rsidP="007108BC">
            <w:pPr>
              <w:pStyle w:val="Tabletext"/>
            </w:pPr>
            <w:r w:rsidRPr="007108BC">
              <w:t>PT-BEST</w:t>
            </w:r>
          </w:p>
        </w:tc>
        <w:tc>
          <w:tcPr>
            <w:tcW w:w="737" w:type="pct"/>
            <w:shd w:val="clear" w:color="auto" w:fill="auto"/>
            <w:vAlign w:val="center"/>
          </w:tcPr>
          <w:p w:rsidR="003B61C2" w:rsidRPr="007108BC" w:rsidRDefault="003B61C2" w:rsidP="007108BC">
            <w:pPr>
              <w:pStyle w:val="Tabletext"/>
            </w:pPr>
            <w:r w:rsidRPr="007108BC">
              <w:t>2 months to &lt; 18 years</w:t>
            </w:r>
          </w:p>
        </w:tc>
        <w:tc>
          <w:tcPr>
            <w:tcW w:w="1022" w:type="pct"/>
            <w:shd w:val="clear" w:color="auto" w:fill="auto"/>
            <w:vAlign w:val="center"/>
          </w:tcPr>
          <w:p w:rsidR="003B61C2" w:rsidRPr="007108BC" w:rsidRDefault="003B61C2" w:rsidP="007108BC">
            <w:pPr>
              <w:pStyle w:val="Tabletext"/>
              <w:jc w:val="center"/>
            </w:pPr>
            <w:r w:rsidRPr="007108BC">
              <w:t>NR</w:t>
            </w:r>
          </w:p>
        </w:tc>
        <w:tc>
          <w:tcPr>
            <w:tcW w:w="606" w:type="pct"/>
            <w:shd w:val="clear" w:color="auto" w:fill="auto"/>
            <w:vAlign w:val="center"/>
          </w:tcPr>
          <w:p w:rsidR="003B61C2" w:rsidRPr="007108BC" w:rsidRDefault="003B61C2" w:rsidP="007108BC">
            <w:pPr>
              <w:pStyle w:val="Tabletext"/>
              <w:jc w:val="center"/>
            </w:pPr>
            <w:r w:rsidRPr="007108BC">
              <w:t>&lt; 4 y</w:t>
            </w:r>
            <w:r w:rsidR="00FE1434">
              <w:t>.</w:t>
            </w:r>
            <w:r w:rsidRPr="007108BC">
              <w:t>o 57% in 2018</w:t>
            </w:r>
          </w:p>
        </w:tc>
        <w:tc>
          <w:tcPr>
            <w:tcW w:w="869" w:type="pct"/>
            <w:shd w:val="clear" w:color="auto" w:fill="auto"/>
            <w:vAlign w:val="center"/>
          </w:tcPr>
          <w:p w:rsidR="003B61C2" w:rsidRPr="007108BC" w:rsidRDefault="003B61C2" w:rsidP="007108BC">
            <w:pPr>
              <w:pStyle w:val="Tabletext"/>
              <w:jc w:val="center"/>
            </w:pPr>
            <w:r w:rsidRPr="007108BC">
              <w:t>Fully vaccinated</w:t>
            </w:r>
          </w:p>
        </w:tc>
        <w:tc>
          <w:tcPr>
            <w:tcW w:w="1257" w:type="pct"/>
            <w:shd w:val="clear" w:color="auto" w:fill="auto"/>
            <w:vAlign w:val="center"/>
          </w:tcPr>
          <w:p w:rsidR="003B61C2" w:rsidRPr="007108BC" w:rsidRDefault="00BB196F" w:rsidP="007108BC">
            <w:pPr>
              <w:pStyle w:val="Tabletext"/>
              <w:jc w:val="center"/>
              <w:rPr>
                <w:b/>
              </w:rPr>
            </w:pPr>
            <w:r>
              <w:rPr>
                <w:b/>
                <w:noProof/>
                <w:color w:val="000000"/>
                <w:highlight w:val="black"/>
              </w:rPr>
              <w:t>'''''''''</w:t>
            </w:r>
            <w:r w:rsidR="003B61C2" w:rsidRPr="007108BC">
              <w:rPr>
                <w:b/>
              </w:rPr>
              <w:t>% (95% CI:</w:t>
            </w:r>
            <w:r>
              <w:rPr>
                <w:b/>
                <w:noProof/>
                <w:color w:val="000000"/>
                <w:highlight w:val="black"/>
              </w:rPr>
              <w:t>''''''''</w:t>
            </w:r>
            <w:r w:rsidR="003B61C2" w:rsidRPr="007108BC">
              <w:rPr>
                <w:b/>
              </w:rPr>
              <w:t xml:space="preserve">, </w:t>
            </w:r>
            <w:r>
              <w:rPr>
                <w:b/>
                <w:noProof/>
                <w:color w:val="000000"/>
                <w:highlight w:val="black"/>
              </w:rPr>
              <w:t>'''''''''</w:t>
            </w:r>
            <w:r w:rsidR="003B61C2" w:rsidRPr="007108BC">
              <w:rPr>
                <w:b/>
              </w:rPr>
              <w:t>)</w:t>
            </w:r>
          </w:p>
        </w:tc>
      </w:tr>
      <w:tr w:rsidR="003B61C2" w:rsidRPr="007108BC" w:rsidTr="00051F71">
        <w:trPr>
          <w:trHeight w:val="19"/>
        </w:trPr>
        <w:tc>
          <w:tcPr>
            <w:tcW w:w="509" w:type="pct"/>
            <w:vMerge/>
            <w:shd w:val="clear" w:color="auto" w:fill="auto"/>
            <w:vAlign w:val="center"/>
          </w:tcPr>
          <w:p w:rsidR="003B61C2" w:rsidRPr="007108BC" w:rsidRDefault="003B61C2" w:rsidP="007108BC">
            <w:pPr>
              <w:pStyle w:val="Tabletext"/>
            </w:pPr>
          </w:p>
        </w:tc>
        <w:tc>
          <w:tcPr>
            <w:tcW w:w="737" w:type="pct"/>
            <w:shd w:val="clear" w:color="auto" w:fill="auto"/>
            <w:vAlign w:val="center"/>
          </w:tcPr>
          <w:p w:rsidR="003B61C2" w:rsidRPr="007108BC" w:rsidRDefault="003B61C2" w:rsidP="007108BC">
            <w:pPr>
              <w:pStyle w:val="Tabletext"/>
            </w:pPr>
            <w:r w:rsidRPr="007108BC">
              <w:t>2 months to &lt; 18 years</w:t>
            </w:r>
          </w:p>
        </w:tc>
        <w:tc>
          <w:tcPr>
            <w:tcW w:w="1022" w:type="pct"/>
            <w:shd w:val="clear" w:color="auto" w:fill="auto"/>
            <w:vAlign w:val="center"/>
          </w:tcPr>
          <w:p w:rsidR="003B61C2" w:rsidRPr="007108BC" w:rsidRDefault="003B61C2" w:rsidP="007108BC">
            <w:pPr>
              <w:pStyle w:val="Tabletext"/>
              <w:jc w:val="center"/>
            </w:pPr>
            <w:r w:rsidRPr="007108BC">
              <w:t>NR</w:t>
            </w:r>
          </w:p>
        </w:tc>
        <w:tc>
          <w:tcPr>
            <w:tcW w:w="606" w:type="pct"/>
            <w:shd w:val="clear" w:color="auto" w:fill="auto"/>
            <w:vAlign w:val="center"/>
          </w:tcPr>
          <w:p w:rsidR="003B61C2" w:rsidRPr="007108BC" w:rsidRDefault="003B61C2" w:rsidP="007108BC">
            <w:pPr>
              <w:pStyle w:val="Tabletext"/>
              <w:jc w:val="center"/>
            </w:pPr>
            <w:r w:rsidRPr="007108BC">
              <w:t>-</w:t>
            </w:r>
          </w:p>
        </w:tc>
        <w:tc>
          <w:tcPr>
            <w:tcW w:w="869" w:type="pct"/>
            <w:shd w:val="clear" w:color="auto" w:fill="auto"/>
            <w:vAlign w:val="center"/>
          </w:tcPr>
          <w:p w:rsidR="003B61C2" w:rsidRPr="007108BC" w:rsidRDefault="003B61C2" w:rsidP="007108BC">
            <w:pPr>
              <w:pStyle w:val="Tabletext"/>
              <w:jc w:val="center"/>
            </w:pPr>
            <w:r w:rsidRPr="007108BC">
              <w:t>Partially vaccinated (&gt; 1 dose)</w:t>
            </w:r>
          </w:p>
        </w:tc>
        <w:tc>
          <w:tcPr>
            <w:tcW w:w="1257" w:type="pct"/>
            <w:shd w:val="clear" w:color="auto" w:fill="auto"/>
            <w:vAlign w:val="center"/>
          </w:tcPr>
          <w:p w:rsidR="003B61C2" w:rsidRPr="007108BC" w:rsidRDefault="00BB196F" w:rsidP="007108BC">
            <w:pPr>
              <w:pStyle w:val="Tabletext"/>
              <w:jc w:val="center"/>
              <w:rPr>
                <w:b/>
              </w:rPr>
            </w:pPr>
            <w:r>
              <w:rPr>
                <w:b/>
                <w:noProof/>
                <w:color w:val="000000"/>
                <w:highlight w:val="black"/>
              </w:rPr>
              <w:t>''''''</w:t>
            </w:r>
            <w:r w:rsidR="003B61C2" w:rsidRPr="007108BC">
              <w:rPr>
                <w:b/>
              </w:rPr>
              <w:t xml:space="preserve">% (95% CI: </w:t>
            </w:r>
            <w:r>
              <w:rPr>
                <w:b/>
                <w:noProof/>
                <w:color w:val="000000"/>
                <w:highlight w:val="black"/>
              </w:rPr>
              <w:t>''''''''</w:t>
            </w:r>
            <w:r w:rsidR="003B61C2" w:rsidRPr="007108BC">
              <w:rPr>
                <w:b/>
              </w:rPr>
              <w:t xml:space="preserve">, </w:t>
            </w:r>
            <w:r>
              <w:rPr>
                <w:b/>
                <w:noProof/>
                <w:color w:val="000000"/>
                <w:highlight w:val="black"/>
              </w:rPr>
              <w:t>''''''''''</w:t>
            </w:r>
            <w:r w:rsidR="003B61C2" w:rsidRPr="007108BC">
              <w:rPr>
                <w:b/>
              </w:rPr>
              <w:t>)</w:t>
            </w:r>
          </w:p>
        </w:tc>
      </w:tr>
    </w:tbl>
    <w:p w:rsidR="003B61C2" w:rsidRPr="007108BC" w:rsidRDefault="003B61C2" w:rsidP="007108BC">
      <w:pPr>
        <w:pStyle w:val="TableFooter"/>
        <w:jc w:val="both"/>
        <w:rPr>
          <w:rFonts w:eastAsia="Calibri"/>
        </w:rPr>
      </w:pPr>
      <w:r w:rsidRPr="007108BC">
        <w:rPr>
          <w:rFonts w:eastAsia="Calibri"/>
        </w:rPr>
        <w:t xml:space="preserve">Abbreviations: CI = confidence interval; IMD = invasive meningococcal disease; Men B = </w:t>
      </w:r>
      <w:r w:rsidR="00FE1434" w:rsidRPr="007108BC">
        <w:rPr>
          <w:rFonts w:eastAsia="Calibri"/>
        </w:rPr>
        <w:t>meningococcal</w:t>
      </w:r>
      <w:r w:rsidRPr="007108BC">
        <w:rPr>
          <w:rFonts w:eastAsia="Calibri"/>
        </w:rPr>
        <w:t xml:space="preserve"> B; n = number of participants with event (case); NR= not reported; </w:t>
      </w:r>
      <w:r w:rsidRPr="007108BC">
        <w:t>PT-BEST= Portuguese Meningococcus Group B Vaccine Effectiveness Study;</w:t>
      </w:r>
      <w:r w:rsidRPr="007108BC">
        <w:rPr>
          <w:rFonts w:eastAsia="Calibri"/>
        </w:rPr>
        <w:t xml:space="preserve"> UK PHE= United Kingdom Public Health England; y</w:t>
      </w:r>
      <w:r w:rsidR="00FE1434">
        <w:rPr>
          <w:rFonts w:eastAsia="Calibri"/>
        </w:rPr>
        <w:t>.</w:t>
      </w:r>
      <w:r w:rsidRPr="007108BC">
        <w:rPr>
          <w:rFonts w:eastAsia="Calibri"/>
        </w:rPr>
        <w:t>o = year olds.</w:t>
      </w:r>
    </w:p>
    <w:p w:rsidR="003B61C2" w:rsidRPr="007108BC" w:rsidRDefault="003B61C2" w:rsidP="007108BC">
      <w:pPr>
        <w:jc w:val="both"/>
        <w:rPr>
          <w:rFonts w:ascii="Arial Narrow" w:eastAsia="Calibri" w:hAnsi="Arial Narrow"/>
          <w:sz w:val="18"/>
        </w:rPr>
      </w:pPr>
      <w:r w:rsidRPr="007108BC">
        <w:rPr>
          <w:rFonts w:ascii="Arial Narrow" w:eastAsia="Calibri" w:hAnsi="Arial Narrow"/>
          <w:sz w:val="18"/>
        </w:rPr>
        <w:t xml:space="preserve">Note: bold text indicates statically significant differences. </w:t>
      </w:r>
    </w:p>
    <w:p w:rsidR="003B61C2" w:rsidRPr="007108BC" w:rsidRDefault="003B61C2" w:rsidP="007108BC">
      <w:pPr>
        <w:pStyle w:val="TableFooter"/>
        <w:jc w:val="both"/>
        <w:rPr>
          <w:rFonts w:eastAsia="Calibri"/>
        </w:rPr>
      </w:pPr>
      <w:r w:rsidRPr="007108BC">
        <w:rPr>
          <w:rFonts w:eastAsia="Calibri"/>
        </w:rPr>
        <w:t>Source: p.91, p.94, p.97, p.98 and Table 2.27, p.100; Table 2.23, p.92, Table 2.24, p.94 of the resubmission.</w:t>
      </w:r>
    </w:p>
    <w:p w:rsidR="003B61C2" w:rsidRPr="007108BC" w:rsidRDefault="003B61C2" w:rsidP="00B80584"/>
    <w:p w:rsidR="003B61C2" w:rsidRPr="007108BC" w:rsidRDefault="00EF757F" w:rsidP="00EB423F">
      <w:pPr>
        <w:pStyle w:val="bulletnumberedstyle"/>
      </w:pPr>
      <w:r>
        <w:t>The estimates of VI presented in the resubmission are summarised in the table below</w:t>
      </w:r>
      <w:r w:rsidR="00700834">
        <w:t>.</w:t>
      </w:r>
      <w:r w:rsidRPr="007108BC">
        <w:t xml:space="preserve"> </w:t>
      </w:r>
    </w:p>
    <w:p w:rsidR="003B61C2" w:rsidRPr="007108BC" w:rsidRDefault="003B61C2" w:rsidP="00D47FDA">
      <w:pPr>
        <w:keepNext/>
        <w:keepLines/>
        <w:rPr>
          <w:rStyle w:val="CommentReference"/>
          <w:b w:val="0"/>
        </w:rPr>
      </w:pPr>
      <w:r w:rsidRPr="007108BC">
        <w:rPr>
          <w:rStyle w:val="CommentReference"/>
        </w:rPr>
        <w:lastRenderedPageBreak/>
        <w:t>Table 8: Results of vaccine impact across the real-world evidence</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8: Results of vaccine impact across the real-world evidence"/>
      </w:tblPr>
      <w:tblGrid>
        <w:gridCol w:w="878"/>
        <w:gridCol w:w="994"/>
        <w:gridCol w:w="1886"/>
        <w:gridCol w:w="1087"/>
        <w:gridCol w:w="2097"/>
        <w:gridCol w:w="2041"/>
      </w:tblGrid>
      <w:tr w:rsidR="003B61C2" w:rsidRPr="007108BC" w:rsidTr="00051F71">
        <w:trPr>
          <w:trHeight w:val="113"/>
          <w:tblHeader/>
        </w:trPr>
        <w:tc>
          <w:tcPr>
            <w:tcW w:w="489" w:type="pct"/>
            <w:shd w:val="clear" w:color="auto" w:fill="auto"/>
            <w:vAlign w:val="center"/>
          </w:tcPr>
          <w:p w:rsidR="003B61C2" w:rsidRPr="007108BC" w:rsidRDefault="003B61C2" w:rsidP="00D47FDA">
            <w:pPr>
              <w:pStyle w:val="Tabletext"/>
              <w:keepNext/>
              <w:keepLines/>
              <w:rPr>
                <w:b/>
              </w:rPr>
            </w:pPr>
            <w:r w:rsidRPr="007108BC">
              <w:rPr>
                <w:b/>
              </w:rPr>
              <w:t>Study ID</w:t>
            </w:r>
          </w:p>
        </w:tc>
        <w:tc>
          <w:tcPr>
            <w:tcW w:w="553" w:type="pct"/>
            <w:shd w:val="clear" w:color="auto" w:fill="auto"/>
            <w:vAlign w:val="center"/>
          </w:tcPr>
          <w:p w:rsidR="003B61C2" w:rsidRPr="007108BC" w:rsidRDefault="003B61C2" w:rsidP="00D47FDA">
            <w:pPr>
              <w:pStyle w:val="Tabletext"/>
              <w:keepNext/>
              <w:keepLines/>
              <w:rPr>
                <w:b/>
              </w:rPr>
            </w:pPr>
            <w:r w:rsidRPr="007108BC">
              <w:rPr>
                <w:b/>
              </w:rPr>
              <w:t>Age group</w:t>
            </w:r>
          </w:p>
        </w:tc>
        <w:tc>
          <w:tcPr>
            <w:tcW w:w="1050" w:type="pct"/>
            <w:shd w:val="clear" w:color="auto" w:fill="auto"/>
          </w:tcPr>
          <w:p w:rsidR="003B61C2" w:rsidRPr="007108BC" w:rsidRDefault="003B61C2" w:rsidP="00D47FDA">
            <w:pPr>
              <w:pStyle w:val="Tabletext"/>
              <w:keepNext/>
              <w:keepLines/>
              <w:rPr>
                <w:b/>
              </w:rPr>
            </w:pPr>
            <w:r w:rsidRPr="007108BC">
              <w:rPr>
                <w:b/>
              </w:rPr>
              <w:t>Cases, n</w:t>
            </w:r>
          </w:p>
        </w:tc>
        <w:tc>
          <w:tcPr>
            <w:tcW w:w="605" w:type="pct"/>
            <w:shd w:val="clear" w:color="auto" w:fill="auto"/>
            <w:vAlign w:val="center"/>
          </w:tcPr>
          <w:p w:rsidR="003B61C2" w:rsidRPr="007108BC" w:rsidRDefault="003B61C2" w:rsidP="00D47FDA">
            <w:pPr>
              <w:pStyle w:val="Tabletext"/>
              <w:keepNext/>
              <w:keepLines/>
              <w:rPr>
                <w:b/>
              </w:rPr>
            </w:pPr>
            <w:r w:rsidRPr="007108BC">
              <w:rPr>
                <w:b/>
              </w:rPr>
              <w:t>N</w:t>
            </w:r>
          </w:p>
        </w:tc>
        <w:tc>
          <w:tcPr>
            <w:tcW w:w="1167" w:type="pct"/>
            <w:shd w:val="clear" w:color="auto" w:fill="auto"/>
            <w:vAlign w:val="center"/>
          </w:tcPr>
          <w:p w:rsidR="003B61C2" w:rsidRPr="007108BC" w:rsidRDefault="003B61C2" w:rsidP="00D47FDA">
            <w:pPr>
              <w:pStyle w:val="Tabletext"/>
              <w:keepNext/>
              <w:keepLines/>
              <w:rPr>
                <w:b/>
              </w:rPr>
            </w:pPr>
            <w:r w:rsidRPr="007108BC">
              <w:rPr>
                <w:b/>
              </w:rPr>
              <w:t>Vaccination status</w:t>
            </w:r>
          </w:p>
        </w:tc>
        <w:tc>
          <w:tcPr>
            <w:tcW w:w="1136" w:type="pct"/>
            <w:shd w:val="clear" w:color="auto" w:fill="auto"/>
            <w:vAlign w:val="center"/>
          </w:tcPr>
          <w:p w:rsidR="003B61C2" w:rsidRPr="007108BC" w:rsidRDefault="003B61C2" w:rsidP="00D47FDA">
            <w:pPr>
              <w:pStyle w:val="Tabletext"/>
              <w:keepNext/>
              <w:keepLines/>
              <w:rPr>
                <w:b/>
              </w:rPr>
            </w:pPr>
            <w:r w:rsidRPr="007108BC">
              <w:rPr>
                <w:b/>
              </w:rPr>
              <w:t>Men B disease</w:t>
            </w:r>
          </w:p>
        </w:tc>
      </w:tr>
      <w:tr w:rsidR="003B61C2" w:rsidRPr="00D51D60" w:rsidTr="00051F71">
        <w:trPr>
          <w:trHeight w:val="113"/>
        </w:trPr>
        <w:tc>
          <w:tcPr>
            <w:tcW w:w="489" w:type="pct"/>
            <w:vMerge w:val="restart"/>
            <w:shd w:val="clear" w:color="auto" w:fill="auto"/>
            <w:vAlign w:val="center"/>
          </w:tcPr>
          <w:p w:rsidR="003B61C2" w:rsidRPr="00D51D60" w:rsidRDefault="003B61C2" w:rsidP="00D47FDA">
            <w:pPr>
              <w:pStyle w:val="Tabletext"/>
              <w:keepNext/>
              <w:keepLines/>
            </w:pPr>
            <w:r w:rsidRPr="00D51D60">
              <w:t>UK PHE</w:t>
            </w:r>
          </w:p>
        </w:tc>
        <w:tc>
          <w:tcPr>
            <w:tcW w:w="553" w:type="pct"/>
            <w:shd w:val="clear" w:color="auto" w:fill="auto"/>
            <w:vAlign w:val="center"/>
          </w:tcPr>
          <w:p w:rsidR="003B61C2" w:rsidRPr="00D51D60" w:rsidRDefault="003B61C2" w:rsidP="00D47FDA">
            <w:pPr>
              <w:pStyle w:val="Tabletext"/>
              <w:keepNext/>
              <w:keepLines/>
            </w:pPr>
            <w:r w:rsidRPr="00D51D60">
              <w:t>1 year</w:t>
            </w:r>
          </w:p>
        </w:tc>
        <w:tc>
          <w:tcPr>
            <w:tcW w:w="1050" w:type="pct"/>
            <w:shd w:val="clear" w:color="auto" w:fill="auto"/>
            <w:vAlign w:val="center"/>
          </w:tcPr>
          <w:p w:rsidR="003B61C2" w:rsidRPr="00D51D60" w:rsidRDefault="003B61C2" w:rsidP="00D47FDA">
            <w:pPr>
              <w:pStyle w:val="Tabletext"/>
              <w:keepNext/>
              <w:keepLines/>
              <w:jc w:val="center"/>
            </w:pPr>
            <w:r w:rsidRPr="00D51D60">
              <w:t>13.75 in 2017/2018 vs. 71.25 in 2014/2015</w:t>
            </w:r>
          </w:p>
        </w:tc>
        <w:tc>
          <w:tcPr>
            <w:tcW w:w="605" w:type="pct"/>
            <w:shd w:val="clear" w:color="auto" w:fill="auto"/>
            <w:vAlign w:val="center"/>
          </w:tcPr>
          <w:p w:rsidR="003B61C2" w:rsidRPr="00D51D60" w:rsidRDefault="003B61C2" w:rsidP="00D47FDA">
            <w:pPr>
              <w:pStyle w:val="Tabletext"/>
              <w:keepNext/>
              <w:keepLines/>
              <w:jc w:val="center"/>
            </w:pPr>
            <w:r w:rsidRPr="00D51D60">
              <w:t>1.29 million infants</w:t>
            </w:r>
          </w:p>
        </w:tc>
        <w:tc>
          <w:tcPr>
            <w:tcW w:w="1167" w:type="pct"/>
            <w:shd w:val="clear" w:color="auto" w:fill="auto"/>
            <w:vAlign w:val="center"/>
          </w:tcPr>
          <w:p w:rsidR="003B61C2" w:rsidRPr="00D51D60" w:rsidRDefault="003B61C2" w:rsidP="00D47FDA">
            <w:pPr>
              <w:pStyle w:val="Tabletext"/>
              <w:keepNext/>
              <w:keepLines/>
            </w:pPr>
            <w:r w:rsidRPr="00D51D60">
              <w:t>2 + 1</w:t>
            </w:r>
          </w:p>
        </w:tc>
        <w:tc>
          <w:tcPr>
            <w:tcW w:w="1136" w:type="pct"/>
            <w:shd w:val="clear" w:color="auto" w:fill="auto"/>
            <w:vAlign w:val="center"/>
          </w:tcPr>
          <w:p w:rsidR="003B61C2" w:rsidRPr="007A498B" w:rsidRDefault="003B61C2" w:rsidP="00D47FDA">
            <w:pPr>
              <w:pStyle w:val="Tabletext"/>
              <w:keepNext/>
              <w:keepLines/>
              <w:jc w:val="center"/>
              <w:rPr>
                <w:b/>
              </w:rPr>
            </w:pPr>
            <w:r w:rsidRPr="007A498B">
              <w:rPr>
                <w:b/>
              </w:rPr>
              <w:t>80% (95% CI: 64, 89)</w:t>
            </w:r>
          </w:p>
        </w:tc>
      </w:tr>
      <w:tr w:rsidR="003B61C2" w:rsidRPr="00D51D60" w:rsidTr="00051F71">
        <w:trPr>
          <w:trHeight w:val="113"/>
        </w:trPr>
        <w:tc>
          <w:tcPr>
            <w:tcW w:w="489" w:type="pct"/>
            <w:vMerge/>
            <w:shd w:val="clear" w:color="auto" w:fill="auto"/>
            <w:vAlign w:val="center"/>
          </w:tcPr>
          <w:p w:rsidR="003B61C2" w:rsidRPr="00D51D60" w:rsidRDefault="003B61C2" w:rsidP="00D47FDA">
            <w:pPr>
              <w:pStyle w:val="Tabletext"/>
              <w:keepNext/>
              <w:keepLines/>
            </w:pPr>
          </w:p>
        </w:tc>
        <w:tc>
          <w:tcPr>
            <w:tcW w:w="553" w:type="pct"/>
            <w:shd w:val="clear" w:color="auto" w:fill="auto"/>
            <w:vAlign w:val="center"/>
          </w:tcPr>
          <w:p w:rsidR="003B61C2" w:rsidRPr="00D51D60" w:rsidRDefault="003B61C2" w:rsidP="00D47FDA">
            <w:pPr>
              <w:pStyle w:val="Tabletext"/>
              <w:keepNext/>
              <w:keepLines/>
            </w:pPr>
            <w:r w:rsidRPr="00D51D60">
              <w:t>Age 18+ weeks</w:t>
            </w:r>
          </w:p>
        </w:tc>
        <w:tc>
          <w:tcPr>
            <w:tcW w:w="1050" w:type="pct"/>
            <w:shd w:val="clear" w:color="auto" w:fill="auto"/>
            <w:vAlign w:val="center"/>
          </w:tcPr>
          <w:p w:rsidR="003B61C2" w:rsidRPr="00D51D60" w:rsidRDefault="003B61C2" w:rsidP="00D47FDA">
            <w:pPr>
              <w:pStyle w:val="Tabletext"/>
              <w:keepNext/>
              <w:keepLines/>
              <w:jc w:val="center"/>
            </w:pPr>
            <w:r w:rsidRPr="00D51D60">
              <w:t>Difference in expected and observed</w:t>
            </w:r>
            <w:r w:rsidR="00624D24">
              <w:t xml:space="preserve"> </w:t>
            </w:r>
            <w:r w:rsidRPr="00D51D60">
              <w:t>was 277 cases</w:t>
            </w:r>
          </w:p>
        </w:tc>
        <w:tc>
          <w:tcPr>
            <w:tcW w:w="605" w:type="pct"/>
            <w:shd w:val="clear" w:color="auto" w:fill="auto"/>
            <w:vAlign w:val="center"/>
          </w:tcPr>
          <w:p w:rsidR="003B61C2" w:rsidRPr="00D51D60" w:rsidRDefault="003B61C2" w:rsidP="00D47FDA">
            <w:pPr>
              <w:pStyle w:val="Tabletext"/>
              <w:keepNext/>
              <w:keepLines/>
              <w:jc w:val="center"/>
            </w:pPr>
            <w:r w:rsidRPr="00D51D60">
              <w:t>NR</w:t>
            </w:r>
          </w:p>
        </w:tc>
        <w:tc>
          <w:tcPr>
            <w:tcW w:w="1167" w:type="pct"/>
            <w:shd w:val="clear" w:color="auto" w:fill="auto"/>
            <w:vAlign w:val="center"/>
          </w:tcPr>
          <w:p w:rsidR="003B61C2" w:rsidRPr="00D51D60" w:rsidRDefault="003B61C2" w:rsidP="00D47FDA">
            <w:pPr>
              <w:pStyle w:val="Tabletext"/>
              <w:keepNext/>
              <w:keepLines/>
            </w:pPr>
            <w:r w:rsidRPr="00D51D60">
              <w:t xml:space="preserve">eligible for 2 + 1 </w:t>
            </w:r>
          </w:p>
        </w:tc>
        <w:tc>
          <w:tcPr>
            <w:tcW w:w="1136" w:type="pct"/>
            <w:shd w:val="clear" w:color="auto" w:fill="auto"/>
            <w:vAlign w:val="center"/>
          </w:tcPr>
          <w:p w:rsidR="003B61C2" w:rsidRPr="007A498B" w:rsidRDefault="003B61C2" w:rsidP="00D47FDA">
            <w:pPr>
              <w:pStyle w:val="Tabletext"/>
              <w:keepNext/>
              <w:keepLines/>
              <w:jc w:val="center"/>
              <w:rPr>
                <w:b/>
              </w:rPr>
            </w:pPr>
            <w:r w:rsidRPr="007A498B">
              <w:rPr>
                <w:b/>
              </w:rPr>
              <w:t>74% (95% CI: 65, 81)</w:t>
            </w:r>
          </w:p>
        </w:tc>
      </w:tr>
      <w:tr w:rsidR="003B61C2" w:rsidRPr="007108BC" w:rsidTr="00051F71">
        <w:trPr>
          <w:trHeight w:val="113"/>
        </w:trPr>
        <w:tc>
          <w:tcPr>
            <w:tcW w:w="489" w:type="pct"/>
            <w:vMerge w:val="restart"/>
            <w:shd w:val="clear" w:color="auto" w:fill="auto"/>
            <w:vAlign w:val="center"/>
          </w:tcPr>
          <w:p w:rsidR="003B61C2" w:rsidRPr="007108BC" w:rsidRDefault="003B61C2" w:rsidP="00D47FDA">
            <w:pPr>
              <w:pStyle w:val="Tabletext"/>
              <w:keepNext/>
              <w:keepLines/>
            </w:pPr>
            <w:r w:rsidRPr="007108BC">
              <w:t>Quebec</w:t>
            </w:r>
          </w:p>
        </w:tc>
        <w:tc>
          <w:tcPr>
            <w:tcW w:w="553" w:type="pct"/>
            <w:shd w:val="clear" w:color="auto" w:fill="auto"/>
            <w:vAlign w:val="center"/>
          </w:tcPr>
          <w:p w:rsidR="003B61C2" w:rsidRPr="007108BC" w:rsidRDefault="003B61C2" w:rsidP="00D47FDA">
            <w:pPr>
              <w:pStyle w:val="Tabletext"/>
              <w:keepNext/>
              <w:keepLines/>
            </w:pPr>
            <w:r w:rsidRPr="007108BC">
              <w:t>&gt; 2 months to 20 years</w:t>
            </w:r>
          </w:p>
        </w:tc>
        <w:tc>
          <w:tcPr>
            <w:tcW w:w="1050" w:type="pct"/>
            <w:shd w:val="clear" w:color="auto" w:fill="auto"/>
            <w:vAlign w:val="center"/>
          </w:tcPr>
          <w:p w:rsidR="003B61C2" w:rsidRPr="007108BC" w:rsidRDefault="003B61C2" w:rsidP="00D47FDA">
            <w:pPr>
              <w:pStyle w:val="Tabletext"/>
              <w:keepNext/>
              <w:keepLines/>
              <w:jc w:val="center"/>
            </w:pPr>
            <w:r w:rsidRPr="007108BC">
              <w:t>2 in target group</w:t>
            </w:r>
          </w:p>
        </w:tc>
        <w:tc>
          <w:tcPr>
            <w:tcW w:w="605" w:type="pct"/>
            <w:shd w:val="clear" w:color="auto" w:fill="auto"/>
            <w:vAlign w:val="center"/>
          </w:tcPr>
          <w:p w:rsidR="003B61C2" w:rsidRPr="007108BC" w:rsidRDefault="003B61C2" w:rsidP="00D47FDA">
            <w:pPr>
              <w:pStyle w:val="Tabletext"/>
              <w:keepNext/>
              <w:keepLines/>
              <w:jc w:val="center"/>
            </w:pPr>
            <w:r w:rsidRPr="007108BC">
              <w:t>59,433</w:t>
            </w:r>
          </w:p>
        </w:tc>
        <w:tc>
          <w:tcPr>
            <w:tcW w:w="1167" w:type="pct"/>
            <w:shd w:val="clear" w:color="auto" w:fill="auto"/>
            <w:vAlign w:val="center"/>
          </w:tcPr>
          <w:p w:rsidR="003B61C2" w:rsidRPr="007108BC" w:rsidRDefault="003B61C2" w:rsidP="00D47FDA">
            <w:pPr>
              <w:pStyle w:val="Tabletext"/>
              <w:keepNext/>
              <w:keepLines/>
            </w:pPr>
            <w:r w:rsidRPr="007108BC">
              <w:t>At least one dose</w:t>
            </w:r>
          </w:p>
        </w:tc>
        <w:tc>
          <w:tcPr>
            <w:tcW w:w="1136" w:type="pct"/>
            <w:shd w:val="clear" w:color="auto" w:fill="auto"/>
            <w:vAlign w:val="center"/>
          </w:tcPr>
          <w:p w:rsidR="003B61C2" w:rsidRPr="007A498B" w:rsidRDefault="003B61C2" w:rsidP="00D47FDA">
            <w:pPr>
              <w:pStyle w:val="Tabletext"/>
              <w:keepNext/>
              <w:keepLines/>
              <w:jc w:val="center"/>
              <w:rPr>
                <w:b/>
              </w:rPr>
            </w:pPr>
            <w:r w:rsidRPr="007A498B">
              <w:rPr>
                <w:b/>
              </w:rPr>
              <w:t>96% (95% CI: NR, NR), p&lt;0.0013</w:t>
            </w:r>
          </w:p>
        </w:tc>
      </w:tr>
      <w:tr w:rsidR="003B61C2" w:rsidRPr="00D51D60" w:rsidTr="00051F71">
        <w:trPr>
          <w:trHeight w:val="113"/>
        </w:trPr>
        <w:tc>
          <w:tcPr>
            <w:tcW w:w="489" w:type="pct"/>
            <w:vMerge/>
            <w:shd w:val="clear" w:color="auto" w:fill="auto"/>
            <w:vAlign w:val="center"/>
          </w:tcPr>
          <w:p w:rsidR="003B61C2" w:rsidRPr="00D51D60" w:rsidRDefault="003B61C2" w:rsidP="00D47FDA">
            <w:pPr>
              <w:pStyle w:val="Tabletext"/>
              <w:keepNext/>
              <w:keepLines/>
            </w:pPr>
          </w:p>
        </w:tc>
        <w:tc>
          <w:tcPr>
            <w:tcW w:w="553" w:type="pct"/>
            <w:shd w:val="clear" w:color="auto" w:fill="auto"/>
            <w:vAlign w:val="center"/>
          </w:tcPr>
          <w:p w:rsidR="003B61C2" w:rsidRPr="00D51D60" w:rsidRDefault="003B61C2" w:rsidP="00D47FDA">
            <w:pPr>
              <w:pStyle w:val="Tabletext"/>
              <w:keepNext/>
              <w:keepLines/>
            </w:pPr>
            <w:r w:rsidRPr="00D51D60">
              <w:t>All ages</w:t>
            </w:r>
          </w:p>
        </w:tc>
        <w:tc>
          <w:tcPr>
            <w:tcW w:w="1050" w:type="pct"/>
            <w:shd w:val="clear" w:color="auto" w:fill="auto"/>
            <w:vAlign w:val="center"/>
          </w:tcPr>
          <w:p w:rsidR="003B61C2" w:rsidRPr="00D51D60" w:rsidRDefault="003B61C2" w:rsidP="00D47FDA">
            <w:pPr>
              <w:pStyle w:val="Tabletext"/>
              <w:keepNext/>
              <w:keepLines/>
              <w:jc w:val="center"/>
            </w:pPr>
            <w:r w:rsidRPr="00D51D60">
              <w:t>5 post 2014</w:t>
            </w:r>
          </w:p>
        </w:tc>
        <w:tc>
          <w:tcPr>
            <w:tcW w:w="605" w:type="pct"/>
            <w:shd w:val="clear" w:color="auto" w:fill="auto"/>
            <w:vAlign w:val="center"/>
          </w:tcPr>
          <w:p w:rsidR="003B61C2" w:rsidRPr="00D51D60" w:rsidRDefault="003B61C2" w:rsidP="00D47FDA">
            <w:pPr>
              <w:pStyle w:val="Tabletext"/>
              <w:keepNext/>
              <w:keepLines/>
              <w:jc w:val="center"/>
            </w:pPr>
            <w:r w:rsidRPr="00D51D60">
              <w:rPr>
                <w:iCs/>
              </w:rPr>
              <w:t>NR</w:t>
            </w:r>
          </w:p>
        </w:tc>
        <w:tc>
          <w:tcPr>
            <w:tcW w:w="1167" w:type="pct"/>
            <w:shd w:val="clear" w:color="auto" w:fill="auto"/>
            <w:vAlign w:val="center"/>
          </w:tcPr>
          <w:p w:rsidR="003B61C2" w:rsidRPr="00D51D60" w:rsidRDefault="003B61C2" w:rsidP="00D47FDA">
            <w:pPr>
              <w:pStyle w:val="Tabletext"/>
              <w:keepNext/>
              <w:keepLines/>
              <w:rPr>
                <w:iCs/>
              </w:rPr>
            </w:pPr>
            <w:r w:rsidRPr="00D51D60">
              <w:rPr>
                <w:iCs/>
              </w:rPr>
              <w:t>NR</w:t>
            </w:r>
          </w:p>
        </w:tc>
        <w:tc>
          <w:tcPr>
            <w:tcW w:w="1136" w:type="pct"/>
            <w:shd w:val="clear" w:color="auto" w:fill="auto"/>
            <w:vAlign w:val="center"/>
          </w:tcPr>
          <w:p w:rsidR="003B61C2" w:rsidRPr="007A498B" w:rsidRDefault="003B61C2" w:rsidP="00D47FDA">
            <w:pPr>
              <w:pStyle w:val="Tabletext"/>
              <w:keepNext/>
              <w:keepLines/>
              <w:jc w:val="center"/>
              <w:rPr>
                <w:b/>
              </w:rPr>
            </w:pPr>
            <w:r w:rsidRPr="007A498B">
              <w:rPr>
                <w:b/>
              </w:rPr>
              <w:t>87% (95% CI: NR, NR), p&lt;0.0001</w:t>
            </w:r>
          </w:p>
        </w:tc>
      </w:tr>
      <w:tr w:rsidR="003B61C2" w:rsidRPr="007108BC" w:rsidTr="00051F71">
        <w:trPr>
          <w:trHeight w:val="113"/>
        </w:trPr>
        <w:tc>
          <w:tcPr>
            <w:tcW w:w="489" w:type="pct"/>
            <w:shd w:val="clear" w:color="auto" w:fill="auto"/>
            <w:vAlign w:val="center"/>
          </w:tcPr>
          <w:p w:rsidR="003B61C2" w:rsidRPr="007108BC" w:rsidRDefault="003B61C2" w:rsidP="00D47FDA">
            <w:pPr>
              <w:pStyle w:val="Tabletext"/>
              <w:keepNext/>
              <w:keepLines/>
            </w:pPr>
            <w:r w:rsidRPr="007108BC">
              <w:t>South Australia B Part of it</w:t>
            </w:r>
          </w:p>
        </w:tc>
        <w:tc>
          <w:tcPr>
            <w:tcW w:w="553" w:type="pct"/>
            <w:shd w:val="clear" w:color="auto" w:fill="auto"/>
            <w:vAlign w:val="center"/>
          </w:tcPr>
          <w:p w:rsidR="003B61C2" w:rsidRPr="007108BC" w:rsidRDefault="003B61C2" w:rsidP="00D47FDA">
            <w:pPr>
              <w:pStyle w:val="Tabletext"/>
              <w:keepNext/>
              <w:keepLines/>
            </w:pPr>
            <w:r w:rsidRPr="007108BC">
              <w:t>17-19 years</w:t>
            </w:r>
          </w:p>
        </w:tc>
        <w:tc>
          <w:tcPr>
            <w:tcW w:w="1050" w:type="pct"/>
            <w:shd w:val="clear" w:color="auto" w:fill="auto"/>
            <w:vAlign w:val="center"/>
          </w:tcPr>
          <w:p w:rsidR="003B61C2" w:rsidRPr="007108BC" w:rsidRDefault="003B61C2" w:rsidP="00D47FDA">
            <w:pPr>
              <w:pStyle w:val="Tabletext"/>
              <w:keepNext/>
              <w:keepLines/>
              <w:jc w:val="center"/>
            </w:pPr>
            <w:r w:rsidRPr="007108BC">
              <w:t>0</w:t>
            </w:r>
          </w:p>
        </w:tc>
        <w:tc>
          <w:tcPr>
            <w:tcW w:w="605" w:type="pct"/>
            <w:shd w:val="clear" w:color="auto" w:fill="auto"/>
            <w:vAlign w:val="center"/>
          </w:tcPr>
          <w:p w:rsidR="003B61C2" w:rsidRPr="007108BC" w:rsidRDefault="003B61C2" w:rsidP="00D47FDA">
            <w:pPr>
              <w:pStyle w:val="Tabletext"/>
              <w:keepNext/>
              <w:keepLines/>
              <w:jc w:val="center"/>
            </w:pPr>
            <w:r w:rsidRPr="007108BC">
              <w:t>26,153</w:t>
            </w:r>
          </w:p>
        </w:tc>
        <w:tc>
          <w:tcPr>
            <w:tcW w:w="1167" w:type="pct"/>
            <w:shd w:val="clear" w:color="auto" w:fill="auto"/>
            <w:vAlign w:val="center"/>
          </w:tcPr>
          <w:p w:rsidR="003B61C2" w:rsidRPr="007108BC" w:rsidRDefault="003B61C2" w:rsidP="00D47FDA">
            <w:pPr>
              <w:pStyle w:val="Tabletext"/>
              <w:keepNext/>
              <w:keepLines/>
            </w:pPr>
            <w:r w:rsidRPr="007108BC">
              <w:t>Appropriately vaccinated (92% of students from participating schools across South Australia</w:t>
            </w:r>
            <w:r w:rsidR="00A67CA6">
              <w:t xml:space="preserve"> </w:t>
            </w:r>
            <w:r w:rsidRPr="007108BC">
              <w:t>from 15-18 years)</w:t>
            </w:r>
          </w:p>
        </w:tc>
        <w:tc>
          <w:tcPr>
            <w:tcW w:w="1136" w:type="pct"/>
            <w:shd w:val="clear" w:color="auto" w:fill="auto"/>
            <w:vAlign w:val="center"/>
          </w:tcPr>
          <w:p w:rsidR="003B61C2" w:rsidRPr="007108BC" w:rsidRDefault="003B61C2" w:rsidP="00D47FDA">
            <w:pPr>
              <w:pStyle w:val="Tabletext"/>
              <w:keepNext/>
              <w:keepLines/>
              <w:jc w:val="center"/>
              <w:rPr>
                <w:b/>
              </w:rPr>
            </w:pPr>
            <w:r w:rsidRPr="007108BC">
              <w:rPr>
                <w:b/>
              </w:rPr>
              <w:t>71.4% (95% CI:29.0, 96.3)</w:t>
            </w:r>
          </w:p>
        </w:tc>
      </w:tr>
    </w:tbl>
    <w:p w:rsidR="003B61C2" w:rsidRPr="007108BC" w:rsidRDefault="003B61C2" w:rsidP="00D47FDA">
      <w:pPr>
        <w:pStyle w:val="TableFooter"/>
        <w:keepNext/>
        <w:keepLines/>
        <w:jc w:val="both"/>
        <w:rPr>
          <w:rFonts w:eastAsia="Calibri"/>
        </w:rPr>
      </w:pPr>
      <w:r w:rsidRPr="007108BC">
        <w:rPr>
          <w:rFonts w:eastAsia="Calibri"/>
        </w:rPr>
        <w:t xml:space="preserve">Abbreviations: CI = confidence interval; IMD = invasive meningococcal disease; Men B = </w:t>
      </w:r>
      <w:r w:rsidR="00FE1434" w:rsidRPr="007108BC">
        <w:rPr>
          <w:rFonts w:eastAsia="Calibri"/>
        </w:rPr>
        <w:t>meningococcal</w:t>
      </w:r>
      <w:r w:rsidRPr="007108BC">
        <w:rPr>
          <w:rFonts w:eastAsia="Calibri"/>
        </w:rPr>
        <w:t xml:space="preserve"> B; n = number of participants with event (case); NR= not reported; </w:t>
      </w:r>
      <w:r w:rsidRPr="007108BC">
        <w:t>PT-BEST= Portuguese Meningococcus Group B Vaccine Effectiveness Study;</w:t>
      </w:r>
      <w:r w:rsidRPr="007108BC">
        <w:rPr>
          <w:rFonts w:eastAsia="Calibri"/>
        </w:rPr>
        <w:t xml:space="preserve"> UK PHE= United Kingdom Public Health England; y</w:t>
      </w:r>
      <w:r w:rsidR="00FE1434">
        <w:rPr>
          <w:rFonts w:eastAsia="Calibri"/>
        </w:rPr>
        <w:t>.</w:t>
      </w:r>
      <w:r w:rsidRPr="007108BC">
        <w:rPr>
          <w:rFonts w:eastAsia="Calibri"/>
        </w:rPr>
        <w:t>o = year olds.</w:t>
      </w:r>
    </w:p>
    <w:p w:rsidR="003B61C2" w:rsidRPr="007108BC" w:rsidRDefault="003B61C2" w:rsidP="00D47FDA">
      <w:pPr>
        <w:keepNext/>
        <w:keepLines/>
        <w:jc w:val="both"/>
        <w:rPr>
          <w:rFonts w:ascii="Arial Narrow" w:eastAsia="Calibri" w:hAnsi="Arial Narrow"/>
          <w:sz w:val="18"/>
        </w:rPr>
      </w:pPr>
      <w:r w:rsidRPr="007108BC">
        <w:rPr>
          <w:rFonts w:ascii="Arial Narrow" w:eastAsia="Calibri" w:hAnsi="Arial Narrow"/>
          <w:sz w:val="18"/>
        </w:rPr>
        <w:t xml:space="preserve">Note: bold text indicates statically significant differences. </w:t>
      </w:r>
    </w:p>
    <w:p w:rsidR="003B61C2" w:rsidRPr="00D51D60" w:rsidRDefault="003B61C2" w:rsidP="00D47FDA">
      <w:pPr>
        <w:keepNext/>
        <w:keepLines/>
        <w:jc w:val="both"/>
        <w:rPr>
          <w:rFonts w:ascii="Arial Narrow" w:eastAsia="Calibri" w:hAnsi="Arial Narrow"/>
          <w:sz w:val="18"/>
        </w:rPr>
      </w:pPr>
      <w:r w:rsidRPr="007108BC">
        <w:rPr>
          <w:rFonts w:ascii="Arial Narrow" w:eastAsia="Calibri" w:hAnsi="Arial Narrow"/>
          <w:sz w:val="18"/>
        </w:rPr>
        <w:t xml:space="preserve">Source: p.88, p.96, </w:t>
      </w:r>
      <w:r w:rsidRPr="00D51D60">
        <w:rPr>
          <w:rFonts w:ascii="Arial Narrow" w:eastAsia="Calibri" w:hAnsi="Arial Narrow"/>
          <w:sz w:val="18"/>
        </w:rPr>
        <w:t xml:space="preserve">p.103. </w:t>
      </w:r>
      <w:r w:rsidRPr="007108BC">
        <w:rPr>
          <w:rFonts w:ascii="Arial Narrow" w:eastAsia="Calibri" w:hAnsi="Arial Narrow"/>
          <w:sz w:val="18"/>
        </w:rPr>
        <w:t xml:space="preserve">p.100 and Table 2.20, p.88 of the resubmission. </w:t>
      </w:r>
    </w:p>
    <w:p w:rsidR="003B61C2" w:rsidRPr="007108BC" w:rsidRDefault="003B61C2" w:rsidP="007108BC">
      <w:pPr>
        <w:rPr>
          <w:rStyle w:val="CommentReference"/>
          <w:b w:val="0"/>
        </w:rPr>
      </w:pPr>
    </w:p>
    <w:p w:rsidR="003B61C2" w:rsidRPr="007108BC" w:rsidRDefault="003B61C2" w:rsidP="005A1BBE">
      <w:pPr>
        <w:pStyle w:val="Heading2"/>
      </w:pPr>
      <w:bookmarkStart w:id="13" w:name="_Toc19697625"/>
      <w:r w:rsidRPr="007108BC">
        <w:t>Comparative harms</w:t>
      </w:r>
      <w:bookmarkEnd w:id="13"/>
    </w:p>
    <w:p w:rsidR="003B61C2" w:rsidRPr="007108BC" w:rsidRDefault="003B61C2" w:rsidP="00EB423F">
      <w:pPr>
        <w:pStyle w:val="bulletnumberedstyle"/>
      </w:pPr>
      <w:r w:rsidRPr="007108BC">
        <w:t xml:space="preserve">The UK PHE Vaccination Program implemented the Yellow Card Scheme safety surveillance system to monitor the occurrence of AEs of which fever, seizures, local reactions, Kawasaki disease, and sudden death were pre-specified as outcomes of interest for assessment. </w:t>
      </w:r>
      <w:r w:rsidR="004E5FB4" w:rsidRPr="007108BC">
        <w:t xml:space="preserve">From </w:t>
      </w:r>
      <w:r w:rsidRPr="007108BC">
        <w:t xml:space="preserve">1 Sept 2015 </w:t>
      </w:r>
      <w:r w:rsidR="004E5FB4" w:rsidRPr="007108BC">
        <w:t xml:space="preserve">to </w:t>
      </w:r>
      <w:r w:rsidRPr="007108BC">
        <w:t xml:space="preserve">31 May 2017, 1.29 million infants were vaccinated and 902 yellow card reports were received. Of these, 366 (41%) AEs were related to local reactions, described as a persistent nodule at the site of injection, usually without other local symptoms and 364 (40%) AEs were related to fever (including pyrexia, body temperature, feeling hot). </w:t>
      </w:r>
    </w:p>
    <w:p w:rsidR="003B61C2" w:rsidRPr="007108BC" w:rsidRDefault="003B61C2" w:rsidP="00EB423F">
      <w:pPr>
        <w:pStyle w:val="bulletnumberedstyle"/>
      </w:pPr>
      <w:r w:rsidRPr="007108BC">
        <w:t>The prospective surveillance study for the UK PHE Vaccination Program noted</w:t>
      </w:r>
      <w:r w:rsidRPr="00D51D60">
        <w:t xml:space="preserve"> there was incomplete reporting of the actual magnitude or severity of fever in the Yellow Card reports, those that were reported as serious tended to refer to a high fever, with some reporting a temperature of more than 40°C. There was insufficient information about paracetamol use in these reports</w:t>
      </w:r>
      <w:r w:rsidR="00710286">
        <w:t>.</w:t>
      </w:r>
      <w:r w:rsidRPr="00D51D60">
        <w:t xml:space="preserve"> However, this study concluded that there were no significant safety concerns from the vaccination program and that the vaccine appears to have been well accepted by parents</w:t>
      </w:r>
      <w:r w:rsidR="00710286">
        <w:t xml:space="preserve"> </w:t>
      </w:r>
      <w:r w:rsidR="00710286" w:rsidRPr="00D51D60">
        <w:t>(</w:t>
      </w:r>
      <w:r w:rsidR="00710286" w:rsidRPr="00710286">
        <w:t>Bryan et al. 2018</w:t>
      </w:r>
      <w:r w:rsidR="00710286" w:rsidRPr="00710286">
        <w:rPr>
          <w:rStyle w:val="FootnoteReference"/>
        </w:rPr>
        <w:footnoteReference w:id="1"/>
      </w:r>
      <w:r w:rsidR="00710286" w:rsidRPr="00710286">
        <w:t>).</w:t>
      </w:r>
    </w:p>
    <w:p w:rsidR="005516FE" w:rsidRPr="007108BC" w:rsidRDefault="00C7657C" w:rsidP="00EB423F">
      <w:pPr>
        <w:pStyle w:val="bulletnumberedstyle"/>
      </w:pPr>
      <w:r>
        <w:t xml:space="preserve">The </w:t>
      </w:r>
      <w:r w:rsidR="003B61C2" w:rsidRPr="00D51D60">
        <w:t xml:space="preserve">ATAGI noted that there was evidence of an acceptable safety profile, albeit with an increased risk of fever in infants, which can be mitigated by the prophylactic use of </w:t>
      </w:r>
      <w:r w:rsidR="003B61C2" w:rsidRPr="00D51D60">
        <w:lastRenderedPageBreak/>
        <w:t>paracetamol with vaccine administration in young children aged &lt; 2 years (ATAGI pre-submission advice, June 2019).</w:t>
      </w:r>
      <w:r w:rsidR="00715F09">
        <w:t xml:space="preserve"> </w:t>
      </w:r>
    </w:p>
    <w:p w:rsidR="0095370B" w:rsidRPr="007108BC" w:rsidRDefault="00D82F42" w:rsidP="00EB423F">
      <w:pPr>
        <w:pStyle w:val="bulletnumberedstyle"/>
      </w:pPr>
      <w:r>
        <w:t>O</w:t>
      </w:r>
      <w:r w:rsidR="003B61C2" w:rsidRPr="007108BC">
        <w:t>ne immunogenicity stud</w:t>
      </w:r>
      <w:r w:rsidR="00AF01C6">
        <w:t>y</w:t>
      </w:r>
      <w:r w:rsidR="003B61C2" w:rsidRPr="007108BC">
        <w:t xml:space="preserve"> (V72_28) </w:t>
      </w:r>
      <w:r w:rsidR="00AF01C6">
        <w:t xml:space="preserve">provided evidence comparing the </w:t>
      </w:r>
      <w:r w:rsidR="003B61C2" w:rsidRPr="007108BC">
        <w:t>proposed 2 + 1 schedule versus the previously assessed 3 + 1 schedule</w:t>
      </w:r>
      <w:r w:rsidR="00AF01C6">
        <w:t xml:space="preserve">. Results </w:t>
      </w:r>
      <w:r w:rsidR="00AF01C6" w:rsidRPr="00D51D60">
        <w:t xml:space="preserve">showed that </w:t>
      </w:r>
      <w:r>
        <w:t xml:space="preserve">infants vaccinated with a 2+1 schedule were </w:t>
      </w:r>
      <w:r w:rsidR="00AF01C6" w:rsidRPr="00D51D60">
        <w:t>at a higher risk of developing fever</w:t>
      </w:r>
      <w:r>
        <w:t>.</w:t>
      </w:r>
      <w:r w:rsidR="00624D24">
        <w:t xml:space="preserve"> </w:t>
      </w:r>
      <w:r>
        <w:t xml:space="preserve">There were statistically significantly </w:t>
      </w:r>
      <w:r w:rsidR="003B61C2" w:rsidRPr="00D51D60">
        <w:t xml:space="preserve">higher fever events at the 5 month dose in the 2 + 1 schedule versus the 3 + 1 schedule with a risk difference of 17% (9%, 25%) between the dosing schedules. </w:t>
      </w:r>
    </w:p>
    <w:p w:rsidR="003B61C2" w:rsidRPr="007575EB" w:rsidRDefault="003B61C2" w:rsidP="005A1BBE">
      <w:pPr>
        <w:pStyle w:val="Heading2"/>
      </w:pPr>
      <w:bookmarkStart w:id="14" w:name="_Toc19697626"/>
      <w:r w:rsidRPr="007575EB">
        <w:t>Benefits/harms</w:t>
      </w:r>
      <w:bookmarkEnd w:id="14"/>
    </w:p>
    <w:p w:rsidR="00EB7043" w:rsidRPr="007575EB" w:rsidRDefault="00EB7043" w:rsidP="00EB423F">
      <w:pPr>
        <w:pStyle w:val="bulletnumberedstyle"/>
      </w:pPr>
      <w:r w:rsidRPr="007575EB">
        <w:t xml:space="preserve">Between 2013 and 2017 there were approximately 400 cases of IMD </w:t>
      </w:r>
      <w:r w:rsidR="00773956">
        <w:t xml:space="preserve">caused by </w:t>
      </w:r>
      <w:r w:rsidR="00773956" w:rsidRPr="007575EB">
        <w:t xml:space="preserve">Men B </w:t>
      </w:r>
      <w:r w:rsidRPr="007575EB">
        <w:t>in people under 23 years of age</w:t>
      </w:r>
      <w:r w:rsidR="00DF7949" w:rsidRPr="007575EB">
        <w:t xml:space="preserve">. A vaccination program with 4CMenB may have prevented around half of these cases </w:t>
      </w:r>
      <w:r w:rsidR="0020017C" w:rsidRPr="007575EB">
        <w:t xml:space="preserve">and approximately 8 </w:t>
      </w:r>
      <w:r w:rsidR="00DF7949" w:rsidRPr="007575EB">
        <w:t xml:space="preserve">deaths. </w:t>
      </w:r>
    </w:p>
    <w:p w:rsidR="003B61C2" w:rsidRPr="007108BC" w:rsidRDefault="003B61C2" w:rsidP="005A1BBE">
      <w:pPr>
        <w:pStyle w:val="Heading2"/>
      </w:pPr>
      <w:bookmarkStart w:id="15" w:name="_Toc19697627"/>
      <w:r w:rsidRPr="007108BC">
        <w:t>Clinical claim</w:t>
      </w:r>
      <w:bookmarkEnd w:id="15"/>
    </w:p>
    <w:p w:rsidR="003B61C2" w:rsidRPr="007108BC" w:rsidRDefault="003B61C2" w:rsidP="00EB423F">
      <w:pPr>
        <w:pStyle w:val="bulletnumberedstyle"/>
      </w:pPr>
      <w:r w:rsidRPr="007108BC">
        <w:t xml:space="preserve">The resubmission described 4CMenB as superior in terms of effectiveness and non-inferior in terms of safety compared with no vaccination. </w:t>
      </w:r>
      <w:r w:rsidRPr="00D51D60">
        <w:t xml:space="preserve">The </w:t>
      </w:r>
      <w:r w:rsidR="00171749">
        <w:t xml:space="preserve">evaluation noted </w:t>
      </w:r>
      <w:r w:rsidRPr="00D51D60">
        <w:t>the following issues with regards to the effectiveness and safety of 4CMenB:</w:t>
      </w:r>
    </w:p>
    <w:p w:rsidR="00EB423F" w:rsidRPr="00EB423F" w:rsidRDefault="00846128" w:rsidP="00EB423F">
      <w:pPr>
        <w:pStyle w:val="ListParagraph"/>
        <w:numPr>
          <w:ilvl w:val="0"/>
          <w:numId w:val="1"/>
        </w:numPr>
        <w:spacing w:after="0"/>
        <w:jc w:val="both"/>
      </w:pPr>
      <w:r>
        <w:t>VE</w:t>
      </w:r>
      <w:r w:rsidR="003B61C2" w:rsidRPr="00D51D60">
        <w:t xml:space="preserve"> </w:t>
      </w:r>
      <w:r w:rsidR="00962B3B">
        <w:t>was</w:t>
      </w:r>
      <w:r w:rsidR="003B61C2" w:rsidRPr="00D51D60">
        <w:t xml:space="preserve"> based on real-world evidence from the UK PHE Vaccination Program. In </w:t>
      </w:r>
      <w:r w:rsidR="003B61C2" w:rsidRPr="008B0629">
        <w:t xml:space="preserve">this program, VE was not statistically significant (58.9%; 95% CI -31.5, 87.1), however </w:t>
      </w:r>
      <w:r w:rsidR="008B0629" w:rsidRPr="008B0629">
        <w:t xml:space="preserve">the resubmission relied on an adjusted VE estimate which may </w:t>
      </w:r>
      <w:r w:rsidR="00BB196F">
        <w:rPr>
          <w:noProof/>
          <w:color w:val="000000"/>
          <w:highlight w:val="black"/>
        </w:rPr>
        <w:t>'''''''''''''''''''''''''</w:t>
      </w:r>
      <w:r w:rsidR="008B0629" w:rsidRPr="008B0629">
        <w:t xml:space="preserve"> the VE (</w:t>
      </w:r>
      <w:r w:rsidR="00BB196F">
        <w:rPr>
          <w:noProof/>
          <w:color w:val="000000"/>
          <w:highlight w:val="black"/>
        </w:rPr>
        <w:t>'''''''''</w:t>
      </w:r>
      <w:r w:rsidR="008B0629" w:rsidRPr="008B0629">
        <w:t xml:space="preserve">%; 95% CI </w:t>
      </w:r>
      <w:r w:rsidR="00BB196F">
        <w:rPr>
          <w:noProof/>
          <w:color w:val="000000"/>
          <w:highlight w:val="black"/>
        </w:rPr>
        <w:t>''''''''</w:t>
      </w:r>
      <w:r w:rsidR="008B0629" w:rsidRPr="008B0629">
        <w:t xml:space="preserve">, </w:t>
      </w:r>
      <w:r w:rsidR="00BB196F">
        <w:rPr>
          <w:noProof/>
          <w:color w:val="000000"/>
          <w:highlight w:val="black"/>
        </w:rPr>
        <w:t>''''''''</w:t>
      </w:r>
      <w:r w:rsidR="008B0629" w:rsidRPr="008B0629">
        <w:t xml:space="preserve">). </w:t>
      </w:r>
      <w:r w:rsidR="00364901" w:rsidRPr="008B0629">
        <w:t>T</w:t>
      </w:r>
      <w:r w:rsidR="007A50FA" w:rsidRPr="008B0629">
        <w:t>he</w:t>
      </w:r>
      <w:r w:rsidR="007A50FA" w:rsidRPr="00962B3B">
        <w:t xml:space="preserve"> ESC considered </w:t>
      </w:r>
      <w:r w:rsidR="009C0466" w:rsidRPr="00962B3B">
        <w:t xml:space="preserve">the use of the adjusted VE was </w:t>
      </w:r>
      <w:r w:rsidR="007A50FA" w:rsidRPr="00962B3B">
        <w:t xml:space="preserve">reasonable although </w:t>
      </w:r>
      <w:r w:rsidR="00EC4C67" w:rsidRPr="00962B3B">
        <w:t xml:space="preserve">may </w:t>
      </w:r>
      <w:r w:rsidR="00D210DC" w:rsidRPr="00962B3B">
        <w:t>be associated with some uncertainty</w:t>
      </w:r>
      <w:r w:rsidR="003B61C2" w:rsidRPr="00962B3B">
        <w:t xml:space="preserve">. </w:t>
      </w:r>
      <w:r w:rsidR="00187F3F" w:rsidRPr="00962B3B">
        <w:t>The ESC noted the adjusted VE was lower than the VE applied in previous submissions (98%) which was b</w:t>
      </w:r>
      <w:r w:rsidR="00EB423F" w:rsidRPr="00962B3B">
        <w:t>ased on immunogenicity studies.</w:t>
      </w:r>
    </w:p>
    <w:p w:rsidR="005D6D9D" w:rsidRPr="00D51D60" w:rsidRDefault="005D6D9D" w:rsidP="00EB423F">
      <w:pPr>
        <w:pStyle w:val="ListParagraph"/>
        <w:numPr>
          <w:ilvl w:val="0"/>
          <w:numId w:val="1"/>
        </w:numPr>
        <w:spacing w:after="0"/>
        <w:jc w:val="both"/>
      </w:pPr>
      <w:r w:rsidRPr="00EB423F">
        <w:rPr>
          <w:iCs/>
        </w:rPr>
        <w:t>The waning of the vaccine, which reflects the persistence of effect reported as the time (in months) of sufficient antibody response</w:t>
      </w:r>
      <w:r w:rsidR="00962B3B">
        <w:rPr>
          <w:iCs/>
        </w:rPr>
        <w:t>,</w:t>
      </w:r>
      <w:r w:rsidRPr="00EB423F">
        <w:rPr>
          <w:iCs/>
        </w:rPr>
        <w:t xml:space="preserve"> was estimated in a similar manner to the previous (re)submissions. The results from the extension study V12PE1 </w:t>
      </w:r>
      <w:r w:rsidR="00262F10" w:rsidRPr="00EB423F">
        <w:rPr>
          <w:iCs/>
        </w:rPr>
        <w:t xml:space="preserve">were </w:t>
      </w:r>
      <w:r w:rsidRPr="00EB423F">
        <w:rPr>
          <w:iCs/>
        </w:rPr>
        <w:t>broadly consistent with the previous (re)submission in infants and toddlers but</w:t>
      </w:r>
      <w:r w:rsidR="00EC4C67" w:rsidRPr="00EB423F">
        <w:rPr>
          <w:iCs/>
        </w:rPr>
        <w:t xml:space="preserve"> the duration of effect</w:t>
      </w:r>
      <w:r w:rsidRPr="00EB423F">
        <w:rPr>
          <w:iCs/>
        </w:rPr>
        <w:t xml:space="preserve"> was shorter and more conservative in the adolescent population.</w:t>
      </w:r>
      <w:r w:rsidR="007A50FA" w:rsidRPr="00EB423F">
        <w:rPr>
          <w:iCs/>
        </w:rPr>
        <w:t xml:space="preserve"> </w:t>
      </w:r>
      <w:r w:rsidR="00CA515C">
        <w:rPr>
          <w:iCs/>
        </w:rPr>
        <w:t xml:space="preserve">The ATAGI noted the </w:t>
      </w:r>
      <w:r w:rsidR="0074100D">
        <w:rPr>
          <w:iCs/>
        </w:rPr>
        <w:t xml:space="preserve">reliance on studies of antibody persistence </w:t>
      </w:r>
      <w:r w:rsidR="00C10D62">
        <w:rPr>
          <w:iCs/>
        </w:rPr>
        <w:t xml:space="preserve">to infer duration of protection </w:t>
      </w:r>
      <w:r w:rsidR="0074100D">
        <w:rPr>
          <w:iCs/>
        </w:rPr>
        <w:t xml:space="preserve">and </w:t>
      </w:r>
      <w:r w:rsidR="00C10D62">
        <w:rPr>
          <w:iCs/>
        </w:rPr>
        <w:t xml:space="preserve">the </w:t>
      </w:r>
      <w:r w:rsidR="002D06DB">
        <w:rPr>
          <w:iCs/>
        </w:rPr>
        <w:t>lack of data from population use. The ATAGI considered the duration of protection afforded by 4CMenB to be an area of uncertainty (</w:t>
      </w:r>
      <w:r w:rsidR="002D06DB" w:rsidRPr="007108BC">
        <w:t>ATAGI pre-sub</w:t>
      </w:r>
      <w:r w:rsidR="002D06DB">
        <w:t>mission advice, June 2019)</w:t>
      </w:r>
      <w:r w:rsidR="002D06DB">
        <w:rPr>
          <w:iCs/>
        </w:rPr>
        <w:t>.</w:t>
      </w:r>
      <w:r w:rsidR="00D47FDA">
        <w:rPr>
          <w:iCs/>
        </w:rPr>
        <w:t xml:space="preserve"> </w:t>
      </w:r>
    </w:p>
    <w:p w:rsidR="003B61C2" w:rsidRPr="00D51D60" w:rsidRDefault="003B61C2" w:rsidP="007108BC">
      <w:pPr>
        <w:pStyle w:val="Bulletpoints"/>
        <w:numPr>
          <w:ilvl w:val="0"/>
          <w:numId w:val="1"/>
        </w:numPr>
        <w:jc w:val="both"/>
      </w:pPr>
      <w:r w:rsidRPr="00D51D60">
        <w:t xml:space="preserve">The UK PHE Vaccination Program showed the most common AE were local reactions and fever. </w:t>
      </w:r>
      <w:r w:rsidR="00846128">
        <w:t>The</w:t>
      </w:r>
      <w:r w:rsidRPr="00D51D60">
        <w:t xml:space="preserve"> ATAGI </w:t>
      </w:r>
      <w:r w:rsidR="00846128">
        <w:t xml:space="preserve">considered </w:t>
      </w:r>
      <w:r w:rsidRPr="00D51D60">
        <w:t>that there is evidence of an acceptable safety profile, albeit with an increased risk of fever in infants, which can be mitigated with the prophylactic use of paracetamol in young children aged &lt;2 years (ATAGI pre submission advice, June 2019).</w:t>
      </w:r>
      <w:r w:rsidR="00624D24">
        <w:rPr>
          <w:sz w:val="22"/>
        </w:rPr>
        <w:t xml:space="preserve"> </w:t>
      </w:r>
      <w:r w:rsidR="0095370B" w:rsidRPr="00962B3B">
        <w:t xml:space="preserve">The ESC agreed with </w:t>
      </w:r>
      <w:r w:rsidR="00962B3B" w:rsidRPr="00962B3B">
        <w:t xml:space="preserve">the </w:t>
      </w:r>
      <w:r w:rsidR="0095370B" w:rsidRPr="00962B3B">
        <w:t>ATAGI that the safety profile of 4CMenB is acceptable</w:t>
      </w:r>
      <w:r w:rsidR="00846128">
        <w:t>.</w:t>
      </w:r>
      <w:r w:rsidR="0095370B" w:rsidRPr="00962B3B">
        <w:t xml:space="preserve"> </w:t>
      </w:r>
    </w:p>
    <w:p w:rsidR="003B61C2" w:rsidRPr="007108BC" w:rsidRDefault="003B61C2" w:rsidP="007108BC">
      <w:pPr>
        <w:pStyle w:val="Bulletpoints"/>
        <w:numPr>
          <w:ilvl w:val="0"/>
          <w:numId w:val="1"/>
        </w:numPr>
        <w:jc w:val="both"/>
      </w:pPr>
      <w:r w:rsidRPr="007108BC">
        <w:lastRenderedPageBreak/>
        <w:t>The resubmission described 4CMenB as superior in terms of effectiveness against gonorrhoea prevention compared with no vaccination in adolescents.</w:t>
      </w:r>
      <w:r w:rsidRPr="00D51D60">
        <w:t xml:space="preserve"> </w:t>
      </w:r>
      <w:r w:rsidR="002B48DC" w:rsidRPr="00962B3B">
        <w:t xml:space="preserve">The ESC agreed with </w:t>
      </w:r>
      <w:r w:rsidR="00962B3B" w:rsidRPr="00962B3B">
        <w:t xml:space="preserve">the </w:t>
      </w:r>
      <w:r w:rsidR="002B48DC" w:rsidRPr="00962B3B">
        <w:t xml:space="preserve">ATAGI that while there may be some </w:t>
      </w:r>
      <w:r w:rsidR="00096B02" w:rsidRPr="00962B3B">
        <w:t xml:space="preserve">emerging </w:t>
      </w:r>
      <w:r w:rsidR="002B48DC" w:rsidRPr="00962B3B">
        <w:t>evidence of a potential positive effect of 4CMenB in preventing gonorrhoea, there are limitations in applying it to the proposed use of 4CMenB in Australia (ATAGI pre-submission advice, June 2019).</w:t>
      </w:r>
      <w:r w:rsidR="00B959B0">
        <w:rPr>
          <w:i/>
        </w:rPr>
        <w:t xml:space="preserve"> </w:t>
      </w:r>
      <w:r w:rsidR="00B959B0">
        <w:t xml:space="preserve">The pre-PBAC asserted the supplementary benefit of cross-protection against gonorrhoea provided substantial public health benefits and even a small protective benefit could be significant in view of the increasing notification rate of gonorrhoea. </w:t>
      </w:r>
    </w:p>
    <w:p w:rsidR="003B61C2" w:rsidRPr="007108BC" w:rsidRDefault="003B61C2" w:rsidP="007108BC">
      <w:pPr>
        <w:pStyle w:val="Bulletpoints"/>
        <w:numPr>
          <w:ilvl w:val="0"/>
          <w:numId w:val="0"/>
        </w:numPr>
        <w:ind w:left="720"/>
      </w:pPr>
    </w:p>
    <w:p w:rsidR="00CA515C" w:rsidRDefault="00CA515C" w:rsidP="00CA515C">
      <w:pPr>
        <w:pStyle w:val="bulletnumberedstyle"/>
      </w:pPr>
      <w:r>
        <w:t>The PBAC considered that the claim of superior comparative effectiveness was reasonable</w:t>
      </w:r>
      <w:r w:rsidR="00725E70">
        <w:t>, though the magnitude and duration of benefit w</w:t>
      </w:r>
      <w:r w:rsidR="00C10D62">
        <w:t xml:space="preserve">ere </w:t>
      </w:r>
      <w:r w:rsidR="00725E70">
        <w:t xml:space="preserve">uncertain. </w:t>
      </w:r>
    </w:p>
    <w:p w:rsidR="00A15D89" w:rsidRDefault="00CA515C" w:rsidP="00CA515C">
      <w:pPr>
        <w:pStyle w:val="bulletnumberedstyle"/>
      </w:pPr>
      <w:r>
        <w:t xml:space="preserve">The PBAC </w:t>
      </w:r>
      <w:r w:rsidR="00C10D62">
        <w:t xml:space="preserve">did not accept </w:t>
      </w:r>
      <w:r>
        <w:t>the claim of</w:t>
      </w:r>
      <w:r w:rsidR="00C10D62">
        <w:t xml:space="preserve"> non-</w:t>
      </w:r>
      <w:r>
        <w:t>inferior</w:t>
      </w:r>
      <w:r w:rsidR="00C10D62">
        <w:t xml:space="preserve"> </w:t>
      </w:r>
      <w:r>
        <w:t>comparative safety</w:t>
      </w:r>
      <w:r w:rsidR="00C10D62">
        <w:t xml:space="preserve"> but considered the safety profile of 4CMenB was acceptable.</w:t>
      </w:r>
    </w:p>
    <w:p w:rsidR="00A15D89" w:rsidRPr="007108BC" w:rsidRDefault="00A15D89" w:rsidP="00A15D89">
      <w:pPr>
        <w:pStyle w:val="Heading2"/>
      </w:pPr>
      <w:r w:rsidRPr="007108BC">
        <w:t xml:space="preserve">Economic analysis </w:t>
      </w:r>
    </w:p>
    <w:p w:rsidR="003B61C2" w:rsidRPr="007108BC" w:rsidRDefault="003B61C2" w:rsidP="00EB423F">
      <w:pPr>
        <w:pStyle w:val="bulletnumberedstyle"/>
      </w:pPr>
      <w:r w:rsidRPr="007108BC">
        <w:t>The economic evaluation presented was a cost-utility analysis</w:t>
      </w:r>
      <w:r w:rsidRPr="007108BC" w:rsidDel="00BF4B19">
        <w:t xml:space="preserve"> </w:t>
      </w:r>
      <w:r w:rsidRPr="007108BC">
        <w:t>and this is unchanged from the previous resubmission. Although the methodological modelling approach is consistent with the previous submission, the structure is substantially different. The resubmission included two economic models identical in structure, one for the General population and one for the Aboriginal and Torres Strait Islander population (which is a subset of the general population)</w:t>
      </w:r>
      <w:r w:rsidR="009B4A4D">
        <w:t xml:space="preserve"> to account for the difference </w:t>
      </w:r>
      <w:r w:rsidR="00773956">
        <w:t xml:space="preserve">in </w:t>
      </w:r>
      <w:r w:rsidR="009B4A4D">
        <w:t>incidence of IMD</w:t>
      </w:r>
      <w:r w:rsidR="00037275">
        <w:t xml:space="preserve"> caused by Men B</w:t>
      </w:r>
      <w:r w:rsidRPr="007108BC">
        <w:t>.</w:t>
      </w:r>
      <w:r w:rsidR="0008639A">
        <w:t xml:space="preserve"> </w:t>
      </w:r>
    </w:p>
    <w:p w:rsidR="003B61C2" w:rsidRPr="007108BC" w:rsidRDefault="008554CA" w:rsidP="00D47FDA">
      <w:pPr>
        <w:keepNext/>
        <w:keepLines/>
        <w:jc w:val="both"/>
        <w:rPr>
          <w:rStyle w:val="CommentReference"/>
        </w:rPr>
      </w:pPr>
      <w:r>
        <w:rPr>
          <w:rStyle w:val="CommentReference"/>
        </w:rPr>
        <w:lastRenderedPageBreak/>
        <w:t>Table 9</w:t>
      </w:r>
      <w:r w:rsidR="003B61C2" w:rsidRPr="007108BC">
        <w:rPr>
          <w:rStyle w:val="CommentReference"/>
        </w:rPr>
        <w:t>: Summary of model structure and rationale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Table 9: Summary of model structure and rationale"/>
      </w:tblPr>
      <w:tblGrid>
        <w:gridCol w:w="2071"/>
        <w:gridCol w:w="3447"/>
        <w:gridCol w:w="3499"/>
      </w:tblGrid>
      <w:tr w:rsidR="003B61C2" w:rsidRPr="007108BC" w:rsidTr="00025E74">
        <w:trPr>
          <w:tblHeader/>
        </w:trPr>
        <w:tc>
          <w:tcPr>
            <w:tcW w:w="2071" w:type="dxa"/>
            <w:vAlign w:val="center"/>
          </w:tcPr>
          <w:p w:rsidR="003B61C2" w:rsidRPr="007108BC" w:rsidRDefault="003B61C2" w:rsidP="00D47FDA">
            <w:pPr>
              <w:pStyle w:val="Tabletext"/>
              <w:keepNext/>
              <w:keepLines/>
              <w:widowControl w:val="0"/>
              <w:rPr>
                <w:b/>
              </w:rPr>
            </w:pPr>
            <w:r w:rsidRPr="007108BC">
              <w:rPr>
                <w:b/>
              </w:rPr>
              <w:t>Component</w:t>
            </w:r>
          </w:p>
        </w:tc>
        <w:tc>
          <w:tcPr>
            <w:tcW w:w="3447" w:type="dxa"/>
            <w:shd w:val="clear" w:color="auto" w:fill="auto"/>
            <w:vAlign w:val="center"/>
          </w:tcPr>
          <w:p w:rsidR="003B61C2" w:rsidRPr="007108BC" w:rsidRDefault="003B61C2" w:rsidP="00D47FDA">
            <w:pPr>
              <w:pStyle w:val="Tabletext"/>
              <w:keepNext/>
              <w:keepLines/>
              <w:widowControl w:val="0"/>
              <w:rPr>
                <w:b/>
              </w:rPr>
            </w:pPr>
            <w:r w:rsidRPr="007108BC">
              <w:rPr>
                <w:b/>
              </w:rPr>
              <w:t>Approach in July 2014 resubmission</w:t>
            </w:r>
          </w:p>
        </w:tc>
        <w:tc>
          <w:tcPr>
            <w:tcW w:w="3499" w:type="dxa"/>
            <w:shd w:val="clear" w:color="auto" w:fill="auto"/>
          </w:tcPr>
          <w:p w:rsidR="003B61C2" w:rsidRPr="007108BC" w:rsidRDefault="003B61C2" w:rsidP="00D47FDA">
            <w:pPr>
              <w:pStyle w:val="Tabletext"/>
              <w:keepNext/>
              <w:keepLines/>
              <w:widowControl w:val="0"/>
              <w:jc w:val="center"/>
              <w:rPr>
                <w:b/>
              </w:rPr>
            </w:pPr>
            <w:r w:rsidRPr="007108BC">
              <w:rPr>
                <w:b/>
              </w:rPr>
              <w:t>Approach in resubmission</w:t>
            </w:r>
          </w:p>
        </w:tc>
      </w:tr>
      <w:tr w:rsidR="003B61C2" w:rsidRPr="00D51D60" w:rsidTr="00025E74">
        <w:tc>
          <w:tcPr>
            <w:tcW w:w="2071" w:type="dxa"/>
            <w:vAlign w:val="center"/>
          </w:tcPr>
          <w:p w:rsidR="003B61C2" w:rsidRPr="00D51D60" w:rsidRDefault="003B61C2" w:rsidP="00D47FDA">
            <w:pPr>
              <w:pStyle w:val="Tabletext"/>
              <w:keepNext/>
              <w:keepLines/>
            </w:pPr>
            <w:r w:rsidRPr="00D51D60">
              <w:t>Type of analysis</w:t>
            </w:r>
          </w:p>
        </w:tc>
        <w:tc>
          <w:tcPr>
            <w:tcW w:w="3447" w:type="dxa"/>
            <w:shd w:val="clear" w:color="auto" w:fill="auto"/>
            <w:vAlign w:val="center"/>
          </w:tcPr>
          <w:p w:rsidR="003B61C2" w:rsidRPr="00D51D60" w:rsidRDefault="003B61C2" w:rsidP="00D47FDA">
            <w:pPr>
              <w:pStyle w:val="Tabletext"/>
              <w:keepNext/>
              <w:keepLines/>
            </w:pPr>
            <w:r w:rsidRPr="00D51D60">
              <w:t>Cost-utility analysis</w:t>
            </w:r>
          </w:p>
        </w:tc>
        <w:tc>
          <w:tcPr>
            <w:tcW w:w="3499" w:type="dxa"/>
            <w:shd w:val="clear" w:color="auto" w:fill="auto"/>
          </w:tcPr>
          <w:p w:rsidR="003B61C2" w:rsidRPr="00D51D60" w:rsidRDefault="003B61C2" w:rsidP="00D47FDA">
            <w:pPr>
              <w:pStyle w:val="Tabletext"/>
              <w:keepNext/>
              <w:keepLines/>
            </w:pPr>
            <w:r w:rsidRPr="00D51D60">
              <w:t xml:space="preserve">Unchanged. </w:t>
            </w:r>
          </w:p>
        </w:tc>
      </w:tr>
      <w:tr w:rsidR="003B61C2" w:rsidRPr="00D51D60" w:rsidTr="00025E74">
        <w:tc>
          <w:tcPr>
            <w:tcW w:w="2071" w:type="dxa"/>
            <w:vAlign w:val="center"/>
          </w:tcPr>
          <w:p w:rsidR="003B61C2" w:rsidRPr="00D51D60" w:rsidRDefault="003B61C2" w:rsidP="00D47FDA">
            <w:pPr>
              <w:pStyle w:val="Tabletext"/>
              <w:keepNext/>
              <w:keepLines/>
            </w:pPr>
            <w:r w:rsidRPr="00D51D60">
              <w:t>Outcomes</w:t>
            </w:r>
          </w:p>
        </w:tc>
        <w:tc>
          <w:tcPr>
            <w:tcW w:w="3447" w:type="dxa"/>
            <w:shd w:val="clear" w:color="auto" w:fill="auto"/>
            <w:vAlign w:val="center"/>
          </w:tcPr>
          <w:p w:rsidR="003B61C2" w:rsidRPr="00D51D60" w:rsidRDefault="003B61C2" w:rsidP="00D47FDA">
            <w:pPr>
              <w:pStyle w:val="Tabletext"/>
              <w:keepNext/>
              <w:keepLines/>
            </w:pPr>
            <w:r w:rsidRPr="00D51D60">
              <w:t>IMD infections, and IMD-related deaths and sequelae avoided, quality-adjusted life years</w:t>
            </w:r>
          </w:p>
        </w:tc>
        <w:tc>
          <w:tcPr>
            <w:tcW w:w="3499" w:type="dxa"/>
            <w:shd w:val="clear" w:color="auto" w:fill="auto"/>
          </w:tcPr>
          <w:p w:rsidR="003B61C2" w:rsidRPr="00D51D60" w:rsidRDefault="003B61C2" w:rsidP="00D47FDA">
            <w:pPr>
              <w:pStyle w:val="Tabletext"/>
              <w:keepNext/>
              <w:keepLines/>
            </w:pPr>
            <w:r w:rsidRPr="00D51D60">
              <w:t xml:space="preserve">Unchanged. </w:t>
            </w:r>
          </w:p>
        </w:tc>
      </w:tr>
      <w:tr w:rsidR="003B61C2" w:rsidRPr="00D51D60" w:rsidTr="00025E74">
        <w:tc>
          <w:tcPr>
            <w:tcW w:w="2071" w:type="dxa"/>
            <w:vAlign w:val="center"/>
          </w:tcPr>
          <w:p w:rsidR="003B61C2" w:rsidRPr="00D51D60" w:rsidRDefault="003B61C2" w:rsidP="00D47FDA">
            <w:pPr>
              <w:pStyle w:val="Tabletext"/>
              <w:keepNext/>
              <w:keepLines/>
            </w:pPr>
            <w:r w:rsidRPr="00D51D60">
              <w:t>Time horizon</w:t>
            </w:r>
          </w:p>
        </w:tc>
        <w:tc>
          <w:tcPr>
            <w:tcW w:w="3447" w:type="dxa"/>
            <w:shd w:val="clear" w:color="auto" w:fill="auto"/>
            <w:vAlign w:val="center"/>
          </w:tcPr>
          <w:p w:rsidR="003B61C2" w:rsidRPr="00D51D60" w:rsidRDefault="003B61C2" w:rsidP="00D47FDA">
            <w:pPr>
              <w:pStyle w:val="Tabletext"/>
              <w:keepNext/>
              <w:keepLines/>
            </w:pPr>
            <w:r w:rsidRPr="00D51D60">
              <w:t>Life-time horizon (100 years)</w:t>
            </w:r>
          </w:p>
        </w:tc>
        <w:tc>
          <w:tcPr>
            <w:tcW w:w="3499" w:type="dxa"/>
            <w:shd w:val="clear" w:color="auto" w:fill="auto"/>
          </w:tcPr>
          <w:p w:rsidR="003B61C2" w:rsidRPr="00D51D60" w:rsidRDefault="003B61C2" w:rsidP="00D47FDA">
            <w:pPr>
              <w:pStyle w:val="Tabletext"/>
              <w:keepNext/>
              <w:keepLines/>
            </w:pPr>
            <w:r w:rsidRPr="00D51D60">
              <w:t xml:space="preserve">Unchanged. </w:t>
            </w:r>
          </w:p>
        </w:tc>
      </w:tr>
      <w:tr w:rsidR="003B61C2" w:rsidRPr="007108BC" w:rsidTr="00025E74">
        <w:tc>
          <w:tcPr>
            <w:tcW w:w="2071" w:type="dxa"/>
            <w:vAlign w:val="center"/>
          </w:tcPr>
          <w:p w:rsidR="003B61C2" w:rsidRPr="007108BC" w:rsidRDefault="003B61C2" w:rsidP="00D47FDA">
            <w:pPr>
              <w:pStyle w:val="Tabletext"/>
              <w:keepNext/>
              <w:keepLines/>
            </w:pPr>
            <w:r w:rsidRPr="007108BC">
              <w:t>Perspective</w:t>
            </w:r>
          </w:p>
        </w:tc>
        <w:tc>
          <w:tcPr>
            <w:tcW w:w="3447" w:type="dxa"/>
            <w:shd w:val="clear" w:color="auto" w:fill="auto"/>
            <w:vAlign w:val="center"/>
          </w:tcPr>
          <w:p w:rsidR="003B61C2" w:rsidRPr="007108BC" w:rsidRDefault="003B61C2" w:rsidP="00D47FDA">
            <w:pPr>
              <w:pStyle w:val="Tabletext"/>
              <w:keepNext/>
              <w:keepLines/>
            </w:pPr>
            <w:r w:rsidRPr="007108BC">
              <w:t xml:space="preserve">Modified societal/health system perspective with indirect costs and benefit beyond the patient. </w:t>
            </w:r>
          </w:p>
        </w:tc>
        <w:tc>
          <w:tcPr>
            <w:tcW w:w="3499" w:type="dxa"/>
            <w:shd w:val="clear" w:color="auto" w:fill="auto"/>
          </w:tcPr>
          <w:p w:rsidR="003B61C2" w:rsidRPr="007108BC" w:rsidRDefault="003B61C2" w:rsidP="00D47FDA">
            <w:pPr>
              <w:pStyle w:val="Tabletext"/>
              <w:keepNext/>
              <w:keepLines/>
            </w:pPr>
            <w:r w:rsidRPr="00D51D60">
              <w:t>Broader societal perspective compared to previous resubmission.</w:t>
            </w:r>
            <w:r w:rsidR="00624D24">
              <w:t xml:space="preserve"> </w:t>
            </w:r>
          </w:p>
        </w:tc>
      </w:tr>
      <w:tr w:rsidR="003B61C2" w:rsidRPr="007108BC" w:rsidTr="00025E74">
        <w:tc>
          <w:tcPr>
            <w:tcW w:w="2071" w:type="dxa"/>
            <w:vAlign w:val="center"/>
          </w:tcPr>
          <w:p w:rsidR="003B61C2" w:rsidRPr="007108BC" w:rsidRDefault="003B61C2" w:rsidP="00D47FDA">
            <w:pPr>
              <w:pStyle w:val="Tabletext"/>
              <w:keepNext/>
              <w:keepLines/>
            </w:pPr>
            <w:r w:rsidRPr="007108BC">
              <w:t>Discounting</w:t>
            </w:r>
          </w:p>
        </w:tc>
        <w:tc>
          <w:tcPr>
            <w:tcW w:w="3447" w:type="dxa"/>
            <w:shd w:val="clear" w:color="auto" w:fill="auto"/>
            <w:vAlign w:val="center"/>
          </w:tcPr>
          <w:p w:rsidR="003B61C2" w:rsidRPr="007108BC" w:rsidRDefault="003B61C2" w:rsidP="00D47FDA">
            <w:pPr>
              <w:pStyle w:val="Tabletext"/>
              <w:keepNext/>
              <w:keepLines/>
            </w:pPr>
            <w:r w:rsidRPr="007108BC">
              <w:t>5% in years 1-30, stepped to 1.5% in years 31-100.</w:t>
            </w:r>
          </w:p>
        </w:tc>
        <w:tc>
          <w:tcPr>
            <w:tcW w:w="3499" w:type="dxa"/>
            <w:shd w:val="clear" w:color="auto" w:fill="auto"/>
          </w:tcPr>
          <w:p w:rsidR="003B61C2" w:rsidRPr="007108BC" w:rsidRDefault="003B61C2" w:rsidP="00D47FDA">
            <w:pPr>
              <w:pStyle w:val="Tabletext"/>
              <w:keepNext/>
              <w:keepLines/>
              <w:rPr>
                <w:i/>
              </w:rPr>
            </w:pPr>
            <w:r w:rsidRPr="007108BC">
              <w:t xml:space="preserve">3.5%. </w:t>
            </w:r>
            <w:r w:rsidRPr="00D51D60">
              <w:t>This is not consistent with PBAC guidelines.</w:t>
            </w:r>
            <w:r w:rsidR="00624D24">
              <w:t xml:space="preserve"> </w:t>
            </w:r>
          </w:p>
        </w:tc>
      </w:tr>
      <w:tr w:rsidR="003B61C2" w:rsidRPr="00D51D60" w:rsidTr="00025E74">
        <w:tc>
          <w:tcPr>
            <w:tcW w:w="2071" w:type="dxa"/>
            <w:vAlign w:val="center"/>
          </w:tcPr>
          <w:p w:rsidR="003B61C2" w:rsidRPr="00D51D60" w:rsidRDefault="003B61C2" w:rsidP="00D47FDA">
            <w:pPr>
              <w:pStyle w:val="Tabletext"/>
              <w:keepNext/>
              <w:keepLines/>
            </w:pPr>
            <w:r w:rsidRPr="00D51D60">
              <w:t>Epidemiology</w:t>
            </w:r>
          </w:p>
        </w:tc>
        <w:tc>
          <w:tcPr>
            <w:tcW w:w="3447" w:type="dxa"/>
            <w:shd w:val="clear" w:color="auto" w:fill="auto"/>
            <w:vAlign w:val="center"/>
          </w:tcPr>
          <w:p w:rsidR="003B61C2" w:rsidRPr="00D51D60" w:rsidRDefault="003B61C2" w:rsidP="00D47FDA">
            <w:pPr>
              <w:pStyle w:val="Tabletext"/>
              <w:keepNext/>
              <w:keepLines/>
            </w:pPr>
            <w:r w:rsidRPr="00D51D60">
              <w:t xml:space="preserve">Average cases of meningococcal B from 2000-2011 from the NNDSS, confirmed cases plus imputation rule of probable, and not-determined. </w:t>
            </w:r>
          </w:p>
        </w:tc>
        <w:tc>
          <w:tcPr>
            <w:tcW w:w="3499" w:type="dxa"/>
            <w:shd w:val="clear" w:color="auto" w:fill="auto"/>
          </w:tcPr>
          <w:p w:rsidR="003B61C2" w:rsidRPr="00D51D60" w:rsidRDefault="003B61C2" w:rsidP="00D47FDA">
            <w:pPr>
              <w:pStyle w:val="Tabletext"/>
              <w:keepNext/>
              <w:keepLines/>
            </w:pPr>
            <w:r w:rsidRPr="00D51D60">
              <w:t xml:space="preserve">Average cases of Men B from 2001-2017 from the NNDSS plus 68.5% of the pool IMD cases classified as ‘Others’. </w:t>
            </w:r>
          </w:p>
        </w:tc>
      </w:tr>
      <w:tr w:rsidR="003B61C2" w:rsidRPr="00D51D60" w:rsidTr="00025E74">
        <w:tc>
          <w:tcPr>
            <w:tcW w:w="2071" w:type="dxa"/>
            <w:vAlign w:val="center"/>
          </w:tcPr>
          <w:p w:rsidR="003B61C2" w:rsidRPr="00D51D60" w:rsidRDefault="003B61C2" w:rsidP="00D47FDA">
            <w:pPr>
              <w:pStyle w:val="Tabletext"/>
              <w:keepNext/>
              <w:keepLines/>
            </w:pPr>
            <w:r w:rsidRPr="00D51D60">
              <w:t>Methods used to generate results</w:t>
            </w:r>
          </w:p>
        </w:tc>
        <w:tc>
          <w:tcPr>
            <w:tcW w:w="3447" w:type="dxa"/>
            <w:shd w:val="clear" w:color="auto" w:fill="auto"/>
            <w:vAlign w:val="center"/>
          </w:tcPr>
          <w:p w:rsidR="003B61C2" w:rsidRPr="00D51D60" w:rsidRDefault="003B61C2" w:rsidP="00D47FDA">
            <w:pPr>
              <w:pStyle w:val="Tabletext"/>
              <w:keepNext/>
              <w:keepLines/>
            </w:pPr>
            <w:r w:rsidRPr="00D51D60">
              <w:t xml:space="preserve">Step 1: DTM </w:t>
            </w:r>
          </w:p>
          <w:p w:rsidR="003B61C2" w:rsidRPr="00D51D60" w:rsidRDefault="003B61C2" w:rsidP="00D47FDA">
            <w:pPr>
              <w:pStyle w:val="Tabletext"/>
              <w:keepNext/>
              <w:keepLines/>
            </w:pPr>
            <w:r w:rsidRPr="00D51D60">
              <w:t>Step 2: Decision tree model to account for the number of deaths and cases of IMD survivors with sequelae.</w:t>
            </w:r>
          </w:p>
        </w:tc>
        <w:tc>
          <w:tcPr>
            <w:tcW w:w="3499" w:type="dxa"/>
            <w:shd w:val="clear" w:color="auto" w:fill="auto"/>
          </w:tcPr>
          <w:p w:rsidR="003B61C2" w:rsidRPr="00D51D60" w:rsidRDefault="003B61C2" w:rsidP="00D47FDA">
            <w:pPr>
              <w:pStyle w:val="Tabletext"/>
              <w:keepNext/>
              <w:keepLines/>
            </w:pPr>
            <w:r w:rsidRPr="00D51D60">
              <w:t xml:space="preserve">Unchanged however 16 sequelae were included (12 physical/neurological and 4 psychological/behavioural). </w:t>
            </w:r>
          </w:p>
        </w:tc>
      </w:tr>
      <w:tr w:rsidR="003B61C2" w:rsidRPr="007108BC" w:rsidTr="00025E74">
        <w:tc>
          <w:tcPr>
            <w:tcW w:w="2071" w:type="dxa"/>
            <w:vAlign w:val="center"/>
          </w:tcPr>
          <w:p w:rsidR="003B61C2" w:rsidRPr="007108BC" w:rsidRDefault="003B61C2" w:rsidP="00D47FDA">
            <w:pPr>
              <w:pStyle w:val="Tabletext"/>
              <w:keepNext/>
              <w:keepLines/>
            </w:pPr>
            <w:r w:rsidRPr="007108BC">
              <w:t>Costs (direct)</w:t>
            </w:r>
          </w:p>
        </w:tc>
        <w:tc>
          <w:tcPr>
            <w:tcW w:w="3447" w:type="dxa"/>
            <w:shd w:val="clear" w:color="auto" w:fill="auto"/>
            <w:vAlign w:val="center"/>
          </w:tcPr>
          <w:p w:rsidR="003B61C2" w:rsidRPr="007108BC" w:rsidRDefault="003B61C2" w:rsidP="00D47FDA">
            <w:pPr>
              <w:pStyle w:val="Tabletext"/>
              <w:keepNext/>
              <w:keepLines/>
            </w:pPr>
            <w:r w:rsidRPr="007108BC">
              <w:t xml:space="preserve">Administration costs, treatment of 8 sequelae and adverse events. </w:t>
            </w:r>
          </w:p>
        </w:tc>
        <w:tc>
          <w:tcPr>
            <w:tcW w:w="3499" w:type="dxa"/>
            <w:shd w:val="clear" w:color="auto" w:fill="auto"/>
          </w:tcPr>
          <w:p w:rsidR="003B61C2" w:rsidRPr="007108BC" w:rsidRDefault="003B61C2" w:rsidP="00D47FDA">
            <w:pPr>
              <w:pStyle w:val="Tabletext"/>
              <w:keepNext/>
              <w:keepLines/>
              <w:rPr>
                <w:i/>
              </w:rPr>
            </w:pPr>
            <w:r w:rsidRPr="00D51D60">
              <w:t xml:space="preserve">No administration costs for 4CMenB. </w:t>
            </w:r>
            <w:r w:rsidRPr="007108BC">
              <w:t>Additional costs to account for the additional 8 sequelae.</w:t>
            </w:r>
          </w:p>
        </w:tc>
      </w:tr>
      <w:tr w:rsidR="003B61C2" w:rsidRPr="007108BC" w:rsidTr="00025E74">
        <w:tc>
          <w:tcPr>
            <w:tcW w:w="2071" w:type="dxa"/>
            <w:vAlign w:val="center"/>
          </w:tcPr>
          <w:p w:rsidR="003B61C2" w:rsidRPr="007108BC" w:rsidRDefault="003B61C2" w:rsidP="00D47FDA">
            <w:pPr>
              <w:pStyle w:val="Tabletext"/>
              <w:keepNext/>
              <w:keepLines/>
            </w:pPr>
            <w:r w:rsidRPr="007108BC">
              <w:t>Costs (indirect)</w:t>
            </w:r>
          </w:p>
        </w:tc>
        <w:tc>
          <w:tcPr>
            <w:tcW w:w="3447" w:type="dxa"/>
            <w:shd w:val="clear" w:color="auto" w:fill="auto"/>
            <w:vAlign w:val="center"/>
          </w:tcPr>
          <w:p w:rsidR="003B61C2" w:rsidRPr="007108BC" w:rsidRDefault="003B61C2" w:rsidP="00D47FDA">
            <w:pPr>
              <w:pStyle w:val="Tabletext"/>
              <w:keepNext/>
              <w:keepLines/>
            </w:pPr>
            <w:r w:rsidRPr="007108BC">
              <w:t xml:space="preserve">Productivity costs due to IMD as a scenario analysis. </w:t>
            </w:r>
          </w:p>
          <w:p w:rsidR="003B61C2" w:rsidRPr="007108BC" w:rsidRDefault="003B61C2" w:rsidP="00D47FDA">
            <w:pPr>
              <w:pStyle w:val="Tabletext"/>
              <w:keepNext/>
              <w:keepLines/>
            </w:pPr>
            <w:r w:rsidRPr="007108BC">
              <w:t>Indirect medical costs of special education associated with sequelae and public health response in the base case.</w:t>
            </w:r>
          </w:p>
        </w:tc>
        <w:tc>
          <w:tcPr>
            <w:tcW w:w="3499" w:type="dxa"/>
            <w:shd w:val="clear" w:color="auto" w:fill="auto"/>
          </w:tcPr>
          <w:p w:rsidR="003B61C2" w:rsidRPr="007108BC" w:rsidRDefault="003B61C2" w:rsidP="00D47FDA">
            <w:pPr>
              <w:pStyle w:val="Tabletext"/>
              <w:keepNext/>
              <w:keepLines/>
            </w:pPr>
            <w:r w:rsidRPr="00D51D60">
              <w:rPr>
                <w:iCs/>
              </w:rPr>
              <w:t>Unchanged</w:t>
            </w:r>
            <w:r w:rsidRPr="007108BC">
              <w:t xml:space="preserve"> except that productivity costs due to IMD were included in the base case. </w:t>
            </w:r>
          </w:p>
        </w:tc>
      </w:tr>
      <w:tr w:rsidR="003B61C2" w:rsidRPr="007108BC" w:rsidTr="00025E74">
        <w:tc>
          <w:tcPr>
            <w:tcW w:w="2071" w:type="dxa"/>
            <w:vAlign w:val="center"/>
          </w:tcPr>
          <w:p w:rsidR="003B61C2" w:rsidRPr="007108BC" w:rsidRDefault="003B61C2" w:rsidP="00D47FDA">
            <w:pPr>
              <w:pStyle w:val="Tabletext"/>
              <w:keepNext/>
              <w:keepLines/>
            </w:pPr>
            <w:r w:rsidRPr="007108BC">
              <w:t>Health states</w:t>
            </w:r>
          </w:p>
        </w:tc>
        <w:tc>
          <w:tcPr>
            <w:tcW w:w="3447" w:type="dxa"/>
            <w:shd w:val="clear" w:color="auto" w:fill="auto"/>
            <w:vAlign w:val="center"/>
          </w:tcPr>
          <w:p w:rsidR="003B61C2" w:rsidRPr="007108BC" w:rsidRDefault="003B61C2" w:rsidP="00D47FDA">
            <w:pPr>
              <w:pStyle w:val="Tabletext"/>
              <w:keepNext/>
              <w:keepLines/>
            </w:pPr>
            <w:r w:rsidRPr="007108BC">
              <w:t>DTM: nine mutually-exclusive states. All vaccine-preventable strains were grouped together hence all transmission and infection parameters were assumed to represent an average across all vaccine-preventable strains.” (</w:t>
            </w:r>
            <w:r w:rsidR="00841191" w:rsidRPr="007108BC">
              <w:t>paragraph 10</w:t>
            </w:r>
            <w:r w:rsidR="00841191">
              <w:t>, 4CMenB PSD, July 2014 PBAC meeting</w:t>
            </w:r>
            <w:r w:rsidRPr="007108BC">
              <w:t xml:space="preserve">). </w:t>
            </w:r>
          </w:p>
        </w:tc>
        <w:tc>
          <w:tcPr>
            <w:tcW w:w="3499" w:type="dxa"/>
            <w:shd w:val="clear" w:color="auto" w:fill="auto"/>
          </w:tcPr>
          <w:p w:rsidR="003B61C2" w:rsidRPr="007108BC" w:rsidRDefault="003B61C2" w:rsidP="00D47FDA">
            <w:pPr>
              <w:pStyle w:val="Tabletext"/>
              <w:keepNext/>
              <w:keepLines/>
              <w:rPr>
                <w:i/>
              </w:rPr>
            </w:pPr>
            <w:r w:rsidRPr="007108BC">
              <w:t xml:space="preserve">DTM: eight mutually-exclusive compartments were defined in terms of susceptible, carriage of Men B, Men ACWY or ‘Other’ serogroups, and vaccination status; further stratified by age and time of vaccination given (vaccinated as infant vs toddler). </w:t>
            </w:r>
          </w:p>
        </w:tc>
      </w:tr>
      <w:tr w:rsidR="003B61C2" w:rsidRPr="00D51D60" w:rsidTr="00025E74">
        <w:tc>
          <w:tcPr>
            <w:tcW w:w="2071" w:type="dxa"/>
            <w:vAlign w:val="center"/>
          </w:tcPr>
          <w:p w:rsidR="003B61C2" w:rsidRPr="00D51D60" w:rsidRDefault="003B61C2" w:rsidP="00D47FDA">
            <w:pPr>
              <w:pStyle w:val="Tabletext"/>
              <w:keepNext/>
              <w:keepLines/>
            </w:pPr>
            <w:r w:rsidRPr="00D51D60">
              <w:t>Cycle length</w:t>
            </w:r>
          </w:p>
        </w:tc>
        <w:tc>
          <w:tcPr>
            <w:tcW w:w="3447" w:type="dxa"/>
            <w:shd w:val="clear" w:color="auto" w:fill="auto"/>
            <w:vAlign w:val="center"/>
          </w:tcPr>
          <w:p w:rsidR="003B61C2" w:rsidRPr="00D51D60" w:rsidRDefault="003B61C2" w:rsidP="00D47FDA">
            <w:pPr>
              <w:pStyle w:val="Tabletext"/>
              <w:keepNext/>
              <w:keepLines/>
            </w:pPr>
            <w:r w:rsidRPr="00D51D60">
              <w:t>Monthly</w:t>
            </w:r>
          </w:p>
        </w:tc>
        <w:tc>
          <w:tcPr>
            <w:tcW w:w="3499" w:type="dxa"/>
            <w:shd w:val="clear" w:color="auto" w:fill="auto"/>
          </w:tcPr>
          <w:p w:rsidR="003B61C2" w:rsidRPr="00D51D60" w:rsidRDefault="003B61C2" w:rsidP="00D47FDA">
            <w:pPr>
              <w:pStyle w:val="Tabletext"/>
              <w:keepNext/>
              <w:keepLines/>
            </w:pPr>
            <w:r w:rsidRPr="00D51D60">
              <w:t xml:space="preserve">Unchanged. </w:t>
            </w:r>
          </w:p>
        </w:tc>
      </w:tr>
      <w:tr w:rsidR="003B61C2" w:rsidRPr="007108BC" w:rsidTr="00025E74">
        <w:tc>
          <w:tcPr>
            <w:tcW w:w="2071" w:type="dxa"/>
            <w:vAlign w:val="center"/>
          </w:tcPr>
          <w:p w:rsidR="003B61C2" w:rsidRPr="007108BC" w:rsidRDefault="003B61C2" w:rsidP="00D47FDA">
            <w:pPr>
              <w:pStyle w:val="Tabletext"/>
              <w:keepNext/>
              <w:keepLines/>
            </w:pPr>
            <w:r w:rsidRPr="007108BC">
              <w:t>Software package</w:t>
            </w:r>
          </w:p>
        </w:tc>
        <w:tc>
          <w:tcPr>
            <w:tcW w:w="3447" w:type="dxa"/>
            <w:shd w:val="clear" w:color="auto" w:fill="auto"/>
            <w:vAlign w:val="center"/>
          </w:tcPr>
          <w:p w:rsidR="003B61C2" w:rsidRPr="007108BC" w:rsidRDefault="003B61C2" w:rsidP="00D47FDA">
            <w:pPr>
              <w:pStyle w:val="Tabletext"/>
              <w:keepNext/>
              <w:keepLines/>
            </w:pPr>
            <w:r w:rsidRPr="007108BC">
              <w:t>Excel 2010 with Visual Basic</w:t>
            </w:r>
          </w:p>
        </w:tc>
        <w:tc>
          <w:tcPr>
            <w:tcW w:w="3499" w:type="dxa"/>
            <w:shd w:val="clear" w:color="auto" w:fill="auto"/>
          </w:tcPr>
          <w:p w:rsidR="003B61C2" w:rsidRPr="007108BC" w:rsidRDefault="003B61C2" w:rsidP="00D47FDA">
            <w:pPr>
              <w:pStyle w:val="Tabletext"/>
              <w:keepNext/>
              <w:keepLines/>
            </w:pPr>
            <w:r w:rsidRPr="007108BC">
              <w:t>R with Excel interface</w:t>
            </w:r>
          </w:p>
        </w:tc>
      </w:tr>
      <w:tr w:rsidR="003B61C2" w:rsidRPr="007108BC" w:rsidTr="00025E74">
        <w:tc>
          <w:tcPr>
            <w:tcW w:w="2071" w:type="dxa"/>
            <w:vAlign w:val="center"/>
          </w:tcPr>
          <w:p w:rsidR="003B61C2" w:rsidRPr="007108BC" w:rsidRDefault="003B61C2" w:rsidP="00D47FDA">
            <w:pPr>
              <w:pStyle w:val="Tabletext"/>
              <w:keepNext/>
              <w:keepLines/>
            </w:pPr>
            <w:r w:rsidRPr="007108BC">
              <w:t>Effectiveness against Men B IMD</w:t>
            </w:r>
          </w:p>
        </w:tc>
        <w:tc>
          <w:tcPr>
            <w:tcW w:w="3447" w:type="dxa"/>
            <w:shd w:val="clear" w:color="auto" w:fill="auto"/>
            <w:vAlign w:val="center"/>
          </w:tcPr>
          <w:p w:rsidR="003B61C2" w:rsidRPr="007108BC" w:rsidRDefault="003B61C2" w:rsidP="00D47FDA">
            <w:pPr>
              <w:pStyle w:val="Tabletext"/>
              <w:keepNext/>
              <w:keepLines/>
            </w:pPr>
            <w:r w:rsidRPr="007108BC">
              <w:t>Based on the V72P6 immunogenicity study the VE for 3 + 1 dose in infants was 98%</w:t>
            </w:r>
          </w:p>
        </w:tc>
        <w:tc>
          <w:tcPr>
            <w:tcW w:w="3499" w:type="dxa"/>
            <w:shd w:val="clear" w:color="auto" w:fill="auto"/>
            <w:vAlign w:val="center"/>
          </w:tcPr>
          <w:p w:rsidR="003B61C2" w:rsidRPr="007108BC" w:rsidRDefault="003B61C2" w:rsidP="00D47FDA">
            <w:pPr>
              <w:pStyle w:val="Tabletext"/>
              <w:keepNext/>
              <w:keepLines/>
            </w:pPr>
            <w:r w:rsidRPr="00D51D60">
              <w:t xml:space="preserve">Adjusted VE data from UK PHE study. </w:t>
            </w:r>
          </w:p>
        </w:tc>
      </w:tr>
      <w:tr w:rsidR="003B61C2" w:rsidRPr="007108BC" w:rsidTr="00025E74">
        <w:tc>
          <w:tcPr>
            <w:tcW w:w="2071" w:type="dxa"/>
            <w:vAlign w:val="center"/>
          </w:tcPr>
          <w:p w:rsidR="003B61C2" w:rsidRPr="007108BC" w:rsidRDefault="003B61C2" w:rsidP="00D47FDA">
            <w:pPr>
              <w:pStyle w:val="Tabletext"/>
              <w:keepNext/>
              <w:keepLines/>
            </w:pPr>
            <w:r w:rsidRPr="007108BC">
              <w:t>Persistence</w:t>
            </w:r>
          </w:p>
        </w:tc>
        <w:tc>
          <w:tcPr>
            <w:tcW w:w="3447" w:type="dxa"/>
            <w:shd w:val="clear" w:color="auto" w:fill="auto"/>
            <w:vAlign w:val="center"/>
          </w:tcPr>
          <w:p w:rsidR="003B61C2" w:rsidRPr="007108BC" w:rsidRDefault="003B61C2" w:rsidP="00D47FDA">
            <w:pPr>
              <w:pStyle w:val="Tabletext"/>
              <w:keepNext/>
              <w:keepLines/>
              <w:rPr>
                <w:i/>
              </w:rPr>
            </w:pPr>
            <w:r w:rsidRPr="007108BC">
              <w:t>Average waning for all antigens.</w:t>
            </w:r>
            <w:r w:rsidRPr="00D51D60">
              <w:t xml:space="preserve"> </w:t>
            </w:r>
          </w:p>
        </w:tc>
        <w:tc>
          <w:tcPr>
            <w:tcW w:w="3499" w:type="dxa"/>
            <w:shd w:val="clear" w:color="auto" w:fill="auto"/>
            <w:vAlign w:val="center"/>
          </w:tcPr>
          <w:p w:rsidR="003B61C2" w:rsidRPr="007108BC" w:rsidRDefault="003B61C2" w:rsidP="00D47FDA">
            <w:pPr>
              <w:pStyle w:val="Tabletext"/>
              <w:keepNext/>
              <w:keepLines/>
              <w:rPr>
                <w:i/>
              </w:rPr>
            </w:pPr>
            <w:r w:rsidRPr="00D51D60">
              <w:t xml:space="preserve">Waning relied on fHbp (ignoring NHBA, NadA and PorA) </w:t>
            </w:r>
            <w:r w:rsidR="00012AF8" w:rsidRPr="00962B3B">
              <w:t>which was appropriate</w:t>
            </w:r>
            <w:r w:rsidR="00012AF8" w:rsidRPr="00012AF8">
              <w:rPr>
                <w:i/>
              </w:rPr>
              <w:t xml:space="preserve"> </w:t>
            </w:r>
            <w:r w:rsidR="00012AF8">
              <w:t>and tested in sensitivity analyses</w:t>
            </w:r>
            <w:r w:rsidRPr="00D51D60">
              <w:t xml:space="preserve">. </w:t>
            </w:r>
          </w:p>
        </w:tc>
      </w:tr>
      <w:tr w:rsidR="003B61C2" w:rsidRPr="007108BC" w:rsidTr="00025E74">
        <w:tc>
          <w:tcPr>
            <w:tcW w:w="2071" w:type="dxa"/>
            <w:vAlign w:val="center"/>
          </w:tcPr>
          <w:p w:rsidR="003B61C2" w:rsidRPr="007108BC" w:rsidRDefault="003B61C2" w:rsidP="00D47FDA">
            <w:pPr>
              <w:pStyle w:val="Tabletext"/>
              <w:keepNext/>
              <w:keepLines/>
            </w:pPr>
            <w:r w:rsidRPr="007108BC">
              <w:t>Herd effect</w:t>
            </w:r>
          </w:p>
        </w:tc>
        <w:tc>
          <w:tcPr>
            <w:tcW w:w="3447" w:type="dxa"/>
            <w:shd w:val="clear" w:color="auto" w:fill="auto"/>
            <w:vAlign w:val="center"/>
          </w:tcPr>
          <w:p w:rsidR="003B61C2" w:rsidRPr="007108BC" w:rsidRDefault="003B61C2" w:rsidP="00D47FDA">
            <w:pPr>
              <w:pStyle w:val="Tabletext"/>
              <w:keepNext/>
              <w:keepLines/>
            </w:pPr>
            <w:r w:rsidRPr="007108BC">
              <w:t xml:space="preserve">12.6% carriage reduction based on V72_29. </w:t>
            </w:r>
          </w:p>
        </w:tc>
        <w:tc>
          <w:tcPr>
            <w:tcW w:w="3499" w:type="dxa"/>
            <w:shd w:val="clear" w:color="auto" w:fill="auto"/>
          </w:tcPr>
          <w:p w:rsidR="003B61C2" w:rsidRPr="007108BC" w:rsidRDefault="003B61C2" w:rsidP="00D47FDA">
            <w:pPr>
              <w:pStyle w:val="Tabletext"/>
              <w:keepNext/>
              <w:keepLines/>
            </w:pPr>
            <w:r w:rsidRPr="007108BC">
              <w:t>0% carriage reduction based on South Australian adolescent study, B Part of It.</w:t>
            </w:r>
          </w:p>
        </w:tc>
      </w:tr>
    </w:tbl>
    <w:p w:rsidR="003B61C2" w:rsidRPr="007108BC" w:rsidRDefault="003B61C2" w:rsidP="00D47FDA">
      <w:pPr>
        <w:keepNext/>
        <w:keepLines/>
        <w:jc w:val="both"/>
        <w:rPr>
          <w:rStyle w:val="CommentReference"/>
          <w:b w:val="0"/>
          <w:sz w:val="18"/>
          <w:szCs w:val="18"/>
        </w:rPr>
      </w:pPr>
      <w:r w:rsidRPr="007108BC">
        <w:rPr>
          <w:rStyle w:val="CommentReference"/>
          <w:b w:val="0"/>
          <w:sz w:val="18"/>
          <w:szCs w:val="18"/>
        </w:rPr>
        <w:t>Abbreviations: ESC= Economic Sub-Committee; fHbp = factor H binding protein; IMD = invasive meningococcal disease; Men ACWY = meningococcal serogroups A,C,W and Y; Men B = meningococcal B; NadA = Neisseria adhesin A;</w:t>
      </w:r>
      <w:r w:rsidR="00624D24">
        <w:rPr>
          <w:rStyle w:val="CommentReference"/>
          <w:b w:val="0"/>
          <w:sz w:val="18"/>
          <w:szCs w:val="18"/>
        </w:rPr>
        <w:t xml:space="preserve"> </w:t>
      </w:r>
      <w:r w:rsidRPr="007108BC">
        <w:rPr>
          <w:rStyle w:val="CommentReference"/>
          <w:b w:val="0"/>
          <w:sz w:val="18"/>
          <w:szCs w:val="18"/>
        </w:rPr>
        <w:t xml:space="preserve">NHBA = Neisseria heparin binding antigen; PHE = Public Health England; PorA = Porin A; UK = United Kingdom; VE = vaccine effectiveness; VI = vaccine impact. </w:t>
      </w:r>
    </w:p>
    <w:p w:rsidR="003B61C2" w:rsidRPr="007108BC" w:rsidRDefault="003B61C2" w:rsidP="00D47FDA">
      <w:pPr>
        <w:keepNext/>
        <w:keepLines/>
        <w:jc w:val="both"/>
        <w:rPr>
          <w:rStyle w:val="CommentReference"/>
          <w:b w:val="0"/>
          <w:sz w:val="18"/>
          <w:szCs w:val="18"/>
        </w:rPr>
      </w:pPr>
      <w:r w:rsidRPr="007108BC">
        <w:rPr>
          <w:rStyle w:val="CommentReference"/>
          <w:b w:val="0"/>
          <w:sz w:val="18"/>
          <w:szCs w:val="18"/>
        </w:rPr>
        <w:t xml:space="preserve">Source: Table 3.1-3.2, p.140, 143-144 of the resubmission; p.147, p.240 of the resubmission. ; </w:t>
      </w:r>
      <w:r w:rsidR="00841191" w:rsidRPr="007108BC">
        <w:rPr>
          <w:rStyle w:val="CommentReference"/>
          <w:b w:val="0"/>
          <w:sz w:val="18"/>
          <w:szCs w:val="18"/>
        </w:rPr>
        <w:t>paragraph 6.16</w:t>
      </w:r>
      <w:r w:rsidR="00841191">
        <w:rPr>
          <w:rStyle w:val="CommentReference"/>
          <w:b w:val="0"/>
          <w:sz w:val="18"/>
          <w:szCs w:val="18"/>
        </w:rPr>
        <w:t>, 4CMenB PSD, July 2014 PBAC meeting</w:t>
      </w:r>
      <w:r w:rsidRPr="007108BC">
        <w:rPr>
          <w:rStyle w:val="CommentReference"/>
          <w:b w:val="0"/>
          <w:sz w:val="18"/>
          <w:szCs w:val="18"/>
        </w:rPr>
        <w:t>; Table D.3.6, pD-31 of the July 2014 resubmission;</w:t>
      </w:r>
      <w:r w:rsidR="00624D24">
        <w:rPr>
          <w:rStyle w:val="CommentReference"/>
          <w:b w:val="0"/>
          <w:sz w:val="18"/>
          <w:szCs w:val="18"/>
        </w:rPr>
        <w:t xml:space="preserve"> </w:t>
      </w:r>
      <w:r w:rsidRPr="007108BC">
        <w:rPr>
          <w:rStyle w:val="CommentReference"/>
          <w:b w:val="0"/>
          <w:sz w:val="18"/>
          <w:szCs w:val="18"/>
        </w:rPr>
        <w:t>4CMenB submission, July 2014, Table D.3.6, pD-31.</w:t>
      </w:r>
      <w:r w:rsidRPr="007108BC">
        <w:t xml:space="preserve"> </w:t>
      </w:r>
      <w:r w:rsidRPr="007108BC">
        <w:rPr>
          <w:rStyle w:val="CommentReference"/>
          <w:b w:val="0"/>
          <w:sz w:val="18"/>
          <w:szCs w:val="18"/>
        </w:rPr>
        <w:t>Table.4.4, p.c-29 Section C of the July 2014 resubmission.</w:t>
      </w:r>
    </w:p>
    <w:p w:rsidR="003B61C2" w:rsidRPr="007108BC" w:rsidRDefault="003B61C2" w:rsidP="007108BC"/>
    <w:p w:rsidR="00012AF8" w:rsidRDefault="003B61C2" w:rsidP="00EB423F">
      <w:pPr>
        <w:pStyle w:val="bulletnumberedstyle"/>
      </w:pPr>
      <w:r w:rsidRPr="007108BC">
        <w:t>The resubmission justified the use of the lower discount rate and broader societal perspective based on a policy paper entitled ‘The Value of Vaccines’ that suggests a new evaluation framework for vaccines</w:t>
      </w:r>
      <w:r w:rsidRPr="00D51D60">
        <w:t>.</w:t>
      </w:r>
    </w:p>
    <w:p w:rsidR="00B2413E" w:rsidRDefault="00012AF8" w:rsidP="00EB423F">
      <w:pPr>
        <w:pStyle w:val="bulletnumberedstyle"/>
      </w:pPr>
      <w:r>
        <w:lastRenderedPageBreak/>
        <w:t>Based on the PBAC guidelines</w:t>
      </w:r>
      <w:r w:rsidR="000B0F08">
        <w:t xml:space="preserve"> (Version 5.0, section 3.A.15)</w:t>
      </w:r>
      <w:r>
        <w:t>, l</w:t>
      </w:r>
      <w:r w:rsidR="003B61C2" w:rsidRPr="00D51D60">
        <w:t xml:space="preserve">ower discount rates </w:t>
      </w:r>
      <w:r w:rsidR="000B0F08">
        <w:t>can</w:t>
      </w:r>
      <w:r w:rsidR="000B0F08" w:rsidRPr="00D51D60">
        <w:t xml:space="preserve"> </w:t>
      </w:r>
      <w:r w:rsidR="003B61C2" w:rsidRPr="00D51D60">
        <w:t xml:space="preserve">be considered in a sensitivity analysis </w:t>
      </w:r>
      <w:r>
        <w:t>rather than the</w:t>
      </w:r>
      <w:r w:rsidR="003B61C2" w:rsidRPr="00D51D60">
        <w:t xml:space="preserve"> base case. </w:t>
      </w:r>
      <w:r w:rsidR="00B2413E" w:rsidRPr="00962B3B">
        <w:t xml:space="preserve">The </w:t>
      </w:r>
      <w:r w:rsidR="00BD59F1">
        <w:t xml:space="preserve">sponsor </w:t>
      </w:r>
      <w:r w:rsidR="00B2413E" w:rsidRPr="00962B3B">
        <w:t>agreed with the principle of discounting</w:t>
      </w:r>
      <w:r w:rsidR="00BD59F1">
        <w:t xml:space="preserve"> in its PSCR</w:t>
      </w:r>
      <w:r w:rsidR="00B2413E" w:rsidRPr="00962B3B">
        <w:t xml:space="preserve">, </w:t>
      </w:r>
      <w:r w:rsidR="00BD59F1">
        <w:t>however</w:t>
      </w:r>
      <w:r w:rsidR="00B2413E" w:rsidRPr="00962B3B">
        <w:t xml:space="preserve"> considered the 5% compounding rate too high and </w:t>
      </w:r>
      <w:r w:rsidR="006921A1">
        <w:t xml:space="preserve">that this </w:t>
      </w:r>
      <w:r w:rsidR="00B2413E" w:rsidRPr="00962B3B">
        <w:t>disproportionally disadvantages preventive treatments such as vaccines, particularly those such as 4CMenB that realise the majority of the utility benefit and cost offsets in the longer term but incur the cost of the vaccine immediately, compared to chronic preventative interventions whose ongoing cost is discounted. The ESC considered it was appropriate to apply a 5% discount rate in the base case analysis and use a lower discount rate in a sensitivity analysis. The ESC noted the ICER was highly sensitive to the discount rate.</w:t>
      </w:r>
      <w:r w:rsidR="00B2413E" w:rsidRPr="00B2413E">
        <w:rPr>
          <w:i/>
        </w:rPr>
        <w:t xml:space="preserve"> </w:t>
      </w:r>
    </w:p>
    <w:p w:rsidR="00EF03E3" w:rsidRDefault="00F048CF" w:rsidP="00EB423F">
      <w:pPr>
        <w:pStyle w:val="bulletnumberedstyle"/>
      </w:pPr>
      <w:r>
        <w:t xml:space="preserve">Including productivity </w:t>
      </w:r>
      <w:r w:rsidR="00FE51AA">
        <w:t xml:space="preserve">in economic evaluations raises </w:t>
      </w:r>
      <w:r w:rsidR="006921A1">
        <w:t xml:space="preserve">important </w:t>
      </w:r>
      <w:r w:rsidR="00FE51AA">
        <w:t xml:space="preserve">equity issues as it implies interventions </w:t>
      </w:r>
      <w:r>
        <w:t>that improve the health of people in the workforce</w:t>
      </w:r>
      <w:r w:rsidR="00721B82">
        <w:t xml:space="preserve"> (or those who earn more)</w:t>
      </w:r>
      <w:r w:rsidR="00FE51AA">
        <w:t xml:space="preserve"> are of</w:t>
      </w:r>
      <w:r w:rsidR="000372DF">
        <w:t xml:space="preserve"> a </w:t>
      </w:r>
      <w:r w:rsidR="00FE51AA">
        <w:t>higher value than other interventions</w:t>
      </w:r>
      <w:r>
        <w:t>.</w:t>
      </w:r>
      <w:r w:rsidR="006D10D8">
        <w:t xml:space="preserve"> </w:t>
      </w:r>
      <w:r w:rsidR="000372DF">
        <w:t>Additionally, t</w:t>
      </w:r>
      <w:r w:rsidR="00FE51AA">
        <w:t xml:space="preserve">here are methodological issues with incorporating productivity </w:t>
      </w:r>
      <w:r w:rsidR="000372DF">
        <w:t xml:space="preserve">which may increase the uncertainty of an evaluation. </w:t>
      </w:r>
      <w:r>
        <w:t xml:space="preserve">The PBAC guidelines </w:t>
      </w:r>
      <w:r w:rsidR="000B0F08">
        <w:t xml:space="preserve">(Version 5.0, Appendix 6) </w:t>
      </w:r>
      <w:r>
        <w:t>state that changes in productivity should not be included in the base case but can be included in supplementary (sensitivity) analyses.</w:t>
      </w:r>
      <w:r w:rsidR="00721B82">
        <w:t xml:space="preserve"> </w:t>
      </w:r>
      <w:r w:rsidR="00721B82" w:rsidRPr="00962B3B">
        <w:t xml:space="preserve">The ESC </w:t>
      </w:r>
      <w:r w:rsidR="00117A91" w:rsidRPr="00962B3B">
        <w:t xml:space="preserve">considered it was appropriate to include productivity in sensitivity analysis </w:t>
      </w:r>
      <w:r w:rsidR="00721B82" w:rsidRPr="00962B3B">
        <w:t>and note</w:t>
      </w:r>
      <w:r w:rsidR="00117A91" w:rsidRPr="00962B3B">
        <w:t>d</w:t>
      </w:r>
      <w:r w:rsidR="00721B82" w:rsidRPr="00962B3B">
        <w:t xml:space="preserve"> the sensitivity of the base case ICER to the inclusion of productivity.</w:t>
      </w:r>
      <w:r>
        <w:t xml:space="preserve"> </w:t>
      </w:r>
    </w:p>
    <w:p w:rsidR="0017235D" w:rsidRPr="003E65D4" w:rsidRDefault="00C10D62" w:rsidP="00EB423F">
      <w:pPr>
        <w:pStyle w:val="bulletnumberedstyle"/>
      </w:pPr>
      <w:r>
        <w:t>Over a period of 5 years, th</w:t>
      </w:r>
      <w:r w:rsidR="0017235D" w:rsidRPr="00D51D60">
        <w:t>e model predicted</w:t>
      </w:r>
      <w:r w:rsidR="006921A1">
        <w:t xml:space="preserve"> </w:t>
      </w:r>
      <w:r w:rsidR="0078235B" w:rsidRPr="00D51D60">
        <w:t xml:space="preserve">a total of 1,134 cases in the no vaccination </w:t>
      </w:r>
      <w:r w:rsidR="0078235B" w:rsidRPr="003E65D4">
        <w:t xml:space="preserve">scenario and 941 cases in the vaccinated scenario which led to </w:t>
      </w:r>
      <w:r w:rsidR="0017235D" w:rsidRPr="003E65D4">
        <w:t xml:space="preserve">approximately 193 cases and 6 deaths </w:t>
      </w:r>
      <w:r w:rsidR="0078235B" w:rsidRPr="003E65D4">
        <w:t>potentially</w:t>
      </w:r>
      <w:r w:rsidR="0017235D" w:rsidRPr="003E65D4">
        <w:t xml:space="preserve"> avoided. </w:t>
      </w:r>
    </w:p>
    <w:p w:rsidR="003B61C2" w:rsidRPr="003E65D4" w:rsidRDefault="003B61C2" w:rsidP="003E65D4">
      <w:pPr>
        <w:pStyle w:val="bulletnumberedstyle"/>
      </w:pPr>
      <w:r w:rsidRPr="003E65D4">
        <w:t xml:space="preserve">The </w:t>
      </w:r>
      <w:r w:rsidR="008E6E30" w:rsidRPr="003E65D4">
        <w:t xml:space="preserve">PBAC </w:t>
      </w:r>
      <w:r w:rsidR="004F508C" w:rsidRPr="003E65D4">
        <w:t xml:space="preserve">noted </w:t>
      </w:r>
      <w:r w:rsidR="008E6E30" w:rsidRPr="003E65D4">
        <w:t xml:space="preserve">the </w:t>
      </w:r>
      <w:r w:rsidRPr="003E65D4">
        <w:t xml:space="preserve">background incidence of IMD </w:t>
      </w:r>
      <w:r w:rsidR="00773956" w:rsidRPr="003E65D4">
        <w:t xml:space="preserve">caused by Men B </w:t>
      </w:r>
      <w:r w:rsidRPr="003E65D4">
        <w:t xml:space="preserve">was </w:t>
      </w:r>
      <w:r w:rsidR="0040327E" w:rsidRPr="003E65D4">
        <w:t>a major</w:t>
      </w:r>
      <w:r w:rsidRPr="003E65D4">
        <w:t xml:space="preserve"> driver of the model. The base case </w:t>
      </w:r>
      <w:r w:rsidR="003C4098" w:rsidRPr="003E65D4">
        <w:t xml:space="preserve">used </w:t>
      </w:r>
      <w:r w:rsidRPr="003E65D4">
        <w:t xml:space="preserve">the average number </w:t>
      </w:r>
      <w:r w:rsidR="00D54386" w:rsidRPr="003E65D4">
        <w:t xml:space="preserve">of </w:t>
      </w:r>
      <w:r w:rsidRPr="003E65D4">
        <w:t xml:space="preserve">cases reported from 2001-2017 </w:t>
      </w:r>
      <w:r w:rsidR="003C4098" w:rsidRPr="003E65D4">
        <w:t>however the</w:t>
      </w:r>
      <w:r w:rsidR="00EF4C8F" w:rsidRPr="003E65D4">
        <w:t xml:space="preserve"> </w:t>
      </w:r>
      <w:r w:rsidR="003C4098" w:rsidRPr="003E65D4">
        <w:t xml:space="preserve">annual </w:t>
      </w:r>
      <w:r w:rsidR="00EF4C8F" w:rsidRPr="003E65D4">
        <w:t xml:space="preserve">incidence </w:t>
      </w:r>
      <w:r w:rsidR="003C4098" w:rsidRPr="003E65D4">
        <w:t xml:space="preserve">has </w:t>
      </w:r>
      <w:r w:rsidR="00E4229A">
        <w:t xml:space="preserve">progressively </w:t>
      </w:r>
      <w:r w:rsidR="00EF4C8F" w:rsidRPr="003E65D4">
        <w:t>declin</w:t>
      </w:r>
      <w:r w:rsidR="00802FB8" w:rsidRPr="003E65D4">
        <w:t>ed</w:t>
      </w:r>
      <w:r w:rsidR="00EF4C8F" w:rsidRPr="003E65D4">
        <w:t xml:space="preserve"> </w:t>
      </w:r>
      <w:r w:rsidR="00802FB8" w:rsidRPr="003E65D4">
        <w:t>since the early 2000’s</w:t>
      </w:r>
      <w:r w:rsidR="00EF4C8F" w:rsidRPr="003E65D4">
        <w:t>.</w:t>
      </w:r>
      <w:r w:rsidRPr="003E65D4">
        <w:t xml:space="preserve"> </w:t>
      </w:r>
      <w:r w:rsidR="00802FB8" w:rsidRPr="003E65D4">
        <w:t>Using</w:t>
      </w:r>
      <w:r w:rsidRPr="003E65D4">
        <w:t xml:space="preserve"> the average number of cases reported from 2010-2017</w:t>
      </w:r>
      <w:r w:rsidR="00802FB8" w:rsidRPr="003E65D4">
        <w:t xml:space="preserve"> increased </w:t>
      </w:r>
      <w:r w:rsidRPr="003E65D4">
        <w:t xml:space="preserve">the base case ICER </w:t>
      </w:r>
      <w:r w:rsidR="00820113" w:rsidRPr="003E65D4">
        <w:t>from $</w:t>
      </w:r>
      <w:r w:rsidR="00724722">
        <w:t>1</w:t>
      </w:r>
      <w:r w:rsidR="00454197">
        <w:t>5,000/QALY - $45,000/QALY</w:t>
      </w:r>
      <w:r w:rsidR="00820113" w:rsidRPr="003E65D4">
        <w:t xml:space="preserve"> </w:t>
      </w:r>
      <w:r w:rsidRPr="003E65D4">
        <w:t>to $</w:t>
      </w:r>
      <w:r w:rsidR="00724722">
        <w:t>10</w:t>
      </w:r>
      <w:r w:rsidR="00454197">
        <w:t>5,000</w:t>
      </w:r>
      <w:r w:rsidRPr="003E65D4">
        <w:t>/QALY</w:t>
      </w:r>
      <w:r w:rsidR="00454197">
        <w:t xml:space="preserve"> - $</w:t>
      </w:r>
      <w:r w:rsidR="00724722">
        <w:t>200</w:t>
      </w:r>
      <w:r w:rsidR="00454197">
        <w:t>,000/QA</w:t>
      </w:r>
      <w:r w:rsidR="00BB3E8A">
        <w:t>L</w:t>
      </w:r>
      <w:r w:rsidR="00454197">
        <w:t>Y</w:t>
      </w:r>
      <w:r w:rsidRPr="003E65D4">
        <w:t xml:space="preserve"> gained</w:t>
      </w:r>
      <w:r w:rsidR="004F508C" w:rsidRPr="003E65D4">
        <w:t xml:space="preserve">. </w:t>
      </w:r>
      <w:r w:rsidR="003E65D4" w:rsidRPr="003E65D4">
        <w:t>Applying the same assumption to the Aboriginal and Torres Strait Islander population model increased the ICER from</w:t>
      </w:r>
      <w:r w:rsidR="0080519B">
        <w:t xml:space="preserve"> less </w:t>
      </w:r>
      <w:r w:rsidR="00577361">
        <w:t xml:space="preserve">than </w:t>
      </w:r>
      <w:r w:rsidR="006D4D47">
        <w:t>$15,000</w:t>
      </w:r>
      <w:r w:rsidR="003E65D4" w:rsidRPr="003E65D4">
        <w:t>/QALY gained to $</w:t>
      </w:r>
      <w:r w:rsidR="0080519B">
        <w:t>1</w:t>
      </w:r>
      <w:r w:rsidR="006D4D47">
        <w:t>5,000/QALY - $</w:t>
      </w:r>
      <w:r w:rsidR="0080519B">
        <w:t>4</w:t>
      </w:r>
      <w:r w:rsidR="006D4D47">
        <w:t>5,000/</w:t>
      </w:r>
      <w:r w:rsidR="003E65D4" w:rsidRPr="003E65D4">
        <w:t xml:space="preserve">QALY gained. </w:t>
      </w:r>
      <w:r w:rsidR="00EB038D" w:rsidRPr="003E65D4">
        <w:t xml:space="preserve">The </w:t>
      </w:r>
      <w:r w:rsidR="008E6E30" w:rsidRPr="003E65D4">
        <w:t xml:space="preserve">PBAC noted that the </w:t>
      </w:r>
      <w:r w:rsidR="00EB038D" w:rsidRPr="003E65D4">
        <w:t>ATAGI considered t</w:t>
      </w:r>
      <w:r w:rsidR="004F508C" w:rsidRPr="003E65D4">
        <w:t xml:space="preserve">he use of </w:t>
      </w:r>
      <w:r w:rsidR="00802FB8" w:rsidRPr="003E65D4">
        <w:t xml:space="preserve">data from </w:t>
      </w:r>
      <w:r w:rsidR="004F508C" w:rsidRPr="003E65D4">
        <w:t>2001-</w:t>
      </w:r>
      <w:r w:rsidR="00EB038D" w:rsidRPr="003E65D4">
        <w:t>2017 to model the d</w:t>
      </w:r>
      <w:r w:rsidR="008E6E30" w:rsidRPr="003E65D4">
        <w:t xml:space="preserve">isease incidence to be </w:t>
      </w:r>
      <w:r w:rsidR="00EB038D" w:rsidRPr="003E65D4">
        <w:t>acceptable (ATAGI pre-s</w:t>
      </w:r>
      <w:r w:rsidR="008E6E30" w:rsidRPr="003E65D4">
        <w:t>ubmission advice, June 2019</w:t>
      </w:r>
      <w:r w:rsidR="00EB038D" w:rsidRPr="003E65D4">
        <w:t>)</w:t>
      </w:r>
      <w:r w:rsidR="008E6E30" w:rsidRPr="003E65D4">
        <w:t>.</w:t>
      </w:r>
      <w:r w:rsidR="004F508C" w:rsidRPr="003E65D4">
        <w:t xml:space="preserve"> The PBAC considered the use of data from 2001-2017 </w:t>
      </w:r>
      <w:r w:rsidR="00B042EF" w:rsidRPr="003E65D4">
        <w:t>will</w:t>
      </w:r>
      <w:r w:rsidR="00E4229A">
        <w:t xml:space="preserve"> likely</w:t>
      </w:r>
      <w:r w:rsidR="00B042EF" w:rsidRPr="003E65D4">
        <w:t xml:space="preserve"> </w:t>
      </w:r>
      <w:r w:rsidR="004F508C" w:rsidRPr="003E65D4">
        <w:t xml:space="preserve">overestimate the </w:t>
      </w:r>
      <w:r w:rsidR="00E4229A">
        <w:t xml:space="preserve">future </w:t>
      </w:r>
      <w:r w:rsidR="004F508C" w:rsidRPr="003E65D4">
        <w:t>incidence of IMD</w:t>
      </w:r>
      <w:r w:rsidR="00773956" w:rsidRPr="003E65D4">
        <w:t xml:space="preserve"> caused by Men B</w:t>
      </w:r>
      <w:r w:rsidR="004F508C" w:rsidRPr="003E65D4">
        <w:t>.</w:t>
      </w:r>
      <w:r w:rsidR="00624D24" w:rsidRPr="003E65D4">
        <w:t xml:space="preserve"> </w:t>
      </w:r>
    </w:p>
    <w:p w:rsidR="003B61C2" w:rsidRPr="00F801BB" w:rsidRDefault="003B61C2" w:rsidP="00EB423F">
      <w:pPr>
        <w:pStyle w:val="bulletnumberedstyle"/>
      </w:pPr>
      <w:r w:rsidRPr="003E65D4">
        <w:t>The model</w:t>
      </w:r>
      <w:r w:rsidRPr="007108BC">
        <w:t xml:space="preserve"> incorporated a Quality of Life Adjustment Factor (QAF) </w:t>
      </w:r>
      <w:r w:rsidR="00090BF3">
        <w:t>with a value of</w:t>
      </w:r>
      <w:r w:rsidR="00090BF3" w:rsidRPr="007108BC">
        <w:t xml:space="preserve"> </w:t>
      </w:r>
      <w:r w:rsidRPr="007108BC">
        <w:t>three</w:t>
      </w:r>
      <w:r w:rsidR="00090BF3">
        <w:t xml:space="preserve"> (3)</w:t>
      </w:r>
      <w:r w:rsidRPr="007108BC">
        <w:t xml:space="preserve"> for all long-term sequelae into the economic evaluation. The resubmission justified this </w:t>
      </w:r>
      <w:r w:rsidR="00802FB8">
        <w:t>based on</w:t>
      </w:r>
      <w:r w:rsidR="00802FB8" w:rsidRPr="007108BC">
        <w:t xml:space="preserve"> </w:t>
      </w:r>
      <w:r w:rsidRPr="007108BC">
        <w:t>the UK’s Joint Committee on Vaccination and Immunisation (JCVI) recommend</w:t>
      </w:r>
      <w:r w:rsidR="00802FB8">
        <w:t>ation to</w:t>
      </w:r>
      <w:r w:rsidRPr="007108BC">
        <w:t xml:space="preserve"> </w:t>
      </w:r>
      <w:r w:rsidR="00802FB8">
        <w:t>include</w:t>
      </w:r>
      <w:r w:rsidRPr="007108BC">
        <w:t xml:space="preserve"> the QAF </w:t>
      </w:r>
      <w:r w:rsidR="00820113">
        <w:t xml:space="preserve">of three </w:t>
      </w:r>
      <w:r w:rsidRPr="007108BC">
        <w:t>“In response to concerns raised on how the quality of life losses of IMD had not been fully captured within the cost-effectiveness analysis due to limitations of the EQ-5D questionnaire used in the MOSAIC study [case-control study in UK children who survived IMD</w:t>
      </w:r>
      <w:r w:rsidR="00773956">
        <w:t xml:space="preserve"> caused by</w:t>
      </w:r>
      <w:r w:rsidR="00773956" w:rsidRPr="00773956">
        <w:t xml:space="preserve"> </w:t>
      </w:r>
      <w:r w:rsidR="00773956" w:rsidRPr="007108BC">
        <w:t>Men B</w:t>
      </w:r>
      <w:r w:rsidRPr="007108BC">
        <w:t xml:space="preserve">], </w:t>
      </w:r>
      <w:r w:rsidRPr="007108BC">
        <w:lastRenderedPageBreak/>
        <w:t xml:space="preserve">and wider concerns regarding the measurement of the impact of IMD in children and </w:t>
      </w:r>
      <w:r w:rsidR="00846128">
        <w:t>the innovative nature of the 4CMenB</w:t>
      </w:r>
      <w:r w:rsidRPr="007108BC">
        <w:t xml:space="preserve">, as well as the differential societal value of equal QALY measures of severe and relatively mild disease”. </w:t>
      </w:r>
      <w:r w:rsidR="006E4681" w:rsidRPr="00D51D60">
        <w:t xml:space="preserve">It </w:t>
      </w:r>
      <w:r w:rsidR="00802FB8">
        <w:t>was not reported</w:t>
      </w:r>
      <w:r w:rsidR="006E4681" w:rsidRPr="00D51D60">
        <w:t xml:space="preserve"> </w:t>
      </w:r>
      <w:r w:rsidR="00FE1434" w:rsidRPr="00D51D60">
        <w:t>how a</w:t>
      </w:r>
      <w:r w:rsidR="00AF0107" w:rsidRPr="00D51D60">
        <w:t xml:space="preserve"> </w:t>
      </w:r>
      <w:r w:rsidR="006E4681" w:rsidRPr="00D51D60">
        <w:t>QAF</w:t>
      </w:r>
      <w:r w:rsidR="009107F5" w:rsidRPr="00D51D60">
        <w:t xml:space="preserve"> of </w:t>
      </w:r>
      <w:r w:rsidR="00820113">
        <w:t>three</w:t>
      </w:r>
      <w:r w:rsidR="00FE1434" w:rsidRPr="00D51D60">
        <w:t xml:space="preserve"> was</w:t>
      </w:r>
      <w:r w:rsidR="00AF0107" w:rsidRPr="00D51D60">
        <w:t xml:space="preserve"> </w:t>
      </w:r>
      <w:r w:rsidR="006E4681" w:rsidRPr="00D51D60">
        <w:t>derived.</w:t>
      </w:r>
      <w:r w:rsidR="006E4681" w:rsidRPr="007108BC">
        <w:t xml:space="preserve"> </w:t>
      </w:r>
      <w:r w:rsidRPr="00D51D60">
        <w:t xml:space="preserve">This argument for using a QAF may </w:t>
      </w:r>
      <w:r w:rsidR="00090BF3">
        <w:t xml:space="preserve">possibly </w:t>
      </w:r>
      <w:r w:rsidRPr="00D51D60">
        <w:t>be reasonable in a context where</w:t>
      </w:r>
      <w:r w:rsidR="00820113">
        <w:t xml:space="preserve">, </w:t>
      </w:r>
      <w:r w:rsidR="00820113" w:rsidRPr="00D51D60">
        <w:t>like the UK</w:t>
      </w:r>
      <w:r w:rsidR="00820113">
        <w:t>,</w:t>
      </w:r>
      <w:r w:rsidRPr="00D51D60">
        <w:t xml:space="preserve"> a fixed</w:t>
      </w:r>
      <w:r w:rsidR="009867AD">
        <w:t xml:space="preserve"> ICER</w:t>
      </w:r>
      <w:r w:rsidRPr="00D51D60">
        <w:t xml:space="preserve"> threshold </w:t>
      </w:r>
      <w:r w:rsidR="008A6A9E" w:rsidRPr="00D51D60">
        <w:t xml:space="preserve">is </w:t>
      </w:r>
      <w:r w:rsidRPr="00D51D60">
        <w:t>used</w:t>
      </w:r>
      <w:r w:rsidR="00802FB8">
        <w:t xml:space="preserve"> (t</w:t>
      </w:r>
      <w:r w:rsidR="00802FB8" w:rsidRPr="00962B3B">
        <w:t xml:space="preserve">he ESC noted the JCVI requires vaccine ICERs to be less than </w:t>
      </w:r>
      <w:r w:rsidR="00802FB8" w:rsidRPr="00962B3B">
        <w:rPr>
          <w:rFonts w:cs="Calibri"/>
        </w:rPr>
        <w:t>£</w:t>
      </w:r>
      <w:r w:rsidR="00802FB8" w:rsidRPr="00962B3B">
        <w:t>20,000</w:t>
      </w:r>
      <w:r w:rsidR="00802FB8">
        <w:t>)</w:t>
      </w:r>
      <w:r w:rsidRPr="00D51D60">
        <w:t xml:space="preserve">, however, this is not the case </w:t>
      </w:r>
      <w:r w:rsidR="009867AD" w:rsidRPr="00D51D60">
        <w:t xml:space="preserve">in Australia </w:t>
      </w:r>
      <w:r w:rsidRPr="00D51D60">
        <w:t xml:space="preserve">and </w:t>
      </w:r>
      <w:r w:rsidR="009867AD">
        <w:t>varying ICERs are</w:t>
      </w:r>
      <w:r w:rsidRPr="00D51D60">
        <w:t xml:space="preserve"> accepted </w:t>
      </w:r>
      <w:r w:rsidR="009867AD">
        <w:t>to enable</w:t>
      </w:r>
      <w:r w:rsidRPr="00D51D60">
        <w:t xml:space="preserve"> consideration</w:t>
      </w:r>
      <w:r w:rsidR="009867AD">
        <w:t xml:space="preserve"> of</w:t>
      </w:r>
      <w:r w:rsidRPr="00D51D60">
        <w:t xml:space="preserve"> different </w:t>
      </w:r>
      <w:r w:rsidR="009867AD">
        <w:t>factors</w:t>
      </w:r>
      <w:r w:rsidRPr="00D51D60">
        <w:t xml:space="preserve"> (e.g. severity of the disease, rarity or limitations of the quality of life instrument). </w:t>
      </w:r>
      <w:r w:rsidR="005C3BDE" w:rsidRPr="00962B3B">
        <w:t xml:space="preserve">The </w:t>
      </w:r>
      <w:r w:rsidR="00CB1BA8">
        <w:t xml:space="preserve">PBAC agreed with the </w:t>
      </w:r>
      <w:r w:rsidR="005C3BDE" w:rsidRPr="00962B3B">
        <w:t xml:space="preserve">ESC </w:t>
      </w:r>
      <w:r w:rsidR="00CB1BA8">
        <w:t xml:space="preserve">that </w:t>
      </w:r>
      <w:r w:rsidR="005C3BDE" w:rsidRPr="00962B3B">
        <w:t>use of a QAF was not appropriate in either the base case or in a sensitivity analysis</w:t>
      </w:r>
      <w:r w:rsidR="00EF4C8F" w:rsidRPr="00962B3B">
        <w:t xml:space="preserve"> as it was not relevant to the Australian context</w:t>
      </w:r>
      <w:r w:rsidR="005C3BDE" w:rsidRPr="00962B3B">
        <w:t xml:space="preserve">. </w:t>
      </w:r>
    </w:p>
    <w:p w:rsidR="003B61C2" w:rsidRPr="00606B25" w:rsidRDefault="003B61C2" w:rsidP="00EB423F">
      <w:pPr>
        <w:pStyle w:val="bulletnumberedstyle"/>
      </w:pPr>
      <w:r w:rsidRPr="00D51D60">
        <w:t xml:space="preserve">The inclusion of </w:t>
      </w:r>
      <w:r w:rsidR="00802FB8">
        <w:t xml:space="preserve">the costs and disutilities for the </w:t>
      </w:r>
      <w:r w:rsidRPr="00D51D60">
        <w:t xml:space="preserve">additional sequelae </w:t>
      </w:r>
      <w:r w:rsidR="00802FB8">
        <w:t xml:space="preserve">not considered in the previous submissions </w:t>
      </w:r>
      <w:r w:rsidRPr="00D51D60">
        <w:t xml:space="preserve">also had a large impact on the ICER. In particular, the inclusion of the psychological and behavioural sequelae anxiety, separation anxiety and attention deficient hyperactivity disorder (ADHD) had a greater impact on the ICER compared to the physical and neurological sequelae. These additional sequelae were identified from a systematic literature review of observational studies. </w:t>
      </w:r>
      <w:r w:rsidR="00A13FDA" w:rsidRPr="00D51D60">
        <w:t>Given the nature of the background evidence</w:t>
      </w:r>
      <w:r w:rsidR="00EE0FB8">
        <w:t xml:space="preserve">, </w:t>
      </w:r>
      <w:r w:rsidR="00A13FDA" w:rsidRPr="00D51D60">
        <w:t>observational studies</w:t>
      </w:r>
      <w:r w:rsidR="00EE0FB8">
        <w:t xml:space="preserve"> </w:t>
      </w:r>
      <w:r w:rsidR="00EE0FB8" w:rsidRPr="00D51D60">
        <w:t>which are prone to confounding</w:t>
      </w:r>
      <w:r w:rsidR="00A13FDA" w:rsidRPr="00D51D60">
        <w:t xml:space="preserve">, it is unclear </w:t>
      </w:r>
      <w:r w:rsidR="003C39C7" w:rsidRPr="00D51D60">
        <w:t xml:space="preserve">whether </w:t>
      </w:r>
      <w:r w:rsidR="00A13FDA" w:rsidRPr="00D51D60">
        <w:t>there is a causal relationship between the new proposed sequelae and IMD</w:t>
      </w:r>
      <w:r w:rsidR="003C39C7" w:rsidRPr="00D51D60">
        <w:t xml:space="preserve"> or it is purely an association</w:t>
      </w:r>
      <w:r w:rsidR="00A13FDA" w:rsidRPr="00D51D60">
        <w:t xml:space="preserve">. </w:t>
      </w:r>
      <w:r w:rsidRPr="00D51D60">
        <w:t>In addition, by adding these sequelae, there is a</w:t>
      </w:r>
      <w:r w:rsidR="0040327E">
        <w:t xml:space="preserve"> considerable</w:t>
      </w:r>
      <w:r w:rsidRPr="00D51D60">
        <w:t xml:space="preserve"> risk </w:t>
      </w:r>
      <w:r w:rsidR="0040327E">
        <w:t>of</w:t>
      </w:r>
      <w:r w:rsidRPr="00D51D60">
        <w:t xml:space="preserve"> double counting the disutility as patients with other physical sequelae, for example amputation, may also suffer from anxiety or any other psychological or behavioural sequelae which had already being accounted for. </w:t>
      </w:r>
      <w:r w:rsidR="000D7A91" w:rsidRPr="00962B3B">
        <w:t>The PSCR acknowledged the difficultly in accounting for the psychological consequence of physical sequelae but maintain the approach taken in the resubmission is appropriate</w:t>
      </w:r>
      <w:r w:rsidR="0091567E" w:rsidRPr="00962B3B">
        <w:t xml:space="preserve"> and conservative</w:t>
      </w:r>
      <w:r w:rsidR="000D7A91" w:rsidRPr="00962B3B">
        <w:t>. The PSCR stated that the mode</w:t>
      </w:r>
      <w:r w:rsidR="0091567E" w:rsidRPr="00962B3B">
        <w:t>l</w:t>
      </w:r>
      <w:r w:rsidR="000D7A91" w:rsidRPr="00962B3B">
        <w:t xml:space="preserve"> conservatively assumed a disutility loss of zero for skin scarring (the most common sequela</w:t>
      </w:r>
      <w:r w:rsidR="00ED2F23" w:rsidRPr="00962B3B">
        <w:t>e</w:t>
      </w:r>
      <w:r w:rsidR="000D7A91" w:rsidRPr="00962B3B">
        <w:t xml:space="preserve">) and </w:t>
      </w:r>
      <w:r w:rsidR="0091567E" w:rsidRPr="00962B3B">
        <w:t xml:space="preserve">that </w:t>
      </w:r>
      <w:r w:rsidR="000D7A91" w:rsidRPr="00962B3B">
        <w:t xml:space="preserve">the probability of depression occurring was </w:t>
      </w:r>
      <w:r w:rsidR="00ED2F23" w:rsidRPr="00962B3B">
        <w:t>assumed t</w:t>
      </w:r>
      <w:r w:rsidR="009867AD" w:rsidRPr="00962B3B">
        <w:t>o</w:t>
      </w:r>
      <w:r w:rsidR="00ED2F23" w:rsidRPr="00962B3B">
        <w:t xml:space="preserve"> be </w:t>
      </w:r>
      <w:r w:rsidR="000D7A91" w:rsidRPr="00962B3B">
        <w:t xml:space="preserve">zero. </w:t>
      </w:r>
      <w:r w:rsidR="00606B25" w:rsidRPr="00962B3B">
        <w:t>Further, the PSCR provided information that showed that utility loss per Men B survivor was higher in the 2014 submission (0.3) as compared to the current submission (0.16)</w:t>
      </w:r>
      <w:r w:rsidR="00546D0D" w:rsidRPr="00962B3B">
        <w:t>.</w:t>
      </w:r>
      <w:r w:rsidR="00FF3AD3">
        <w:rPr>
          <w:i/>
        </w:rPr>
        <w:t xml:space="preserve"> </w:t>
      </w:r>
      <w:r w:rsidR="00FF3AD3">
        <w:t>The pre-PBAC response provided additional support for including psychological sequelae in the economic model and further noted the conservative assumption regarding the incidence of depression included in the model.</w:t>
      </w:r>
      <w:r w:rsidR="00D47FDA">
        <w:t xml:space="preserve"> </w:t>
      </w:r>
    </w:p>
    <w:p w:rsidR="00244778" w:rsidRPr="007108BC" w:rsidRDefault="00244778" w:rsidP="00EB423F">
      <w:pPr>
        <w:pStyle w:val="bulletnumberedstyle"/>
      </w:pPr>
      <w:r>
        <w:t xml:space="preserve">The key drivers of the economic model are summarised in the table below. </w:t>
      </w:r>
    </w:p>
    <w:p w:rsidR="003B61C2" w:rsidRPr="007108BC" w:rsidRDefault="008554CA" w:rsidP="00BB196F">
      <w:pPr>
        <w:keepNext/>
        <w:rPr>
          <w:rStyle w:val="CommentReference"/>
        </w:rPr>
      </w:pPr>
      <w:r>
        <w:rPr>
          <w:rStyle w:val="CommentReference"/>
        </w:rPr>
        <w:lastRenderedPageBreak/>
        <w:t>Table 10</w:t>
      </w:r>
      <w:r w:rsidR="003B61C2" w:rsidRPr="007108BC">
        <w:rPr>
          <w:rStyle w:val="CommentReference"/>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80" w:firstRow="0" w:lastRow="0" w:firstColumn="1" w:lastColumn="0" w:noHBand="0" w:noVBand="1"/>
        <w:tblCaption w:val="Table 10: Key drivers of the model"/>
      </w:tblPr>
      <w:tblGrid>
        <w:gridCol w:w="1187"/>
        <w:gridCol w:w="2270"/>
        <w:gridCol w:w="2804"/>
        <w:gridCol w:w="2756"/>
      </w:tblGrid>
      <w:tr w:rsidR="003B61C2" w:rsidRPr="00D51D60" w:rsidTr="00025E74">
        <w:trPr>
          <w:tblHeader/>
        </w:trPr>
        <w:tc>
          <w:tcPr>
            <w:tcW w:w="658" w:type="pct"/>
            <w:shd w:val="clear" w:color="auto" w:fill="auto"/>
            <w:vAlign w:val="center"/>
          </w:tcPr>
          <w:p w:rsidR="003B61C2" w:rsidRPr="00F86E50" w:rsidRDefault="003B61C2" w:rsidP="00BB196F">
            <w:pPr>
              <w:pStyle w:val="Tabletext"/>
              <w:keepNext/>
              <w:rPr>
                <w:b/>
              </w:rPr>
            </w:pPr>
            <w:r w:rsidRPr="00F86E50">
              <w:rPr>
                <w:b/>
              </w:rPr>
              <w:t>Description</w:t>
            </w:r>
          </w:p>
        </w:tc>
        <w:tc>
          <w:tcPr>
            <w:tcW w:w="1259" w:type="pct"/>
            <w:shd w:val="clear" w:color="auto" w:fill="auto"/>
            <w:vAlign w:val="center"/>
          </w:tcPr>
          <w:p w:rsidR="003B61C2" w:rsidRPr="00F86E50" w:rsidRDefault="003B61C2" w:rsidP="00BB196F">
            <w:pPr>
              <w:pStyle w:val="Tabletext"/>
              <w:keepNext/>
              <w:jc w:val="center"/>
              <w:rPr>
                <w:b/>
              </w:rPr>
            </w:pPr>
            <w:r w:rsidRPr="00F86E50">
              <w:rPr>
                <w:b/>
              </w:rPr>
              <w:t>Method/Value</w:t>
            </w:r>
          </w:p>
        </w:tc>
        <w:tc>
          <w:tcPr>
            <w:tcW w:w="1555" w:type="pct"/>
            <w:shd w:val="clear" w:color="auto" w:fill="auto"/>
            <w:vAlign w:val="center"/>
          </w:tcPr>
          <w:p w:rsidR="003B61C2" w:rsidRPr="00F86E50" w:rsidRDefault="003B61C2" w:rsidP="00BB196F">
            <w:pPr>
              <w:pStyle w:val="Tabletext"/>
              <w:keepNext/>
              <w:jc w:val="center"/>
              <w:rPr>
                <w:b/>
              </w:rPr>
            </w:pPr>
            <w:r w:rsidRPr="00F86E50">
              <w:rPr>
                <w:b/>
              </w:rPr>
              <w:t>Impact from the General population model</w:t>
            </w:r>
          </w:p>
          <w:p w:rsidR="003B61C2" w:rsidRPr="00F86E50" w:rsidRDefault="003B61C2" w:rsidP="00BB196F">
            <w:pPr>
              <w:pStyle w:val="Tabletext"/>
              <w:keepNext/>
              <w:jc w:val="center"/>
              <w:rPr>
                <w:b/>
              </w:rPr>
            </w:pPr>
            <w:r w:rsidRPr="00F86E50">
              <w:rPr>
                <w:b/>
              </w:rPr>
              <w:t>$</w:t>
            </w:r>
            <w:r w:rsidR="00BB196F">
              <w:rPr>
                <w:b/>
                <w:noProof/>
                <w:color w:val="000000"/>
                <w:highlight w:val="black"/>
              </w:rPr>
              <w:t>'''''''''''''</w:t>
            </w:r>
            <w:r w:rsidRPr="00F86E50">
              <w:rPr>
                <w:b/>
              </w:rPr>
              <w:t>/QALY gained</w:t>
            </w:r>
          </w:p>
        </w:tc>
        <w:tc>
          <w:tcPr>
            <w:tcW w:w="1528" w:type="pct"/>
            <w:shd w:val="clear" w:color="auto" w:fill="auto"/>
          </w:tcPr>
          <w:p w:rsidR="003B61C2" w:rsidRPr="00F86E50" w:rsidRDefault="003B61C2" w:rsidP="00BB196F">
            <w:pPr>
              <w:pStyle w:val="Tabletext"/>
              <w:keepNext/>
              <w:jc w:val="center"/>
              <w:rPr>
                <w:b/>
              </w:rPr>
            </w:pPr>
            <w:r w:rsidRPr="00F86E50">
              <w:rPr>
                <w:b/>
              </w:rPr>
              <w:t xml:space="preserve">Impact from the </w:t>
            </w:r>
            <w:r w:rsidR="001D04ED" w:rsidRPr="007713DA">
              <w:rPr>
                <w:b/>
              </w:rPr>
              <w:t>Aboriginal and Torres Strait Islander</w:t>
            </w:r>
            <w:r w:rsidRPr="00F86E50">
              <w:rPr>
                <w:b/>
              </w:rPr>
              <w:t xml:space="preserve"> population model</w:t>
            </w:r>
          </w:p>
          <w:p w:rsidR="003B61C2" w:rsidRPr="00F86E50" w:rsidRDefault="003B61C2" w:rsidP="00BB196F">
            <w:pPr>
              <w:pStyle w:val="Tabletext"/>
              <w:keepNext/>
              <w:jc w:val="center"/>
              <w:rPr>
                <w:b/>
              </w:rPr>
            </w:pPr>
            <w:r w:rsidRPr="00F86E50">
              <w:rPr>
                <w:b/>
              </w:rPr>
              <w:t>$</w:t>
            </w:r>
            <w:r w:rsidR="00BB196F">
              <w:rPr>
                <w:b/>
                <w:noProof/>
                <w:color w:val="000000"/>
                <w:highlight w:val="black"/>
              </w:rPr>
              <w:t>''''''''''''''</w:t>
            </w:r>
            <w:r w:rsidRPr="00F86E50">
              <w:rPr>
                <w:b/>
              </w:rPr>
              <w:t>/QALY gained</w:t>
            </w:r>
          </w:p>
        </w:tc>
      </w:tr>
      <w:tr w:rsidR="007455B6" w:rsidRPr="00D51D60" w:rsidTr="00025E74">
        <w:tc>
          <w:tcPr>
            <w:tcW w:w="658" w:type="pct"/>
            <w:shd w:val="clear" w:color="auto" w:fill="auto"/>
            <w:vAlign w:val="center"/>
          </w:tcPr>
          <w:p w:rsidR="007455B6" w:rsidRPr="00D51D60" w:rsidDel="007455B6" w:rsidRDefault="007455B6" w:rsidP="00BB196F">
            <w:pPr>
              <w:pStyle w:val="Tabletext"/>
              <w:keepNext/>
            </w:pPr>
            <w:r w:rsidRPr="00D51D60">
              <w:t>Background IMD incidence</w:t>
            </w:r>
          </w:p>
        </w:tc>
        <w:tc>
          <w:tcPr>
            <w:tcW w:w="1259" w:type="pct"/>
            <w:shd w:val="clear" w:color="auto" w:fill="auto"/>
            <w:vAlign w:val="center"/>
          </w:tcPr>
          <w:p w:rsidR="007455B6" w:rsidRPr="00D51D60" w:rsidDel="007455B6" w:rsidRDefault="007455B6" w:rsidP="00BB196F">
            <w:pPr>
              <w:pStyle w:val="Tabletext"/>
              <w:keepNext/>
            </w:pPr>
            <w:r w:rsidRPr="00D51D60">
              <w:t>IMD incidence= average for the 2001-2017 period</w:t>
            </w:r>
          </w:p>
        </w:tc>
        <w:tc>
          <w:tcPr>
            <w:tcW w:w="1555" w:type="pct"/>
            <w:shd w:val="clear" w:color="auto" w:fill="auto"/>
            <w:vAlign w:val="center"/>
          </w:tcPr>
          <w:p w:rsidR="007455B6" w:rsidRPr="00D51D60" w:rsidDel="007455B6" w:rsidRDefault="007455B6" w:rsidP="00BB196F">
            <w:pPr>
              <w:pStyle w:val="Tabletext"/>
              <w:keepNext/>
            </w:pPr>
            <w:r w:rsidRPr="00D51D60">
              <w:t>High</w:t>
            </w:r>
            <w:r>
              <w:t>.</w:t>
            </w:r>
            <w:r w:rsidR="00624D24">
              <w:t xml:space="preserve"> </w:t>
            </w:r>
            <w:r>
              <w:t xml:space="preserve">Decreasing </w:t>
            </w:r>
            <w:r w:rsidRPr="00D51D60">
              <w:t>the incidence to the average reported in 2010-2017 increased the ICER to $</w:t>
            </w:r>
            <w:r w:rsidR="00BB196F">
              <w:rPr>
                <w:noProof/>
                <w:color w:val="000000"/>
                <w:highlight w:val="black"/>
              </w:rPr>
              <w:t>''''''''''''''''''</w:t>
            </w:r>
            <w:r w:rsidRPr="00D51D60">
              <w:t>/QALY gained</w:t>
            </w:r>
            <w:r>
              <w:t xml:space="preserve">. Increasing the incidence by a factor of 2 results in 4CMenB being dominant. </w:t>
            </w:r>
          </w:p>
        </w:tc>
        <w:tc>
          <w:tcPr>
            <w:tcW w:w="1528" w:type="pct"/>
            <w:shd w:val="clear" w:color="auto" w:fill="auto"/>
            <w:vAlign w:val="center"/>
          </w:tcPr>
          <w:p w:rsidR="007455B6" w:rsidRPr="00D51D60" w:rsidDel="007455B6" w:rsidRDefault="007455B6" w:rsidP="00BB196F">
            <w:pPr>
              <w:pStyle w:val="Tabletext"/>
              <w:keepNext/>
            </w:pPr>
            <w:r w:rsidRPr="00D51D60">
              <w:t xml:space="preserve">High. </w:t>
            </w:r>
            <w:r>
              <w:t xml:space="preserve">Decreasing </w:t>
            </w:r>
            <w:r w:rsidRPr="00D51D60">
              <w:t>the incidence to the average reported in 2010-2017 increased the ICER to $</w:t>
            </w:r>
            <w:r w:rsidR="00BB196F">
              <w:rPr>
                <w:noProof/>
                <w:color w:val="000000"/>
                <w:highlight w:val="black"/>
              </w:rPr>
              <w:t>''''''''''''''''''''</w:t>
            </w:r>
            <w:r w:rsidRPr="00D51D60">
              <w:t>QALY gained</w:t>
            </w:r>
            <w:r>
              <w:t>. Increasing the incidence by a factor of 2 results in 4CMenB being dominant.</w:t>
            </w:r>
          </w:p>
        </w:tc>
      </w:tr>
      <w:tr w:rsidR="007455B6" w:rsidRPr="00D51D60" w:rsidTr="00025E74">
        <w:tc>
          <w:tcPr>
            <w:tcW w:w="658" w:type="pct"/>
            <w:shd w:val="clear" w:color="auto" w:fill="auto"/>
            <w:vAlign w:val="center"/>
          </w:tcPr>
          <w:p w:rsidR="007455B6" w:rsidRPr="00D51D60" w:rsidRDefault="007455B6" w:rsidP="00BB196F">
            <w:pPr>
              <w:pStyle w:val="Tabletext"/>
              <w:keepNext/>
            </w:pPr>
            <w:r w:rsidRPr="00D51D60">
              <w:t>Quality of life adjustment factor</w:t>
            </w:r>
          </w:p>
        </w:tc>
        <w:tc>
          <w:tcPr>
            <w:tcW w:w="1259" w:type="pct"/>
            <w:shd w:val="clear" w:color="auto" w:fill="auto"/>
            <w:vAlign w:val="center"/>
          </w:tcPr>
          <w:p w:rsidR="007455B6" w:rsidRPr="00D51D60" w:rsidRDefault="007455B6" w:rsidP="00BB196F">
            <w:pPr>
              <w:pStyle w:val="Tabletext"/>
              <w:keepNext/>
            </w:pPr>
            <w:r w:rsidRPr="00D51D60">
              <w:t xml:space="preserve">QAF set to 3 in base case </w:t>
            </w:r>
          </w:p>
        </w:tc>
        <w:tc>
          <w:tcPr>
            <w:tcW w:w="1555" w:type="pct"/>
            <w:shd w:val="clear" w:color="auto" w:fill="auto"/>
            <w:vAlign w:val="center"/>
          </w:tcPr>
          <w:p w:rsidR="007455B6" w:rsidRPr="00D51D60" w:rsidRDefault="007455B6" w:rsidP="00BB196F">
            <w:pPr>
              <w:pStyle w:val="Tabletext"/>
              <w:keepNext/>
            </w:pPr>
            <w:r w:rsidRPr="00D51D60">
              <w:t>High, favours 4CMenB. Removal of QAF (=1) results in ICER of $</w:t>
            </w:r>
            <w:r w:rsidR="00BB196F">
              <w:rPr>
                <w:noProof/>
                <w:color w:val="000000"/>
                <w:highlight w:val="black"/>
              </w:rPr>
              <w:t>'''''''''''''''''''</w:t>
            </w:r>
            <w:r w:rsidRPr="00D51D60">
              <w:t xml:space="preserve">/QALY gained. </w:t>
            </w:r>
          </w:p>
        </w:tc>
        <w:tc>
          <w:tcPr>
            <w:tcW w:w="1528" w:type="pct"/>
            <w:shd w:val="clear" w:color="auto" w:fill="auto"/>
            <w:vAlign w:val="center"/>
          </w:tcPr>
          <w:p w:rsidR="007455B6" w:rsidRPr="00D51D60" w:rsidRDefault="007455B6" w:rsidP="00BB196F">
            <w:pPr>
              <w:pStyle w:val="Tabletext"/>
              <w:keepNext/>
            </w:pPr>
            <w:r w:rsidRPr="00D51D60">
              <w:t>High, favours 4CMenB. Removal of QAF (=1) results in ICER of $</w:t>
            </w:r>
            <w:r w:rsidR="00BB196F">
              <w:rPr>
                <w:noProof/>
                <w:color w:val="000000"/>
                <w:highlight w:val="black"/>
              </w:rPr>
              <w:t>'''''''''''''''</w:t>
            </w:r>
            <w:r w:rsidRPr="00D51D60">
              <w:t xml:space="preserve">/QALY gained. </w:t>
            </w:r>
          </w:p>
        </w:tc>
      </w:tr>
      <w:tr w:rsidR="007455B6" w:rsidRPr="00D51D60" w:rsidTr="00025E74">
        <w:tc>
          <w:tcPr>
            <w:tcW w:w="658" w:type="pct"/>
            <w:shd w:val="clear" w:color="auto" w:fill="auto"/>
            <w:vAlign w:val="center"/>
          </w:tcPr>
          <w:p w:rsidR="007455B6" w:rsidRPr="00D51D60" w:rsidRDefault="007455B6" w:rsidP="00BB196F">
            <w:pPr>
              <w:pStyle w:val="Tabletext"/>
              <w:keepNext/>
            </w:pPr>
            <w:r w:rsidRPr="00D51D60">
              <w:t>Discount rate</w:t>
            </w:r>
          </w:p>
        </w:tc>
        <w:tc>
          <w:tcPr>
            <w:tcW w:w="1259" w:type="pct"/>
            <w:shd w:val="clear" w:color="auto" w:fill="auto"/>
            <w:vAlign w:val="center"/>
          </w:tcPr>
          <w:p w:rsidR="007455B6" w:rsidRPr="00D51D60" w:rsidRDefault="007455B6" w:rsidP="00BB196F">
            <w:pPr>
              <w:pStyle w:val="Tabletext"/>
              <w:keepNext/>
            </w:pPr>
            <w:r w:rsidRPr="00D51D60">
              <w:t>3.5% p.a. for costs and health outcomes</w:t>
            </w:r>
          </w:p>
        </w:tc>
        <w:tc>
          <w:tcPr>
            <w:tcW w:w="1555" w:type="pct"/>
            <w:shd w:val="clear" w:color="auto" w:fill="auto"/>
            <w:vAlign w:val="center"/>
          </w:tcPr>
          <w:p w:rsidR="007455B6" w:rsidRPr="00D51D60" w:rsidRDefault="007455B6" w:rsidP="00BB196F">
            <w:pPr>
              <w:pStyle w:val="Tabletext"/>
              <w:keepNext/>
            </w:pPr>
            <w:r w:rsidRPr="00D51D60">
              <w:t>High, favours 4CMenB. Discount rate of 5% p.a. results in ICER of $</w:t>
            </w:r>
            <w:r w:rsidR="00BB196F">
              <w:rPr>
                <w:noProof/>
                <w:color w:val="000000"/>
                <w:highlight w:val="black"/>
              </w:rPr>
              <w:t>'''''''''''''''''</w:t>
            </w:r>
            <w:r w:rsidRPr="00D51D60">
              <w:t>/QALY gained.</w:t>
            </w:r>
          </w:p>
        </w:tc>
        <w:tc>
          <w:tcPr>
            <w:tcW w:w="1528" w:type="pct"/>
            <w:shd w:val="clear" w:color="auto" w:fill="auto"/>
            <w:vAlign w:val="center"/>
          </w:tcPr>
          <w:p w:rsidR="007455B6" w:rsidRPr="00D51D60" w:rsidRDefault="007455B6" w:rsidP="00BB196F">
            <w:pPr>
              <w:pStyle w:val="Tabletext"/>
              <w:keepNext/>
            </w:pPr>
            <w:r w:rsidRPr="00D51D60">
              <w:t>Moderate, favours 4CMenB. Discount rate of 5% p.a. results in ICER of $</w:t>
            </w:r>
            <w:r w:rsidR="00BB196F">
              <w:rPr>
                <w:noProof/>
                <w:color w:val="000000"/>
                <w:highlight w:val="black"/>
              </w:rPr>
              <w:t>''''''''''''''''</w:t>
            </w:r>
            <w:r w:rsidRPr="00D51D60">
              <w:t>/QALY gained.</w:t>
            </w:r>
          </w:p>
        </w:tc>
      </w:tr>
      <w:tr w:rsidR="007455B6" w:rsidRPr="00D51D60" w:rsidTr="00025E74">
        <w:tc>
          <w:tcPr>
            <w:tcW w:w="658" w:type="pct"/>
            <w:shd w:val="clear" w:color="auto" w:fill="auto"/>
            <w:vAlign w:val="center"/>
          </w:tcPr>
          <w:p w:rsidR="007455B6" w:rsidRPr="00D51D60" w:rsidRDefault="007455B6" w:rsidP="00BB196F">
            <w:pPr>
              <w:pStyle w:val="Tabletext"/>
              <w:keepNext/>
            </w:pPr>
            <w:r w:rsidRPr="00D51D60">
              <w:t xml:space="preserve">Vaccine effectiveness </w:t>
            </w:r>
          </w:p>
        </w:tc>
        <w:tc>
          <w:tcPr>
            <w:tcW w:w="1259" w:type="pct"/>
            <w:shd w:val="clear" w:color="auto" w:fill="auto"/>
            <w:vAlign w:val="center"/>
          </w:tcPr>
          <w:p w:rsidR="007455B6" w:rsidRPr="00D51D60" w:rsidRDefault="00BB196F" w:rsidP="00BB196F">
            <w:pPr>
              <w:pStyle w:val="Tabletext"/>
              <w:keepNext/>
            </w:pPr>
            <w:r>
              <w:rPr>
                <w:noProof/>
                <w:color w:val="000000"/>
                <w:highlight w:val="black"/>
              </w:rPr>
              <w:t>''''''''''</w:t>
            </w:r>
            <w:r w:rsidR="00F80040" w:rsidRPr="00F80040">
              <w:t xml:space="preserve">% </w:t>
            </w:r>
            <w:r w:rsidR="007455B6" w:rsidRPr="00F80040">
              <w:t>for 2+</w:t>
            </w:r>
            <w:r w:rsidR="007455B6" w:rsidRPr="00D51D60">
              <w:t xml:space="preserve"> 1 dose from adjusted UK PHE Vaccination Program </w:t>
            </w:r>
          </w:p>
        </w:tc>
        <w:tc>
          <w:tcPr>
            <w:tcW w:w="1555" w:type="pct"/>
            <w:shd w:val="clear" w:color="auto" w:fill="auto"/>
            <w:vAlign w:val="center"/>
          </w:tcPr>
          <w:p w:rsidR="007455B6" w:rsidRPr="00D51D60" w:rsidRDefault="007455B6" w:rsidP="00BB196F">
            <w:pPr>
              <w:pStyle w:val="Tabletext"/>
              <w:keepNext/>
            </w:pPr>
            <w:r w:rsidRPr="00D51D60">
              <w:t>High, favours 4CMenB. Use of unadjusted VE point estimate from UK PHE Vaccination Program resulted in ICER of $</w:t>
            </w:r>
            <w:r w:rsidR="00BB196F">
              <w:rPr>
                <w:noProof/>
                <w:color w:val="000000"/>
                <w:highlight w:val="black"/>
              </w:rPr>
              <w:t>''''''''''''''''</w:t>
            </w:r>
            <w:r w:rsidRPr="00D51D60">
              <w:t>/QALY gained.</w:t>
            </w:r>
          </w:p>
        </w:tc>
        <w:tc>
          <w:tcPr>
            <w:tcW w:w="1528" w:type="pct"/>
            <w:shd w:val="clear" w:color="auto" w:fill="auto"/>
            <w:vAlign w:val="center"/>
          </w:tcPr>
          <w:p w:rsidR="007455B6" w:rsidRPr="00D51D60" w:rsidRDefault="007455B6" w:rsidP="00BB196F">
            <w:pPr>
              <w:pStyle w:val="Tabletext"/>
              <w:keepNext/>
            </w:pPr>
            <w:r w:rsidRPr="00D51D60">
              <w:t xml:space="preserve">High, favours 4CMenB. Use of unadjusted VE </w:t>
            </w:r>
            <w:r>
              <w:t xml:space="preserve">point estimates </w:t>
            </w:r>
            <w:r w:rsidRPr="00D51D60">
              <w:t>from UK PHE Vaccination Program resulted in ICER of $</w:t>
            </w:r>
            <w:r w:rsidR="00BB196F">
              <w:rPr>
                <w:noProof/>
                <w:color w:val="000000"/>
                <w:highlight w:val="black"/>
              </w:rPr>
              <w:t>'''''''''''''''</w:t>
            </w:r>
            <w:r w:rsidRPr="00D51D60">
              <w:t>/QALY gained.</w:t>
            </w:r>
          </w:p>
        </w:tc>
      </w:tr>
      <w:tr w:rsidR="007455B6" w:rsidRPr="00D51D60" w:rsidTr="00025E74">
        <w:tc>
          <w:tcPr>
            <w:tcW w:w="658" w:type="pct"/>
            <w:shd w:val="clear" w:color="auto" w:fill="auto"/>
            <w:vAlign w:val="center"/>
          </w:tcPr>
          <w:p w:rsidR="007455B6" w:rsidRPr="00D51D60" w:rsidRDefault="007455B6" w:rsidP="00BB196F">
            <w:pPr>
              <w:pStyle w:val="Tabletext"/>
              <w:keepNext/>
            </w:pPr>
            <w:r w:rsidRPr="00D51D60">
              <w:t>Inclusion of additional sequelae</w:t>
            </w:r>
          </w:p>
        </w:tc>
        <w:tc>
          <w:tcPr>
            <w:tcW w:w="1259" w:type="pct"/>
            <w:shd w:val="clear" w:color="auto" w:fill="auto"/>
            <w:vAlign w:val="center"/>
          </w:tcPr>
          <w:p w:rsidR="007455B6" w:rsidRPr="00D51D60" w:rsidRDefault="007455B6" w:rsidP="00BB196F">
            <w:pPr>
              <w:pStyle w:val="Tabletext"/>
              <w:keepNext/>
            </w:pPr>
            <w:r w:rsidRPr="00D51D60">
              <w:t>Additional sequelae blindness/severe visual impairment; Hearing loss - moderate bilateral; Hearing loss - unilateral/hearing impairment; Speech or communication problems; Mental retardation/low IQ; Motor deficits; Depression; Anxiety; Separation anxiety; ADHD</w:t>
            </w:r>
          </w:p>
        </w:tc>
        <w:tc>
          <w:tcPr>
            <w:tcW w:w="1555" w:type="pct"/>
            <w:shd w:val="clear" w:color="auto" w:fill="auto"/>
            <w:vAlign w:val="center"/>
          </w:tcPr>
          <w:p w:rsidR="007455B6" w:rsidRPr="00D51D60" w:rsidRDefault="007455B6" w:rsidP="00BB196F">
            <w:pPr>
              <w:pStyle w:val="Tabletext"/>
              <w:keepNext/>
            </w:pPr>
            <w:r w:rsidRPr="00D51D60">
              <w:rPr>
                <w:iCs/>
                <w:szCs w:val="20"/>
              </w:rPr>
              <w:t>High, removal of additional sequelae resulted $</w:t>
            </w:r>
            <w:r w:rsidR="00BB196F">
              <w:rPr>
                <w:iCs/>
                <w:noProof/>
                <w:color w:val="000000"/>
                <w:szCs w:val="20"/>
                <w:highlight w:val="black"/>
              </w:rPr>
              <w:t>'''''''''''''''''''</w:t>
            </w:r>
            <w:r w:rsidRPr="00D51D60">
              <w:rPr>
                <w:iCs/>
                <w:szCs w:val="20"/>
              </w:rPr>
              <w:t>/</w:t>
            </w:r>
            <w:r w:rsidRPr="00D51D60">
              <w:t>QALY gained.</w:t>
            </w:r>
          </w:p>
        </w:tc>
        <w:tc>
          <w:tcPr>
            <w:tcW w:w="1528" w:type="pct"/>
            <w:shd w:val="clear" w:color="auto" w:fill="auto"/>
            <w:vAlign w:val="center"/>
          </w:tcPr>
          <w:p w:rsidR="007455B6" w:rsidRPr="00D51D60" w:rsidRDefault="007455B6" w:rsidP="00BB196F">
            <w:pPr>
              <w:pStyle w:val="Tabletext"/>
              <w:keepNext/>
              <w:rPr>
                <w:iCs/>
                <w:szCs w:val="20"/>
              </w:rPr>
            </w:pPr>
            <w:r w:rsidRPr="00D51D60">
              <w:t>High, removal of additional sequelae resulted $</w:t>
            </w:r>
            <w:r w:rsidR="00BB196F">
              <w:rPr>
                <w:noProof/>
                <w:color w:val="000000"/>
                <w:highlight w:val="black"/>
              </w:rPr>
              <w:t>''''''''''''''''</w:t>
            </w:r>
            <w:r w:rsidRPr="00D51D60">
              <w:t>/QALY gained.</w:t>
            </w:r>
          </w:p>
        </w:tc>
      </w:tr>
    </w:tbl>
    <w:p w:rsidR="003B61C2" w:rsidRPr="007108BC" w:rsidRDefault="003B61C2" w:rsidP="00BB196F">
      <w:pPr>
        <w:pStyle w:val="TableFooter"/>
        <w:keepNext/>
        <w:jc w:val="both"/>
      </w:pPr>
      <w:r w:rsidRPr="007108BC">
        <w:t>Abbreviations: 4CMenB=</w:t>
      </w:r>
      <w:r w:rsidR="00BD208C">
        <w:rPr>
          <w:szCs w:val="18"/>
        </w:rPr>
        <w:t xml:space="preserve"> Multi</w:t>
      </w:r>
      <w:r w:rsidRPr="007108BC">
        <w:rPr>
          <w:szCs w:val="18"/>
        </w:rPr>
        <w:t>component Meningococcal B Vaccine;</w:t>
      </w:r>
      <w:r w:rsidRPr="007108BC">
        <w:t xml:space="preserve"> ICER= incremental cost effectiveness ratio; p.a= per annum; QAF= quality of life adjustment factor; QALY= quality adjusted life years; UK PHE= United Kingdom Public Health England. </w:t>
      </w:r>
    </w:p>
    <w:p w:rsidR="003B61C2" w:rsidRPr="007108BC" w:rsidRDefault="003B61C2" w:rsidP="00BB196F">
      <w:pPr>
        <w:pStyle w:val="TableFooter"/>
        <w:keepNext/>
        <w:jc w:val="both"/>
      </w:pPr>
      <w:r w:rsidRPr="007108BC">
        <w:t xml:space="preserve">Source: Section 3.9 of the resubmission and compiled during the evaluation. </w:t>
      </w:r>
    </w:p>
    <w:p w:rsidR="003B61C2" w:rsidRPr="007108BC" w:rsidRDefault="003B61C2" w:rsidP="007108BC"/>
    <w:p w:rsidR="006C4051" w:rsidRPr="00025E74" w:rsidRDefault="003B61C2" w:rsidP="00025E74">
      <w:pPr>
        <w:pStyle w:val="bulletnumberedstyle"/>
      </w:pPr>
      <w:r w:rsidRPr="007108BC">
        <w:t>The results of the stepped economic evaluation in the General population and the Aboriginal and Torres Strait Islander population are presented in Table 1</w:t>
      </w:r>
      <w:r w:rsidR="008554CA">
        <w:t>1</w:t>
      </w:r>
      <w:r w:rsidRPr="007108BC">
        <w:t xml:space="preserve"> and Table 1</w:t>
      </w:r>
      <w:r w:rsidR="008554CA">
        <w:t>2</w:t>
      </w:r>
      <w:r w:rsidRPr="007108BC">
        <w:t xml:space="preserve"> respectively. </w:t>
      </w:r>
      <w:r w:rsidRPr="00D51D60">
        <w:t xml:space="preserve">The impact of adjusting the life years gained (LYG) for </w:t>
      </w:r>
      <w:r w:rsidR="000B593C">
        <w:t>quality of life l</w:t>
      </w:r>
      <w:r w:rsidRPr="00D51D60">
        <w:t>eads to a decrease in the ICER from</w:t>
      </w:r>
      <w:r w:rsidR="00577361">
        <w:t xml:space="preserve"> more than</w:t>
      </w:r>
      <w:r w:rsidRPr="00D51D60">
        <w:t xml:space="preserve"> $</w:t>
      </w:r>
      <w:r w:rsidR="00577361">
        <w:t>200,000</w:t>
      </w:r>
      <w:r w:rsidRPr="00D51D60">
        <w:t>/LYG to $</w:t>
      </w:r>
      <w:r w:rsidR="00577361">
        <w:t>1</w:t>
      </w:r>
      <w:r w:rsidR="006D4D47">
        <w:t>5,000/QALY - $45,000</w:t>
      </w:r>
      <w:r w:rsidRPr="00D51D60">
        <w:t xml:space="preserve">/QALY in the </w:t>
      </w:r>
      <w:r w:rsidR="00FA0B0C">
        <w:t>G</w:t>
      </w:r>
      <w:r w:rsidRPr="00D51D60">
        <w:t>eneral population. Similarly, the ICER decreased from $</w:t>
      </w:r>
      <w:r w:rsidR="006D4D47">
        <w:t>1</w:t>
      </w:r>
      <w:r w:rsidR="00577361">
        <w:t>05</w:t>
      </w:r>
      <w:r w:rsidR="006D4D47">
        <w:t>,000</w:t>
      </w:r>
      <w:r w:rsidRPr="00D51D60">
        <w:t>/LYG</w:t>
      </w:r>
      <w:r w:rsidR="006D4D47">
        <w:t xml:space="preserve"> - $</w:t>
      </w:r>
      <w:r w:rsidR="00577361">
        <w:t>200</w:t>
      </w:r>
      <w:r w:rsidR="006D4D47">
        <w:t>,000/LYG</w:t>
      </w:r>
      <w:r w:rsidRPr="00D51D60">
        <w:t xml:space="preserve"> to</w:t>
      </w:r>
      <w:r w:rsidR="00577361">
        <w:t xml:space="preserve"> less than</w:t>
      </w:r>
      <w:r w:rsidRPr="00D51D60">
        <w:t xml:space="preserve"> $</w:t>
      </w:r>
      <w:r w:rsidR="006D4D47">
        <w:t>15,000</w:t>
      </w:r>
      <w:r w:rsidRPr="00D51D60">
        <w:t xml:space="preserve">/QALY in the Aboriginal and Torres Strait Islander population. These results show that the </w:t>
      </w:r>
      <w:r w:rsidR="00EE0FB8">
        <w:t>assumed</w:t>
      </w:r>
      <w:r w:rsidR="00EE0FB8" w:rsidRPr="00D51D60">
        <w:t xml:space="preserve"> </w:t>
      </w:r>
      <w:r w:rsidRPr="00D51D60">
        <w:t xml:space="preserve">utilities are a driver of the results. </w:t>
      </w:r>
    </w:p>
    <w:p w:rsidR="003B61C2" w:rsidRPr="007108BC" w:rsidRDefault="008554CA" w:rsidP="00D47FDA">
      <w:pPr>
        <w:keepNext/>
        <w:keepLines/>
        <w:rPr>
          <w:rFonts w:ascii="Arial Narrow" w:hAnsi="Arial Narrow"/>
          <w:b/>
          <w:sz w:val="20"/>
          <w:szCs w:val="20"/>
        </w:rPr>
      </w:pPr>
      <w:r>
        <w:rPr>
          <w:rFonts w:ascii="Arial Narrow" w:hAnsi="Arial Narrow"/>
          <w:b/>
          <w:sz w:val="20"/>
          <w:szCs w:val="20"/>
        </w:rPr>
        <w:lastRenderedPageBreak/>
        <w:t>Table 11</w:t>
      </w:r>
      <w:r w:rsidR="003B61C2" w:rsidRPr="007108BC">
        <w:rPr>
          <w:rFonts w:ascii="Arial Narrow" w:hAnsi="Arial Narrow"/>
          <w:b/>
          <w:sz w:val="20"/>
          <w:szCs w:val="20"/>
        </w:rPr>
        <w:t>: Results of the stepped economic evaluation – General population</w:t>
      </w:r>
      <w:r w:rsidR="00EF4C8F">
        <w:rPr>
          <w:rFonts w:ascii="Arial Narrow" w:hAnsi="Arial Narrow"/>
          <w:b/>
          <w:sz w:val="20"/>
          <w:szCs w:val="20"/>
        </w:rPr>
        <w:t xml:space="preserve"> (</w:t>
      </w:r>
      <w:r w:rsidR="00EF4C8F" w:rsidRPr="00EF4C8F">
        <w:rPr>
          <w:rFonts w:ascii="Arial Narrow" w:hAnsi="Arial Narrow"/>
          <w:b/>
          <w:sz w:val="20"/>
          <w:szCs w:val="20"/>
        </w:rPr>
        <w:t>2,938,932 people vaccinated over model duration)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1: Results of the stepped economic evaluation – General population (2,938,932 people vaccinated over model duration)"/>
      </w:tblPr>
      <w:tblGrid>
        <w:gridCol w:w="2420"/>
        <w:gridCol w:w="2534"/>
        <w:gridCol w:w="1829"/>
        <w:gridCol w:w="2234"/>
      </w:tblGrid>
      <w:tr w:rsidR="003B61C2" w:rsidRPr="007108BC" w:rsidTr="00EF595C">
        <w:trPr>
          <w:tblHeader/>
        </w:trPr>
        <w:tc>
          <w:tcPr>
            <w:tcW w:w="1342" w:type="pct"/>
            <w:shd w:val="clear" w:color="auto" w:fill="auto"/>
            <w:vAlign w:val="center"/>
          </w:tcPr>
          <w:p w:rsidR="003B61C2" w:rsidRPr="007108BC" w:rsidRDefault="003B61C2" w:rsidP="00D47FDA">
            <w:pPr>
              <w:pStyle w:val="Tabletext"/>
              <w:keepNext/>
              <w:keepLines/>
              <w:rPr>
                <w:b/>
              </w:rPr>
            </w:pPr>
            <w:r w:rsidRPr="007108BC">
              <w:rPr>
                <w:b/>
              </w:rPr>
              <w:t>Step and component</w:t>
            </w:r>
          </w:p>
        </w:tc>
        <w:tc>
          <w:tcPr>
            <w:tcW w:w="1405" w:type="pct"/>
            <w:shd w:val="clear" w:color="auto" w:fill="auto"/>
            <w:vAlign w:val="center"/>
          </w:tcPr>
          <w:p w:rsidR="003B61C2" w:rsidRPr="007108BC" w:rsidRDefault="003B61C2" w:rsidP="00D47FDA">
            <w:pPr>
              <w:pStyle w:val="Tabletext"/>
              <w:keepNext/>
              <w:keepLines/>
              <w:jc w:val="center"/>
              <w:rPr>
                <w:b/>
              </w:rPr>
            </w:pPr>
            <w:r w:rsidRPr="007108BC">
              <w:rPr>
                <w:b/>
              </w:rPr>
              <w:t>Base case vaccination strategy</w:t>
            </w:r>
          </w:p>
        </w:tc>
        <w:tc>
          <w:tcPr>
            <w:tcW w:w="1014" w:type="pct"/>
            <w:shd w:val="clear" w:color="auto" w:fill="auto"/>
            <w:vAlign w:val="center"/>
          </w:tcPr>
          <w:p w:rsidR="003B61C2" w:rsidRPr="007108BC" w:rsidRDefault="003B61C2" w:rsidP="00D47FDA">
            <w:pPr>
              <w:pStyle w:val="Tabletext"/>
              <w:keepNext/>
              <w:keepLines/>
              <w:jc w:val="center"/>
              <w:rPr>
                <w:b/>
              </w:rPr>
            </w:pPr>
            <w:r w:rsidRPr="007108BC">
              <w:rPr>
                <w:b/>
              </w:rPr>
              <w:t>No vaccination</w:t>
            </w:r>
          </w:p>
        </w:tc>
        <w:tc>
          <w:tcPr>
            <w:tcW w:w="1239" w:type="pct"/>
            <w:shd w:val="clear" w:color="auto" w:fill="auto"/>
            <w:vAlign w:val="center"/>
          </w:tcPr>
          <w:p w:rsidR="003B61C2" w:rsidRPr="007108BC" w:rsidRDefault="003B61C2" w:rsidP="00D47FDA">
            <w:pPr>
              <w:pStyle w:val="Tabletext"/>
              <w:keepNext/>
              <w:keepLines/>
              <w:jc w:val="center"/>
              <w:rPr>
                <w:b/>
                <w:vertAlign w:val="superscript"/>
              </w:rPr>
            </w:pPr>
            <w:r w:rsidRPr="007108BC">
              <w:rPr>
                <w:b/>
              </w:rPr>
              <w:t>Increment</w:t>
            </w:r>
          </w:p>
        </w:tc>
      </w:tr>
      <w:tr w:rsidR="003B61C2" w:rsidRPr="007108BC" w:rsidTr="00EF595C">
        <w:tc>
          <w:tcPr>
            <w:tcW w:w="5000" w:type="pct"/>
            <w:gridSpan w:val="4"/>
            <w:shd w:val="clear" w:color="auto" w:fill="auto"/>
            <w:vAlign w:val="center"/>
          </w:tcPr>
          <w:p w:rsidR="003B61C2" w:rsidRPr="007108BC" w:rsidRDefault="003B61C2" w:rsidP="00D47FDA">
            <w:pPr>
              <w:pStyle w:val="Tabletext"/>
              <w:keepNext/>
              <w:keepLines/>
              <w:rPr>
                <w:b/>
              </w:rPr>
            </w:pPr>
            <w:r w:rsidRPr="007108BC">
              <w:rPr>
                <w:b/>
              </w:rPr>
              <w:t>Step 1: 5-year costs and outcomes for IMD avoided (no discounting)</w:t>
            </w:r>
          </w:p>
        </w:tc>
      </w:tr>
      <w:tr w:rsidR="003B61C2" w:rsidRPr="007108BC" w:rsidTr="00EF595C">
        <w:tc>
          <w:tcPr>
            <w:tcW w:w="1342" w:type="pct"/>
            <w:shd w:val="clear" w:color="auto" w:fill="auto"/>
            <w:vAlign w:val="center"/>
          </w:tcPr>
          <w:p w:rsidR="003B61C2" w:rsidRPr="007108BC" w:rsidRDefault="003B61C2" w:rsidP="00D47FDA">
            <w:pPr>
              <w:pStyle w:val="Tabletext"/>
              <w:keepNext/>
              <w:keepLines/>
              <w:rPr>
                <w:rFonts w:ascii="Times" w:hAnsi="Times"/>
              </w:rPr>
            </w:pPr>
            <w:r w:rsidRPr="007108BC">
              <w:t>Costs</w:t>
            </w:r>
          </w:p>
        </w:tc>
        <w:tc>
          <w:tcPr>
            <w:tcW w:w="1405" w:type="pct"/>
            <w:shd w:val="clear" w:color="auto" w:fill="auto"/>
          </w:tcPr>
          <w:p w:rsidR="003B61C2" w:rsidRPr="007108BC" w:rsidRDefault="003B61C2" w:rsidP="00D47FDA">
            <w:pPr>
              <w:pStyle w:val="Tabletext"/>
              <w:keepNext/>
              <w:keepLines/>
              <w:jc w:val="center"/>
              <w:rPr>
                <w:rFonts w:ascii="Times" w:hAnsi="Times"/>
              </w:rPr>
            </w:pPr>
            <w:r w:rsidRPr="007108BC">
              <w:t>$</w:t>
            </w:r>
            <w:r w:rsidR="00BB196F">
              <w:rPr>
                <w:noProof/>
                <w:color w:val="000000"/>
                <w:highlight w:val="black"/>
              </w:rPr>
              <w:t>''''''''''''''''''''''''''''''''</w:t>
            </w:r>
          </w:p>
        </w:tc>
        <w:tc>
          <w:tcPr>
            <w:tcW w:w="1014" w:type="pct"/>
            <w:shd w:val="clear" w:color="auto" w:fill="auto"/>
          </w:tcPr>
          <w:p w:rsidR="003B61C2" w:rsidRPr="007108BC" w:rsidRDefault="003B61C2" w:rsidP="00D47FDA">
            <w:pPr>
              <w:pStyle w:val="Tabletext"/>
              <w:keepNext/>
              <w:keepLines/>
              <w:jc w:val="center"/>
              <w:rPr>
                <w:rFonts w:ascii="Times" w:hAnsi="Times"/>
              </w:rPr>
            </w:pPr>
            <w:r w:rsidRPr="007108BC">
              <w:t>$</w:t>
            </w:r>
            <w:r w:rsidR="00BB196F">
              <w:rPr>
                <w:noProof/>
                <w:color w:val="000000"/>
                <w:highlight w:val="black"/>
              </w:rPr>
              <w:t>'''''''''''''''''''''''''''''''</w:t>
            </w:r>
          </w:p>
        </w:tc>
        <w:tc>
          <w:tcPr>
            <w:tcW w:w="1239" w:type="pct"/>
            <w:shd w:val="clear" w:color="auto" w:fill="auto"/>
          </w:tcPr>
          <w:p w:rsidR="003B61C2" w:rsidRPr="007108BC" w:rsidRDefault="003B61C2" w:rsidP="00D47FDA">
            <w:pPr>
              <w:pStyle w:val="Tabletext"/>
              <w:keepNext/>
              <w:keepLines/>
              <w:jc w:val="center"/>
              <w:rPr>
                <w:rFonts w:ascii="Times" w:hAnsi="Times"/>
              </w:rPr>
            </w:pPr>
            <w:r w:rsidRPr="007108BC">
              <w:t>$</w:t>
            </w:r>
            <w:r w:rsidR="00BB196F">
              <w:rPr>
                <w:noProof/>
                <w:color w:val="000000"/>
                <w:highlight w:val="black"/>
              </w:rPr>
              <w:t>'''''''''''''''''''''''''''</w:t>
            </w:r>
          </w:p>
        </w:tc>
      </w:tr>
      <w:tr w:rsidR="003B61C2" w:rsidRPr="007108BC" w:rsidTr="00EF595C">
        <w:tc>
          <w:tcPr>
            <w:tcW w:w="1342" w:type="pct"/>
            <w:shd w:val="clear" w:color="auto" w:fill="auto"/>
            <w:vAlign w:val="center"/>
          </w:tcPr>
          <w:p w:rsidR="003B61C2" w:rsidRPr="007108BC" w:rsidRDefault="003B61C2" w:rsidP="00D47FDA">
            <w:pPr>
              <w:pStyle w:val="Tabletext"/>
              <w:keepNext/>
              <w:keepLines/>
            </w:pPr>
            <w:r w:rsidRPr="007108BC">
              <w:t>IMD cases</w:t>
            </w:r>
          </w:p>
        </w:tc>
        <w:tc>
          <w:tcPr>
            <w:tcW w:w="1405" w:type="pct"/>
            <w:shd w:val="clear" w:color="auto" w:fill="auto"/>
          </w:tcPr>
          <w:p w:rsidR="003B61C2" w:rsidRPr="00BB196F" w:rsidRDefault="00BB196F" w:rsidP="00D47FDA">
            <w:pPr>
              <w:pStyle w:val="Tabletext"/>
              <w:keepNext/>
              <w:keepLines/>
              <w:jc w:val="center"/>
              <w:rPr>
                <w:highlight w:val="black"/>
              </w:rPr>
            </w:pPr>
            <w:r>
              <w:rPr>
                <w:noProof/>
                <w:color w:val="000000"/>
                <w:highlight w:val="black"/>
              </w:rPr>
              <w:t>''''''''''''''</w:t>
            </w:r>
          </w:p>
        </w:tc>
        <w:tc>
          <w:tcPr>
            <w:tcW w:w="1014" w:type="pct"/>
            <w:shd w:val="clear" w:color="auto" w:fill="auto"/>
          </w:tcPr>
          <w:p w:rsidR="003B61C2" w:rsidRPr="00BB196F" w:rsidRDefault="00BB196F" w:rsidP="00D47FDA">
            <w:pPr>
              <w:pStyle w:val="Tabletext"/>
              <w:keepNext/>
              <w:keepLines/>
              <w:jc w:val="center"/>
              <w:rPr>
                <w:highlight w:val="black"/>
              </w:rPr>
            </w:pPr>
            <w:r>
              <w:rPr>
                <w:noProof/>
                <w:color w:val="000000"/>
                <w:highlight w:val="black"/>
              </w:rPr>
              <w:t>''''''''''''</w:t>
            </w:r>
          </w:p>
        </w:tc>
        <w:tc>
          <w:tcPr>
            <w:tcW w:w="1239" w:type="pct"/>
            <w:shd w:val="clear" w:color="auto" w:fill="auto"/>
          </w:tcPr>
          <w:p w:rsidR="003B61C2" w:rsidRPr="007108BC" w:rsidRDefault="003B61C2" w:rsidP="00D47FDA">
            <w:pPr>
              <w:pStyle w:val="Tabletext"/>
              <w:keepNext/>
              <w:keepLines/>
              <w:jc w:val="center"/>
            </w:pPr>
            <w:r w:rsidRPr="007108BC">
              <w:t>-</w:t>
            </w:r>
            <w:r w:rsidR="00BB196F">
              <w:rPr>
                <w:noProof/>
                <w:color w:val="000000"/>
                <w:highlight w:val="black"/>
              </w:rPr>
              <w:t>''''''''''</w:t>
            </w:r>
            <w:r w:rsidRPr="007108BC">
              <w:rPr>
                <w:b/>
                <w:vertAlign w:val="superscript"/>
              </w:rPr>
              <w:t>a</w:t>
            </w:r>
          </w:p>
        </w:tc>
      </w:tr>
      <w:tr w:rsidR="003B61C2" w:rsidRPr="007108BC" w:rsidTr="00EF595C">
        <w:tc>
          <w:tcPr>
            <w:tcW w:w="3761" w:type="pct"/>
            <w:gridSpan w:val="3"/>
            <w:shd w:val="clear" w:color="auto" w:fill="auto"/>
            <w:vAlign w:val="center"/>
          </w:tcPr>
          <w:p w:rsidR="003B61C2" w:rsidRPr="007108BC" w:rsidRDefault="003B61C2" w:rsidP="00D47FDA">
            <w:pPr>
              <w:pStyle w:val="Tabletext"/>
              <w:keepNext/>
              <w:keepLines/>
              <w:rPr>
                <w:rFonts w:ascii="Times" w:hAnsi="Times"/>
              </w:rPr>
            </w:pPr>
            <w:r w:rsidRPr="007108BC">
              <w:t>Incremental cost/per IMD case avoided</w:t>
            </w:r>
          </w:p>
        </w:tc>
        <w:tc>
          <w:tcPr>
            <w:tcW w:w="1239" w:type="pct"/>
            <w:shd w:val="clear" w:color="auto" w:fill="auto"/>
            <w:vAlign w:val="center"/>
          </w:tcPr>
          <w:p w:rsidR="003B61C2" w:rsidRPr="007108BC" w:rsidRDefault="003B61C2" w:rsidP="00D47FDA">
            <w:pPr>
              <w:pStyle w:val="Tabletext"/>
              <w:keepNext/>
              <w:keepLines/>
              <w:jc w:val="center"/>
              <w:rPr>
                <w:rFonts w:ascii="Times" w:hAnsi="Times"/>
              </w:rPr>
            </w:pPr>
            <w:r w:rsidRPr="007108BC">
              <w:t>$</w:t>
            </w:r>
            <w:r w:rsidR="00BB196F">
              <w:rPr>
                <w:noProof/>
                <w:color w:val="000000"/>
                <w:highlight w:val="black"/>
              </w:rPr>
              <w:t>''''''''''''''''''</w:t>
            </w:r>
          </w:p>
        </w:tc>
      </w:tr>
      <w:tr w:rsidR="003B61C2" w:rsidRPr="007108BC" w:rsidTr="00EF595C">
        <w:tc>
          <w:tcPr>
            <w:tcW w:w="5000" w:type="pct"/>
            <w:gridSpan w:val="4"/>
            <w:shd w:val="clear" w:color="auto" w:fill="auto"/>
            <w:vAlign w:val="center"/>
          </w:tcPr>
          <w:p w:rsidR="003B61C2" w:rsidRPr="007108BC" w:rsidRDefault="003B61C2" w:rsidP="00D47FDA">
            <w:pPr>
              <w:pStyle w:val="Tabletext"/>
              <w:keepNext/>
              <w:keepLines/>
              <w:rPr>
                <w:b/>
              </w:rPr>
            </w:pPr>
            <w:r w:rsidRPr="007108BC">
              <w:rPr>
                <w:b/>
              </w:rPr>
              <w:t>Step 2: time horizon extended to 100 years (no discounting)</w:t>
            </w:r>
          </w:p>
        </w:tc>
      </w:tr>
      <w:tr w:rsidR="003B61C2" w:rsidRPr="007108BC" w:rsidTr="00EF595C">
        <w:tc>
          <w:tcPr>
            <w:tcW w:w="1342" w:type="pct"/>
            <w:shd w:val="clear" w:color="auto" w:fill="auto"/>
            <w:vAlign w:val="center"/>
          </w:tcPr>
          <w:p w:rsidR="003B61C2" w:rsidRPr="007108BC" w:rsidRDefault="003B61C2" w:rsidP="00D47FDA">
            <w:pPr>
              <w:pStyle w:val="Tabletext"/>
              <w:keepNext/>
              <w:keepLines/>
              <w:rPr>
                <w:rFonts w:ascii="Times" w:hAnsi="Times"/>
              </w:rPr>
            </w:pPr>
            <w:r w:rsidRPr="007108BC">
              <w:t>Costs</w:t>
            </w:r>
          </w:p>
        </w:tc>
        <w:tc>
          <w:tcPr>
            <w:tcW w:w="1405" w:type="pct"/>
            <w:shd w:val="clear" w:color="auto" w:fill="auto"/>
          </w:tcPr>
          <w:p w:rsidR="003B61C2" w:rsidRPr="007108BC" w:rsidRDefault="003B61C2" w:rsidP="00D47FDA">
            <w:pPr>
              <w:pStyle w:val="Tabletext"/>
              <w:keepNext/>
              <w:keepLines/>
              <w:jc w:val="center"/>
              <w:rPr>
                <w:rFonts w:ascii="Times" w:hAnsi="Times"/>
              </w:rPr>
            </w:pPr>
            <w:r w:rsidRPr="007108BC">
              <w:t>$</w:t>
            </w:r>
            <w:r w:rsidR="00BB196F">
              <w:rPr>
                <w:noProof/>
                <w:color w:val="000000"/>
                <w:highlight w:val="black"/>
              </w:rPr>
              <w:t>''''''''''''''''''''''''''''''''''</w:t>
            </w:r>
          </w:p>
        </w:tc>
        <w:tc>
          <w:tcPr>
            <w:tcW w:w="1014" w:type="pct"/>
            <w:shd w:val="clear" w:color="auto" w:fill="auto"/>
          </w:tcPr>
          <w:p w:rsidR="003B61C2" w:rsidRPr="007108BC" w:rsidRDefault="003B61C2" w:rsidP="00D47FDA">
            <w:pPr>
              <w:pStyle w:val="Tabletext"/>
              <w:keepNext/>
              <w:keepLines/>
              <w:jc w:val="center"/>
              <w:rPr>
                <w:rFonts w:ascii="Times" w:hAnsi="Times"/>
              </w:rPr>
            </w:pPr>
            <w:r w:rsidRPr="007108BC">
              <w:t>$</w:t>
            </w:r>
            <w:r w:rsidR="00BB196F">
              <w:rPr>
                <w:noProof/>
                <w:color w:val="000000"/>
                <w:highlight w:val="black"/>
              </w:rPr>
              <w:t>'''''''''''''''''''''''''''''''''''''</w:t>
            </w:r>
          </w:p>
        </w:tc>
        <w:tc>
          <w:tcPr>
            <w:tcW w:w="1239" w:type="pct"/>
            <w:shd w:val="clear" w:color="auto" w:fill="auto"/>
          </w:tcPr>
          <w:p w:rsidR="003B61C2" w:rsidRPr="007108BC" w:rsidRDefault="003B61C2" w:rsidP="00D47FDA">
            <w:pPr>
              <w:pStyle w:val="Tabletext"/>
              <w:keepNext/>
              <w:keepLines/>
              <w:jc w:val="center"/>
              <w:rPr>
                <w:rFonts w:ascii="Times" w:hAnsi="Times"/>
              </w:rPr>
            </w:pPr>
            <w:r w:rsidRPr="007108BC">
              <w:t>-$</w:t>
            </w:r>
            <w:r w:rsidR="00BB196F">
              <w:rPr>
                <w:noProof/>
                <w:color w:val="000000"/>
                <w:highlight w:val="black"/>
              </w:rPr>
              <w:t>'''''''''''''''''''''''''''''''</w:t>
            </w:r>
          </w:p>
        </w:tc>
      </w:tr>
      <w:tr w:rsidR="003B61C2" w:rsidRPr="007108BC" w:rsidTr="00EF595C">
        <w:tc>
          <w:tcPr>
            <w:tcW w:w="1342" w:type="pct"/>
            <w:shd w:val="clear" w:color="auto" w:fill="auto"/>
            <w:vAlign w:val="center"/>
          </w:tcPr>
          <w:p w:rsidR="003B61C2" w:rsidRPr="007108BC" w:rsidRDefault="003B61C2" w:rsidP="00D47FDA">
            <w:pPr>
              <w:pStyle w:val="Tabletext"/>
              <w:keepNext/>
              <w:keepLines/>
              <w:rPr>
                <w:rFonts w:ascii="Times" w:hAnsi="Times"/>
              </w:rPr>
            </w:pPr>
            <w:r w:rsidRPr="007108BC">
              <w:t>IMD cases</w:t>
            </w:r>
          </w:p>
        </w:tc>
        <w:tc>
          <w:tcPr>
            <w:tcW w:w="1405" w:type="pct"/>
            <w:shd w:val="clear" w:color="auto" w:fill="auto"/>
          </w:tcPr>
          <w:p w:rsidR="003B61C2" w:rsidRPr="00BB196F" w:rsidRDefault="00BB196F" w:rsidP="00D47FDA">
            <w:pPr>
              <w:pStyle w:val="Tabletext"/>
              <w:keepNext/>
              <w:keepLines/>
              <w:jc w:val="center"/>
              <w:rPr>
                <w:rFonts w:ascii="Times" w:hAnsi="Times"/>
                <w:highlight w:val="black"/>
                <w:vertAlign w:val="superscript"/>
              </w:rPr>
            </w:pPr>
            <w:r>
              <w:rPr>
                <w:noProof/>
                <w:color w:val="000000"/>
                <w:highlight w:val="black"/>
              </w:rPr>
              <w:t>''''''''''''''''</w:t>
            </w:r>
          </w:p>
        </w:tc>
        <w:tc>
          <w:tcPr>
            <w:tcW w:w="1014" w:type="pct"/>
            <w:shd w:val="clear" w:color="auto" w:fill="auto"/>
          </w:tcPr>
          <w:p w:rsidR="003B61C2" w:rsidRPr="00BB196F" w:rsidRDefault="00BB196F" w:rsidP="00D47FDA">
            <w:pPr>
              <w:pStyle w:val="Tabletext"/>
              <w:keepNext/>
              <w:keepLines/>
              <w:jc w:val="center"/>
              <w:rPr>
                <w:rFonts w:ascii="Times" w:hAnsi="Times"/>
                <w:highlight w:val="black"/>
              </w:rPr>
            </w:pPr>
            <w:r>
              <w:rPr>
                <w:noProof/>
                <w:color w:val="000000"/>
                <w:highlight w:val="black"/>
              </w:rPr>
              <w:t>''''''''''''''''</w:t>
            </w:r>
          </w:p>
        </w:tc>
        <w:tc>
          <w:tcPr>
            <w:tcW w:w="1239" w:type="pct"/>
            <w:shd w:val="clear" w:color="auto" w:fill="auto"/>
          </w:tcPr>
          <w:p w:rsidR="003B61C2" w:rsidRPr="007108BC" w:rsidRDefault="003B61C2" w:rsidP="00D47FDA">
            <w:pPr>
              <w:pStyle w:val="Tabletext"/>
              <w:keepNext/>
              <w:keepLines/>
              <w:jc w:val="center"/>
            </w:pPr>
            <w:r w:rsidRPr="007108BC">
              <w:t>-</w:t>
            </w:r>
            <w:r w:rsidR="00BB196F">
              <w:rPr>
                <w:noProof/>
                <w:color w:val="000000"/>
                <w:highlight w:val="black"/>
              </w:rPr>
              <w:t>''''''''''''''</w:t>
            </w:r>
            <w:r w:rsidRPr="007108BC">
              <w:rPr>
                <w:b/>
                <w:vertAlign w:val="superscript"/>
              </w:rPr>
              <w:t>a</w:t>
            </w:r>
          </w:p>
        </w:tc>
      </w:tr>
      <w:tr w:rsidR="003B61C2" w:rsidRPr="007108BC" w:rsidTr="00EF595C">
        <w:tc>
          <w:tcPr>
            <w:tcW w:w="3761" w:type="pct"/>
            <w:gridSpan w:val="3"/>
            <w:shd w:val="clear" w:color="auto" w:fill="auto"/>
            <w:vAlign w:val="center"/>
          </w:tcPr>
          <w:p w:rsidR="003B61C2" w:rsidRPr="007108BC" w:rsidRDefault="003B61C2" w:rsidP="00D47FDA">
            <w:pPr>
              <w:pStyle w:val="Tabletext"/>
              <w:keepNext/>
              <w:keepLines/>
              <w:rPr>
                <w:rFonts w:ascii="Times" w:hAnsi="Times"/>
              </w:rPr>
            </w:pPr>
            <w:r w:rsidRPr="007108BC">
              <w:t>Incremental cost/per IMD case avoided</w:t>
            </w:r>
          </w:p>
        </w:tc>
        <w:tc>
          <w:tcPr>
            <w:tcW w:w="1239" w:type="pct"/>
            <w:shd w:val="clear" w:color="auto" w:fill="auto"/>
            <w:vAlign w:val="center"/>
          </w:tcPr>
          <w:p w:rsidR="003B61C2" w:rsidRPr="007108BC" w:rsidRDefault="003B61C2" w:rsidP="00D47FDA">
            <w:pPr>
              <w:pStyle w:val="Tabletext"/>
              <w:keepNext/>
              <w:keepLines/>
              <w:jc w:val="center"/>
              <w:rPr>
                <w:rFonts w:ascii="Times" w:hAnsi="Times"/>
              </w:rPr>
            </w:pPr>
            <w:r w:rsidRPr="007108BC">
              <w:t>Dominant</w:t>
            </w:r>
          </w:p>
        </w:tc>
      </w:tr>
      <w:tr w:rsidR="003B61C2" w:rsidRPr="00D51D60" w:rsidTr="00EF595C">
        <w:tc>
          <w:tcPr>
            <w:tcW w:w="5000" w:type="pct"/>
            <w:gridSpan w:val="4"/>
            <w:shd w:val="clear" w:color="auto" w:fill="auto"/>
            <w:vAlign w:val="center"/>
          </w:tcPr>
          <w:p w:rsidR="003B61C2" w:rsidRPr="00F86E50" w:rsidRDefault="003B61C2" w:rsidP="00D47FDA">
            <w:pPr>
              <w:pStyle w:val="Tabletext"/>
              <w:keepNext/>
              <w:keepLines/>
              <w:rPr>
                <w:b/>
              </w:rPr>
            </w:pPr>
            <w:r w:rsidRPr="00F86E50">
              <w:rPr>
                <w:b/>
              </w:rPr>
              <w:t>Step 3: time horizon 100 years, discounting (3.5%)</w:t>
            </w:r>
          </w:p>
        </w:tc>
      </w:tr>
      <w:tr w:rsidR="003B61C2" w:rsidRPr="007108BC" w:rsidTr="00EF595C">
        <w:tc>
          <w:tcPr>
            <w:tcW w:w="1342" w:type="pct"/>
            <w:shd w:val="clear" w:color="auto" w:fill="auto"/>
            <w:vAlign w:val="center"/>
          </w:tcPr>
          <w:p w:rsidR="003B61C2" w:rsidRPr="007108BC" w:rsidRDefault="003B61C2" w:rsidP="00D47FDA">
            <w:pPr>
              <w:pStyle w:val="Tabletext"/>
              <w:keepNext/>
              <w:keepLines/>
              <w:rPr>
                <w:rFonts w:ascii="Times" w:hAnsi="Times"/>
              </w:rPr>
            </w:pPr>
            <w:r w:rsidRPr="007108BC">
              <w:t>Costs</w:t>
            </w:r>
          </w:p>
        </w:tc>
        <w:tc>
          <w:tcPr>
            <w:tcW w:w="1405" w:type="pct"/>
            <w:shd w:val="clear" w:color="auto" w:fill="auto"/>
          </w:tcPr>
          <w:p w:rsidR="003B61C2" w:rsidRPr="007108BC" w:rsidRDefault="003B61C2" w:rsidP="00D47FDA">
            <w:pPr>
              <w:pStyle w:val="Tabletext"/>
              <w:keepNext/>
              <w:keepLines/>
              <w:jc w:val="center"/>
              <w:rPr>
                <w:rFonts w:ascii="Times" w:hAnsi="Times"/>
              </w:rPr>
            </w:pPr>
            <w:r w:rsidRPr="007108BC">
              <w:t>$</w:t>
            </w:r>
            <w:r w:rsidR="00BB196F">
              <w:rPr>
                <w:noProof/>
                <w:color w:val="000000"/>
                <w:highlight w:val="black"/>
              </w:rPr>
              <w:t>''''''''''''''''''''''''''''''''</w:t>
            </w:r>
          </w:p>
        </w:tc>
        <w:tc>
          <w:tcPr>
            <w:tcW w:w="1014" w:type="pct"/>
            <w:shd w:val="clear" w:color="auto" w:fill="auto"/>
          </w:tcPr>
          <w:p w:rsidR="003B61C2" w:rsidRPr="007108BC" w:rsidRDefault="003B61C2" w:rsidP="00D47FDA">
            <w:pPr>
              <w:pStyle w:val="Tabletext"/>
              <w:keepNext/>
              <w:keepLines/>
              <w:jc w:val="center"/>
              <w:rPr>
                <w:rFonts w:ascii="Times" w:hAnsi="Times"/>
              </w:rPr>
            </w:pPr>
            <w:r w:rsidRPr="007108BC">
              <w:t>$</w:t>
            </w:r>
            <w:r w:rsidR="00BB196F">
              <w:rPr>
                <w:noProof/>
                <w:color w:val="000000"/>
                <w:highlight w:val="black"/>
              </w:rPr>
              <w:t>'''''''''''''''''''''''''''''''''''</w:t>
            </w:r>
          </w:p>
        </w:tc>
        <w:tc>
          <w:tcPr>
            <w:tcW w:w="1239" w:type="pct"/>
            <w:shd w:val="clear" w:color="auto" w:fill="auto"/>
          </w:tcPr>
          <w:p w:rsidR="003B61C2" w:rsidRPr="007108BC" w:rsidRDefault="003B61C2" w:rsidP="00D47FDA">
            <w:pPr>
              <w:pStyle w:val="Tabletext"/>
              <w:keepNext/>
              <w:keepLines/>
              <w:jc w:val="center"/>
              <w:rPr>
                <w:rFonts w:ascii="Times" w:hAnsi="Times"/>
                <w:i/>
              </w:rPr>
            </w:pPr>
            <w:r w:rsidRPr="007108BC">
              <w:t>$</w:t>
            </w:r>
            <w:r w:rsidR="00BB196F">
              <w:rPr>
                <w:noProof/>
                <w:color w:val="000000"/>
                <w:highlight w:val="black"/>
              </w:rPr>
              <w:t>'''''''''''''''''''''''''''</w:t>
            </w:r>
          </w:p>
        </w:tc>
      </w:tr>
      <w:tr w:rsidR="003B61C2" w:rsidRPr="007108BC" w:rsidTr="00EF595C">
        <w:tc>
          <w:tcPr>
            <w:tcW w:w="1342" w:type="pct"/>
            <w:shd w:val="clear" w:color="auto" w:fill="auto"/>
            <w:vAlign w:val="center"/>
          </w:tcPr>
          <w:p w:rsidR="003B61C2" w:rsidRPr="007108BC" w:rsidRDefault="003B61C2" w:rsidP="00D47FDA">
            <w:pPr>
              <w:pStyle w:val="Tabletext"/>
              <w:keepNext/>
              <w:keepLines/>
              <w:rPr>
                <w:rFonts w:ascii="Times" w:hAnsi="Times"/>
              </w:rPr>
            </w:pPr>
            <w:r w:rsidRPr="007108BC">
              <w:t>IMD cases</w:t>
            </w:r>
          </w:p>
        </w:tc>
        <w:tc>
          <w:tcPr>
            <w:tcW w:w="1405" w:type="pct"/>
            <w:shd w:val="clear" w:color="auto" w:fill="auto"/>
          </w:tcPr>
          <w:p w:rsidR="003B61C2" w:rsidRPr="00BB196F" w:rsidRDefault="00BB196F" w:rsidP="00D47FDA">
            <w:pPr>
              <w:pStyle w:val="Tabletext"/>
              <w:keepNext/>
              <w:keepLines/>
              <w:jc w:val="center"/>
              <w:rPr>
                <w:rFonts w:ascii="Times" w:hAnsi="Times"/>
                <w:highlight w:val="black"/>
              </w:rPr>
            </w:pPr>
            <w:r>
              <w:rPr>
                <w:noProof/>
                <w:color w:val="000000"/>
                <w:highlight w:val="black"/>
              </w:rPr>
              <w:t>'''''''''''''''</w:t>
            </w:r>
          </w:p>
        </w:tc>
        <w:tc>
          <w:tcPr>
            <w:tcW w:w="1014" w:type="pct"/>
            <w:shd w:val="clear" w:color="auto" w:fill="auto"/>
          </w:tcPr>
          <w:p w:rsidR="003B61C2" w:rsidRPr="00BB196F" w:rsidRDefault="00BB196F" w:rsidP="00D47FDA">
            <w:pPr>
              <w:pStyle w:val="Tabletext"/>
              <w:keepNext/>
              <w:keepLines/>
              <w:jc w:val="center"/>
              <w:rPr>
                <w:rFonts w:ascii="Times" w:hAnsi="Times"/>
                <w:highlight w:val="black"/>
              </w:rPr>
            </w:pPr>
            <w:r>
              <w:rPr>
                <w:noProof/>
                <w:color w:val="000000"/>
                <w:highlight w:val="black"/>
              </w:rPr>
              <w:t>'''''''''''''''''</w:t>
            </w:r>
          </w:p>
        </w:tc>
        <w:tc>
          <w:tcPr>
            <w:tcW w:w="1239" w:type="pct"/>
            <w:shd w:val="clear" w:color="auto" w:fill="auto"/>
          </w:tcPr>
          <w:p w:rsidR="003B61C2" w:rsidRPr="007108BC" w:rsidRDefault="003B61C2" w:rsidP="00D47FDA">
            <w:pPr>
              <w:pStyle w:val="Tabletext"/>
              <w:keepNext/>
              <w:keepLines/>
              <w:jc w:val="center"/>
              <w:rPr>
                <w:i/>
              </w:rPr>
            </w:pPr>
            <w:r w:rsidRPr="007108BC">
              <w:t>-</w:t>
            </w:r>
            <w:r w:rsidR="00BB196F">
              <w:rPr>
                <w:noProof/>
                <w:color w:val="000000"/>
                <w:highlight w:val="black"/>
              </w:rPr>
              <w:t>'''''''''''''</w:t>
            </w:r>
            <w:r w:rsidRPr="007108BC">
              <w:rPr>
                <w:b/>
                <w:vertAlign w:val="superscript"/>
              </w:rPr>
              <w:t>a</w:t>
            </w:r>
          </w:p>
        </w:tc>
      </w:tr>
      <w:tr w:rsidR="003B61C2" w:rsidRPr="007108BC" w:rsidTr="00EF595C">
        <w:tc>
          <w:tcPr>
            <w:tcW w:w="3761" w:type="pct"/>
            <w:gridSpan w:val="3"/>
            <w:shd w:val="clear" w:color="auto" w:fill="auto"/>
            <w:vAlign w:val="center"/>
          </w:tcPr>
          <w:p w:rsidR="003B61C2" w:rsidRPr="007108BC" w:rsidRDefault="003B61C2" w:rsidP="00D47FDA">
            <w:pPr>
              <w:pStyle w:val="Tabletext"/>
              <w:keepNext/>
              <w:keepLines/>
              <w:rPr>
                <w:rFonts w:ascii="Times" w:hAnsi="Times"/>
              </w:rPr>
            </w:pPr>
            <w:r w:rsidRPr="007108BC">
              <w:t>Incremental cost/per IMD case avoided</w:t>
            </w:r>
          </w:p>
        </w:tc>
        <w:tc>
          <w:tcPr>
            <w:tcW w:w="1239" w:type="pct"/>
            <w:shd w:val="clear" w:color="auto" w:fill="auto"/>
            <w:vAlign w:val="center"/>
          </w:tcPr>
          <w:p w:rsidR="003B61C2" w:rsidRPr="007108BC" w:rsidRDefault="003B61C2" w:rsidP="00D47FDA">
            <w:pPr>
              <w:pStyle w:val="Tabletext"/>
              <w:keepNext/>
              <w:keepLines/>
              <w:jc w:val="center"/>
              <w:rPr>
                <w:rFonts w:ascii="Times" w:hAnsi="Times"/>
              </w:rPr>
            </w:pPr>
            <w:r w:rsidRPr="007108BC">
              <w:t>$</w:t>
            </w:r>
            <w:r w:rsidR="00BB196F">
              <w:rPr>
                <w:noProof/>
                <w:color w:val="000000"/>
                <w:highlight w:val="black"/>
              </w:rPr>
              <w:t>''''''''''''''''''''</w:t>
            </w:r>
          </w:p>
        </w:tc>
      </w:tr>
      <w:tr w:rsidR="003B61C2" w:rsidRPr="007108BC" w:rsidTr="00EF595C">
        <w:tc>
          <w:tcPr>
            <w:tcW w:w="5000" w:type="pct"/>
            <w:gridSpan w:val="4"/>
            <w:shd w:val="clear" w:color="auto" w:fill="auto"/>
            <w:vAlign w:val="center"/>
          </w:tcPr>
          <w:p w:rsidR="003B61C2" w:rsidRPr="007108BC" w:rsidRDefault="003B61C2" w:rsidP="00D47FDA">
            <w:pPr>
              <w:pStyle w:val="Tabletext"/>
              <w:keepNext/>
              <w:keepLines/>
            </w:pPr>
            <w:r w:rsidRPr="007108BC">
              <w:rPr>
                <w:b/>
              </w:rPr>
              <w:t>Step 4: time horizon 100 years, deaths avoided, discounting (3.5%)</w:t>
            </w:r>
          </w:p>
        </w:tc>
      </w:tr>
      <w:tr w:rsidR="003B61C2" w:rsidRPr="007108BC" w:rsidTr="00EF595C">
        <w:tc>
          <w:tcPr>
            <w:tcW w:w="1342" w:type="pct"/>
            <w:shd w:val="clear" w:color="auto" w:fill="auto"/>
            <w:vAlign w:val="center"/>
          </w:tcPr>
          <w:p w:rsidR="003B61C2" w:rsidRPr="007108BC" w:rsidRDefault="003B61C2" w:rsidP="00D47FDA">
            <w:pPr>
              <w:pStyle w:val="Tabletext"/>
              <w:keepNext/>
              <w:keepLines/>
            </w:pPr>
            <w:r w:rsidRPr="007108BC">
              <w:t>Costs</w:t>
            </w:r>
          </w:p>
        </w:tc>
        <w:tc>
          <w:tcPr>
            <w:tcW w:w="1405" w:type="pct"/>
            <w:shd w:val="clear" w:color="auto" w:fill="auto"/>
          </w:tcPr>
          <w:p w:rsidR="003B61C2" w:rsidRPr="007108BC" w:rsidRDefault="003B61C2" w:rsidP="00D47FDA">
            <w:pPr>
              <w:pStyle w:val="Tabletext"/>
              <w:keepNext/>
              <w:keepLines/>
              <w:jc w:val="center"/>
            </w:pPr>
            <w:r w:rsidRPr="007108BC">
              <w:t>$</w:t>
            </w:r>
            <w:r w:rsidR="00BB196F">
              <w:rPr>
                <w:noProof/>
                <w:color w:val="000000"/>
                <w:highlight w:val="black"/>
              </w:rPr>
              <w:t>'''''''''''''''''''''''''''''''''''</w:t>
            </w:r>
          </w:p>
        </w:tc>
        <w:tc>
          <w:tcPr>
            <w:tcW w:w="1014" w:type="pct"/>
            <w:shd w:val="clear" w:color="auto" w:fill="auto"/>
          </w:tcPr>
          <w:p w:rsidR="003B61C2" w:rsidRPr="007108BC" w:rsidRDefault="003B61C2" w:rsidP="00D47FDA">
            <w:pPr>
              <w:pStyle w:val="Tabletext"/>
              <w:keepNext/>
              <w:keepLines/>
              <w:jc w:val="center"/>
            </w:pPr>
            <w:r w:rsidRPr="007108BC">
              <w:t>$</w:t>
            </w:r>
            <w:r w:rsidR="00BB196F">
              <w:rPr>
                <w:noProof/>
                <w:color w:val="000000"/>
                <w:highlight w:val="black"/>
              </w:rPr>
              <w:t>''''''''''''''''''''''''''''''''</w:t>
            </w:r>
          </w:p>
        </w:tc>
        <w:tc>
          <w:tcPr>
            <w:tcW w:w="1239" w:type="pct"/>
            <w:shd w:val="clear" w:color="auto" w:fill="auto"/>
          </w:tcPr>
          <w:p w:rsidR="003B61C2" w:rsidRPr="007108BC" w:rsidRDefault="003B61C2" w:rsidP="00D47FDA">
            <w:pPr>
              <w:pStyle w:val="Tabletext"/>
              <w:keepNext/>
              <w:keepLines/>
              <w:jc w:val="center"/>
            </w:pPr>
            <w:r w:rsidRPr="007108BC">
              <w:t>$</w:t>
            </w:r>
            <w:r w:rsidR="00BB196F">
              <w:rPr>
                <w:noProof/>
                <w:color w:val="000000"/>
                <w:highlight w:val="black"/>
              </w:rPr>
              <w:t>'''''''''''''''''''''''''''''''</w:t>
            </w:r>
          </w:p>
        </w:tc>
      </w:tr>
      <w:tr w:rsidR="003B61C2" w:rsidRPr="007108BC" w:rsidTr="00EF595C">
        <w:tc>
          <w:tcPr>
            <w:tcW w:w="1342" w:type="pct"/>
            <w:shd w:val="clear" w:color="auto" w:fill="auto"/>
            <w:vAlign w:val="center"/>
          </w:tcPr>
          <w:p w:rsidR="003B61C2" w:rsidRPr="007108BC" w:rsidRDefault="003B61C2" w:rsidP="00D47FDA">
            <w:pPr>
              <w:pStyle w:val="Tabletext"/>
              <w:keepNext/>
              <w:keepLines/>
            </w:pPr>
            <w:r w:rsidRPr="007108BC">
              <w:t>Deaths</w:t>
            </w:r>
          </w:p>
        </w:tc>
        <w:tc>
          <w:tcPr>
            <w:tcW w:w="1405" w:type="pct"/>
            <w:shd w:val="clear" w:color="auto" w:fill="auto"/>
            <w:vAlign w:val="center"/>
          </w:tcPr>
          <w:p w:rsidR="003B61C2" w:rsidRPr="00BB196F" w:rsidRDefault="00BB196F" w:rsidP="00D47FDA">
            <w:pPr>
              <w:pStyle w:val="Tabletext"/>
              <w:keepNext/>
              <w:keepLines/>
              <w:jc w:val="center"/>
              <w:rPr>
                <w:highlight w:val="black"/>
              </w:rPr>
            </w:pPr>
            <w:r>
              <w:rPr>
                <w:noProof/>
                <w:color w:val="000000"/>
                <w:highlight w:val="black"/>
              </w:rPr>
              <w:t>'''''''''''''</w:t>
            </w:r>
          </w:p>
        </w:tc>
        <w:tc>
          <w:tcPr>
            <w:tcW w:w="1014" w:type="pct"/>
            <w:shd w:val="clear" w:color="auto" w:fill="auto"/>
            <w:vAlign w:val="center"/>
          </w:tcPr>
          <w:p w:rsidR="003B61C2" w:rsidRPr="00BB196F" w:rsidRDefault="00BB196F" w:rsidP="00D47FDA">
            <w:pPr>
              <w:pStyle w:val="Tabletext"/>
              <w:keepNext/>
              <w:keepLines/>
              <w:jc w:val="center"/>
              <w:rPr>
                <w:highlight w:val="black"/>
              </w:rPr>
            </w:pPr>
            <w:r>
              <w:rPr>
                <w:noProof/>
                <w:color w:val="000000"/>
                <w:highlight w:val="black"/>
              </w:rPr>
              <w:t>''''''''''''</w:t>
            </w:r>
          </w:p>
        </w:tc>
        <w:tc>
          <w:tcPr>
            <w:tcW w:w="1239" w:type="pct"/>
            <w:shd w:val="clear" w:color="auto" w:fill="auto"/>
            <w:vAlign w:val="center"/>
          </w:tcPr>
          <w:p w:rsidR="003B61C2" w:rsidRPr="007108BC" w:rsidRDefault="003B61C2" w:rsidP="00D47FDA">
            <w:pPr>
              <w:pStyle w:val="Tabletext"/>
              <w:keepNext/>
              <w:keepLines/>
              <w:jc w:val="center"/>
            </w:pPr>
            <w:r w:rsidRPr="007108BC">
              <w:t>-</w:t>
            </w:r>
            <w:r w:rsidR="00BB196F">
              <w:rPr>
                <w:noProof/>
                <w:color w:val="000000"/>
                <w:highlight w:val="black"/>
              </w:rPr>
              <w:t>'''''''''''''''</w:t>
            </w:r>
            <w:r w:rsidRPr="007108BC">
              <w:rPr>
                <w:b/>
                <w:vertAlign w:val="superscript"/>
              </w:rPr>
              <w:t>a</w:t>
            </w:r>
          </w:p>
        </w:tc>
      </w:tr>
      <w:tr w:rsidR="003B61C2" w:rsidRPr="007108BC" w:rsidTr="00EF595C">
        <w:tc>
          <w:tcPr>
            <w:tcW w:w="3761" w:type="pct"/>
            <w:gridSpan w:val="3"/>
            <w:shd w:val="clear" w:color="auto" w:fill="auto"/>
            <w:vAlign w:val="center"/>
          </w:tcPr>
          <w:p w:rsidR="003B61C2" w:rsidRPr="007108BC" w:rsidRDefault="003B61C2" w:rsidP="00D47FDA">
            <w:pPr>
              <w:pStyle w:val="Tabletext"/>
              <w:keepNext/>
              <w:keepLines/>
            </w:pPr>
            <w:r w:rsidRPr="007108BC">
              <w:t>Incremental cost/per death avoided</w:t>
            </w:r>
          </w:p>
        </w:tc>
        <w:tc>
          <w:tcPr>
            <w:tcW w:w="1239" w:type="pct"/>
            <w:shd w:val="clear" w:color="auto" w:fill="auto"/>
            <w:vAlign w:val="center"/>
          </w:tcPr>
          <w:p w:rsidR="003B61C2" w:rsidRPr="007108BC" w:rsidRDefault="003B61C2" w:rsidP="00D47FDA">
            <w:pPr>
              <w:pStyle w:val="Tabletext"/>
              <w:keepNext/>
              <w:keepLines/>
              <w:jc w:val="center"/>
            </w:pPr>
            <w:r w:rsidRPr="007108BC">
              <w:t>$</w:t>
            </w:r>
            <w:r w:rsidR="00BB196F">
              <w:rPr>
                <w:noProof/>
                <w:color w:val="000000"/>
                <w:highlight w:val="black"/>
              </w:rPr>
              <w:t>'''''''''''''''''''''''''</w:t>
            </w:r>
          </w:p>
        </w:tc>
      </w:tr>
      <w:tr w:rsidR="003B61C2" w:rsidRPr="007108BC" w:rsidTr="00EF595C">
        <w:tc>
          <w:tcPr>
            <w:tcW w:w="5000" w:type="pct"/>
            <w:gridSpan w:val="4"/>
            <w:shd w:val="clear" w:color="auto" w:fill="auto"/>
            <w:vAlign w:val="center"/>
          </w:tcPr>
          <w:p w:rsidR="003B61C2" w:rsidRPr="007108BC" w:rsidRDefault="003B61C2" w:rsidP="00D47FDA">
            <w:pPr>
              <w:pStyle w:val="Tabletext"/>
              <w:keepNext/>
              <w:keepLines/>
            </w:pPr>
            <w:r w:rsidRPr="007108BC">
              <w:rPr>
                <w:b/>
              </w:rPr>
              <w:t>Step 5: time horizon 100 years, LYG, discounting (3.5%)</w:t>
            </w:r>
          </w:p>
        </w:tc>
      </w:tr>
      <w:tr w:rsidR="003B61C2" w:rsidRPr="007108BC" w:rsidTr="00EF595C">
        <w:tc>
          <w:tcPr>
            <w:tcW w:w="1342" w:type="pct"/>
            <w:shd w:val="clear" w:color="auto" w:fill="auto"/>
            <w:vAlign w:val="center"/>
          </w:tcPr>
          <w:p w:rsidR="003B61C2" w:rsidRPr="007108BC" w:rsidRDefault="003B61C2" w:rsidP="00D47FDA">
            <w:pPr>
              <w:pStyle w:val="Tabletext"/>
              <w:keepNext/>
              <w:keepLines/>
            </w:pPr>
            <w:r w:rsidRPr="007108BC">
              <w:t>Costs</w:t>
            </w:r>
          </w:p>
        </w:tc>
        <w:tc>
          <w:tcPr>
            <w:tcW w:w="1405" w:type="pct"/>
            <w:shd w:val="clear" w:color="auto" w:fill="auto"/>
          </w:tcPr>
          <w:p w:rsidR="003B61C2" w:rsidRPr="007108BC" w:rsidRDefault="003B61C2" w:rsidP="00D47FDA">
            <w:pPr>
              <w:pStyle w:val="Tabletext"/>
              <w:keepNext/>
              <w:keepLines/>
              <w:jc w:val="center"/>
            </w:pPr>
            <w:r w:rsidRPr="007108BC">
              <w:t>$</w:t>
            </w:r>
            <w:r w:rsidR="00BB196F">
              <w:rPr>
                <w:noProof/>
                <w:color w:val="000000"/>
                <w:highlight w:val="black"/>
              </w:rPr>
              <w:t>''''''''''''''''''''''''''''''''</w:t>
            </w:r>
          </w:p>
        </w:tc>
        <w:tc>
          <w:tcPr>
            <w:tcW w:w="1014" w:type="pct"/>
            <w:shd w:val="clear" w:color="auto" w:fill="auto"/>
          </w:tcPr>
          <w:p w:rsidR="003B61C2" w:rsidRPr="007108BC" w:rsidRDefault="003B61C2" w:rsidP="00D47FDA">
            <w:pPr>
              <w:pStyle w:val="Tabletext"/>
              <w:keepNext/>
              <w:keepLines/>
              <w:jc w:val="center"/>
            </w:pPr>
            <w:r w:rsidRPr="007108BC">
              <w:t>$</w:t>
            </w:r>
            <w:r w:rsidR="00BB196F">
              <w:rPr>
                <w:noProof/>
                <w:color w:val="000000"/>
                <w:highlight w:val="black"/>
              </w:rPr>
              <w:t>''''''''''''''''''''''''''''''''''''</w:t>
            </w:r>
          </w:p>
        </w:tc>
        <w:tc>
          <w:tcPr>
            <w:tcW w:w="1239" w:type="pct"/>
            <w:shd w:val="clear" w:color="auto" w:fill="auto"/>
          </w:tcPr>
          <w:p w:rsidR="003B61C2" w:rsidRPr="007108BC" w:rsidRDefault="003B61C2" w:rsidP="00D47FDA">
            <w:pPr>
              <w:pStyle w:val="Tabletext"/>
              <w:keepNext/>
              <w:keepLines/>
              <w:jc w:val="center"/>
            </w:pPr>
            <w:r w:rsidRPr="007108BC">
              <w:t>$</w:t>
            </w:r>
            <w:r w:rsidR="00BB196F">
              <w:rPr>
                <w:noProof/>
                <w:color w:val="000000"/>
                <w:highlight w:val="black"/>
              </w:rPr>
              <w:t>''''''''''''''''''''''''''''</w:t>
            </w:r>
          </w:p>
        </w:tc>
      </w:tr>
      <w:tr w:rsidR="003B61C2" w:rsidRPr="007108BC" w:rsidTr="00EF595C">
        <w:tc>
          <w:tcPr>
            <w:tcW w:w="1342" w:type="pct"/>
            <w:shd w:val="clear" w:color="auto" w:fill="auto"/>
            <w:vAlign w:val="center"/>
          </w:tcPr>
          <w:p w:rsidR="003B61C2" w:rsidRPr="007108BC" w:rsidRDefault="003B61C2" w:rsidP="00D47FDA">
            <w:pPr>
              <w:pStyle w:val="Tabletext"/>
              <w:keepNext/>
              <w:keepLines/>
            </w:pPr>
            <w:r w:rsidRPr="007108BC">
              <w:t>Life years lost</w:t>
            </w:r>
          </w:p>
        </w:tc>
        <w:tc>
          <w:tcPr>
            <w:tcW w:w="1405" w:type="pct"/>
            <w:shd w:val="clear" w:color="auto" w:fill="auto"/>
          </w:tcPr>
          <w:p w:rsidR="003B61C2" w:rsidRPr="00BB196F" w:rsidRDefault="00BB196F" w:rsidP="00D47FDA">
            <w:pPr>
              <w:pStyle w:val="Tabletext"/>
              <w:keepNext/>
              <w:keepLines/>
              <w:jc w:val="center"/>
              <w:rPr>
                <w:highlight w:val="black"/>
              </w:rPr>
            </w:pPr>
            <w:r>
              <w:rPr>
                <w:noProof/>
                <w:color w:val="000000"/>
                <w:highlight w:val="black"/>
              </w:rPr>
              <w:t>''''''''''''''''</w:t>
            </w:r>
          </w:p>
        </w:tc>
        <w:tc>
          <w:tcPr>
            <w:tcW w:w="1014" w:type="pct"/>
            <w:shd w:val="clear" w:color="auto" w:fill="auto"/>
          </w:tcPr>
          <w:p w:rsidR="003B61C2" w:rsidRPr="00BB196F" w:rsidRDefault="00BB196F" w:rsidP="00D47FDA">
            <w:pPr>
              <w:pStyle w:val="Tabletext"/>
              <w:keepNext/>
              <w:keepLines/>
              <w:jc w:val="center"/>
              <w:rPr>
                <w:highlight w:val="black"/>
              </w:rPr>
            </w:pPr>
            <w:r>
              <w:rPr>
                <w:noProof/>
                <w:color w:val="000000"/>
                <w:highlight w:val="black"/>
              </w:rPr>
              <w:t>'''''''''''''''''</w:t>
            </w:r>
          </w:p>
        </w:tc>
        <w:tc>
          <w:tcPr>
            <w:tcW w:w="1239" w:type="pct"/>
            <w:shd w:val="clear" w:color="auto" w:fill="auto"/>
          </w:tcPr>
          <w:p w:rsidR="003B61C2" w:rsidRPr="007108BC" w:rsidRDefault="003B61C2" w:rsidP="00D47FDA">
            <w:pPr>
              <w:pStyle w:val="Tabletext"/>
              <w:keepNext/>
              <w:keepLines/>
              <w:jc w:val="center"/>
            </w:pPr>
            <w:r w:rsidRPr="007108BC">
              <w:t>-</w:t>
            </w:r>
            <w:r w:rsidR="00BB196F">
              <w:rPr>
                <w:noProof/>
                <w:color w:val="000000"/>
                <w:highlight w:val="black"/>
              </w:rPr>
              <w:t>'''''''''''''</w:t>
            </w:r>
            <w:r w:rsidRPr="007108BC">
              <w:rPr>
                <w:b/>
                <w:vertAlign w:val="superscript"/>
              </w:rPr>
              <w:t>a</w:t>
            </w:r>
          </w:p>
        </w:tc>
      </w:tr>
      <w:tr w:rsidR="003B61C2" w:rsidRPr="007108BC" w:rsidTr="00EF595C">
        <w:tc>
          <w:tcPr>
            <w:tcW w:w="3761" w:type="pct"/>
            <w:gridSpan w:val="3"/>
            <w:shd w:val="clear" w:color="auto" w:fill="auto"/>
            <w:vAlign w:val="center"/>
          </w:tcPr>
          <w:p w:rsidR="003B61C2" w:rsidRPr="007108BC" w:rsidRDefault="003B61C2" w:rsidP="00D47FDA">
            <w:pPr>
              <w:pStyle w:val="Tabletext"/>
              <w:keepNext/>
              <w:keepLines/>
            </w:pPr>
            <w:r w:rsidRPr="007108BC">
              <w:t>Incremental cost per LYG</w:t>
            </w:r>
          </w:p>
        </w:tc>
        <w:tc>
          <w:tcPr>
            <w:tcW w:w="1239" w:type="pct"/>
            <w:shd w:val="clear" w:color="auto" w:fill="auto"/>
            <w:vAlign w:val="center"/>
          </w:tcPr>
          <w:p w:rsidR="003B61C2" w:rsidRPr="007108BC" w:rsidRDefault="003B61C2" w:rsidP="00D47FDA">
            <w:pPr>
              <w:pStyle w:val="Tabletext"/>
              <w:keepNext/>
              <w:keepLines/>
              <w:jc w:val="center"/>
            </w:pPr>
            <w:r w:rsidRPr="007108BC">
              <w:t>$</w:t>
            </w:r>
            <w:r w:rsidR="00BB196F">
              <w:rPr>
                <w:noProof/>
                <w:color w:val="000000"/>
                <w:highlight w:val="black"/>
              </w:rPr>
              <w:t>''''''''''''''''''''</w:t>
            </w:r>
          </w:p>
        </w:tc>
      </w:tr>
      <w:tr w:rsidR="003B61C2" w:rsidRPr="007108BC" w:rsidTr="00EF595C">
        <w:tc>
          <w:tcPr>
            <w:tcW w:w="5000" w:type="pct"/>
            <w:gridSpan w:val="4"/>
            <w:shd w:val="clear" w:color="auto" w:fill="auto"/>
            <w:vAlign w:val="center"/>
          </w:tcPr>
          <w:p w:rsidR="003B61C2" w:rsidRPr="007108BC" w:rsidRDefault="003B61C2" w:rsidP="00D47FDA">
            <w:pPr>
              <w:pStyle w:val="Tabletext"/>
              <w:keepNext/>
              <w:keepLines/>
              <w:rPr>
                <w:b/>
              </w:rPr>
            </w:pPr>
            <w:r w:rsidRPr="007108BC">
              <w:rPr>
                <w:b/>
              </w:rPr>
              <w:t>Step 6: utility weights applied, time horizon 100 years, QALY avoided, discounting (3.5%)</w:t>
            </w:r>
          </w:p>
        </w:tc>
      </w:tr>
      <w:tr w:rsidR="003B61C2" w:rsidRPr="007108BC" w:rsidTr="00EF595C">
        <w:tc>
          <w:tcPr>
            <w:tcW w:w="1342" w:type="pct"/>
            <w:shd w:val="clear" w:color="auto" w:fill="auto"/>
            <w:vAlign w:val="center"/>
          </w:tcPr>
          <w:p w:rsidR="003B61C2" w:rsidRPr="007108BC" w:rsidRDefault="003B61C2" w:rsidP="00D47FDA">
            <w:pPr>
              <w:pStyle w:val="Tabletext"/>
              <w:keepNext/>
              <w:keepLines/>
              <w:rPr>
                <w:rFonts w:ascii="Times" w:hAnsi="Times"/>
              </w:rPr>
            </w:pPr>
            <w:r w:rsidRPr="007108BC">
              <w:t>Costs</w:t>
            </w:r>
          </w:p>
        </w:tc>
        <w:tc>
          <w:tcPr>
            <w:tcW w:w="1405" w:type="pct"/>
            <w:shd w:val="clear" w:color="auto" w:fill="auto"/>
          </w:tcPr>
          <w:p w:rsidR="003B61C2" w:rsidRPr="007108BC" w:rsidRDefault="003B61C2" w:rsidP="00D47FDA">
            <w:pPr>
              <w:pStyle w:val="Tabletext"/>
              <w:keepNext/>
              <w:keepLines/>
              <w:jc w:val="center"/>
              <w:rPr>
                <w:rFonts w:ascii="Times" w:hAnsi="Times"/>
              </w:rPr>
            </w:pPr>
            <w:r w:rsidRPr="007108BC">
              <w:t>$</w:t>
            </w:r>
            <w:r w:rsidR="00BB196F">
              <w:rPr>
                <w:noProof/>
                <w:color w:val="000000"/>
                <w:highlight w:val="black"/>
              </w:rPr>
              <w:t>'''''''''''''''''''''''''''''''</w:t>
            </w:r>
          </w:p>
        </w:tc>
        <w:tc>
          <w:tcPr>
            <w:tcW w:w="1014" w:type="pct"/>
            <w:shd w:val="clear" w:color="auto" w:fill="auto"/>
          </w:tcPr>
          <w:p w:rsidR="003B61C2" w:rsidRPr="007108BC" w:rsidRDefault="003B61C2" w:rsidP="00D47FDA">
            <w:pPr>
              <w:pStyle w:val="Tabletext"/>
              <w:keepNext/>
              <w:keepLines/>
              <w:jc w:val="center"/>
              <w:rPr>
                <w:rFonts w:ascii="Times" w:hAnsi="Times"/>
              </w:rPr>
            </w:pPr>
            <w:r w:rsidRPr="007108BC">
              <w:t>$</w:t>
            </w:r>
            <w:r w:rsidR="00BB196F">
              <w:rPr>
                <w:noProof/>
                <w:color w:val="000000"/>
                <w:highlight w:val="black"/>
              </w:rPr>
              <w:t>'''''''''''''''''''''''''''''''''''</w:t>
            </w:r>
          </w:p>
        </w:tc>
        <w:tc>
          <w:tcPr>
            <w:tcW w:w="1239" w:type="pct"/>
            <w:shd w:val="clear" w:color="auto" w:fill="auto"/>
          </w:tcPr>
          <w:p w:rsidR="003B61C2" w:rsidRPr="007108BC" w:rsidRDefault="003B61C2" w:rsidP="00D47FDA">
            <w:pPr>
              <w:pStyle w:val="Tabletext"/>
              <w:keepNext/>
              <w:keepLines/>
              <w:jc w:val="center"/>
              <w:rPr>
                <w:rFonts w:ascii="Times" w:hAnsi="Times"/>
              </w:rPr>
            </w:pPr>
            <w:r w:rsidRPr="007108BC">
              <w:t>$</w:t>
            </w:r>
            <w:r w:rsidR="00BB196F">
              <w:rPr>
                <w:noProof/>
                <w:color w:val="000000"/>
                <w:highlight w:val="black"/>
              </w:rPr>
              <w:t>''''''''''''''''''''''''''''''</w:t>
            </w:r>
          </w:p>
        </w:tc>
      </w:tr>
      <w:tr w:rsidR="003B61C2" w:rsidRPr="007108BC" w:rsidTr="00EF595C">
        <w:tc>
          <w:tcPr>
            <w:tcW w:w="1342" w:type="pct"/>
            <w:shd w:val="clear" w:color="auto" w:fill="auto"/>
            <w:vAlign w:val="center"/>
          </w:tcPr>
          <w:p w:rsidR="003B61C2" w:rsidRPr="007108BC" w:rsidRDefault="003B61C2" w:rsidP="00D47FDA">
            <w:pPr>
              <w:pStyle w:val="Tabletext"/>
              <w:keepNext/>
              <w:keepLines/>
              <w:rPr>
                <w:rFonts w:ascii="Times" w:hAnsi="Times"/>
              </w:rPr>
            </w:pPr>
            <w:r w:rsidRPr="007108BC">
              <w:t>QALYs lost</w:t>
            </w:r>
          </w:p>
        </w:tc>
        <w:tc>
          <w:tcPr>
            <w:tcW w:w="1405" w:type="pct"/>
            <w:shd w:val="clear" w:color="auto" w:fill="auto"/>
          </w:tcPr>
          <w:p w:rsidR="003B61C2" w:rsidRPr="00BB196F" w:rsidRDefault="00BB196F" w:rsidP="00D47FDA">
            <w:pPr>
              <w:pStyle w:val="Tabletext"/>
              <w:keepNext/>
              <w:keepLines/>
              <w:jc w:val="center"/>
              <w:rPr>
                <w:rFonts w:ascii="Times" w:hAnsi="Times"/>
                <w:highlight w:val="black"/>
              </w:rPr>
            </w:pPr>
            <w:r>
              <w:rPr>
                <w:noProof/>
                <w:color w:val="000000"/>
                <w:highlight w:val="black"/>
              </w:rPr>
              <w:t>''''''''''''''''''</w:t>
            </w:r>
          </w:p>
        </w:tc>
        <w:tc>
          <w:tcPr>
            <w:tcW w:w="1014" w:type="pct"/>
            <w:shd w:val="clear" w:color="auto" w:fill="auto"/>
          </w:tcPr>
          <w:p w:rsidR="003B61C2" w:rsidRPr="00BB196F" w:rsidRDefault="00BB196F" w:rsidP="00D47FDA">
            <w:pPr>
              <w:pStyle w:val="Tabletext"/>
              <w:keepNext/>
              <w:keepLines/>
              <w:jc w:val="center"/>
              <w:rPr>
                <w:rFonts w:ascii="Times" w:hAnsi="Times"/>
                <w:highlight w:val="black"/>
              </w:rPr>
            </w:pPr>
            <w:r>
              <w:rPr>
                <w:noProof/>
                <w:color w:val="000000"/>
                <w:highlight w:val="black"/>
              </w:rPr>
              <w:t>''''''''''''''''''''</w:t>
            </w:r>
          </w:p>
        </w:tc>
        <w:tc>
          <w:tcPr>
            <w:tcW w:w="1239" w:type="pct"/>
            <w:shd w:val="clear" w:color="auto" w:fill="auto"/>
          </w:tcPr>
          <w:p w:rsidR="003B61C2" w:rsidRPr="007108BC" w:rsidRDefault="003B61C2" w:rsidP="00D47FDA">
            <w:pPr>
              <w:pStyle w:val="Tabletext"/>
              <w:keepNext/>
              <w:keepLines/>
              <w:jc w:val="center"/>
            </w:pPr>
            <w:r w:rsidRPr="007108BC">
              <w:t>-</w:t>
            </w:r>
            <w:r w:rsidR="00BB196F">
              <w:rPr>
                <w:noProof/>
                <w:color w:val="000000"/>
                <w:highlight w:val="black"/>
              </w:rPr>
              <w:t>'''''''''''''''</w:t>
            </w:r>
            <w:r w:rsidRPr="007108BC">
              <w:rPr>
                <w:b/>
                <w:vertAlign w:val="superscript"/>
              </w:rPr>
              <w:t>a</w:t>
            </w:r>
          </w:p>
        </w:tc>
      </w:tr>
      <w:tr w:rsidR="003B61C2" w:rsidRPr="007108BC" w:rsidTr="00EF595C">
        <w:tc>
          <w:tcPr>
            <w:tcW w:w="3761" w:type="pct"/>
            <w:gridSpan w:val="3"/>
            <w:shd w:val="clear" w:color="auto" w:fill="auto"/>
            <w:vAlign w:val="center"/>
          </w:tcPr>
          <w:p w:rsidR="003B61C2" w:rsidRPr="007108BC" w:rsidRDefault="003B61C2" w:rsidP="00D47FDA">
            <w:pPr>
              <w:pStyle w:val="Tabletext"/>
              <w:keepNext/>
              <w:keepLines/>
              <w:rPr>
                <w:rFonts w:ascii="Times" w:hAnsi="Times"/>
                <w:b/>
              </w:rPr>
            </w:pPr>
            <w:r w:rsidRPr="007108BC">
              <w:rPr>
                <w:b/>
              </w:rPr>
              <w:t>Incremental cost/QALY gained (base case)</w:t>
            </w:r>
          </w:p>
        </w:tc>
        <w:tc>
          <w:tcPr>
            <w:tcW w:w="1239" w:type="pct"/>
            <w:shd w:val="clear" w:color="auto" w:fill="auto"/>
            <w:vAlign w:val="center"/>
          </w:tcPr>
          <w:p w:rsidR="003B61C2" w:rsidRPr="007108BC" w:rsidRDefault="003B61C2" w:rsidP="00D47FDA">
            <w:pPr>
              <w:pStyle w:val="Tabletext"/>
              <w:keepNext/>
              <w:keepLines/>
              <w:jc w:val="center"/>
              <w:rPr>
                <w:rFonts w:ascii="Times" w:hAnsi="Times"/>
                <w:b/>
              </w:rPr>
            </w:pPr>
            <w:r w:rsidRPr="007108BC">
              <w:rPr>
                <w:b/>
              </w:rPr>
              <w:t>$</w:t>
            </w:r>
            <w:r w:rsidR="00BB196F">
              <w:rPr>
                <w:b/>
                <w:noProof/>
                <w:color w:val="000000"/>
                <w:highlight w:val="black"/>
              </w:rPr>
              <w:t>'''''''''''''</w:t>
            </w:r>
          </w:p>
        </w:tc>
      </w:tr>
    </w:tbl>
    <w:p w:rsidR="003B61C2" w:rsidRPr="007108BC" w:rsidRDefault="003B61C2" w:rsidP="00D47FDA">
      <w:pPr>
        <w:pStyle w:val="TableFooter"/>
        <w:keepNext/>
        <w:keepLines/>
        <w:jc w:val="both"/>
      </w:pPr>
      <w:r w:rsidRPr="007108BC">
        <w:t>Abbreviations: IMD = invasive meningococcal disease; LYG = life-year gained; Men = meningococcal; QALY = quality adjusted life year.</w:t>
      </w:r>
    </w:p>
    <w:p w:rsidR="00EE0FB8" w:rsidRDefault="003B61C2" w:rsidP="00D47FDA">
      <w:pPr>
        <w:pStyle w:val="TableFooter"/>
        <w:keepNext/>
        <w:keepLines/>
        <w:jc w:val="both"/>
      </w:pPr>
      <w:r w:rsidRPr="007108BC">
        <w:t xml:space="preserve">Note: Total </w:t>
      </w:r>
      <w:r w:rsidR="00A13FDA" w:rsidRPr="007108BC">
        <w:t xml:space="preserve">IMD </w:t>
      </w:r>
      <w:r w:rsidRPr="007108BC">
        <w:t>cases, life years and QALYs include Men B, Men ACWY and Other Men. Base case defined as infant vaccination and adolescent Vaccination in the General Population with one year catch-up for 12 month to 2 years. Adolescents received one dose only if previously vaccinated as an infant (i.e. after 15 years of the model);</w:t>
      </w:r>
    </w:p>
    <w:p w:rsidR="003B61C2" w:rsidRPr="007108BC" w:rsidRDefault="003B61C2" w:rsidP="00D47FDA">
      <w:pPr>
        <w:pStyle w:val="TableFooter"/>
        <w:keepNext/>
        <w:keepLines/>
        <w:jc w:val="both"/>
      </w:pPr>
      <w:r w:rsidRPr="007108BC">
        <w:rPr>
          <w:vertAlign w:val="superscript"/>
        </w:rPr>
        <w:t xml:space="preserve">a </w:t>
      </w:r>
      <w:r w:rsidRPr="007108BC">
        <w:t>Given that the intervention prevents disease, a negative health outcome represents fewer individuals being diagnosed with IMD, and hence a health benefit gain.</w:t>
      </w:r>
    </w:p>
    <w:p w:rsidR="003B61C2" w:rsidRPr="00D51D60" w:rsidRDefault="003B61C2" w:rsidP="00D47FDA">
      <w:pPr>
        <w:pStyle w:val="TableFooter"/>
        <w:keepNext/>
        <w:keepLines/>
        <w:jc w:val="both"/>
      </w:pPr>
      <w:r w:rsidRPr="007108BC">
        <w:t xml:space="preserve">Source: Table 3.80-Table 3.83, p.281-283 of the resubmission. </w:t>
      </w:r>
      <w:r w:rsidRPr="00D51D60">
        <w:t xml:space="preserve">Extracted from sheet ‘CE Table’ and ‘Health Outcomes &amp; Cost’ from Excel spreadsheet ‘Workbook i General Population Model 190701’ of the resubmission. </w:t>
      </w:r>
    </w:p>
    <w:p w:rsidR="003B61C2" w:rsidRPr="007108BC" w:rsidRDefault="003B61C2" w:rsidP="007108BC"/>
    <w:p w:rsidR="009A36A1" w:rsidRDefault="003B61C2" w:rsidP="00EB423F">
      <w:pPr>
        <w:pStyle w:val="bulletnumberedstyle"/>
      </w:pPr>
      <w:r w:rsidRPr="007108BC">
        <w:t>The results of the stepped economic evaluation in the Aboriginal and Torres Strait Islander popu</w:t>
      </w:r>
      <w:r w:rsidR="008554CA">
        <w:t>lation are presented in Table 12</w:t>
      </w:r>
      <w:r w:rsidRPr="007108BC">
        <w:t xml:space="preserve">. </w:t>
      </w:r>
    </w:p>
    <w:p w:rsidR="003B61C2" w:rsidRPr="007108BC" w:rsidRDefault="008554CA" w:rsidP="00D47FDA">
      <w:pPr>
        <w:keepNext/>
        <w:keepLines/>
        <w:rPr>
          <w:rFonts w:ascii="Arial Narrow" w:hAnsi="Arial Narrow"/>
          <w:b/>
          <w:sz w:val="20"/>
          <w:szCs w:val="20"/>
        </w:rPr>
      </w:pPr>
      <w:r>
        <w:rPr>
          <w:rFonts w:ascii="Arial Narrow" w:hAnsi="Arial Narrow"/>
          <w:b/>
          <w:sz w:val="20"/>
          <w:szCs w:val="20"/>
        </w:rPr>
        <w:lastRenderedPageBreak/>
        <w:t>Table 12</w:t>
      </w:r>
      <w:r w:rsidR="003B61C2" w:rsidRPr="007108BC">
        <w:rPr>
          <w:rFonts w:ascii="Arial Narrow" w:hAnsi="Arial Narrow"/>
          <w:b/>
          <w:sz w:val="20"/>
          <w:szCs w:val="20"/>
        </w:rPr>
        <w:t>: Results of the stepped economic evaluation – Aboriginal and Torres Strait Islander population</w:t>
      </w:r>
      <w:r w:rsidR="00EF4C8F">
        <w:rPr>
          <w:rFonts w:ascii="Arial Narrow" w:hAnsi="Arial Narrow"/>
          <w:b/>
          <w:sz w:val="20"/>
          <w:szCs w:val="20"/>
        </w:rPr>
        <w:t xml:space="preserve"> (</w:t>
      </w:r>
      <w:r w:rsidR="00EF4C8F" w:rsidRPr="00EF4C8F">
        <w:rPr>
          <w:rFonts w:ascii="Arial Narrow" w:hAnsi="Arial Narrow"/>
          <w:b/>
          <w:sz w:val="20"/>
          <w:szCs w:val="20"/>
        </w:rPr>
        <w:t>176,847 people vaccinated over model duration)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2: Results of the stepped economic evaluation – Aboriginal and Torres Strait Islander population (176,847 people vaccinated over model duration)"/>
      </w:tblPr>
      <w:tblGrid>
        <w:gridCol w:w="2420"/>
        <w:gridCol w:w="2534"/>
        <w:gridCol w:w="1829"/>
        <w:gridCol w:w="2234"/>
      </w:tblGrid>
      <w:tr w:rsidR="003B61C2" w:rsidRPr="007108BC" w:rsidTr="00EF595C">
        <w:trPr>
          <w:tblHeader/>
        </w:trPr>
        <w:tc>
          <w:tcPr>
            <w:tcW w:w="1342" w:type="pct"/>
            <w:shd w:val="clear" w:color="auto" w:fill="auto"/>
            <w:vAlign w:val="center"/>
          </w:tcPr>
          <w:p w:rsidR="003B61C2" w:rsidRPr="007108BC" w:rsidRDefault="003B61C2" w:rsidP="00D47FDA">
            <w:pPr>
              <w:keepNext/>
              <w:keepLines/>
              <w:rPr>
                <w:rFonts w:ascii="Arial Narrow" w:hAnsi="Arial Narrow"/>
                <w:b/>
                <w:sz w:val="20"/>
              </w:rPr>
            </w:pPr>
            <w:r w:rsidRPr="007108BC">
              <w:rPr>
                <w:rFonts w:ascii="Arial Narrow" w:hAnsi="Arial Narrow"/>
                <w:b/>
                <w:sz w:val="20"/>
              </w:rPr>
              <w:t>Step and component</w:t>
            </w:r>
          </w:p>
        </w:tc>
        <w:tc>
          <w:tcPr>
            <w:tcW w:w="1405" w:type="pct"/>
            <w:shd w:val="clear" w:color="auto" w:fill="auto"/>
            <w:vAlign w:val="center"/>
          </w:tcPr>
          <w:p w:rsidR="003B61C2" w:rsidRPr="007108BC" w:rsidRDefault="003B61C2" w:rsidP="00D47FDA">
            <w:pPr>
              <w:keepNext/>
              <w:keepLines/>
              <w:jc w:val="center"/>
              <w:rPr>
                <w:rFonts w:ascii="Arial Narrow" w:hAnsi="Arial Narrow"/>
                <w:b/>
                <w:sz w:val="20"/>
              </w:rPr>
            </w:pPr>
            <w:r w:rsidRPr="007108BC">
              <w:rPr>
                <w:rFonts w:ascii="Arial Narrow" w:hAnsi="Arial Narrow"/>
                <w:b/>
                <w:sz w:val="20"/>
              </w:rPr>
              <w:t>Base case vaccination strategy</w:t>
            </w:r>
          </w:p>
        </w:tc>
        <w:tc>
          <w:tcPr>
            <w:tcW w:w="1014" w:type="pct"/>
            <w:shd w:val="clear" w:color="auto" w:fill="auto"/>
            <w:vAlign w:val="center"/>
          </w:tcPr>
          <w:p w:rsidR="003B61C2" w:rsidRPr="007108BC" w:rsidRDefault="003B61C2" w:rsidP="00D47FDA">
            <w:pPr>
              <w:keepNext/>
              <w:keepLines/>
              <w:jc w:val="center"/>
              <w:rPr>
                <w:rFonts w:ascii="Arial Narrow" w:hAnsi="Arial Narrow"/>
                <w:b/>
                <w:sz w:val="20"/>
              </w:rPr>
            </w:pPr>
            <w:r w:rsidRPr="007108BC">
              <w:rPr>
                <w:rFonts w:ascii="Arial Narrow" w:hAnsi="Arial Narrow"/>
                <w:b/>
                <w:sz w:val="20"/>
              </w:rPr>
              <w:t>No vaccination</w:t>
            </w:r>
          </w:p>
        </w:tc>
        <w:tc>
          <w:tcPr>
            <w:tcW w:w="1239" w:type="pct"/>
            <w:shd w:val="clear" w:color="auto" w:fill="auto"/>
            <w:vAlign w:val="center"/>
          </w:tcPr>
          <w:p w:rsidR="003B61C2" w:rsidRPr="007108BC" w:rsidRDefault="003B61C2" w:rsidP="00D47FDA">
            <w:pPr>
              <w:keepNext/>
              <w:keepLines/>
              <w:jc w:val="center"/>
              <w:rPr>
                <w:rFonts w:ascii="Arial Narrow" w:hAnsi="Arial Narrow"/>
                <w:b/>
                <w:sz w:val="20"/>
              </w:rPr>
            </w:pPr>
            <w:r w:rsidRPr="007108BC">
              <w:rPr>
                <w:rFonts w:ascii="Arial Narrow" w:hAnsi="Arial Narrow"/>
                <w:b/>
                <w:sz w:val="20"/>
              </w:rPr>
              <w:t>Increment</w:t>
            </w:r>
          </w:p>
        </w:tc>
      </w:tr>
      <w:tr w:rsidR="003B61C2" w:rsidRPr="007108BC" w:rsidTr="00EF595C">
        <w:tc>
          <w:tcPr>
            <w:tcW w:w="5000" w:type="pct"/>
            <w:gridSpan w:val="4"/>
            <w:shd w:val="clear" w:color="auto" w:fill="auto"/>
            <w:vAlign w:val="center"/>
          </w:tcPr>
          <w:p w:rsidR="003B61C2" w:rsidRPr="007108BC" w:rsidRDefault="003B61C2" w:rsidP="00D47FDA">
            <w:pPr>
              <w:keepNext/>
              <w:keepLines/>
              <w:rPr>
                <w:rFonts w:ascii="Arial Narrow" w:hAnsi="Arial Narrow"/>
                <w:b/>
                <w:sz w:val="20"/>
              </w:rPr>
            </w:pPr>
            <w:r w:rsidRPr="007108BC">
              <w:rPr>
                <w:rFonts w:ascii="Arial Narrow" w:hAnsi="Arial Narrow"/>
                <w:b/>
                <w:sz w:val="20"/>
              </w:rPr>
              <w:t>Step 1: 5-year costs and outcomes for IMD avoided (no discounting)</w:t>
            </w:r>
          </w:p>
        </w:tc>
      </w:tr>
      <w:tr w:rsidR="003B61C2" w:rsidRPr="00D51D60" w:rsidTr="00EF595C">
        <w:tc>
          <w:tcPr>
            <w:tcW w:w="1342" w:type="pct"/>
            <w:shd w:val="clear" w:color="auto" w:fill="auto"/>
            <w:vAlign w:val="center"/>
          </w:tcPr>
          <w:p w:rsidR="003B61C2" w:rsidRPr="00D51D60" w:rsidRDefault="003B61C2" w:rsidP="00D47FDA">
            <w:pPr>
              <w:keepNext/>
              <w:keepLines/>
              <w:rPr>
                <w:rFonts w:ascii="Times" w:hAnsi="Times"/>
                <w:sz w:val="20"/>
              </w:rPr>
            </w:pPr>
            <w:r w:rsidRPr="00D51D60">
              <w:rPr>
                <w:rFonts w:ascii="Arial Narrow" w:hAnsi="Arial Narrow"/>
                <w:sz w:val="20"/>
              </w:rPr>
              <w:t>Costs</w:t>
            </w:r>
          </w:p>
        </w:tc>
        <w:tc>
          <w:tcPr>
            <w:tcW w:w="1405" w:type="pct"/>
            <w:shd w:val="clear" w:color="auto" w:fill="auto"/>
          </w:tcPr>
          <w:p w:rsidR="003B61C2" w:rsidRPr="00D51D60" w:rsidRDefault="003B61C2" w:rsidP="00D47FDA">
            <w:pPr>
              <w:keepNext/>
              <w:keepLines/>
              <w:jc w:val="center"/>
              <w:rPr>
                <w:rFonts w:ascii="Times" w:hAnsi="Times"/>
                <w:sz w:val="20"/>
              </w:rPr>
            </w:pPr>
            <w:r w:rsidRPr="00D51D60">
              <w:rPr>
                <w:rFonts w:ascii="Arial Narrow" w:hAnsi="Arial Narrow"/>
                <w:sz w:val="20"/>
              </w:rPr>
              <w:t>$</w:t>
            </w:r>
            <w:r w:rsidR="00BB196F">
              <w:rPr>
                <w:rFonts w:ascii="Arial Narrow" w:hAnsi="Arial Narrow"/>
                <w:noProof/>
                <w:color w:val="000000"/>
                <w:sz w:val="20"/>
                <w:highlight w:val="black"/>
              </w:rPr>
              <w:t>'''''''''''''''''''''''''</w:t>
            </w:r>
          </w:p>
        </w:tc>
        <w:tc>
          <w:tcPr>
            <w:tcW w:w="1014" w:type="pct"/>
            <w:shd w:val="clear" w:color="auto" w:fill="auto"/>
          </w:tcPr>
          <w:p w:rsidR="003B61C2" w:rsidRPr="00D51D60" w:rsidRDefault="003B61C2" w:rsidP="00D47FDA">
            <w:pPr>
              <w:keepNext/>
              <w:keepLines/>
              <w:jc w:val="center"/>
              <w:rPr>
                <w:rFonts w:ascii="Times" w:hAnsi="Times"/>
                <w:sz w:val="20"/>
              </w:rPr>
            </w:pPr>
            <w:r w:rsidRPr="00D51D60">
              <w:rPr>
                <w:rFonts w:ascii="Arial Narrow" w:hAnsi="Arial Narrow"/>
                <w:sz w:val="20"/>
              </w:rPr>
              <w:t>$</w:t>
            </w:r>
            <w:r w:rsidR="00BB196F">
              <w:rPr>
                <w:rFonts w:ascii="Arial Narrow" w:hAnsi="Arial Narrow"/>
                <w:noProof/>
                <w:color w:val="000000"/>
                <w:sz w:val="20"/>
                <w:highlight w:val="black"/>
              </w:rPr>
              <w:t>''''''''''''''''''''''''''''</w:t>
            </w:r>
          </w:p>
        </w:tc>
        <w:tc>
          <w:tcPr>
            <w:tcW w:w="1239" w:type="pct"/>
            <w:shd w:val="clear" w:color="auto" w:fill="auto"/>
          </w:tcPr>
          <w:p w:rsidR="003B61C2" w:rsidRPr="00D51D60" w:rsidRDefault="003B61C2" w:rsidP="00D47FDA">
            <w:pPr>
              <w:keepNext/>
              <w:keepLines/>
              <w:jc w:val="center"/>
              <w:rPr>
                <w:rFonts w:ascii="Times" w:hAnsi="Times"/>
                <w:sz w:val="20"/>
              </w:rPr>
            </w:pPr>
            <w:r w:rsidRPr="00D51D60">
              <w:rPr>
                <w:rFonts w:ascii="Arial Narrow" w:hAnsi="Arial Narrow"/>
                <w:sz w:val="20"/>
              </w:rPr>
              <w:t>$</w:t>
            </w:r>
            <w:r w:rsidR="00BB196F">
              <w:rPr>
                <w:rFonts w:ascii="Arial Narrow" w:hAnsi="Arial Narrow"/>
                <w:noProof/>
                <w:color w:val="000000"/>
                <w:sz w:val="20"/>
                <w:highlight w:val="black"/>
              </w:rPr>
              <w:t>''''''''''''''''''''''''''''</w:t>
            </w:r>
          </w:p>
        </w:tc>
      </w:tr>
      <w:tr w:rsidR="003B61C2" w:rsidRPr="00D51D60" w:rsidTr="00EF595C">
        <w:tc>
          <w:tcPr>
            <w:tcW w:w="1342" w:type="pct"/>
            <w:shd w:val="clear" w:color="auto" w:fill="auto"/>
            <w:vAlign w:val="center"/>
          </w:tcPr>
          <w:p w:rsidR="003B61C2" w:rsidRPr="00D51D60" w:rsidRDefault="003B61C2" w:rsidP="00D47FDA">
            <w:pPr>
              <w:keepNext/>
              <w:keepLines/>
              <w:rPr>
                <w:rFonts w:ascii="Arial Narrow" w:hAnsi="Arial Narrow"/>
                <w:sz w:val="20"/>
              </w:rPr>
            </w:pPr>
            <w:r w:rsidRPr="00D51D60">
              <w:rPr>
                <w:rFonts w:ascii="Arial Narrow" w:hAnsi="Arial Narrow"/>
                <w:sz w:val="20"/>
              </w:rPr>
              <w:t>IMD cases</w:t>
            </w:r>
          </w:p>
        </w:tc>
        <w:tc>
          <w:tcPr>
            <w:tcW w:w="1405" w:type="pct"/>
            <w:shd w:val="clear" w:color="auto" w:fill="auto"/>
          </w:tcPr>
          <w:p w:rsidR="003B61C2" w:rsidRPr="00BB196F" w:rsidRDefault="00BB196F" w:rsidP="00D47FDA">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1014" w:type="pct"/>
            <w:shd w:val="clear" w:color="auto" w:fill="auto"/>
          </w:tcPr>
          <w:p w:rsidR="003B61C2" w:rsidRPr="00BB196F" w:rsidRDefault="00BB196F" w:rsidP="00D47FDA">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1239" w:type="pct"/>
            <w:shd w:val="clear" w:color="auto" w:fill="auto"/>
          </w:tcPr>
          <w:p w:rsidR="003B61C2" w:rsidRPr="00D51D60" w:rsidRDefault="003B61C2" w:rsidP="00D47FDA">
            <w:pPr>
              <w:keepNext/>
              <w:keepLines/>
              <w:jc w:val="center"/>
              <w:rPr>
                <w:rFonts w:ascii="Arial Narrow" w:hAnsi="Arial Narrow"/>
                <w:sz w:val="20"/>
                <w:vertAlign w:val="superscript"/>
              </w:rPr>
            </w:pPr>
            <w:r w:rsidRPr="00D51D60">
              <w:rPr>
                <w:rFonts w:ascii="Arial Narrow" w:hAnsi="Arial Narrow"/>
                <w:sz w:val="20"/>
              </w:rPr>
              <w:t>-</w:t>
            </w:r>
            <w:r w:rsidR="00BB196F">
              <w:rPr>
                <w:rFonts w:ascii="Arial Narrow" w:hAnsi="Arial Narrow"/>
                <w:noProof/>
                <w:color w:val="000000"/>
                <w:sz w:val="20"/>
                <w:highlight w:val="black"/>
              </w:rPr>
              <w:t>'''''</w:t>
            </w:r>
            <w:r w:rsidRPr="00D51D60">
              <w:rPr>
                <w:rFonts w:ascii="Arial Narrow" w:hAnsi="Arial Narrow"/>
                <w:sz w:val="20"/>
                <w:vertAlign w:val="superscript"/>
              </w:rPr>
              <w:t>a</w:t>
            </w:r>
          </w:p>
        </w:tc>
      </w:tr>
      <w:tr w:rsidR="003B61C2" w:rsidRPr="007108BC" w:rsidTr="00EF595C">
        <w:tc>
          <w:tcPr>
            <w:tcW w:w="3761" w:type="pct"/>
            <w:gridSpan w:val="3"/>
            <w:shd w:val="clear" w:color="auto" w:fill="auto"/>
            <w:vAlign w:val="center"/>
          </w:tcPr>
          <w:p w:rsidR="003B61C2" w:rsidRPr="007108BC" w:rsidRDefault="003B61C2" w:rsidP="00D47FDA">
            <w:pPr>
              <w:keepNext/>
              <w:keepLines/>
              <w:rPr>
                <w:rFonts w:ascii="Times" w:hAnsi="Times"/>
                <w:sz w:val="20"/>
              </w:rPr>
            </w:pPr>
            <w:r w:rsidRPr="007108BC">
              <w:rPr>
                <w:rFonts w:ascii="Arial Narrow" w:hAnsi="Arial Narrow"/>
                <w:sz w:val="20"/>
              </w:rPr>
              <w:t>Incremental cost/per IMD case avoided</w:t>
            </w:r>
          </w:p>
        </w:tc>
        <w:tc>
          <w:tcPr>
            <w:tcW w:w="1239" w:type="pct"/>
            <w:shd w:val="clear" w:color="auto" w:fill="auto"/>
            <w:vAlign w:val="center"/>
          </w:tcPr>
          <w:p w:rsidR="003B61C2" w:rsidRPr="007108BC" w:rsidRDefault="003B61C2" w:rsidP="00D47FDA">
            <w:pPr>
              <w:keepNext/>
              <w:keepLines/>
              <w:jc w:val="center"/>
              <w:rPr>
                <w:rFonts w:ascii="Times" w:hAnsi="Times"/>
                <w:i/>
                <w:sz w:val="20"/>
              </w:rPr>
            </w:pPr>
            <w:r w:rsidRPr="007108BC">
              <w:rPr>
                <w:rFonts w:ascii="Arial Narrow" w:hAnsi="Arial Narrow"/>
                <w:sz w:val="20"/>
              </w:rPr>
              <w:t>$</w:t>
            </w:r>
            <w:r w:rsidR="00BB196F">
              <w:rPr>
                <w:rFonts w:ascii="Arial Narrow" w:hAnsi="Arial Narrow"/>
                <w:noProof/>
                <w:color w:val="000000"/>
                <w:sz w:val="20"/>
                <w:highlight w:val="black"/>
              </w:rPr>
              <w:t>''''''''''''''''''''</w:t>
            </w:r>
          </w:p>
        </w:tc>
      </w:tr>
      <w:tr w:rsidR="003B61C2" w:rsidRPr="007108BC" w:rsidTr="00EF595C">
        <w:tc>
          <w:tcPr>
            <w:tcW w:w="5000" w:type="pct"/>
            <w:gridSpan w:val="4"/>
            <w:shd w:val="clear" w:color="auto" w:fill="auto"/>
            <w:vAlign w:val="center"/>
          </w:tcPr>
          <w:p w:rsidR="003B61C2" w:rsidRPr="007108BC" w:rsidRDefault="003B61C2" w:rsidP="00D47FDA">
            <w:pPr>
              <w:keepNext/>
              <w:keepLines/>
              <w:rPr>
                <w:rFonts w:ascii="Arial Narrow" w:hAnsi="Arial Narrow"/>
                <w:b/>
                <w:sz w:val="20"/>
              </w:rPr>
            </w:pPr>
            <w:r w:rsidRPr="007108BC">
              <w:rPr>
                <w:rFonts w:ascii="Arial Narrow" w:hAnsi="Arial Narrow"/>
                <w:b/>
                <w:sz w:val="20"/>
              </w:rPr>
              <w:t>Step 2: time horizon extended to 100 years (no discounting)</w:t>
            </w:r>
          </w:p>
        </w:tc>
      </w:tr>
      <w:tr w:rsidR="003B61C2" w:rsidRPr="00D51D60" w:rsidTr="00EF595C">
        <w:tc>
          <w:tcPr>
            <w:tcW w:w="1342" w:type="pct"/>
            <w:shd w:val="clear" w:color="auto" w:fill="auto"/>
            <w:vAlign w:val="center"/>
          </w:tcPr>
          <w:p w:rsidR="003B61C2" w:rsidRPr="00D51D60" w:rsidRDefault="003B61C2" w:rsidP="00D47FDA">
            <w:pPr>
              <w:keepNext/>
              <w:keepLines/>
              <w:rPr>
                <w:rFonts w:ascii="Times" w:hAnsi="Times"/>
                <w:sz w:val="20"/>
              </w:rPr>
            </w:pPr>
            <w:r w:rsidRPr="00D51D60">
              <w:rPr>
                <w:rFonts w:ascii="Arial Narrow" w:hAnsi="Arial Narrow"/>
                <w:sz w:val="20"/>
              </w:rPr>
              <w:t>Costs</w:t>
            </w:r>
          </w:p>
        </w:tc>
        <w:tc>
          <w:tcPr>
            <w:tcW w:w="1405" w:type="pct"/>
            <w:shd w:val="clear" w:color="auto" w:fill="auto"/>
          </w:tcPr>
          <w:p w:rsidR="003B61C2" w:rsidRPr="00D51D60" w:rsidRDefault="003B61C2" w:rsidP="00D47FDA">
            <w:pPr>
              <w:keepNext/>
              <w:keepLines/>
              <w:jc w:val="center"/>
              <w:rPr>
                <w:rFonts w:ascii="Times" w:hAnsi="Times"/>
                <w:sz w:val="20"/>
              </w:rPr>
            </w:pPr>
            <w:r w:rsidRPr="00D51D60">
              <w:rPr>
                <w:rFonts w:ascii="Arial Narrow" w:hAnsi="Arial Narrow"/>
                <w:sz w:val="20"/>
              </w:rPr>
              <w:t>$</w:t>
            </w:r>
            <w:r w:rsidR="00BB196F">
              <w:rPr>
                <w:rFonts w:ascii="Arial Narrow" w:hAnsi="Arial Narrow"/>
                <w:noProof/>
                <w:color w:val="000000"/>
                <w:sz w:val="20"/>
                <w:highlight w:val="black"/>
              </w:rPr>
              <w:t>''''''''''''''''''''''''''''''</w:t>
            </w:r>
          </w:p>
        </w:tc>
        <w:tc>
          <w:tcPr>
            <w:tcW w:w="1014" w:type="pct"/>
            <w:shd w:val="clear" w:color="auto" w:fill="auto"/>
          </w:tcPr>
          <w:p w:rsidR="003B61C2" w:rsidRPr="00D51D60" w:rsidRDefault="003B61C2" w:rsidP="00D47FDA">
            <w:pPr>
              <w:keepNext/>
              <w:keepLines/>
              <w:jc w:val="center"/>
              <w:rPr>
                <w:rFonts w:ascii="Times" w:hAnsi="Times"/>
                <w:sz w:val="20"/>
              </w:rPr>
            </w:pPr>
            <w:r w:rsidRPr="00D51D60">
              <w:rPr>
                <w:rFonts w:ascii="Arial Narrow" w:hAnsi="Arial Narrow"/>
                <w:sz w:val="20"/>
              </w:rPr>
              <w:t>$</w:t>
            </w:r>
            <w:r w:rsidR="00BB196F">
              <w:rPr>
                <w:rFonts w:ascii="Arial Narrow" w:hAnsi="Arial Narrow"/>
                <w:noProof/>
                <w:color w:val="000000"/>
                <w:sz w:val="20"/>
                <w:highlight w:val="black"/>
              </w:rPr>
              <w:t>'''''''''''''''''''''''''''''''''''''</w:t>
            </w:r>
          </w:p>
        </w:tc>
        <w:tc>
          <w:tcPr>
            <w:tcW w:w="1239" w:type="pct"/>
            <w:shd w:val="clear" w:color="auto" w:fill="auto"/>
          </w:tcPr>
          <w:p w:rsidR="003B61C2" w:rsidRPr="00D51D60" w:rsidRDefault="003B61C2" w:rsidP="00D47FDA">
            <w:pPr>
              <w:keepNext/>
              <w:keepLines/>
              <w:jc w:val="center"/>
              <w:rPr>
                <w:rFonts w:ascii="Times" w:hAnsi="Times"/>
                <w:sz w:val="20"/>
              </w:rPr>
            </w:pPr>
            <w:r w:rsidRPr="00D51D60">
              <w:rPr>
                <w:rFonts w:ascii="Arial Narrow" w:hAnsi="Arial Narrow"/>
                <w:sz w:val="20"/>
              </w:rPr>
              <w:t>-$</w:t>
            </w:r>
            <w:r w:rsidR="00BB196F">
              <w:rPr>
                <w:rFonts w:ascii="Arial Narrow" w:hAnsi="Arial Narrow"/>
                <w:noProof/>
                <w:color w:val="000000"/>
                <w:sz w:val="20"/>
                <w:highlight w:val="black"/>
              </w:rPr>
              <w:t>''''''''''''''''''''''''''''''''</w:t>
            </w:r>
          </w:p>
        </w:tc>
      </w:tr>
      <w:tr w:rsidR="003B61C2" w:rsidRPr="00D51D60" w:rsidTr="00EF595C">
        <w:tc>
          <w:tcPr>
            <w:tcW w:w="1342" w:type="pct"/>
            <w:shd w:val="clear" w:color="auto" w:fill="auto"/>
            <w:vAlign w:val="center"/>
          </w:tcPr>
          <w:p w:rsidR="003B61C2" w:rsidRPr="00D51D60" w:rsidRDefault="003B61C2" w:rsidP="00D47FDA">
            <w:pPr>
              <w:keepNext/>
              <w:keepLines/>
              <w:rPr>
                <w:rFonts w:ascii="Times" w:hAnsi="Times"/>
                <w:sz w:val="20"/>
              </w:rPr>
            </w:pPr>
            <w:r w:rsidRPr="00D51D60">
              <w:rPr>
                <w:rFonts w:ascii="Arial Narrow" w:hAnsi="Arial Narrow"/>
                <w:sz w:val="20"/>
              </w:rPr>
              <w:t>IMD cases</w:t>
            </w:r>
          </w:p>
        </w:tc>
        <w:tc>
          <w:tcPr>
            <w:tcW w:w="1405" w:type="pct"/>
            <w:shd w:val="clear" w:color="auto" w:fill="auto"/>
          </w:tcPr>
          <w:p w:rsidR="003B61C2" w:rsidRPr="00BB196F" w:rsidRDefault="00BB196F" w:rsidP="00D47FDA">
            <w:pPr>
              <w:keepNext/>
              <w:keepLines/>
              <w:jc w:val="center"/>
              <w:rPr>
                <w:rFonts w:ascii="Times" w:hAnsi="Times"/>
                <w:sz w:val="20"/>
                <w:highlight w:val="black"/>
                <w:vertAlign w:val="superscript"/>
              </w:rPr>
            </w:pPr>
            <w:r>
              <w:rPr>
                <w:rFonts w:ascii="Arial Narrow" w:hAnsi="Arial Narrow"/>
                <w:noProof/>
                <w:color w:val="000000"/>
                <w:sz w:val="20"/>
                <w:highlight w:val="black"/>
              </w:rPr>
              <w:t>'''''''''''''</w:t>
            </w:r>
          </w:p>
        </w:tc>
        <w:tc>
          <w:tcPr>
            <w:tcW w:w="1014" w:type="pct"/>
            <w:shd w:val="clear" w:color="auto" w:fill="auto"/>
          </w:tcPr>
          <w:p w:rsidR="003B61C2" w:rsidRPr="00BB196F" w:rsidRDefault="00BB196F" w:rsidP="00D47FDA">
            <w:pPr>
              <w:keepNext/>
              <w:keepLines/>
              <w:jc w:val="center"/>
              <w:rPr>
                <w:rFonts w:ascii="Times" w:hAnsi="Times"/>
                <w:sz w:val="20"/>
                <w:highlight w:val="black"/>
              </w:rPr>
            </w:pPr>
            <w:r>
              <w:rPr>
                <w:rFonts w:ascii="Arial Narrow" w:hAnsi="Arial Narrow"/>
                <w:noProof/>
                <w:color w:val="000000"/>
                <w:sz w:val="20"/>
                <w:highlight w:val="black"/>
              </w:rPr>
              <w:t>''''''''''''</w:t>
            </w:r>
          </w:p>
        </w:tc>
        <w:tc>
          <w:tcPr>
            <w:tcW w:w="1239" w:type="pct"/>
            <w:shd w:val="clear" w:color="auto" w:fill="auto"/>
          </w:tcPr>
          <w:p w:rsidR="003B61C2" w:rsidRPr="00D51D60" w:rsidRDefault="003B61C2" w:rsidP="00D47FDA">
            <w:pPr>
              <w:keepNext/>
              <w:keepLines/>
              <w:jc w:val="center"/>
              <w:rPr>
                <w:rFonts w:ascii="Arial Narrow" w:hAnsi="Arial Narrow"/>
                <w:sz w:val="20"/>
              </w:rPr>
            </w:pPr>
            <w:r w:rsidRPr="00D51D60">
              <w:rPr>
                <w:rFonts w:ascii="Arial Narrow" w:hAnsi="Arial Narrow"/>
                <w:sz w:val="20"/>
              </w:rPr>
              <w:t>-</w:t>
            </w:r>
            <w:r w:rsidR="00BB196F">
              <w:rPr>
                <w:rFonts w:ascii="Arial Narrow" w:hAnsi="Arial Narrow"/>
                <w:noProof/>
                <w:color w:val="000000"/>
                <w:sz w:val="20"/>
                <w:highlight w:val="black"/>
              </w:rPr>
              <w:t>''''''''''''''</w:t>
            </w:r>
            <w:r w:rsidRPr="00D51D60">
              <w:rPr>
                <w:rFonts w:ascii="Arial Narrow" w:hAnsi="Arial Narrow"/>
                <w:sz w:val="20"/>
                <w:vertAlign w:val="superscript"/>
              </w:rPr>
              <w:t xml:space="preserve"> a</w:t>
            </w:r>
          </w:p>
        </w:tc>
      </w:tr>
      <w:tr w:rsidR="003B61C2" w:rsidRPr="00D51D60" w:rsidTr="00EF595C">
        <w:tc>
          <w:tcPr>
            <w:tcW w:w="3761" w:type="pct"/>
            <w:gridSpan w:val="3"/>
            <w:shd w:val="clear" w:color="auto" w:fill="auto"/>
            <w:vAlign w:val="center"/>
          </w:tcPr>
          <w:p w:rsidR="003B61C2" w:rsidRPr="00D51D60" w:rsidRDefault="003B61C2" w:rsidP="00D47FDA">
            <w:pPr>
              <w:keepNext/>
              <w:keepLines/>
              <w:rPr>
                <w:rFonts w:ascii="Times" w:hAnsi="Times"/>
                <w:sz w:val="20"/>
              </w:rPr>
            </w:pPr>
            <w:r w:rsidRPr="00D51D60">
              <w:rPr>
                <w:rFonts w:ascii="Arial Narrow" w:hAnsi="Arial Narrow"/>
                <w:sz w:val="20"/>
              </w:rPr>
              <w:t>Incremental cost/per IMD case avoided</w:t>
            </w:r>
          </w:p>
        </w:tc>
        <w:tc>
          <w:tcPr>
            <w:tcW w:w="1239" w:type="pct"/>
            <w:shd w:val="clear" w:color="auto" w:fill="auto"/>
            <w:vAlign w:val="center"/>
          </w:tcPr>
          <w:p w:rsidR="003B61C2" w:rsidRPr="00D51D60" w:rsidRDefault="003B61C2" w:rsidP="00D47FDA">
            <w:pPr>
              <w:keepNext/>
              <w:keepLines/>
              <w:jc w:val="center"/>
              <w:rPr>
                <w:rFonts w:ascii="Times" w:hAnsi="Times"/>
                <w:sz w:val="20"/>
              </w:rPr>
            </w:pPr>
            <w:r w:rsidRPr="00D51D60">
              <w:rPr>
                <w:rFonts w:ascii="Arial Narrow" w:hAnsi="Arial Narrow"/>
                <w:sz w:val="20"/>
              </w:rPr>
              <w:t>Dominant</w:t>
            </w:r>
          </w:p>
        </w:tc>
      </w:tr>
      <w:tr w:rsidR="003B61C2" w:rsidRPr="00D51D60" w:rsidTr="00EF595C">
        <w:tc>
          <w:tcPr>
            <w:tcW w:w="5000" w:type="pct"/>
            <w:gridSpan w:val="4"/>
            <w:shd w:val="clear" w:color="auto" w:fill="auto"/>
            <w:vAlign w:val="center"/>
          </w:tcPr>
          <w:p w:rsidR="003B61C2" w:rsidRPr="00F86E50" w:rsidRDefault="003B61C2" w:rsidP="00D47FDA">
            <w:pPr>
              <w:keepNext/>
              <w:keepLines/>
              <w:rPr>
                <w:rFonts w:ascii="Arial Narrow" w:hAnsi="Arial Narrow"/>
                <w:b/>
                <w:sz w:val="20"/>
              </w:rPr>
            </w:pPr>
            <w:r w:rsidRPr="00F86E50">
              <w:rPr>
                <w:rFonts w:ascii="Arial Narrow" w:hAnsi="Arial Narrow"/>
                <w:b/>
                <w:sz w:val="20"/>
              </w:rPr>
              <w:t>Step 3: time horizon 100 years, discounting (3.5%)</w:t>
            </w:r>
          </w:p>
        </w:tc>
      </w:tr>
      <w:tr w:rsidR="003B61C2" w:rsidRPr="00D51D60" w:rsidTr="00EF595C">
        <w:tc>
          <w:tcPr>
            <w:tcW w:w="1342" w:type="pct"/>
            <w:shd w:val="clear" w:color="auto" w:fill="auto"/>
            <w:vAlign w:val="center"/>
          </w:tcPr>
          <w:p w:rsidR="003B61C2" w:rsidRPr="00D51D60" w:rsidRDefault="003B61C2" w:rsidP="00D47FDA">
            <w:pPr>
              <w:keepNext/>
              <w:keepLines/>
              <w:rPr>
                <w:rFonts w:ascii="Times" w:hAnsi="Times"/>
                <w:sz w:val="20"/>
              </w:rPr>
            </w:pPr>
            <w:r w:rsidRPr="00D51D60">
              <w:rPr>
                <w:rFonts w:ascii="Arial Narrow" w:hAnsi="Arial Narrow"/>
                <w:sz w:val="20"/>
              </w:rPr>
              <w:t>Costs</w:t>
            </w:r>
          </w:p>
        </w:tc>
        <w:tc>
          <w:tcPr>
            <w:tcW w:w="1405" w:type="pct"/>
            <w:shd w:val="clear" w:color="auto" w:fill="auto"/>
          </w:tcPr>
          <w:p w:rsidR="003B61C2" w:rsidRPr="00D51D60" w:rsidRDefault="003B61C2" w:rsidP="00D47FDA">
            <w:pPr>
              <w:keepNext/>
              <w:keepLines/>
              <w:jc w:val="center"/>
              <w:rPr>
                <w:rFonts w:ascii="Times" w:hAnsi="Times"/>
                <w:sz w:val="20"/>
              </w:rPr>
            </w:pPr>
            <w:r w:rsidRPr="00D51D60">
              <w:rPr>
                <w:rFonts w:ascii="Arial Narrow" w:hAnsi="Arial Narrow"/>
                <w:sz w:val="20"/>
              </w:rPr>
              <w:t>$</w:t>
            </w:r>
            <w:r w:rsidR="00BB196F">
              <w:rPr>
                <w:rFonts w:ascii="Arial Narrow" w:hAnsi="Arial Narrow"/>
                <w:noProof/>
                <w:color w:val="000000"/>
                <w:sz w:val="20"/>
                <w:highlight w:val="black"/>
              </w:rPr>
              <w:t>''''''''''''''''''''''''''''''''</w:t>
            </w:r>
          </w:p>
        </w:tc>
        <w:tc>
          <w:tcPr>
            <w:tcW w:w="1014" w:type="pct"/>
            <w:shd w:val="clear" w:color="auto" w:fill="auto"/>
          </w:tcPr>
          <w:p w:rsidR="003B61C2" w:rsidRPr="00D51D60" w:rsidRDefault="003B61C2" w:rsidP="00D47FDA">
            <w:pPr>
              <w:keepNext/>
              <w:keepLines/>
              <w:jc w:val="center"/>
              <w:rPr>
                <w:rFonts w:ascii="Times" w:hAnsi="Times"/>
                <w:sz w:val="20"/>
              </w:rPr>
            </w:pPr>
            <w:r w:rsidRPr="00D51D60">
              <w:rPr>
                <w:rFonts w:ascii="Arial Narrow" w:hAnsi="Arial Narrow"/>
                <w:sz w:val="20"/>
              </w:rPr>
              <w:t>$</w:t>
            </w:r>
            <w:r w:rsidR="00BB196F">
              <w:rPr>
                <w:rFonts w:ascii="Arial Narrow" w:hAnsi="Arial Narrow"/>
                <w:noProof/>
                <w:color w:val="000000"/>
                <w:sz w:val="20"/>
                <w:highlight w:val="black"/>
              </w:rPr>
              <w:t>'''''''''''''''''''''''''''''</w:t>
            </w:r>
          </w:p>
        </w:tc>
        <w:tc>
          <w:tcPr>
            <w:tcW w:w="1239" w:type="pct"/>
            <w:shd w:val="clear" w:color="auto" w:fill="auto"/>
          </w:tcPr>
          <w:p w:rsidR="003B61C2" w:rsidRPr="00D51D60" w:rsidRDefault="003B61C2" w:rsidP="00D47FDA">
            <w:pPr>
              <w:keepNext/>
              <w:keepLines/>
              <w:jc w:val="center"/>
              <w:rPr>
                <w:rFonts w:ascii="Times" w:hAnsi="Times"/>
                <w:sz w:val="20"/>
              </w:rPr>
            </w:pPr>
            <w:r w:rsidRPr="00D51D60">
              <w:rPr>
                <w:rFonts w:ascii="Arial Narrow" w:hAnsi="Arial Narrow"/>
                <w:sz w:val="20"/>
              </w:rPr>
              <w:t>$</w:t>
            </w:r>
            <w:r w:rsidR="00BB196F">
              <w:rPr>
                <w:rFonts w:ascii="Arial Narrow" w:hAnsi="Arial Narrow"/>
                <w:noProof/>
                <w:color w:val="000000"/>
                <w:sz w:val="20"/>
                <w:highlight w:val="black"/>
              </w:rPr>
              <w:t>'''''''''''''''''''''''''''''</w:t>
            </w:r>
          </w:p>
        </w:tc>
      </w:tr>
      <w:tr w:rsidR="003B61C2" w:rsidRPr="00D51D60" w:rsidTr="00EF595C">
        <w:tc>
          <w:tcPr>
            <w:tcW w:w="1342" w:type="pct"/>
            <w:shd w:val="clear" w:color="auto" w:fill="auto"/>
            <w:vAlign w:val="center"/>
          </w:tcPr>
          <w:p w:rsidR="003B61C2" w:rsidRPr="00D51D60" w:rsidRDefault="003B61C2" w:rsidP="00D47FDA">
            <w:pPr>
              <w:keepNext/>
              <w:keepLines/>
              <w:rPr>
                <w:rFonts w:ascii="Times" w:hAnsi="Times"/>
                <w:sz w:val="20"/>
              </w:rPr>
            </w:pPr>
            <w:r w:rsidRPr="00D51D60">
              <w:rPr>
                <w:rFonts w:ascii="Arial Narrow" w:hAnsi="Arial Narrow"/>
                <w:sz w:val="20"/>
              </w:rPr>
              <w:t>IMD cases</w:t>
            </w:r>
          </w:p>
        </w:tc>
        <w:tc>
          <w:tcPr>
            <w:tcW w:w="1405" w:type="pct"/>
            <w:shd w:val="clear" w:color="auto" w:fill="auto"/>
          </w:tcPr>
          <w:p w:rsidR="003B61C2" w:rsidRPr="00BB196F" w:rsidRDefault="00BB196F" w:rsidP="00D47FDA">
            <w:pPr>
              <w:keepNext/>
              <w:keepLines/>
              <w:jc w:val="center"/>
              <w:rPr>
                <w:rFonts w:ascii="Times" w:hAnsi="Times"/>
                <w:sz w:val="20"/>
                <w:highlight w:val="black"/>
              </w:rPr>
            </w:pPr>
            <w:r>
              <w:rPr>
                <w:rFonts w:ascii="Arial Narrow" w:hAnsi="Arial Narrow"/>
                <w:noProof/>
                <w:color w:val="000000"/>
                <w:sz w:val="20"/>
                <w:highlight w:val="black"/>
              </w:rPr>
              <w:t>''''''''''''''</w:t>
            </w:r>
          </w:p>
        </w:tc>
        <w:tc>
          <w:tcPr>
            <w:tcW w:w="1014" w:type="pct"/>
            <w:shd w:val="clear" w:color="auto" w:fill="auto"/>
          </w:tcPr>
          <w:p w:rsidR="003B61C2" w:rsidRPr="00BB196F" w:rsidRDefault="00BB196F" w:rsidP="00D47FDA">
            <w:pPr>
              <w:keepNext/>
              <w:keepLines/>
              <w:jc w:val="center"/>
              <w:rPr>
                <w:rFonts w:ascii="Times" w:hAnsi="Times"/>
                <w:sz w:val="20"/>
                <w:highlight w:val="black"/>
              </w:rPr>
            </w:pPr>
            <w:r>
              <w:rPr>
                <w:rFonts w:ascii="Arial Narrow" w:hAnsi="Arial Narrow"/>
                <w:noProof/>
                <w:color w:val="000000"/>
                <w:sz w:val="20"/>
                <w:highlight w:val="black"/>
              </w:rPr>
              <w:t>'''''''''''''</w:t>
            </w:r>
          </w:p>
        </w:tc>
        <w:tc>
          <w:tcPr>
            <w:tcW w:w="1239" w:type="pct"/>
            <w:shd w:val="clear" w:color="auto" w:fill="auto"/>
          </w:tcPr>
          <w:p w:rsidR="003B61C2" w:rsidRPr="00D51D60" w:rsidRDefault="003B61C2" w:rsidP="00D47FDA">
            <w:pPr>
              <w:keepNext/>
              <w:keepLines/>
              <w:jc w:val="center"/>
              <w:rPr>
                <w:rFonts w:ascii="Arial Narrow" w:hAnsi="Arial Narrow"/>
                <w:sz w:val="20"/>
              </w:rPr>
            </w:pPr>
            <w:r w:rsidRPr="00D51D60">
              <w:rPr>
                <w:rFonts w:ascii="Arial Narrow" w:hAnsi="Arial Narrow"/>
                <w:sz w:val="20"/>
              </w:rPr>
              <w:t>-</w:t>
            </w:r>
            <w:r w:rsidR="00BB196F">
              <w:rPr>
                <w:rFonts w:ascii="Arial Narrow" w:hAnsi="Arial Narrow"/>
                <w:noProof/>
                <w:color w:val="000000"/>
                <w:sz w:val="20"/>
                <w:highlight w:val="black"/>
              </w:rPr>
              <w:t>'''''''''''''''</w:t>
            </w:r>
            <w:r w:rsidRPr="00D51D60">
              <w:rPr>
                <w:rFonts w:ascii="Arial Narrow" w:hAnsi="Arial Narrow"/>
                <w:sz w:val="20"/>
                <w:vertAlign w:val="superscript"/>
              </w:rPr>
              <w:t xml:space="preserve"> a</w:t>
            </w:r>
          </w:p>
        </w:tc>
      </w:tr>
      <w:tr w:rsidR="003B61C2" w:rsidRPr="00D51D60" w:rsidTr="00EF595C">
        <w:tc>
          <w:tcPr>
            <w:tcW w:w="3761" w:type="pct"/>
            <w:gridSpan w:val="3"/>
            <w:tcBorders>
              <w:bottom w:val="single" w:sz="4" w:space="0" w:color="auto"/>
            </w:tcBorders>
            <w:shd w:val="clear" w:color="auto" w:fill="auto"/>
            <w:vAlign w:val="center"/>
          </w:tcPr>
          <w:p w:rsidR="003B61C2" w:rsidRPr="00D51D60" w:rsidRDefault="003B61C2" w:rsidP="00D47FDA">
            <w:pPr>
              <w:keepNext/>
              <w:keepLines/>
              <w:rPr>
                <w:rFonts w:ascii="Times" w:hAnsi="Times"/>
                <w:sz w:val="20"/>
              </w:rPr>
            </w:pPr>
            <w:r w:rsidRPr="00D51D60">
              <w:rPr>
                <w:rFonts w:ascii="Arial Narrow" w:hAnsi="Arial Narrow"/>
                <w:sz w:val="20"/>
              </w:rPr>
              <w:t>Incremental cost/per IMD case avoided</w:t>
            </w:r>
          </w:p>
        </w:tc>
        <w:tc>
          <w:tcPr>
            <w:tcW w:w="1239" w:type="pct"/>
            <w:tcBorders>
              <w:bottom w:val="single" w:sz="4" w:space="0" w:color="auto"/>
            </w:tcBorders>
            <w:shd w:val="clear" w:color="auto" w:fill="auto"/>
            <w:vAlign w:val="center"/>
          </w:tcPr>
          <w:p w:rsidR="003B61C2" w:rsidRPr="00D51D60" w:rsidRDefault="003B61C2" w:rsidP="00D47FDA">
            <w:pPr>
              <w:keepNext/>
              <w:keepLines/>
              <w:jc w:val="center"/>
              <w:rPr>
                <w:rFonts w:ascii="Times" w:hAnsi="Times"/>
                <w:sz w:val="20"/>
              </w:rPr>
            </w:pPr>
            <w:r w:rsidRPr="00D51D60">
              <w:rPr>
                <w:rFonts w:ascii="Arial Narrow" w:hAnsi="Arial Narrow"/>
                <w:sz w:val="20"/>
              </w:rPr>
              <w:t>$</w:t>
            </w:r>
            <w:r w:rsidR="00BB196F">
              <w:rPr>
                <w:rFonts w:ascii="Arial Narrow" w:hAnsi="Arial Narrow"/>
                <w:noProof/>
                <w:color w:val="000000"/>
                <w:sz w:val="20"/>
                <w:highlight w:val="black"/>
              </w:rPr>
              <w:t>''''''''''''''''</w:t>
            </w:r>
          </w:p>
        </w:tc>
      </w:tr>
      <w:tr w:rsidR="003B61C2" w:rsidRPr="00D51D60" w:rsidTr="00EF595C">
        <w:tc>
          <w:tcPr>
            <w:tcW w:w="3761" w:type="pct"/>
            <w:gridSpan w:val="3"/>
            <w:tcBorders>
              <w:right w:val="nil"/>
            </w:tcBorders>
            <w:shd w:val="clear" w:color="auto" w:fill="auto"/>
            <w:vAlign w:val="center"/>
          </w:tcPr>
          <w:p w:rsidR="003B61C2" w:rsidRPr="00F86E50" w:rsidRDefault="003B61C2" w:rsidP="00D47FDA">
            <w:pPr>
              <w:keepNext/>
              <w:keepLines/>
              <w:rPr>
                <w:rFonts w:ascii="Arial Narrow" w:hAnsi="Arial Narrow"/>
                <w:b/>
                <w:sz w:val="20"/>
              </w:rPr>
            </w:pPr>
            <w:r w:rsidRPr="00F86E50">
              <w:rPr>
                <w:rFonts w:ascii="Arial Narrow" w:hAnsi="Arial Narrow"/>
                <w:b/>
                <w:sz w:val="20"/>
              </w:rPr>
              <w:t>Step 4: time horizon 100 years, death avoided, discounting (3.5%)</w:t>
            </w:r>
          </w:p>
        </w:tc>
        <w:tc>
          <w:tcPr>
            <w:tcW w:w="1239" w:type="pct"/>
            <w:tcBorders>
              <w:left w:val="nil"/>
            </w:tcBorders>
            <w:shd w:val="clear" w:color="auto" w:fill="auto"/>
            <w:vAlign w:val="center"/>
          </w:tcPr>
          <w:p w:rsidR="003B61C2" w:rsidRPr="00D51D60" w:rsidRDefault="003B61C2" w:rsidP="00D47FDA">
            <w:pPr>
              <w:keepNext/>
              <w:keepLines/>
              <w:jc w:val="center"/>
              <w:rPr>
                <w:rFonts w:ascii="Arial Narrow" w:hAnsi="Arial Narrow"/>
                <w:sz w:val="20"/>
              </w:rPr>
            </w:pPr>
          </w:p>
        </w:tc>
      </w:tr>
      <w:tr w:rsidR="003B61C2" w:rsidRPr="007108BC" w:rsidTr="00EF595C">
        <w:tc>
          <w:tcPr>
            <w:tcW w:w="1342" w:type="pct"/>
            <w:shd w:val="clear" w:color="auto" w:fill="auto"/>
          </w:tcPr>
          <w:p w:rsidR="003B61C2" w:rsidRPr="007108BC" w:rsidRDefault="003B61C2" w:rsidP="00D47FDA">
            <w:pPr>
              <w:keepNext/>
              <w:keepLines/>
              <w:rPr>
                <w:rFonts w:ascii="Arial Narrow" w:hAnsi="Arial Narrow"/>
                <w:i/>
                <w:sz w:val="20"/>
              </w:rPr>
            </w:pPr>
            <w:r w:rsidRPr="007108BC">
              <w:rPr>
                <w:rFonts w:ascii="Arial Narrow" w:hAnsi="Arial Narrow"/>
                <w:sz w:val="20"/>
              </w:rPr>
              <w:t>Costs</w:t>
            </w:r>
          </w:p>
        </w:tc>
        <w:tc>
          <w:tcPr>
            <w:tcW w:w="1405" w:type="pct"/>
            <w:shd w:val="clear" w:color="auto" w:fill="auto"/>
          </w:tcPr>
          <w:p w:rsidR="003B61C2" w:rsidRPr="007108BC" w:rsidRDefault="003B61C2" w:rsidP="00D47FDA">
            <w:pPr>
              <w:keepNext/>
              <w:keepLines/>
              <w:jc w:val="center"/>
              <w:rPr>
                <w:rFonts w:ascii="Arial Narrow" w:hAnsi="Arial Narrow"/>
                <w:i/>
                <w:sz w:val="20"/>
              </w:rPr>
            </w:pPr>
            <w:r w:rsidRPr="007108BC">
              <w:rPr>
                <w:rFonts w:ascii="Arial Narrow" w:hAnsi="Arial Narrow"/>
                <w:sz w:val="20"/>
              </w:rPr>
              <w:t>$</w:t>
            </w:r>
            <w:r w:rsidR="00BB196F">
              <w:rPr>
                <w:rFonts w:ascii="Arial Narrow" w:hAnsi="Arial Narrow"/>
                <w:noProof/>
                <w:color w:val="000000"/>
                <w:sz w:val="20"/>
                <w:highlight w:val="black"/>
              </w:rPr>
              <w:t>''''''''''''''''''''''''''''''''</w:t>
            </w:r>
          </w:p>
        </w:tc>
        <w:tc>
          <w:tcPr>
            <w:tcW w:w="1014" w:type="pct"/>
            <w:shd w:val="clear" w:color="auto" w:fill="auto"/>
          </w:tcPr>
          <w:p w:rsidR="003B61C2" w:rsidRPr="007108BC" w:rsidRDefault="003B61C2" w:rsidP="00D47FDA">
            <w:pPr>
              <w:keepNext/>
              <w:keepLines/>
              <w:jc w:val="center"/>
              <w:rPr>
                <w:rFonts w:ascii="Arial Narrow" w:hAnsi="Arial Narrow"/>
                <w:i/>
                <w:sz w:val="20"/>
              </w:rPr>
            </w:pPr>
            <w:r w:rsidRPr="007108BC">
              <w:rPr>
                <w:rFonts w:ascii="Arial Narrow" w:hAnsi="Arial Narrow"/>
                <w:sz w:val="20"/>
              </w:rPr>
              <w:t>$</w:t>
            </w:r>
            <w:r w:rsidR="00BB196F">
              <w:rPr>
                <w:rFonts w:ascii="Arial Narrow" w:hAnsi="Arial Narrow"/>
                <w:noProof/>
                <w:color w:val="000000"/>
                <w:sz w:val="20"/>
                <w:highlight w:val="black"/>
              </w:rPr>
              <w:t>'''''''''''''''''''''''''''</w:t>
            </w:r>
          </w:p>
        </w:tc>
        <w:tc>
          <w:tcPr>
            <w:tcW w:w="1239" w:type="pct"/>
            <w:shd w:val="clear" w:color="auto" w:fill="auto"/>
          </w:tcPr>
          <w:p w:rsidR="003B61C2" w:rsidRPr="007108BC" w:rsidRDefault="003B61C2" w:rsidP="00D47FDA">
            <w:pPr>
              <w:keepNext/>
              <w:keepLines/>
              <w:jc w:val="center"/>
              <w:rPr>
                <w:rFonts w:ascii="Arial Narrow" w:hAnsi="Arial Narrow"/>
                <w:i/>
                <w:sz w:val="20"/>
              </w:rPr>
            </w:pPr>
            <w:r w:rsidRPr="007108BC">
              <w:rPr>
                <w:rFonts w:ascii="Arial Narrow" w:hAnsi="Arial Narrow"/>
                <w:sz w:val="20"/>
              </w:rPr>
              <w:t>$</w:t>
            </w:r>
            <w:r w:rsidR="00BB196F">
              <w:rPr>
                <w:rFonts w:ascii="Arial Narrow" w:hAnsi="Arial Narrow"/>
                <w:noProof/>
                <w:color w:val="000000"/>
                <w:sz w:val="20"/>
                <w:highlight w:val="black"/>
              </w:rPr>
              <w:t>'''''''''''''''''''''''''</w:t>
            </w:r>
          </w:p>
        </w:tc>
      </w:tr>
      <w:tr w:rsidR="003B61C2" w:rsidRPr="007108BC" w:rsidTr="00EF595C">
        <w:tc>
          <w:tcPr>
            <w:tcW w:w="1342" w:type="pct"/>
            <w:shd w:val="clear" w:color="auto" w:fill="auto"/>
          </w:tcPr>
          <w:p w:rsidR="003B61C2" w:rsidRPr="007108BC" w:rsidRDefault="003B61C2" w:rsidP="00D47FDA">
            <w:pPr>
              <w:keepNext/>
              <w:keepLines/>
              <w:rPr>
                <w:rFonts w:ascii="Arial Narrow" w:hAnsi="Arial Narrow"/>
                <w:i/>
                <w:sz w:val="20"/>
              </w:rPr>
            </w:pPr>
            <w:r w:rsidRPr="007108BC">
              <w:rPr>
                <w:rFonts w:ascii="Arial Narrow" w:hAnsi="Arial Narrow"/>
                <w:sz w:val="20"/>
              </w:rPr>
              <w:t xml:space="preserve">Deaths </w:t>
            </w:r>
          </w:p>
        </w:tc>
        <w:tc>
          <w:tcPr>
            <w:tcW w:w="1405" w:type="pct"/>
            <w:shd w:val="clear" w:color="auto" w:fill="auto"/>
          </w:tcPr>
          <w:p w:rsidR="003B61C2" w:rsidRPr="00BB196F" w:rsidRDefault="00BB196F" w:rsidP="00D47FDA">
            <w:pPr>
              <w:keepNext/>
              <w:keepLines/>
              <w:jc w:val="center"/>
              <w:rPr>
                <w:rFonts w:ascii="Arial Narrow" w:hAnsi="Arial Narrow"/>
                <w:i/>
                <w:sz w:val="20"/>
                <w:highlight w:val="black"/>
              </w:rPr>
            </w:pPr>
            <w:r>
              <w:rPr>
                <w:rFonts w:ascii="Arial Narrow" w:hAnsi="Arial Narrow"/>
                <w:noProof/>
                <w:color w:val="000000"/>
                <w:sz w:val="20"/>
                <w:highlight w:val="black"/>
              </w:rPr>
              <w:t>'''''''''</w:t>
            </w:r>
          </w:p>
        </w:tc>
        <w:tc>
          <w:tcPr>
            <w:tcW w:w="1014" w:type="pct"/>
            <w:shd w:val="clear" w:color="auto" w:fill="auto"/>
          </w:tcPr>
          <w:p w:rsidR="003B61C2" w:rsidRPr="00BB196F" w:rsidRDefault="00BB196F" w:rsidP="00D47FDA">
            <w:pPr>
              <w:keepNext/>
              <w:keepLines/>
              <w:jc w:val="center"/>
              <w:rPr>
                <w:rFonts w:ascii="Arial Narrow" w:hAnsi="Arial Narrow"/>
                <w:i/>
                <w:sz w:val="20"/>
                <w:highlight w:val="black"/>
              </w:rPr>
            </w:pPr>
            <w:r>
              <w:rPr>
                <w:rFonts w:ascii="Arial Narrow" w:hAnsi="Arial Narrow"/>
                <w:noProof/>
                <w:color w:val="000000"/>
                <w:sz w:val="20"/>
                <w:highlight w:val="black"/>
              </w:rPr>
              <w:t>''''''''''</w:t>
            </w:r>
          </w:p>
        </w:tc>
        <w:tc>
          <w:tcPr>
            <w:tcW w:w="1239" w:type="pct"/>
            <w:shd w:val="clear" w:color="auto" w:fill="auto"/>
          </w:tcPr>
          <w:p w:rsidR="003B61C2" w:rsidRPr="007108BC" w:rsidRDefault="003B61C2" w:rsidP="00D47FDA">
            <w:pPr>
              <w:keepNext/>
              <w:keepLines/>
              <w:jc w:val="center"/>
              <w:rPr>
                <w:rFonts w:ascii="Arial Narrow" w:hAnsi="Arial Narrow"/>
                <w:i/>
                <w:sz w:val="20"/>
              </w:rPr>
            </w:pPr>
            <w:r w:rsidRPr="007108BC">
              <w:rPr>
                <w:rFonts w:ascii="Arial Narrow" w:hAnsi="Arial Narrow"/>
                <w:sz w:val="20"/>
              </w:rPr>
              <w:t>-</w:t>
            </w:r>
            <w:r w:rsidR="00BB196F">
              <w:rPr>
                <w:rFonts w:ascii="Arial Narrow" w:hAnsi="Arial Narrow"/>
                <w:noProof/>
                <w:color w:val="000000"/>
                <w:sz w:val="20"/>
                <w:highlight w:val="black"/>
              </w:rPr>
              <w:t>''''''''''''''</w:t>
            </w:r>
            <w:r w:rsidRPr="00D51D60">
              <w:rPr>
                <w:rFonts w:ascii="Arial Narrow" w:hAnsi="Arial Narrow"/>
                <w:sz w:val="20"/>
                <w:vertAlign w:val="superscript"/>
              </w:rPr>
              <w:t>a</w:t>
            </w:r>
          </w:p>
        </w:tc>
      </w:tr>
      <w:tr w:rsidR="003B61C2" w:rsidRPr="00D51D60" w:rsidTr="00EF595C">
        <w:tc>
          <w:tcPr>
            <w:tcW w:w="3761" w:type="pct"/>
            <w:gridSpan w:val="3"/>
            <w:shd w:val="clear" w:color="auto" w:fill="auto"/>
            <w:vAlign w:val="center"/>
          </w:tcPr>
          <w:p w:rsidR="003B61C2" w:rsidRPr="00D51D60" w:rsidRDefault="003B61C2" w:rsidP="00D47FDA">
            <w:pPr>
              <w:keepNext/>
              <w:keepLines/>
              <w:rPr>
                <w:rFonts w:ascii="Arial Narrow" w:hAnsi="Arial Narrow"/>
                <w:sz w:val="20"/>
              </w:rPr>
            </w:pPr>
            <w:r w:rsidRPr="00D51D60">
              <w:rPr>
                <w:rFonts w:ascii="Arial Narrow" w:hAnsi="Arial Narrow"/>
                <w:sz w:val="20"/>
              </w:rPr>
              <w:t>Incremental cost/per death avoided</w:t>
            </w:r>
          </w:p>
        </w:tc>
        <w:tc>
          <w:tcPr>
            <w:tcW w:w="1239" w:type="pct"/>
            <w:shd w:val="clear" w:color="auto" w:fill="auto"/>
            <w:vAlign w:val="center"/>
          </w:tcPr>
          <w:p w:rsidR="003B61C2" w:rsidRPr="00D51D60" w:rsidRDefault="003B61C2" w:rsidP="00D47FDA">
            <w:pPr>
              <w:keepNext/>
              <w:keepLines/>
              <w:jc w:val="center"/>
              <w:rPr>
                <w:rFonts w:ascii="Arial Narrow" w:hAnsi="Arial Narrow"/>
                <w:sz w:val="20"/>
              </w:rPr>
            </w:pPr>
            <w:r w:rsidRPr="00D51D60">
              <w:rPr>
                <w:rFonts w:ascii="Arial Narrow" w:hAnsi="Arial Narrow"/>
                <w:sz w:val="20"/>
              </w:rPr>
              <w:t>$</w:t>
            </w:r>
            <w:r w:rsidR="00BB196F">
              <w:rPr>
                <w:rFonts w:ascii="Arial Narrow" w:hAnsi="Arial Narrow"/>
                <w:noProof/>
                <w:color w:val="000000"/>
                <w:sz w:val="20"/>
                <w:highlight w:val="black"/>
              </w:rPr>
              <w:t>'''''''''''''''''''</w:t>
            </w:r>
          </w:p>
        </w:tc>
      </w:tr>
      <w:tr w:rsidR="003B61C2" w:rsidRPr="007108BC" w:rsidTr="00EF595C">
        <w:tc>
          <w:tcPr>
            <w:tcW w:w="5000" w:type="pct"/>
            <w:gridSpan w:val="4"/>
            <w:shd w:val="clear" w:color="auto" w:fill="auto"/>
            <w:vAlign w:val="center"/>
          </w:tcPr>
          <w:p w:rsidR="003B61C2" w:rsidRPr="007108BC" w:rsidRDefault="003B61C2" w:rsidP="00D47FDA">
            <w:pPr>
              <w:keepNext/>
              <w:keepLines/>
              <w:rPr>
                <w:rFonts w:ascii="Arial Narrow" w:hAnsi="Arial Narrow"/>
                <w:sz w:val="20"/>
              </w:rPr>
            </w:pPr>
            <w:r w:rsidRPr="007108BC">
              <w:rPr>
                <w:rFonts w:ascii="Arial Narrow" w:hAnsi="Arial Narrow"/>
                <w:b/>
                <w:sz w:val="20"/>
              </w:rPr>
              <w:t>Step 5: time horizon 100 years, LYG, discounting (3.5%)</w:t>
            </w:r>
          </w:p>
        </w:tc>
      </w:tr>
      <w:tr w:rsidR="003B61C2" w:rsidRPr="00D51D60" w:rsidTr="00EF595C">
        <w:tc>
          <w:tcPr>
            <w:tcW w:w="1342" w:type="pct"/>
            <w:shd w:val="clear" w:color="auto" w:fill="auto"/>
            <w:vAlign w:val="center"/>
          </w:tcPr>
          <w:p w:rsidR="003B61C2" w:rsidRPr="00D51D60" w:rsidRDefault="003B61C2" w:rsidP="00D47FDA">
            <w:pPr>
              <w:keepNext/>
              <w:keepLines/>
              <w:rPr>
                <w:rFonts w:ascii="Arial Narrow" w:hAnsi="Arial Narrow"/>
                <w:sz w:val="20"/>
              </w:rPr>
            </w:pPr>
            <w:r w:rsidRPr="00D51D60">
              <w:rPr>
                <w:rFonts w:ascii="Arial Narrow" w:hAnsi="Arial Narrow"/>
                <w:sz w:val="20"/>
              </w:rPr>
              <w:t>Costs</w:t>
            </w:r>
          </w:p>
        </w:tc>
        <w:tc>
          <w:tcPr>
            <w:tcW w:w="1405" w:type="pct"/>
            <w:shd w:val="clear" w:color="auto" w:fill="auto"/>
          </w:tcPr>
          <w:p w:rsidR="003B61C2" w:rsidRPr="00D51D60" w:rsidRDefault="003B61C2" w:rsidP="00D47FDA">
            <w:pPr>
              <w:keepNext/>
              <w:keepLines/>
              <w:jc w:val="center"/>
              <w:rPr>
                <w:rFonts w:ascii="Arial Narrow" w:hAnsi="Arial Narrow"/>
                <w:sz w:val="20"/>
              </w:rPr>
            </w:pPr>
            <w:r w:rsidRPr="00D51D60">
              <w:rPr>
                <w:rFonts w:ascii="Arial Narrow" w:hAnsi="Arial Narrow"/>
                <w:sz w:val="20"/>
              </w:rPr>
              <w:t>$</w:t>
            </w:r>
            <w:r w:rsidR="00BB196F">
              <w:rPr>
                <w:rFonts w:ascii="Arial Narrow" w:hAnsi="Arial Narrow"/>
                <w:noProof/>
                <w:color w:val="000000"/>
                <w:sz w:val="20"/>
                <w:highlight w:val="black"/>
              </w:rPr>
              <w:t>''''''''''''''''''''''''''''''''</w:t>
            </w:r>
          </w:p>
        </w:tc>
        <w:tc>
          <w:tcPr>
            <w:tcW w:w="1014" w:type="pct"/>
            <w:shd w:val="clear" w:color="auto" w:fill="auto"/>
          </w:tcPr>
          <w:p w:rsidR="003B61C2" w:rsidRPr="00D51D60" w:rsidRDefault="003B61C2" w:rsidP="00D47FDA">
            <w:pPr>
              <w:keepNext/>
              <w:keepLines/>
              <w:jc w:val="center"/>
              <w:rPr>
                <w:rFonts w:ascii="Arial Narrow" w:hAnsi="Arial Narrow"/>
                <w:sz w:val="20"/>
              </w:rPr>
            </w:pPr>
            <w:r w:rsidRPr="00D51D60">
              <w:rPr>
                <w:rFonts w:ascii="Arial Narrow" w:hAnsi="Arial Narrow"/>
                <w:sz w:val="20"/>
              </w:rPr>
              <w:t>$</w:t>
            </w:r>
            <w:r w:rsidR="00BB196F">
              <w:rPr>
                <w:rFonts w:ascii="Arial Narrow" w:hAnsi="Arial Narrow"/>
                <w:noProof/>
                <w:color w:val="000000"/>
                <w:sz w:val="20"/>
                <w:highlight w:val="black"/>
              </w:rPr>
              <w:t>'''''''''''''''''''''''''''''</w:t>
            </w:r>
          </w:p>
        </w:tc>
        <w:tc>
          <w:tcPr>
            <w:tcW w:w="1239" w:type="pct"/>
            <w:shd w:val="clear" w:color="auto" w:fill="auto"/>
          </w:tcPr>
          <w:p w:rsidR="003B61C2" w:rsidRPr="00D51D60" w:rsidRDefault="003B61C2" w:rsidP="00D47FDA">
            <w:pPr>
              <w:keepNext/>
              <w:keepLines/>
              <w:jc w:val="center"/>
              <w:rPr>
                <w:rFonts w:ascii="Arial Narrow" w:hAnsi="Arial Narrow"/>
                <w:sz w:val="20"/>
              </w:rPr>
            </w:pPr>
            <w:r w:rsidRPr="00D51D60">
              <w:rPr>
                <w:rFonts w:ascii="Arial Narrow" w:hAnsi="Arial Narrow"/>
                <w:sz w:val="20"/>
              </w:rPr>
              <w:t>$</w:t>
            </w:r>
            <w:r w:rsidR="00BB196F">
              <w:rPr>
                <w:rFonts w:ascii="Arial Narrow" w:hAnsi="Arial Narrow"/>
                <w:noProof/>
                <w:color w:val="000000"/>
                <w:sz w:val="20"/>
                <w:highlight w:val="black"/>
              </w:rPr>
              <w:t>''''''''''''''''''''''''''''</w:t>
            </w:r>
          </w:p>
        </w:tc>
      </w:tr>
      <w:tr w:rsidR="003B61C2" w:rsidRPr="00D51D60" w:rsidTr="00EF595C">
        <w:tc>
          <w:tcPr>
            <w:tcW w:w="1342" w:type="pct"/>
            <w:shd w:val="clear" w:color="auto" w:fill="auto"/>
            <w:vAlign w:val="center"/>
          </w:tcPr>
          <w:p w:rsidR="003B61C2" w:rsidRPr="00D51D60" w:rsidRDefault="003B61C2" w:rsidP="00D47FDA">
            <w:pPr>
              <w:keepNext/>
              <w:keepLines/>
              <w:rPr>
                <w:rFonts w:ascii="Arial Narrow" w:hAnsi="Arial Narrow"/>
                <w:sz w:val="20"/>
              </w:rPr>
            </w:pPr>
            <w:r w:rsidRPr="00D51D60">
              <w:rPr>
                <w:rFonts w:ascii="Arial Narrow" w:hAnsi="Arial Narrow"/>
                <w:sz w:val="20"/>
              </w:rPr>
              <w:t>Life years lost</w:t>
            </w:r>
          </w:p>
        </w:tc>
        <w:tc>
          <w:tcPr>
            <w:tcW w:w="1405" w:type="pct"/>
            <w:shd w:val="clear" w:color="auto" w:fill="auto"/>
          </w:tcPr>
          <w:p w:rsidR="003B61C2" w:rsidRPr="00BB196F" w:rsidRDefault="00BB196F" w:rsidP="00D47FDA">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1014" w:type="pct"/>
            <w:shd w:val="clear" w:color="auto" w:fill="auto"/>
          </w:tcPr>
          <w:p w:rsidR="003B61C2" w:rsidRPr="00BB196F" w:rsidRDefault="00BB196F" w:rsidP="00D47FDA">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1239" w:type="pct"/>
            <w:shd w:val="clear" w:color="auto" w:fill="auto"/>
          </w:tcPr>
          <w:p w:rsidR="003B61C2" w:rsidRPr="00D51D60" w:rsidRDefault="003B61C2" w:rsidP="00D47FDA">
            <w:pPr>
              <w:keepNext/>
              <w:keepLines/>
              <w:jc w:val="center"/>
              <w:rPr>
                <w:rFonts w:ascii="Arial Narrow" w:hAnsi="Arial Narrow"/>
                <w:sz w:val="20"/>
              </w:rPr>
            </w:pPr>
            <w:r w:rsidRPr="00D51D60">
              <w:rPr>
                <w:rFonts w:ascii="Arial Narrow" w:hAnsi="Arial Narrow"/>
                <w:sz w:val="20"/>
              </w:rPr>
              <w:t>-</w:t>
            </w:r>
            <w:r w:rsidR="00BB196F">
              <w:rPr>
                <w:rFonts w:ascii="Arial Narrow" w:hAnsi="Arial Narrow"/>
                <w:noProof/>
                <w:color w:val="000000"/>
                <w:sz w:val="20"/>
                <w:highlight w:val="black"/>
              </w:rPr>
              <w:t>'''''''</w:t>
            </w:r>
            <w:r w:rsidRPr="00D51D60">
              <w:rPr>
                <w:rFonts w:ascii="Arial Narrow" w:hAnsi="Arial Narrow"/>
                <w:sz w:val="20"/>
                <w:vertAlign w:val="superscript"/>
              </w:rPr>
              <w:t xml:space="preserve"> a</w:t>
            </w:r>
          </w:p>
        </w:tc>
      </w:tr>
      <w:tr w:rsidR="003B61C2" w:rsidRPr="00D51D60" w:rsidTr="00EF595C">
        <w:tc>
          <w:tcPr>
            <w:tcW w:w="3761" w:type="pct"/>
            <w:gridSpan w:val="3"/>
            <w:shd w:val="clear" w:color="auto" w:fill="auto"/>
            <w:vAlign w:val="center"/>
          </w:tcPr>
          <w:p w:rsidR="003B61C2" w:rsidRPr="00D51D60" w:rsidRDefault="003B61C2" w:rsidP="00D47FDA">
            <w:pPr>
              <w:keepNext/>
              <w:keepLines/>
              <w:rPr>
                <w:rFonts w:ascii="Arial Narrow" w:hAnsi="Arial Narrow"/>
                <w:sz w:val="20"/>
              </w:rPr>
            </w:pPr>
            <w:r w:rsidRPr="00D51D60">
              <w:rPr>
                <w:rFonts w:ascii="Arial Narrow" w:hAnsi="Arial Narrow"/>
                <w:sz w:val="20"/>
              </w:rPr>
              <w:t>Incremental cost per LYG</w:t>
            </w:r>
          </w:p>
        </w:tc>
        <w:tc>
          <w:tcPr>
            <w:tcW w:w="1239" w:type="pct"/>
            <w:shd w:val="clear" w:color="auto" w:fill="auto"/>
            <w:vAlign w:val="center"/>
          </w:tcPr>
          <w:p w:rsidR="003B61C2" w:rsidRPr="00D51D60" w:rsidRDefault="003B61C2" w:rsidP="00D47FDA">
            <w:pPr>
              <w:keepNext/>
              <w:keepLines/>
              <w:jc w:val="center"/>
              <w:rPr>
                <w:rFonts w:ascii="Arial Narrow" w:hAnsi="Arial Narrow"/>
                <w:sz w:val="20"/>
              </w:rPr>
            </w:pPr>
            <w:r w:rsidRPr="00D51D60">
              <w:rPr>
                <w:rFonts w:ascii="Arial Narrow" w:hAnsi="Arial Narrow"/>
                <w:sz w:val="20"/>
              </w:rPr>
              <w:t>$</w:t>
            </w:r>
            <w:r w:rsidR="00BB196F">
              <w:rPr>
                <w:rFonts w:ascii="Arial Narrow" w:hAnsi="Arial Narrow"/>
                <w:noProof/>
                <w:color w:val="000000"/>
                <w:sz w:val="20"/>
                <w:highlight w:val="black"/>
              </w:rPr>
              <w:t>'''''''''''''''''''</w:t>
            </w:r>
          </w:p>
        </w:tc>
      </w:tr>
      <w:tr w:rsidR="003B61C2" w:rsidRPr="007108BC" w:rsidTr="00EF595C">
        <w:tc>
          <w:tcPr>
            <w:tcW w:w="5000" w:type="pct"/>
            <w:gridSpan w:val="4"/>
            <w:shd w:val="clear" w:color="auto" w:fill="auto"/>
            <w:vAlign w:val="center"/>
          </w:tcPr>
          <w:p w:rsidR="003B61C2" w:rsidRPr="007108BC" w:rsidRDefault="003B61C2" w:rsidP="00D47FDA">
            <w:pPr>
              <w:keepNext/>
              <w:keepLines/>
              <w:rPr>
                <w:rFonts w:ascii="Arial Narrow" w:hAnsi="Arial Narrow"/>
                <w:b/>
                <w:sz w:val="20"/>
              </w:rPr>
            </w:pPr>
            <w:r w:rsidRPr="007108BC">
              <w:rPr>
                <w:rFonts w:ascii="Arial Narrow" w:hAnsi="Arial Narrow"/>
                <w:b/>
                <w:sz w:val="20"/>
              </w:rPr>
              <w:t>Step 6: utility weights applied, time horizon 100 years, QALY avoided, discounting (3.5%)</w:t>
            </w:r>
          </w:p>
        </w:tc>
      </w:tr>
      <w:tr w:rsidR="003B61C2" w:rsidRPr="007108BC" w:rsidTr="00EF595C">
        <w:tc>
          <w:tcPr>
            <w:tcW w:w="1342" w:type="pct"/>
            <w:shd w:val="clear" w:color="auto" w:fill="auto"/>
            <w:vAlign w:val="center"/>
          </w:tcPr>
          <w:p w:rsidR="003B61C2" w:rsidRPr="007108BC" w:rsidRDefault="003B61C2" w:rsidP="00D47FDA">
            <w:pPr>
              <w:keepNext/>
              <w:keepLines/>
              <w:rPr>
                <w:rFonts w:ascii="Times" w:hAnsi="Times"/>
                <w:sz w:val="20"/>
              </w:rPr>
            </w:pPr>
            <w:r w:rsidRPr="007108BC">
              <w:rPr>
                <w:rFonts w:ascii="Arial Narrow" w:hAnsi="Arial Narrow"/>
                <w:sz w:val="20"/>
              </w:rPr>
              <w:t>Costs</w:t>
            </w:r>
          </w:p>
        </w:tc>
        <w:tc>
          <w:tcPr>
            <w:tcW w:w="1405" w:type="pct"/>
            <w:shd w:val="clear" w:color="auto" w:fill="auto"/>
          </w:tcPr>
          <w:p w:rsidR="003B61C2" w:rsidRPr="007108BC" w:rsidRDefault="003B61C2" w:rsidP="00D47FDA">
            <w:pPr>
              <w:keepNext/>
              <w:keepLines/>
              <w:jc w:val="center"/>
              <w:rPr>
                <w:rFonts w:ascii="Times" w:hAnsi="Times"/>
                <w:sz w:val="20"/>
              </w:rPr>
            </w:pPr>
            <w:r w:rsidRPr="007108BC">
              <w:rPr>
                <w:rFonts w:ascii="Arial Narrow" w:hAnsi="Arial Narrow"/>
                <w:sz w:val="20"/>
              </w:rPr>
              <w:t>$</w:t>
            </w:r>
            <w:r w:rsidR="00BB196F">
              <w:rPr>
                <w:rFonts w:ascii="Arial Narrow" w:hAnsi="Arial Narrow"/>
                <w:noProof/>
                <w:color w:val="000000"/>
                <w:sz w:val="20"/>
                <w:highlight w:val="black"/>
              </w:rPr>
              <w:t>''''''''''''''''''''''''''''''''</w:t>
            </w:r>
          </w:p>
        </w:tc>
        <w:tc>
          <w:tcPr>
            <w:tcW w:w="1014" w:type="pct"/>
            <w:shd w:val="clear" w:color="auto" w:fill="auto"/>
          </w:tcPr>
          <w:p w:rsidR="003B61C2" w:rsidRPr="007108BC" w:rsidRDefault="003B61C2" w:rsidP="00D47FDA">
            <w:pPr>
              <w:keepNext/>
              <w:keepLines/>
              <w:jc w:val="center"/>
              <w:rPr>
                <w:rFonts w:ascii="Times" w:hAnsi="Times"/>
                <w:sz w:val="20"/>
              </w:rPr>
            </w:pPr>
            <w:r w:rsidRPr="007108BC">
              <w:rPr>
                <w:rFonts w:ascii="Arial Narrow" w:hAnsi="Arial Narrow"/>
                <w:sz w:val="20"/>
              </w:rPr>
              <w:t>$</w:t>
            </w:r>
            <w:r w:rsidR="00BB196F">
              <w:rPr>
                <w:rFonts w:ascii="Arial Narrow" w:hAnsi="Arial Narrow"/>
                <w:noProof/>
                <w:color w:val="000000"/>
                <w:sz w:val="20"/>
                <w:highlight w:val="black"/>
              </w:rPr>
              <w:t>'''''''''''''''''''''''''''''</w:t>
            </w:r>
          </w:p>
        </w:tc>
        <w:tc>
          <w:tcPr>
            <w:tcW w:w="1239" w:type="pct"/>
            <w:shd w:val="clear" w:color="auto" w:fill="auto"/>
          </w:tcPr>
          <w:p w:rsidR="003B61C2" w:rsidRPr="007108BC" w:rsidRDefault="003B61C2" w:rsidP="00D47FDA">
            <w:pPr>
              <w:keepNext/>
              <w:keepLines/>
              <w:jc w:val="center"/>
              <w:rPr>
                <w:rFonts w:ascii="Times" w:hAnsi="Times"/>
                <w:sz w:val="20"/>
              </w:rPr>
            </w:pPr>
            <w:r w:rsidRPr="007108BC">
              <w:rPr>
                <w:rFonts w:ascii="Arial Narrow" w:hAnsi="Arial Narrow"/>
                <w:sz w:val="20"/>
              </w:rPr>
              <w:t>$</w:t>
            </w:r>
            <w:r w:rsidR="00BB196F">
              <w:rPr>
                <w:rFonts w:ascii="Arial Narrow" w:hAnsi="Arial Narrow"/>
                <w:noProof/>
                <w:color w:val="000000"/>
                <w:sz w:val="20"/>
                <w:highlight w:val="black"/>
              </w:rPr>
              <w:t>''''''''''''''''''''''''''</w:t>
            </w:r>
          </w:p>
        </w:tc>
      </w:tr>
      <w:tr w:rsidR="003B61C2" w:rsidRPr="007108BC" w:rsidTr="00EF595C">
        <w:tc>
          <w:tcPr>
            <w:tcW w:w="1342" w:type="pct"/>
            <w:shd w:val="clear" w:color="auto" w:fill="auto"/>
            <w:vAlign w:val="center"/>
          </w:tcPr>
          <w:p w:rsidR="003B61C2" w:rsidRPr="007108BC" w:rsidRDefault="003B61C2" w:rsidP="00D47FDA">
            <w:pPr>
              <w:keepNext/>
              <w:keepLines/>
              <w:rPr>
                <w:rFonts w:ascii="Times" w:hAnsi="Times"/>
                <w:sz w:val="20"/>
              </w:rPr>
            </w:pPr>
            <w:r w:rsidRPr="007108BC">
              <w:rPr>
                <w:rFonts w:ascii="Arial Narrow" w:hAnsi="Arial Narrow"/>
                <w:sz w:val="20"/>
              </w:rPr>
              <w:t>QALYs lost</w:t>
            </w:r>
          </w:p>
        </w:tc>
        <w:tc>
          <w:tcPr>
            <w:tcW w:w="1405" w:type="pct"/>
            <w:shd w:val="clear" w:color="auto" w:fill="auto"/>
          </w:tcPr>
          <w:p w:rsidR="003B61C2" w:rsidRPr="00BB196F" w:rsidRDefault="00BB196F" w:rsidP="00D47FDA">
            <w:pPr>
              <w:keepNext/>
              <w:keepLines/>
              <w:jc w:val="center"/>
              <w:rPr>
                <w:rFonts w:ascii="Times" w:hAnsi="Times"/>
                <w:sz w:val="20"/>
                <w:highlight w:val="black"/>
              </w:rPr>
            </w:pPr>
            <w:r>
              <w:rPr>
                <w:rFonts w:ascii="Arial Narrow" w:hAnsi="Arial Narrow"/>
                <w:noProof/>
                <w:color w:val="000000"/>
                <w:sz w:val="20"/>
                <w:highlight w:val="black"/>
              </w:rPr>
              <w:t>'''''''''''''''''</w:t>
            </w:r>
          </w:p>
        </w:tc>
        <w:tc>
          <w:tcPr>
            <w:tcW w:w="1014" w:type="pct"/>
            <w:shd w:val="clear" w:color="auto" w:fill="auto"/>
          </w:tcPr>
          <w:p w:rsidR="003B61C2" w:rsidRPr="00BB196F" w:rsidRDefault="00BB196F" w:rsidP="00D47FDA">
            <w:pPr>
              <w:keepNext/>
              <w:keepLines/>
              <w:jc w:val="center"/>
              <w:rPr>
                <w:rFonts w:ascii="Times" w:hAnsi="Times"/>
                <w:sz w:val="20"/>
                <w:highlight w:val="black"/>
              </w:rPr>
            </w:pPr>
            <w:r>
              <w:rPr>
                <w:rFonts w:ascii="Arial Narrow" w:hAnsi="Arial Narrow"/>
                <w:noProof/>
                <w:color w:val="000000"/>
                <w:sz w:val="20"/>
                <w:highlight w:val="black"/>
              </w:rPr>
              <w:t>''''''''''''''''</w:t>
            </w:r>
          </w:p>
        </w:tc>
        <w:tc>
          <w:tcPr>
            <w:tcW w:w="1239" w:type="pct"/>
            <w:shd w:val="clear" w:color="auto" w:fill="auto"/>
          </w:tcPr>
          <w:p w:rsidR="003B61C2" w:rsidRPr="007108BC" w:rsidRDefault="003B61C2" w:rsidP="00D47FDA">
            <w:pPr>
              <w:keepNext/>
              <w:keepLines/>
              <w:jc w:val="center"/>
              <w:rPr>
                <w:rFonts w:ascii="Arial Narrow" w:hAnsi="Arial Narrow"/>
                <w:sz w:val="20"/>
              </w:rPr>
            </w:pPr>
            <w:r w:rsidRPr="007108BC">
              <w:rPr>
                <w:rFonts w:ascii="Arial Narrow" w:hAnsi="Arial Narrow"/>
                <w:sz w:val="20"/>
              </w:rPr>
              <w:t>-</w:t>
            </w:r>
            <w:r w:rsidR="00BB196F">
              <w:rPr>
                <w:rFonts w:ascii="Arial Narrow" w:hAnsi="Arial Narrow"/>
                <w:noProof/>
                <w:color w:val="000000"/>
                <w:sz w:val="20"/>
                <w:highlight w:val="black"/>
              </w:rPr>
              <w:t>'''''''''''''</w:t>
            </w:r>
            <w:r w:rsidRPr="00D51D60">
              <w:rPr>
                <w:rFonts w:ascii="Arial Narrow" w:hAnsi="Arial Narrow"/>
                <w:sz w:val="20"/>
                <w:vertAlign w:val="superscript"/>
              </w:rPr>
              <w:t>a</w:t>
            </w:r>
          </w:p>
        </w:tc>
      </w:tr>
      <w:tr w:rsidR="003B61C2" w:rsidRPr="007108BC" w:rsidTr="00EF595C">
        <w:tc>
          <w:tcPr>
            <w:tcW w:w="3761" w:type="pct"/>
            <w:gridSpan w:val="3"/>
            <w:shd w:val="clear" w:color="auto" w:fill="auto"/>
            <w:vAlign w:val="center"/>
          </w:tcPr>
          <w:p w:rsidR="003B61C2" w:rsidRPr="007108BC" w:rsidRDefault="003B61C2" w:rsidP="00D47FDA">
            <w:pPr>
              <w:keepNext/>
              <w:keepLines/>
              <w:rPr>
                <w:rFonts w:ascii="Times" w:hAnsi="Times"/>
                <w:b/>
                <w:sz w:val="20"/>
              </w:rPr>
            </w:pPr>
            <w:r w:rsidRPr="007108BC">
              <w:rPr>
                <w:rFonts w:ascii="Arial Narrow" w:hAnsi="Arial Narrow"/>
                <w:b/>
                <w:sz w:val="20"/>
              </w:rPr>
              <w:t>Incremental cost/extra QALY gained (base case)</w:t>
            </w:r>
          </w:p>
        </w:tc>
        <w:tc>
          <w:tcPr>
            <w:tcW w:w="1239" w:type="pct"/>
            <w:shd w:val="clear" w:color="auto" w:fill="auto"/>
            <w:vAlign w:val="center"/>
          </w:tcPr>
          <w:p w:rsidR="003B61C2" w:rsidRPr="007108BC" w:rsidRDefault="003B61C2" w:rsidP="00D47FDA">
            <w:pPr>
              <w:keepNext/>
              <w:keepLines/>
              <w:jc w:val="center"/>
              <w:rPr>
                <w:rFonts w:ascii="Times" w:hAnsi="Times"/>
                <w:b/>
                <w:sz w:val="20"/>
              </w:rPr>
            </w:pPr>
            <w:r w:rsidRPr="007108BC">
              <w:rPr>
                <w:rFonts w:ascii="Arial Narrow" w:hAnsi="Arial Narrow"/>
                <w:b/>
                <w:sz w:val="20"/>
              </w:rPr>
              <w:t>$</w:t>
            </w:r>
            <w:r w:rsidR="00BB196F">
              <w:rPr>
                <w:rFonts w:ascii="Arial Narrow" w:hAnsi="Arial Narrow"/>
                <w:b/>
                <w:noProof/>
                <w:color w:val="000000"/>
                <w:sz w:val="20"/>
                <w:highlight w:val="black"/>
              </w:rPr>
              <w:t>''''''''''''''</w:t>
            </w:r>
          </w:p>
        </w:tc>
      </w:tr>
    </w:tbl>
    <w:p w:rsidR="003B61C2" w:rsidRPr="007108BC" w:rsidRDefault="003B61C2" w:rsidP="00D47FDA">
      <w:pPr>
        <w:keepNext/>
        <w:keepLines/>
        <w:jc w:val="both"/>
        <w:rPr>
          <w:rFonts w:ascii="Arial Narrow" w:hAnsi="Arial Narrow"/>
          <w:sz w:val="18"/>
        </w:rPr>
      </w:pPr>
      <w:r w:rsidRPr="007108BC">
        <w:rPr>
          <w:rFonts w:ascii="Arial Narrow" w:hAnsi="Arial Narrow"/>
          <w:sz w:val="18"/>
        </w:rPr>
        <w:t xml:space="preserve">Abbreviations: IMD = invasive meningococcal disease; LYG = life-year gained; Men = meningococcal; QALY = quality adjusted life year. </w:t>
      </w:r>
    </w:p>
    <w:p w:rsidR="00CC5732" w:rsidRDefault="003B61C2" w:rsidP="00D47FDA">
      <w:pPr>
        <w:keepNext/>
        <w:keepLines/>
        <w:jc w:val="both"/>
        <w:rPr>
          <w:rFonts w:ascii="Arial Narrow" w:hAnsi="Arial Narrow"/>
          <w:sz w:val="18"/>
        </w:rPr>
      </w:pPr>
      <w:r w:rsidRPr="007108BC">
        <w:rPr>
          <w:rFonts w:ascii="Arial Narrow" w:hAnsi="Arial Narrow"/>
          <w:sz w:val="18"/>
        </w:rPr>
        <w:t xml:space="preserve">Note: Total cases, life years and QALYs include Men B, Men ACWY and Other Men. </w:t>
      </w:r>
    </w:p>
    <w:p w:rsidR="003B61C2" w:rsidRPr="007108BC" w:rsidRDefault="003B61C2" w:rsidP="00D47FDA">
      <w:pPr>
        <w:keepNext/>
        <w:keepLines/>
        <w:jc w:val="both"/>
        <w:rPr>
          <w:rFonts w:ascii="Arial Narrow" w:hAnsi="Arial Narrow"/>
          <w:sz w:val="18"/>
        </w:rPr>
      </w:pPr>
      <w:r w:rsidRPr="007108BC">
        <w:rPr>
          <w:rFonts w:ascii="Arial Narrow" w:hAnsi="Arial Narrow"/>
          <w:sz w:val="18"/>
          <w:vertAlign w:val="superscript"/>
        </w:rPr>
        <w:t xml:space="preserve">a </w:t>
      </w:r>
      <w:r w:rsidRPr="007108BC">
        <w:rPr>
          <w:rFonts w:ascii="Arial Narrow" w:hAnsi="Arial Narrow"/>
          <w:sz w:val="18"/>
        </w:rPr>
        <w:t>Given that the intervention prevents disease, a negative health outcome represents fewer individuals being diagnosed with IMD, and hence a health benefit gain.</w:t>
      </w:r>
    </w:p>
    <w:p w:rsidR="003B61C2" w:rsidRPr="00D51D60" w:rsidRDefault="003B61C2" w:rsidP="00D47FDA">
      <w:pPr>
        <w:keepNext/>
        <w:keepLines/>
        <w:jc w:val="both"/>
        <w:rPr>
          <w:rFonts w:ascii="Arial Narrow" w:hAnsi="Arial Narrow"/>
          <w:sz w:val="18"/>
          <w:szCs w:val="18"/>
        </w:rPr>
      </w:pPr>
      <w:r w:rsidRPr="007108BC">
        <w:rPr>
          <w:rFonts w:ascii="Arial Narrow" w:hAnsi="Arial Narrow"/>
          <w:sz w:val="18"/>
          <w:szCs w:val="18"/>
        </w:rPr>
        <w:t xml:space="preserve">Source: 3.88, p.288 of the resubmission, </w:t>
      </w:r>
      <w:r w:rsidRPr="00D51D60">
        <w:rPr>
          <w:rFonts w:ascii="Arial Narrow" w:hAnsi="Arial Narrow"/>
          <w:sz w:val="18"/>
          <w:szCs w:val="18"/>
        </w:rPr>
        <w:t>Extracted from sheet ‘CE Table’ and ‘Health Outcomes &amp; Cost’ from Excel spreadsheet ‘Workbook ii Indigenous Population 190701’ of the resubmission.</w:t>
      </w:r>
    </w:p>
    <w:p w:rsidR="003B61C2" w:rsidRPr="00D51D60" w:rsidRDefault="003B61C2" w:rsidP="007108BC">
      <w:pPr>
        <w:rPr>
          <w:rFonts w:ascii="Arial Narrow" w:hAnsi="Arial Narrow"/>
          <w:sz w:val="18"/>
          <w:szCs w:val="18"/>
        </w:rPr>
      </w:pPr>
    </w:p>
    <w:p w:rsidR="003B61C2" w:rsidRPr="00D51D60" w:rsidRDefault="007357E2" w:rsidP="00EB423F">
      <w:pPr>
        <w:pStyle w:val="bulletnumberedstyle"/>
      </w:pPr>
      <w:r>
        <w:t>During the evaluation it was considered that t</w:t>
      </w:r>
      <w:r w:rsidR="003B61C2" w:rsidRPr="00D51D60">
        <w:t>here is an overestimation of the incidence of IMD (all serogroups) partly due to the imputation of cases defined as “not groupable” to the various serogroups. Removing the assumption that 68.</w:t>
      </w:r>
      <w:r w:rsidR="00A604AF" w:rsidRPr="00D51D60">
        <w:t>93</w:t>
      </w:r>
      <w:r w:rsidR="003B61C2" w:rsidRPr="00D51D60">
        <w:t>% (average proportion of Men B cases from 2001-2017) of “not groupable” cases were Men B cases, resulted in an ICER of $</w:t>
      </w:r>
      <w:r w:rsidR="000A2CD9">
        <w:t>4</w:t>
      </w:r>
      <w:r w:rsidR="006D4D47">
        <w:t>5,000 - $75,000</w:t>
      </w:r>
      <w:r w:rsidR="003B61C2" w:rsidRPr="00D51D60">
        <w:t xml:space="preserve"> per QALY gained.</w:t>
      </w:r>
      <w:r w:rsidR="008D1DC0">
        <w:t xml:space="preserve"> </w:t>
      </w:r>
      <w:r w:rsidR="008D1DC0" w:rsidRPr="00962B3B">
        <w:t>The ESC considered</w:t>
      </w:r>
      <w:r w:rsidR="00E343C5" w:rsidRPr="00962B3B">
        <w:t xml:space="preserve"> </w:t>
      </w:r>
      <w:r w:rsidR="008D1DC0" w:rsidRPr="00962B3B">
        <w:t xml:space="preserve">the imputation of cases that were “not groupable” </w:t>
      </w:r>
      <w:r w:rsidR="007E388F" w:rsidRPr="00962B3B">
        <w:t xml:space="preserve">may be </w:t>
      </w:r>
      <w:r w:rsidR="008D1DC0" w:rsidRPr="00962B3B">
        <w:t>reasonable</w:t>
      </w:r>
      <w:r w:rsidR="007E388F" w:rsidRPr="00962B3B">
        <w:t>, provided the strain distribution does not differ between the cases that were serotyped and the “not groupable” cases</w:t>
      </w:r>
      <w:r w:rsidR="008D1DC0" w:rsidRPr="00962B3B">
        <w:t>.</w:t>
      </w:r>
      <w:r w:rsidR="008D1DC0">
        <w:t xml:space="preserve"> </w:t>
      </w:r>
    </w:p>
    <w:p w:rsidR="003B61C2" w:rsidRPr="00EE7D9D" w:rsidRDefault="003B61C2" w:rsidP="00EB423F">
      <w:pPr>
        <w:pStyle w:val="bulletnumberedstyle"/>
      </w:pPr>
      <w:r w:rsidRPr="007108BC">
        <w:t xml:space="preserve">The resubmission presented one-way and multi-way sensitivity analysis. </w:t>
      </w:r>
      <w:r w:rsidRPr="00D51D60">
        <w:t xml:space="preserve">During the evaluation several additional one-way and multi-way sensitivity analysis were </w:t>
      </w:r>
      <w:r w:rsidRPr="00EE7D9D">
        <w:t>conducted. The impact of assuming a scenario aligned with the PBAC guidelines (multivariate sensitivity analysis) resulted in an ICER of</w:t>
      </w:r>
      <w:r w:rsidR="000A2CD9">
        <w:t xml:space="preserve"> more than</w:t>
      </w:r>
      <w:r w:rsidRPr="00EE7D9D">
        <w:t xml:space="preserve"> $</w:t>
      </w:r>
      <w:r w:rsidR="000A2CD9">
        <w:t>200,000</w:t>
      </w:r>
      <w:r w:rsidRPr="00EE7D9D">
        <w:t>/QALY</w:t>
      </w:r>
      <w:r w:rsidR="000A2CD9">
        <w:t xml:space="preserve"> </w:t>
      </w:r>
      <w:r w:rsidRPr="00EE7D9D">
        <w:t>gained compared to the base case ICER of $</w:t>
      </w:r>
      <w:r w:rsidR="000A2CD9">
        <w:t>1</w:t>
      </w:r>
      <w:r w:rsidR="006D4D47">
        <w:t>5,000</w:t>
      </w:r>
      <w:r w:rsidRPr="00EE7D9D">
        <w:t>/QALY</w:t>
      </w:r>
      <w:r w:rsidR="006D4D47">
        <w:t xml:space="preserve"> - $45,000/QALY</w:t>
      </w:r>
      <w:r w:rsidRPr="00EE7D9D">
        <w:t xml:space="preserve"> gained. Similarly, the ICER increased from </w:t>
      </w:r>
      <w:r w:rsidR="000A2CD9">
        <w:t xml:space="preserve">less than </w:t>
      </w:r>
      <w:r w:rsidRPr="00EE7D9D">
        <w:t>$</w:t>
      </w:r>
      <w:r w:rsidR="0058438A">
        <w:t>15,000</w:t>
      </w:r>
      <w:r w:rsidRPr="00EE7D9D">
        <w:t>/QALY gained to $</w:t>
      </w:r>
      <w:r w:rsidR="0058438A">
        <w:t>1</w:t>
      </w:r>
      <w:r w:rsidR="000A2CD9">
        <w:t>0</w:t>
      </w:r>
      <w:r w:rsidR="0058438A">
        <w:t>5,000/QALY - $</w:t>
      </w:r>
      <w:r w:rsidR="000A2CD9">
        <w:t>200</w:t>
      </w:r>
      <w:r w:rsidR="0058438A">
        <w:t>,000</w:t>
      </w:r>
      <w:r w:rsidRPr="00EE7D9D">
        <w:t>/QALY in the Aboriginal and Torres Strait Islander model.</w:t>
      </w:r>
      <w:r w:rsidR="00B55F13" w:rsidRPr="00EE7D9D">
        <w:t xml:space="preserve"> </w:t>
      </w:r>
    </w:p>
    <w:p w:rsidR="00A02C35" w:rsidRPr="00EE7D9D" w:rsidRDefault="001A1DE5" w:rsidP="00161A80">
      <w:pPr>
        <w:pStyle w:val="bulletnumberedstyle"/>
      </w:pPr>
      <w:r w:rsidRPr="00EE7D9D">
        <w:lastRenderedPageBreak/>
        <w:t xml:space="preserve">In the </w:t>
      </w:r>
      <w:r w:rsidR="00FA0B0C" w:rsidRPr="00EE7D9D">
        <w:t>G</w:t>
      </w:r>
      <w:r w:rsidRPr="00EE7D9D">
        <w:t xml:space="preserve">eneral population, the ICER for vaccinating </w:t>
      </w:r>
      <w:r w:rsidR="00483E50" w:rsidRPr="00EE7D9D">
        <w:t>infant</w:t>
      </w:r>
      <w:r w:rsidR="00AC1305" w:rsidRPr="00EE7D9D">
        <w:t>s</w:t>
      </w:r>
      <w:r w:rsidR="00483E50" w:rsidRPr="00EE7D9D">
        <w:t xml:space="preserve"> only was $</w:t>
      </w:r>
      <w:r w:rsidR="007E542C">
        <w:t>4</w:t>
      </w:r>
      <w:r w:rsidR="0058438A">
        <w:t>5,000/QALY - $75,000</w:t>
      </w:r>
      <w:r w:rsidR="00483E50" w:rsidRPr="00EE7D9D">
        <w:t>/QALY gained</w:t>
      </w:r>
      <w:r w:rsidR="00AC1305" w:rsidRPr="00EE7D9D">
        <w:t xml:space="preserve"> and for vaccinating</w:t>
      </w:r>
      <w:r w:rsidR="00483E50" w:rsidRPr="00EE7D9D">
        <w:t xml:space="preserve"> adolescent</w:t>
      </w:r>
      <w:r w:rsidR="00AC1305" w:rsidRPr="00EE7D9D">
        <w:t>s</w:t>
      </w:r>
      <w:r w:rsidR="00483E50" w:rsidRPr="00EE7D9D">
        <w:t xml:space="preserve"> only</w:t>
      </w:r>
      <w:r w:rsidR="00AC1305" w:rsidRPr="00EE7D9D">
        <w:rPr>
          <w:rStyle w:val="FootnoteReference"/>
        </w:rPr>
        <w:footnoteReference w:id="2"/>
      </w:r>
      <w:r w:rsidR="00483E50" w:rsidRPr="00EE7D9D">
        <w:t xml:space="preserve"> was </w:t>
      </w:r>
      <w:r w:rsidR="00161A80">
        <w:t xml:space="preserve">$15,000/QALY - $45,000/QALY </w:t>
      </w:r>
      <w:r w:rsidR="008554CA" w:rsidRPr="00EE7D9D">
        <w:t>gained (Table 13</w:t>
      </w:r>
      <w:r w:rsidR="00483E50" w:rsidRPr="00EE7D9D">
        <w:t>). The differen</w:t>
      </w:r>
      <w:r w:rsidR="00AC1305" w:rsidRPr="00EE7D9D">
        <w:t>ce</w:t>
      </w:r>
      <w:r w:rsidR="00483E50" w:rsidRPr="00EE7D9D">
        <w:t xml:space="preserve"> is </w:t>
      </w:r>
      <w:r w:rsidR="00846128" w:rsidRPr="00EE7D9D">
        <w:t xml:space="preserve">largely </w:t>
      </w:r>
      <w:r w:rsidR="00483E50" w:rsidRPr="00EE7D9D">
        <w:t>due to the different number of doses required (three</w:t>
      </w:r>
      <w:r w:rsidR="00B2413E" w:rsidRPr="00EE7D9D">
        <w:t xml:space="preserve"> </w:t>
      </w:r>
      <w:r w:rsidR="00483E50" w:rsidRPr="00EE7D9D">
        <w:t xml:space="preserve">doses in the infant population and </w:t>
      </w:r>
      <w:r w:rsidR="00EF4C8F" w:rsidRPr="00EE7D9D">
        <w:t>two</w:t>
      </w:r>
      <w:r w:rsidR="00483E50" w:rsidRPr="00EE7D9D">
        <w:t xml:space="preserve"> doses in the adolescent only population). </w:t>
      </w:r>
      <w:r w:rsidR="00392C4F" w:rsidRPr="00EE7D9D">
        <w:t xml:space="preserve">In contrast, </w:t>
      </w:r>
      <w:r w:rsidR="00A02C35" w:rsidRPr="00EE7D9D">
        <w:t xml:space="preserve">in the </w:t>
      </w:r>
      <w:r w:rsidR="00483E50" w:rsidRPr="00EE7D9D">
        <w:t xml:space="preserve">Aboriginal and Torres Strait Islander population model, the ICER </w:t>
      </w:r>
      <w:r w:rsidR="00AC1305" w:rsidRPr="00EE7D9D">
        <w:t xml:space="preserve">for vaccinating infants only </w:t>
      </w:r>
      <w:r w:rsidR="00483E50" w:rsidRPr="00EE7D9D">
        <w:t>was</w:t>
      </w:r>
      <w:r w:rsidR="007E542C">
        <w:t xml:space="preserve"> less than</w:t>
      </w:r>
      <w:r w:rsidR="00483E50" w:rsidRPr="00EE7D9D">
        <w:t xml:space="preserve"> $</w:t>
      </w:r>
      <w:r w:rsidR="0058438A">
        <w:t>15,000/QALY</w:t>
      </w:r>
      <w:r w:rsidR="00483E50" w:rsidRPr="00EE7D9D">
        <w:t xml:space="preserve"> gained </w:t>
      </w:r>
      <w:r w:rsidR="00A02C35" w:rsidRPr="00EE7D9D">
        <w:t>and</w:t>
      </w:r>
      <w:r w:rsidR="00AC1305" w:rsidRPr="00EE7D9D">
        <w:t xml:space="preserve"> for vaccinating adolescents only was </w:t>
      </w:r>
      <w:r w:rsidR="00A02C35" w:rsidRPr="00EE7D9D">
        <w:t>$</w:t>
      </w:r>
      <w:r w:rsidR="0058438A">
        <w:t>1</w:t>
      </w:r>
      <w:r w:rsidR="007E542C">
        <w:t>0</w:t>
      </w:r>
      <w:r w:rsidR="0058438A">
        <w:t>5,000/QALY - $2</w:t>
      </w:r>
      <w:r w:rsidR="007E542C">
        <w:t>00</w:t>
      </w:r>
      <w:r w:rsidR="0058438A">
        <w:t>,000</w:t>
      </w:r>
      <w:r w:rsidR="00A02C35" w:rsidRPr="00EE7D9D">
        <w:t xml:space="preserve">/QALY gained. The </w:t>
      </w:r>
      <w:r w:rsidR="00AC1305" w:rsidRPr="00EE7D9D">
        <w:t xml:space="preserve">difference reflects the substantially higher incidence of IMD </w:t>
      </w:r>
      <w:r w:rsidR="00773956" w:rsidRPr="00EE7D9D">
        <w:t xml:space="preserve">caused by Men B </w:t>
      </w:r>
      <w:r w:rsidR="00AC1305" w:rsidRPr="00EE7D9D">
        <w:t>in the infant compared with the adolescent population</w:t>
      </w:r>
      <w:r w:rsidR="00B55F13" w:rsidRPr="00EE7D9D">
        <w:t xml:space="preserve">. </w:t>
      </w:r>
      <w:r w:rsidR="00DF3DAD" w:rsidRPr="00EE7D9D">
        <w:t xml:space="preserve">The PBAC noted no cost for </w:t>
      </w:r>
      <w:r w:rsidR="00FA0B0C" w:rsidRPr="00EE7D9D">
        <w:t xml:space="preserve">the </w:t>
      </w:r>
      <w:r w:rsidR="00DF3DAD" w:rsidRPr="00EE7D9D">
        <w:t>administration of 4CMenB was included for infants or adolescents. The PBAC considered that while this may be reasonable for the infant doses and the first adolescent dose as vaccination with 4CMenB was likely to take place at the same time as current NIP vaccinations, it may not be reasonable for the second adolescent dose</w:t>
      </w:r>
      <w:r w:rsidR="004C499D" w:rsidRPr="00EE7D9D">
        <w:t xml:space="preserve"> which does not coincide with any current NIP vaccinations</w:t>
      </w:r>
      <w:r w:rsidR="00DF3DAD" w:rsidRPr="00EE7D9D">
        <w:t xml:space="preserve">. </w:t>
      </w:r>
    </w:p>
    <w:p w:rsidR="00144CF6" w:rsidRDefault="008554CA" w:rsidP="000B593C">
      <w:pPr>
        <w:pStyle w:val="bulletnumberedstyle"/>
      </w:pPr>
      <w:r w:rsidRPr="00EE7D9D">
        <w:t>Table 13</w:t>
      </w:r>
      <w:r w:rsidR="005516FE" w:rsidRPr="00EE7D9D">
        <w:t xml:space="preserve"> summarises the sensitivity analysis for the General </w:t>
      </w:r>
      <w:r w:rsidR="00DF3DAD" w:rsidRPr="00EE7D9D">
        <w:t>p</w:t>
      </w:r>
      <w:r w:rsidR="005516FE" w:rsidRPr="00EE7D9D">
        <w:t xml:space="preserve">opulation model. The background incidence of </w:t>
      </w:r>
      <w:r w:rsidR="00773956" w:rsidRPr="00EE7D9D">
        <w:t xml:space="preserve">IMD caused by </w:t>
      </w:r>
      <w:r w:rsidR="005516FE" w:rsidRPr="00EE7D9D">
        <w:t xml:space="preserve">Men B was the parameter that </w:t>
      </w:r>
      <w:r w:rsidR="00392C4F" w:rsidRPr="00EE7D9D">
        <w:t xml:space="preserve">had the largest </w:t>
      </w:r>
      <w:r w:rsidR="005516FE" w:rsidRPr="00EE7D9D">
        <w:t>impact</w:t>
      </w:r>
      <w:r w:rsidR="00392C4F" w:rsidRPr="00EE7D9D">
        <w:t xml:space="preserve"> on</w:t>
      </w:r>
      <w:r w:rsidR="005516FE" w:rsidRPr="00EE7D9D">
        <w:t xml:space="preserve"> the results</w:t>
      </w:r>
      <w:r w:rsidR="003E65D4" w:rsidRPr="00EE7D9D">
        <w:t xml:space="preserve"> (paragraph 6.29)</w:t>
      </w:r>
      <w:r w:rsidR="005516FE" w:rsidRPr="00EE7D9D">
        <w:t xml:space="preserve">. </w:t>
      </w:r>
      <w:r w:rsidR="000B593C" w:rsidRPr="00EE7D9D">
        <w:t xml:space="preserve">The </w:t>
      </w:r>
      <w:r w:rsidR="003E65D4" w:rsidRPr="00EE7D9D">
        <w:t>re</w:t>
      </w:r>
      <w:r w:rsidR="000B593C" w:rsidRPr="00EE7D9D">
        <w:t>submission modelled a hyperendemic scenario assuming an incidence multiplier of 3. For this scenario vaccination with 4CMenB</w:t>
      </w:r>
      <w:r w:rsidR="000B593C" w:rsidRPr="000B593C">
        <w:t xml:space="preserve"> was dominant for the General </w:t>
      </w:r>
      <w:r w:rsidR="00B86BC0">
        <w:t>p</w:t>
      </w:r>
      <w:r w:rsidR="000B593C" w:rsidRPr="000B593C">
        <w:t xml:space="preserve">opulation and the Aboriginal and Torres Strait Islander population. The ATAGI considered an incidence multiplier of 3 could represent a hypothetical hyperendemic scenario, the occurrence of which it considered plausible though unlikely (ATAGI post-submission advice, October 2019). The ATAGI noted however, it is uncertain whether the particular clone or strain of the serogroup B meningococcus responsible for a hyperendemic scenario would be covered by 4CMenB (ATAGI post-submission advice, October 2019). </w:t>
      </w:r>
    </w:p>
    <w:p w:rsidR="003B61C2" w:rsidRPr="00A40C16" w:rsidRDefault="008554CA" w:rsidP="00A40EE9">
      <w:pPr>
        <w:keepNext/>
        <w:keepLines/>
        <w:jc w:val="both"/>
        <w:rPr>
          <w:rFonts w:ascii="Arial Narrow" w:hAnsi="Arial Narrow"/>
          <w:b/>
          <w:sz w:val="20"/>
          <w:szCs w:val="20"/>
        </w:rPr>
      </w:pPr>
      <w:r>
        <w:rPr>
          <w:rFonts w:ascii="Arial Narrow" w:hAnsi="Arial Narrow"/>
          <w:b/>
          <w:sz w:val="20"/>
          <w:szCs w:val="20"/>
        </w:rPr>
        <w:lastRenderedPageBreak/>
        <w:t>Table 13</w:t>
      </w:r>
      <w:r w:rsidR="003B61C2" w:rsidRPr="00A40C16">
        <w:rPr>
          <w:rFonts w:ascii="Arial Narrow" w:hAnsi="Arial Narrow"/>
          <w:b/>
          <w:sz w:val="20"/>
          <w:szCs w:val="20"/>
        </w:rPr>
        <w:t xml:space="preserve">: Results of one-way and multivariate sensitivity analyses – General population </w:t>
      </w:r>
    </w:p>
    <w:tbl>
      <w:tblPr>
        <w:tblStyle w:val="TableGrid"/>
        <w:tblW w:w="9067" w:type="dxa"/>
        <w:tblLayout w:type="fixed"/>
        <w:tblCellMar>
          <w:left w:w="28" w:type="dxa"/>
          <w:right w:w="28" w:type="dxa"/>
        </w:tblCellMar>
        <w:tblLook w:val="04A0" w:firstRow="1" w:lastRow="0" w:firstColumn="1" w:lastColumn="0" w:noHBand="0" w:noVBand="1"/>
        <w:tblCaption w:val="Table 13: Results of one-way and multivariate sensitivity analyses – General population "/>
      </w:tblPr>
      <w:tblGrid>
        <w:gridCol w:w="4353"/>
        <w:gridCol w:w="1571"/>
        <w:gridCol w:w="1571"/>
        <w:gridCol w:w="1572"/>
      </w:tblGrid>
      <w:tr w:rsidR="003B61C2" w:rsidRPr="007108BC" w:rsidTr="00025E74">
        <w:trPr>
          <w:trHeight w:val="20"/>
          <w:tblHeader/>
        </w:trPr>
        <w:tc>
          <w:tcPr>
            <w:tcW w:w="4353" w:type="dxa"/>
            <w:shd w:val="clear" w:color="auto" w:fill="auto"/>
            <w:noWrap/>
            <w:vAlign w:val="center"/>
          </w:tcPr>
          <w:p w:rsidR="003B61C2" w:rsidRPr="007108BC" w:rsidRDefault="003B61C2" w:rsidP="00A40EE9">
            <w:pPr>
              <w:keepNext/>
              <w:keepLines/>
              <w:rPr>
                <w:rFonts w:ascii="Arial Narrow" w:hAnsi="Arial Narrow"/>
                <w:sz w:val="20"/>
                <w:szCs w:val="20"/>
              </w:rPr>
            </w:pPr>
          </w:p>
        </w:tc>
        <w:tc>
          <w:tcPr>
            <w:tcW w:w="1571" w:type="dxa"/>
            <w:shd w:val="clear" w:color="auto" w:fill="auto"/>
            <w:noWrap/>
            <w:vAlign w:val="center"/>
          </w:tcPr>
          <w:p w:rsidR="003B61C2" w:rsidRPr="007108BC" w:rsidRDefault="003B61C2" w:rsidP="00A40EE9">
            <w:pPr>
              <w:keepNext/>
              <w:keepLines/>
              <w:rPr>
                <w:rFonts w:ascii="Arial Narrow" w:hAnsi="Arial Narrow"/>
                <w:b/>
                <w:sz w:val="20"/>
                <w:szCs w:val="20"/>
              </w:rPr>
            </w:pPr>
            <w:r w:rsidRPr="007108BC">
              <w:rPr>
                <w:rFonts w:ascii="Arial Narrow" w:hAnsi="Arial Narrow"/>
                <w:b/>
                <w:sz w:val="20"/>
                <w:szCs w:val="20"/>
              </w:rPr>
              <w:t>Incremental cost</w:t>
            </w:r>
          </w:p>
        </w:tc>
        <w:tc>
          <w:tcPr>
            <w:tcW w:w="1571" w:type="dxa"/>
            <w:shd w:val="clear" w:color="auto" w:fill="auto"/>
            <w:noWrap/>
            <w:vAlign w:val="center"/>
          </w:tcPr>
          <w:p w:rsidR="003B61C2" w:rsidRPr="007108BC" w:rsidRDefault="003B61C2" w:rsidP="00A40EE9">
            <w:pPr>
              <w:keepNext/>
              <w:keepLines/>
              <w:rPr>
                <w:rFonts w:ascii="Arial Narrow" w:hAnsi="Arial Narrow"/>
                <w:b/>
                <w:sz w:val="20"/>
                <w:szCs w:val="20"/>
              </w:rPr>
            </w:pPr>
            <w:r w:rsidRPr="007108BC">
              <w:rPr>
                <w:rFonts w:ascii="Arial Narrow" w:hAnsi="Arial Narrow"/>
                <w:b/>
                <w:sz w:val="20"/>
                <w:szCs w:val="20"/>
              </w:rPr>
              <w:t>Incremental QALY</w:t>
            </w:r>
            <w:r w:rsidRPr="00D51D60">
              <w:rPr>
                <w:rFonts w:ascii="Arial Narrow" w:hAnsi="Arial Narrow"/>
                <w:sz w:val="20"/>
                <w:vertAlign w:val="superscript"/>
              </w:rPr>
              <w:t>a</w:t>
            </w:r>
          </w:p>
        </w:tc>
        <w:tc>
          <w:tcPr>
            <w:tcW w:w="1572" w:type="dxa"/>
            <w:shd w:val="clear" w:color="auto" w:fill="auto"/>
            <w:noWrap/>
            <w:vAlign w:val="center"/>
          </w:tcPr>
          <w:p w:rsidR="003B61C2" w:rsidRPr="007108BC" w:rsidRDefault="003B61C2" w:rsidP="00A40EE9">
            <w:pPr>
              <w:keepNext/>
              <w:keepLines/>
              <w:rPr>
                <w:rFonts w:ascii="Arial Narrow" w:hAnsi="Arial Narrow"/>
                <w:b/>
                <w:sz w:val="20"/>
                <w:szCs w:val="20"/>
              </w:rPr>
            </w:pPr>
            <w:r w:rsidRPr="007108BC">
              <w:rPr>
                <w:rFonts w:ascii="Arial Narrow" w:hAnsi="Arial Narrow"/>
                <w:b/>
                <w:sz w:val="20"/>
                <w:szCs w:val="20"/>
              </w:rPr>
              <w:t>ICER</w:t>
            </w:r>
            <w:r w:rsidR="009D17FC" w:rsidRPr="007108BC">
              <w:rPr>
                <w:rFonts w:ascii="Arial Narrow" w:hAnsi="Arial Narrow"/>
                <w:b/>
                <w:sz w:val="20"/>
                <w:szCs w:val="20"/>
              </w:rPr>
              <w:t xml:space="preserve"> ($/QALY gained)</w:t>
            </w:r>
          </w:p>
        </w:tc>
      </w:tr>
      <w:tr w:rsidR="003B61C2" w:rsidRPr="007108BC" w:rsidTr="00A1151E">
        <w:trPr>
          <w:trHeight w:val="20"/>
        </w:trPr>
        <w:tc>
          <w:tcPr>
            <w:tcW w:w="9067" w:type="dxa"/>
            <w:gridSpan w:val="4"/>
            <w:shd w:val="clear" w:color="auto" w:fill="auto"/>
            <w:noWrap/>
            <w:vAlign w:val="center"/>
          </w:tcPr>
          <w:p w:rsidR="003B61C2" w:rsidRPr="007108BC" w:rsidRDefault="003B61C2" w:rsidP="00A40EE9">
            <w:pPr>
              <w:keepNext/>
              <w:keepLines/>
              <w:rPr>
                <w:rFonts w:ascii="Arial Narrow" w:hAnsi="Arial Narrow"/>
                <w:sz w:val="20"/>
                <w:szCs w:val="20"/>
              </w:rPr>
            </w:pPr>
            <w:r w:rsidRPr="007108BC">
              <w:rPr>
                <w:rFonts w:ascii="Arial Narrow" w:hAnsi="Arial Narrow"/>
                <w:b/>
                <w:sz w:val="20"/>
                <w:szCs w:val="20"/>
              </w:rPr>
              <w:t xml:space="preserve">One-way sensitivity analysis </w:t>
            </w:r>
          </w:p>
        </w:tc>
      </w:tr>
      <w:tr w:rsidR="003B61C2" w:rsidRPr="007108BC" w:rsidTr="00CB77A7">
        <w:trPr>
          <w:trHeight w:val="20"/>
        </w:trPr>
        <w:tc>
          <w:tcPr>
            <w:tcW w:w="4353" w:type="dxa"/>
            <w:tcBorders>
              <w:bottom w:val="single" w:sz="4" w:space="0" w:color="auto"/>
            </w:tcBorders>
            <w:shd w:val="clear" w:color="auto" w:fill="auto"/>
            <w:noWrap/>
            <w:hideMark/>
          </w:tcPr>
          <w:p w:rsidR="003B61C2" w:rsidRPr="007108BC" w:rsidRDefault="003B61C2" w:rsidP="00A40EE9">
            <w:pPr>
              <w:keepNext/>
              <w:keepLines/>
              <w:rPr>
                <w:rFonts w:ascii="Arial Narrow" w:hAnsi="Arial Narrow"/>
                <w:sz w:val="20"/>
                <w:szCs w:val="20"/>
              </w:rPr>
            </w:pPr>
            <w:r w:rsidRPr="007108BC">
              <w:rPr>
                <w:rFonts w:ascii="Arial Narrow" w:hAnsi="Arial Narrow"/>
                <w:sz w:val="20"/>
                <w:szCs w:val="20"/>
              </w:rPr>
              <w:t>Base case</w:t>
            </w:r>
          </w:p>
        </w:tc>
        <w:tc>
          <w:tcPr>
            <w:tcW w:w="1571" w:type="dxa"/>
            <w:tcBorders>
              <w:bottom w:val="single" w:sz="4" w:space="0" w:color="auto"/>
            </w:tcBorders>
            <w:shd w:val="clear" w:color="auto" w:fill="auto"/>
            <w:noWrap/>
            <w:vAlign w:val="center"/>
            <w:hideMark/>
          </w:tcPr>
          <w:p w:rsidR="003B61C2" w:rsidRPr="007108BC" w:rsidRDefault="003B61C2" w:rsidP="00A40EE9">
            <w:pPr>
              <w:keepNext/>
              <w:keepLines/>
              <w:jc w:val="center"/>
              <w:rPr>
                <w:rFonts w:ascii="Arial Narrow" w:hAnsi="Arial Narrow"/>
                <w:sz w:val="20"/>
                <w:szCs w:val="20"/>
              </w:rPr>
            </w:pPr>
            <w:r w:rsidRPr="007108BC">
              <w:rPr>
                <w:rFonts w:ascii="Arial Narrow" w:hAnsi="Arial Narrow"/>
                <w:sz w:val="20"/>
                <w:szCs w:val="20"/>
              </w:rPr>
              <w:t>$</w:t>
            </w:r>
            <w:r w:rsidR="00BB196F">
              <w:rPr>
                <w:rFonts w:ascii="Arial Narrow" w:hAnsi="Arial Narrow"/>
                <w:noProof/>
                <w:color w:val="000000"/>
                <w:sz w:val="20"/>
                <w:szCs w:val="20"/>
                <w:highlight w:val="black"/>
              </w:rPr>
              <w:t>'''''''''''''''''''''''''''</w:t>
            </w:r>
          </w:p>
        </w:tc>
        <w:tc>
          <w:tcPr>
            <w:tcW w:w="1571" w:type="dxa"/>
            <w:tcBorders>
              <w:bottom w:val="single" w:sz="4" w:space="0" w:color="auto"/>
            </w:tcBorders>
            <w:shd w:val="clear" w:color="auto" w:fill="auto"/>
            <w:noWrap/>
            <w:vAlign w:val="center"/>
            <w:hideMark/>
          </w:tcPr>
          <w:p w:rsidR="003B61C2" w:rsidRPr="007108BC" w:rsidRDefault="00F31AB1" w:rsidP="00A40EE9">
            <w:pPr>
              <w:keepNext/>
              <w:keepLines/>
              <w:jc w:val="center"/>
              <w:rPr>
                <w:rFonts w:ascii="Arial Narrow" w:hAnsi="Arial Narrow"/>
                <w:sz w:val="20"/>
                <w:szCs w:val="20"/>
              </w:rPr>
            </w:pPr>
            <w:r w:rsidRPr="007108BC">
              <w:rPr>
                <w:rFonts w:ascii="Arial Narrow" w:hAnsi="Arial Narrow"/>
                <w:sz w:val="20"/>
                <w:szCs w:val="20"/>
              </w:rPr>
              <w:t>-</w:t>
            </w:r>
            <w:r w:rsidR="00BB196F">
              <w:rPr>
                <w:rFonts w:ascii="Arial Narrow" w:hAnsi="Arial Narrow"/>
                <w:noProof/>
                <w:color w:val="000000"/>
                <w:sz w:val="20"/>
                <w:szCs w:val="20"/>
                <w:highlight w:val="black"/>
              </w:rPr>
              <w:t>'''''''''''''''''</w:t>
            </w:r>
          </w:p>
        </w:tc>
        <w:tc>
          <w:tcPr>
            <w:tcW w:w="1572" w:type="dxa"/>
            <w:tcBorders>
              <w:bottom w:val="single" w:sz="4" w:space="0" w:color="auto"/>
            </w:tcBorders>
            <w:shd w:val="clear" w:color="auto" w:fill="auto"/>
            <w:noWrap/>
            <w:vAlign w:val="center"/>
            <w:hideMark/>
          </w:tcPr>
          <w:p w:rsidR="003B61C2" w:rsidRPr="007108BC" w:rsidRDefault="003B61C2" w:rsidP="00A40EE9">
            <w:pPr>
              <w:keepNext/>
              <w:keepLines/>
              <w:jc w:val="center"/>
              <w:rPr>
                <w:rFonts w:ascii="Arial Narrow" w:hAnsi="Arial Narrow"/>
                <w:sz w:val="20"/>
                <w:szCs w:val="20"/>
              </w:rPr>
            </w:pPr>
            <w:r w:rsidRPr="007108BC">
              <w:rPr>
                <w:rFonts w:ascii="Arial Narrow" w:hAnsi="Arial Narrow"/>
                <w:sz w:val="20"/>
                <w:szCs w:val="20"/>
              </w:rPr>
              <w:t>$</w:t>
            </w:r>
            <w:r w:rsidR="00BB196F">
              <w:rPr>
                <w:rFonts w:ascii="Arial Narrow" w:hAnsi="Arial Narrow"/>
                <w:noProof/>
                <w:color w:val="000000"/>
                <w:sz w:val="20"/>
                <w:szCs w:val="20"/>
                <w:highlight w:val="black"/>
              </w:rPr>
              <w:t>''''''''''''''''</w:t>
            </w:r>
          </w:p>
        </w:tc>
      </w:tr>
      <w:tr w:rsidR="00CB77A7" w:rsidRPr="007108BC" w:rsidTr="00CB77A7">
        <w:trPr>
          <w:trHeight w:val="20"/>
        </w:trPr>
        <w:tc>
          <w:tcPr>
            <w:tcW w:w="4353" w:type="dxa"/>
            <w:tcBorders>
              <w:bottom w:val="nil"/>
            </w:tcBorders>
            <w:shd w:val="clear" w:color="auto" w:fill="auto"/>
            <w:noWrap/>
          </w:tcPr>
          <w:p w:rsidR="00CB77A7" w:rsidRPr="00B86BC0" w:rsidRDefault="00CB77A7" w:rsidP="00A40EE9">
            <w:pPr>
              <w:keepNext/>
              <w:keepLines/>
              <w:rPr>
                <w:rFonts w:ascii="Arial Narrow" w:hAnsi="Arial Narrow"/>
                <w:sz w:val="20"/>
                <w:szCs w:val="20"/>
                <w:u w:val="single"/>
              </w:rPr>
            </w:pPr>
            <w:r w:rsidRPr="00B86BC0">
              <w:rPr>
                <w:rFonts w:ascii="Arial Narrow" w:hAnsi="Arial Narrow"/>
                <w:sz w:val="20"/>
                <w:szCs w:val="20"/>
                <w:u w:val="single"/>
              </w:rPr>
              <w:t xml:space="preserve">Model time horizon (base case </w:t>
            </w:r>
            <w:r w:rsidR="000B593C" w:rsidRPr="00B86BC0">
              <w:rPr>
                <w:rFonts w:ascii="Arial Narrow" w:hAnsi="Arial Narrow"/>
                <w:sz w:val="20"/>
                <w:szCs w:val="20"/>
                <w:u w:val="single"/>
              </w:rPr>
              <w:t>100</w:t>
            </w:r>
            <w:r w:rsidRPr="00B86BC0">
              <w:rPr>
                <w:rFonts w:ascii="Arial Narrow" w:hAnsi="Arial Narrow"/>
                <w:sz w:val="20"/>
                <w:szCs w:val="20"/>
                <w:u w:val="single"/>
              </w:rPr>
              <w:t xml:space="preserve"> years)</w:t>
            </w:r>
          </w:p>
        </w:tc>
        <w:tc>
          <w:tcPr>
            <w:tcW w:w="1571" w:type="dxa"/>
            <w:tcBorders>
              <w:bottom w:val="nil"/>
            </w:tcBorders>
            <w:shd w:val="clear" w:color="auto" w:fill="auto"/>
            <w:noWrap/>
            <w:vAlign w:val="center"/>
          </w:tcPr>
          <w:p w:rsidR="00CB77A7" w:rsidRPr="007108BC" w:rsidRDefault="00CB77A7" w:rsidP="00A40EE9">
            <w:pPr>
              <w:keepNext/>
              <w:keepLines/>
              <w:jc w:val="center"/>
              <w:rPr>
                <w:rFonts w:ascii="Arial Narrow" w:hAnsi="Arial Narrow"/>
                <w:sz w:val="20"/>
                <w:szCs w:val="20"/>
              </w:rPr>
            </w:pPr>
          </w:p>
        </w:tc>
        <w:tc>
          <w:tcPr>
            <w:tcW w:w="1571" w:type="dxa"/>
            <w:tcBorders>
              <w:bottom w:val="nil"/>
            </w:tcBorders>
            <w:shd w:val="clear" w:color="auto" w:fill="auto"/>
            <w:noWrap/>
            <w:vAlign w:val="center"/>
          </w:tcPr>
          <w:p w:rsidR="00CB77A7" w:rsidRPr="007108BC" w:rsidRDefault="00CB77A7" w:rsidP="00A40EE9">
            <w:pPr>
              <w:keepNext/>
              <w:keepLines/>
              <w:jc w:val="center"/>
              <w:rPr>
                <w:rFonts w:ascii="Arial Narrow" w:hAnsi="Arial Narrow"/>
                <w:sz w:val="20"/>
                <w:szCs w:val="20"/>
              </w:rPr>
            </w:pPr>
          </w:p>
        </w:tc>
        <w:tc>
          <w:tcPr>
            <w:tcW w:w="1572" w:type="dxa"/>
            <w:tcBorders>
              <w:bottom w:val="nil"/>
            </w:tcBorders>
            <w:shd w:val="clear" w:color="auto" w:fill="auto"/>
            <w:noWrap/>
            <w:vAlign w:val="center"/>
          </w:tcPr>
          <w:p w:rsidR="00CB77A7" w:rsidRPr="007108BC" w:rsidRDefault="00CB77A7" w:rsidP="00A40EE9">
            <w:pPr>
              <w:keepNext/>
              <w:keepLines/>
              <w:jc w:val="center"/>
              <w:rPr>
                <w:rFonts w:ascii="Arial Narrow" w:hAnsi="Arial Narrow"/>
                <w:sz w:val="20"/>
                <w:szCs w:val="20"/>
              </w:rPr>
            </w:pPr>
          </w:p>
        </w:tc>
      </w:tr>
      <w:tr w:rsidR="003B61C2" w:rsidRPr="007108BC" w:rsidTr="00CB77A7">
        <w:trPr>
          <w:trHeight w:val="20"/>
        </w:trPr>
        <w:tc>
          <w:tcPr>
            <w:tcW w:w="4353" w:type="dxa"/>
            <w:tcBorders>
              <w:top w:val="nil"/>
              <w:bottom w:val="nil"/>
            </w:tcBorders>
            <w:shd w:val="clear" w:color="auto" w:fill="auto"/>
            <w:noWrap/>
            <w:hideMark/>
          </w:tcPr>
          <w:p w:rsidR="003B61C2" w:rsidRPr="007108BC" w:rsidRDefault="003B61C2" w:rsidP="00A40EE9">
            <w:pPr>
              <w:keepNext/>
              <w:keepLines/>
              <w:rPr>
                <w:rFonts w:ascii="Arial Narrow" w:hAnsi="Arial Narrow"/>
                <w:sz w:val="20"/>
                <w:szCs w:val="20"/>
              </w:rPr>
            </w:pPr>
            <w:r w:rsidRPr="007108BC">
              <w:rPr>
                <w:rFonts w:ascii="Arial Narrow" w:hAnsi="Arial Narrow"/>
                <w:sz w:val="20"/>
                <w:szCs w:val="20"/>
              </w:rPr>
              <w:t>25 years</w:t>
            </w:r>
          </w:p>
        </w:tc>
        <w:tc>
          <w:tcPr>
            <w:tcW w:w="1571" w:type="dxa"/>
            <w:tcBorders>
              <w:top w:val="nil"/>
              <w:bottom w:val="nil"/>
            </w:tcBorders>
            <w:shd w:val="clear" w:color="auto" w:fill="auto"/>
            <w:noWrap/>
            <w:vAlign w:val="center"/>
            <w:hideMark/>
          </w:tcPr>
          <w:p w:rsidR="003B61C2" w:rsidRPr="007108BC" w:rsidRDefault="003B61C2" w:rsidP="00A40EE9">
            <w:pPr>
              <w:keepNext/>
              <w:keepLines/>
              <w:jc w:val="center"/>
              <w:rPr>
                <w:rFonts w:ascii="Arial Narrow" w:hAnsi="Arial Narrow"/>
                <w:sz w:val="20"/>
                <w:szCs w:val="20"/>
              </w:rPr>
            </w:pPr>
            <w:r w:rsidRPr="007108BC">
              <w:rPr>
                <w:rFonts w:ascii="Arial Narrow" w:hAnsi="Arial Narrow"/>
                <w:sz w:val="20"/>
                <w:szCs w:val="20"/>
              </w:rPr>
              <w:t>$</w:t>
            </w:r>
            <w:r w:rsidR="00BB196F">
              <w:rPr>
                <w:rFonts w:ascii="Arial Narrow" w:hAnsi="Arial Narrow"/>
                <w:noProof/>
                <w:color w:val="000000"/>
                <w:sz w:val="20"/>
                <w:szCs w:val="20"/>
                <w:highlight w:val="black"/>
              </w:rPr>
              <w:t>'''''''''''''''''''''''''''</w:t>
            </w:r>
          </w:p>
        </w:tc>
        <w:tc>
          <w:tcPr>
            <w:tcW w:w="1571" w:type="dxa"/>
            <w:tcBorders>
              <w:top w:val="nil"/>
              <w:bottom w:val="nil"/>
            </w:tcBorders>
            <w:shd w:val="clear" w:color="auto" w:fill="auto"/>
            <w:noWrap/>
            <w:vAlign w:val="center"/>
            <w:hideMark/>
          </w:tcPr>
          <w:p w:rsidR="003B61C2" w:rsidRPr="007108BC" w:rsidRDefault="00EF595C" w:rsidP="00A40EE9">
            <w:pPr>
              <w:keepNext/>
              <w:keepLines/>
              <w:jc w:val="center"/>
              <w:rPr>
                <w:rFonts w:ascii="Arial Narrow" w:hAnsi="Arial Narrow"/>
                <w:sz w:val="20"/>
                <w:szCs w:val="20"/>
              </w:rPr>
            </w:pPr>
            <w:r w:rsidRPr="007108BC">
              <w:rPr>
                <w:rFonts w:ascii="Arial Narrow" w:hAnsi="Arial Narrow"/>
                <w:sz w:val="20"/>
                <w:szCs w:val="20"/>
              </w:rPr>
              <w:t>-</w:t>
            </w:r>
            <w:r w:rsidR="00BB196F">
              <w:rPr>
                <w:rFonts w:ascii="Arial Narrow" w:hAnsi="Arial Narrow"/>
                <w:noProof/>
                <w:color w:val="000000"/>
                <w:sz w:val="20"/>
                <w:szCs w:val="20"/>
                <w:highlight w:val="black"/>
              </w:rPr>
              <w:t>''''''''''''''''</w:t>
            </w:r>
          </w:p>
        </w:tc>
        <w:tc>
          <w:tcPr>
            <w:tcW w:w="1572" w:type="dxa"/>
            <w:tcBorders>
              <w:top w:val="nil"/>
              <w:bottom w:val="nil"/>
            </w:tcBorders>
            <w:shd w:val="clear" w:color="auto" w:fill="auto"/>
            <w:noWrap/>
            <w:vAlign w:val="center"/>
            <w:hideMark/>
          </w:tcPr>
          <w:p w:rsidR="003B61C2" w:rsidRPr="007108BC" w:rsidRDefault="003B61C2" w:rsidP="00A40EE9">
            <w:pPr>
              <w:keepNext/>
              <w:keepLines/>
              <w:jc w:val="center"/>
              <w:rPr>
                <w:rFonts w:ascii="Arial Narrow" w:hAnsi="Arial Narrow"/>
                <w:sz w:val="20"/>
                <w:szCs w:val="20"/>
              </w:rPr>
            </w:pPr>
            <w:r w:rsidRPr="007108BC">
              <w:rPr>
                <w:rFonts w:ascii="Arial Narrow" w:hAnsi="Arial Narrow"/>
                <w:sz w:val="20"/>
                <w:szCs w:val="20"/>
              </w:rPr>
              <w:t>$</w:t>
            </w:r>
            <w:r w:rsidR="00BB196F">
              <w:rPr>
                <w:rFonts w:ascii="Arial Narrow" w:hAnsi="Arial Narrow"/>
                <w:noProof/>
                <w:color w:val="000000"/>
                <w:sz w:val="20"/>
                <w:szCs w:val="20"/>
                <w:highlight w:val="black"/>
              </w:rPr>
              <w:t>''''''''''''''''''</w:t>
            </w:r>
          </w:p>
        </w:tc>
      </w:tr>
      <w:tr w:rsidR="003B61C2" w:rsidRPr="007108BC" w:rsidTr="00CB77A7">
        <w:trPr>
          <w:trHeight w:val="20"/>
        </w:trPr>
        <w:tc>
          <w:tcPr>
            <w:tcW w:w="4353" w:type="dxa"/>
            <w:tcBorders>
              <w:top w:val="nil"/>
              <w:bottom w:val="single" w:sz="4" w:space="0" w:color="auto"/>
            </w:tcBorders>
            <w:shd w:val="clear" w:color="auto" w:fill="auto"/>
            <w:noWrap/>
            <w:hideMark/>
          </w:tcPr>
          <w:p w:rsidR="003B61C2" w:rsidRPr="007108BC" w:rsidRDefault="003B61C2" w:rsidP="00A40EE9">
            <w:pPr>
              <w:keepNext/>
              <w:keepLines/>
              <w:rPr>
                <w:rFonts w:ascii="Arial Narrow" w:hAnsi="Arial Narrow"/>
                <w:sz w:val="20"/>
                <w:szCs w:val="20"/>
              </w:rPr>
            </w:pPr>
            <w:r w:rsidRPr="007108BC">
              <w:rPr>
                <w:rFonts w:ascii="Arial Narrow" w:hAnsi="Arial Narrow"/>
                <w:sz w:val="20"/>
                <w:szCs w:val="20"/>
              </w:rPr>
              <w:t>50 years</w:t>
            </w:r>
          </w:p>
        </w:tc>
        <w:tc>
          <w:tcPr>
            <w:tcW w:w="1571" w:type="dxa"/>
            <w:tcBorders>
              <w:top w:val="nil"/>
              <w:bottom w:val="single" w:sz="4" w:space="0" w:color="auto"/>
            </w:tcBorders>
            <w:shd w:val="clear" w:color="auto" w:fill="auto"/>
            <w:noWrap/>
            <w:vAlign w:val="center"/>
            <w:hideMark/>
          </w:tcPr>
          <w:p w:rsidR="003B61C2" w:rsidRPr="007108BC" w:rsidRDefault="003B61C2" w:rsidP="00A40EE9">
            <w:pPr>
              <w:keepNext/>
              <w:keepLines/>
              <w:jc w:val="center"/>
              <w:rPr>
                <w:rFonts w:ascii="Arial Narrow" w:hAnsi="Arial Narrow"/>
                <w:sz w:val="20"/>
                <w:szCs w:val="20"/>
              </w:rPr>
            </w:pPr>
            <w:r w:rsidRPr="007108BC">
              <w:rPr>
                <w:rFonts w:ascii="Arial Narrow" w:hAnsi="Arial Narrow"/>
                <w:sz w:val="20"/>
                <w:szCs w:val="20"/>
              </w:rPr>
              <w:t>$</w:t>
            </w:r>
            <w:r w:rsidR="00BB196F">
              <w:rPr>
                <w:rFonts w:ascii="Arial Narrow" w:hAnsi="Arial Narrow"/>
                <w:noProof/>
                <w:color w:val="000000"/>
                <w:sz w:val="20"/>
                <w:szCs w:val="20"/>
                <w:highlight w:val="black"/>
              </w:rPr>
              <w:t>'''''''''''''''''''''''''''</w:t>
            </w:r>
          </w:p>
        </w:tc>
        <w:tc>
          <w:tcPr>
            <w:tcW w:w="1571" w:type="dxa"/>
            <w:tcBorders>
              <w:top w:val="nil"/>
              <w:bottom w:val="single" w:sz="4" w:space="0" w:color="auto"/>
            </w:tcBorders>
            <w:shd w:val="clear" w:color="auto" w:fill="auto"/>
            <w:noWrap/>
            <w:vAlign w:val="center"/>
            <w:hideMark/>
          </w:tcPr>
          <w:p w:rsidR="003B61C2" w:rsidRPr="007108BC" w:rsidRDefault="00EF595C" w:rsidP="00A40EE9">
            <w:pPr>
              <w:keepNext/>
              <w:keepLines/>
              <w:jc w:val="center"/>
              <w:rPr>
                <w:rFonts w:ascii="Arial Narrow" w:hAnsi="Arial Narrow"/>
                <w:sz w:val="20"/>
                <w:szCs w:val="20"/>
              </w:rPr>
            </w:pPr>
            <w:r w:rsidRPr="007108BC">
              <w:rPr>
                <w:rFonts w:ascii="Arial Narrow" w:hAnsi="Arial Narrow"/>
                <w:sz w:val="20"/>
                <w:szCs w:val="20"/>
              </w:rPr>
              <w:t>-</w:t>
            </w:r>
            <w:r w:rsidR="00BB196F">
              <w:rPr>
                <w:rFonts w:ascii="Arial Narrow" w:hAnsi="Arial Narrow"/>
                <w:noProof/>
                <w:color w:val="000000"/>
                <w:sz w:val="20"/>
                <w:szCs w:val="20"/>
                <w:highlight w:val="black"/>
              </w:rPr>
              <w:t>'''''''''''''''</w:t>
            </w:r>
          </w:p>
        </w:tc>
        <w:tc>
          <w:tcPr>
            <w:tcW w:w="1572" w:type="dxa"/>
            <w:tcBorders>
              <w:top w:val="nil"/>
              <w:bottom w:val="single" w:sz="4" w:space="0" w:color="auto"/>
            </w:tcBorders>
            <w:shd w:val="clear" w:color="auto" w:fill="auto"/>
            <w:noWrap/>
            <w:vAlign w:val="center"/>
            <w:hideMark/>
          </w:tcPr>
          <w:p w:rsidR="003B61C2" w:rsidRPr="007108BC" w:rsidRDefault="003B61C2" w:rsidP="00A40EE9">
            <w:pPr>
              <w:keepNext/>
              <w:keepLines/>
              <w:jc w:val="center"/>
              <w:rPr>
                <w:rFonts w:ascii="Arial Narrow" w:hAnsi="Arial Narrow"/>
                <w:sz w:val="20"/>
                <w:szCs w:val="20"/>
              </w:rPr>
            </w:pPr>
            <w:r w:rsidRPr="007108BC">
              <w:rPr>
                <w:rFonts w:ascii="Arial Narrow" w:hAnsi="Arial Narrow"/>
                <w:sz w:val="20"/>
                <w:szCs w:val="20"/>
              </w:rPr>
              <w:t>$</w:t>
            </w:r>
            <w:r w:rsidR="00BB196F">
              <w:rPr>
                <w:rFonts w:ascii="Arial Narrow" w:hAnsi="Arial Narrow"/>
                <w:noProof/>
                <w:color w:val="000000"/>
                <w:sz w:val="20"/>
                <w:szCs w:val="20"/>
                <w:highlight w:val="black"/>
              </w:rPr>
              <w:t>''''''''''''''''</w:t>
            </w:r>
          </w:p>
        </w:tc>
      </w:tr>
      <w:tr w:rsidR="00CB77A7" w:rsidRPr="007108BC" w:rsidTr="00CB77A7">
        <w:trPr>
          <w:trHeight w:val="20"/>
        </w:trPr>
        <w:tc>
          <w:tcPr>
            <w:tcW w:w="4353" w:type="dxa"/>
            <w:tcBorders>
              <w:bottom w:val="nil"/>
            </w:tcBorders>
            <w:shd w:val="clear" w:color="auto" w:fill="auto"/>
            <w:noWrap/>
          </w:tcPr>
          <w:p w:rsidR="00CB77A7" w:rsidRPr="00B86BC0" w:rsidRDefault="000D157C" w:rsidP="00A40EE9">
            <w:pPr>
              <w:keepNext/>
              <w:keepLines/>
              <w:rPr>
                <w:rFonts w:ascii="Arial Narrow" w:hAnsi="Arial Narrow"/>
                <w:sz w:val="20"/>
                <w:szCs w:val="20"/>
                <w:u w:val="single"/>
              </w:rPr>
            </w:pPr>
            <w:r w:rsidRPr="00B86BC0">
              <w:rPr>
                <w:rFonts w:ascii="Arial Narrow" w:hAnsi="Arial Narrow"/>
                <w:sz w:val="20"/>
                <w:szCs w:val="20"/>
                <w:u w:val="single"/>
              </w:rPr>
              <w:t>VE</w:t>
            </w:r>
            <w:r w:rsidR="00CB77A7" w:rsidRPr="00B86BC0">
              <w:rPr>
                <w:rFonts w:ascii="Arial Narrow" w:hAnsi="Arial Narrow"/>
                <w:sz w:val="20"/>
                <w:szCs w:val="20"/>
                <w:u w:val="single"/>
              </w:rPr>
              <w:t xml:space="preserve"> (base case</w:t>
            </w:r>
            <w:r w:rsidRPr="00B86BC0">
              <w:rPr>
                <w:rFonts w:ascii="Arial Narrow" w:hAnsi="Arial Narrow"/>
                <w:sz w:val="20"/>
                <w:szCs w:val="20"/>
                <w:u w:val="single"/>
              </w:rPr>
              <w:t xml:space="preserve"> adjusted VE from</w:t>
            </w:r>
            <w:r w:rsidR="00CB77A7" w:rsidRPr="00B86BC0">
              <w:rPr>
                <w:rFonts w:ascii="Arial Narrow" w:hAnsi="Arial Narrow"/>
                <w:sz w:val="20"/>
                <w:szCs w:val="20"/>
                <w:u w:val="single"/>
              </w:rPr>
              <w:t xml:space="preserve"> UK PHE </w:t>
            </w:r>
            <w:r w:rsidR="00CB77A7" w:rsidRPr="00F80040">
              <w:rPr>
                <w:rFonts w:ascii="Arial Narrow" w:hAnsi="Arial Narrow"/>
                <w:sz w:val="20"/>
                <w:szCs w:val="20"/>
                <w:u w:val="single"/>
              </w:rPr>
              <w:t>study</w:t>
            </w:r>
            <w:r w:rsidR="0053478D" w:rsidRPr="00F80040">
              <w:rPr>
                <w:rFonts w:ascii="Arial Narrow" w:hAnsi="Arial Narrow"/>
                <w:sz w:val="20"/>
                <w:szCs w:val="20"/>
                <w:u w:val="single"/>
              </w:rPr>
              <w:t xml:space="preserve">, </w:t>
            </w:r>
            <w:r w:rsidR="00BB196F">
              <w:rPr>
                <w:rFonts w:ascii="Arial Narrow" w:hAnsi="Arial Narrow"/>
                <w:noProof/>
                <w:color w:val="000000"/>
                <w:sz w:val="20"/>
                <w:szCs w:val="20"/>
                <w:highlight w:val="black"/>
                <w:u w:val="single"/>
              </w:rPr>
              <w:t>''''''''''</w:t>
            </w:r>
            <w:r w:rsidR="00F80040" w:rsidRPr="00F80040">
              <w:rPr>
                <w:rFonts w:ascii="Arial Narrow" w:hAnsi="Arial Narrow"/>
                <w:sz w:val="20"/>
                <w:szCs w:val="20"/>
                <w:u w:val="single"/>
              </w:rPr>
              <w:t>%)</w:t>
            </w:r>
          </w:p>
        </w:tc>
        <w:tc>
          <w:tcPr>
            <w:tcW w:w="1571" w:type="dxa"/>
            <w:tcBorders>
              <w:bottom w:val="nil"/>
            </w:tcBorders>
            <w:shd w:val="clear" w:color="auto" w:fill="auto"/>
            <w:noWrap/>
            <w:vAlign w:val="center"/>
          </w:tcPr>
          <w:p w:rsidR="00CB77A7" w:rsidRPr="007108BC" w:rsidRDefault="00CB77A7" w:rsidP="00A40EE9">
            <w:pPr>
              <w:keepNext/>
              <w:keepLines/>
              <w:jc w:val="center"/>
              <w:rPr>
                <w:rFonts w:ascii="Arial Narrow" w:hAnsi="Arial Narrow"/>
                <w:sz w:val="20"/>
                <w:szCs w:val="20"/>
              </w:rPr>
            </w:pPr>
          </w:p>
        </w:tc>
        <w:tc>
          <w:tcPr>
            <w:tcW w:w="1571" w:type="dxa"/>
            <w:tcBorders>
              <w:bottom w:val="nil"/>
            </w:tcBorders>
            <w:shd w:val="clear" w:color="auto" w:fill="auto"/>
            <w:noWrap/>
            <w:vAlign w:val="center"/>
          </w:tcPr>
          <w:p w:rsidR="00CB77A7" w:rsidRPr="007108BC" w:rsidRDefault="00CB77A7" w:rsidP="00A40EE9">
            <w:pPr>
              <w:keepNext/>
              <w:keepLines/>
              <w:jc w:val="center"/>
              <w:rPr>
                <w:rFonts w:ascii="Arial Narrow" w:hAnsi="Arial Narrow"/>
                <w:sz w:val="20"/>
                <w:szCs w:val="20"/>
              </w:rPr>
            </w:pPr>
          </w:p>
        </w:tc>
        <w:tc>
          <w:tcPr>
            <w:tcW w:w="1572" w:type="dxa"/>
            <w:tcBorders>
              <w:bottom w:val="nil"/>
            </w:tcBorders>
            <w:shd w:val="clear" w:color="auto" w:fill="auto"/>
            <w:noWrap/>
            <w:vAlign w:val="center"/>
          </w:tcPr>
          <w:p w:rsidR="00CB77A7" w:rsidRPr="007108BC" w:rsidRDefault="00CB77A7" w:rsidP="00A40EE9">
            <w:pPr>
              <w:keepNext/>
              <w:keepLines/>
              <w:jc w:val="center"/>
              <w:rPr>
                <w:rFonts w:ascii="Arial Narrow" w:hAnsi="Arial Narrow"/>
                <w:sz w:val="20"/>
                <w:szCs w:val="20"/>
              </w:rPr>
            </w:pPr>
          </w:p>
        </w:tc>
      </w:tr>
      <w:tr w:rsidR="003B61C2" w:rsidRPr="007108BC" w:rsidTr="00CB77A7">
        <w:trPr>
          <w:trHeight w:val="20"/>
        </w:trPr>
        <w:tc>
          <w:tcPr>
            <w:tcW w:w="4353" w:type="dxa"/>
            <w:tcBorders>
              <w:top w:val="nil"/>
              <w:bottom w:val="nil"/>
            </w:tcBorders>
            <w:shd w:val="clear" w:color="auto" w:fill="auto"/>
            <w:noWrap/>
            <w:hideMark/>
          </w:tcPr>
          <w:p w:rsidR="003B61C2" w:rsidRPr="007108BC" w:rsidRDefault="003B61C2" w:rsidP="00A40EE9">
            <w:pPr>
              <w:keepNext/>
              <w:keepLines/>
              <w:rPr>
                <w:rFonts w:ascii="Arial Narrow" w:hAnsi="Arial Narrow"/>
                <w:sz w:val="20"/>
                <w:szCs w:val="20"/>
              </w:rPr>
            </w:pPr>
            <w:r w:rsidRPr="007108BC">
              <w:rPr>
                <w:rFonts w:ascii="Arial Narrow" w:hAnsi="Arial Narrow"/>
                <w:sz w:val="20"/>
                <w:szCs w:val="20"/>
              </w:rPr>
              <w:t>VE Portugal PT-BEST</w:t>
            </w:r>
            <w:r w:rsidR="0053478D">
              <w:rPr>
                <w:rFonts w:ascii="Arial Narrow" w:hAnsi="Arial Narrow"/>
                <w:sz w:val="20"/>
                <w:szCs w:val="20"/>
              </w:rPr>
              <w:t xml:space="preserve"> (</w:t>
            </w:r>
            <w:r w:rsidR="00BB196F">
              <w:rPr>
                <w:rFonts w:ascii="Arial Narrow" w:hAnsi="Arial Narrow"/>
                <w:noProof/>
                <w:color w:val="000000"/>
                <w:sz w:val="20"/>
                <w:szCs w:val="20"/>
                <w:highlight w:val="black"/>
              </w:rPr>
              <w:t>'''''''''''</w:t>
            </w:r>
            <w:r w:rsidR="0053478D">
              <w:rPr>
                <w:rFonts w:ascii="Arial Narrow" w:hAnsi="Arial Narrow"/>
                <w:sz w:val="20"/>
                <w:szCs w:val="20"/>
              </w:rPr>
              <w:t>%)</w:t>
            </w:r>
          </w:p>
        </w:tc>
        <w:tc>
          <w:tcPr>
            <w:tcW w:w="1571" w:type="dxa"/>
            <w:tcBorders>
              <w:top w:val="nil"/>
              <w:bottom w:val="nil"/>
            </w:tcBorders>
            <w:shd w:val="clear" w:color="auto" w:fill="auto"/>
            <w:noWrap/>
            <w:vAlign w:val="center"/>
            <w:hideMark/>
          </w:tcPr>
          <w:p w:rsidR="003B61C2" w:rsidRPr="007108BC" w:rsidRDefault="003B61C2" w:rsidP="00A40EE9">
            <w:pPr>
              <w:keepNext/>
              <w:keepLines/>
              <w:jc w:val="center"/>
              <w:rPr>
                <w:rFonts w:ascii="Arial Narrow" w:hAnsi="Arial Narrow"/>
                <w:sz w:val="20"/>
                <w:szCs w:val="20"/>
              </w:rPr>
            </w:pPr>
            <w:r w:rsidRPr="007108BC">
              <w:rPr>
                <w:rFonts w:ascii="Arial Narrow" w:hAnsi="Arial Narrow"/>
                <w:sz w:val="20"/>
                <w:szCs w:val="20"/>
              </w:rPr>
              <w:t>$</w:t>
            </w:r>
            <w:r w:rsidR="00BB196F">
              <w:rPr>
                <w:rFonts w:ascii="Arial Narrow" w:hAnsi="Arial Narrow"/>
                <w:noProof/>
                <w:color w:val="000000"/>
                <w:sz w:val="20"/>
                <w:szCs w:val="20"/>
                <w:highlight w:val="black"/>
              </w:rPr>
              <w:t>'''''''''''''''''''''''''''''''''</w:t>
            </w:r>
          </w:p>
        </w:tc>
        <w:tc>
          <w:tcPr>
            <w:tcW w:w="1571" w:type="dxa"/>
            <w:tcBorders>
              <w:top w:val="nil"/>
              <w:bottom w:val="nil"/>
            </w:tcBorders>
            <w:shd w:val="clear" w:color="auto" w:fill="auto"/>
            <w:noWrap/>
            <w:vAlign w:val="center"/>
            <w:hideMark/>
          </w:tcPr>
          <w:p w:rsidR="003B61C2" w:rsidRPr="007108BC" w:rsidRDefault="00EF595C" w:rsidP="00A40EE9">
            <w:pPr>
              <w:keepNext/>
              <w:keepLines/>
              <w:jc w:val="center"/>
              <w:rPr>
                <w:rFonts w:ascii="Arial Narrow" w:hAnsi="Arial Narrow"/>
                <w:sz w:val="20"/>
                <w:szCs w:val="20"/>
              </w:rPr>
            </w:pPr>
            <w:r w:rsidRPr="007108BC">
              <w:rPr>
                <w:rFonts w:ascii="Arial Narrow" w:hAnsi="Arial Narrow"/>
                <w:sz w:val="20"/>
                <w:szCs w:val="20"/>
              </w:rPr>
              <w:t>-</w:t>
            </w:r>
            <w:r w:rsidR="00BB196F">
              <w:rPr>
                <w:rFonts w:ascii="Arial Narrow" w:hAnsi="Arial Narrow"/>
                <w:noProof/>
                <w:color w:val="000000"/>
                <w:sz w:val="20"/>
                <w:szCs w:val="20"/>
                <w:highlight w:val="black"/>
              </w:rPr>
              <w:t>''''''''''''''''''</w:t>
            </w:r>
          </w:p>
        </w:tc>
        <w:tc>
          <w:tcPr>
            <w:tcW w:w="1572" w:type="dxa"/>
            <w:tcBorders>
              <w:top w:val="nil"/>
              <w:bottom w:val="nil"/>
            </w:tcBorders>
            <w:shd w:val="clear" w:color="auto" w:fill="auto"/>
            <w:noWrap/>
            <w:vAlign w:val="center"/>
            <w:hideMark/>
          </w:tcPr>
          <w:p w:rsidR="003B61C2" w:rsidRPr="007108BC" w:rsidRDefault="003B61C2" w:rsidP="00A40EE9">
            <w:pPr>
              <w:keepNext/>
              <w:keepLines/>
              <w:jc w:val="center"/>
              <w:rPr>
                <w:rFonts w:ascii="Arial Narrow" w:hAnsi="Arial Narrow"/>
                <w:sz w:val="20"/>
                <w:szCs w:val="20"/>
              </w:rPr>
            </w:pPr>
            <w:r w:rsidRPr="007108BC">
              <w:rPr>
                <w:rFonts w:ascii="Arial Narrow" w:hAnsi="Arial Narrow"/>
                <w:sz w:val="20"/>
                <w:szCs w:val="20"/>
              </w:rPr>
              <w:t>$</w:t>
            </w:r>
            <w:r w:rsidR="00BB196F">
              <w:rPr>
                <w:rFonts w:ascii="Arial Narrow" w:hAnsi="Arial Narrow"/>
                <w:noProof/>
                <w:color w:val="000000"/>
                <w:sz w:val="20"/>
                <w:szCs w:val="20"/>
                <w:highlight w:val="black"/>
              </w:rPr>
              <w:t>''''''''''''''''</w:t>
            </w:r>
          </w:p>
        </w:tc>
      </w:tr>
      <w:tr w:rsidR="003B61C2" w:rsidRPr="007108BC" w:rsidTr="00CB77A7">
        <w:trPr>
          <w:trHeight w:val="20"/>
        </w:trPr>
        <w:tc>
          <w:tcPr>
            <w:tcW w:w="4353" w:type="dxa"/>
            <w:tcBorders>
              <w:top w:val="nil"/>
              <w:bottom w:val="nil"/>
            </w:tcBorders>
            <w:shd w:val="clear" w:color="auto" w:fill="auto"/>
            <w:noWrap/>
            <w:hideMark/>
          </w:tcPr>
          <w:p w:rsidR="003B61C2" w:rsidRPr="007108BC" w:rsidRDefault="003B61C2" w:rsidP="00A40EE9">
            <w:pPr>
              <w:keepNext/>
              <w:keepLines/>
              <w:rPr>
                <w:rFonts w:ascii="Arial Narrow" w:hAnsi="Arial Narrow"/>
                <w:sz w:val="20"/>
                <w:szCs w:val="20"/>
              </w:rPr>
            </w:pPr>
            <w:r w:rsidRPr="007108BC">
              <w:rPr>
                <w:rFonts w:ascii="Arial Narrow" w:hAnsi="Arial Narrow"/>
                <w:sz w:val="20"/>
                <w:szCs w:val="20"/>
              </w:rPr>
              <w:t xml:space="preserve">VE </w:t>
            </w:r>
            <w:r w:rsidR="00F01DEA">
              <w:rPr>
                <w:rFonts w:ascii="Arial Narrow" w:hAnsi="Arial Narrow"/>
                <w:sz w:val="20"/>
                <w:szCs w:val="20"/>
              </w:rPr>
              <w:t>u</w:t>
            </w:r>
            <w:r w:rsidRPr="007108BC">
              <w:rPr>
                <w:rFonts w:ascii="Arial Narrow" w:hAnsi="Arial Narrow"/>
                <w:sz w:val="20"/>
                <w:szCs w:val="20"/>
              </w:rPr>
              <w:t>pper bound PHE data</w:t>
            </w:r>
            <w:r w:rsidR="0053478D">
              <w:rPr>
                <w:rFonts w:ascii="Arial Narrow" w:hAnsi="Arial Narrow"/>
                <w:sz w:val="20"/>
                <w:szCs w:val="20"/>
              </w:rPr>
              <w:t xml:space="preserve"> (87.1%)</w:t>
            </w:r>
          </w:p>
        </w:tc>
        <w:tc>
          <w:tcPr>
            <w:tcW w:w="1571" w:type="dxa"/>
            <w:tcBorders>
              <w:top w:val="nil"/>
              <w:bottom w:val="nil"/>
            </w:tcBorders>
            <w:shd w:val="clear" w:color="auto" w:fill="auto"/>
            <w:noWrap/>
            <w:vAlign w:val="center"/>
            <w:hideMark/>
          </w:tcPr>
          <w:p w:rsidR="003B61C2" w:rsidRPr="007108BC" w:rsidRDefault="003B61C2" w:rsidP="00A40EE9">
            <w:pPr>
              <w:keepNext/>
              <w:keepLines/>
              <w:jc w:val="center"/>
              <w:rPr>
                <w:rFonts w:ascii="Arial Narrow" w:hAnsi="Arial Narrow"/>
                <w:sz w:val="20"/>
                <w:szCs w:val="20"/>
              </w:rPr>
            </w:pPr>
            <w:r w:rsidRPr="007108BC">
              <w:rPr>
                <w:rFonts w:ascii="Arial Narrow" w:hAnsi="Arial Narrow"/>
                <w:sz w:val="20"/>
                <w:szCs w:val="20"/>
              </w:rPr>
              <w:t>$</w:t>
            </w:r>
            <w:r w:rsidR="00BB196F">
              <w:rPr>
                <w:rFonts w:ascii="Arial Narrow" w:hAnsi="Arial Narrow"/>
                <w:noProof/>
                <w:color w:val="000000"/>
                <w:sz w:val="20"/>
                <w:szCs w:val="20"/>
                <w:highlight w:val="black"/>
              </w:rPr>
              <w:t>'''''''''''''''''''''''''''''</w:t>
            </w:r>
          </w:p>
        </w:tc>
        <w:tc>
          <w:tcPr>
            <w:tcW w:w="1571" w:type="dxa"/>
            <w:tcBorders>
              <w:top w:val="nil"/>
              <w:bottom w:val="nil"/>
            </w:tcBorders>
            <w:shd w:val="clear" w:color="auto" w:fill="auto"/>
            <w:noWrap/>
            <w:vAlign w:val="center"/>
            <w:hideMark/>
          </w:tcPr>
          <w:p w:rsidR="003B61C2" w:rsidRPr="007108BC" w:rsidRDefault="00EF595C" w:rsidP="00A40EE9">
            <w:pPr>
              <w:keepNext/>
              <w:keepLines/>
              <w:jc w:val="center"/>
              <w:rPr>
                <w:rFonts w:ascii="Arial Narrow" w:hAnsi="Arial Narrow"/>
                <w:sz w:val="20"/>
                <w:szCs w:val="20"/>
              </w:rPr>
            </w:pPr>
            <w:r w:rsidRPr="007108BC">
              <w:rPr>
                <w:rFonts w:ascii="Arial Narrow" w:hAnsi="Arial Narrow"/>
                <w:sz w:val="20"/>
                <w:szCs w:val="20"/>
              </w:rPr>
              <w:t>-</w:t>
            </w:r>
            <w:r w:rsidR="00BB196F">
              <w:rPr>
                <w:rFonts w:ascii="Arial Narrow" w:hAnsi="Arial Narrow"/>
                <w:noProof/>
                <w:color w:val="000000"/>
                <w:sz w:val="20"/>
                <w:szCs w:val="20"/>
                <w:highlight w:val="black"/>
              </w:rPr>
              <w:t>'''''''''''''''''</w:t>
            </w:r>
          </w:p>
        </w:tc>
        <w:tc>
          <w:tcPr>
            <w:tcW w:w="1572" w:type="dxa"/>
            <w:tcBorders>
              <w:top w:val="nil"/>
              <w:bottom w:val="nil"/>
            </w:tcBorders>
            <w:shd w:val="clear" w:color="auto" w:fill="auto"/>
            <w:noWrap/>
            <w:vAlign w:val="center"/>
            <w:hideMark/>
          </w:tcPr>
          <w:p w:rsidR="003B61C2" w:rsidRPr="007108BC" w:rsidRDefault="003B61C2" w:rsidP="00A40EE9">
            <w:pPr>
              <w:keepNext/>
              <w:keepLines/>
              <w:jc w:val="center"/>
              <w:rPr>
                <w:rFonts w:ascii="Arial Narrow" w:hAnsi="Arial Narrow"/>
                <w:sz w:val="20"/>
                <w:szCs w:val="20"/>
              </w:rPr>
            </w:pPr>
            <w:r w:rsidRPr="007108BC">
              <w:rPr>
                <w:rFonts w:ascii="Arial Narrow" w:hAnsi="Arial Narrow"/>
                <w:sz w:val="20"/>
                <w:szCs w:val="20"/>
              </w:rPr>
              <w:t>$</w:t>
            </w:r>
            <w:r w:rsidR="00BB196F">
              <w:rPr>
                <w:rFonts w:ascii="Arial Narrow" w:hAnsi="Arial Narrow"/>
                <w:noProof/>
                <w:color w:val="000000"/>
                <w:sz w:val="20"/>
                <w:szCs w:val="20"/>
                <w:highlight w:val="black"/>
              </w:rPr>
              <w:t>'''''''''''''''</w:t>
            </w:r>
          </w:p>
        </w:tc>
      </w:tr>
      <w:tr w:rsidR="009470A3" w:rsidRPr="00D51D60" w:rsidTr="008F5605">
        <w:trPr>
          <w:trHeight w:val="20"/>
        </w:trPr>
        <w:tc>
          <w:tcPr>
            <w:tcW w:w="4353" w:type="dxa"/>
            <w:tcBorders>
              <w:top w:val="nil"/>
              <w:bottom w:val="single" w:sz="4" w:space="0" w:color="auto"/>
            </w:tcBorders>
            <w:shd w:val="clear" w:color="auto" w:fill="auto"/>
            <w:noWrap/>
            <w:hideMark/>
          </w:tcPr>
          <w:p w:rsidR="009470A3" w:rsidRPr="002F1748" w:rsidRDefault="009470A3" w:rsidP="00A40EE9">
            <w:pPr>
              <w:keepNext/>
              <w:keepLines/>
              <w:rPr>
                <w:rFonts w:ascii="Arial Narrow" w:hAnsi="Arial Narrow"/>
                <w:iCs/>
                <w:sz w:val="20"/>
                <w:szCs w:val="20"/>
              </w:rPr>
            </w:pPr>
            <w:r w:rsidRPr="002F1748">
              <w:rPr>
                <w:rFonts w:ascii="Arial Narrow" w:hAnsi="Arial Narrow"/>
                <w:iCs/>
                <w:sz w:val="20"/>
                <w:szCs w:val="20"/>
              </w:rPr>
              <w:t>VE point estimate PHE data</w:t>
            </w:r>
            <w:r w:rsidR="0053478D">
              <w:rPr>
                <w:rFonts w:ascii="Arial Narrow" w:hAnsi="Arial Narrow"/>
                <w:iCs/>
                <w:sz w:val="20"/>
                <w:szCs w:val="20"/>
              </w:rPr>
              <w:t xml:space="preserve"> (58.9%)</w:t>
            </w:r>
          </w:p>
        </w:tc>
        <w:tc>
          <w:tcPr>
            <w:tcW w:w="1571" w:type="dxa"/>
            <w:tcBorders>
              <w:top w:val="nil"/>
              <w:bottom w:val="single" w:sz="4" w:space="0" w:color="auto"/>
            </w:tcBorders>
            <w:shd w:val="clear" w:color="auto" w:fill="auto"/>
            <w:noWrap/>
            <w:vAlign w:val="center"/>
            <w:hideMark/>
          </w:tcPr>
          <w:p w:rsidR="009470A3" w:rsidRPr="002F1748" w:rsidRDefault="009470A3" w:rsidP="00A40EE9">
            <w:pPr>
              <w:keepNext/>
              <w:keepLines/>
              <w:jc w:val="center"/>
              <w:rPr>
                <w:rFonts w:ascii="Arial Narrow" w:hAnsi="Arial Narrow"/>
                <w:iCs/>
                <w:sz w:val="20"/>
                <w:szCs w:val="20"/>
              </w:rPr>
            </w:pPr>
            <w:r w:rsidRPr="002F1748">
              <w:rPr>
                <w:rFonts w:ascii="Arial Narrow" w:hAnsi="Arial Narrow"/>
                <w:iCs/>
                <w:sz w:val="20"/>
                <w:szCs w:val="20"/>
              </w:rPr>
              <w:t>$</w:t>
            </w:r>
            <w:r w:rsidR="00BB196F">
              <w:rPr>
                <w:rFonts w:ascii="Arial Narrow" w:hAnsi="Arial Narrow"/>
                <w:iCs/>
                <w:noProof/>
                <w:color w:val="000000"/>
                <w:sz w:val="20"/>
                <w:szCs w:val="20"/>
                <w:highlight w:val="black"/>
              </w:rPr>
              <w:t>'''''''''''''''''''''''''''''''''''</w:t>
            </w:r>
          </w:p>
        </w:tc>
        <w:tc>
          <w:tcPr>
            <w:tcW w:w="1571" w:type="dxa"/>
            <w:tcBorders>
              <w:top w:val="nil"/>
              <w:bottom w:val="single" w:sz="4" w:space="0" w:color="auto"/>
            </w:tcBorders>
            <w:shd w:val="clear" w:color="auto" w:fill="auto"/>
            <w:noWrap/>
            <w:vAlign w:val="center"/>
            <w:hideMark/>
          </w:tcPr>
          <w:p w:rsidR="009470A3" w:rsidRPr="002F1748" w:rsidRDefault="009470A3" w:rsidP="00A40EE9">
            <w:pPr>
              <w:keepNext/>
              <w:keepLines/>
              <w:jc w:val="center"/>
              <w:rPr>
                <w:rFonts w:ascii="Arial Narrow" w:hAnsi="Arial Narrow"/>
                <w:iCs/>
                <w:sz w:val="20"/>
                <w:szCs w:val="20"/>
              </w:rPr>
            </w:pPr>
            <w:r w:rsidRPr="002F1748">
              <w:rPr>
                <w:rFonts w:ascii="Arial Narrow" w:hAnsi="Arial Narrow"/>
                <w:iCs/>
                <w:sz w:val="20"/>
                <w:szCs w:val="20"/>
              </w:rPr>
              <w:t>-</w:t>
            </w:r>
            <w:r w:rsidR="00BB196F">
              <w:rPr>
                <w:rFonts w:ascii="Arial Narrow" w:hAnsi="Arial Narrow"/>
                <w:iCs/>
                <w:noProof/>
                <w:color w:val="000000"/>
                <w:sz w:val="20"/>
                <w:szCs w:val="20"/>
                <w:highlight w:val="black"/>
              </w:rPr>
              <w:t>''''''''''''''''</w:t>
            </w:r>
          </w:p>
        </w:tc>
        <w:tc>
          <w:tcPr>
            <w:tcW w:w="1572" w:type="dxa"/>
            <w:tcBorders>
              <w:top w:val="nil"/>
              <w:bottom w:val="single" w:sz="4" w:space="0" w:color="auto"/>
            </w:tcBorders>
            <w:shd w:val="clear" w:color="auto" w:fill="auto"/>
            <w:noWrap/>
            <w:vAlign w:val="center"/>
            <w:hideMark/>
          </w:tcPr>
          <w:p w:rsidR="009470A3" w:rsidRPr="002F1748" w:rsidRDefault="009470A3" w:rsidP="00A40EE9">
            <w:pPr>
              <w:keepNext/>
              <w:keepLines/>
              <w:jc w:val="center"/>
              <w:rPr>
                <w:rFonts w:ascii="Arial Narrow" w:hAnsi="Arial Narrow"/>
                <w:iCs/>
                <w:sz w:val="20"/>
                <w:szCs w:val="20"/>
              </w:rPr>
            </w:pPr>
            <w:r w:rsidRPr="002F1748">
              <w:rPr>
                <w:rFonts w:ascii="Arial Narrow" w:hAnsi="Arial Narrow"/>
                <w:iCs/>
                <w:sz w:val="20"/>
                <w:szCs w:val="20"/>
              </w:rPr>
              <w:t>$</w:t>
            </w:r>
            <w:r w:rsidR="00BB196F">
              <w:rPr>
                <w:rFonts w:ascii="Arial Narrow" w:hAnsi="Arial Narrow"/>
                <w:iCs/>
                <w:noProof/>
                <w:color w:val="000000"/>
                <w:sz w:val="20"/>
                <w:szCs w:val="20"/>
                <w:highlight w:val="black"/>
              </w:rPr>
              <w:t>'''''''''''''''</w:t>
            </w:r>
          </w:p>
        </w:tc>
      </w:tr>
      <w:tr w:rsidR="008F5605" w:rsidRPr="007108BC" w:rsidTr="008F5605">
        <w:trPr>
          <w:trHeight w:val="20"/>
        </w:trPr>
        <w:tc>
          <w:tcPr>
            <w:tcW w:w="4353" w:type="dxa"/>
            <w:tcBorders>
              <w:bottom w:val="nil"/>
            </w:tcBorders>
            <w:shd w:val="clear" w:color="auto" w:fill="auto"/>
            <w:noWrap/>
          </w:tcPr>
          <w:p w:rsidR="008F5605" w:rsidRDefault="00773956" w:rsidP="00A40EE9">
            <w:pPr>
              <w:keepNext/>
              <w:keepLines/>
              <w:rPr>
                <w:rFonts w:ascii="Arial Narrow" w:hAnsi="Arial Narrow"/>
                <w:sz w:val="20"/>
                <w:szCs w:val="20"/>
              </w:rPr>
            </w:pPr>
            <w:r w:rsidRPr="00B86BC0">
              <w:rPr>
                <w:rFonts w:ascii="Arial Narrow" w:hAnsi="Arial Narrow"/>
                <w:sz w:val="20"/>
                <w:szCs w:val="20"/>
                <w:u w:val="single"/>
              </w:rPr>
              <w:t xml:space="preserve">Incidence of IMD caused by </w:t>
            </w:r>
            <w:r w:rsidR="008F5605" w:rsidRPr="00B86BC0">
              <w:rPr>
                <w:rFonts w:ascii="Arial Narrow" w:hAnsi="Arial Narrow"/>
                <w:sz w:val="20"/>
                <w:szCs w:val="20"/>
                <w:u w:val="single"/>
              </w:rPr>
              <w:t>Men B (base case 2001-2017</w:t>
            </w:r>
            <w:r w:rsidR="008F5605">
              <w:rPr>
                <w:rFonts w:ascii="Arial Narrow" w:hAnsi="Arial Narrow"/>
                <w:sz w:val="20"/>
                <w:szCs w:val="20"/>
              </w:rPr>
              <w:t>)</w:t>
            </w:r>
          </w:p>
        </w:tc>
        <w:tc>
          <w:tcPr>
            <w:tcW w:w="1571" w:type="dxa"/>
            <w:tcBorders>
              <w:bottom w:val="nil"/>
            </w:tcBorders>
            <w:shd w:val="clear" w:color="auto" w:fill="auto"/>
            <w:noWrap/>
            <w:vAlign w:val="center"/>
          </w:tcPr>
          <w:p w:rsidR="008F5605" w:rsidRPr="00B64939" w:rsidRDefault="008F5605" w:rsidP="00A40EE9">
            <w:pPr>
              <w:keepNext/>
              <w:keepLines/>
              <w:jc w:val="center"/>
              <w:rPr>
                <w:rFonts w:ascii="Arial Narrow" w:hAnsi="Arial Narrow"/>
                <w:sz w:val="20"/>
                <w:szCs w:val="20"/>
              </w:rPr>
            </w:pPr>
          </w:p>
        </w:tc>
        <w:tc>
          <w:tcPr>
            <w:tcW w:w="1571" w:type="dxa"/>
            <w:tcBorders>
              <w:bottom w:val="nil"/>
            </w:tcBorders>
            <w:shd w:val="clear" w:color="auto" w:fill="auto"/>
            <w:noWrap/>
          </w:tcPr>
          <w:p w:rsidR="008F5605" w:rsidRPr="00B64939" w:rsidRDefault="008F5605" w:rsidP="00A40EE9">
            <w:pPr>
              <w:keepNext/>
              <w:keepLines/>
              <w:jc w:val="center"/>
              <w:rPr>
                <w:rFonts w:ascii="Arial Narrow" w:hAnsi="Arial Narrow"/>
                <w:sz w:val="20"/>
                <w:szCs w:val="20"/>
              </w:rPr>
            </w:pPr>
          </w:p>
        </w:tc>
        <w:tc>
          <w:tcPr>
            <w:tcW w:w="1572" w:type="dxa"/>
            <w:tcBorders>
              <w:bottom w:val="nil"/>
            </w:tcBorders>
            <w:shd w:val="clear" w:color="auto" w:fill="auto"/>
            <w:noWrap/>
            <w:vAlign w:val="center"/>
          </w:tcPr>
          <w:p w:rsidR="008F5605" w:rsidRPr="00016073" w:rsidRDefault="008F5605" w:rsidP="00A40EE9">
            <w:pPr>
              <w:keepNext/>
              <w:keepLines/>
              <w:jc w:val="center"/>
              <w:rPr>
                <w:rFonts w:ascii="Arial Narrow" w:hAnsi="Arial Narrow"/>
                <w:sz w:val="20"/>
                <w:szCs w:val="20"/>
              </w:rPr>
            </w:pPr>
          </w:p>
        </w:tc>
      </w:tr>
      <w:tr w:rsidR="00016073" w:rsidRPr="007108BC" w:rsidTr="008F5605">
        <w:trPr>
          <w:trHeight w:val="20"/>
        </w:trPr>
        <w:tc>
          <w:tcPr>
            <w:tcW w:w="4353" w:type="dxa"/>
            <w:tcBorders>
              <w:top w:val="nil"/>
              <w:bottom w:val="nil"/>
            </w:tcBorders>
            <w:shd w:val="clear" w:color="auto" w:fill="auto"/>
            <w:noWrap/>
          </w:tcPr>
          <w:p w:rsidR="00016073" w:rsidRPr="007108BC" w:rsidRDefault="00016073" w:rsidP="00A40EE9">
            <w:pPr>
              <w:keepNext/>
              <w:keepLines/>
              <w:rPr>
                <w:rFonts w:ascii="Arial Narrow" w:hAnsi="Arial Narrow"/>
                <w:sz w:val="20"/>
                <w:szCs w:val="20"/>
              </w:rPr>
            </w:pPr>
            <w:r>
              <w:rPr>
                <w:rFonts w:ascii="Arial Narrow" w:hAnsi="Arial Narrow"/>
                <w:sz w:val="20"/>
                <w:szCs w:val="20"/>
              </w:rPr>
              <w:t>Incidence 2001 to 2003</w:t>
            </w:r>
          </w:p>
        </w:tc>
        <w:tc>
          <w:tcPr>
            <w:tcW w:w="1571" w:type="dxa"/>
            <w:tcBorders>
              <w:top w:val="nil"/>
              <w:bottom w:val="nil"/>
            </w:tcBorders>
            <w:shd w:val="clear" w:color="auto" w:fill="auto"/>
            <w:noWrap/>
            <w:vAlign w:val="center"/>
          </w:tcPr>
          <w:p w:rsidR="00016073" w:rsidRPr="00B64939" w:rsidRDefault="00B64939" w:rsidP="00A40EE9">
            <w:pPr>
              <w:keepNext/>
              <w:keepLines/>
              <w:jc w:val="center"/>
              <w:rPr>
                <w:rFonts w:ascii="Arial Narrow" w:hAnsi="Arial Narrow"/>
                <w:sz w:val="20"/>
                <w:szCs w:val="20"/>
              </w:rPr>
            </w:pPr>
            <w:r w:rsidRPr="00B64939">
              <w:rPr>
                <w:rFonts w:ascii="Arial Narrow" w:hAnsi="Arial Narrow"/>
                <w:sz w:val="20"/>
                <w:szCs w:val="20"/>
              </w:rPr>
              <w:t>$</w:t>
            </w:r>
            <w:r w:rsidR="00BB196F">
              <w:rPr>
                <w:rFonts w:ascii="Arial Narrow" w:hAnsi="Arial Narrow"/>
                <w:noProof/>
                <w:color w:val="000000"/>
                <w:sz w:val="20"/>
                <w:szCs w:val="20"/>
                <w:highlight w:val="black"/>
              </w:rPr>
              <w:t>''''''''''''''''''''''''''''''''</w:t>
            </w:r>
          </w:p>
        </w:tc>
        <w:tc>
          <w:tcPr>
            <w:tcW w:w="1571" w:type="dxa"/>
            <w:tcBorders>
              <w:top w:val="nil"/>
              <w:bottom w:val="nil"/>
            </w:tcBorders>
            <w:shd w:val="clear" w:color="auto" w:fill="auto"/>
            <w:noWrap/>
          </w:tcPr>
          <w:p w:rsidR="00016073" w:rsidRPr="00B64939" w:rsidRDefault="00B64939" w:rsidP="00A40EE9">
            <w:pPr>
              <w:keepNext/>
              <w:keepLines/>
              <w:jc w:val="center"/>
              <w:rPr>
                <w:rFonts w:ascii="Arial Narrow" w:hAnsi="Arial Narrow"/>
                <w:sz w:val="20"/>
                <w:szCs w:val="20"/>
              </w:rPr>
            </w:pPr>
            <w:r w:rsidRPr="00B64939">
              <w:rPr>
                <w:rFonts w:ascii="Arial Narrow" w:hAnsi="Arial Narrow"/>
                <w:sz w:val="20"/>
                <w:szCs w:val="20"/>
              </w:rPr>
              <w:t>-</w:t>
            </w:r>
            <w:r w:rsidR="00BB196F">
              <w:rPr>
                <w:rFonts w:ascii="Arial Narrow" w:hAnsi="Arial Narrow"/>
                <w:noProof/>
                <w:color w:val="000000"/>
                <w:sz w:val="20"/>
                <w:szCs w:val="20"/>
                <w:highlight w:val="black"/>
              </w:rPr>
              <w:t>'''''''''''''''</w:t>
            </w:r>
          </w:p>
        </w:tc>
        <w:tc>
          <w:tcPr>
            <w:tcW w:w="1572" w:type="dxa"/>
            <w:tcBorders>
              <w:top w:val="nil"/>
              <w:bottom w:val="nil"/>
            </w:tcBorders>
            <w:shd w:val="clear" w:color="auto" w:fill="auto"/>
            <w:noWrap/>
            <w:vAlign w:val="center"/>
          </w:tcPr>
          <w:p w:rsidR="00016073" w:rsidRPr="007108BC" w:rsidRDefault="00016073" w:rsidP="00A40EE9">
            <w:pPr>
              <w:keepNext/>
              <w:keepLines/>
              <w:jc w:val="center"/>
              <w:rPr>
                <w:rFonts w:ascii="Arial Narrow" w:hAnsi="Arial Narrow"/>
                <w:sz w:val="20"/>
                <w:szCs w:val="20"/>
              </w:rPr>
            </w:pPr>
            <w:r w:rsidRPr="00016073">
              <w:rPr>
                <w:rFonts w:ascii="Arial Narrow" w:hAnsi="Arial Narrow"/>
                <w:sz w:val="20"/>
                <w:szCs w:val="20"/>
              </w:rPr>
              <w:t>$</w:t>
            </w:r>
            <w:r w:rsidR="00BB196F">
              <w:rPr>
                <w:rFonts w:ascii="Arial Narrow" w:hAnsi="Arial Narrow"/>
                <w:noProof/>
                <w:color w:val="000000"/>
                <w:sz w:val="20"/>
                <w:szCs w:val="20"/>
                <w:highlight w:val="black"/>
              </w:rPr>
              <w:t>'''''''''''''</w:t>
            </w:r>
          </w:p>
        </w:tc>
      </w:tr>
      <w:tr w:rsidR="00DC3824" w:rsidRPr="007108BC" w:rsidTr="008F5605">
        <w:trPr>
          <w:trHeight w:val="20"/>
        </w:trPr>
        <w:tc>
          <w:tcPr>
            <w:tcW w:w="4353" w:type="dxa"/>
            <w:tcBorders>
              <w:top w:val="nil"/>
              <w:bottom w:val="nil"/>
            </w:tcBorders>
            <w:shd w:val="clear" w:color="auto" w:fill="auto"/>
            <w:noWrap/>
          </w:tcPr>
          <w:p w:rsidR="00DC3824" w:rsidRPr="007108BC" w:rsidRDefault="00DC3824" w:rsidP="00A40EE9">
            <w:pPr>
              <w:keepNext/>
              <w:keepLines/>
              <w:rPr>
                <w:rFonts w:ascii="Arial Narrow" w:hAnsi="Arial Narrow"/>
                <w:sz w:val="20"/>
                <w:szCs w:val="20"/>
              </w:rPr>
            </w:pPr>
            <w:r w:rsidRPr="007108BC">
              <w:rPr>
                <w:rFonts w:ascii="Arial Narrow" w:hAnsi="Arial Narrow"/>
                <w:sz w:val="20"/>
                <w:szCs w:val="20"/>
              </w:rPr>
              <w:t xml:space="preserve">Incidence multiplier set to </w:t>
            </w:r>
            <w:r>
              <w:rPr>
                <w:rFonts w:ascii="Arial Narrow" w:hAnsi="Arial Narrow"/>
                <w:sz w:val="20"/>
                <w:szCs w:val="20"/>
              </w:rPr>
              <w:t>2</w:t>
            </w:r>
            <w:r w:rsidRPr="00DC3824">
              <w:rPr>
                <w:rFonts w:ascii="Arial Narrow" w:hAnsi="Arial Narrow"/>
                <w:sz w:val="20"/>
                <w:szCs w:val="20"/>
                <w:vertAlign w:val="superscript"/>
              </w:rPr>
              <w:t>b</w:t>
            </w:r>
            <w:r w:rsidRPr="007108BC">
              <w:rPr>
                <w:rFonts w:ascii="Arial Narrow" w:hAnsi="Arial Narrow"/>
                <w:sz w:val="20"/>
                <w:szCs w:val="20"/>
              </w:rPr>
              <w:t xml:space="preserve"> (Men B</w:t>
            </w:r>
            <w:r>
              <w:rPr>
                <w:rFonts w:ascii="Arial Narrow" w:hAnsi="Arial Narrow"/>
                <w:sz w:val="20"/>
                <w:szCs w:val="20"/>
              </w:rPr>
              <w:t xml:space="preserve"> only)</w:t>
            </w:r>
          </w:p>
        </w:tc>
        <w:tc>
          <w:tcPr>
            <w:tcW w:w="1571" w:type="dxa"/>
            <w:tcBorders>
              <w:top w:val="nil"/>
              <w:left w:val="nil"/>
              <w:bottom w:val="nil"/>
              <w:right w:val="single" w:sz="8" w:space="0" w:color="auto"/>
            </w:tcBorders>
            <w:noWrap/>
          </w:tcPr>
          <w:p w:rsidR="00DC3824" w:rsidRPr="007108BC" w:rsidRDefault="00DC3824" w:rsidP="00A40EE9">
            <w:pPr>
              <w:keepNext/>
              <w:keepLines/>
              <w:jc w:val="center"/>
              <w:rPr>
                <w:rFonts w:ascii="Arial Narrow" w:hAnsi="Arial Narrow"/>
                <w:sz w:val="20"/>
                <w:szCs w:val="20"/>
              </w:rPr>
            </w:pPr>
            <w:r w:rsidRPr="00DC3824">
              <w:rPr>
                <w:rFonts w:ascii="Arial Narrow" w:hAnsi="Arial Narrow"/>
                <w:sz w:val="20"/>
                <w:szCs w:val="20"/>
              </w:rPr>
              <w:t>-$</w:t>
            </w:r>
            <w:r w:rsidR="00BB196F">
              <w:rPr>
                <w:rFonts w:ascii="Arial Narrow" w:hAnsi="Arial Narrow"/>
                <w:noProof/>
                <w:color w:val="000000"/>
                <w:sz w:val="20"/>
                <w:szCs w:val="20"/>
                <w:highlight w:val="black"/>
              </w:rPr>
              <w:t>'''''''''''''''''''''''''''''</w:t>
            </w:r>
          </w:p>
        </w:tc>
        <w:tc>
          <w:tcPr>
            <w:tcW w:w="1571" w:type="dxa"/>
            <w:tcBorders>
              <w:top w:val="nil"/>
              <w:left w:val="nil"/>
              <w:bottom w:val="nil"/>
              <w:right w:val="single" w:sz="8" w:space="0" w:color="auto"/>
            </w:tcBorders>
            <w:noWrap/>
          </w:tcPr>
          <w:p w:rsidR="00DC3824" w:rsidRPr="00E20227" w:rsidRDefault="00DC3824" w:rsidP="00A40EE9">
            <w:pPr>
              <w:keepNext/>
              <w:keepLines/>
              <w:jc w:val="center"/>
              <w:rPr>
                <w:rFonts w:ascii="Arial Narrow" w:hAnsi="Arial Narrow"/>
                <w:sz w:val="20"/>
                <w:szCs w:val="20"/>
              </w:rPr>
            </w:pPr>
            <w:r w:rsidRPr="00DC3824">
              <w:rPr>
                <w:rFonts w:ascii="Arial Narrow" w:hAnsi="Arial Narrow"/>
                <w:sz w:val="20"/>
                <w:szCs w:val="20"/>
              </w:rPr>
              <w:t>-</w:t>
            </w:r>
            <w:r w:rsidR="00BB196F">
              <w:rPr>
                <w:rFonts w:ascii="Arial Narrow" w:hAnsi="Arial Narrow"/>
                <w:noProof/>
                <w:color w:val="000000"/>
                <w:sz w:val="20"/>
                <w:szCs w:val="20"/>
                <w:highlight w:val="black"/>
              </w:rPr>
              <w:t>''''''''''''''''</w:t>
            </w:r>
          </w:p>
        </w:tc>
        <w:tc>
          <w:tcPr>
            <w:tcW w:w="1572" w:type="dxa"/>
            <w:tcBorders>
              <w:top w:val="nil"/>
              <w:left w:val="nil"/>
              <w:bottom w:val="nil"/>
              <w:right w:val="single" w:sz="8" w:space="0" w:color="auto"/>
            </w:tcBorders>
            <w:noWrap/>
          </w:tcPr>
          <w:p w:rsidR="00DC3824" w:rsidRPr="007108BC" w:rsidRDefault="00DC3824" w:rsidP="00A40EE9">
            <w:pPr>
              <w:keepNext/>
              <w:keepLines/>
              <w:jc w:val="center"/>
              <w:rPr>
                <w:rFonts w:ascii="Arial Narrow" w:hAnsi="Arial Narrow"/>
                <w:sz w:val="20"/>
                <w:szCs w:val="20"/>
              </w:rPr>
            </w:pPr>
            <w:r>
              <w:rPr>
                <w:rFonts w:ascii="Arial Narrow" w:hAnsi="Arial Narrow"/>
                <w:sz w:val="20"/>
                <w:szCs w:val="20"/>
              </w:rPr>
              <w:t>Dominant</w:t>
            </w:r>
          </w:p>
        </w:tc>
      </w:tr>
      <w:tr w:rsidR="00DC3824" w:rsidRPr="007108BC" w:rsidTr="008F5605">
        <w:trPr>
          <w:trHeight w:val="20"/>
        </w:trPr>
        <w:tc>
          <w:tcPr>
            <w:tcW w:w="4353" w:type="dxa"/>
            <w:tcBorders>
              <w:top w:val="nil"/>
              <w:bottom w:val="nil"/>
            </w:tcBorders>
            <w:shd w:val="clear" w:color="auto" w:fill="auto"/>
            <w:noWrap/>
          </w:tcPr>
          <w:p w:rsidR="00DC3824" w:rsidRPr="007108BC" w:rsidRDefault="00DC3824" w:rsidP="00A40EE9">
            <w:pPr>
              <w:keepNext/>
              <w:keepLines/>
              <w:rPr>
                <w:rFonts w:ascii="Arial Narrow" w:hAnsi="Arial Narrow"/>
                <w:sz w:val="20"/>
                <w:szCs w:val="20"/>
              </w:rPr>
            </w:pPr>
            <w:r w:rsidRPr="007108BC">
              <w:rPr>
                <w:rFonts w:ascii="Arial Narrow" w:hAnsi="Arial Narrow"/>
                <w:sz w:val="20"/>
                <w:szCs w:val="20"/>
              </w:rPr>
              <w:t xml:space="preserve">Incidence multiplier set to </w:t>
            </w:r>
            <w:r>
              <w:rPr>
                <w:rFonts w:ascii="Arial Narrow" w:hAnsi="Arial Narrow"/>
                <w:sz w:val="20"/>
                <w:szCs w:val="20"/>
              </w:rPr>
              <w:t>3</w:t>
            </w:r>
            <w:r w:rsidRPr="00DC3824">
              <w:rPr>
                <w:rFonts w:ascii="Arial Narrow" w:hAnsi="Arial Narrow"/>
                <w:sz w:val="20"/>
                <w:szCs w:val="20"/>
                <w:vertAlign w:val="superscript"/>
              </w:rPr>
              <w:t>c</w:t>
            </w:r>
            <w:r w:rsidRPr="007108BC">
              <w:rPr>
                <w:rFonts w:ascii="Arial Narrow" w:hAnsi="Arial Narrow"/>
                <w:sz w:val="20"/>
                <w:szCs w:val="20"/>
              </w:rPr>
              <w:t xml:space="preserve"> (Men B</w:t>
            </w:r>
            <w:r>
              <w:rPr>
                <w:rFonts w:ascii="Arial Narrow" w:hAnsi="Arial Narrow"/>
                <w:sz w:val="20"/>
                <w:szCs w:val="20"/>
              </w:rPr>
              <w:t xml:space="preserve"> only)</w:t>
            </w:r>
          </w:p>
        </w:tc>
        <w:tc>
          <w:tcPr>
            <w:tcW w:w="1571" w:type="dxa"/>
            <w:tcBorders>
              <w:top w:val="nil"/>
              <w:bottom w:val="nil"/>
            </w:tcBorders>
            <w:shd w:val="clear" w:color="auto" w:fill="auto"/>
            <w:noWrap/>
            <w:vAlign w:val="center"/>
          </w:tcPr>
          <w:p w:rsidR="00DC3824" w:rsidRPr="007108BC" w:rsidRDefault="00DC3824" w:rsidP="00A40EE9">
            <w:pPr>
              <w:keepNext/>
              <w:keepLines/>
              <w:jc w:val="center"/>
              <w:rPr>
                <w:rFonts w:ascii="Arial Narrow" w:hAnsi="Arial Narrow"/>
                <w:sz w:val="20"/>
                <w:szCs w:val="20"/>
              </w:rPr>
            </w:pPr>
            <w:r w:rsidRPr="007108BC">
              <w:rPr>
                <w:rFonts w:ascii="Arial Narrow" w:hAnsi="Arial Narrow"/>
                <w:sz w:val="20"/>
                <w:szCs w:val="20"/>
              </w:rPr>
              <w:t>-$</w:t>
            </w:r>
            <w:r w:rsidR="00BB196F">
              <w:rPr>
                <w:rFonts w:ascii="Arial Narrow" w:hAnsi="Arial Narrow"/>
                <w:noProof/>
                <w:color w:val="000000"/>
                <w:sz w:val="20"/>
                <w:szCs w:val="20"/>
                <w:highlight w:val="black"/>
              </w:rPr>
              <w:t>''''''''''''''''''''''''''''''''''''</w:t>
            </w:r>
          </w:p>
        </w:tc>
        <w:tc>
          <w:tcPr>
            <w:tcW w:w="1571" w:type="dxa"/>
            <w:tcBorders>
              <w:top w:val="nil"/>
              <w:bottom w:val="nil"/>
            </w:tcBorders>
            <w:shd w:val="clear" w:color="auto" w:fill="auto"/>
            <w:noWrap/>
            <w:vAlign w:val="center"/>
          </w:tcPr>
          <w:p w:rsidR="00DC3824" w:rsidRPr="007108BC" w:rsidRDefault="00DC3824" w:rsidP="00A40EE9">
            <w:pPr>
              <w:keepNext/>
              <w:keepLines/>
              <w:jc w:val="center"/>
              <w:rPr>
                <w:rFonts w:ascii="Arial Narrow" w:hAnsi="Arial Narrow"/>
                <w:sz w:val="20"/>
                <w:szCs w:val="20"/>
              </w:rPr>
            </w:pPr>
            <w:r w:rsidRPr="00E20227">
              <w:rPr>
                <w:rFonts w:ascii="Arial Narrow" w:hAnsi="Arial Narrow"/>
                <w:sz w:val="20"/>
                <w:szCs w:val="20"/>
              </w:rPr>
              <w:t>-</w:t>
            </w:r>
            <w:r w:rsidR="00BB196F">
              <w:rPr>
                <w:rFonts w:ascii="Arial Narrow" w:hAnsi="Arial Narrow"/>
                <w:noProof/>
                <w:color w:val="000000"/>
                <w:sz w:val="20"/>
                <w:szCs w:val="20"/>
                <w:highlight w:val="black"/>
              </w:rPr>
              <w:t>'''''''''''''''</w:t>
            </w:r>
          </w:p>
        </w:tc>
        <w:tc>
          <w:tcPr>
            <w:tcW w:w="1572" w:type="dxa"/>
            <w:tcBorders>
              <w:top w:val="nil"/>
              <w:bottom w:val="nil"/>
            </w:tcBorders>
            <w:shd w:val="clear" w:color="auto" w:fill="auto"/>
            <w:noWrap/>
            <w:vAlign w:val="center"/>
          </w:tcPr>
          <w:p w:rsidR="00DC3824" w:rsidRPr="007108BC" w:rsidRDefault="00DC3824" w:rsidP="00A40EE9">
            <w:pPr>
              <w:keepNext/>
              <w:keepLines/>
              <w:jc w:val="center"/>
              <w:rPr>
                <w:rFonts w:ascii="Arial Narrow" w:hAnsi="Arial Narrow"/>
                <w:sz w:val="20"/>
                <w:szCs w:val="20"/>
              </w:rPr>
            </w:pPr>
            <w:r w:rsidRPr="007108BC">
              <w:rPr>
                <w:rFonts w:ascii="Arial Narrow" w:hAnsi="Arial Narrow"/>
                <w:sz w:val="20"/>
                <w:szCs w:val="20"/>
              </w:rPr>
              <w:t>Dominant</w:t>
            </w:r>
          </w:p>
        </w:tc>
      </w:tr>
      <w:tr w:rsidR="00DC3824" w:rsidRPr="007108BC" w:rsidTr="008F5605">
        <w:trPr>
          <w:trHeight w:val="20"/>
        </w:trPr>
        <w:tc>
          <w:tcPr>
            <w:tcW w:w="4353" w:type="dxa"/>
            <w:tcBorders>
              <w:top w:val="nil"/>
              <w:bottom w:val="nil"/>
            </w:tcBorders>
            <w:shd w:val="clear" w:color="auto" w:fill="auto"/>
            <w:noWrap/>
          </w:tcPr>
          <w:p w:rsidR="00DC3824" w:rsidRPr="007108BC" w:rsidRDefault="000D157C" w:rsidP="00A40EE9">
            <w:pPr>
              <w:keepNext/>
              <w:keepLines/>
              <w:rPr>
                <w:rFonts w:ascii="Arial Narrow" w:hAnsi="Arial Narrow"/>
                <w:sz w:val="20"/>
                <w:szCs w:val="20"/>
              </w:rPr>
            </w:pPr>
            <w:r>
              <w:rPr>
                <w:rFonts w:ascii="Arial Narrow" w:hAnsi="Arial Narrow"/>
                <w:iCs/>
                <w:sz w:val="20"/>
                <w:szCs w:val="20"/>
              </w:rPr>
              <w:t>N</w:t>
            </w:r>
            <w:r w:rsidR="00DC3824" w:rsidRPr="002F1748">
              <w:rPr>
                <w:rFonts w:ascii="Arial Narrow" w:hAnsi="Arial Narrow"/>
                <w:iCs/>
                <w:sz w:val="20"/>
                <w:szCs w:val="20"/>
              </w:rPr>
              <w:t>o redistribution of “Not Groupable” cases to Men B</w:t>
            </w:r>
          </w:p>
        </w:tc>
        <w:tc>
          <w:tcPr>
            <w:tcW w:w="1571" w:type="dxa"/>
            <w:tcBorders>
              <w:top w:val="nil"/>
              <w:bottom w:val="nil"/>
            </w:tcBorders>
            <w:shd w:val="clear" w:color="auto" w:fill="auto"/>
            <w:noWrap/>
            <w:vAlign w:val="center"/>
          </w:tcPr>
          <w:p w:rsidR="00DC3824" w:rsidRPr="007108BC" w:rsidRDefault="00DC3824" w:rsidP="00A40EE9">
            <w:pPr>
              <w:keepNext/>
              <w:keepLines/>
              <w:jc w:val="center"/>
              <w:rPr>
                <w:rFonts w:ascii="Arial Narrow" w:hAnsi="Arial Narrow"/>
                <w:sz w:val="20"/>
                <w:szCs w:val="20"/>
              </w:rPr>
            </w:pPr>
            <w:r w:rsidRPr="002F1748">
              <w:rPr>
                <w:rFonts w:ascii="Arial Narrow" w:hAnsi="Arial Narrow"/>
                <w:iCs/>
                <w:sz w:val="20"/>
                <w:szCs w:val="20"/>
              </w:rPr>
              <w:t>$</w:t>
            </w:r>
            <w:r w:rsidR="00BB196F">
              <w:rPr>
                <w:rFonts w:ascii="Arial Narrow" w:hAnsi="Arial Narrow"/>
                <w:iCs/>
                <w:noProof/>
                <w:color w:val="000000"/>
                <w:sz w:val="20"/>
                <w:szCs w:val="20"/>
                <w:highlight w:val="black"/>
              </w:rPr>
              <w:t>''''''''''''''''''''''''''''''''''''</w:t>
            </w:r>
          </w:p>
        </w:tc>
        <w:tc>
          <w:tcPr>
            <w:tcW w:w="1571" w:type="dxa"/>
            <w:tcBorders>
              <w:top w:val="nil"/>
              <w:bottom w:val="nil"/>
            </w:tcBorders>
            <w:shd w:val="clear" w:color="auto" w:fill="auto"/>
            <w:noWrap/>
            <w:vAlign w:val="center"/>
          </w:tcPr>
          <w:p w:rsidR="00DC3824" w:rsidRPr="007108BC" w:rsidRDefault="00DC3824" w:rsidP="00A40EE9">
            <w:pPr>
              <w:keepNext/>
              <w:keepLines/>
              <w:jc w:val="center"/>
              <w:rPr>
                <w:rFonts w:ascii="Arial Narrow" w:hAnsi="Arial Narrow"/>
                <w:sz w:val="20"/>
                <w:szCs w:val="20"/>
              </w:rPr>
            </w:pPr>
            <w:r w:rsidRPr="002F1748">
              <w:rPr>
                <w:rFonts w:ascii="Arial Narrow" w:hAnsi="Arial Narrow"/>
                <w:iCs/>
                <w:sz w:val="20"/>
                <w:szCs w:val="20"/>
              </w:rPr>
              <w:t>-</w:t>
            </w:r>
            <w:r w:rsidR="00BB196F">
              <w:rPr>
                <w:rFonts w:ascii="Arial Narrow" w:hAnsi="Arial Narrow"/>
                <w:iCs/>
                <w:noProof/>
                <w:color w:val="000000"/>
                <w:sz w:val="20"/>
                <w:szCs w:val="20"/>
                <w:highlight w:val="black"/>
              </w:rPr>
              <w:t>'''''''''''''''</w:t>
            </w:r>
          </w:p>
        </w:tc>
        <w:tc>
          <w:tcPr>
            <w:tcW w:w="1572" w:type="dxa"/>
            <w:tcBorders>
              <w:top w:val="nil"/>
              <w:bottom w:val="nil"/>
            </w:tcBorders>
            <w:shd w:val="clear" w:color="auto" w:fill="auto"/>
            <w:noWrap/>
            <w:vAlign w:val="center"/>
          </w:tcPr>
          <w:p w:rsidR="00DC3824" w:rsidRPr="007108BC" w:rsidRDefault="00DC3824" w:rsidP="00A40EE9">
            <w:pPr>
              <w:keepNext/>
              <w:keepLines/>
              <w:jc w:val="center"/>
              <w:rPr>
                <w:rFonts w:ascii="Arial Narrow" w:hAnsi="Arial Narrow"/>
                <w:sz w:val="20"/>
                <w:szCs w:val="20"/>
              </w:rPr>
            </w:pPr>
            <w:r w:rsidRPr="002F1748">
              <w:rPr>
                <w:rFonts w:ascii="Arial Narrow" w:hAnsi="Arial Narrow"/>
                <w:iCs/>
                <w:sz w:val="20"/>
                <w:szCs w:val="20"/>
              </w:rPr>
              <w:t>$</w:t>
            </w:r>
            <w:r w:rsidR="00BB196F">
              <w:rPr>
                <w:rFonts w:ascii="Arial Narrow" w:hAnsi="Arial Narrow"/>
                <w:iCs/>
                <w:noProof/>
                <w:color w:val="000000"/>
                <w:sz w:val="20"/>
                <w:szCs w:val="20"/>
                <w:highlight w:val="black"/>
              </w:rPr>
              <w:t>''''''''''''''''</w:t>
            </w:r>
          </w:p>
        </w:tc>
      </w:tr>
      <w:tr w:rsidR="00DC3824" w:rsidRPr="007108BC" w:rsidTr="008F5605">
        <w:trPr>
          <w:trHeight w:val="20"/>
        </w:trPr>
        <w:tc>
          <w:tcPr>
            <w:tcW w:w="4353" w:type="dxa"/>
            <w:tcBorders>
              <w:top w:val="nil"/>
            </w:tcBorders>
            <w:shd w:val="clear" w:color="auto" w:fill="auto"/>
            <w:noWrap/>
          </w:tcPr>
          <w:p w:rsidR="00DC3824" w:rsidRPr="007108BC" w:rsidRDefault="000D157C" w:rsidP="00A40EE9">
            <w:pPr>
              <w:keepNext/>
              <w:keepLines/>
              <w:rPr>
                <w:rFonts w:ascii="Arial Narrow" w:hAnsi="Arial Narrow"/>
                <w:sz w:val="20"/>
                <w:szCs w:val="20"/>
              </w:rPr>
            </w:pPr>
            <w:r>
              <w:rPr>
                <w:rFonts w:ascii="Arial Narrow" w:hAnsi="Arial Narrow"/>
                <w:iCs/>
                <w:sz w:val="20"/>
                <w:szCs w:val="20"/>
              </w:rPr>
              <w:t>I</w:t>
            </w:r>
            <w:r w:rsidR="00DC3824" w:rsidRPr="002F1748">
              <w:rPr>
                <w:rFonts w:ascii="Arial Narrow" w:hAnsi="Arial Narrow"/>
                <w:iCs/>
                <w:sz w:val="20"/>
                <w:szCs w:val="20"/>
              </w:rPr>
              <w:t xml:space="preserve">ncidence 2010-2017 </w:t>
            </w:r>
          </w:p>
        </w:tc>
        <w:tc>
          <w:tcPr>
            <w:tcW w:w="1571" w:type="dxa"/>
            <w:tcBorders>
              <w:top w:val="nil"/>
            </w:tcBorders>
            <w:shd w:val="clear" w:color="auto" w:fill="auto"/>
            <w:noWrap/>
          </w:tcPr>
          <w:p w:rsidR="00DC3824" w:rsidRPr="007108BC" w:rsidRDefault="00DC3824" w:rsidP="00A40EE9">
            <w:pPr>
              <w:keepNext/>
              <w:keepLines/>
              <w:jc w:val="center"/>
              <w:rPr>
                <w:rFonts w:ascii="Arial Narrow" w:hAnsi="Arial Narrow"/>
                <w:sz w:val="20"/>
                <w:szCs w:val="20"/>
              </w:rPr>
            </w:pPr>
            <w:r w:rsidRPr="002F1748">
              <w:rPr>
                <w:rFonts w:ascii="Arial Narrow" w:hAnsi="Arial Narrow"/>
                <w:iCs/>
                <w:sz w:val="20"/>
                <w:szCs w:val="20"/>
              </w:rPr>
              <w:t>$</w:t>
            </w:r>
            <w:r w:rsidR="00BB196F">
              <w:rPr>
                <w:rFonts w:ascii="Arial Narrow" w:hAnsi="Arial Narrow"/>
                <w:iCs/>
                <w:noProof/>
                <w:color w:val="000000"/>
                <w:sz w:val="20"/>
                <w:szCs w:val="20"/>
                <w:highlight w:val="black"/>
              </w:rPr>
              <w:t>''''''''''''''''''''''''''''''''</w:t>
            </w:r>
          </w:p>
        </w:tc>
        <w:tc>
          <w:tcPr>
            <w:tcW w:w="1571" w:type="dxa"/>
            <w:tcBorders>
              <w:top w:val="nil"/>
            </w:tcBorders>
            <w:shd w:val="clear" w:color="auto" w:fill="auto"/>
            <w:noWrap/>
          </w:tcPr>
          <w:p w:rsidR="00DC3824" w:rsidRPr="007108BC" w:rsidRDefault="00DC3824" w:rsidP="00A40EE9">
            <w:pPr>
              <w:keepNext/>
              <w:keepLines/>
              <w:jc w:val="center"/>
              <w:rPr>
                <w:rFonts w:ascii="Arial Narrow" w:hAnsi="Arial Narrow"/>
                <w:sz w:val="20"/>
                <w:szCs w:val="20"/>
              </w:rPr>
            </w:pPr>
            <w:r w:rsidRPr="002F1748">
              <w:rPr>
                <w:rFonts w:ascii="Arial Narrow" w:hAnsi="Arial Narrow"/>
                <w:iCs/>
                <w:sz w:val="20"/>
                <w:szCs w:val="20"/>
              </w:rPr>
              <w:t>-</w:t>
            </w:r>
            <w:r w:rsidR="00BB196F">
              <w:rPr>
                <w:rFonts w:ascii="Arial Narrow" w:hAnsi="Arial Narrow"/>
                <w:iCs/>
                <w:noProof/>
                <w:color w:val="000000"/>
                <w:sz w:val="20"/>
                <w:szCs w:val="20"/>
                <w:highlight w:val="black"/>
              </w:rPr>
              <w:t>''''''''''''''''</w:t>
            </w:r>
          </w:p>
        </w:tc>
        <w:tc>
          <w:tcPr>
            <w:tcW w:w="1572" w:type="dxa"/>
            <w:tcBorders>
              <w:top w:val="nil"/>
            </w:tcBorders>
            <w:shd w:val="clear" w:color="auto" w:fill="auto"/>
            <w:noWrap/>
          </w:tcPr>
          <w:p w:rsidR="00DC3824" w:rsidRPr="007108BC" w:rsidRDefault="00DC3824" w:rsidP="00A40EE9">
            <w:pPr>
              <w:keepNext/>
              <w:keepLines/>
              <w:jc w:val="center"/>
              <w:rPr>
                <w:rFonts w:ascii="Arial Narrow" w:hAnsi="Arial Narrow"/>
                <w:sz w:val="20"/>
                <w:szCs w:val="20"/>
              </w:rPr>
            </w:pPr>
            <w:r w:rsidRPr="002F1748">
              <w:rPr>
                <w:rFonts w:ascii="Arial Narrow" w:hAnsi="Arial Narrow"/>
                <w:iCs/>
                <w:sz w:val="20"/>
                <w:szCs w:val="20"/>
              </w:rPr>
              <w:t>$</w:t>
            </w:r>
            <w:r w:rsidR="00BB196F">
              <w:rPr>
                <w:rFonts w:ascii="Arial Narrow" w:hAnsi="Arial Narrow"/>
                <w:iCs/>
                <w:noProof/>
                <w:color w:val="000000"/>
                <w:sz w:val="20"/>
                <w:szCs w:val="20"/>
                <w:highlight w:val="black"/>
              </w:rPr>
              <w:t>'''''''''''''''''''''</w:t>
            </w:r>
          </w:p>
        </w:tc>
      </w:tr>
      <w:tr w:rsidR="00DC3824" w:rsidRPr="007108BC" w:rsidTr="00A1151E">
        <w:trPr>
          <w:trHeight w:val="20"/>
        </w:trPr>
        <w:tc>
          <w:tcPr>
            <w:tcW w:w="4353" w:type="dxa"/>
            <w:shd w:val="clear" w:color="auto" w:fill="auto"/>
            <w:noWrap/>
            <w:hideMark/>
          </w:tcPr>
          <w:p w:rsidR="00DC3824" w:rsidRPr="007108BC" w:rsidRDefault="00DC3824" w:rsidP="00A40EE9">
            <w:pPr>
              <w:keepNext/>
              <w:keepLines/>
              <w:rPr>
                <w:rFonts w:ascii="Arial Narrow" w:hAnsi="Arial Narrow"/>
                <w:sz w:val="20"/>
                <w:szCs w:val="20"/>
              </w:rPr>
            </w:pPr>
            <w:r w:rsidRPr="007108BC">
              <w:rPr>
                <w:rFonts w:ascii="Arial Narrow" w:hAnsi="Arial Narrow"/>
                <w:sz w:val="20"/>
                <w:szCs w:val="20"/>
              </w:rPr>
              <w:t>Cross-protection against non-Men B strains</w:t>
            </w:r>
            <w:r>
              <w:rPr>
                <w:rFonts w:ascii="Arial Narrow" w:hAnsi="Arial Narrow"/>
                <w:sz w:val="20"/>
                <w:szCs w:val="20"/>
                <w:vertAlign w:val="superscript"/>
              </w:rPr>
              <w:t>d</w:t>
            </w:r>
          </w:p>
        </w:tc>
        <w:tc>
          <w:tcPr>
            <w:tcW w:w="1571" w:type="dxa"/>
            <w:shd w:val="clear" w:color="auto" w:fill="auto"/>
            <w:noWrap/>
            <w:vAlign w:val="center"/>
            <w:hideMark/>
          </w:tcPr>
          <w:p w:rsidR="00DC3824" w:rsidRPr="007108BC" w:rsidRDefault="00DC3824" w:rsidP="00A40EE9">
            <w:pPr>
              <w:keepNext/>
              <w:keepLines/>
              <w:jc w:val="center"/>
              <w:rPr>
                <w:rFonts w:ascii="Arial Narrow" w:hAnsi="Arial Narrow"/>
                <w:sz w:val="20"/>
                <w:szCs w:val="20"/>
              </w:rPr>
            </w:pPr>
            <w:r w:rsidRPr="007108BC">
              <w:rPr>
                <w:rFonts w:ascii="Arial Narrow" w:hAnsi="Arial Narrow"/>
                <w:sz w:val="20"/>
                <w:szCs w:val="20"/>
              </w:rPr>
              <w:t>$</w:t>
            </w:r>
            <w:r w:rsidR="00BB196F">
              <w:rPr>
                <w:rFonts w:ascii="Arial Narrow" w:hAnsi="Arial Narrow"/>
                <w:noProof/>
                <w:color w:val="000000"/>
                <w:sz w:val="20"/>
                <w:szCs w:val="20"/>
                <w:highlight w:val="black"/>
              </w:rPr>
              <w:t>'''''''''''''''''''''''''''</w:t>
            </w:r>
          </w:p>
        </w:tc>
        <w:tc>
          <w:tcPr>
            <w:tcW w:w="1571" w:type="dxa"/>
            <w:shd w:val="clear" w:color="auto" w:fill="auto"/>
            <w:noWrap/>
            <w:vAlign w:val="center"/>
            <w:hideMark/>
          </w:tcPr>
          <w:p w:rsidR="00DC3824" w:rsidRPr="007108BC" w:rsidRDefault="00DC3824" w:rsidP="00A40EE9">
            <w:pPr>
              <w:keepNext/>
              <w:keepLines/>
              <w:jc w:val="center"/>
              <w:rPr>
                <w:rFonts w:ascii="Arial Narrow" w:hAnsi="Arial Narrow"/>
                <w:sz w:val="20"/>
                <w:szCs w:val="20"/>
              </w:rPr>
            </w:pPr>
            <w:r w:rsidRPr="007108BC">
              <w:rPr>
                <w:rFonts w:ascii="Arial Narrow" w:hAnsi="Arial Narrow"/>
                <w:sz w:val="20"/>
                <w:szCs w:val="20"/>
              </w:rPr>
              <w:t>-</w:t>
            </w:r>
            <w:r w:rsidR="00BB196F">
              <w:rPr>
                <w:rFonts w:ascii="Arial Narrow" w:hAnsi="Arial Narrow"/>
                <w:noProof/>
                <w:color w:val="000000"/>
                <w:sz w:val="20"/>
                <w:szCs w:val="20"/>
                <w:highlight w:val="black"/>
              </w:rPr>
              <w:t>'''''''''''''''</w:t>
            </w:r>
          </w:p>
        </w:tc>
        <w:tc>
          <w:tcPr>
            <w:tcW w:w="1572" w:type="dxa"/>
            <w:shd w:val="clear" w:color="auto" w:fill="auto"/>
            <w:noWrap/>
            <w:vAlign w:val="center"/>
            <w:hideMark/>
          </w:tcPr>
          <w:p w:rsidR="00DC3824" w:rsidRPr="007108BC" w:rsidRDefault="00DC3824" w:rsidP="00A40EE9">
            <w:pPr>
              <w:keepNext/>
              <w:keepLines/>
              <w:jc w:val="center"/>
              <w:rPr>
                <w:rFonts w:ascii="Arial Narrow" w:hAnsi="Arial Narrow"/>
                <w:sz w:val="20"/>
                <w:szCs w:val="20"/>
              </w:rPr>
            </w:pPr>
            <w:r w:rsidRPr="007108BC">
              <w:rPr>
                <w:rFonts w:ascii="Arial Narrow" w:hAnsi="Arial Narrow"/>
                <w:sz w:val="20"/>
                <w:szCs w:val="20"/>
              </w:rPr>
              <w:t>$</w:t>
            </w:r>
            <w:r w:rsidR="00BB196F">
              <w:rPr>
                <w:rFonts w:ascii="Arial Narrow" w:hAnsi="Arial Narrow"/>
                <w:noProof/>
                <w:color w:val="000000"/>
                <w:sz w:val="20"/>
                <w:szCs w:val="20"/>
                <w:highlight w:val="black"/>
              </w:rPr>
              <w:t>'''''''''''''</w:t>
            </w:r>
          </w:p>
        </w:tc>
      </w:tr>
      <w:tr w:rsidR="00DC3824" w:rsidRPr="00D51D60" w:rsidTr="00A1151E">
        <w:trPr>
          <w:trHeight w:val="20"/>
        </w:trPr>
        <w:tc>
          <w:tcPr>
            <w:tcW w:w="4353" w:type="dxa"/>
            <w:shd w:val="clear" w:color="auto" w:fill="auto"/>
            <w:noWrap/>
            <w:hideMark/>
          </w:tcPr>
          <w:p w:rsidR="00DC3824" w:rsidRPr="002F1748" w:rsidRDefault="00DC3824" w:rsidP="00A40EE9">
            <w:pPr>
              <w:keepNext/>
              <w:keepLines/>
              <w:rPr>
                <w:rFonts w:ascii="Arial Narrow" w:hAnsi="Arial Narrow"/>
                <w:iCs/>
                <w:sz w:val="20"/>
                <w:szCs w:val="20"/>
              </w:rPr>
            </w:pPr>
            <w:r w:rsidRPr="002F1748">
              <w:rPr>
                <w:rFonts w:ascii="Arial Narrow" w:hAnsi="Arial Narrow"/>
                <w:iCs/>
                <w:sz w:val="20"/>
                <w:szCs w:val="20"/>
              </w:rPr>
              <w:t>Herd immunity against Men B 12.6%</w:t>
            </w:r>
          </w:p>
        </w:tc>
        <w:tc>
          <w:tcPr>
            <w:tcW w:w="1571" w:type="dxa"/>
            <w:shd w:val="clear" w:color="auto" w:fill="auto"/>
            <w:noWrap/>
            <w:vAlign w:val="center"/>
            <w:hideMark/>
          </w:tcPr>
          <w:p w:rsidR="00DC3824" w:rsidRPr="002F1748" w:rsidRDefault="00DC3824" w:rsidP="00A40EE9">
            <w:pPr>
              <w:keepNext/>
              <w:keepLines/>
              <w:jc w:val="center"/>
              <w:rPr>
                <w:rFonts w:ascii="Arial Narrow" w:hAnsi="Arial Narrow"/>
                <w:iCs/>
                <w:sz w:val="20"/>
                <w:szCs w:val="20"/>
              </w:rPr>
            </w:pPr>
            <w:r w:rsidRPr="002F1748">
              <w:rPr>
                <w:rFonts w:ascii="Arial Narrow" w:hAnsi="Arial Narrow"/>
                <w:iCs/>
                <w:sz w:val="20"/>
                <w:szCs w:val="20"/>
              </w:rPr>
              <w:t>-$</w:t>
            </w:r>
            <w:r w:rsidR="00BB196F">
              <w:rPr>
                <w:rFonts w:ascii="Arial Narrow" w:hAnsi="Arial Narrow"/>
                <w:iCs/>
                <w:noProof/>
                <w:color w:val="000000"/>
                <w:sz w:val="20"/>
                <w:szCs w:val="20"/>
                <w:highlight w:val="black"/>
              </w:rPr>
              <w:t>''''''''''''''''''''''''''''''</w:t>
            </w:r>
          </w:p>
        </w:tc>
        <w:tc>
          <w:tcPr>
            <w:tcW w:w="1571" w:type="dxa"/>
            <w:shd w:val="clear" w:color="auto" w:fill="auto"/>
            <w:noWrap/>
            <w:vAlign w:val="center"/>
            <w:hideMark/>
          </w:tcPr>
          <w:p w:rsidR="00DC3824" w:rsidRPr="002F1748" w:rsidRDefault="00DC3824" w:rsidP="00A40EE9">
            <w:pPr>
              <w:keepNext/>
              <w:keepLines/>
              <w:jc w:val="center"/>
              <w:rPr>
                <w:rFonts w:ascii="Arial Narrow" w:hAnsi="Arial Narrow"/>
                <w:iCs/>
                <w:sz w:val="20"/>
                <w:szCs w:val="20"/>
              </w:rPr>
            </w:pPr>
            <w:r w:rsidRPr="002F1748">
              <w:rPr>
                <w:rFonts w:ascii="Arial Narrow" w:hAnsi="Arial Narrow"/>
                <w:iCs/>
                <w:sz w:val="20"/>
                <w:szCs w:val="20"/>
              </w:rPr>
              <w:t>-</w:t>
            </w:r>
            <w:r w:rsidR="00BB196F">
              <w:rPr>
                <w:rFonts w:ascii="Arial Narrow" w:hAnsi="Arial Narrow"/>
                <w:iCs/>
                <w:noProof/>
                <w:color w:val="000000"/>
                <w:sz w:val="20"/>
                <w:szCs w:val="20"/>
                <w:highlight w:val="black"/>
              </w:rPr>
              <w:t>'''''''''''''''''</w:t>
            </w:r>
          </w:p>
        </w:tc>
        <w:tc>
          <w:tcPr>
            <w:tcW w:w="1572" w:type="dxa"/>
            <w:shd w:val="clear" w:color="auto" w:fill="auto"/>
            <w:noWrap/>
            <w:vAlign w:val="center"/>
            <w:hideMark/>
          </w:tcPr>
          <w:p w:rsidR="00DC3824" w:rsidRPr="002F1748" w:rsidRDefault="00DC3824" w:rsidP="00A40EE9">
            <w:pPr>
              <w:keepNext/>
              <w:keepLines/>
              <w:jc w:val="center"/>
              <w:rPr>
                <w:rFonts w:ascii="Arial Narrow" w:hAnsi="Arial Narrow"/>
                <w:iCs/>
                <w:sz w:val="20"/>
                <w:szCs w:val="20"/>
              </w:rPr>
            </w:pPr>
            <w:r w:rsidRPr="002F1748">
              <w:rPr>
                <w:rFonts w:ascii="Arial Narrow" w:hAnsi="Arial Narrow"/>
                <w:iCs/>
                <w:sz w:val="20"/>
                <w:szCs w:val="20"/>
              </w:rPr>
              <w:t>Dominant</w:t>
            </w:r>
          </w:p>
        </w:tc>
      </w:tr>
      <w:tr w:rsidR="00DC3824" w:rsidRPr="007108BC" w:rsidTr="00A1151E">
        <w:trPr>
          <w:trHeight w:val="20"/>
        </w:trPr>
        <w:tc>
          <w:tcPr>
            <w:tcW w:w="4353" w:type="dxa"/>
            <w:shd w:val="clear" w:color="auto" w:fill="auto"/>
            <w:noWrap/>
            <w:hideMark/>
          </w:tcPr>
          <w:p w:rsidR="00DC3824" w:rsidRPr="007108BC" w:rsidRDefault="00DC3824" w:rsidP="00A40EE9">
            <w:pPr>
              <w:keepNext/>
              <w:keepLines/>
              <w:rPr>
                <w:rFonts w:ascii="Arial Narrow" w:hAnsi="Arial Narrow"/>
                <w:sz w:val="20"/>
                <w:szCs w:val="20"/>
              </w:rPr>
            </w:pPr>
            <w:r w:rsidRPr="007108BC">
              <w:rPr>
                <w:rFonts w:ascii="Arial Narrow" w:hAnsi="Arial Narrow"/>
                <w:sz w:val="20"/>
                <w:szCs w:val="20"/>
              </w:rPr>
              <w:t>Productivity losses excluded</w:t>
            </w:r>
          </w:p>
        </w:tc>
        <w:tc>
          <w:tcPr>
            <w:tcW w:w="1571" w:type="dxa"/>
            <w:shd w:val="clear" w:color="auto" w:fill="auto"/>
            <w:noWrap/>
            <w:vAlign w:val="center"/>
            <w:hideMark/>
          </w:tcPr>
          <w:p w:rsidR="00DC3824" w:rsidRPr="007108BC" w:rsidRDefault="00DC3824" w:rsidP="00A40EE9">
            <w:pPr>
              <w:keepNext/>
              <w:keepLines/>
              <w:jc w:val="center"/>
              <w:rPr>
                <w:rFonts w:ascii="Arial Narrow" w:hAnsi="Arial Narrow"/>
                <w:sz w:val="20"/>
                <w:szCs w:val="20"/>
              </w:rPr>
            </w:pPr>
            <w:r w:rsidRPr="007108BC">
              <w:rPr>
                <w:rFonts w:ascii="Arial Narrow" w:hAnsi="Arial Narrow"/>
                <w:sz w:val="20"/>
                <w:szCs w:val="20"/>
              </w:rPr>
              <w:t>$</w:t>
            </w:r>
            <w:r w:rsidR="00BB196F">
              <w:rPr>
                <w:rFonts w:ascii="Arial Narrow" w:hAnsi="Arial Narrow"/>
                <w:noProof/>
                <w:color w:val="000000"/>
                <w:sz w:val="20"/>
                <w:szCs w:val="20"/>
                <w:highlight w:val="black"/>
              </w:rPr>
              <w:t>'''''''''''''''''''''''''''''''''''</w:t>
            </w:r>
          </w:p>
        </w:tc>
        <w:tc>
          <w:tcPr>
            <w:tcW w:w="1571" w:type="dxa"/>
            <w:shd w:val="clear" w:color="auto" w:fill="auto"/>
            <w:noWrap/>
            <w:vAlign w:val="center"/>
            <w:hideMark/>
          </w:tcPr>
          <w:p w:rsidR="00DC3824" w:rsidRPr="007108BC" w:rsidRDefault="00DC3824" w:rsidP="00A40EE9">
            <w:pPr>
              <w:keepNext/>
              <w:keepLines/>
              <w:jc w:val="center"/>
              <w:rPr>
                <w:rFonts w:ascii="Arial Narrow" w:hAnsi="Arial Narrow"/>
                <w:sz w:val="20"/>
                <w:szCs w:val="20"/>
              </w:rPr>
            </w:pPr>
            <w:r w:rsidRPr="007108BC">
              <w:rPr>
                <w:rFonts w:ascii="Arial Narrow" w:hAnsi="Arial Narrow"/>
                <w:sz w:val="20"/>
                <w:szCs w:val="20"/>
              </w:rPr>
              <w:t>-</w:t>
            </w:r>
            <w:r w:rsidR="00BB196F">
              <w:rPr>
                <w:rFonts w:ascii="Arial Narrow" w:hAnsi="Arial Narrow"/>
                <w:noProof/>
                <w:color w:val="000000"/>
                <w:sz w:val="20"/>
                <w:szCs w:val="20"/>
                <w:highlight w:val="black"/>
              </w:rPr>
              <w:t>''''''''''''''''</w:t>
            </w:r>
          </w:p>
        </w:tc>
        <w:tc>
          <w:tcPr>
            <w:tcW w:w="1572" w:type="dxa"/>
            <w:shd w:val="clear" w:color="auto" w:fill="auto"/>
            <w:noWrap/>
            <w:vAlign w:val="center"/>
            <w:hideMark/>
          </w:tcPr>
          <w:p w:rsidR="00DC3824" w:rsidRPr="007108BC" w:rsidRDefault="00DC3824" w:rsidP="00A40EE9">
            <w:pPr>
              <w:keepNext/>
              <w:keepLines/>
              <w:jc w:val="center"/>
              <w:rPr>
                <w:rFonts w:ascii="Arial Narrow" w:hAnsi="Arial Narrow"/>
                <w:sz w:val="20"/>
                <w:szCs w:val="20"/>
              </w:rPr>
            </w:pPr>
            <w:r w:rsidRPr="007108BC">
              <w:rPr>
                <w:rFonts w:ascii="Arial Narrow" w:hAnsi="Arial Narrow"/>
                <w:sz w:val="20"/>
                <w:szCs w:val="20"/>
              </w:rPr>
              <w:t>$</w:t>
            </w:r>
            <w:r w:rsidR="00BB196F">
              <w:rPr>
                <w:rFonts w:ascii="Arial Narrow" w:hAnsi="Arial Narrow"/>
                <w:noProof/>
                <w:color w:val="000000"/>
                <w:sz w:val="20"/>
                <w:szCs w:val="20"/>
                <w:highlight w:val="black"/>
              </w:rPr>
              <w:t>''''''''''''''''</w:t>
            </w:r>
          </w:p>
        </w:tc>
      </w:tr>
      <w:tr w:rsidR="00DC3824" w:rsidRPr="007108BC" w:rsidTr="00A1151E">
        <w:trPr>
          <w:trHeight w:val="20"/>
        </w:trPr>
        <w:tc>
          <w:tcPr>
            <w:tcW w:w="4353" w:type="dxa"/>
            <w:shd w:val="clear" w:color="auto" w:fill="auto"/>
            <w:noWrap/>
            <w:hideMark/>
          </w:tcPr>
          <w:p w:rsidR="00DC3824" w:rsidRPr="007108BC" w:rsidRDefault="00DC3824" w:rsidP="00A40EE9">
            <w:pPr>
              <w:keepNext/>
              <w:keepLines/>
              <w:rPr>
                <w:rFonts w:ascii="Arial Narrow" w:hAnsi="Arial Narrow"/>
                <w:sz w:val="20"/>
                <w:szCs w:val="20"/>
              </w:rPr>
            </w:pPr>
            <w:r w:rsidRPr="007108BC">
              <w:rPr>
                <w:rFonts w:ascii="Arial Narrow" w:hAnsi="Arial Narrow"/>
                <w:sz w:val="20"/>
                <w:szCs w:val="20"/>
              </w:rPr>
              <w:t>Discount rate 5%</w:t>
            </w:r>
          </w:p>
        </w:tc>
        <w:tc>
          <w:tcPr>
            <w:tcW w:w="1571" w:type="dxa"/>
            <w:shd w:val="clear" w:color="auto" w:fill="auto"/>
            <w:noWrap/>
            <w:vAlign w:val="center"/>
            <w:hideMark/>
          </w:tcPr>
          <w:p w:rsidR="00DC3824" w:rsidRPr="007108BC" w:rsidRDefault="00DC3824" w:rsidP="00A40EE9">
            <w:pPr>
              <w:keepNext/>
              <w:keepLines/>
              <w:jc w:val="center"/>
              <w:rPr>
                <w:rFonts w:ascii="Arial Narrow" w:hAnsi="Arial Narrow"/>
                <w:sz w:val="20"/>
                <w:szCs w:val="20"/>
              </w:rPr>
            </w:pPr>
            <w:r w:rsidRPr="007108BC">
              <w:rPr>
                <w:rFonts w:ascii="Arial Narrow" w:hAnsi="Arial Narrow"/>
                <w:sz w:val="20"/>
                <w:szCs w:val="20"/>
              </w:rPr>
              <w:t>$</w:t>
            </w:r>
            <w:r w:rsidR="00BB196F">
              <w:rPr>
                <w:rFonts w:ascii="Arial Narrow" w:hAnsi="Arial Narrow"/>
                <w:noProof/>
                <w:color w:val="000000"/>
                <w:sz w:val="20"/>
                <w:szCs w:val="20"/>
                <w:highlight w:val="black"/>
              </w:rPr>
              <w:t>'''''''''''''''''''''''''''''''</w:t>
            </w:r>
          </w:p>
        </w:tc>
        <w:tc>
          <w:tcPr>
            <w:tcW w:w="1571" w:type="dxa"/>
            <w:shd w:val="clear" w:color="auto" w:fill="auto"/>
            <w:noWrap/>
            <w:vAlign w:val="center"/>
            <w:hideMark/>
          </w:tcPr>
          <w:p w:rsidR="00DC3824" w:rsidRPr="007108BC" w:rsidRDefault="00DC3824" w:rsidP="00A40EE9">
            <w:pPr>
              <w:keepNext/>
              <w:keepLines/>
              <w:jc w:val="center"/>
              <w:rPr>
                <w:rFonts w:ascii="Arial Narrow" w:hAnsi="Arial Narrow"/>
                <w:sz w:val="20"/>
                <w:szCs w:val="20"/>
              </w:rPr>
            </w:pPr>
            <w:r w:rsidRPr="007108BC">
              <w:rPr>
                <w:rFonts w:ascii="Arial Narrow" w:hAnsi="Arial Narrow"/>
                <w:sz w:val="20"/>
                <w:szCs w:val="20"/>
              </w:rPr>
              <w:t>-</w:t>
            </w:r>
            <w:r w:rsidR="00BB196F">
              <w:rPr>
                <w:rFonts w:ascii="Arial Narrow" w:hAnsi="Arial Narrow"/>
                <w:noProof/>
                <w:color w:val="000000"/>
                <w:sz w:val="20"/>
                <w:szCs w:val="20"/>
                <w:highlight w:val="black"/>
              </w:rPr>
              <w:t>'''''''''''''''''</w:t>
            </w:r>
          </w:p>
        </w:tc>
        <w:tc>
          <w:tcPr>
            <w:tcW w:w="1572" w:type="dxa"/>
            <w:shd w:val="clear" w:color="auto" w:fill="auto"/>
            <w:noWrap/>
            <w:vAlign w:val="center"/>
            <w:hideMark/>
          </w:tcPr>
          <w:p w:rsidR="00DC3824" w:rsidRPr="007108BC" w:rsidRDefault="00DC3824" w:rsidP="00A40EE9">
            <w:pPr>
              <w:keepNext/>
              <w:keepLines/>
              <w:jc w:val="center"/>
              <w:rPr>
                <w:rFonts w:ascii="Arial Narrow" w:hAnsi="Arial Narrow"/>
                <w:sz w:val="20"/>
                <w:szCs w:val="20"/>
              </w:rPr>
            </w:pPr>
            <w:r w:rsidRPr="007108BC">
              <w:rPr>
                <w:rFonts w:ascii="Arial Narrow" w:hAnsi="Arial Narrow"/>
                <w:sz w:val="20"/>
                <w:szCs w:val="20"/>
              </w:rPr>
              <w:t>$</w:t>
            </w:r>
            <w:r w:rsidR="00BB196F">
              <w:rPr>
                <w:rFonts w:ascii="Arial Narrow" w:hAnsi="Arial Narrow"/>
                <w:noProof/>
                <w:color w:val="000000"/>
                <w:sz w:val="20"/>
                <w:szCs w:val="20"/>
                <w:highlight w:val="black"/>
              </w:rPr>
              <w:t>''''''''''''''''''</w:t>
            </w:r>
          </w:p>
        </w:tc>
      </w:tr>
      <w:tr w:rsidR="00DC3824" w:rsidRPr="007108BC" w:rsidTr="008F5605">
        <w:trPr>
          <w:trHeight w:val="20"/>
        </w:trPr>
        <w:tc>
          <w:tcPr>
            <w:tcW w:w="4353" w:type="dxa"/>
            <w:tcBorders>
              <w:bottom w:val="single" w:sz="4" w:space="0" w:color="auto"/>
            </w:tcBorders>
            <w:shd w:val="clear" w:color="auto" w:fill="auto"/>
            <w:noWrap/>
          </w:tcPr>
          <w:p w:rsidR="00DC3824" w:rsidRPr="007108BC" w:rsidRDefault="00DC3824" w:rsidP="00A40EE9">
            <w:pPr>
              <w:keepNext/>
              <w:keepLines/>
              <w:rPr>
                <w:rFonts w:ascii="Arial Narrow" w:hAnsi="Arial Narrow"/>
                <w:sz w:val="20"/>
                <w:szCs w:val="20"/>
              </w:rPr>
            </w:pPr>
            <w:r w:rsidRPr="007108BC">
              <w:rPr>
                <w:rFonts w:ascii="Arial Narrow" w:hAnsi="Arial Narrow"/>
                <w:sz w:val="20"/>
                <w:szCs w:val="20"/>
              </w:rPr>
              <w:t xml:space="preserve">No QAF </w:t>
            </w:r>
          </w:p>
        </w:tc>
        <w:tc>
          <w:tcPr>
            <w:tcW w:w="1571" w:type="dxa"/>
            <w:tcBorders>
              <w:bottom w:val="single" w:sz="4" w:space="0" w:color="auto"/>
            </w:tcBorders>
            <w:shd w:val="clear" w:color="auto" w:fill="auto"/>
            <w:noWrap/>
            <w:vAlign w:val="center"/>
          </w:tcPr>
          <w:p w:rsidR="00DC3824" w:rsidRPr="007108BC" w:rsidRDefault="00DC3824" w:rsidP="00A40EE9">
            <w:pPr>
              <w:keepNext/>
              <w:keepLines/>
              <w:jc w:val="center"/>
              <w:rPr>
                <w:rFonts w:ascii="Arial Narrow" w:hAnsi="Arial Narrow"/>
                <w:sz w:val="20"/>
                <w:szCs w:val="20"/>
              </w:rPr>
            </w:pPr>
            <w:r w:rsidRPr="007108BC">
              <w:rPr>
                <w:rFonts w:ascii="Arial Narrow" w:hAnsi="Arial Narrow"/>
                <w:sz w:val="20"/>
                <w:szCs w:val="20"/>
              </w:rPr>
              <w:t>$</w:t>
            </w:r>
            <w:r w:rsidR="00BB196F">
              <w:rPr>
                <w:rFonts w:ascii="Arial Narrow" w:hAnsi="Arial Narrow"/>
                <w:noProof/>
                <w:color w:val="000000"/>
                <w:sz w:val="20"/>
                <w:szCs w:val="20"/>
                <w:highlight w:val="black"/>
              </w:rPr>
              <w:t>'''''''''''''''''''''''''''</w:t>
            </w:r>
          </w:p>
        </w:tc>
        <w:tc>
          <w:tcPr>
            <w:tcW w:w="1571" w:type="dxa"/>
            <w:tcBorders>
              <w:bottom w:val="single" w:sz="4" w:space="0" w:color="auto"/>
            </w:tcBorders>
            <w:shd w:val="clear" w:color="auto" w:fill="auto"/>
            <w:noWrap/>
            <w:vAlign w:val="center"/>
          </w:tcPr>
          <w:p w:rsidR="00DC3824" w:rsidRPr="007108BC" w:rsidRDefault="00DC3824" w:rsidP="00A40EE9">
            <w:pPr>
              <w:keepNext/>
              <w:keepLines/>
              <w:jc w:val="center"/>
              <w:rPr>
                <w:rFonts w:ascii="Arial Narrow" w:hAnsi="Arial Narrow"/>
                <w:sz w:val="20"/>
                <w:szCs w:val="20"/>
              </w:rPr>
            </w:pPr>
            <w:r w:rsidRPr="007108BC">
              <w:rPr>
                <w:rFonts w:ascii="Arial Narrow" w:hAnsi="Arial Narrow"/>
                <w:sz w:val="20"/>
                <w:szCs w:val="20"/>
              </w:rPr>
              <w:t>-</w:t>
            </w:r>
            <w:r w:rsidR="00BB196F">
              <w:rPr>
                <w:rFonts w:ascii="Arial Narrow" w:hAnsi="Arial Narrow"/>
                <w:noProof/>
                <w:color w:val="000000"/>
                <w:sz w:val="20"/>
                <w:szCs w:val="20"/>
                <w:highlight w:val="black"/>
              </w:rPr>
              <w:t>'''''''''''''</w:t>
            </w:r>
          </w:p>
        </w:tc>
        <w:tc>
          <w:tcPr>
            <w:tcW w:w="1572" w:type="dxa"/>
            <w:tcBorders>
              <w:bottom w:val="single" w:sz="4" w:space="0" w:color="auto"/>
            </w:tcBorders>
            <w:shd w:val="clear" w:color="auto" w:fill="auto"/>
            <w:noWrap/>
            <w:vAlign w:val="center"/>
          </w:tcPr>
          <w:p w:rsidR="00DC3824" w:rsidRPr="007108BC" w:rsidRDefault="00DC3824" w:rsidP="00A40EE9">
            <w:pPr>
              <w:keepNext/>
              <w:keepLines/>
              <w:jc w:val="center"/>
              <w:rPr>
                <w:rFonts w:ascii="Arial Narrow" w:hAnsi="Arial Narrow"/>
                <w:sz w:val="20"/>
                <w:szCs w:val="20"/>
              </w:rPr>
            </w:pPr>
            <w:r w:rsidRPr="007108BC">
              <w:rPr>
                <w:rFonts w:ascii="Arial Narrow" w:hAnsi="Arial Narrow"/>
                <w:sz w:val="20"/>
                <w:szCs w:val="20"/>
              </w:rPr>
              <w:t>$</w:t>
            </w:r>
            <w:r w:rsidR="00BB196F">
              <w:rPr>
                <w:rFonts w:ascii="Arial Narrow" w:hAnsi="Arial Narrow"/>
                <w:noProof/>
                <w:color w:val="000000"/>
                <w:sz w:val="20"/>
                <w:szCs w:val="20"/>
                <w:highlight w:val="black"/>
              </w:rPr>
              <w:t>'''''''''''''''''''</w:t>
            </w:r>
          </w:p>
        </w:tc>
      </w:tr>
      <w:tr w:rsidR="008F5605" w:rsidRPr="007108BC" w:rsidTr="008F5605">
        <w:trPr>
          <w:trHeight w:val="20"/>
        </w:trPr>
        <w:tc>
          <w:tcPr>
            <w:tcW w:w="4353" w:type="dxa"/>
            <w:tcBorders>
              <w:bottom w:val="nil"/>
            </w:tcBorders>
            <w:shd w:val="clear" w:color="auto" w:fill="auto"/>
            <w:noWrap/>
            <w:vAlign w:val="bottom"/>
          </w:tcPr>
          <w:p w:rsidR="008F5605" w:rsidRPr="00B86BC0" w:rsidRDefault="008F5605" w:rsidP="00A40EE9">
            <w:pPr>
              <w:keepNext/>
              <w:keepLines/>
              <w:rPr>
                <w:rFonts w:ascii="Arial Narrow" w:hAnsi="Arial Narrow" w:cs="Calibri"/>
                <w:color w:val="000000"/>
                <w:sz w:val="20"/>
                <w:szCs w:val="20"/>
                <w:u w:val="single"/>
              </w:rPr>
            </w:pPr>
            <w:r w:rsidRPr="00B86BC0">
              <w:rPr>
                <w:rFonts w:ascii="Arial Narrow" w:hAnsi="Arial Narrow" w:cs="Calibri"/>
                <w:color w:val="000000"/>
                <w:sz w:val="20"/>
                <w:szCs w:val="20"/>
                <w:u w:val="single"/>
              </w:rPr>
              <w:t>Population vaccinated (base case infants + adolescents)</w:t>
            </w:r>
          </w:p>
        </w:tc>
        <w:tc>
          <w:tcPr>
            <w:tcW w:w="1571" w:type="dxa"/>
            <w:tcBorders>
              <w:bottom w:val="nil"/>
            </w:tcBorders>
            <w:shd w:val="clear" w:color="auto" w:fill="auto"/>
            <w:noWrap/>
            <w:vAlign w:val="bottom"/>
          </w:tcPr>
          <w:p w:rsidR="008F5605" w:rsidRPr="002F1748" w:rsidRDefault="008F5605" w:rsidP="00A40EE9">
            <w:pPr>
              <w:keepNext/>
              <w:keepLines/>
              <w:jc w:val="center"/>
              <w:rPr>
                <w:rFonts w:ascii="Arial Narrow" w:hAnsi="Arial Narrow" w:cs="Calibri"/>
                <w:color w:val="000000"/>
                <w:sz w:val="20"/>
                <w:szCs w:val="20"/>
              </w:rPr>
            </w:pPr>
          </w:p>
        </w:tc>
        <w:tc>
          <w:tcPr>
            <w:tcW w:w="1571" w:type="dxa"/>
            <w:tcBorders>
              <w:bottom w:val="nil"/>
            </w:tcBorders>
            <w:shd w:val="clear" w:color="auto" w:fill="auto"/>
            <w:noWrap/>
            <w:vAlign w:val="bottom"/>
          </w:tcPr>
          <w:p w:rsidR="008F5605" w:rsidRPr="002F1748" w:rsidRDefault="008F5605" w:rsidP="00A40EE9">
            <w:pPr>
              <w:keepNext/>
              <w:keepLines/>
              <w:jc w:val="center"/>
              <w:rPr>
                <w:rFonts w:ascii="Arial Narrow" w:hAnsi="Arial Narrow" w:cs="Calibri"/>
                <w:color w:val="000000"/>
                <w:sz w:val="20"/>
                <w:szCs w:val="20"/>
              </w:rPr>
            </w:pPr>
          </w:p>
        </w:tc>
        <w:tc>
          <w:tcPr>
            <w:tcW w:w="1572" w:type="dxa"/>
            <w:tcBorders>
              <w:bottom w:val="nil"/>
            </w:tcBorders>
            <w:shd w:val="clear" w:color="auto" w:fill="auto"/>
            <w:noWrap/>
            <w:vAlign w:val="bottom"/>
          </w:tcPr>
          <w:p w:rsidR="008F5605" w:rsidRPr="002F1748" w:rsidRDefault="008F5605" w:rsidP="00A40EE9">
            <w:pPr>
              <w:keepNext/>
              <w:keepLines/>
              <w:jc w:val="center"/>
              <w:rPr>
                <w:rFonts w:ascii="Arial Narrow" w:hAnsi="Arial Narrow" w:cs="Calibri"/>
                <w:color w:val="000000"/>
                <w:sz w:val="20"/>
                <w:szCs w:val="20"/>
              </w:rPr>
            </w:pPr>
          </w:p>
        </w:tc>
      </w:tr>
      <w:tr w:rsidR="00DC3824" w:rsidRPr="007108BC" w:rsidTr="008F5605">
        <w:trPr>
          <w:trHeight w:val="20"/>
        </w:trPr>
        <w:tc>
          <w:tcPr>
            <w:tcW w:w="4353" w:type="dxa"/>
            <w:tcBorders>
              <w:top w:val="nil"/>
              <w:bottom w:val="nil"/>
            </w:tcBorders>
            <w:shd w:val="clear" w:color="auto" w:fill="auto"/>
            <w:noWrap/>
            <w:vAlign w:val="bottom"/>
          </w:tcPr>
          <w:p w:rsidR="00DC3824" w:rsidRPr="007108BC" w:rsidRDefault="00DC3824" w:rsidP="00A40EE9">
            <w:pPr>
              <w:keepNext/>
              <w:keepLines/>
              <w:rPr>
                <w:rFonts w:ascii="Arial Narrow" w:hAnsi="Arial Narrow"/>
                <w:sz w:val="20"/>
                <w:szCs w:val="20"/>
              </w:rPr>
            </w:pPr>
            <w:r w:rsidRPr="002F1748">
              <w:rPr>
                <w:rFonts w:ascii="Arial Narrow" w:hAnsi="Arial Narrow" w:cs="Calibri"/>
                <w:color w:val="000000"/>
                <w:sz w:val="20"/>
                <w:szCs w:val="20"/>
              </w:rPr>
              <w:t>Infants only</w:t>
            </w:r>
          </w:p>
        </w:tc>
        <w:tc>
          <w:tcPr>
            <w:tcW w:w="1571" w:type="dxa"/>
            <w:tcBorders>
              <w:top w:val="nil"/>
              <w:bottom w:val="nil"/>
            </w:tcBorders>
            <w:shd w:val="clear" w:color="auto" w:fill="auto"/>
            <w:noWrap/>
            <w:vAlign w:val="bottom"/>
          </w:tcPr>
          <w:p w:rsidR="00DC3824" w:rsidRPr="007108BC" w:rsidRDefault="00DC3824" w:rsidP="00A40EE9">
            <w:pPr>
              <w:keepNext/>
              <w:keepLines/>
              <w:jc w:val="center"/>
              <w:rPr>
                <w:rFonts w:ascii="Arial Narrow" w:hAnsi="Arial Narrow"/>
                <w:sz w:val="20"/>
                <w:szCs w:val="20"/>
              </w:rPr>
            </w:pPr>
            <w:r w:rsidRPr="002F1748">
              <w:rPr>
                <w:rFonts w:ascii="Arial Narrow" w:hAnsi="Arial Narrow" w:cs="Calibri"/>
                <w:color w:val="000000"/>
                <w:sz w:val="20"/>
                <w:szCs w:val="20"/>
              </w:rPr>
              <w:t>$</w:t>
            </w:r>
            <w:r w:rsidR="00BB196F">
              <w:rPr>
                <w:rFonts w:ascii="Arial Narrow" w:hAnsi="Arial Narrow" w:cs="Calibri"/>
                <w:noProof/>
                <w:color w:val="000000"/>
                <w:sz w:val="20"/>
                <w:szCs w:val="20"/>
                <w:highlight w:val="black"/>
              </w:rPr>
              <w:t>'''''''''''''''''''''''''''</w:t>
            </w:r>
          </w:p>
        </w:tc>
        <w:tc>
          <w:tcPr>
            <w:tcW w:w="1571" w:type="dxa"/>
            <w:tcBorders>
              <w:top w:val="nil"/>
              <w:bottom w:val="nil"/>
            </w:tcBorders>
            <w:shd w:val="clear" w:color="auto" w:fill="auto"/>
            <w:noWrap/>
            <w:vAlign w:val="bottom"/>
          </w:tcPr>
          <w:p w:rsidR="00DC3824" w:rsidRPr="007108BC" w:rsidRDefault="00DC3824" w:rsidP="00A40EE9">
            <w:pPr>
              <w:keepNext/>
              <w:keepLines/>
              <w:jc w:val="center"/>
              <w:rPr>
                <w:rFonts w:ascii="Arial Narrow" w:hAnsi="Arial Narrow"/>
                <w:sz w:val="20"/>
                <w:szCs w:val="20"/>
              </w:rPr>
            </w:pPr>
            <w:r w:rsidRPr="002F1748">
              <w:rPr>
                <w:rFonts w:ascii="Arial Narrow" w:hAnsi="Arial Narrow" w:cs="Calibri"/>
                <w:color w:val="000000"/>
                <w:sz w:val="20"/>
                <w:szCs w:val="20"/>
              </w:rPr>
              <w:t>-</w:t>
            </w:r>
            <w:r w:rsidR="00BB196F">
              <w:rPr>
                <w:rFonts w:ascii="Arial Narrow" w:hAnsi="Arial Narrow" w:cs="Calibri"/>
                <w:noProof/>
                <w:color w:val="000000"/>
                <w:sz w:val="20"/>
                <w:szCs w:val="20"/>
                <w:highlight w:val="black"/>
              </w:rPr>
              <w:t>'''''''''''''''</w:t>
            </w:r>
          </w:p>
        </w:tc>
        <w:tc>
          <w:tcPr>
            <w:tcW w:w="1572" w:type="dxa"/>
            <w:tcBorders>
              <w:top w:val="nil"/>
              <w:bottom w:val="nil"/>
            </w:tcBorders>
            <w:shd w:val="clear" w:color="auto" w:fill="auto"/>
            <w:noWrap/>
            <w:vAlign w:val="bottom"/>
          </w:tcPr>
          <w:p w:rsidR="00DC3824" w:rsidRPr="007108BC" w:rsidRDefault="00DC3824" w:rsidP="00A40EE9">
            <w:pPr>
              <w:keepNext/>
              <w:keepLines/>
              <w:jc w:val="center"/>
              <w:rPr>
                <w:rFonts w:ascii="Arial Narrow" w:hAnsi="Arial Narrow"/>
                <w:sz w:val="20"/>
                <w:szCs w:val="20"/>
              </w:rPr>
            </w:pPr>
            <w:r w:rsidRPr="002F1748">
              <w:rPr>
                <w:rFonts w:ascii="Arial Narrow" w:hAnsi="Arial Narrow" w:cs="Calibri"/>
                <w:color w:val="000000"/>
                <w:sz w:val="20"/>
                <w:szCs w:val="20"/>
              </w:rPr>
              <w:t>$</w:t>
            </w:r>
            <w:r w:rsidR="00BB196F">
              <w:rPr>
                <w:rFonts w:ascii="Arial Narrow" w:hAnsi="Arial Narrow" w:cs="Calibri"/>
                <w:noProof/>
                <w:color w:val="000000"/>
                <w:sz w:val="20"/>
                <w:szCs w:val="20"/>
                <w:highlight w:val="black"/>
              </w:rPr>
              <w:t>''''''''''''''''</w:t>
            </w:r>
          </w:p>
        </w:tc>
      </w:tr>
      <w:tr w:rsidR="00DC3824" w:rsidRPr="007108BC" w:rsidTr="008F5605">
        <w:trPr>
          <w:trHeight w:val="20"/>
        </w:trPr>
        <w:tc>
          <w:tcPr>
            <w:tcW w:w="4353" w:type="dxa"/>
            <w:tcBorders>
              <w:top w:val="nil"/>
              <w:bottom w:val="single" w:sz="4" w:space="0" w:color="auto"/>
            </w:tcBorders>
            <w:shd w:val="clear" w:color="auto" w:fill="auto"/>
            <w:noWrap/>
            <w:vAlign w:val="bottom"/>
          </w:tcPr>
          <w:p w:rsidR="00DC3824" w:rsidRPr="007108BC" w:rsidRDefault="00DC3824" w:rsidP="00A40EE9">
            <w:pPr>
              <w:keepNext/>
              <w:keepLines/>
              <w:rPr>
                <w:rFonts w:ascii="Arial Narrow" w:hAnsi="Arial Narrow"/>
                <w:sz w:val="20"/>
                <w:szCs w:val="20"/>
              </w:rPr>
            </w:pPr>
            <w:r w:rsidRPr="002F1748">
              <w:rPr>
                <w:rFonts w:ascii="Arial Narrow" w:hAnsi="Arial Narrow" w:cs="Calibri"/>
                <w:color w:val="000000"/>
                <w:sz w:val="20"/>
                <w:szCs w:val="20"/>
              </w:rPr>
              <w:t>Adolescents only</w:t>
            </w:r>
          </w:p>
        </w:tc>
        <w:tc>
          <w:tcPr>
            <w:tcW w:w="1571" w:type="dxa"/>
            <w:tcBorders>
              <w:top w:val="nil"/>
              <w:bottom w:val="single" w:sz="4" w:space="0" w:color="auto"/>
            </w:tcBorders>
            <w:shd w:val="clear" w:color="auto" w:fill="auto"/>
            <w:noWrap/>
            <w:vAlign w:val="bottom"/>
          </w:tcPr>
          <w:p w:rsidR="00DC3824" w:rsidRPr="007108BC" w:rsidRDefault="00DC3824" w:rsidP="00A40EE9">
            <w:pPr>
              <w:keepNext/>
              <w:keepLines/>
              <w:jc w:val="center"/>
              <w:rPr>
                <w:rFonts w:ascii="Arial Narrow" w:hAnsi="Arial Narrow"/>
                <w:sz w:val="20"/>
                <w:szCs w:val="20"/>
              </w:rPr>
            </w:pPr>
            <w:r w:rsidRPr="002F1748">
              <w:rPr>
                <w:rFonts w:ascii="Arial Narrow" w:hAnsi="Arial Narrow" w:cs="Calibri"/>
                <w:color w:val="000000"/>
                <w:sz w:val="20"/>
                <w:szCs w:val="20"/>
              </w:rPr>
              <w:t>$</w:t>
            </w:r>
            <w:r w:rsidR="00BB196F">
              <w:rPr>
                <w:rFonts w:ascii="Arial Narrow" w:hAnsi="Arial Narrow" w:cs="Calibri"/>
                <w:noProof/>
                <w:color w:val="000000"/>
                <w:sz w:val="20"/>
                <w:szCs w:val="20"/>
                <w:highlight w:val="black"/>
              </w:rPr>
              <w:t>''''''''''''''''''''''''''''''''</w:t>
            </w:r>
          </w:p>
        </w:tc>
        <w:tc>
          <w:tcPr>
            <w:tcW w:w="1571" w:type="dxa"/>
            <w:tcBorders>
              <w:top w:val="nil"/>
              <w:bottom w:val="single" w:sz="4" w:space="0" w:color="auto"/>
            </w:tcBorders>
            <w:shd w:val="clear" w:color="auto" w:fill="auto"/>
            <w:noWrap/>
            <w:vAlign w:val="bottom"/>
          </w:tcPr>
          <w:p w:rsidR="00DC3824" w:rsidRPr="007108BC" w:rsidRDefault="00DC3824" w:rsidP="00A40EE9">
            <w:pPr>
              <w:keepNext/>
              <w:keepLines/>
              <w:jc w:val="center"/>
              <w:rPr>
                <w:rFonts w:ascii="Arial Narrow" w:hAnsi="Arial Narrow"/>
                <w:sz w:val="20"/>
                <w:szCs w:val="20"/>
              </w:rPr>
            </w:pPr>
            <w:r w:rsidRPr="002F1748">
              <w:rPr>
                <w:rFonts w:ascii="Arial Narrow" w:hAnsi="Arial Narrow" w:cs="Calibri"/>
                <w:color w:val="000000"/>
                <w:sz w:val="20"/>
                <w:szCs w:val="20"/>
              </w:rPr>
              <w:t>-</w:t>
            </w:r>
            <w:r w:rsidR="00BB196F">
              <w:rPr>
                <w:rFonts w:ascii="Arial Narrow" w:hAnsi="Arial Narrow" w:cs="Calibri"/>
                <w:noProof/>
                <w:color w:val="000000"/>
                <w:sz w:val="20"/>
                <w:szCs w:val="20"/>
                <w:highlight w:val="black"/>
              </w:rPr>
              <w:t>'''''''''''''''</w:t>
            </w:r>
          </w:p>
        </w:tc>
        <w:tc>
          <w:tcPr>
            <w:tcW w:w="1572" w:type="dxa"/>
            <w:tcBorders>
              <w:top w:val="nil"/>
              <w:bottom w:val="single" w:sz="4" w:space="0" w:color="auto"/>
            </w:tcBorders>
            <w:shd w:val="clear" w:color="auto" w:fill="auto"/>
            <w:noWrap/>
            <w:vAlign w:val="bottom"/>
          </w:tcPr>
          <w:p w:rsidR="00DC3824" w:rsidRPr="007108BC" w:rsidRDefault="00DC3824" w:rsidP="00A40EE9">
            <w:pPr>
              <w:keepNext/>
              <w:keepLines/>
              <w:jc w:val="center"/>
              <w:rPr>
                <w:rFonts w:ascii="Arial Narrow" w:hAnsi="Arial Narrow"/>
                <w:sz w:val="20"/>
                <w:szCs w:val="20"/>
              </w:rPr>
            </w:pPr>
            <w:r w:rsidRPr="002F1748">
              <w:rPr>
                <w:rFonts w:ascii="Arial Narrow" w:hAnsi="Arial Narrow" w:cs="Calibri"/>
                <w:color w:val="000000"/>
                <w:sz w:val="20"/>
                <w:szCs w:val="20"/>
              </w:rPr>
              <w:t>$</w:t>
            </w:r>
            <w:r w:rsidR="00BB196F">
              <w:rPr>
                <w:rFonts w:ascii="Arial Narrow" w:hAnsi="Arial Narrow" w:cs="Calibri"/>
                <w:noProof/>
                <w:color w:val="000000"/>
                <w:sz w:val="20"/>
                <w:szCs w:val="20"/>
                <w:highlight w:val="black"/>
              </w:rPr>
              <w:t>'''''''''''''''</w:t>
            </w:r>
          </w:p>
        </w:tc>
      </w:tr>
      <w:tr w:rsidR="00DC3824" w:rsidRPr="007108BC" w:rsidTr="00A1151E">
        <w:trPr>
          <w:trHeight w:val="20"/>
        </w:trPr>
        <w:tc>
          <w:tcPr>
            <w:tcW w:w="4353" w:type="dxa"/>
            <w:tcBorders>
              <w:right w:val="nil"/>
            </w:tcBorders>
            <w:shd w:val="clear" w:color="auto" w:fill="auto"/>
            <w:noWrap/>
            <w:hideMark/>
          </w:tcPr>
          <w:p w:rsidR="00DC3824" w:rsidRPr="007108BC" w:rsidRDefault="00DC3824" w:rsidP="00A40EE9">
            <w:pPr>
              <w:keepNext/>
              <w:keepLines/>
              <w:rPr>
                <w:rFonts w:ascii="Arial Narrow" w:hAnsi="Arial Narrow"/>
                <w:b/>
                <w:sz w:val="20"/>
                <w:szCs w:val="20"/>
              </w:rPr>
            </w:pPr>
            <w:r w:rsidRPr="007108BC">
              <w:rPr>
                <w:rFonts w:ascii="Arial Narrow" w:hAnsi="Arial Narrow"/>
                <w:b/>
                <w:sz w:val="20"/>
                <w:szCs w:val="20"/>
              </w:rPr>
              <w:t>Multi-variate sensitivity analysis</w:t>
            </w:r>
          </w:p>
        </w:tc>
        <w:tc>
          <w:tcPr>
            <w:tcW w:w="1571" w:type="dxa"/>
            <w:tcBorders>
              <w:left w:val="nil"/>
              <w:right w:val="nil"/>
            </w:tcBorders>
            <w:shd w:val="clear" w:color="auto" w:fill="auto"/>
            <w:noWrap/>
            <w:vAlign w:val="center"/>
            <w:hideMark/>
          </w:tcPr>
          <w:p w:rsidR="00DC3824" w:rsidRPr="007108BC" w:rsidRDefault="00DC3824" w:rsidP="00A40EE9">
            <w:pPr>
              <w:keepNext/>
              <w:keepLines/>
              <w:jc w:val="center"/>
              <w:rPr>
                <w:rFonts w:ascii="Arial Narrow" w:hAnsi="Arial Narrow"/>
                <w:sz w:val="20"/>
                <w:szCs w:val="20"/>
              </w:rPr>
            </w:pPr>
          </w:p>
        </w:tc>
        <w:tc>
          <w:tcPr>
            <w:tcW w:w="1571" w:type="dxa"/>
            <w:tcBorders>
              <w:left w:val="nil"/>
              <w:right w:val="nil"/>
            </w:tcBorders>
            <w:shd w:val="clear" w:color="auto" w:fill="auto"/>
            <w:noWrap/>
            <w:vAlign w:val="center"/>
            <w:hideMark/>
          </w:tcPr>
          <w:p w:rsidR="00DC3824" w:rsidRPr="007108BC" w:rsidRDefault="00DC3824" w:rsidP="00A40EE9">
            <w:pPr>
              <w:keepNext/>
              <w:keepLines/>
              <w:jc w:val="center"/>
              <w:rPr>
                <w:rFonts w:ascii="Arial Narrow" w:hAnsi="Arial Narrow"/>
                <w:sz w:val="20"/>
                <w:szCs w:val="20"/>
              </w:rPr>
            </w:pPr>
          </w:p>
        </w:tc>
        <w:tc>
          <w:tcPr>
            <w:tcW w:w="1572" w:type="dxa"/>
            <w:tcBorders>
              <w:left w:val="nil"/>
            </w:tcBorders>
            <w:shd w:val="clear" w:color="auto" w:fill="auto"/>
            <w:noWrap/>
            <w:vAlign w:val="center"/>
            <w:hideMark/>
          </w:tcPr>
          <w:p w:rsidR="00DC3824" w:rsidRPr="007108BC" w:rsidRDefault="00DC3824" w:rsidP="00A40EE9">
            <w:pPr>
              <w:keepNext/>
              <w:keepLines/>
              <w:jc w:val="center"/>
              <w:rPr>
                <w:rFonts w:ascii="Arial Narrow" w:hAnsi="Arial Narrow"/>
                <w:sz w:val="20"/>
                <w:szCs w:val="20"/>
              </w:rPr>
            </w:pPr>
          </w:p>
        </w:tc>
      </w:tr>
      <w:tr w:rsidR="00DC3824" w:rsidRPr="007108BC" w:rsidTr="00A1151E">
        <w:trPr>
          <w:trHeight w:val="20"/>
        </w:trPr>
        <w:tc>
          <w:tcPr>
            <w:tcW w:w="4353" w:type="dxa"/>
            <w:tcBorders>
              <w:bottom w:val="single" w:sz="4" w:space="0" w:color="auto"/>
            </w:tcBorders>
            <w:shd w:val="clear" w:color="auto" w:fill="auto"/>
            <w:noWrap/>
            <w:hideMark/>
          </w:tcPr>
          <w:p w:rsidR="00DC3824" w:rsidRPr="007108BC" w:rsidRDefault="00DC3824" w:rsidP="00A40EE9">
            <w:pPr>
              <w:keepNext/>
              <w:keepLines/>
              <w:rPr>
                <w:rFonts w:ascii="Arial Narrow" w:hAnsi="Arial Narrow"/>
                <w:sz w:val="20"/>
                <w:szCs w:val="20"/>
              </w:rPr>
            </w:pPr>
            <w:r>
              <w:rPr>
                <w:rFonts w:ascii="Arial Narrow" w:hAnsi="Arial Narrow"/>
                <w:sz w:val="20"/>
                <w:szCs w:val="20"/>
              </w:rPr>
              <w:t>C</w:t>
            </w:r>
            <w:r w:rsidRPr="007108BC">
              <w:rPr>
                <w:rFonts w:ascii="Arial Narrow" w:hAnsi="Arial Narrow"/>
                <w:sz w:val="20"/>
                <w:szCs w:val="20"/>
              </w:rPr>
              <w:t>aregiver utility weight = 1, family and network utility loss factor when child survives and has sequelae =0 family and network utility loss factor for bereaved family =1</w:t>
            </w:r>
          </w:p>
        </w:tc>
        <w:tc>
          <w:tcPr>
            <w:tcW w:w="1571" w:type="dxa"/>
            <w:tcBorders>
              <w:bottom w:val="single" w:sz="4" w:space="0" w:color="auto"/>
            </w:tcBorders>
            <w:shd w:val="clear" w:color="auto" w:fill="auto"/>
            <w:noWrap/>
            <w:vAlign w:val="center"/>
            <w:hideMark/>
          </w:tcPr>
          <w:p w:rsidR="00DC3824" w:rsidRPr="007108BC" w:rsidRDefault="00DC3824" w:rsidP="00A40EE9">
            <w:pPr>
              <w:keepNext/>
              <w:keepLines/>
              <w:jc w:val="center"/>
              <w:rPr>
                <w:rFonts w:ascii="Arial Narrow" w:hAnsi="Arial Narrow"/>
                <w:sz w:val="20"/>
                <w:szCs w:val="20"/>
              </w:rPr>
            </w:pPr>
            <w:r w:rsidRPr="007108BC">
              <w:rPr>
                <w:rFonts w:ascii="Arial Narrow" w:hAnsi="Arial Narrow"/>
                <w:sz w:val="20"/>
                <w:szCs w:val="20"/>
              </w:rPr>
              <w:t>$</w:t>
            </w:r>
            <w:r w:rsidR="00BB196F">
              <w:rPr>
                <w:rFonts w:ascii="Arial Narrow" w:hAnsi="Arial Narrow"/>
                <w:noProof/>
                <w:color w:val="000000"/>
                <w:sz w:val="20"/>
                <w:szCs w:val="20"/>
                <w:highlight w:val="black"/>
              </w:rPr>
              <w:t>''''''''''''''''''''''''''''''''</w:t>
            </w:r>
          </w:p>
        </w:tc>
        <w:tc>
          <w:tcPr>
            <w:tcW w:w="1571" w:type="dxa"/>
            <w:tcBorders>
              <w:bottom w:val="single" w:sz="4" w:space="0" w:color="auto"/>
            </w:tcBorders>
            <w:shd w:val="clear" w:color="auto" w:fill="auto"/>
            <w:noWrap/>
            <w:vAlign w:val="center"/>
            <w:hideMark/>
          </w:tcPr>
          <w:p w:rsidR="00DC3824" w:rsidRPr="007108BC" w:rsidRDefault="00DC3824" w:rsidP="00A40EE9">
            <w:pPr>
              <w:keepNext/>
              <w:keepLines/>
              <w:jc w:val="center"/>
              <w:rPr>
                <w:rFonts w:ascii="Arial Narrow" w:hAnsi="Arial Narrow"/>
                <w:sz w:val="20"/>
                <w:szCs w:val="20"/>
              </w:rPr>
            </w:pPr>
            <w:r w:rsidRPr="007108BC">
              <w:rPr>
                <w:rFonts w:ascii="Arial Narrow" w:hAnsi="Arial Narrow"/>
                <w:sz w:val="20"/>
                <w:szCs w:val="20"/>
              </w:rPr>
              <w:t>-</w:t>
            </w:r>
            <w:r w:rsidR="00BB196F">
              <w:rPr>
                <w:rFonts w:ascii="Arial Narrow" w:hAnsi="Arial Narrow"/>
                <w:noProof/>
                <w:color w:val="000000"/>
                <w:sz w:val="20"/>
                <w:szCs w:val="20"/>
                <w:highlight w:val="black"/>
              </w:rPr>
              <w:t>''''''''''''''''</w:t>
            </w:r>
          </w:p>
        </w:tc>
        <w:tc>
          <w:tcPr>
            <w:tcW w:w="1572" w:type="dxa"/>
            <w:tcBorders>
              <w:bottom w:val="single" w:sz="4" w:space="0" w:color="auto"/>
            </w:tcBorders>
            <w:shd w:val="clear" w:color="auto" w:fill="auto"/>
            <w:noWrap/>
            <w:vAlign w:val="center"/>
            <w:hideMark/>
          </w:tcPr>
          <w:p w:rsidR="00DC3824" w:rsidRPr="007108BC" w:rsidRDefault="00DC3824" w:rsidP="00A40EE9">
            <w:pPr>
              <w:keepNext/>
              <w:keepLines/>
              <w:jc w:val="center"/>
              <w:rPr>
                <w:rFonts w:ascii="Arial Narrow" w:hAnsi="Arial Narrow"/>
                <w:sz w:val="20"/>
                <w:szCs w:val="20"/>
              </w:rPr>
            </w:pPr>
            <w:r w:rsidRPr="007108BC">
              <w:rPr>
                <w:rFonts w:ascii="Arial Narrow" w:hAnsi="Arial Narrow"/>
                <w:sz w:val="20"/>
                <w:szCs w:val="20"/>
              </w:rPr>
              <w:t>$</w:t>
            </w:r>
            <w:r w:rsidR="00BB196F">
              <w:rPr>
                <w:rFonts w:ascii="Arial Narrow" w:hAnsi="Arial Narrow"/>
                <w:noProof/>
                <w:color w:val="000000"/>
                <w:sz w:val="20"/>
                <w:szCs w:val="20"/>
                <w:highlight w:val="black"/>
              </w:rPr>
              <w:t>''''''''''''''''</w:t>
            </w:r>
          </w:p>
        </w:tc>
      </w:tr>
      <w:tr w:rsidR="00DC3824" w:rsidRPr="00D51D60" w:rsidTr="00A1151E">
        <w:trPr>
          <w:trHeight w:val="20"/>
        </w:trPr>
        <w:tc>
          <w:tcPr>
            <w:tcW w:w="4353" w:type="dxa"/>
            <w:shd w:val="clear" w:color="auto" w:fill="auto"/>
            <w:noWrap/>
          </w:tcPr>
          <w:p w:rsidR="00DC3824" w:rsidRPr="002F1748" w:rsidRDefault="00DC3824" w:rsidP="00A40EE9">
            <w:pPr>
              <w:keepNext/>
              <w:keepLines/>
              <w:rPr>
                <w:rFonts w:ascii="Arial Narrow" w:hAnsi="Arial Narrow"/>
                <w:iCs/>
                <w:sz w:val="20"/>
                <w:szCs w:val="20"/>
              </w:rPr>
            </w:pPr>
            <w:r w:rsidRPr="002F1748">
              <w:rPr>
                <w:rFonts w:ascii="Arial Narrow" w:hAnsi="Arial Narrow"/>
                <w:iCs/>
                <w:sz w:val="20"/>
                <w:szCs w:val="20"/>
              </w:rPr>
              <w:t>Removal of costs and utility from additional sequelae (set prob. to among survivors to 0% for blindness/severe visual impairment; Hearing loss - moderate bilateral; hearing loss - unilateral/hearing impairment; Speech or communication problems; mental retardation/low IQ;</w:t>
            </w:r>
            <w:r w:rsidR="00624D24">
              <w:rPr>
                <w:rFonts w:ascii="Arial Narrow" w:hAnsi="Arial Narrow"/>
                <w:iCs/>
                <w:sz w:val="20"/>
                <w:szCs w:val="20"/>
              </w:rPr>
              <w:t xml:space="preserve"> </w:t>
            </w:r>
            <w:r w:rsidRPr="002F1748">
              <w:rPr>
                <w:rFonts w:ascii="Arial Narrow" w:hAnsi="Arial Narrow"/>
                <w:iCs/>
                <w:sz w:val="20"/>
                <w:szCs w:val="20"/>
              </w:rPr>
              <w:t>motor deficits; depression; anxiety; separation anxiety; ADHD)</w:t>
            </w:r>
          </w:p>
        </w:tc>
        <w:tc>
          <w:tcPr>
            <w:tcW w:w="1571" w:type="dxa"/>
            <w:shd w:val="clear" w:color="auto" w:fill="auto"/>
            <w:noWrap/>
            <w:vAlign w:val="center"/>
          </w:tcPr>
          <w:p w:rsidR="00DC3824" w:rsidRPr="002F1748" w:rsidRDefault="00DC3824" w:rsidP="00A40EE9">
            <w:pPr>
              <w:keepNext/>
              <w:keepLines/>
              <w:jc w:val="center"/>
              <w:rPr>
                <w:rFonts w:ascii="Arial Narrow" w:hAnsi="Arial Narrow"/>
                <w:iCs/>
                <w:sz w:val="20"/>
                <w:szCs w:val="20"/>
              </w:rPr>
            </w:pPr>
            <w:r w:rsidRPr="002F1748">
              <w:rPr>
                <w:rFonts w:ascii="Arial Narrow" w:hAnsi="Arial Narrow"/>
                <w:iCs/>
                <w:sz w:val="20"/>
                <w:szCs w:val="20"/>
              </w:rPr>
              <w:t>$</w:t>
            </w:r>
            <w:r w:rsidR="00BB196F">
              <w:rPr>
                <w:rFonts w:ascii="Arial Narrow" w:hAnsi="Arial Narrow"/>
                <w:iCs/>
                <w:noProof/>
                <w:color w:val="000000"/>
                <w:sz w:val="20"/>
                <w:szCs w:val="20"/>
                <w:highlight w:val="black"/>
              </w:rPr>
              <w:t>'''''''''''''''''''''''''''''''''''</w:t>
            </w:r>
          </w:p>
        </w:tc>
        <w:tc>
          <w:tcPr>
            <w:tcW w:w="1571" w:type="dxa"/>
            <w:shd w:val="clear" w:color="auto" w:fill="auto"/>
            <w:noWrap/>
            <w:vAlign w:val="center"/>
          </w:tcPr>
          <w:p w:rsidR="00DC3824" w:rsidRPr="002F1748" w:rsidRDefault="00DC3824" w:rsidP="00A40EE9">
            <w:pPr>
              <w:keepNext/>
              <w:keepLines/>
              <w:jc w:val="center"/>
              <w:rPr>
                <w:rFonts w:ascii="Arial Narrow" w:hAnsi="Arial Narrow"/>
                <w:iCs/>
                <w:sz w:val="20"/>
                <w:szCs w:val="20"/>
              </w:rPr>
            </w:pPr>
            <w:r w:rsidRPr="002F1748">
              <w:rPr>
                <w:rFonts w:ascii="Arial Narrow" w:hAnsi="Arial Narrow"/>
                <w:iCs/>
                <w:sz w:val="20"/>
                <w:szCs w:val="20"/>
              </w:rPr>
              <w:t>-</w:t>
            </w:r>
            <w:r w:rsidR="00BB196F">
              <w:rPr>
                <w:rFonts w:ascii="Arial Narrow" w:hAnsi="Arial Narrow"/>
                <w:iCs/>
                <w:noProof/>
                <w:color w:val="000000"/>
                <w:sz w:val="20"/>
                <w:szCs w:val="20"/>
                <w:highlight w:val="black"/>
              </w:rPr>
              <w:t>''''''''''''''</w:t>
            </w:r>
          </w:p>
        </w:tc>
        <w:tc>
          <w:tcPr>
            <w:tcW w:w="1572" w:type="dxa"/>
            <w:shd w:val="clear" w:color="auto" w:fill="auto"/>
            <w:noWrap/>
            <w:vAlign w:val="center"/>
          </w:tcPr>
          <w:p w:rsidR="00DC3824" w:rsidRPr="002F1748" w:rsidRDefault="00DC3824" w:rsidP="00A40EE9">
            <w:pPr>
              <w:keepNext/>
              <w:keepLines/>
              <w:jc w:val="center"/>
              <w:rPr>
                <w:rFonts w:ascii="Arial Narrow" w:hAnsi="Arial Narrow"/>
                <w:iCs/>
                <w:sz w:val="20"/>
                <w:szCs w:val="20"/>
              </w:rPr>
            </w:pPr>
            <w:r w:rsidRPr="002F1748">
              <w:rPr>
                <w:rFonts w:ascii="Arial Narrow" w:hAnsi="Arial Narrow"/>
                <w:iCs/>
                <w:sz w:val="20"/>
                <w:szCs w:val="20"/>
              </w:rPr>
              <w:t>$</w:t>
            </w:r>
            <w:r w:rsidR="00BB196F">
              <w:rPr>
                <w:rFonts w:ascii="Arial Narrow" w:hAnsi="Arial Narrow"/>
                <w:iCs/>
                <w:noProof/>
                <w:color w:val="000000"/>
                <w:sz w:val="20"/>
                <w:szCs w:val="20"/>
                <w:highlight w:val="black"/>
              </w:rPr>
              <w:t>'''''''''''''''''''</w:t>
            </w:r>
          </w:p>
        </w:tc>
      </w:tr>
      <w:tr w:rsidR="00DC3824" w:rsidRPr="00D51D60" w:rsidTr="00A1151E">
        <w:trPr>
          <w:trHeight w:val="20"/>
        </w:trPr>
        <w:tc>
          <w:tcPr>
            <w:tcW w:w="4353" w:type="dxa"/>
            <w:shd w:val="clear" w:color="auto" w:fill="auto"/>
            <w:noWrap/>
            <w:hideMark/>
          </w:tcPr>
          <w:p w:rsidR="00DC3824" w:rsidRPr="002F1748" w:rsidRDefault="00DC3824" w:rsidP="00A40EE9">
            <w:pPr>
              <w:keepNext/>
              <w:keepLines/>
              <w:rPr>
                <w:rFonts w:ascii="Arial Narrow" w:hAnsi="Arial Narrow"/>
                <w:iCs/>
                <w:sz w:val="20"/>
                <w:szCs w:val="20"/>
                <w:u w:val="single"/>
              </w:rPr>
            </w:pPr>
            <w:r w:rsidRPr="002F1748">
              <w:rPr>
                <w:rFonts w:ascii="Arial Narrow" w:hAnsi="Arial Narrow"/>
                <w:iCs/>
                <w:sz w:val="20"/>
                <w:szCs w:val="20"/>
                <w:u w:val="single"/>
              </w:rPr>
              <w:t>Scenario consistent with PBAC guidelines</w:t>
            </w:r>
          </w:p>
          <w:p w:rsidR="00DC3824" w:rsidRPr="002F1748" w:rsidRDefault="00DC3824" w:rsidP="00A40EE9">
            <w:pPr>
              <w:keepNext/>
              <w:keepLines/>
              <w:rPr>
                <w:rFonts w:ascii="Arial Narrow" w:hAnsi="Arial Narrow"/>
                <w:iCs/>
                <w:sz w:val="20"/>
                <w:szCs w:val="20"/>
              </w:rPr>
            </w:pPr>
            <w:r w:rsidRPr="002F1748">
              <w:rPr>
                <w:rFonts w:ascii="Arial Narrow" w:hAnsi="Arial Narrow"/>
                <w:iCs/>
                <w:sz w:val="20"/>
                <w:szCs w:val="20"/>
              </w:rPr>
              <w:t>• Discount rate = 5% costs and benefits</w:t>
            </w:r>
            <w:r w:rsidRPr="002F1748">
              <w:rPr>
                <w:rFonts w:ascii="Arial Narrow" w:hAnsi="Arial Narrow"/>
                <w:iCs/>
                <w:sz w:val="20"/>
                <w:szCs w:val="20"/>
              </w:rPr>
              <w:br/>
              <w:t>• Removal productivity loss for patient = $0</w:t>
            </w:r>
            <w:r w:rsidRPr="002F1748">
              <w:rPr>
                <w:rFonts w:ascii="Arial Narrow" w:hAnsi="Arial Narrow"/>
                <w:iCs/>
                <w:sz w:val="20"/>
                <w:szCs w:val="20"/>
              </w:rPr>
              <w:br/>
              <w:t>• Removal of productivity loss for family = $0</w:t>
            </w:r>
            <w:r w:rsidRPr="002F1748">
              <w:rPr>
                <w:rFonts w:ascii="Arial Narrow" w:hAnsi="Arial Narrow"/>
                <w:iCs/>
                <w:sz w:val="20"/>
                <w:szCs w:val="20"/>
              </w:rPr>
              <w:br/>
              <w:t>• Removal special education costs = $0</w:t>
            </w:r>
            <w:r w:rsidRPr="002F1748">
              <w:rPr>
                <w:rFonts w:ascii="Arial Narrow" w:hAnsi="Arial Narrow"/>
                <w:iCs/>
                <w:sz w:val="20"/>
                <w:szCs w:val="20"/>
              </w:rPr>
              <w:br/>
              <w:t>• Removal of long-term caregiving costs = $0</w:t>
            </w:r>
            <w:r w:rsidRPr="002F1748">
              <w:rPr>
                <w:rFonts w:ascii="Arial Narrow" w:hAnsi="Arial Narrow"/>
                <w:iCs/>
                <w:sz w:val="20"/>
                <w:szCs w:val="20"/>
              </w:rPr>
              <w:br/>
              <w:t>• Removal QAF = 1</w:t>
            </w:r>
            <w:r w:rsidRPr="002F1748">
              <w:rPr>
                <w:rFonts w:ascii="Arial Narrow" w:hAnsi="Arial Narrow"/>
                <w:iCs/>
                <w:sz w:val="20"/>
                <w:szCs w:val="20"/>
              </w:rPr>
              <w:br/>
              <w:t>• Removal of family and network utility loss factor when child survives and has sequelae = 0</w:t>
            </w:r>
            <w:r w:rsidRPr="002F1748">
              <w:rPr>
                <w:rFonts w:ascii="Arial Narrow" w:hAnsi="Arial Narrow"/>
                <w:iCs/>
                <w:sz w:val="20"/>
                <w:szCs w:val="20"/>
              </w:rPr>
              <w:br/>
              <w:t xml:space="preserve">• Family and network utility loss factor for bereaved family = 1 </w:t>
            </w:r>
            <w:r w:rsidRPr="002F1748">
              <w:rPr>
                <w:rFonts w:ascii="Arial Narrow" w:hAnsi="Arial Narrow"/>
                <w:iCs/>
                <w:sz w:val="20"/>
                <w:szCs w:val="20"/>
              </w:rPr>
              <w:br/>
              <w:t>• Removal professional caregiver’s utility decrement = 1</w:t>
            </w:r>
          </w:p>
        </w:tc>
        <w:tc>
          <w:tcPr>
            <w:tcW w:w="1571" w:type="dxa"/>
            <w:shd w:val="clear" w:color="auto" w:fill="auto"/>
            <w:noWrap/>
            <w:vAlign w:val="center"/>
            <w:hideMark/>
          </w:tcPr>
          <w:p w:rsidR="00DC3824" w:rsidRPr="002F1748" w:rsidRDefault="00DC3824" w:rsidP="00A40EE9">
            <w:pPr>
              <w:keepNext/>
              <w:keepLines/>
              <w:jc w:val="center"/>
              <w:rPr>
                <w:rFonts w:ascii="Arial Narrow" w:hAnsi="Arial Narrow"/>
                <w:sz w:val="20"/>
                <w:szCs w:val="20"/>
              </w:rPr>
            </w:pPr>
            <w:r w:rsidRPr="002F1748">
              <w:rPr>
                <w:rFonts w:ascii="Arial Narrow" w:hAnsi="Arial Narrow"/>
                <w:sz w:val="20"/>
                <w:szCs w:val="20"/>
              </w:rPr>
              <w:t>$</w:t>
            </w:r>
            <w:r w:rsidR="00BB196F">
              <w:rPr>
                <w:rFonts w:ascii="Arial Narrow" w:hAnsi="Arial Narrow"/>
                <w:noProof/>
                <w:color w:val="000000"/>
                <w:sz w:val="20"/>
                <w:szCs w:val="20"/>
                <w:highlight w:val="black"/>
              </w:rPr>
              <w:t>'''''''''''''''''''''''''''''''''''</w:t>
            </w:r>
          </w:p>
        </w:tc>
        <w:tc>
          <w:tcPr>
            <w:tcW w:w="1571" w:type="dxa"/>
            <w:shd w:val="clear" w:color="auto" w:fill="auto"/>
            <w:noWrap/>
            <w:vAlign w:val="center"/>
            <w:hideMark/>
          </w:tcPr>
          <w:p w:rsidR="00DC3824" w:rsidRPr="002F1748" w:rsidRDefault="00DC3824" w:rsidP="00A40EE9">
            <w:pPr>
              <w:keepNext/>
              <w:keepLines/>
              <w:jc w:val="center"/>
              <w:rPr>
                <w:rFonts w:ascii="Arial Narrow" w:hAnsi="Arial Narrow"/>
                <w:sz w:val="20"/>
                <w:szCs w:val="20"/>
              </w:rPr>
            </w:pPr>
            <w:r w:rsidRPr="002F1748">
              <w:rPr>
                <w:rFonts w:ascii="Arial Narrow" w:hAnsi="Arial Narrow"/>
                <w:sz w:val="20"/>
                <w:szCs w:val="20"/>
              </w:rPr>
              <w:t>-</w:t>
            </w:r>
            <w:r w:rsidR="00BB196F">
              <w:rPr>
                <w:rFonts w:ascii="Arial Narrow" w:hAnsi="Arial Narrow"/>
                <w:noProof/>
                <w:color w:val="000000"/>
                <w:sz w:val="20"/>
                <w:szCs w:val="20"/>
                <w:highlight w:val="black"/>
              </w:rPr>
              <w:t>''''''''''''''</w:t>
            </w:r>
          </w:p>
        </w:tc>
        <w:tc>
          <w:tcPr>
            <w:tcW w:w="1572" w:type="dxa"/>
            <w:shd w:val="clear" w:color="auto" w:fill="auto"/>
            <w:noWrap/>
            <w:vAlign w:val="center"/>
            <w:hideMark/>
          </w:tcPr>
          <w:p w:rsidR="00DC3824" w:rsidRPr="002F1748" w:rsidRDefault="00DC3824" w:rsidP="00A40EE9">
            <w:pPr>
              <w:keepNext/>
              <w:keepLines/>
              <w:jc w:val="center"/>
              <w:rPr>
                <w:rFonts w:ascii="Arial Narrow" w:hAnsi="Arial Narrow"/>
                <w:sz w:val="20"/>
                <w:szCs w:val="20"/>
              </w:rPr>
            </w:pPr>
            <w:r w:rsidRPr="002F1748">
              <w:rPr>
                <w:rFonts w:ascii="Arial Narrow" w:hAnsi="Arial Narrow"/>
                <w:sz w:val="20"/>
                <w:szCs w:val="20"/>
              </w:rPr>
              <w:t>$</w:t>
            </w:r>
            <w:r w:rsidR="00BB196F">
              <w:rPr>
                <w:rFonts w:ascii="Arial Narrow" w:hAnsi="Arial Narrow"/>
                <w:noProof/>
                <w:color w:val="000000"/>
                <w:sz w:val="20"/>
                <w:szCs w:val="20"/>
                <w:highlight w:val="black"/>
              </w:rPr>
              <w:t>'''''''''''''''''''''</w:t>
            </w:r>
          </w:p>
        </w:tc>
      </w:tr>
    </w:tbl>
    <w:p w:rsidR="003B61C2" w:rsidRPr="007108BC" w:rsidRDefault="003B61C2" w:rsidP="00A40EE9">
      <w:pPr>
        <w:keepNext/>
        <w:keepLines/>
        <w:jc w:val="both"/>
        <w:rPr>
          <w:rFonts w:ascii="Arial Narrow" w:hAnsi="Arial Narrow"/>
          <w:sz w:val="18"/>
          <w:szCs w:val="18"/>
        </w:rPr>
      </w:pPr>
      <w:r w:rsidRPr="007108BC">
        <w:rPr>
          <w:rFonts w:ascii="Arial Narrow" w:hAnsi="Arial Narrow"/>
          <w:sz w:val="18"/>
          <w:szCs w:val="18"/>
        </w:rPr>
        <w:t xml:space="preserve">Abbreviations: </w:t>
      </w:r>
      <w:r w:rsidR="00846128">
        <w:rPr>
          <w:rFonts w:ascii="Arial Narrow" w:hAnsi="Arial Narrow"/>
          <w:sz w:val="18"/>
          <w:szCs w:val="18"/>
        </w:rPr>
        <w:t xml:space="preserve">ICER=incremental cost effectiveness ratio; </w:t>
      </w:r>
      <w:r w:rsidRPr="007108BC">
        <w:rPr>
          <w:rFonts w:ascii="Arial Narrow" w:hAnsi="Arial Narrow"/>
          <w:sz w:val="18"/>
          <w:szCs w:val="18"/>
        </w:rPr>
        <w:t xml:space="preserve">prob= probability; QAF = quality adjustment factor; </w:t>
      </w:r>
      <w:r w:rsidR="00846128">
        <w:rPr>
          <w:rFonts w:ascii="Arial Narrow" w:hAnsi="Arial Narrow"/>
          <w:sz w:val="18"/>
          <w:szCs w:val="18"/>
        </w:rPr>
        <w:t xml:space="preserve">QALY=quality adjusted life year; </w:t>
      </w:r>
      <w:r w:rsidRPr="007108BC">
        <w:rPr>
          <w:rFonts w:ascii="Arial Narrow" w:hAnsi="Arial Narrow"/>
          <w:sz w:val="18"/>
          <w:szCs w:val="18"/>
        </w:rPr>
        <w:t xml:space="preserve">VE = vaccine effectiveness. </w:t>
      </w:r>
    </w:p>
    <w:p w:rsidR="003B61C2" w:rsidRPr="007108BC" w:rsidRDefault="003B61C2" w:rsidP="00A40EE9">
      <w:pPr>
        <w:keepNext/>
        <w:keepLines/>
        <w:jc w:val="both"/>
        <w:rPr>
          <w:rFonts w:ascii="Arial Narrow" w:hAnsi="Arial Narrow"/>
          <w:sz w:val="18"/>
          <w:szCs w:val="18"/>
        </w:rPr>
      </w:pPr>
      <w:r w:rsidRPr="007108BC">
        <w:rPr>
          <w:rFonts w:ascii="Arial Narrow" w:hAnsi="Arial Narrow"/>
          <w:sz w:val="18"/>
          <w:szCs w:val="18"/>
        </w:rPr>
        <w:t xml:space="preserve">Note: </w:t>
      </w:r>
      <w:r w:rsidRPr="00D51D60">
        <w:rPr>
          <w:rFonts w:ascii="Arial Narrow" w:hAnsi="Arial Narrow"/>
          <w:sz w:val="20"/>
          <w:vertAlign w:val="superscript"/>
        </w:rPr>
        <w:t>a</w:t>
      </w:r>
      <w:r w:rsidRPr="007108BC">
        <w:rPr>
          <w:rFonts w:ascii="Arial Narrow" w:hAnsi="Arial Narrow"/>
          <w:sz w:val="18"/>
        </w:rPr>
        <w:t xml:space="preserve"> Given that the intervention prevents disease, the health gain represents less loss from fewer individuals being diagnosed with IMD;</w:t>
      </w:r>
      <w:r w:rsidR="00DC3824">
        <w:rPr>
          <w:rFonts w:ascii="Arial Narrow" w:hAnsi="Arial Narrow"/>
          <w:sz w:val="18"/>
        </w:rPr>
        <w:t xml:space="preserve"> </w:t>
      </w:r>
      <w:r w:rsidR="00DC3824" w:rsidRPr="00DC3824">
        <w:rPr>
          <w:rFonts w:ascii="Arial Narrow" w:hAnsi="Arial Narrow"/>
          <w:sz w:val="18"/>
          <w:vertAlign w:val="superscript"/>
        </w:rPr>
        <w:t xml:space="preserve">b </w:t>
      </w:r>
      <w:r w:rsidR="00DC3824">
        <w:rPr>
          <w:rFonts w:ascii="Arial Narrow" w:hAnsi="Arial Narrow"/>
          <w:sz w:val="18"/>
        </w:rPr>
        <w:t xml:space="preserve">Results in a similar disease incidence as observed in 2001 to 2003; </w:t>
      </w:r>
      <w:r w:rsidR="00DC3824" w:rsidRPr="00DC3824">
        <w:rPr>
          <w:rFonts w:ascii="Arial Narrow" w:hAnsi="Arial Narrow"/>
          <w:sz w:val="18"/>
          <w:vertAlign w:val="superscript"/>
        </w:rPr>
        <w:t xml:space="preserve">c </w:t>
      </w:r>
      <w:r w:rsidR="00DC3824">
        <w:rPr>
          <w:rFonts w:ascii="Arial Narrow" w:hAnsi="Arial Narrow"/>
          <w:sz w:val="18"/>
        </w:rPr>
        <w:t xml:space="preserve">considered by ATAGI to represent a hyperendemic scenario; </w:t>
      </w:r>
      <w:r w:rsidR="00DC3824">
        <w:rPr>
          <w:rFonts w:ascii="Arial Narrow" w:hAnsi="Arial Narrow"/>
          <w:sz w:val="18"/>
          <w:szCs w:val="18"/>
          <w:vertAlign w:val="superscript"/>
        </w:rPr>
        <w:t>d</w:t>
      </w:r>
      <w:r w:rsidRPr="007108BC">
        <w:rPr>
          <w:rFonts w:ascii="Arial Narrow" w:hAnsi="Arial Narrow"/>
          <w:sz w:val="18"/>
          <w:szCs w:val="18"/>
        </w:rPr>
        <w:t xml:space="preserve">Could not </w:t>
      </w:r>
      <w:r w:rsidR="00870CA8">
        <w:rPr>
          <w:rFonts w:ascii="Arial Narrow" w:hAnsi="Arial Narrow"/>
          <w:sz w:val="18"/>
          <w:szCs w:val="18"/>
        </w:rPr>
        <w:t xml:space="preserve">be </w:t>
      </w:r>
      <w:r w:rsidRPr="007108BC">
        <w:rPr>
          <w:rFonts w:ascii="Arial Narrow" w:hAnsi="Arial Narrow"/>
          <w:sz w:val="18"/>
          <w:szCs w:val="18"/>
        </w:rPr>
        <w:t>verif</w:t>
      </w:r>
      <w:r w:rsidR="00870CA8">
        <w:rPr>
          <w:rFonts w:ascii="Arial Narrow" w:hAnsi="Arial Narrow"/>
          <w:sz w:val="18"/>
          <w:szCs w:val="18"/>
        </w:rPr>
        <w:t>ied</w:t>
      </w:r>
      <w:r w:rsidRPr="007108BC">
        <w:rPr>
          <w:rFonts w:ascii="Arial Narrow" w:hAnsi="Arial Narrow"/>
          <w:sz w:val="18"/>
          <w:szCs w:val="18"/>
        </w:rPr>
        <w:t xml:space="preserve"> during the evaluation ICER returned $</w:t>
      </w:r>
      <w:r w:rsidR="00BB196F">
        <w:rPr>
          <w:rFonts w:ascii="Arial Narrow" w:hAnsi="Arial Narrow"/>
          <w:noProof/>
          <w:color w:val="000000"/>
          <w:sz w:val="18"/>
          <w:szCs w:val="18"/>
          <w:highlight w:val="black"/>
        </w:rPr>
        <w:t>''''''''''''''</w:t>
      </w:r>
      <w:r w:rsidRPr="007108BC">
        <w:rPr>
          <w:rFonts w:ascii="Arial Narrow" w:hAnsi="Arial Narrow"/>
          <w:sz w:val="18"/>
          <w:szCs w:val="18"/>
        </w:rPr>
        <w:t xml:space="preserve"> when 93% for protection of infant against ACWY and Protection against carriage against ACWY was 26.5%.</w:t>
      </w:r>
    </w:p>
    <w:p w:rsidR="003B61C2" w:rsidRPr="006E6C6C" w:rsidRDefault="003B61C2" w:rsidP="00A40EE9">
      <w:pPr>
        <w:keepNext/>
        <w:keepLines/>
        <w:jc w:val="both"/>
        <w:rPr>
          <w:rFonts w:ascii="Arial Narrow" w:hAnsi="Arial Narrow"/>
          <w:sz w:val="18"/>
          <w:szCs w:val="18"/>
        </w:rPr>
      </w:pPr>
      <w:r w:rsidRPr="007108BC">
        <w:rPr>
          <w:rFonts w:ascii="Arial Narrow" w:hAnsi="Arial Narrow"/>
          <w:sz w:val="18"/>
          <w:szCs w:val="18"/>
        </w:rPr>
        <w:lastRenderedPageBreak/>
        <w:t xml:space="preserve">Source: p.297-302 of the resubmission. </w:t>
      </w:r>
      <w:r w:rsidRPr="006E6C6C">
        <w:rPr>
          <w:rFonts w:ascii="Arial Narrow" w:hAnsi="Arial Narrow"/>
          <w:sz w:val="18"/>
          <w:szCs w:val="18"/>
        </w:rPr>
        <w:t xml:space="preserve">Compiled during the evaluation using Excel spreadsheet ‘Workbook i General Population Model 190701’. </w:t>
      </w:r>
    </w:p>
    <w:p w:rsidR="003B61C2" w:rsidRDefault="003B61C2" w:rsidP="00A40EE9">
      <w:pPr>
        <w:pStyle w:val="BodyText"/>
        <w:keepNext/>
        <w:keepLines/>
        <w:jc w:val="both"/>
      </w:pPr>
    </w:p>
    <w:p w:rsidR="00244778" w:rsidRPr="00962B3B" w:rsidRDefault="0009723A" w:rsidP="00EB423F">
      <w:pPr>
        <w:pStyle w:val="bulletnumberedstyle"/>
      </w:pPr>
      <w:r w:rsidRPr="00962B3B">
        <w:t>The ESC considered that including outcomes beyond the health outcomes of the patient receiving the intervention</w:t>
      </w:r>
      <w:r w:rsidR="007B66B0" w:rsidRPr="00962B3B">
        <w:t xml:space="preserve"> </w:t>
      </w:r>
      <w:r w:rsidRPr="00962B3B">
        <w:t>and beyond the health care system w</w:t>
      </w:r>
      <w:r w:rsidR="00ED2F23" w:rsidRPr="00962B3B">
        <w:t>as</w:t>
      </w:r>
      <w:r w:rsidRPr="00962B3B">
        <w:t xml:space="preserve"> not appropriate in the base case. However,</w:t>
      </w:r>
      <w:r w:rsidR="00637E22" w:rsidRPr="00962B3B">
        <w:t xml:space="preserve"> inclusion</w:t>
      </w:r>
      <w:r w:rsidRPr="00962B3B">
        <w:t xml:space="preserve"> of these outcomes in</w:t>
      </w:r>
      <w:r w:rsidR="00F01DEA" w:rsidRPr="00962B3B">
        <w:t xml:space="preserve"> </w:t>
      </w:r>
      <w:r w:rsidRPr="00962B3B">
        <w:t>sensitivity analyses would be informative.</w:t>
      </w:r>
      <w:r w:rsidR="00D52F7C" w:rsidRPr="00962B3B">
        <w:t xml:space="preserve"> </w:t>
      </w:r>
    </w:p>
    <w:p w:rsidR="0038027C" w:rsidRPr="00962B3B" w:rsidRDefault="009C0466" w:rsidP="00B86BC0">
      <w:pPr>
        <w:pStyle w:val="bulletnumberedstyle"/>
      </w:pPr>
      <w:r w:rsidRPr="00962B3B">
        <w:t xml:space="preserve">The ESC considered the scenario aligned with the PBAC guidelines (paragraph </w:t>
      </w:r>
      <w:r w:rsidRPr="00EE7D9D">
        <w:t>6.3</w:t>
      </w:r>
      <w:r w:rsidR="00EE7D9D" w:rsidRPr="00EE7D9D">
        <w:t>6</w:t>
      </w:r>
      <w:r w:rsidRPr="00EE7D9D">
        <w:t>)</w:t>
      </w:r>
      <w:r w:rsidRPr="00962B3B">
        <w:t xml:space="preserve"> </w:t>
      </w:r>
      <w:r w:rsidR="00A1292E" w:rsidRPr="00962B3B">
        <w:t xml:space="preserve">provided a more reasonable </w:t>
      </w:r>
      <w:r w:rsidR="00AC5D18" w:rsidRPr="00962B3B">
        <w:t xml:space="preserve">and consistent </w:t>
      </w:r>
      <w:r w:rsidRPr="00962B3B">
        <w:t>base case</w:t>
      </w:r>
      <w:r w:rsidR="00B66E00" w:rsidRPr="00962B3B">
        <w:t xml:space="preserve"> economic</w:t>
      </w:r>
      <w:r w:rsidR="000923C5" w:rsidRPr="00962B3B">
        <w:t xml:space="preserve"> analysis</w:t>
      </w:r>
      <w:r w:rsidR="00AE3970" w:rsidRPr="00962B3B">
        <w:t>.</w:t>
      </w:r>
      <w:r w:rsidR="000923C5" w:rsidRPr="00962B3B">
        <w:t xml:space="preserve"> The ESC considered </w:t>
      </w:r>
      <w:r w:rsidR="00B86BC0">
        <w:t xml:space="preserve">a modified PBAC guidelines scenario </w:t>
      </w:r>
      <w:r w:rsidR="000923C5" w:rsidRPr="00962B3B">
        <w:t xml:space="preserve">that </w:t>
      </w:r>
      <w:r w:rsidR="00B86BC0">
        <w:t xml:space="preserve">included </w:t>
      </w:r>
      <w:r w:rsidR="000923C5" w:rsidRPr="00962B3B">
        <w:t xml:space="preserve">utility </w:t>
      </w:r>
      <w:r w:rsidR="00B86BC0">
        <w:t xml:space="preserve">loss </w:t>
      </w:r>
      <w:r w:rsidR="000923C5" w:rsidRPr="00962B3B">
        <w:t>for</w:t>
      </w:r>
      <w:r w:rsidR="00B66E00" w:rsidRPr="00962B3B">
        <w:t xml:space="preserve"> family and network</w:t>
      </w:r>
      <w:r w:rsidR="000923C5" w:rsidRPr="00962B3B">
        <w:t xml:space="preserve">, </w:t>
      </w:r>
      <w:r w:rsidR="00B86BC0">
        <w:t xml:space="preserve">long-term special </w:t>
      </w:r>
      <w:r w:rsidR="000923C5" w:rsidRPr="00962B3B">
        <w:t>education</w:t>
      </w:r>
      <w:r w:rsidR="00B86BC0">
        <w:t xml:space="preserve"> costs, </w:t>
      </w:r>
      <w:r w:rsidR="00B66E00" w:rsidRPr="00962B3B">
        <w:t>long-term caregiv</w:t>
      </w:r>
      <w:r w:rsidR="00B86BC0">
        <w:t>ing</w:t>
      </w:r>
      <w:r w:rsidR="00B66E00" w:rsidRPr="00962B3B">
        <w:t xml:space="preserve"> costs</w:t>
      </w:r>
      <w:r w:rsidR="000923C5" w:rsidRPr="00962B3B">
        <w:t xml:space="preserve"> and a discount rate </w:t>
      </w:r>
      <w:r w:rsidR="00B86BC0">
        <w:t xml:space="preserve">of 3.5% </w:t>
      </w:r>
      <w:r w:rsidR="006C0318" w:rsidRPr="00962B3B">
        <w:t xml:space="preserve">could </w:t>
      </w:r>
      <w:r w:rsidR="000923C5" w:rsidRPr="00962B3B">
        <w:t xml:space="preserve">be considered </w:t>
      </w:r>
      <w:r w:rsidR="00B86BC0">
        <w:t xml:space="preserve">as a </w:t>
      </w:r>
      <w:r w:rsidR="000923C5" w:rsidRPr="00962B3B">
        <w:t>sensitivity analys</w:t>
      </w:r>
      <w:r w:rsidR="00B86BC0">
        <w:t>i</w:t>
      </w:r>
      <w:r w:rsidR="000923C5" w:rsidRPr="00962B3B">
        <w:t xml:space="preserve">s. </w:t>
      </w:r>
      <w:r w:rsidR="00B66E00" w:rsidRPr="00962B3B">
        <w:t>The</w:t>
      </w:r>
      <w:r w:rsidR="00791FDC">
        <w:t>se</w:t>
      </w:r>
      <w:r w:rsidR="00B66E00" w:rsidRPr="00962B3B">
        <w:t xml:space="preserve"> ICERs for the </w:t>
      </w:r>
      <w:r w:rsidR="00DF3DAD">
        <w:t>G</w:t>
      </w:r>
      <w:r w:rsidR="00B66E00" w:rsidRPr="00962B3B">
        <w:t xml:space="preserve">eneral population and the </w:t>
      </w:r>
      <w:r w:rsidR="001D04ED" w:rsidRPr="00962B3B">
        <w:t>Aboriginal and Torres Strait Islander</w:t>
      </w:r>
      <w:r w:rsidR="00B66E00" w:rsidRPr="00962B3B">
        <w:t xml:space="preserve"> population are summarised in </w:t>
      </w:r>
      <w:r w:rsidR="00B64939">
        <w:t>T</w:t>
      </w:r>
      <w:r w:rsidR="00B66E00" w:rsidRPr="00962B3B">
        <w:t>able</w:t>
      </w:r>
      <w:r w:rsidR="00B64939">
        <w:t xml:space="preserve"> 14. </w:t>
      </w:r>
    </w:p>
    <w:p w:rsidR="001E7F2B" w:rsidRPr="00962B3B" w:rsidRDefault="00DA23E7" w:rsidP="00EB423F">
      <w:pPr>
        <w:pStyle w:val="bulletnumberedstyle"/>
      </w:pPr>
      <w:r w:rsidRPr="00962B3B">
        <w:t xml:space="preserve">The </w:t>
      </w:r>
      <w:r w:rsidR="000941D8" w:rsidRPr="00962B3B">
        <w:t xml:space="preserve">ESC considered it was informative to see the </w:t>
      </w:r>
      <w:r w:rsidRPr="00962B3B">
        <w:t xml:space="preserve">relationship between the incremental cost per QALY and the price per vial of 4CMenB </w:t>
      </w:r>
      <w:r w:rsidR="000941D8" w:rsidRPr="00962B3B">
        <w:t>(</w:t>
      </w:r>
      <w:r w:rsidR="00AF5143" w:rsidRPr="00962B3B">
        <w:t xml:space="preserve">Figure </w:t>
      </w:r>
      <w:r w:rsidR="004F7862" w:rsidRPr="00962B3B">
        <w:t>4</w:t>
      </w:r>
      <w:r w:rsidR="000941D8" w:rsidRPr="00962B3B">
        <w:t>)</w:t>
      </w:r>
      <w:r w:rsidR="00AF5143" w:rsidRPr="00962B3B">
        <w:t xml:space="preserve">. </w:t>
      </w:r>
    </w:p>
    <w:p w:rsidR="00BC0DD3" w:rsidRPr="00DE2770" w:rsidRDefault="00ED2FC7" w:rsidP="00DE2770">
      <w:pPr>
        <w:keepNext/>
        <w:jc w:val="both"/>
        <w:rPr>
          <w:rFonts w:ascii="Arial Narrow" w:hAnsi="Arial Narrow"/>
          <w:b/>
          <w:sz w:val="20"/>
          <w:szCs w:val="20"/>
        </w:rPr>
      </w:pPr>
      <w:r w:rsidRPr="00DE2770">
        <w:rPr>
          <w:rFonts w:ascii="Arial Narrow" w:hAnsi="Arial Narrow"/>
          <w:b/>
          <w:sz w:val="20"/>
          <w:szCs w:val="20"/>
        </w:rPr>
        <w:t>Figure 4:</w:t>
      </w:r>
      <w:r>
        <w:rPr>
          <w:rFonts w:ascii="Arial Narrow" w:hAnsi="Arial Narrow"/>
          <w:b/>
          <w:sz w:val="20"/>
          <w:szCs w:val="20"/>
        </w:rPr>
        <w:t xml:space="preserve"> </w:t>
      </w:r>
      <w:r w:rsidR="004F7862" w:rsidRPr="00DE2770">
        <w:rPr>
          <w:rFonts w:ascii="Arial Narrow" w:hAnsi="Arial Narrow"/>
          <w:b/>
          <w:sz w:val="20"/>
          <w:szCs w:val="20"/>
        </w:rPr>
        <w:t>Incremental cost per QALY and vial price</w:t>
      </w:r>
    </w:p>
    <w:p w:rsidR="00AF5143" w:rsidRDefault="00BB196F" w:rsidP="00B66E00">
      <w:pPr>
        <w:jc w:val="both"/>
        <w:rPr>
          <w:i/>
        </w:rPr>
      </w:pPr>
      <w:r>
        <w:rPr>
          <w:i/>
          <w:noProof/>
        </w:rPr>
        <w:drawing>
          <wp:inline distT="0" distB="0" distL="0" distR="0">
            <wp:extent cx="5740400" cy="2801620"/>
            <wp:effectExtent l="0" t="0" r="0" b="0"/>
            <wp:docPr id="2" name="Picture 2" title="Figure 4: Incremental cost per QALY and vial price"/>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1">
                      <a:extLst>
                        <a:ext uri="{28A0092B-C50C-407E-A947-70E740481C1C}">
                          <a14:useLocalDpi xmlns:a14="http://schemas.microsoft.com/office/drawing/2010/main" val="0"/>
                        </a:ext>
                      </a:extLst>
                    </a:blip>
                    <a:stretch>
                      <a:fillRect/>
                    </a:stretch>
                  </pic:blipFill>
                  <pic:spPr>
                    <a:xfrm>
                      <a:off x="0" y="0"/>
                      <a:ext cx="5740400" cy="2801620"/>
                    </a:xfrm>
                    <a:prstGeom prst="rect">
                      <a:avLst/>
                    </a:prstGeom>
                  </pic:spPr>
                </pic:pic>
              </a:graphicData>
            </a:graphic>
          </wp:inline>
        </w:drawing>
      </w:r>
    </w:p>
    <w:p w:rsidR="002E2FC0" w:rsidRDefault="002E2FC0">
      <w:pPr>
        <w:rPr>
          <w:rFonts w:ascii="Arial Narrow" w:hAnsi="Arial Narrow"/>
          <w:b/>
          <w:sz w:val="20"/>
          <w:szCs w:val="20"/>
        </w:rPr>
      </w:pPr>
      <w:r>
        <w:rPr>
          <w:rFonts w:ascii="Arial Narrow" w:hAnsi="Arial Narrow"/>
          <w:b/>
          <w:sz w:val="20"/>
          <w:szCs w:val="20"/>
        </w:rPr>
        <w:br w:type="page"/>
      </w:r>
    </w:p>
    <w:p w:rsidR="00ED2F23" w:rsidRPr="009B5407" w:rsidRDefault="008554CA" w:rsidP="009B5407">
      <w:pPr>
        <w:keepNext/>
        <w:jc w:val="both"/>
        <w:rPr>
          <w:rFonts w:ascii="Arial Narrow" w:hAnsi="Arial Narrow"/>
          <w:b/>
          <w:sz w:val="20"/>
          <w:szCs w:val="20"/>
        </w:rPr>
      </w:pPr>
      <w:r>
        <w:rPr>
          <w:rFonts w:ascii="Arial Narrow" w:hAnsi="Arial Narrow"/>
          <w:b/>
          <w:sz w:val="20"/>
          <w:szCs w:val="20"/>
        </w:rPr>
        <w:lastRenderedPageBreak/>
        <w:t>Table 14</w:t>
      </w:r>
      <w:r w:rsidR="00ED2F23" w:rsidRPr="009B5407">
        <w:rPr>
          <w:rFonts w:ascii="Arial Narrow" w:hAnsi="Arial Narrow"/>
          <w:b/>
          <w:sz w:val="20"/>
          <w:szCs w:val="20"/>
        </w:rPr>
        <w:t xml:space="preserve">: </w:t>
      </w:r>
      <w:r w:rsidR="00CA4E72">
        <w:rPr>
          <w:rFonts w:ascii="Arial Narrow" w:hAnsi="Arial Narrow"/>
          <w:b/>
          <w:sz w:val="20"/>
          <w:szCs w:val="20"/>
        </w:rPr>
        <w:t>PBAC guidelines scenario (r</w:t>
      </w:r>
      <w:r w:rsidR="00ED2F23" w:rsidRPr="009B5407">
        <w:rPr>
          <w:rFonts w:ascii="Arial Narrow" w:hAnsi="Arial Narrow"/>
          <w:b/>
          <w:sz w:val="20"/>
          <w:szCs w:val="20"/>
        </w:rPr>
        <w:t>evised base</w:t>
      </w:r>
      <w:r w:rsidR="00CA4E72">
        <w:rPr>
          <w:rFonts w:ascii="Arial Narrow" w:hAnsi="Arial Narrow"/>
          <w:b/>
          <w:sz w:val="20"/>
          <w:szCs w:val="20"/>
        </w:rPr>
        <w:t xml:space="preserve"> case)</w:t>
      </w:r>
      <w:r w:rsidR="00ED2F23" w:rsidRPr="009B5407">
        <w:rPr>
          <w:rFonts w:ascii="Arial Narrow" w:hAnsi="Arial Narrow"/>
          <w:b/>
          <w:sz w:val="20"/>
          <w:szCs w:val="20"/>
        </w:rPr>
        <w:t xml:space="preserve"> and </w:t>
      </w:r>
      <w:r w:rsidR="00CA4E72">
        <w:rPr>
          <w:rFonts w:ascii="Arial Narrow" w:hAnsi="Arial Narrow"/>
          <w:b/>
          <w:sz w:val="20"/>
          <w:szCs w:val="20"/>
        </w:rPr>
        <w:t>modified PBAC Guidelines scenario (</w:t>
      </w:r>
      <w:r w:rsidR="00ED2F23" w:rsidRPr="009B5407">
        <w:rPr>
          <w:rFonts w:ascii="Arial Narrow" w:hAnsi="Arial Narrow"/>
          <w:b/>
          <w:sz w:val="20"/>
          <w:szCs w:val="20"/>
        </w:rPr>
        <w:t>sensitivity analys</w:t>
      </w:r>
      <w:r w:rsidR="00CA4E72">
        <w:rPr>
          <w:rFonts w:ascii="Arial Narrow" w:hAnsi="Arial Narrow"/>
          <w:b/>
          <w:sz w:val="20"/>
          <w:szCs w:val="20"/>
        </w:rPr>
        <w:t>i</w:t>
      </w:r>
      <w:r w:rsidR="00ED2F23" w:rsidRPr="009B5407">
        <w:rPr>
          <w:rFonts w:ascii="Arial Narrow" w:hAnsi="Arial Narrow"/>
          <w:b/>
          <w:sz w:val="20"/>
          <w:szCs w:val="20"/>
        </w:rPr>
        <w:t>s</w:t>
      </w:r>
      <w:r w:rsidR="00CA4E72">
        <w:rPr>
          <w:rFonts w:ascii="Arial Narrow" w:hAnsi="Arial Narrow"/>
          <w:b/>
          <w:sz w:val="20"/>
          <w:szCs w:val="20"/>
        </w:rPr>
        <w:t>)</w:t>
      </w:r>
      <w:r w:rsidR="00962B3B">
        <w:rPr>
          <w:rFonts w:ascii="Arial Narrow" w:hAnsi="Arial Narrow"/>
          <w:b/>
          <w:sz w:val="20"/>
          <w:szCs w:val="20"/>
        </w:rPr>
        <w:t>, infants and adolescents, infants only and adolescents only</w:t>
      </w:r>
    </w:p>
    <w:tbl>
      <w:tblPr>
        <w:tblStyle w:val="TableGrid"/>
        <w:tblW w:w="9072" w:type="dxa"/>
        <w:tblInd w:w="-5" w:type="dxa"/>
        <w:tblLayout w:type="fixed"/>
        <w:tblLook w:val="04A0" w:firstRow="1" w:lastRow="0" w:firstColumn="1" w:lastColumn="0" w:noHBand="0" w:noVBand="1"/>
        <w:tblCaption w:val="Table 14: PBAC guidelines scenario (revised base case) and modified PBAC Guidelines scenario (sensitivity analysis), infants and adolescents, infants only and adolescents only"/>
      </w:tblPr>
      <w:tblGrid>
        <w:gridCol w:w="3828"/>
        <w:gridCol w:w="850"/>
        <w:gridCol w:w="851"/>
        <w:gridCol w:w="850"/>
        <w:gridCol w:w="992"/>
        <w:gridCol w:w="851"/>
        <w:gridCol w:w="850"/>
      </w:tblGrid>
      <w:tr w:rsidR="00BA7A1D" w:rsidTr="00962B3B">
        <w:trPr>
          <w:tblHeader/>
        </w:trPr>
        <w:tc>
          <w:tcPr>
            <w:tcW w:w="3828" w:type="dxa"/>
            <w:vMerge w:val="restart"/>
          </w:tcPr>
          <w:p w:rsidR="00BA7A1D" w:rsidRPr="007E31AB" w:rsidRDefault="00BA7A1D" w:rsidP="00ED2F23">
            <w:pPr>
              <w:rPr>
                <w:rFonts w:ascii="Arial Narrow" w:hAnsi="Arial Narrow"/>
                <w:sz w:val="18"/>
                <w:szCs w:val="18"/>
              </w:rPr>
            </w:pPr>
          </w:p>
        </w:tc>
        <w:tc>
          <w:tcPr>
            <w:tcW w:w="2551" w:type="dxa"/>
            <w:gridSpan w:val="3"/>
          </w:tcPr>
          <w:p w:rsidR="00BA7A1D" w:rsidRDefault="00BA7A1D" w:rsidP="00ED2F23">
            <w:pPr>
              <w:jc w:val="center"/>
              <w:rPr>
                <w:rFonts w:ascii="Arial Narrow" w:hAnsi="Arial Narrow"/>
                <w:b/>
                <w:sz w:val="18"/>
                <w:szCs w:val="18"/>
              </w:rPr>
            </w:pPr>
            <w:r>
              <w:rPr>
                <w:rFonts w:ascii="Arial Narrow" w:hAnsi="Arial Narrow"/>
                <w:b/>
                <w:sz w:val="18"/>
                <w:szCs w:val="18"/>
              </w:rPr>
              <w:t>General</w:t>
            </w:r>
            <w:r w:rsidR="00FD7310">
              <w:rPr>
                <w:rFonts w:ascii="Arial Narrow" w:hAnsi="Arial Narrow"/>
                <w:b/>
                <w:sz w:val="18"/>
                <w:szCs w:val="18"/>
              </w:rPr>
              <w:t xml:space="preserve"> </w:t>
            </w:r>
            <w:r w:rsidR="00B86BC0">
              <w:rPr>
                <w:rFonts w:ascii="Arial Narrow" w:hAnsi="Arial Narrow"/>
                <w:b/>
                <w:sz w:val="18"/>
                <w:szCs w:val="18"/>
              </w:rPr>
              <w:t>p</w:t>
            </w:r>
            <w:r w:rsidR="007160D7">
              <w:rPr>
                <w:rFonts w:ascii="Arial Narrow" w:hAnsi="Arial Narrow"/>
                <w:b/>
                <w:sz w:val="18"/>
                <w:szCs w:val="18"/>
              </w:rPr>
              <w:t xml:space="preserve">opulation </w:t>
            </w:r>
          </w:p>
          <w:p w:rsidR="00BA7A1D" w:rsidRDefault="00BA7A1D" w:rsidP="00ED2F23">
            <w:pPr>
              <w:jc w:val="center"/>
              <w:rPr>
                <w:rFonts w:ascii="Arial Narrow" w:hAnsi="Arial Narrow"/>
                <w:b/>
                <w:sz w:val="18"/>
                <w:szCs w:val="18"/>
              </w:rPr>
            </w:pPr>
          </w:p>
        </w:tc>
        <w:tc>
          <w:tcPr>
            <w:tcW w:w="2693" w:type="dxa"/>
            <w:gridSpan w:val="3"/>
          </w:tcPr>
          <w:p w:rsidR="00BA7A1D" w:rsidRDefault="00FD7310" w:rsidP="00ED2F23">
            <w:pPr>
              <w:jc w:val="center"/>
              <w:rPr>
                <w:rFonts w:ascii="Arial Narrow" w:hAnsi="Arial Narrow"/>
                <w:b/>
                <w:sz w:val="18"/>
                <w:szCs w:val="18"/>
              </w:rPr>
            </w:pPr>
            <w:r>
              <w:rPr>
                <w:rFonts w:ascii="Arial Narrow" w:hAnsi="Arial Narrow"/>
                <w:b/>
                <w:sz w:val="18"/>
                <w:szCs w:val="18"/>
              </w:rPr>
              <w:t xml:space="preserve">Aboriginal and Torres Strait Islander </w:t>
            </w:r>
            <w:r w:rsidR="00B86BC0">
              <w:rPr>
                <w:rFonts w:ascii="Arial Narrow" w:hAnsi="Arial Narrow"/>
                <w:b/>
                <w:sz w:val="18"/>
                <w:szCs w:val="18"/>
              </w:rPr>
              <w:t>population</w:t>
            </w:r>
          </w:p>
          <w:p w:rsidR="00BA7A1D" w:rsidRDefault="00BA7A1D" w:rsidP="00ED2F23">
            <w:pPr>
              <w:jc w:val="center"/>
              <w:rPr>
                <w:rFonts w:ascii="Arial Narrow" w:hAnsi="Arial Narrow"/>
                <w:b/>
                <w:sz w:val="18"/>
                <w:szCs w:val="18"/>
              </w:rPr>
            </w:pPr>
          </w:p>
        </w:tc>
      </w:tr>
      <w:tr w:rsidR="00BA7A1D" w:rsidRPr="007E31AB" w:rsidTr="00962B3B">
        <w:tc>
          <w:tcPr>
            <w:tcW w:w="3828" w:type="dxa"/>
            <w:vMerge/>
          </w:tcPr>
          <w:p w:rsidR="00BA7A1D" w:rsidRPr="00082719" w:rsidRDefault="00BA7A1D" w:rsidP="00ED2F23">
            <w:pPr>
              <w:pStyle w:val="ListParagraph"/>
              <w:ind w:left="0"/>
              <w:rPr>
                <w:rFonts w:ascii="Arial Narrow" w:hAnsi="Arial Narrow"/>
                <w:iCs/>
                <w:sz w:val="18"/>
                <w:szCs w:val="18"/>
              </w:rPr>
            </w:pPr>
          </w:p>
        </w:tc>
        <w:tc>
          <w:tcPr>
            <w:tcW w:w="850" w:type="dxa"/>
          </w:tcPr>
          <w:p w:rsidR="00BA7A1D" w:rsidRDefault="00962B3B" w:rsidP="00ED2F23">
            <w:pPr>
              <w:jc w:val="center"/>
              <w:rPr>
                <w:rFonts w:ascii="Arial Narrow" w:hAnsi="Arial Narrow"/>
                <w:sz w:val="18"/>
                <w:szCs w:val="18"/>
              </w:rPr>
            </w:pPr>
            <w:r>
              <w:rPr>
                <w:rFonts w:ascii="Arial Narrow" w:hAnsi="Arial Narrow"/>
                <w:b/>
                <w:sz w:val="18"/>
                <w:szCs w:val="18"/>
              </w:rPr>
              <w:t>I + A</w:t>
            </w:r>
            <w:r w:rsidR="00BA7A1D">
              <w:rPr>
                <w:rFonts w:ascii="Arial Narrow" w:hAnsi="Arial Narrow"/>
                <w:b/>
                <w:sz w:val="18"/>
                <w:szCs w:val="18"/>
              </w:rPr>
              <w:t xml:space="preserve"> </w:t>
            </w:r>
          </w:p>
        </w:tc>
        <w:tc>
          <w:tcPr>
            <w:tcW w:w="851" w:type="dxa"/>
          </w:tcPr>
          <w:p w:rsidR="00BA7A1D" w:rsidRPr="004D5316" w:rsidRDefault="00962B3B" w:rsidP="00ED2F23">
            <w:pPr>
              <w:jc w:val="center"/>
              <w:rPr>
                <w:rFonts w:ascii="Arial Narrow" w:hAnsi="Arial Narrow"/>
                <w:b/>
                <w:sz w:val="18"/>
                <w:szCs w:val="18"/>
              </w:rPr>
            </w:pPr>
            <w:r>
              <w:rPr>
                <w:rFonts w:ascii="Arial Narrow" w:hAnsi="Arial Narrow"/>
                <w:b/>
                <w:sz w:val="18"/>
                <w:szCs w:val="18"/>
              </w:rPr>
              <w:t>I</w:t>
            </w:r>
          </w:p>
        </w:tc>
        <w:tc>
          <w:tcPr>
            <w:tcW w:w="850" w:type="dxa"/>
          </w:tcPr>
          <w:p w:rsidR="00BA7A1D" w:rsidRPr="004D5316" w:rsidRDefault="00962B3B" w:rsidP="00ED2F23">
            <w:pPr>
              <w:jc w:val="center"/>
              <w:rPr>
                <w:rFonts w:ascii="Arial Narrow" w:hAnsi="Arial Narrow"/>
                <w:b/>
                <w:sz w:val="18"/>
                <w:szCs w:val="18"/>
              </w:rPr>
            </w:pPr>
            <w:r>
              <w:rPr>
                <w:rFonts w:ascii="Arial Narrow" w:hAnsi="Arial Narrow"/>
                <w:b/>
                <w:sz w:val="18"/>
                <w:szCs w:val="18"/>
              </w:rPr>
              <w:t>A</w:t>
            </w:r>
          </w:p>
        </w:tc>
        <w:tc>
          <w:tcPr>
            <w:tcW w:w="992" w:type="dxa"/>
          </w:tcPr>
          <w:p w:rsidR="00BA7A1D" w:rsidRDefault="00962B3B" w:rsidP="00ED2F23">
            <w:pPr>
              <w:jc w:val="center"/>
              <w:rPr>
                <w:rFonts w:ascii="Arial Narrow" w:hAnsi="Arial Narrow"/>
                <w:sz w:val="18"/>
                <w:szCs w:val="18"/>
              </w:rPr>
            </w:pPr>
            <w:r>
              <w:rPr>
                <w:rFonts w:ascii="Arial Narrow" w:hAnsi="Arial Narrow"/>
                <w:b/>
                <w:sz w:val="18"/>
                <w:szCs w:val="18"/>
              </w:rPr>
              <w:t xml:space="preserve"> I + A</w:t>
            </w:r>
          </w:p>
        </w:tc>
        <w:tc>
          <w:tcPr>
            <w:tcW w:w="851" w:type="dxa"/>
          </w:tcPr>
          <w:p w:rsidR="00BA7A1D" w:rsidRPr="007E31AB" w:rsidRDefault="00962B3B" w:rsidP="00ED2F23">
            <w:pPr>
              <w:jc w:val="center"/>
              <w:rPr>
                <w:rFonts w:ascii="Arial Narrow" w:hAnsi="Arial Narrow"/>
                <w:sz w:val="18"/>
                <w:szCs w:val="18"/>
              </w:rPr>
            </w:pPr>
            <w:r>
              <w:rPr>
                <w:rFonts w:ascii="Arial Narrow" w:hAnsi="Arial Narrow"/>
                <w:b/>
                <w:sz w:val="18"/>
                <w:szCs w:val="18"/>
              </w:rPr>
              <w:t>I</w:t>
            </w:r>
          </w:p>
        </w:tc>
        <w:tc>
          <w:tcPr>
            <w:tcW w:w="850" w:type="dxa"/>
          </w:tcPr>
          <w:p w:rsidR="00BA7A1D" w:rsidRPr="007E31AB" w:rsidRDefault="00962B3B" w:rsidP="00ED2F23">
            <w:pPr>
              <w:jc w:val="center"/>
              <w:rPr>
                <w:rFonts w:ascii="Arial Narrow" w:hAnsi="Arial Narrow"/>
                <w:sz w:val="18"/>
                <w:szCs w:val="18"/>
              </w:rPr>
            </w:pPr>
            <w:r>
              <w:rPr>
                <w:rFonts w:ascii="Arial Narrow" w:hAnsi="Arial Narrow"/>
                <w:b/>
                <w:sz w:val="18"/>
                <w:szCs w:val="18"/>
              </w:rPr>
              <w:t>A</w:t>
            </w:r>
          </w:p>
        </w:tc>
      </w:tr>
      <w:tr w:rsidR="00ED2F23" w:rsidRPr="007E31AB" w:rsidTr="00962B3B">
        <w:tc>
          <w:tcPr>
            <w:tcW w:w="3828" w:type="dxa"/>
          </w:tcPr>
          <w:p w:rsidR="00ED2F23" w:rsidRPr="00082719" w:rsidRDefault="00ED2F23" w:rsidP="007160D7">
            <w:pPr>
              <w:pStyle w:val="ListParagraph"/>
              <w:ind w:left="0"/>
              <w:rPr>
                <w:rFonts w:ascii="Arial Narrow" w:hAnsi="Arial Narrow"/>
                <w:iCs/>
                <w:sz w:val="18"/>
                <w:szCs w:val="18"/>
              </w:rPr>
            </w:pPr>
            <w:r w:rsidRPr="00082719">
              <w:rPr>
                <w:rFonts w:ascii="Arial Narrow" w:hAnsi="Arial Narrow"/>
                <w:iCs/>
                <w:sz w:val="18"/>
                <w:szCs w:val="18"/>
              </w:rPr>
              <w:t>Base case</w:t>
            </w:r>
            <w:r>
              <w:rPr>
                <w:rFonts w:ascii="Arial Narrow" w:hAnsi="Arial Narrow"/>
                <w:iCs/>
                <w:sz w:val="18"/>
                <w:szCs w:val="18"/>
              </w:rPr>
              <w:t xml:space="preserve"> as per submission </w:t>
            </w:r>
          </w:p>
        </w:tc>
        <w:tc>
          <w:tcPr>
            <w:tcW w:w="850" w:type="dxa"/>
          </w:tcPr>
          <w:p w:rsidR="00ED2F23" w:rsidRPr="007E31AB" w:rsidRDefault="00ED2F23" w:rsidP="00ED2F23">
            <w:pPr>
              <w:jc w:val="center"/>
              <w:rPr>
                <w:rFonts w:ascii="Arial Narrow" w:hAnsi="Arial Narrow"/>
                <w:sz w:val="18"/>
                <w:szCs w:val="18"/>
              </w:rPr>
            </w:pPr>
            <w:r>
              <w:rPr>
                <w:rFonts w:ascii="Arial Narrow" w:hAnsi="Arial Narrow"/>
                <w:sz w:val="18"/>
                <w:szCs w:val="18"/>
              </w:rPr>
              <w:t>$</w:t>
            </w:r>
            <w:r w:rsidR="00BB196F">
              <w:rPr>
                <w:rFonts w:ascii="Arial Narrow" w:hAnsi="Arial Narrow"/>
                <w:noProof/>
                <w:color w:val="000000"/>
                <w:sz w:val="18"/>
                <w:szCs w:val="18"/>
                <w:highlight w:val="black"/>
              </w:rPr>
              <w:t>'''''''''''''''</w:t>
            </w:r>
          </w:p>
        </w:tc>
        <w:tc>
          <w:tcPr>
            <w:tcW w:w="851" w:type="dxa"/>
          </w:tcPr>
          <w:p w:rsidR="00ED2F23" w:rsidRPr="00E41933" w:rsidRDefault="00ED2F23" w:rsidP="00ED2F23">
            <w:pPr>
              <w:jc w:val="center"/>
              <w:rPr>
                <w:rFonts w:ascii="Arial Narrow" w:hAnsi="Arial Narrow"/>
                <w:sz w:val="18"/>
                <w:szCs w:val="18"/>
              </w:rPr>
            </w:pPr>
            <w:r w:rsidRPr="00E41933">
              <w:rPr>
                <w:rFonts w:ascii="Arial Narrow" w:hAnsi="Arial Narrow"/>
                <w:sz w:val="18"/>
                <w:szCs w:val="18"/>
              </w:rPr>
              <w:t>$</w:t>
            </w:r>
            <w:r w:rsidR="00BB196F">
              <w:rPr>
                <w:rFonts w:ascii="Arial Narrow" w:hAnsi="Arial Narrow"/>
                <w:noProof/>
                <w:color w:val="000000"/>
                <w:sz w:val="18"/>
                <w:szCs w:val="18"/>
                <w:highlight w:val="black"/>
              </w:rPr>
              <w:t>''''''''''''''''''</w:t>
            </w:r>
          </w:p>
        </w:tc>
        <w:tc>
          <w:tcPr>
            <w:tcW w:w="850" w:type="dxa"/>
          </w:tcPr>
          <w:p w:rsidR="00ED2F23" w:rsidRPr="00E41933" w:rsidRDefault="00ED2F23" w:rsidP="00ED2F23">
            <w:pPr>
              <w:jc w:val="center"/>
              <w:rPr>
                <w:rFonts w:ascii="Arial Narrow" w:hAnsi="Arial Narrow"/>
                <w:sz w:val="18"/>
                <w:szCs w:val="18"/>
              </w:rPr>
            </w:pPr>
            <w:r w:rsidRPr="00E41933">
              <w:rPr>
                <w:rFonts w:ascii="Arial Narrow" w:hAnsi="Arial Narrow"/>
                <w:sz w:val="18"/>
                <w:szCs w:val="18"/>
              </w:rPr>
              <w:t>$</w:t>
            </w:r>
            <w:r w:rsidR="00BB196F">
              <w:rPr>
                <w:rFonts w:ascii="Arial Narrow" w:hAnsi="Arial Narrow"/>
                <w:noProof/>
                <w:color w:val="000000"/>
                <w:sz w:val="18"/>
                <w:szCs w:val="18"/>
                <w:highlight w:val="black"/>
              </w:rPr>
              <w:t>'''''''''''''''</w:t>
            </w:r>
          </w:p>
        </w:tc>
        <w:tc>
          <w:tcPr>
            <w:tcW w:w="992" w:type="dxa"/>
          </w:tcPr>
          <w:p w:rsidR="00ED2F23" w:rsidRPr="007E31AB" w:rsidRDefault="00ED2F23" w:rsidP="00ED2F23">
            <w:pPr>
              <w:jc w:val="center"/>
              <w:rPr>
                <w:rFonts w:ascii="Arial Narrow" w:hAnsi="Arial Narrow"/>
                <w:sz w:val="18"/>
                <w:szCs w:val="18"/>
              </w:rPr>
            </w:pPr>
            <w:r>
              <w:rPr>
                <w:rFonts w:ascii="Arial Narrow" w:hAnsi="Arial Narrow"/>
                <w:sz w:val="18"/>
                <w:szCs w:val="18"/>
              </w:rPr>
              <w:t>$</w:t>
            </w:r>
            <w:r w:rsidR="00BB196F">
              <w:rPr>
                <w:rFonts w:ascii="Arial Narrow" w:hAnsi="Arial Narrow"/>
                <w:noProof/>
                <w:color w:val="000000"/>
                <w:sz w:val="18"/>
                <w:szCs w:val="18"/>
                <w:highlight w:val="black"/>
              </w:rPr>
              <w:t>''''''''''''''''</w:t>
            </w:r>
          </w:p>
        </w:tc>
        <w:tc>
          <w:tcPr>
            <w:tcW w:w="851" w:type="dxa"/>
          </w:tcPr>
          <w:p w:rsidR="00ED2F23" w:rsidRPr="007E31AB" w:rsidRDefault="00ED2F23" w:rsidP="00ED2F23">
            <w:pPr>
              <w:jc w:val="center"/>
              <w:rPr>
                <w:rFonts w:ascii="Arial Narrow" w:hAnsi="Arial Narrow"/>
                <w:sz w:val="18"/>
                <w:szCs w:val="18"/>
              </w:rPr>
            </w:pPr>
            <w:r w:rsidRPr="00E41933">
              <w:rPr>
                <w:rFonts w:ascii="Arial Narrow" w:hAnsi="Arial Narrow"/>
                <w:sz w:val="18"/>
                <w:szCs w:val="18"/>
              </w:rPr>
              <w:t>$</w:t>
            </w:r>
            <w:r w:rsidR="00BB196F">
              <w:rPr>
                <w:rFonts w:ascii="Arial Narrow" w:hAnsi="Arial Narrow"/>
                <w:noProof/>
                <w:color w:val="000000"/>
                <w:sz w:val="18"/>
                <w:szCs w:val="18"/>
                <w:highlight w:val="black"/>
              </w:rPr>
              <w:t>'''''''''''''</w:t>
            </w:r>
          </w:p>
        </w:tc>
        <w:tc>
          <w:tcPr>
            <w:tcW w:w="850" w:type="dxa"/>
          </w:tcPr>
          <w:p w:rsidR="00ED2F23" w:rsidRPr="007E31AB" w:rsidRDefault="00ED2F23" w:rsidP="00ED2F23">
            <w:pPr>
              <w:jc w:val="center"/>
              <w:rPr>
                <w:rFonts w:ascii="Arial Narrow" w:hAnsi="Arial Narrow"/>
                <w:sz w:val="18"/>
                <w:szCs w:val="18"/>
              </w:rPr>
            </w:pPr>
            <w:r w:rsidRPr="00E41933">
              <w:rPr>
                <w:rFonts w:ascii="Arial Narrow" w:hAnsi="Arial Narrow"/>
                <w:sz w:val="18"/>
                <w:szCs w:val="18"/>
              </w:rPr>
              <w:t>$</w:t>
            </w:r>
            <w:r w:rsidR="00BB196F">
              <w:rPr>
                <w:rFonts w:ascii="Arial Narrow" w:hAnsi="Arial Narrow"/>
                <w:noProof/>
                <w:color w:val="000000"/>
                <w:sz w:val="18"/>
                <w:szCs w:val="18"/>
                <w:highlight w:val="black"/>
              </w:rPr>
              <w:t>'''''''''''''''''</w:t>
            </w:r>
          </w:p>
        </w:tc>
      </w:tr>
      <w:tr w:rsidR="00ED2F23" w:rsidRPr="00961DAB" w:rsidTr="00962B3B">
        <w:tc>
          <w:tcPr>
            <w:tcW w:w="3828" w:type="dxa"/>
          </w:tcPr>
          <w:p w:rsidR="00ED2F23" w:rsidRPr="0003776B" w:rsidRDefault="00ED2F23" w:rsidP="00B86BC0">
            <w:pPr>
              <w:keepNext/>
              <w:rPr>
                <w:rFonts w:ascii="Arial Narrow" w:hAnsi="Arial Narrow"/>
                <w:iCs/>
                <w:sz w:val="18"/>
                <w:szCs w:val="18"/>
              </w:rPr>
            </w:pPr>
            <w:r w:rsidRPr="0003776B">
              <w:rPr>
                <w:rFonts w:ascii="Arial Narrow" w:hAnsi="Arial Narrow"/>
                <w:iCs/>
                <w:sz w:val="18"/>
                <w:szCs w:val="18"/>
              </w:rPr>
              <w:t xml:space="preserve">Base case as per submission </w:t>
            </w:r>
            <w:r w:rsidRPr="006F4F69">
              <w:rPr>
                <w:rFonts w:ascii="Arial Narrow" w:hAnsi="Arial Narrow"/>
                <w:iCs/>
                <w:sz w:val="18"/>
                <w:szCs w:val="18"/>
              </w:rPr>
              <w:t xml:space="preserve">with productivity assumptions equivalent between </w:t>
            </w:r>
            <w:r w:rsidR="00B86BC0">
              <w:rPr>
                <w:rFonts w:ascii="Arial Narrow" w:hAnsi="Arial Narrow"/>
                <w:iCs/>
                <w:sz w:val="18"/>
                <w:szCs w:val="18"/>
              </w:rPr>
              <w:t>G</w:t>
            </w:r>
            <w:r w:rsidRPr="006F4F69">
              <w:rPr>
                <w:rFonts w:ascii="Arial Narrow" w:hAnsi="Arial Narrow"/>
                <w:iCs/>
                <w:sz w:val="18"/>
                <w:szCs w:val="18"/>
              </w:rPr>
              <w:t xml:space="preserve">eneral and </w:t>
            </w:r>
            <w:r w:rsidR="007713DA" w:rsidRPr="006F4F69">
              <w:rPr>
                <w:rFonts w:ascii="Arial Narrow" w:hAnsi="Arial Narrow"/>
                <w:iCs/>
                <w:sz w:val="18"/>
                <w:szCs w:val="18"/>
              </w:rPr>
              <w:t>Aboriginal and Torres Strait Islander</w:t>
            </w:r>
            <w:r w:rsidR="007713DA" w:rsidRPr="006F4F69">
              <w:rPr>
                <w:rFonts w:ascii="Arial Narrow" w:hAnsi="Arial Narrow"/>
                <w:color w:val="000000" w:themeColor="text1"/>
                <w:sz w:val="20"/>
              </w:rPr>
              <w:t xml:space="preserve"> </w:t>
            </w:r>
            <w:r w:rsidR="00B86BC0">
              <w:rPr>
                <w:rFonts w:ascii="Arial Narrow" w:hAnsi="Arial Narrow"/>
                <w:color w:val="000000" w:themeColor="text1"/>
                <w:sz w:val="20"/>
              </w:rPr>
              <w:t xml:space="preserve">population </w:t>
            </w:r>
          </w:p>
        </w:tc>
        <w:tc>
          <w:tcPr>
            <w:tcW w:w="850" w:type="dxa"/>
          </w:tcPr>
          <w:p w:rsidR="00ED2F23" w:rsidRPr="002E2FC0" w:rsidRDefault="00ED2F23" w:rsidP="00ED2F23">
            <w:pPr>
              <w:jc w:val="center"/>
              <w:rPr>
                <w:rFonts w:ascii="Arial Narrow" w:hAnsi="Arial Narrow"/>
                <w:color w:val="000000" w:themeColor="text1"/>
                <w:sz w:val="18"/>
                <w:szCs w:val="18"/>
              </w:rPr>
            </w:pPr>
            <w:r w:rsidRPr="002E2FC0">
              <w:rPr>
                <w:rFonts w:ascii="Arial Narrow" w:hAnsi="Arial Narrow"/>
                <w:sz w:val="18"/>
                <w:szCs w:val="18"/>
              </w:rPr>
              <w:t>$</w:t>
            </w:r>
            <w:r w:rsidR="00BB196F">
              <w:rPr>
                <w:rFonts w:ascii="Arial Narrow" w:hAnsi="Arial Narrow"/>
                <w:noProof/>
                <w:color w:val="000000"/>
                <w:sz w:val="18"/>
                <w:szCs w:val="18"/>
                <w:highlight w:val="black"/>
              </w:rPr>
              <w:t>'''''''''''''''</w:t>
            </w:r>
          </w:p>
        </w:tc>
        <w:tc>
          <w:tcPr>
            <w:tcW w:w="851" w:type="dxa"/>
          </w:tcPr>
          <w:p w:rsidR="00ED2F23" w:rsidRPr="002E2FC0" w:rsidRDefault="00ED2F23" w:rsidP="00ED2F23">
            <w:pPr>
              <w:jc w:val="center"/>
              <w:rPr>
                <w:rFonts w:ascii="Arial Narrow" w:hAnsi="Arial Narrow"/>
                <w:sz w:val="18"/>
                <w:szCs w:val="18"/>
              </w:rPr>
            </w:pPr>
            <w:r w:rsidRPr="002E2FC0">
              <w:rPr>
                <w:rFonts w:ascii="Arial Narrow" w:hAnsi="Arial Narrow"/>
                <w:sz w:val="18"/>
                <w:szCs w:val="18"/>
              </w:rPr>
              <w:t>$</w:t>
            </w:r>
            <w:r w:rsidR="00BB196F">
              <w:rPr>
                <w:rFonts w:ascii="Arial Narrow" w:hAnsi="Arial Narrow"/>
                <w:noProof/>
                <w:color w:val="000000"/>
                <w:sz w:val="18"/>
                <w:szCs w:val="18"/>
                <w:highlight w:val="black"/>
              </w:rPr>
              <w:t>'''''''''''''''''</w:t>
            </w:r>
          </w:p>
        </w:tc>
        <w:tc>
          <w:tcPr>
            <w:tcW w:w="850" w:type="dxa"/>
          </w:tcPr>
          <w:p w:rsidR="00ED2F23" w:rsidRPr="002E2FC0" w:rsidRDefault="00ED2F23" w:rsidP="00ED2F23">
            <w:pPr>
              <w:jc w:val="center"/>
              <w:rPr>
                <w:rFonts w:ascii="Arial Narrow" w:hAnsi="Arial Narrow"/>
                <w:sz w:val="18"/>
                <w:szCs w:val="18"/>
              </w:rPr>
            </w:pPr>
            <w:r w:rsidRPr="002E2FC0">
              <w:rPr>
                <w:rFonts w:ascii="Arial Narrow" w:hAnsi="Arial Narrow"/>
                <w:sz w:val="18"/>
                <w:szCs w:val="18"/>
              </w:rPr>
              <w:t>$</w:t>
            </w:r>
            <w:r w:rsidR="00BB196F">
              <w:rPr>
                <w:rFonts w:ascii="Arial Narrow" w:hAnsi="Arial Narrow"/>
                <w:noProof/>
                <w:color w:val="000000"/>
                <w:sz w:val="18"/>
                <w:szCs w:val="18"/>
                <w:highlight w:val="black"/>
              </w:rPr>
              <w:t>''''''''''''''''</w:t>
            </w:r>
          </w:p>
        </w:tc>
        <w:tc>
          <w:tcPr>
            <w:tcW w:w="992" w:type="dxa"/>
          </w:tcPr>
          <w:p w:rsidR="00ED2F23" w:rsidRPr="002E2FC0" w:rsidRDefault="00ED2F23" w:rsidP="00ED2F23">
            <w:pPr>
              <w:jc w:val="center"/>
              <w:rPr>
                <w:rFonts w:ascii="Arial Narrow" w:hAnsi="Arial Narrow"/>
                <w:color w:val="000000" w:themeColor="text1"/>
                <w:sz w:val="18"/>
                <w:szCs w:val="18"/>
              </w:rPr>
            </w:pPr>
            <w:r w:rsidRPr="002E2FC0">
              <w:rPr>
                <w:rFonts w:ascii="Arial Narrow" w:hAnsi="Arial Narrow"/>
                <w:color w:val="000000" w:themeColor="text1"/>
                <w:sz w:val="18"/>
                <w:szCs w:val="18"/>
              </w:rPr>
              <w:t>Dominant</w:t>
            </w:r>
          </w:p>
        </w:tc>
        <w:tc>
          <w:tcPr>
            <w:tcW w:w="851" w:type="dxa"/>
          </w:tcPr>
          <w:p w:rsidR="00ED2F23" w:rsidRPr="002E2FC0" w:rsidRDefault="00ED2F23" w:rsidP="00ED2F23">
            <w:pPr>
              <w:jc w:val="center"/>
              <w:rPr>
                <w:rFonts w:ascii="Arial Narrow" w:hAnsi="Arial Narrow"/>
                <w:sz w:val="18"/>
                <w:szCs w:val="18"/>
              </w:rPr>
            </w:pPr>
            <w:r w:rsidRPr="002E2FC0">
              <w:rPr>
                <w:rFonts w:ascii="Arial Narrow" w:hAnsi="Arial Narrow"/>
                <w:sz w:val="18"/>
                <w:szCs w:val="18"/>
              </w:rPr>
              <w:t>Dominant</w:t>
            </w:r>
          </w:p>
        </w:tc>
        <w:tc>
          <w:tcPr>
            <w:tcW w:w="850" w:type="dxa"/>
          </w:tcPr>
          <w:p w:rsidR="00ED2F23" w:rsidRPr="002E2FC0" w:rsidRDefault="00ED2F23" w:rsidP="00ED2F23">
            <w:pPr>
              <w:jc w:val="center"/>
              <w:rPr>
                <w:rFonts w:ascii="Arial Narrow" w:hAnsi="Arial Narrow"/>
                <w:sz w:val="18"/>
                <w:szCs w:val="18"/>
              </w:rPr>
            </w:pPr>
            <w:r w:rsidRPr="002E2FC0">
              <w:rPr>
                <w:rFonts w:ascii="Arial Narrow" w:hAnsi="Arial Narrow"/>
                <w:sz w:val="18"/>
                <w:szCs w:val="18"/>
              </w:rPr>
              <w:t>$</w:t>
            </w:r>
            <w:r w:rsidR="00BB196F">
              <w:rPr>
                <w:rFonts w:ascii="Arial Narrow" w:hAnsi="Arial Narrow"/>
                <w:noProof/>
                <w:color w:val="000000"/>
                <w:sz w:val="18"/>
                <w:szCs w:val="18"/>
                <w:highlight w:val="black"/>
              </w:rPr>
              <w:t>''''''''''''''''''</w:t>
            </w:r>
          </w:p>
        </w:tc>
      </w:tr>
      <w:tr w:rsidR="00ED2F23" w:rsidRPr="00F8753B" w:rsidTr="00962B3B">
        <w:tc>
          <w:tcPr>
            <w:tcW w:w="3828" w:type="dxa"/>
            <w:tcBorders>
              <w:bottom w:val="single" w:sz="4" w:space="0" w:color="auto"/>
            </w:tcBorders>
          </w:tcPr>
          <w:p w:rsidR="00ED2F23" w:rsidRPr="007160D7" w:rsidRDefault="00ED2F23" w:rsidP="00ED2F23">
            <w:pPr>
              <w:keepNext/>
              <w:rPr>
                <w:rFonts w:ascii="Arial Narrow" w:hAnsi="Arial Narrow"/>
                <w:iCs/>
                <w:sz w:val="18"/>
                <w:szCs w:val="18"/>
                <w:u w:val="single"/>
              </w:rPr>
            </w:pPr>
            <w:r w:rsidRPr="007160D7">
              <w:rPr>
                <w:rFonts w:ascii="Arial Narrow" w:hAnsi="Arial Narrow"/>
                <w:iCs/>
                <w:sz w:val="18"/>
                <w:szCs w:val="18"/>
                <w:u w:val="single"/>
              </w:rPr>
              <w:t xml:space="preserve">PBAC guidelines </w:t>
            </w:r>
            <w:r w:rsidR="00CA4E72">
              <w:rPr>
                <w:rFonts w:ascii="Arial Narrow" w:hAnsi="Arial Narrow"/>
                <w:iCs/>
                <w:sz w:val="18"/>
                <w:szCs w:val="18"/>
                <w:u w:val="single"/>
              </w:rPr>
              <w:t>scenario</w:t>
            </w:r>
            <w:r w:rsidR="00B86BC0">
              <w:rPr>
                <w:rFonts w:ascii="Arial Narrow" w:hAnsi="Arial Narrow"/>
                <w:iCs/>
                <w:sz w:val="18"/>
                <w:szCs w:val="18"/>
                <w:u w:val="single"/>
              </w:rPr>
              <w:t xml:space="preserve"> (revised base case)</w:t>
            </w:r>
          </w:p>
          <w:p w:rsidR="00ED2F23" w:rsidRPr="0084305C" w:rsidRDefault="00ED2F23" w:rsidP="00DD1767">
            <w:pPr>
              <w:pStyle w:val="ListParagraph"/>
              <w:spacing w:after="0"/>
              <w:ind w:left="0"/>
              <w:rPr>
                <w:rFonts w:ascii="Arial Narrow" w:hAnsi="Arial Narrow"/>
                <w:iCs/>
                <w:sz w:val="18"/>
                <w:szCs w:val="18"/>
              </w:rPr>
            </w:pPr>
            <w:r w:rsidRPr="00B92903">
              <w:rPr>
                <w:rFonts w:ascii="Arial Narrow" w:hAnsi="Arial Narrow"/>
                <w:i/>
                <w:iCs/>
                <w:sz w:val="18"/>
                <w:szCs w:val="18"/>
              </w:rPr>
              <w:t xml:space="preserve">• </w:t>
            </w:r>
            <w:r w:rsidRPr="00F933F0">
              <w:rPr>
                <w:rFonts w:ascii="Arial Narrow" w:hAnsi="Arial Narrow"/>
                <w:iCs/>
                <w:sz w:val="18"/>
                <w:szCs w:val="18"/>
              </w:rPr>
              <w:t>Discount rate = 5% costs and benefits</w:t>
            </w:r>
            <w:r w:rsidRPr="00F933F0">
              <w:rPr>
                <w:rFonts w:ascii="Arial Narrow" w:hAnsi="Arial Narrow"/>
                <w:iCs/>
                <w:sz w:val="18"/>
                <w:szCs w:val="18"/>
              </w:rPr>
              <w:br/>
              <w:t>• Removal productivity loss for patient = $0</w:t>
            </w:r>
            <w:r w:rsidR="00DD1767">
              <w:rPr>
                <w:rFonts w:ascii="Arial Narrow" w:hAnsi="Arial Narrow"/>
                <w:iCs/>
                <w:sz w:val="18"/>
                <w:szCs w:val="18"/>
              </w:rPr>
              <w:t xml:space="preserve"> and </w:t>
            </w:r>
            <w:r w:rsidRPr="00F933F0">
              <w:rPr>
                <w:rFonts w:ascii="Arial Narrow" w:hAnsi="Arial Narrow"/>
                <w:iCs/>
                <w:sz w:val="18"/>
                <w:szCs w:val="18"/>
              </w:rPr>
              <w:t>productivity loss for family = $0</w:t>
            </w:r>
            <w:r w:rsidRPr="00F933F0">
              <w:rPr>
                <w:rFonts w:ascii="Arial Narrow" w:hAnsi="Arial Narrow"/>
                <w:iCs/>
                <w:sz w:val="18"/>
                <w:szCs w:val="18"/>
              </w:rPr>
              <w:br/>
              <w:t>• Removal special education costs = $0</w:t>
            </w:r>
            <w:r w:rsidR="00DD1767">
              <w:rPr>
                <w:rFonts w:ascii="Arial Narrow" w:hAnsi="Arial Narrow"/>
                <w:iCs/>
                <w:sz w:val="18"/>
                <w:szCs w:val="18"/>
              </w:rPr>
              <w:t xml:space="preserve"> and </w:t>
            </w:r>
            <w:r w:rsidRPr="00F933F0">
              <w:rPr>
                <w:rFonts w:ascii="Arial Narrow" w:hAnsi="Arial Narrow"/>
                <w:iCs/>
                <w:sz w:val="18"/>
                <w:szCs w:val="18"/>
              </w:rPr>
              <w:t>long-term caregiving costs = $0</w:t>
            </w:r>
            <w:r w:rsidRPr="00F933F0">
              <w:rPr>
                <w:rFonts w:ascii="Arial Narrow" w:hAnsi="Arial Narrow"/>
                <w:iCs/>
                <w:sz w:val="18"/>
                <w:szCs w:val="18"/>
              </w:rPr>
              <w:br/>
              <w:t>• Removal QAF = 1</w:t>
            </w:r>
            <w:r w:rsidRPr="00F933F0">
              <w:rPr>
                <w:rFonts w:ascii="Arial Narrow" w:hAnsi="Arial Narrow"/>
                <w:iCs/>
                <w:sz w:val="18"/>
                <w:szCs w:val="18"/>
              </w:rPr>
              <w:br/>
              <w:t>• Removal of family and network utility loss factor when child survives and has sequelae = 0</w:t>
            </w:r>
            <w:r w:rsidRPr="00F933F0">
              <w:rPr>
                <w:rFonts w:ascii="Arial Narrow" w:hAnsi="Arial Narrow"/>
                <w:iCs/>
                <w:sz w:val="18"/>
                <w:szCs w:val="18"/>
              </w:rPr>
              <w:br/>
              <w:t xml:space="preserve">• Family and network utility loss factor for bereaved family = 1 </w:t>
            </w:r>
            <w:r w:rsidRPr="00F933F0">
              <w:rPr>
                <w:rFonts w:ascii="Arial Narrow" w:hAnsi="Arial Narrow"/>
                <w:iCs/>
                <w:sz w:val="18"/>
                <w:szCs w:val="18"/>
              </w:rPr>
              <w:br/>
              <w:t>• Removal professional caregiver’s utility decrement = 1</w:t>
            </w:r>
          </w:p>
        </w:tc>
        <w:tc>
          <w:tcPr>
            <w:tcW w:w="850" w:type="dxa"/>
            <w:tcBorders>
              <w:bottom w:val="single" w:sz="4" w:space="0" w:color="auto"/>
            </w:tcBorders>
          </w:tcPr>
          <w:p w:rsidR="00ED2F23" w:rsidRPr="002E2FC0" w:rsidRDefault="00ED2F23" w:rsidP="00ED2F23">
            <w:pPr>
              <w:jc w:val="center"/>
              <w:rPr>
                <w:rFonts w:ascii="Arial Narrow" w:hAnsi="Arial Narrow"/>
                <w:sz w:val="18"/>
                <w:szCs w:val="18"/>
              </w:rPr>
            </w:pPr>
            <w:r w:rsidRPr="002E2FC0">
              <w:rPr>
                <w:rFonts w:ascii="Arial Narrow" w:hAnsi="Arial Narrow"/>
                <w:color w:val="000000" w:themeColor="text1"/>
                <w:sz w:val="18"/>
                <w:szCs w:val="18"/>
              </w:rPr>
              <w:t>$</w:t>
            </w:r>
            <w:r w:rsidR="00BB196F">
              <w:rPr>
                <w:rFonts w:ascii="Arial Narrow" w:hAnsi="Arial Narrow"/>
                <w:noProof/>
                <w:color w:val="000000"/>
                <w:sz w:val="18"/>
                <w:szCs w:val="18"/>
                <w:highlight w:val="black"/>
              </w:rPr>
              <w:t>'''''''''''''''''''''</w:t>
            </w:r>
          </w:p>
        </w:tc>
        <w:tc>
          <w:tcPr>
            <w:tcW w:w="851" w:type="dxa"/>
            <w:tcBorders>
              <w:bottom w:val="single" w:sz="4" w:space="0" w:color="auto"/>
            </w:tcBorders>
          </w:tcPr>
          <w:p w:rsidR="00ED2F23" w:rsidRPr="002E2FC0" w:rsidRDefault="00ED2F23" w:rsidP="00ED2F23">
            <w:pPr>
              <w:jc w:val="center"/>
              <w:rPr>
                <w:rFonts w:ascii="Arial Narrow" w:hAnsi="Arial Narrow"/>
                <w:sz w:val="18"/>
                <w:szCs w:val="18"/>
              </w:rPr>
            </w:pPr>
            <w:r w:rsidRPr="002E2FC0">
              <w:rPr>
                <w:rFonts w:ascii="Arial Narrow" w:hAnsi="Arial Narrow"/>
                <w:sz w:val="18"/>
                <w:szCs w:val="18"/>
              </w:rPr>
              <w:t>$</w:t>
            </w:r>
            <w:r w:rsidR="00BB196F">
              <w:rPr>
                <w:rFonts w:ascii="Arial Narrow" w:hAnsi="Arial Narrow"/>
                <w:noProof/>
                <w:color w:val="000000"/>
                <w:sz w:val="18"/>
                <w:szCs w:val="18"/>
                <w:highlight w:val="black"/>
              </w:rPr>
              <w:t>'''''''''''''''''''</w:t>
            </w:r>
          </w:p>
        </w:tc>
        <w:tc>
          <w:tcPr>
            <w:tcW w:w="850" w:type="dxa"/>
            <w:tcBorders>
              <w:bottom w:val="single" w:sz="4" w:space="0" w:color="auto"/>
            </w:tcBorders>
          </w:tcPr>
          <w:p w:rsidR="00ED2F23" w:rsidRPr="002E2FC0" w:rsidRDefault="00ED2F23" w:rsidP="00ED2F23">
            <w:pPr>
              <w:jc w:val="center"/>
              <w:rPr>
                <w:rFonts w:ascii="Arial Narrow" w:hAnsi="Arial Narrow"/>
                <w:sz w:val="18"/>
                <w:szCs w:val="18"/>
              </w:rPr>
            </w:pPr>
            <w:r w:rsidRPr="002E2FC0">
              <w:rPr>
                <w:rFonts w:ascii="Arial Narrow" w:hAnsi="Arial Narrow"/>
                <w:sz w:val="18"/>
                <w:szCs w:val="18"/>
              </w:rPr>
              <w:t>$</w:t>
            </w:r>
            <w:r w:rsidR="00BB196F">
              <w:rPr>
                <w:rFonts w:ascii="Arial Narrow" w:hAnsi="Arial Narrow"/>
                <w:noProof/>
                <w:color w:val="000000"/>
                <w:sz w:val="18"/>
                <w:szCs w:val="18"/>
                <w:highlight w:val="black"/>
              </w:rPr>
              <w:t>'''''''''''''''''''''</w:t>
            </w:r>
          </w:p>
        </w:tc>
        <w:tc>
          <w:tcPr>
            <w:tcW w:w="992" w:type="dxa"/>
            <w:tcBorders>
              <w:bottom w:val="single" w:sz="4" w:space="0" w:color="auto"/>
            </w:tcBorders>
          </w:tcPr>
          <w:p w:rsidR="00ED2F23" w:rsidRPr="00CB71EA" w:rsidRDefault="00ED2F23" w:rsidP="00ED2F23">
            <w:pPr>
              <w:jc w:val="center"/>
              <w:rPr>
                <w:rFonts w:ascii="Arial Narrow" w:hAnsi="Arial Narrow"/>
                <w:sz w:val="18"/>
                <w:szCs w:val="18"/>
              </w:rPr>
            </w:pPr>
            <w:r w:rsidRPr="00CB71EA">
              <w:rPr>
                <w:rFonts w:ascii="Arial Narrow" w:hAnsi="Arial Narrow"/>
                <w:color w:val="000000" w:themeColor="text1"/>
                <w:sz w:val="18"/>
                <w:szCs w:val="18"/>
              </w:rPr>
              <w:t>$</w:t>
            </w:r>
            <w:r w:rsidR="00BB196F">
              <w:rPr>
                <w:rFonts w:ascii="Arial Narrow" w:hAnsi="Arial Narrow"/>
                <w:noProof/>
                <w:color w:val="000000"/>
                <w:sz w:val="18"/>
                <w:szCs w:val="18"/>
                <w:highlight w:val="black"/>
              </w:rPr>
              <w:t>''''''''''''''''''''</w:t>
            </w:r>
          </w:p>
        </w:tc>
        <w:tc>
          <w:tcPr>
            <w:tcW w:w="851" w:type="dxa"/>
            <w:tcBorders>
              <w:bottom w:val="single" w:sz="4" w:space="0" w:color="auto"/>
            </w:tcBorders>
          </w:tcPr>
          <w:p w:rsidR="00ED2F23" w:rsidRPr="002E2FC0" w:rsidRDefault="00ED2F23" w:rsidP="00ED2F23">
            <w:pPr>
              <w:jc w:val="center"/>
              <w:rPr>
                <w:rFonts w:ascii="Arial Narrow" w:hAnsi="Arial Narrow"/>
                <w:sz w:val="18"/>
                <w:szCs w:val="18"/>
              </w:rPr>
            </w:pPr>
            <w:r w:rsidRPr="002E2FC0">
              <w:rPr>
                <w:rFonts w:ascii="Arial Narrow" w:hAnsi="Arial Narrow"/>
                <w:sz w:val="18"/>
                <w:szCs w:val="18"/>
              </w:rPr>
              <w:t>$</w:t>
            </w:r>
            <w:r w:rsidR="00BB196F">
              <w:rPr>
                <w:rFonts w:ascii="Arial Narrow" w:hAnsi="Arial Narrow"/>
                <w:noProof/>
                <w:color w:val="000000"/>
                <w:sz w:val="18"/>
                <w:szCs w:val="18"/>
                <w:highlight w:val="black"/>
              </w:rPr>
              <w:t>''''''''''''''''''</w:t>
            </w:r>
          </w:p>
        </w:tc>
        <w:tc>
          <w:tcPr>
            <w:tcW w:w="850" w:type="dxa"/>
            <w:tcBorders>
              <w:bottom w:val="single" w:sz="4" w:space="0" w:color="auto"/>
            </w:tcBorders>
          </w:tcPr>
          <w:p w:rsidR="00ED2F23" w:rsidRPr="002E2FC0" w:rsidRDefault="00ED2F23" w:rsidP="00ED2F23">
            <w:pPr>
              <w:jc w:val="center"/>
              <w:rPr>
                <w:rFonts w:ascii="Arial Narrow" w:hAnsi="Arial Narrow"/>
                <w:sz w:val="18"/>
                <w:szCs w:val="18"/>
              </w:rPr>
            </w:pPr>
            <w:r w:rsidRPr="002E2FC0">
              <w:rPr>
                <w:rFonts w:ascii="Arial Narrow" w:hAnsi="Arial Narrow"/>
                <w:sz w:val="18"/>
                <w:szCs w:val="18"/>
              </w:rPr>
              <w:t>$</w:t>
            </w:r>
            <w:r w:rsidR="00BB196F">
              <w:rPr>
                <w:rFonts w:ascii="Arial Narrow" w:hAnsi="Arial Narrow"/>
                <w:noProof/>
                <w:color w:val="000000"/>
                <w:sz w:val="18"/>
                <w:szCs w:val="18"/>
                <w:highlight w:val="black"/>
              </w:rPr>
              <w:t>'''''''''''''''''''''</w:t>
            </w:r>
          </w:p>
        </w:tc>
      </w:tr>
      <w:tr w:rsidR="00964F6F" w:rsidRPr="005B1AEA" w:rsidTr="00962B3B">
        <w:tc>
          <w:tcPr>
            <w:tcW w:w="3828" w:type="dxa"/>
          </w:tcPr>
          <w:p w:rsidR="007160D7" w:rsidRPr="00BF661C" w:rsidRDefault="007160D7" w:rsidP="006D514C">
            <w:pPr>
              <w:rPr>
                <w:rFonts w:ascii="Arial Narrow" w:hAnsi="Arial Narrow"/>
                <w:iCs/>
                <w:sz w:val="18"/>
                <w:szCs w:val="18"/>
                <w:u w:val="single"/>
              </w:rPr>
            </w:pPr>
            <w:r w:rsidRPr="00BF661C">
              <w:rPr>
                <w:rFonts w:ascii="Arial Narrow" w:hAnsi="Arial Narrow"/>
                <w:iCs/>
                <w:sz w:val="18"/>
                <w:szCs w:val="18"/>
                <w:u w:val="single"/>
              </w:rPr>
              <w:t>Modified PBAC Guidelines scenario</w:t>
            </w:r>
          </w:p>
          <w:p w:rsidR="00964F6F" w:rsidRDefault="009B5407" w:rsidP="006D514C">
            <w:pPr>
              <w:rPr>
                <w:rFonts w:ascii="Arial Narrow" w:hAnsi="Arial Narrow"/>
                <w:iCs/>
                <w:sz w:val="18"/>
                <w:szCs w:val="18"/>
              </w:rPr>
            </w:pPr>
            <w:r w:rsidRPr="00ED2F23">
              <w:rPr>
                <w:rFonts w:ascii="Arial Narrow" w:hAnsi="Arial Narrow"/>
                <w:iCs/>
                <w:sz w:val="18"/>
                <w:szCs w:val="18"/>
              </w:rPr>
              <w:t xml:space="preserve">• </w:t>
            </w:r>
            <w:r w:rsidR="00891A08">
              <w:rPr>
                <w:rFonts w:ascii="Arial Narrow" w:hAnsi="Arial Narrow"/>
                <w:iCs/>
                <w:sz w:val="18"/>
                <w:szCs w:val="18"/>
              </w:rPr>
              <w:t>D</w:t>
            </w:r>
            <w:r w:rsidR="00964F6F" w:rsidRPr="00F01DEA">
              <w:rPr>
                <w:rFonts w:ascii="Arial Narrow" w:hAnsi="Arial Narrow"/>
                <w:iCs/>
                <w:sz w:val="18"/>
                <w:szCs w:val="18"/>
              </w:rPr>
              <w:t>iscount rate</w:t>
            </w:r>
            <w:r w:rsidR="00891A08">
              <w:rPr>
                <w:rFonts w:ascii="Arial Narrow" w:hAnsi="Arial Narrow"/>
                <w:iCs/>
                <w:sz w:val="18"/>
                <w:szCs w:val="18"/>
              </w:rPr>
              <w:t xml:space="preserve"> = 3.5% costs and benefits</w:t>
            </w:r>
          </w:p>
          <w:p w:rsidR="00891A08" w:rsidRPr="00F01DEA" w:rsidRDefault="00891A08" w:rsidP="00891A08">
            <w:pPr>
              <w:rPr>
                <w:rFonts w:ascii="Arial Narrow" w:hAnsi="Arial Narrow"/>
                <w:iCs/>
                <w:sz w:val="18"/>
                <w:szCs w:val="18"/>
              </w:rPr>
            </w:pPr>
            <w:r w:rsidRPr="00ED2F23">
              <w:rPr>
                <w:rFonts w:ascii="Arial Narrow" w:hAnsi="Arial Narrow"/>
                <w:iCs/>
                <w:sz w:val="18"/>
                <w:szCs w:val="18"/>
              </w:rPr>
              <w:t xml:space="preserve">• </w:t>
            </w:r>
            <w:r w:rsidRPr="00F01DEA">
              <w:rPr>
                <w:rFonts w:ascii="Arial Narrow" w:hAnsi="Arial Narrow"/>
                <w:iCs/>
                <w:sz w:val="18"/>
                <w:szCs w:val="18"/>
              </w:rPr>
              <w:t xml:space="preserve">Addition of long-term caregiving costs </w:t>
            </w:r>
          </w:p>
          <w:p w:rsidR="00891A08" w:rsidRPr="00F01DEA" w:rsidRDefault="00891A08" w:rsidP="00891A08">
            <w:pPr>
              <w:rPr>
                <w:rFonts w:ascii="Arial Narrow" w:hAnsi="Arial Narrow"/>
                <w:iCs/>
                <w:sz w:val="18"/>
                <w:szCs w:val="18"/>
              </w:rPr>
            </w:pPr>
            <w:r w:rsidRPr="00ED2F23">
              <w:rPr>
                <w:rFonts w:ascii="Arial Narrow" w:hAnsi="Arial Narrow"/>
                <w:iCs/>
                <w:sz w:val="18"/>
                <w:szCs w:val="18"/>
              </w:rPr>
              <w:t xml:space="preserve">• </w:t>
            </w:r>
            <w:r w:rsidRPr="00F01DEA">
              <w:rPr>
                <w:rFonts w:ascii="Arial Narrow" w:hAnsi="Arial Narrow"/>
                <w:iCs/>
                <w:sz w:val="18"/>
                <w:szCs w:val="18"/>
              </w:rPr>
              <w:t>Addition special education costs</w:t>
            </w:r>
          </w:p>
          <w:p w:rsidR="00891A08" w:rsidRPr="00F01DEA" w:rsidRDefault="00891A08" w:rsidP="00891A08">
            <w:pPr>
              <w:rPr>
                <w:rFonts w:ascii="Arial Narrow" w:hAnsi="Arial Narrow"/>
                <w:iCs/>
                <w:sz w:val="18"/>
                <w:szCs w:val="18"/>
              </w:rPr>
            </w:pPr>
            <w:r w:rsidRPr="00ED2F23">
              <w:rPr>
                <w:rFonts w:ascii="Arial Narrow" w:hAnsi="Arial Narrow"/>
                <w:iCs/>
                <w:sz w:val="18"/>
                <w:szCs w:val="18"/>
              </w:rPr>
              <w:t xml:space="preserve">• </w:t>
            </w:r>
            <w:r w:rsidRPr="00F01DEA">
              <w:rPr>
                <w:rFonts w:ascii="Arial Narrow" w:hAnsi="Arial Narrow"/>
                <w:iCs/>
                <w:sz w:val="18"/>
                <w:szCs w:val="18"/>
              </w:rPr>
              <w:t>Addition of family and network utility loss factor when child survives and has sequelae</w:t>
            </w:r>
          </w:p>
        </w:tc>
        <w:tc>
          <w:tcPr>
            <w:tcW w:w="850" w:type="dxa"/>
          </w:tcPr>
          <w:p w:rsidR="00964F6F" w:rsidRPr="002E2FC0" w:rsidRDefault="00964F6F" w:rsidP="00ED2F23">
            <w:pPr>
              <w:jc w:val="center"/>
              <w:rPr>
                <w:rFonts w:ascii="Arial Narrow" w:hAnsi="Arial Narrow"/>
                <w:sz w:val="18"/>
                <w:szCs w:val="18"/>
              </w:rPr>
            </w:pPr>
            <w:r w:rsidRPr="002E2FC0">
              <w:rPr>
                <w:rFonts w:ascii="Arial Narrow" w:hAnsi="Arial Narrow"/>
                <w:sz w:val="18"/>
                <w:szCs w:val="18"/>
              </w:rPr>
              <w:t>$</w:t>
            </w:r>
            <w:r w:rsidR="00BB196F">
              <w:rPr>
                <w:rFonts w:ascii="Arial Narrow" w:hAnsi="Arial Narrow"/>
                <w:noProof/>
                <w:color w:val="000000"/>
                <w:sz w:val="18"/>
                <w:szCs w:val="18"/>
                <w:highlight w:val="black"/>
              </w:rPr>
              <w:t>'''''''''''''''''</w:t>
            </w:r>
          </w:p>
        </w:tc>
        <w:tc>
          <w:tcPr>
            <w:tcW w:w="851" w:type="dxa"/>
          </w:tcPr>
          <w:p w:rsidR="00964F6F" w:rsidRPr="002E2FC0" w:rsidRDefault="00964F6F" w:rsidP="00ED2F23">
            <w:pPr>
              <w:jc w:val="center"/>
              <w:rPr>
                <w:rFonts w:ascii="Arial Narrow" w:hAnsi="Arial Narrow"/>
                <w:sz w:val="18"/>
                <w:szCs w:val="18"/>
              </w:rPr>
            </w:pPr>
            <w:r w:rsidRPr="002E2FC0">
              <w:rPr>
                <w:rFonts w:ascii="Arial Narrow" w:hAnsi="Arial Narrow"/>
                <w:sz w:val="18"/>
                <w:szCs w:val="18"/>
              </w:rPr>
              <w:t>$</w:t>
            </w:r>
            <w:r w:rsidR="00BB196F">
              <w:rPr>
                <w:rFonts w:ascii="Arial Narrow" w:hAnsi="Arial Narrow"/>
                <w:noProof/>
                <w:color w:val="000000"/>
                <w:sz w:val="18"/>
                <w:szCs w:val="18"/>
                <w:highlight w:val="black"/>
              </w:rPr>
              <w:t>'''''''''''''''''''''</w:t>
            </w:r>
          </w:p>
        </w:tc>
        <w:tc>
          <w:tcPr>
            <w:tcW w:w="850" w:type="dxa"/>
          </w:tcPr>
          <w:p w:rsidR="00964F6F" w:rsidRPr="00BB196F" w:rsidRDefault="00964F6F" w:rsidP="00ED2F23">
            <w:pPr>
              <w:jc w:val="center"/>
              <w:rPr>
                <w:rFonts w:ascii="Arial Narrow" w:hAnsi="Arial Narrow"/>
                <w:sz w:val="18"/>
                <w:szCs w:val="18"/>
              </w:rPr>
            </w:pPr>
            <w:r w:rsidRPr="00CC568F">
              <w:rPr>
                <w:rFonts w:ascii="Arial Narrow" w:hAnsi="Arial Narrow"/>
                <w:sz w:val="18"/>
                <w:szCs w:val="18"/>
              </w:rPr>
              <w:t>$</w:t>
            </w:r>
            <w:r w:rsidR="00BB196F">
              <w:rPr>
                <w:rFonts w:ascii="Arial Narrow" w:hAnsi="Arial Narrow"/>
                <w:noProof/>
                <w:color w:val="000000"/>
                <w:sz w:val="18"/>
                <w:szCs w:val="18"/>
                <w:highlight w:val="black"/>
              </w:rPr>
              <w:t>'''''''''''''''''</w:t>
            </w:r>
          </w:p>
        </w:tc>
        <w:tc>
          <w:tcPr>
            <w:tcW w:w="992" w:type="dxa"/>
          </w:tcPr>
          <w:p w:rsidR="00964F6F" w:rsidRPr="00CB71EA" w:rsidRDefault="002E2FC0" w:rsidP="00ED2F23">
            <w:pPr>
              <w:jc w:val="center"/>
              <w:rPr>
                <w:rFonts w:ascii="Arial Narrow" w:hAnsi="Arial Narrow"/>
                <w:sz w:val="18"/>
                <w:szCs w:val="18"/>
              </w:rPr>
            </w:pPr>
            <w:r w:rsidRPr="00CB71EA">
              <w:rPr>
                <w:rFonts w:ascii="Arial Narrow" w:hAnsi="Arial Narrow"/>
                <w:sz w:val="18"/>
                <w:szCs w:val="18"/>
              </w:rPr>
              <w:t>$</w:t>
            </w:r>
            <w:r w:rsidR="00BB196F">
              <w:rPr>
                <w:rFonts w:ascii="Arial Narrow" w:hAnsi="Arial Narrow"/>
                <w:noProof/>
                <w:color w:val="000000"/>
                <w:sz w:val="18"/>
                <w:szCs w:val="18"/>
                <w:highlight w:val="black"/>
              </w:rPr>
              <w:t>''''''''''''''''''</w:t>
            </w:r>
          </w:p>
        </w:tc>
        <w:tc>
          <w:tcPr>
            <w:tcW w:w="851" w:type="dxa"/>
          </w:tcPr>
          <w:p w:rsidR="00964F6F" w:rsidRPr="002E2FC0" w:rsidRDefault="002E2FC0" w:rsidP="00ED2F23">
            <w:pPr>
              <w:jc w:val="center"/>
              <w:rPr>
                <w:rFonts w:ascii="Arial Narrow" w:hAnsi="Arial Narrow"/>
                <w:sz w:val="18"/>
                <w:szCs w:val="18"/>
              </w:rPr>
            </w:pPr>
            <w:r w:rsidRPr="002E2FC0">
              <w:rPr>
                <w:rFonts w:ascii="Arial Narrow" w:hAnsi="Arial Narrow"/>
                <w:sz w:val="18"/>
                <w:szCs w:val="18"/>
              </w:rPr>
              <w:t>$</w:t>
            </w:r>
            <w:r w:rsidR="00BB196F">
              <w:rPr>
                <w:rFonts w:ascii="Arial Narrow" w:hAnsi="Arial Narrow"/>
                <w:noProof/>
                <w:color w:val="000000"/>
                <w:sz w:val="18"/>
                <w:szCs w:val="18"/>
                <w:highlight w:val="black"/>
              </w:rPr>
              <w:t>''''''''''''''''</w:t>
            </w:r>
          </w:p>
        </w:tc>
        <w:tc>
          <w:tcPr>
            <w:tcW w:w="850" w:type="dxa"/>
          </w:tcPr>
          <w:p w:rsidR="00964F6F" w:rsidRPr="002E2FC0" w:rsidRDefault="002E2FC0" w:rsidP="00ED2F23">
            <w:pPr>
              <w:jc w:val="center"/>
              <w:rPr>
                <w:rFonts w:ascii="Arial Narrow" w:hAnsi="Arial Narrow"/>
                <w:sz w:val="18"/>
                <w:szCs w:val="18"/>
              </w:rPr>
            </w:pPr>
            <w:r w:rsidRPr="002E2FC0">
              <w:rPr>
                <w:rFonts w:ascii="Arial Narrow" w:hAnsi="Arial Narrow"/>
                <w:sz w:val="18"/>
                <w:szCs w:val="18"/>
              </w:rPr>
              <w:t>$</w:t>
            </w:r>
            <w:r w:rsidR="00BB196F">
              <w:rPr>
                <w:rFonts w:ascii="Arial Narrow" w:hAnsi="Arial Narrow"/>
                <w:noProof/>
                <w:color w:val="000000"/>
                <w:sz w:val="18"/>
                <w:szCs w:val="18"/>
                <w:highlight w:val="black"/>
              </w:rPr>
              <w:t>''''''''''''''''''</w:t>
            </w:r>
          </w:p>
        </w:tc>
      </w:tr>
    </w:tbl>
    <w:p w:rsidR="00962B3B" w:rsidRDefault="00962B3B" w:rsidP="00962B3B">
      <w:pPr>
        <w:jc w:val="both"/>
        <w:rPr>
          <w:rFonts w:ascii="Arial Narrow" w:hAnsi="Arial Narrow"/>
          <w:sz w:val="16"/>
          <w:szCs w:val="16"/>
        </w:rPr>
      </w:pPr>
      <w:r w:rsidRPr="007108BC">
        <w:rPr>
          <w:rFonts w:ascii="Arial Narrow" w:hAnsi="Arial Narrow"/>
          <w:sz w:val="18"/>
          <w:szCs w:val="18"/>
        </w:rPr>
        <w:t>Abbreviations</w:t>
      </w:r>
      <w:r>
        <w:rPr>
          <w:rFonts w:ascii="Arial Narrow" w:hAnsi="Arial Narrow"/>
          <w:sz w:val="16"/>
          <w:szCs w:val="16"/>
        </w:rPr>
        <w:t>: A=adolescent; I=infants</w:t>
      </w:r>
      <w:r w:rsidR="007160D7">
        <w:rPr>
          <w:rFonts w:ascii="Arial Narrow" w:hAnsi="Arial Narrow"/>
          <w:sz w:val="16"/>
          <w:szCs w:val="16"/>
        </w:rPr>
        <w:t>;</w:t>
      </w:r>
      <w:r>
        <w:rPr>
          <w:rFonts w:ascii="Arial Narrow" w:hAnsi="Arial Narrow"/>
          <w:sz w:val="16"/>
          <w:szCs w:val="16"/>
        </w:rPr>
        <w:t xml:space="preserve"> I+A =infant and adolescents</w:t>
      </w:r>
      <w:r w:rsidR="007160D7">
        <w:rPr>
          <w:rFonts w:ascii="Arial Narrow" w:hAnsi="Arial Narrow"/>
          <w:sz w:val="16"/>
          <w:szCs w:val="16"/>
        </w:rPr>
        <w:t>; PBAC= Pharmaceutical Benefits Advisory Committee; QAF=quality adjustment factor</w:t>
      </w:r>
    </w:p>
    <w:p w:rsidR="00962B3B" w:rsidRPr="00962B3B" w:rsidRDefault="00962B3B" w:rsidP="00962B3B">
      <w:pPr>
        <w:jc w:val="both"/>
        <w:rPr>
          <w:rFonts w:ascii="Arial Narrow" w:hAnsi="Arial Narrow"/>
          <w:sz w:val="16"/>
          <w:szCs w:val="16"/>
        </w:rPr>
      </w:pPr>
    </w:p>
    <w:p w:rsidR="000941D8" w:rsidRDefault="000941D8" w:rsidP="002E2FC0">
      <w:pPr>
        <w:jc w:val="both"/>
        <w:rPr>
          <w:rFonts w:ascii="Arial Narrow" w:hAnsi="Arial Narrow"/>
          <w:i/>
          <w:sz w:val="16"/>
          <w:szCs w:val="16"/>
        </w:rPr>
      </w:pPr>
    </w:p>
    <w:p w:rsidR="003B61C2" w:rsidRPr="007108BC" w:rsidRDefault="003B61C2" w:rsidP="005A1BBE">
      <w:pPr>
        <w:pStyle w:val="Heading2"/>
      </w:pPr>
      <w:bookmarkStart w:id="16" w:name="_Toc19697629"/>
      <w:r w:rsidRPr="007108BC">
        <w:t>Vaccine cost/patient/dose</w:t>
      </w:r>
      <w:bookmarkEnd w:id="16"/>
    </w:p>
    <w:p w:rsidR="003B61C2" w:rsidRPr="007108BC" w:rsidRDefault="003B61C2" w:rsidP="00EB423F">
      <w:pPr>
        <w:pStyle w:val="bulletnumberedstyle"/>
      </w:pPr>
      <w:r w:rsidRPr="007108BC">
        <w:t>The proposed price of 4CMenB was $</w:t>
      </w:r>
      <w:r w:rsidR="00BB196F">
        <w:rPr>
          <w:noProof/>
          <w:color w:val="000000"/>
          <w:highlight w:val="black"/>
        </w:rPr>
        <w:t>''''''''''''</w:t>
      </w:r>
      <w:r w:rsidRPr="007108BC">
        <w:t xml:space="preserve"> per dose. </w:t>
      </w:r>
    </w:p>
    <w:p w:rsidR="003B61C2" w:rsidRPr="007108BC" w:rsidRDefault="003B61C2" w:rsidP="00EB423F">
      <w:pPr>
        <w:pStyle w:val="bulletnumberedstyle"/>
      </w:pPr>
      <w:r w:rsidRPr="007108BC">
        <w:t>The proposed price equates to a schedule cost of $</w:t>
      </w:r>
      <w:r w:rsidR="00BB196F">
        <w:rPr>
          <w:noProof/>
          <w:color w:val="000000"/>
          <w:highlight w:val="black"/>
        </w:rPr>
        <w:t>'''''''</w:t>
      </w:r>
      <w:r w:rsidRPr="007108BC">
        <w:t xml:space="preserve"> for infants (2 + 1 schedule, 3 doses in total), $</w:t>
      </w:r>
      <w:r w:rsidR="00BB196F">
        <w:rPr>
          <w:noProof/>
          <w:color w:val="000000"/>
          <w:highlight w:val="black"/>
        </w:rPr>
        <w:t>''''''</w:t>
      </w:r>
      <w:r w:rsidRPr="007108BC">
        <w:t xml:space="preserve"> for adolescents (2 doses in total) and $</w:t>
      </w:r>
      <w:r w:rsidR="00BB196F">
        <w:rPr>
          <w:noProof/>
          <w:color w:val="000000"/>
          <w:highlight w:val="black"/>
        </w:rPr>
        <w:t>''''''''</w:t>
      </w:r>
      <w:r w:rsidRPr="007108BC">
        <w:t xml:space="preserve"> for high risk infants (3 + 1 schedule, 4 doses in total).</w:t>
      </w:r>
      <w:r w:rsidR="00624D24">
        <w:t xml:space="preserve"> </w:t>
      </w:r>
      <w:r w:rsidR="00DB0F4C" w:rsidRPr="00D51D60">
        <w:t>The economic modelling</w:t>
      </w:r>
      <w:r w:rsidR="00F66A59" w:rsidRPr="00D51D60">
        <w:t xml:space="preserve"> </w:t>
      </w:r>
      <w:r w:rsidRPr="00D51D60">
        <w:t xml:space="preserve">assumed that if an individual was previously vaccinated as an infant with the full 2+1 schedule, </w:t>
      </w:r>
      <w:r w:rsidR="00F66A59" w:rsidRPr="00D51D60">
        <w:t xml:space="preserve">they </w:t>
      </w:r>
      <w:r w:rsidRPr="00D51D60">
        <w:t>would only require 1 dose a</w:t>
      </w:r>
      <w:r w:rsidR="00F66A59" w:rsidRPr="00D51D60">
        <w:t>s an adolescent</w:t>
      </w:r>
      <w:r w:rsidRPr="00D51D60">
        <w:t xml:space="preserve">. </w:t>
      </w:r>
    </w:p>
    <w:p w:rsidR="003B61C2" w:rsidRPr="007108BC" w:rsidRDefault="003B61C2" w:rsidP="005A1BBE">
      <w:pPr>
        <w:pStyle w:val="Heading2"/>
      </w:pPr>
      <w:bookmarkStart w:id="17" w:name="_Toc19697630"/>
      <w:r w:rsidRPr="007108BC">
        <w:t>Estimated NIP usage &amp; financial implications</w:t>
      </w:r>
      <w:bookmarkEnd w:id="17"/>
    </w:p>
    <w:p w:rsidR="003B61C2" w:rsidRPr="007108BC" w:rsidRDefault="003B61C2" w:rsidP="00EB423F">
      <w:pPr>
        <w:pStyle w:val="bulletnumberedstyle"/>
      </w:pPr>
      <w:r w:rsidRPr="007108BC">
        <w:t>This submission w</w:t>
      </w:r>
      <w:r w:rsidR="005C4204">
        <w:t>as</w:t>
      </w:r>
      <w:r w:rsidRPr="007108BC">
        <w:t xml:space="preserve"> not considered by DUSC. The resubmission used an epidemiological approach. </w:t>
      </w:r>
    </w:p>
    <w:p w:rsidR="003B61C2" w:rsidRPr="00D51D60" w:rsidRDefault="003B61C2" w:rsidP="00EB423F">
      <w:pPr>
        <w:pStyle w:val="bulletnumberedstyle"/>
      </w:pPr>
      <w:r w:rsidRPr="007108BC">
        <w:t xml:space="preserve">The number of doses required varied by age and IMD risk factors. Infants with no risk factor require 3 doses, infants with a high-risk medical condition for IMD require 4 doses and all adolescents require 2 doses. </w:t>
      </w:r>
      <w:r w:rsidR="00E03D00" w:rsidRPr="00D51D60">
        <w:t>Over the ti</w:t>
      </w:r>
      <w:r w:rsidR="00337138" w:rsidRPr="00D51D60">
        <w:t>me frame of the financial esti</w:t>
      </w:r>
      <w:r w:rsidR="00E03D00" w:rsidRPr="00D51D60">
        <w:t>m</w:t>
      </w:r>
      <w:r w:rsidR="00337138" w:rsidRPr="00D51D60">
        <w:t>a</w:t>
      </w:r>
      <w:r w:rsidR="00E03D00" w:rsidRPr="00D51D60">
        <w:t>tes, no adolescent would have r</w:t>
      </w:r>
      <w:r w:rsidR="00337138" w:rsidRPr="00D51D60">
        <w:t>eceived vaccination as an infa</w:t>
      </w:r>
      <w:r w:rsidR="00E03D00" w:rsidRPr="00D51D60">
        <w:t>nt</w:t>
      </w:r>
      <w:r w:rsidR="00337138" w:rsidRPr="00D51D60">
        <w:t>.</w:t>
      </w:r>
    </w:p>
    <w:p w:rsidR="003B61C2" w:rsidRPr="00D51D60" w:rsidRDefault="003B61C2" w:rsidP="00EB423F">
      <w:pPr>
        <w:pStyle w:val="bulletnumberedstyle"/>
      </w:pPr>
      <w:r w:rsidRPr="007108BC">
        <w:lastRenderedPageBreak/>
        <w:t>The total cost to the NIP over 6</w:t>
      </w:r>
      <w:r w:rsidR="00D40B1F" w:rsidRPr="007108BC">
        <w:t xml:space="preserve"> </w:t>
      </w:r>
      <w:r w:rsidRPr="007108BC">
        <w:t>year</w:t>
      </w:r>
      <w:r w:rsidR="00D40B1F" w:rsidRPr="007108BC">
        <w:t>s</w:t>
      </w:r>
      <w:r w:rsidRPr="007108BC">
        <w:t xml:space="preserve"> for the General population was</w:t>
      </w:r>
      <w:r w:rsidR="00E96354">
        <w:t xml:space="preserve"> more </w:t>
      </w:r>
      <w:r w:rsidR="00E97893">
        <w:t xml:space="preserve">than </w:t>
      </w:r>
      <w:r w:rsidR="00E97893" w:rsidRPr="007108BC">
        <w:t>$</w:t>
      </w:r>
      <w:r w:rsidR="00E96354">
        <w:t>100</w:t>
      </w:r>
      <w:r w:rsidR="00A81E48">
        <w:t xml:space="preserve"> million</w:t>
      </w:r>
      <w:r w:rsidRPr="007108BC">
        <w:t xml:space="preserve"> and for the Aboriginal and Torres Strait Islander popu</w:t>
      </w:r>
      <w:r w:rsidR="005516FE">
        <w:t>lation was $</w:t>
      </w:r>
      <w:r w:rsidR="00E96354">
        <w:t>30</w:t>
      </w:r>
      <w:r w:rsidR="004A5B08">
        <w:t xml:space="preserve"> - $</w:t>
      </w:r>
      <w:r w:rsidR="00E96354">
        <w:t>6</w:t>
      </w:r>
      <w:r w:rsidR="004A5B08">
        <w:t>0 million</w:t>
      </w:r>
      <w:r w:rsidR="005516FE">
        <w:t xml:space="preserve"> (Table 1</w:t>
      </w:r>
      <w:r w:rsidR="008554CA">
        <w:t>5</w:t>
      </w:r>
      <w:r w:rsidRPr="007108BC">
        <w:t>).</w:t>
      </w:r>
    </w:p>
    <w:p w:rsidR="003B61C2" w:rsidRPr="007108BC" w:rsidRDefault="008554CA" w:rsidP="00892FF5">
      <w:pPr>
        <w:keepNext/>
      </w:pPr>
      <w:r>
        <w:rPr>
          <w:rStyle w:val="CommentReference"/>
        </w:rPr>
        <w:t>Table 15</w:t>
      </w:r>
      <w:r w:rsidR="003B61C2" w:rsidRPr="007108BC">
        <w:rPr>
          <w:rStyle w:val="CommentReference"/>
        </w:rPr>
        <w:t>: Estimated use and financial implications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5: Estimated use and financial implications"/>
      </w:tblPr>
      <w:tblGrid>
        <w:gridCol w:w="2689"/>
        <w:gridCol w:w="1134"/>
        <w:gridCol w:w="992"/>
        <w:gridCol w:w="992"/>
        <w:gridCol w:w="992"/>
        <w:gridCol w:w="1134"/>
        <w:gridCol w:w="1084"/>
      </w:tblGrid>
      <w:tr w:rsidR="009D17FC" w:rsidRPr="000B51E4" w:rsidTr="000B51E4">
        <w:trPr>
          <w:tblHeader/>
        </w:trPr>
        <w:tc>
          <w:tcPr>
            <w:tcW w:w="2689" w:type="dxa"/>
            <w:shd w:val="clear" w:color="auto" w:fill="auto"/>
            <w:vAlign w:val="center"/>
          </w:tcPr>
          <w:p w:rsidR="003B61C2" w:rsidRPr="007108BC" w:rsidRDefault="003B61C2" w:rsidP="007108BC">
            <w:pPr>
              <w:pStyle w:val="Tabletext"/>
            </w:pPr>
          </w:p>
        </w:tc>
        <w:tc>
          <w:tcPr>
            <w:tcW w:w="1134" w:type="dxa"/>
            <w:shd w:val="clear" w:color="auto" w:fill="auto"/>
            <w:vAlign w:val="center"/>
          </w:tcPr>
          <w:p w:rsidR="003B61C2" w:rsidRPr="000B51E4" w:rsidRDefault="003B61C2" w:rsidP="007108BC">
            <w:pPr>
              <w:pStyle w:val="Tabletext"/>
              <w:jc w:val="center"/>
              <w:rPr>
                <w:b/>
              </w:rPr>
            </w:pPr>
            <w:r w:rsidRPr="000B51E4">
              <w:rPr>
                <w:b/>
              </w:rPr>
              <w:t>Year 1</w:t>
            </w:r>
          </w:p>
        </w:tc>
        <w:tc>
          <w:tcPr>
            <w:tcW w:w="992" w:type="dxa"/>
            <w:shd w:val="clear" w:color="auto" w:fill="auto"/>
            <w:vAlign w:val="center"/>
          </w:tcPr>
          <w:p w:rsidR="003B61C2" w:rsidRPr="000B51E4" w:rsidRDefault="003B61C2" w:rsidP="007108BC">
            <w:pPr>
              <w:pStyle w:val="Tabletext"/>
              <w:jc w:val="center"/>
              <w:rPr>
                <w:b/>
              </w:rPr>
            </w:pPr>
            <w:r w:rsidRPr="000B51E4">
              <w:rPr>
                <w:b/>
              </w:rPr>
              <w:t>Year 2</w:t>
            </w:r>
          </w:p>
        </w:tc>
        <w:tc>
          <w:tcPr>
            <w:tcW w:w="992" w:type="dxa"/>
            <w:shd w:val="clear" w:color="auto" w:fill="auto"/>
            <w:vAlign w:val="center"/>
          </w:tcPr>
          <w:p w:rsidR="003B61C2" w:rsidRPr="000B51E4" w:rsidRDefault="003B61C2" w:rsidP="007108BC">
            <w:pPr>
              <w:pStyle w:val="Tabletext"/>
              <w:jc w:val="center"/>
              <w:rPr>
                <w:b/>
              </w:rPr>
            </w:pPr>
            <w:r w:rsidRPr="000B51E4">
              <w:rPr>
                <w:b/>
              </w:rPr>
              <w:t>Year 3</w:t>
            </w:r>
          </w:p>
        </w:tc>
        <w:tc>
          <w:tcPr>
            <w:tcW w:w="992" w:type="dxa"/>
            <w:shd w:val="clear" w:color="auto" w:fill="auto"/>
            <w:vAlign w:val="center"/>
          </w:tcPr>
          <w:p w:rsidR="003B61C2" w:rsidRPr="000B51E4" w:rsidRDefault="003B61C2" w:rsidP="007108BC">
            <w:pPr>
              <w:pStyle w:val="Tabletext"/>
              <w:jc w:val="center"/>
              <w:rPr>
                <w:b/>
              </w:rPr>
            </w:pPr>
            <w:r w:rsidRPr="000B51E4">
              <w:rPr>
                <w:b/>
              </w:rPr>
              <w:t>Year 4</w:t>
            </w:r>
          </w:p>
        </w:tc>
        <w:tc>
          <w:tcPr>
            <w:tcW w:w="1134" w:type="dxa"/>
            <w:shd w:val="clear" w:color="auto" w:fill="auto"/>
            <w:vAlign w:val="center"/>
          </w:tcPr>
          <w:p w:rsidR="003B61C2" w:rsidRPr="000B51E4" w:rsidRDefault="003B61C2" w:rsidP="007108BC">
            <w:pPr>
              <w:pStyle w:val="Tabletext"/>
              <w:jc w:val="center"/>
              <w:rPr>
                <w:b/>
              </w:rPr>
            </w:pPr>
            <w:r w:rsidRPr="000B51E4">
              <w:rPr>
                <w:b/>
              </w:rPr>
              <w:t>Year 5</w:t>
            </w:r>
          </w:p>
        </w:tc>
        <w:tc>
          <w:tcPr>
            <w:tcW w:w="1084" w:type="dxa"/>
            <w:shd w:val="clear" w:color="auto" w:fill="auto"/>
          </w:tcPr>
          <w:p w:rsidR="003B61C2" w:rsidRPr="000B51E4" w:rsidRDefault="003B61C2" w:rsidP="007108BC">
            <w:pPr>
              <w:pStyle w:val="Tabletext"/>
              <w:jc w:val="center"/>
              <w:rPr>
                <w:b/>
              </w:rPr>
            </w:pPr>
            <w:r w:rsidRPr="000B51E4">
              <w:rPr>
                <w:b/>
              </w:rPr>
              <w:t>Year 6</w:t>
            </w:r>
          </w:p>
        </w:tc>
      </w:tr>
      <w:tr w:rsidR="003B61C2" w:rsidRPr="000B51E4" w:rsidTr="000B51E4">
        <w:tc>
          <w:tcPr>
            <w:tcW w:w="9017" w:type="dxa"/>
            <w:gridSpan w:val="7"/>
            <w:shd w:val="clear" w:color="auto" w:fill="auto"/>
            <w:vAlign w:val="center"/>
          </w:tcPr>
          <w:p w:rsidR="003B61C2" w:rsidRPr="000B51E4" w:rsidRDefault="003B61C2" w:rsidP="007108BC">
            <w:pPr>
              <w:pStyle w:val="Tabletext"/>
              <w:rPr>
                <w:b/>
                <w:bCs/>
                <w:color w:val="000000"/>
              </w:rPr>
            </w:pPr>
            <w:r w:rsidRPr="000B51E4">
              <w:rPr>
                <w:b/>
                <w:bCs/>
                <w:color w:val="000000"/>
              </w:rPr>
              <w:t>Estimated extent of use</w:t>
            </w:r>
          </w:p>
        </w:tc>
      </w:tr>
      <w:tr w:rsidR="009D17FC" w:rsidRPr="000B51E4" w:rsidTr="000B51E4">
        <w:tc>
          <w:tcPr>
            <w:tcW w:w="2689" w:type="dxa"/>
            <w:shd w:val="clear" w:color="auto" w:fill="auto"/>
            <w:vAlign w:val="center"/>
          </w:tcPr>
          <w:p w:rsidR="003B61C2" w:rsidRPr="000B51E4" w:rsidRDefault="003B61C2" w:rsidP="007108BC">
            <w:pPr>
              <w:pStyle w:val="Tabletext"/>
            </w:pPr>
            <w:r w:rsidRPr="000B51E4">
              <w:t>Number vaccinated General population</w:t>
            </w:r>
            <w:r w:rsidRPr="000B51E4">
              <w:rPr>
                <w:vertAlign w:val="superscript"/>
              </w:rPr>
              <w:t>a</w:t>
            </w:r>
          </w:p>
        </w:tc>
        <w:tc>
          <w:tcPr>
            <w:tcW w:w="1134" w:type="dxa"/>
            <w:shd w:val="clear" w:color="auto" w:fill="auto"/>
            <w:vAlign w:val="center"/>
          </w:tcPr>
          <w:p w:rsidR="003B61C2" w:rsidRPr="00C63569" w:rsidRDefault="003B61C2" w:rsidP="007108BC">
            <w:pPr>
              <w:pStyle w:val="Tabletext"/>
              <w:jc w:val="center"/>
              <w:rPr>
                <w:bCs/>
                <w:color w:val="000000"/>
              </w:rPr>
            </w:pPr>
            <w:r w:rsidRPr="00C63569">
              <w:rPr>
                <w:bCs/>
                <w:color w:val="000000"/>
                <w:szCs w:val="20"/>
              </w:rPr>
              <w:t>991,392</w:t>
            </w:r>
          </w:p>
        </w:tc>
        <w:tc>
          <w:tcPr>
            <w:tcW w:w="992" w:type="dxa"/>
            <w:shd w:val="clear" w:color="auto" w:fill="auto"/>
            <w:vAlign w:val="center"/>
          </w:tcPr>
          <w:p w:rsidR="003B61C2" w:rsidRPr="00C63569" w:rsidRDefault="003B61C2" w:rsidP="007108BC">
            <w:pPr>
              <w:pStyle w:val="Tabletext"/>
              <w:jc w:val="center"/>
              <w:rPr>
                <w:bCs/>
                <w:color w:val="000000"/>
              </w:rPr>
            </w:pPr>
            <w:r w:rsidRPr="00C63569">
              <w:rPr>
                <w:bCs/>
                <w:color w:val="000000"/>
                <w:szCs w:val="20"/>
              </w:rPr>
              <w:t>1,043,689</w:t>
            </w:r>
          </w:p>
        </w:tc>
        <w:tc>
          <w:tcPr>
            <w:tcW w:w="992" w:type="dxa"/>
            <w:shd w:val="clear" w:color="auto" w:fill="auto"/>
            <w:vAlign w:val="center"/>
          </w:tcPr>
          <w:p w:rsidR="003B61C2" w:rsidRPr="00C63569" w:rsidRDefault="003B61C2" w:rsidP="007108BC">
            <w:pPr>
              <w:pStyle w:val="Tabletext"/>
              <w:jc w:val="center"/>
              <w:rPr>
                <w:bCs/>
                <w:color w:val="000000"/>
              </w:rPr>
            </w:pPr>
            <w:r w:rsidRPr="00C63569">
              <w:rPr>
                <w:bCs/>
                <w:color w:val="000000"/>
                <w:szCs w:val="20"/>
              </w:rPr>
              <w:t>862,705</w:t>
            </w:r>
          </w:p>
        </w:tc>
        <w:tc>
          <w:tcPr>
            <w:tcW w:w="992" w:type="dxa"/>
            <w:shd w:val="clear" w:color="auto" w:fill="auto"/>
            <w:vAlign w:val="center"/>
          </w:tcPr>
          <w:p w:rsidR="003B61C2" w:rsidRPr="00C63569" w:rsidRDefault="003B61C2" w:rsidP="007108BC">
            <w:pPr>
              <w:pStyle w:val="Tabletext"/>
              <w:jc w:val="center"/>
              <w:rPr>
                <w:bCs/>
                <w:color w:val="000000"/>
              </w:rPr>
            </w:pPr>
            <w:r w:rsidRPr="00C63569">
              <w:rPr>
                <w:bCs/>
                <w:color w:val="000000"/>
                <w:szCs w:val="20"/>
              </w:rPr>
              <w:t>876,668</w:t>
            </w:r>
          </w:p>
        </w:tc>
        <w:tc>
          <w:tcPr>
            <w:tcW w:w="1134" w:type="dxa"/>
            <w:shd w:val="clear" w:color="auto" w:fill="auto"/>
            <w:vAlign w:val="center"/>
          </w:tcPr>
          <w:p w:rsidR="003B61C2" w:rsidRPr="00C63569" w:rsidRDefault="003B61C2" w:rsidP="007108BC">
            <w:pPr>
              <w:pStyle w:val="Tabletext"/>
              <w:jc w:val="center"/>
              <w:rPr>
                <w:bCs/>
                <w:color w:val="000000"/>
              </w:rPr>
            </w:pPr>
            <w:r w:rsidRPr="00C63569">
              <w:rPr>
                <w:bCs/>
                <w:color w:val="000000"/>
                <w:szCs w:val="20"/>
              </w:rPr>
              <w:t>887,387</w:t>
            </w:r>
          </w:p>
        </w:tc>
        <w:tc>
          <w:tcPr>
            <w:tcW w:w="1084" w:type="dxa"/>
            <w:shd w:val="clear" w:color="auto" w:fill="auto"/>
            <w:vAlign w:val="center"/>
          </w:tcPr>
          <w:p w:rsidR="003B61C2" w:rsidRPr="00C63569" w:rsidRDefault="003B61C2" w:rsidP="007108BC">
            <w:pPr>
              <w:pStyle w:val="Tabletext"/>
              <w:jc w:val="center"/>
              <w:rPr>
                <w:bCs/>
                <w:color w:val="000000"/>
              </w:rPr>
            </w:pPr>
            <w:r w:rsidRPr="00C63569">
              <w:rPr>
                <w:bCs/>
                <w:color w:val="000000"/>
                <w:szCs w:val="20"/>
              </w:rPr>
              <w:t>900,565</w:t>
            </w:r>
          </w:p>
        </w:tc>
      </w:tr>
      <w:tr w:rsidR="009D17FC" w:rsidRPr="000B51E4" w:rsidTr="000B51E4">
        <w:tc>
          <w:tcPr>
            <w:tcW w:w="2689" w:type="dxa"/>
            <w:shd w:val="clear" w:color="auto" w:fill="auto"/>
            <w:vAlign w:val="center"/>
          </w:tcPr>
          <w:p w:rsidR="003B61C2" w:rsidRPr="000B51E4" w:rsidRDefault="003B61C2" w:rsidP="007713DA">
            <w:pPr>
              <w:pStyle w:val="Tabletext"/>
            </w:pPr>
            <w:r w:rsidRPr="000B51E4">
              <w:t xml:space="preserve">Number vaccinated </w:t>
            </w:r>
            <w:r w:rsidR="007713DA" w:rsidRPr="007713DA">
              <w:t xml:space="preserve">Aboriginal and Torres Strait Islander </w:t>
            </w:r>
            <w:r w:rsidRPr="000B51E4">
              <w:t>population</w:t>
            </w:r>
          </w:p>
        </w:tc>
        <w:tc>
          <w:tcPr>
            <w:tcW w:w="1134" w:type="dxa"/>
            <w:tcBorders>
              <w:top w:val="nil"/>
              <w:left w:val="single" w:sz="4" w:space="0" w:color="auto"/>
              <w:bottom w:val="single" w:sz="4" w:space="0" w:color="auto"/>
              <w:right w:val="single" w:sz="4" w:space="0" w:color="auto"/>
            </w:tcBorders>
            <w:shd w:val="clear" w:color="auto" w:fill="auto"/>
            <w:vAlign w:val="center"/>
          </w:tcPr>
          <w:p w:rsidR="003B61C2" w:rsidRPr="00C63569" w:rsidRDefault="003B61C2" w:rsidP="007108BC">
            <w:pPr>
              <w:pStyle w:val="Tabletext"/>
              <w:jc w:val="center"/>
              <w:rPr>
                <w:bCs/>
                <w:color w:val="000000"/>
              </w:rPr>
            </w:pPr>
            <w:r w:rsidRPr="00C63569">
              <w:rPr>
                <w:color w:val="000000"/>
                <w:szCs w:val="20"/>
              </w:rPr>
              <w:t>292,590</w:t>
            </w:r>
          </w:p>
        </w:tc>
        <w:tc>
          <w:tcPr>
            <w:tcW w:w="992" w:type="dxa"/>
            <w:tcBorders>
              <w:top w:val="nil"/>
              <w:left w:val="nil"/>
              <w:bottom w:val="single" w:sz="4" w:space="0" w:color="auto"/>
              <w:right w:val="single" w:sz="4" w:space="0" w:color="auto"/>
            </w:tcBorders>
            <w:shd w:val="clear" w:color="auto" w:fill="auto"/>
            <w:vAlign w:val="center"/>
          </w:tcPr>
          <w:p w:rsidR="003B61C2" w:rsidRPr="00C63569" w:rsidRDefault="003B61C2" w:rsidP="007108BC">
            <w:pPr>
              <w:pStyle w:val="Tabletext"/>
              <w:jc w:val="center"/>
              <w:rPr>
                <w:bCs/>
                <w:color w:val="000000"/>
              </w:rPr>
            </w:pPr>
            <w:r w:rsidRPr="00C63569">
              <w:rPr>
                <w:color w:val="000000"/>
                <w:szCs w:val="20"/>
              </w:rPr>
              <w:t>61,885</w:t>
            </w:r>
          </w:p>
        </w:tc>
        <w:tc>
          <w:tcPr>
            <w:tcW w:w="992" w:type="dxa"/>
            <w:tcBorders>
              <w:top w:val="nil"/>
              <w:left w:val="nil"/>
              <w:bottom w:val="single" w:sz="4" w:space="0" w:color="auto"/>
              <w:right w:val="single" w:sz="4" w:space="0" w:color="auto"/>
            </w:tcBorders>
            <w:shd w:val="clear" w:color="auto" w:fill="auto"/>
            <w:vAlign w:val="center"/>
          </w:tcPr>
          <w:p w:rsidR="003B61C2" w:rsidRPr="00C63569" w:rsidRDefault="003B61C2" w:rsidP="007108BC">
            <w:pPr>
              <w:pStyle w:val="Tabletext"/>
              <w:jc w:val="center"/>
              <w:rPr>
                <w:bCs/>
                <w:color w:val="000000"/>
              </w:rPr>
            </w:pPr>
            <w:r w:rsidRPr="00C63569">
              <w:rPr>
                <w:color w:val="000000"/>
                <w:szCs w:val="20"/>
              </w:rPr>
              <w:t>50,294</w:t>
            </w:r>
          </w:p>
        </w:tc>
        <w:tc>
          <w:tcPr>
            <w:tcW w:w="992" w:type="dxa"/>
            <w:tcBorders>
              <w:top w:val="nil"/>
              <w:left w:val="nil"/>
              <w:bottom w:val="single" w:sz="4" w:space="0" w:color="auto"/>
              <w:right w:val="single" w:sz="4" w:space="0" w:color="auto"/>
            </w:tcBorders>
            <w:shd w:val="clear" w:color="auto" w:fill="auto"/>
            <w:vAlign w:val="center"/>
          </w:tcPr>
          <w:p w:rsidR="003B61C2" w:rsidRPr="00C63569" w:rsidRDefault="003B61C2" w:rsidP="007108BC">
            <w:pPr>
              <w:pStyle w:val="Tabletext"/>
              <w:jc w:val="center"/>
              <w:rPr>
                <w:bCs/>
                <w:color w:val="000000"/>
              </w:rPr>
            </w:pPr>
            <w:r w:rsidRPr="00C63569">
              <w:rPr>
                <w:color w:val="000000"/>
                <w:szCs w:val="20"/>
              </w:rPr>
              <w:t>51,062</w:t>
            </w:r>
          </w:p>
        </w:tc>
        <w:tc>
          <w:tcPr>
            <w:tcW w:w="1134" w:type="dxa"/>
            <w:tcBorders>
              <w:top w:val="nil"/>
              <w:left w:val="nil"/>
              <w:bottom w:val="single" w:sz="4" w:space="0" w:color="auto"/>
              <w:right w:val="single" w:sz="4" w:space="0" w:color="auto"/>
            </w:tcBorders>
            <w:shd w:val="clear" w:color="auto" w:fill="auto"/>
            <w:vAlign w:val="center"/>
          </w:tcPr>
          <w:p w:rsidR="003B61C2" w:rsidRPr="00C63569" w:rsidRDefault="003B61C2" w:rsidP="007108BC">
            <w:pPr>
              <w:pStyle w:val="Tabletext"/>
              <w:jc w:val="center"/>
              <w:rPr>
                <w:bCs/>
                <w:color w:val="000000"/>
              </w:rPr>
            </w:pPr>
            <w:r w:rsidRPr="00C63569">
              <w:rPr>
                <w:color w:val="000000"/>
                <w:szCs w:val="20"/>
              </w:rPr>
              <w:t>51,942</w:t>
            </w:r>
          </w:p>
        </w:tc>
        <w:tc>
          <w:tcPr>
            <w:tcW w:w="1084" w:type="dxa"/>
            <w:tcBorders>
              <w:top w:val="nil"/>
              <w:left w:val="nil"/>
              <w:bottom w:val="single" w:sz="4" w:space="0" w:color="auto"/>
              <w:right w:val="single" w:sz="4" w:space="0" w:color="auto"/>
            </w:tcBorders>
            <w:shd w:val="clear" w:color="auto" w:fill="auto"/>
            <w:vAlign w:val="center"/>
          </w:tcPr>
          <w:p w:rsidR="003B61C2" w:rsidRPr="00C63569" w:rsidRDefault="003B61C2" w:rsidP="007108BC">
            <w:pPr>
              <w:pStyle w:val="Tabletext"/>
              <w:jc w:val="center"/>
              <w:rPr>
                <w:bCs/>
                <w:color w:val="000000"/>
              </w:rPr>
            </w:pPr>
            <w:r w:rsidRPr="00C63569">
              <w:rPr>
                <w:color w:val="000000"/>
                <w:szCs w:val="20"/>
              </w:rPr>
              <w:t>52,567</w:t>
            </w:r>
          </w:p>
        </w:tc>
      </w:tr>
      <w:tr w:rsidR="009D17FC" w:rsidRPr="000B51E4" w:rsidTr="000B51E4">
        <w:tc>
          <w:tcPr>
            <w:tcW w:w="2689" w:type="dxa"/>
            <w:shd w:val="clear" w:color="auto" w:fill="auto"/>
            <w:vAlign w:val="center"/>
          </w:tcPr>
          <w:p w:rsidR="003B61C2" w:rsidRPr="000B51E4" w:rsidRDefault="003B61C2" w:rsidP="007108BC">
            <w:pPr>
              <w:pStyle w:val="Tabletext"/>
            </w:pPr>
            <w:r w:rsidRPr="000B51E4">
              <w:t>Vaccinations General population</w:t>
            </w:r>
            <w:r w:rsidRPr="000B51E4">
              <w:rPr>
                <w:vertAlign w:val="superscript"/>
              </w:rPr>
              <w:t>a</w:t>
            </w:r>
          </w:p>
        </w:tc>
        <w:tc>
          <w:tcPr>
            <w:tcW w:w="1134" w:type="dxa"/>
            <w:shd w:val="clear" w:color="auto" w:fill="auto"/>
            <w:vAlign w:val="center"/>
          </w:tcPr>
          <w:p w:rsidR="003B61C2" w:rsidRPr="00BB196F" w:rsidRDefault="00BB196F" w:rsidP="007108BC">
            <w:pPr>
              <w:pStyle w:val="Tabletext"/>
              <w:jc w:val="center"/>
              <w:rPr>
                <w:bCs/>
                <w:color w:val="000000"/>
                <w:highlight w:val="black"/>
              </w:rPr>
            </w:pPr>
            <w:r>
              <w:rPr>
                <w:noProof/>
                <w:color w:val="000000"/>
                <w:highlight w:val="black"/>
              </w:rPr>
              <w:t>''''''''''''''''''''''</w:t>
            </w:r>
          </w:p>
        </w:tc>
        <w:tc>
          <w:tcPr>
            <w:tcW w:w="992" w:type="dxa"/>
            <w:shd w:val="clear" w:color="auto" w:fill="auto"/>
            <w:vAlign w:val="center"/>
          </w:tcPr>
          <w:p w:rsidR="003B61C2" w:rsidRPr="00BB196F" w:rsidRDefault="00BB196F" w:rsidP="007108BC">
            <w:pPr>
              <w:pStyle w:val="Tabletext"/>
              <w:jc w:val="center"/>
              <w:rPr>
                <w:bCs/>
                <w:color w:val="000000"/>
                <w:highlight w:val="black"/>
              </w:rPr>
            </w:pPr>
            <w:r>
              <w:rPr>
                <w:noProof/>
                <w:color w:val="000000"/>
                <w:highlight w:val="black"/>
              </w:rPr>
              <w:t>'''''''''''''''''''''''''</w:t>
            </w:r>
          </w:p>
        </w:tc>
        <w:tc>
          <w:tcPr>
            <w:tcW w:w="992" w:type="dxa"/>
            <w:shd w:val="clear" w:color="auto" w:fill="auto"/>
            <w:vAlign w:val="center"/>
          </w:tcPr>
          <w:p w:rsidR="003B61C2" w:rsidRPr="00BB196F" w:rsidRDefault="00BB196F" w:rsidP="007108BC">
            <w:pPr>
              <w:pStyle w:val="Tabletext"/>
              <w:jc w:val="center"/>
              <w:rPr>
                <w:bCs/>
                <w:color w:val="000000"/>
                <w:highlight w:val="black"/>
              </w:rPr>
            </w:pPr>
            <w:r>
              <w:rPr>
                <w:noProof/>
                <w:color w:val="000000"/>
                <w:highlight w:val="black"/>
              </w:rPr>
              <w:t>''''''''''''''''''''''</w:t>
            </w:r>
          </w:p>
        </w:tc>
        <w:tc>
          <w:tcPr>
            <w:tcW w:w="992" w:type="dxa"/>
            <w:shd w:val="clear" w:color="auto" w:fill="auto"/>
            <w:vAlign w:val="center"/>
          </w:tcPr>
          <w:p w:rsidR="003B61C2" w:rsidRPr="00BB196F" w:rsidRDefault="00BB196F" w:rsidP="007108BC">
            <w:pPr>
              <w:pStyle w:val="Tabletext"/>
              <w:jc w:val="center"/>
              <w:rPr>
                <w:bCs/>
                <w:color w:val="000000"/>
                <w:highlight w:val="black"/>
              </w:rPr>
            </w:pPr>
            <w:r>
              <w:rPr>
                <w:noProof/>
                <w:color w:val="000000"/>
                <w:highlight w:val="black"/>
              </w:rPr>
              <w:t>'''''''''''''''''''''''''</w:t>
            </w:r>
          </w:p>
        </w:tc>
        <w:tc>
          <w:tcPr>
            <w:tcW w:w="1134" w:type="dxa"/>
            <w:shd w:val="clear" w:color="auto" w:fill="auto"/>
            <w:vAlign w:val="center"/>
          </w:tcPr>
          <w:p w:rsidR="003B61C2" w:rsidRPr="00BB196F" w:rsidRDefault="00BB196F" w:rsidP="007108BC">
            <w:pPr>
              <w:pStyle w:val="Tabletext"/>
              <w:jc w:val="center"/>
              <w:rPr>
                <w:bCs/>
                <w:color w:val="000000"/>
                <w:highlight w:val="black"/>
              </w:rPr>
            </w:pPr>
            <w:r>
              <w:rPr>
                <w:noProof/>
                <w:color w:val="000000"/>
                <w:highlight w:val="black"/>
              </w:rPr>
              <w:t>''''''''''''''''''''''''</w:t>
            </w:r>
          </w:p>
        </w:tc>
        <w:tc>
          <w:tcPr>
            <w:tcW w:w="1084" w:type="dxa"/>
            <w:shd w:val="clear" w:color="auto" w:fill="auto"/>
            <w:vAlign w:val="center"/>
          </w:tcPr>
          <w:p w:rsidR="003B61C2" w:rsidRPr="00BB196F" w:rsidRDefault="00BB196F" w:rsidP="007108BC">
            <w:pPr>
              <w:pStyle w:val="Tabletext"/>
              <w:jc w:val="center"/>
              <w:rPr>
                <w:bCs/>
                <w:color w:val="000000"/>
                <w:highlight w:val="black"/>
              </w:rPr>
            </w:pPr>
            <w:r>
              <w:rPr>
                <w:noProof/>
                <w:color w:val="000000"/>
                <w:highlight w:val="black"/>
              </w:rPr>
              <w:t>'''''''''''''''''''''''''</w:t>
            </w:r>
          </w:p>
        </w:tc>
      </w:tr>
      <w:tr w:rsidR="009D17FC" w:rsidRPr="000B51E4" w:rsidTr="000B51E4">
        <w:tc>
          <w:tcPr>
            <w:tcW w:w="2689" w:type="dxa"/>
            <w:shd w:val="clear" w:color="auto" w:fill="auto"/>
            <w:vAlign w:val="center"/>
          </w:tcPr>
          <w:p w:rsidR="003B61C2" w:rsidRPr="000B51E4" w:rsidRDefault="003B61C2" w:rsidP="007713DA">
            <w:pPr>
              <w:pStyle w:val="Tabletext"/>
              <w:rPr>
                <w:rFonts w:ascii="Times" w:hAnsi="Times"/>
              </w:rPr>
            </w:pPr>
            <w:r w:rsidRPr="000B51E4">
              <w:t xml:space="preserve">Vaccinations </w:t>
            </w:r>
            <w:r w:rsidR="007713DA">
              <w:rPr>
                <w:color w:val="000000" w:themeColor="text1"/>
              </w:rPr>
              <w:t xml:space="preserve">Aboriginal and Torres Strait Islander </w:t>
            </w:r>
            <w:r w:rsidRPr="000B51E4">
              <w:t>population</w:t>
            </w:r>
          </w:p>
        </w:tc>
        <w:tc>
          <w:tcPr>
            <w:tcW w:w="1134" w:type="dxa"/>
            <w:shd w:val="clear" w:color="auto" w:fill="auto"/>
            <w:vAlign w:val="center"/>
          </w:tcPr>
          <w:p w:rsidR="003B61C2" w:rsidRPr="00BB196F" w:rsidRDefault="00BB196F" w:rsidP="007108BC">
            <w:pPr>
              <w:pStyle w:val="Tabletext"/>
              <w:jc w:val="center"/>
              <w:rPr>
                <w:bCs/>
                <w:color w:val="000000"/>
                <w:highlight w:val="black"/>
              </w:rPr>
            </w:pPr>
            <w:r>
              <w:rPr>
                <w:noProof/>
                <w:color w:val="000000"/>
                <w:highlight w:val="black"/>
              </w:rPr>
              <w:t>''''''''''''''''''''</w:t>
            </w:r>
          </w:p>
        </w:tc>
        <w:tc>
          <w:tcPr>
            <w:tcW w:w="992" w:type="dxa"/>
            <w:shd w:val="clear" w:color="auto" w:fill="auto"/>
            <w:vAlign w:val="center"/>
          </w:tcPr>
          <w:p w:rsidR="003B61C2" w:rsidRPr="00BB196F" w:rsidRDefault="00BB196F" w:rsidP="007108BC">
            <w:pPr>
              <w:pStyle w:val="Tabletext"/>
              <w:jc w:val="center"/>
              <w:rPr>
                <w:bCs/>
                <w:color w:val="000000"/>
                <w:highlight w:val="black"/>
              </w:rPr>
            </w:pPr>
            <w:r>
              <w:rPr>
                <w:noProof/>
                <w:color w:val="000000"/>
                <w:highlight w:val="black"/>
              </w:rPr>
              <w:t>'''''''''''''''''</w:t>
            </w:r>
          </w:p>
        </w:tc>
        <w:tc>
          <w:tcPr>
            <w:tcW w:w="992" w:type="dxa"/>
            <w:shd w:val="clear" w:color="auto" w:fill="auto"/>
            <w:vAlign w:val="center"/>
          </w:tcPr>
          <w:p w:rsidR="003B61C2" w:rsidRPr="00BB196F" w:rsidRDefault="00BB196F" w:rsidP="007108BC">
            <w:pPr>
              <w:pStyle w:val="Tabletext"/>
              <w:jc w:val="center"/>
              <w:rPr>
                <w:bCs/>
                <w:color w:val="000000"/>
                <w:highlight w:val="black"/>
              </w:rPr>
            </w:pPr>
            <w:r>
              <w:rPr>
                <w:noProof/>
                <w:color w:val="000000"/>
                <w:highlight w:val="black"/>
              </w:rPr>
              <w:t>''''''''''''''''''</w:t>
            </w:r>
          </w:p>
        </w:tc>
        <w:tc>
          <w:tcPr>
            <w:tcW w:w="992" w:type="dxa"/>
            <w:shd w:val="clear" w:color="auto" w:fill="auto"/>
            <w:vAlign w:val="center"/>
          </w:tcPr>
          <w:p w:rsidR="003B61C2" w:rsidRPr="00BB196F" w:rsidRDefault="00BB196F" w:rsidP="007108BC">
            <w:pPr>
              <w:pStyle w:val="Tabletext"/>
              <w:jc w:val="center"/>
              <w:rPr>
                <w:bCs/>
                <w:color w:val="000000"/>
                <w:highlight w:val="black"/>
              </w:rPr>
            </w:pPr>
            <w:r>
              <w:rPr>
                <w:noProof/>
                <w:color w:val="000000"/>
                <w:highlight w:val="black"/>
              </w:rPr>
              <w:t>''''''''''''''''</w:t>
            </w:r>
          </w:p>
        </w:tc>
        <w:tc>
          <w:tcPr>
            <w:tcW w:w="1134" w:type="dxa"/>
            <w:shd w:val="clear" w:color="auto" w:fill="auto"/>
            <w:vAlign w:val="center"/>
          </w:tcPr>
          <w:p w:rsidR="003B61C2" w:rsidRPr="00BB196F" w:rsidRDefault="00BB196F" w:rsidP="007108BC">
            <w:pPr>
              <w:pStyle w:val="Tabletext"/>
              <w:jc w:val="center"/>
              <w:rPr>
                <w:bCs/>
                <w:color w:val="000000"/>
                <w:highlight w:val="black"/>
              </w:rPr>
            </w:pPr>
            <w:r>
              <w:rPr>
                <w:noProof/>
                <w:color w:val="000000"/>
                <w:highlight w:val="black"/>
              </w:rPr>
              <w:t>''''''''''''''''</w:t>
            </w:r>
          </w:p>
        </w:tc>
        <w:tc>
          <w:tcPr>
            <w:tcW w:w="1084" w:type="dxa"/>
            <w:shd w:val="clear" w:color="auto" w:fill="auto"/>
            <w:vAlign w:val="center"/>
          </w:tcPr>
          <w:p w:rsidR="003B61C2" w:rsidRPr="00BB196F" w:rsidRDefault="00BB196F" w:rsidP="007108BC">
            <w:pPr>
              <w:pStyle w:val="Tabletext"/>
              <w:jc w:val="center"/>
              <w:rPr>
                <w:bCs/>
                <w:color w:val="000000"/>
                <w:highlight w:val="black"/>
              </w:rPr>
            </w:pPr>
            <w:r>
              <w:rPr>
                <w:noProof/>
                <w:color w:val="000000"/>
                <w:highlight w:val="black"/>
              </w:rPr>
              <w:t>''''''''''''''''</w:t>
            </w:r>
          </w:p>
        </w:tc>
      </w:tr>
      <w:tr w:rsidR="003B61C2" w:rsidRPr="000B51E4" w:rsidTr="000B51E4">
        <w:tc>
          <w:tcPr>
            <w:tcW w:w="9017" w:type="dxa"/>
            <w:gridSpan w:val="7"/>
            <w:shd w:val="clear" w:color="auto" w:fill="auto"/>
            <w:vAlign w:val="center"/>
          </w:tcPr>
          <w:p w:rsidR="003B61C2" w:rsidRPr="000B51E4" w:rsidRDefault="003B61C2" w:rsidP="007108BC">
            <w:pPr>
              <w:pStyle w:val="Tabletext"/>
              <w:rPr>
                <w:b/>
                <w:bCs/>
                <w:color w:val="000000"/>
              </w:rPr>
            </w:pPr>
            <w:r w:rsidRPr="000B51E4">
              <w:rPr>
                <w:b/>
                <w:bCs/>
                <w:color w:val="000000"/>
              </w:rPr>
              <w:t>Estimated financial implications of 4CMenB</w:t>
            </w:r>
          </w:p>
        </w:tc>
      </w:tr>
      <w:tr w:rsidR="009D17FC" w:rsidRPr="000B51E4" w:rsidTr="000B51E4">
        <w:tc>
          <w:tcPr>
            <w:tcW w:w="2689" w:type="dxa"/>
            <w:shd w:val="clear" w:color="auto" w:fill="auto"/>
            <w:vAlign w:val="center"/>
          </w:tcPr>
          <w:p w:rsidR="003B61C2" w:rsidRPr="000B51E4" w:rsidRDefault="003B61C2" w:rsidP="007108BC">
            <w:pPr>
              <w:pStyle w:val="Tabletext"/>
              <w:rPr>
                <w:rFonts w:ascii="Times" w:hAnsi="Times"/>
              </w:rPr>
            </w:pPr>
            <w:r w:rsidRPr="000B51E4">
              <w:rPr>
                <w:sz w:val="19"/>
                <w:szCs w:val="19"/>
              </w:rPr>
              <w:t>Cost to NIP General population</w:t>
            </w:r>
          </w:p>
        </w:tc>
        <w:tc>
          <w:tcPr>
            <w:tcW w:w="1134" w:type="dxa"/>
            <w:shd w:val="clear" w:color="auto" w:fill="auto"/>
            <w:vAlign w:val="center"/>
          </w:tcPr>
          <w:p w:rsidR="003B61C2" w:rsidRPr="000B51E4" w:rsidRDefault="003B61C2" w:rsidP="007108BC">
            <w:pPr>
              <w:pStyle w:val="Tabletext"/>
              <w:jc w:val="center"/>
              <w:rPr>
                <w:bCs/>
                <w:color w:val="000000"/>
              </w:rPr>
            </w:pPr>
            <w:r w:rsidRPr="000B51E4">
              <w:t>$</w:t>
            </w:r>
            <w:r w:rsidR="00BB196F">
              <w:rPr>
                <w:noProof/>
                <w:color w:val="000000"/>
                <w:highlight w:val="black"/>
              </w:rPr>
              <w:t>''''''''''''''''''''''''''</w:t>
            </w:r>
          </w:p>
        </w:tc>
        <w:tc>
          <w:tcPr>
            <w:tcW w:w="992" w:type="dxa"/>
            <w:shd w:val="clear" w:color="auto" w:fill="auto"/>
            <w:vAlign w:val="center"/>
          </w:tcPr>
          <w:p w:rsidR="003B61C2" w:rsidRPr="000B51E4" w:rsidRDefault="003B61C2" w:rsidP="007108BC">
            <w:pPr>
              <w:pStyle w:val="Tabletext"/>
              <w:jc w:val="center"/>
              <w:rPr>
                <w:bCs/>
                <w:color w:val="000000"/>
              </w:rPr>
            </w:pPr>
            <w:r w:rsidRPr="000B51E4">
              <w:t>$</w:t>
            </w:r>
            <w:r w:rsidR="00BB196F">
              <w:rPr>
                <w:noProof/>
                <w:color w:val="000000"/>
                <w:highlight w:val="black"/>
              </w:rPr>
              <w:t>'''''''''''''''''''''''''</w:t>
            </w:r>
          </w:p>
        </w:tc>
        <w:tc>
          <w:tcPr>
            <w:tcW w:w="992" w:type="dxa"/>
            <w:shd w:val="clear" w:color="auto" w:fill="auto"/>
            <w:vAlign w:val="center"/>
          </w:tcPr>
          <w:p w:rsidR="003B61C2" w:rsidRPr="000B51E4" w:rsidRDefault="003B61C2" w:rsidP="007108BC">
            <w:pPr>
              <w:pStyle w:val="Tabletext"/>
              <w:jc w:val="center"/>
              <w:rPr>
                <w:bCs/>
                <w:color w:val="000000"/>
              </w:rPr>
            </w:pPr>
            <w:r w:rsidRPr="000B51E4">
              <w:t>$</w:t>
            </w:r>
            <w:r w:rsidR="00BB196F">
              <w:rPr>
                <w:noProof/>
                <w:color w:val="000000"/>
                <w:highlight w:val="black"/>
              </w:rPr>
              <w:t>'''''''''''''''''''''''''''</w:t>
            </w:r>
          </w:p>
        </w:tc>
        <w:tc>
          <w:tcPr>
            <w:tcW w:w="992" w:type="dxa"/>
            <w:shd w:val="clear" w:color="auto" w:fill="auto"/>
            <w:vAlign w:val="center"/>
          </w:tcPr>
          <w:p w:rsidR="003B61C2" w:rsidRPr="000B51E4" w:rsidRDefault="003B61C2" w:rsidP="007108BC">
            <w:pPr>
              <w:pStyle w:val="Tabletext"/>
              <w:jc w:val="center"/>
              <w:rPr>
                <w:bCs/>
                <w:color w:val="000000"/>
              </w:rPr>
            </w:pPr>
            <w:r w:rsidRPr="000B51E4">
              <w:t>$</w:t>
            </w:r>
            <w:r w:rsidR="00BB196F">
              <w:rPr>
                <w:noProof/>
                <w:color w:val="000000"/>
                <w:highlight w:val="black"/>
              </w:rPr>
              <w:t>''''''''''''''''''''''''''</w:t>
            </w:r>
          </w:p>
        </w:tc>
        <w:tc>
          <w:tcPr>
            <w:tcW w:w="1134" w:type="dxa"/>
            <w:shd w:val="clear" w:color="auto" w:fill="auto"/>
            <w:vAlign w:val="center"/>
          </w:tcPr>
          <w:p w:rsidR="003B61C2" w:rsidRPr="000B51E4" w:rsidRDefault="003B61C2" w:rsidP="007108BC">
            <w:pPr>
              <w:pStyle w:val="Tabletext"/>
              <w:jc w:val="center"/>
              <w:rPr>
                <w:bCs/>
                <w:color w:val="000000"/>
              </w:rPr>
            </w:pPr>
            <w:r w:rsidRPr="000B51E4">
              <w:t>$</w:t>
            </w:r>
            <w:r w:rsidR="00BB196F">
              <w:rPr>
                <w:noProof/>
                <w:color w:val="000000"/>
                <w:highlight w:val="black"/>
              </w:rPr>
              <w:t>''''''''''''''''''''''''</w:t>
            </w:r>
          </w:p>
        </w:tc>
        <w:tc>
          <w:tcPr>
            <w:tcW w:w="1084" w:type="dxa"/>
            <w:shd w:val="clear" w:color="auto" w:fill="auto"/>
            <w:vAlign w:val="center"/>
          </w:tcPr>
          <w:p w:rsidR="003B61C2" w:rsidRPr="000B51E4" w:rsidRDefault="003B61C2" w:rsidP="007108BC">
            <w:pPr>
              <w:pStyle w:val="Tabletext"/>
              <w:jc w:val="center"/>
              <w:rPr>
                <w:bCs/>
                <w:color w:val="000000"/>
              </w:rPr>
            </w:pPr>
            <w:r w:rsidRPr="000B51E4">
              <w:t>$</w:t>
            </w:r>
            <w:r w:rsidR="00BB196F">
              <w:rPr>
                <w:noProof/>
                <w:color w:val="000000"/>
                <w:highlight w:val="black"/>
              </w:rPr>
              <w:t>'''''''''''''''''''''''''''''</w:t>
            </w:r>
          </w:p>
        </w:tc>
      </w:tr>
      <w:tr w:rsidR="009D17FC" w:rsidRPr="000B51E4" w:rsidTr="000B51E4">
        <w:tc>
          <w:tcPr>
            <w:tcW w:w="2689" w:type="dxa"/>
            <w:shd w:val="clear" w:color="auto" w:fill="auto"/>
            <w:vAlign w:val="center"/>
          </w:tcPr>
          <w:p w:rsidR="003B61C2" w:rsidRPr="000B51E4" w:rsidRDefault="003B61C2" w:rsidP="007108BC">
            <w:pPr>
              <w:pStyle w:val="Tabletext"/>
              <w:rPr>
                <w:sz w:val="19"/>
                <w:szCs w:val="19"/>
              </w:rPr>
            </w:pPr>
            <w:r w:rsidRPr="000B51E4">
              <w:rPr>
                <w:sz w:val="19"/>
                <w:szCs w:val="19"/>
              </w:rPr>
              <w:t>Cost to MBS General population</w:t>
            </w:r>
          </w:p>
        </w:tc>
        <w:tc>
          <w:tcPr>
            <w:tcW w:w="1134" w:type="dxa"/>
            <w:shd w:val="clear" w:color="auto" w:fill="auto"/>
            <w:vAlign w:val="center"/>
          </w:tcPr>
          <w:p w:rsidR="003B61C2" w:rsidRPr="000B51E4" w:rsidRDefault="003B61C2" w:rsidP="007108BC">
            <w:pPr>
              <w:pStyle w:val="Tabletext"/>
              <w:jc w:val="center"/>
              <w:rPr>
                <w:bCs/>
                <w:color w:val="000000"/>
              </w:rPr>
            </w:pPr>
            <w:r w:rsidRPr="000B51E4">
              <w:t>$</w:t>
            </w:r>
            <w:r w:rsidR="00BB196F">
              <w:rPr>
                <w:noProof/>
                <w:color w:val="000000"/>
                <w:highlight w:val="black"/>
              </w:rPr>
              <w:t>'''''''''''''''''</w:t>
            </w:r>
          </w:p>
        </w:tc>
        <w:tc>
          <w:tcPr>
            <w:tcW w:w="992" w:type="dxa"/>
            <w:shd w:val="clear" w:color="auto" w:fill="auto"/>
            <w:vAlign w:val="center"/>
          </w:tcPr>
          <w:p w:rsidR="003B61C2" w:rsidRPr="000B51E4" w:rsidRDefault="003B61C2" w:rsidP="007108BC">
            <w:pPr>
              <w:pStyle w:val="Tabletext"/>
              <w:jc w:val="center"/>
              <w:rPr>
                <w:bCs/>
                <w:color w:val="000000"/>
              </w:rPr>
            </w:pPr>
            <w:r w:rsidRPr="000B51E4">
              <w:t>$</w:t>
            </w:r>
            <w:r w:rsidR="00BB196F">
              <w:rPr>
                <w:noProof/>
                <w:color w:val="000000"/>
                <w:highlight w:val="black"/>
              </w:rPr>
              <w:t>'''''''''''''''''''''</w:t>
            </w:r>
          </w:p>
        </w:tc>
        <w:tc>
          <w:tcPr>
            <w:tcW w:w="992" w:type="dxa"/>
            <w:shd w:val="clear" w:color="auto" w:fill="auto"/>
            <w:vAlign w:val="center"/>
          </w:tcPr>
          <w:p w:rsidR="003B61C2" w:rsidRPr="000B51E4" w:rsidRDefault="003B61C2" w:rsidP="007108BC">
            <w:pPr>
              <w:pStyle w:val="Tabletext"/>
              <w:jc w:val="center"/>
              <w:rPr>
                <w:bCs/>
                <w:color w:val="000000"/>
              </w:rPr>
            </w:pPr>
            <w:r w:rsidRPr="000B51E4">
              <w:t>$</w:t>
            </w:r>
            <w:r w:rsidR="00BB196F">
              <w:rPr>
                <w:noProof/>
                <w:color w:val="000000"/>
                <w:highlight w:val="black"/>
              </w:rPr>
              <w:t>'''''''''''''''''''</w:t>
            </w:r>
          </w:p>
        </w:tc>
        <w:tc>
          <w:tcPr>
            <w:tcW w:w="992" w:type="dxa"/>
            <w:shd w:val="clear" w:color="auto" w:fill="auto"/>
            <w:vAlign w:val="center"/>
          </w:tcPr>
          <w:p w:rsidR="003B61C2" w:rsidRPr="000B51E4" w:rsidRDefault="003B61C2" w:rsidP="007108BC">
            <w:pPr>
              <w:pStyle w:val="Tabletext"/>
              <w:jc w:val="center"/>
              <w:rPr>
                <w:bCs/>
                <w:color w:val="000000"/>
              </w:rPr>
            </w:pPr>
            <w:r w:rsidRPr="000B51E4">
              <w:t>$</w:t>
            </w:r>
            <w:r w:rsidR="00BB196F">
              <w:rPr>
                <w:noProof/>
                <w:color w:val="000000"/>
                <w:highlight w:val="black"/>
              </w:rPr>
              <w:t>''''''''''''''''''</w:t>
            </w:r>
          </w:p>
        </w:tc>
        <w:tc>
          <w:tcPr>
            <w:tcW w:w="1134" w:type="dxa"/>
            <w:shd w:val="clear" w:color="auto" w:fill="auto"/>
            <w:vAlign w:val="center"/>
          </w:tcPr>
          <w:p w:rsidR="003B61C2" w:rsidRPr="000B51E4" w:rsidRDefault="003B61C2" w:rsidP="007108BC">
            <w:pPr>
              <w:pStyle w:val="Tabletext"/>
              <w:jc w:val="center"/>
              <w:rPr>
                <w:bCs/>
                <w:color w:val="000000"/>
              </w:rPr>
            </w:pPr>
            <w:r w:rsidRPr="000B51E4">
              <w:t>$</w:t>
            </w:r>
            <w:r w:rsidR="00BB196F">
              <w:rPr>
                <w:noProof/>
                <w:color w:val="000000"/>
                <w:highlight w:val="black"/>
              </w:rPr>
              <w:t>'''''''''''''''''''''</w:t>
            </w:r>
          </w:p>
        </w:tc>
        <w:tc>
          <w:tcPr>
            <w:tcW w:w="1084" w:type="dxa"/>
            <w:shd w:val="clear" w:color="auto" w:fill="auto"/>
            <w:vAlign w:val="center"/>
          </w:tcPr>
          <w:p w:rsidR="003B61C2" w:rsidRPr="000B51E4" w:rsidRDefault="003B61C2" w:rsidP="007108BC">
            <w:pPr>
              <w:pStyle w:val="Tabletext"/>
              <w:jc w:val="center"/>
              <w:rPr>
                <w:bCs/>
                <w:color w:val="000000"/>
              </w:rPr>
            </w:pPr>
            <w:r w:rsidRPr="000B51E4">
              <w:t>$</w:t>
            </w:r>
            <w:r w:rsidR="00BB196F">
              <w:rPr>
                <w:noProof/>
                <w:color w:val="000000"/>
                <w:highlight w:val="black"/>
              </w:rPr>
              <w:t>'''''''''''''''''''</w:t>
            </w:r>
          </w:p>
        </w:tc>
      </w:tr>
      <w:tr w:rsidR="009D17FC" w:rsidRPr="000B51E4" w:rsidTr="000B51E4">
        <w:tc>
          <w:tcPr>
            <w:tcW w:w="2689" w:type="dxa"/>
            <w:shd w:val="clear" w:color="auto" w:fill="auto"/>
          </w:tcPr>
          <w:p w:rsidR="003B61C2" w:rsidRPr="000B51E4" w:rsidRDefault="003B61C2" w:rsidP="007713DA">
            <w:pPr>
              <w:pStyle w:val="Tabletext"/>
              <w:rPr>
                <w:sz w:val="19"/>
                <w:szCs w:val="19"/>
              </w:rPr>
            </w:pPr>
            <w:r w:rsidRPr="000B51E4">
              <w:t xml:space="preserve">Cost to NIP </w:t>
            </w:r>
            <w:r w:rsidR="007713DA" w:rsidRPr="007713DA">
              <w:t xml:space="preserve">Aboriginal and Torres Strait Islander </w:t>
            </w:r>
            <w:r w:rsidRPr="000B51E4">
              <w:t>population</w:t>
            </w:r>
          </w:p>
        </w:tc>
        <w:tc>
          <w:tcPr>
            <w:tcW w:w="1134" w:type="dxa"/>
            <w:shd w:val="clear" w:color="auto" w:fill="auto"/>
            <w:vAlign w:val="center"/>
          </w:tcPr>
          <w:p w:rsidR="003B61C2" w:rsidRPr="000B51E4" w:rsidRDefault="003B61C2" w:rsidP="007108BC">
            <w:pPr>
              <w:pStyle w:val="Tabletext"/>
              <w:jc w:val="center"/>
              <w:rPr>
                <w:bCs/>
                <w:color w:val="000000"/>
              </w:rPr>
            </w:pPr>
            <w:r w:rsidRPr="000B51E4">
              <w:t>$</w:t>
            </w:r>
            <w:r w:rsidR="00BB196F">
              <w:rPr>
                <w:noProof/>
                <w:color w:val="000000"/>
                <w:highlight w:val="black"/>
              </w:rPr>
              <w:t>'''''''''''''''''''''''''</w:t>
            </w:r>
          </w:p>
        </w:tc>
        <w:tc>
          <w:tcPr>
            <w:tcW w:w="992" w:type="dxa"/>
            <w:shd w:val="clear" w:color="auto" w:fill="auto"/>
            <w:vAlign w:val="center"/>
          </w:tcPr>
          <w:p w:rsidR="003B61C2" w:rsidRPr="000B51E4" w:rsidRDefault="003B61C2" w:rsidP="007108BC">
            <w:pPr>
              <w:pStyle w:val="Tabletext"/>
              <w:jc w:val="center"/>
              <w:rPr>
                <w:bCs/>
                <w:color w:val="000000"/>
              </w:rPr>
            </w:pPr>
            <w:r w:rsidRPr="000B51E4">
              <w:t>$</w:t>
            </w:r>
            <w:r w:rsidR="00BB196F">
              <w:rPr>
                <w:noProof/>
                <w:color w:val="000000"/>
                <w:highlight w:val="black"/>
              </w:rPr>
              <w:t>'''''''''''''''''''''''''</w:t>
            </w:r>
          </w:p>
        </w:tc>
        <w:tc>
          <w:tcPr>
            <w:tcW w:w="992" w:type="dxa"/>
            <w:shd w:val="clear" w:color="auto" w:fill="auto"/>
            <w:vAlign w:val="center"/>
          </w:tcPr>
          <w:p w:rsidR="003B61C2" w:rsidRPr="000B51E4" w:rsidRDefault="003B61C2" w:rsidP="007108BC">
            <w:pPr>
              <w:pStyle w:val="Tabletext"/>
              <w:jc w:val="center"/>
              <w:rPr>
                <w:bCs/>
                <w:color w:val="000000"/>
              </w:rPr>
            </w:pPr>
            <w:r w:rsidRPr="000B51E4">
              <w:t>$</w:t>
            </w:r>
            <w:r w:rsidR="00BB196F">
              <w:rPr>
                <w:noProof/>
                <w:color w:val="000000"/>
                <w:highlight w:val="black"/>
              </w:rPr>
              <w:t>'''''''''''''''''''''''</w:t>
            </w:r>
          </w:p>
        </w:tc>
        <w:tc>
          <w:tcPr>
            <w:tcW w:w="992" w:type="dxa"/>
            <w:shd w:val="clear" w:color="auto" w:fill="auto"/>
            <w:vAlign w:val="center"/>
          </w:tcPr>
          <w:p w:rsidR="003B61C2" w:rsidRPr="000B51E4" w:rsidRDefault="003B61C2" w:rsidP="007108BC">
            <w:pPr>
              <w:pStyle w:val="Tabletext"/>
              <w:jc w:val="center"/>
              <w:rPr>
                <w:bCs/>
                <w:color w:val="000000"/>
              </w:rPr>
            </w:pPr>
            <w:r w:rsidRPr="000B51E4">
              <w:t>$</w:t>
            </w:r>
            <w:r w:rsidR="00BB196F">
              <w:rPr>
                <w:noProof/>
                <w:color w:val="000000"/>
                <w:highlight w:val="black"/>
              </w:rPr>
              <w:t>''''''''''''''''''''''</w:t>
            </w:r>
          </w:p>
        </w:tc>
        <w:tc>
          <w:tcPr>
            <w:tcW w:w="1134" w:type="dxa"/>
            <w:shd w:val="clear" w:color="auto" w:fill="auto"/>
            <w:vAlign w:val="center"/>
          </w:tcPr>
          <w:p w:rsidR="003B61C2" w:rsidRPr="000B51E4" w:rsidRDefault="003B61C2" w:rsidP="007108BC">
            <w:pPr>
              <w:pStyle w:val="Tabletext"/>
              <w:jc w:val="center"/>
              <w:rPr>
                <w:bCs/>
                <w:color w:val="000000"/>
              </w:rPr>
            </w:pPr>
            <w:r w:rsidRPr="000B51E4">
              <w:t>$</w:t>
            </w:r>
            <w:r w:rsidR="00BB196F">
              <w:rPr>
                <w:noProof/>
                <w:color w:val="000000"/>
                <w:highlight w:val="black"/>
              </w:rPr>
              <w:t>'''''''''''''''''''''''''</w:t>
            </w:r>
          </w:p>
        </w:tc>
        <w:tc>
          <w:tcPr>
            <w:tcW w:w="1084" w:type="dxa"/>
            <w:shd w:val="clear" w:color="auto" w:fill="auto"/>
            <w:vAlign w:val="center"/>
          </w:tcPr>
          <w:p w:rsidR="003B61C2" w:rsidRPr="000B51E4" w:rsidRDefault="003B61C2" w:rsidP="007108BC">
            <w:pPr>
              <w:pStyle w:val="Tabletext"/>
              <w:jc w:val="center"/>
              <w:rPr>
                <w:bCs/>
                <w:color w:val="000000"/>
              </w:rPr>
            </w:pPr>
            <w:r w:rsidRPr="000B51E4">
              <w:t>$</w:t>
            </w:r>
            <w:r w:rsidR="00BB196F">
              <w:rPr>
                <w:noProof/>
                <w:color w:val="000000"/>
                <w:highlight w:val="black"/>
              </w:rPr>
              <w:t>'''''''''''''''''''''''''</w:t>
            </w:r>
          </w:p>
        </w:tc>
      </w:tr>
      <w:tr w:rsidR="009D17FC" w:rsidRPr="000B51E4" w:rsidTr="000B51E4">
        <w:tc>
          <w:tcPr>
            <w:tcW w:w="2689" w:type="dxa"/>
            <w:shd w:val="clear" w:color="auto" w:fill="auto"/>
          </w:tcPr>
          <w:p w:rsidR="003B61C2" w:rsidRPr="000B51E4" w:rsidRDefault="003B61C2" w:rsidP="007108BC">
            <w:pPr>
              <w:pStyle w:val="Tabletext"/>
              <w:rPr>
                <w:sz w:val="19"/>
                <w:szCs w:val="19"/>
              </w:rPr>
            </w:pPr>
            <w:r w:rsidRPr="000B51E4">
              <w:t xml:space="preserve">Cost to MBS </w:t>
            </w:r>
            <w:r w:rsidR="007713DA" w:rsidRPr="007713DA">
              <w:t>Aboriginal and Torres Strait Islander</w:t>
            </w:r>
            <w:r w:rsidRPr="000B51E4">
              <w:t xml:space="preserve"> population</w:t>
            </w:r>
          </w:p>
        </w:tc>
        <w:tc>
          <w:tcPr>
            <w:tcW w:w="1134" w:type="dxa"/>
            <w:shd w:val="clear" w:color="auto" w:fill="auto"/>
            <w:vAlign w:val="center"/>
          </w:tcPr>
          <w:p w:rsidR="003B61C2" w:rsidRPr="000B51E4" w:rsidRDefault="003B61C2" w:rsidP="007108BC">
            <w:pPr>
              <w:pStyle w:val="Tabletext"/>
              <w:jc w:val="center"/>
              <w:rPr>
                <w:bCs/>
                <w:color w:val="000000"/>
              </w:rPr>
            </w:pPr>
            <w:r w:rsidRPr="000B51E4">
              <w:t>$</w:t>
            </w:r>
            <w:r w:rsidR="00BB196F">
              <w:rPr>
                <w:noProof/>
                <w:color w:val="000000"/>
                <w:highlight w:val="black"/>
              </w:rPr>
              <w:t>'''''''''''''''''''''</w:t>
            </w:r>
          </w:p>
        </w:tc>
        <w:tc>
          <w:tcPr>
            <w:tcW w:w="992" w:type="dxa"/>
            <w:shd w:val="clear" w:color="auto" w:fill="auto"/>
            <w:vAlign w:val="center"/>
          </w:tcPr>
          <w:p w:rsidR="003B61C2" w:rsidRPr="000B51E4" w:rsidRDefault="003B61C2" w:rsidP="007108BC">
            <w:pPr>
              <w:pStyle w:val="Tabletext"/>
              <w:jc w:val="center"/>
              <w:rPr>
                <w:bCs/>
                <w:color w:val="000000"/>
              </w:rPr>
            </w:pPr>
            <w:r w:rsidRPr="000B51E4">
              <w:t>$</w:t>
            </w:r>
            <w:r w:rsidR="00BB196F">
              <w:rPr>
                <w:noProof/>
                <w:color w:val="000000"/>
                <w:highlight w:val="black"/>
              </w:rPr>
              <w:t>''''''''''''''''''</w:t>
            </w:r>
          </w:p>
        </w:tc>
        <w:tc>
          <w:tcPr>
            <w:tcW w:w="992" w:type="dxa"/>
            <w:shd w:val="clear" w:color="auto" w:fill="auto"/>
            <w:vAlign w:val="center"/>
          </w:tcPr>
          <w:p w:rsidR="003B61C2" w:rsidRPr="000B51E4" w:rsidRDefault="003B61C2" w:rsidP="007108BC">
            <w:pPr>
              <w:pStyle w:val="Tabletext"/>
              <w:jc w:val="center"/>
              <w:rPr>
                <w:bCs/>
                <w:color w:val="000000"/>
              </w:rPr>
            </w:pPr>
            <w:r w:rsidRPr="000B51E4">
              <w:t>$</w:t>
            </w:r>
            <w:r w:rsidR="00BB196F">
              <w:rPr>
                <w:noProof/>
                <w:color w:val="000000"/>
                <w:highlight w:val="black"/>
              </w:rPr>
              <w:t>'''''''''''''''''''''</w:t>
            </w:r>
          </w:p>
        </w:tc>
        <w:tc>
          <w:tcPr>
            <w:tcW w:w="992" w:type="dxa"/>
            <w:shd w:val="clear" w:color="auto" w:fill="auto"/>
            <w:vAlign w:val="center"/>
          </w:tcPr>
          <w:p w:rsidR="003B61C2" w:rsidRPr="000B51E4" w:rsidRDefault="003B61C2" w:rsidP="007108BC">
            <w:pPr>
              <w:pStyle w:val="Tabletext"/>
              <w:jc w:val="center"/>
              <w:rPr>
                <w:bCs/>
                <w:color w:val="000000"/>
              </w:rPr>
            </w:pPr>
            <w:r w:rsidRPr="000B51E4">
              <w:t>$</w:t>
            </w:r>
            <w:r w:rsidR="00BB196F">
              <w:rPr>
                <w:noProof/>
                <w:color w:val="000000"/>
                <w:highlight w:val="black"/>
              </w:rPr>
              <w:t>''''''''''''''''''''</w:t>
            </w:r>
          </w:p>
        </w:tc>
        <w:tc>
          <w:tcPr>
            <w:tcW w:w="1134" w:type="dxa"/>
            <w:shd w:val="clear" w:color="auto" w:fill="auto"/>
            <w:vAlign w:val="center"/>
          </w:tcPr>
          <w:p w:rsidR="003B61C2" w:rsidRPr="000B51E4" w:rsidRDefault="003B61C2" w:rsidP="007108BC">
            <w:pPr>
              <w:pStyle w:val="Tabletext"/>
              <w:jc w:val="center"/>
              <w:rPr>
                <w:bCs/>
                <w:color w:val="000000"/>
              </w:rPr>
            </w:pPr>
            <w:r w:rsidRPr="000B51E4">
              <w:t>$</w:t>
            </w:r>
            <w:r w:rsidR="00BB196F">
              <w:rPr>
                <w:noProof/>
                <w:color w:val="000000"/>
                <w:highlight w:val="black"/>
              </w:rPr>
              <w:t>''''''''''''''''''''</w:t>
            </w:r>
          </w:p>
        </w:tc>
        <w:tc>
          <w:tcPr>
            <w:tcW w:w="1084" w:type="dxa"/>
            <w:shd w:val="clear" w:color="auto" w:fill="auto"/>
            <w:vAlign w:val="center"/>
          </w:tcPr>
          <w:p w:rsidR="003B61C2" w:rsidRPr="000B51E4" w:rsidRDefault="003B61C2" w:rsidP="007108BC">
            <w:pPr>
              <w:pStyle w:val="Tabletext"/>
              <w:jc w:val="center"/>
              <w:rPr>
                <w:bCs/>
                <w:color w:val="000000"/>
              </w:rPr>
            </w:pPr>
            <w:r w:rsidRPr="000B51E4">
              <w:t>$</w:t>
            </w:r>
            <w:r w:rsidR="00BB196F">
              <w:rPr>
                <w:noProof/>
                <w:color w:val="000000"/>
                <w:highlight w:val="black"/>
              </w:rPr>
              <w:t>'''''''''''''''''''</w:t>
            </w:r>
          </w:p>
        </w:tc>
      </w:tr>
      <w:tr w:rsidR="003B61C2" w:rsidRPr="000B51E4" w:rsidTr="000B51E4">
        <w:tc>
          <w:tcPr>
            <w:tcW w:w="9017" w:type="dxa"/>
            <w:gridSpan w:val="7"/>
            <w:shd w:val="clear" w:color="auto" w:fill="auto"/>
            <w:vAlign w:val="center"/>
          </w:tcPr>
          <w:p w:rsidR="003B61C2" w:rsidRPr="000B51E4" w:rsidRDefault="003B61C2" w:rsidP="007108BC">
            <w:pPr>
              <w:pStyle w:val="Tabletext"/>
              <w:rPr>
                <w:b/>
                <w:bCs/>
                <w:color w:val="000000"/>
              </w:rPr>
            </w:pPr>
            <w:r w:rsidRPr="000B51E4">
              <w:rPr>
                <w:b/>
                <w:bCs/>
                <w:color w:val="000000"/>
              </w:rPr>
              <w:t>Net financial implications</w:t>
            </w:r>
          </w:p>
        </w:tc>
      </w:tr>
      <w:tr w:rsidR="009D17FC" w:rsidRPr="000B51E4" w:rsidTr="000B51E4">
        <w:tc>
          <w:tcPr>
            <w:tcW w:w="2689" w:type="dxa"/>
            <w:shd w:val="clear" w:color="auto" w:fill="auto"/>
            <w:vAlign w:val="center"/>
          </w:tcPr>
          <w:p w:rsidR="003B61C2" w:rsidRPr="007713DA" w:rsidRDefault="003B61C2" w:rsidP="007108BC">
            <w:pPr>
              <w:pStyle w:val="Tabletext"/>
              <w:rPr>
                <w:sz w:val="19"/>
                <w:szCs w:val="19"/>
              </w:rPr>
            </w:pPr>
            <w:r w:rsidRPr="007713DA">
              <w:rPr>
                <w:sz w:val="19"/>
                <w:szCs w:val="19"/>
              </w:rPr>
              <w:t>Net cost to NIP/MBS – General population</w:t>
            </w:r>
            <w:r w:rsidRPr="007713DA">
              <w:rPr>
                <w:sz w:val="19"/>
                <w:szCs w:val="19"/>
                <w:vertAlign w:val="superscript"/>
              </w:rPr>
              <w:t>a</w:t>
            </w:r>
          </w:p>
        </w:tc>
        <w:tc>
          <w:tcPr>
            <w:tcW w:w="1134" w:type="dxa"/>
            <w:shd w:val="clear" w:color="auto" w:fill="auto"/>
            <w:vAlign w:val="center"/>
          </w:tcPr>
          <w:p w:rsidR="003B61C2" w:rsidRPr="00E537AB" w:rsidRDefault="003B61C2" w:rsidP="007108BC">
            <w:pPr>
              <w:pStyle w:val="Tabletext"/>
              <w:jc w:val="center"/>
              <w:rPr>
                <w:bCs/>
                <w:color w:val="000000"/>
              </w:rPr>
            </w:pPr>
            <w:r w:rsidRPr="00E537AB">
              <w:t>$</w:t>
            </w:r>
            <w:r w:rsidR="00BB196F">
              <w:rPr>
                <w:noProof/>
                <w:color w:val="000000"/>
                <w:highlight w:val="black"/>
              </w:rPr>
              <w:t>'''''''''''''''''''''''''''''</w:t>
            </w:r>
          </w:p>
        </w:tc>
        <w:tc>
          <w:tcPr>
            <w:tcW w:w="992" w:type="dxa"/>
            <w:shd w:val="clear" w:color="auto" w:fill="auto"/>
            <w:vAlign w:val="center"/>
          </w:tcPr>
          <w:p w:rsidR="003B61C2" w:rsidRPr="00E537AB" w:rsidRDefault="003B61C2" w:rsidP="007108BC">
            <w:pPr>
              <w:pStyle w:val="Tabletext"/>
              <w:jc w:val="center"/>
              <w:rPr>
                <w:bCs/>
                <w:color w:val="000000"/>
              </w:rPr>
            </w:pPr>
            <w:r w:rsidRPr="00E537AB">
              <w:t>$</w:t>
            </w:r>
            <w:r w:rsidR="00BB196F">
              <w:rPr>
                <w:noProof/>
                <w:color w:val="000000"/>
                <w:highlight w:val="black"/>
              </w:rPr>
              <w:t>''''''''''''''''''''''''''</w:t>
            </w:r>
          </w:p>
        </w:tc>
        <w:tc>
          <w:tcPr>
            <w:tcW w:w="992" w:type="dxa"/>
            <w:shd w:val="clear" w:color="auto" w:fill="auto"/>
            <w:vAlign w:val="center"/>
          </w:tcPr>
          <w:p w:rsidR="003B61C2" w:rsidRPr="00E537AB" w:rsidRDefault="003B61C2" w:rsidP="007108BC">
            <w:pPr>
              <w:pStyle w:val="Tabletext"/>
              <w:jc w:val="center"/>
              <w:rPr>
                <w:bCs/>
                <w:color w:val="000000"/>
              </w:rPr>
            </w:pPr>
            <w:r w:rsidRPr="00E537AB">
              <w:t>$</w:t>
            </w:r>
            <w:r w:rsidR="00BB196F">
              <w:rPr>
                <w:noProof/>
                <w:color w:val="000000"/>
                <w:highlight w:val="black"/>
              </w:rPr>
              <w:t>''''''''''''''''''''''''</w:t>
            </w:r>
          </w:p>
        </w:tc>
        <w:tc>
          <w:tcPr>
            <w:tcW w:w="992" w:type="dxa"/>
            <w:shd w:val="clear" w:color="auto" w:fill="auto"/>
            <w:vAlign w:val="center"/>
          </w:tcPr>
          <w:p w:rsidR="003B61C2" w:rsidRPr="00E537AB" w:rsidRDefault="003B61C2" w:rsidP="007108BC">
            <w:pPr>
              <w:pStyle w:val="Tabletext"/>
              <w:jc w:val="center"/>
              <w:rPr>
                <w:bCs/>
                <w:color w:val="000000"/>
              </w:rPr>
            </w:pPr>
            <w:r w:rsidRPr="00E537AB">
              <w:t>$</w:t>
            </w:r>
            <w:r w:rsidR="00BB196F">
              <w:rPr>
                <w:noProof/>
                <w:color w:val="000000"/>
                <w:highlight w:val="black"/>
              </w:rPr>
              <w:t>'''''''''''''''''''''''''''</w:t>
            </w:r>
          </w:p>
        </w:tc>
        <w:tc>
          <w:tcPr>
            <w:tcW w:w="1134" w:type="dxa"/>
            <w:shd w:val="clear" w:color="auto" w:fill="auto"/>
            <w:vAlign w:val="center"/>
          </w:tcPr>
          <w:p w:rsidR="003B61C2" w:rsidRPr="00E537AB" w:rsidRDefault="003B61C2" w:rsidP="007108BC">
            <w:pPr>
              <w:pStyle w:val="Tabletext"/>
              <w:jc w:val="center"/>
              <w:rPr>
                <w:bCs/>
                <w:color w:val="000000"/>
              </w:rPr>
            </w:pPr>
            <w:r w:rsidRPr="00E537AB">
              <w:t>$</w:t>
            </w:r>
            <w:r w:rsidR="00BB196F">
              <w:rPr>
                <w:noProof/>
                <w:color w:val="000000"/>
                <w:highlight w:val="black"/>
              </w:rPr>
              <w:t>'''''''''''''''''''''''''</w:t>
            </w:r>
          </w:p>
        </w:tc>
        <w:tc>
          <w:tcPr>
            <w:tcW w:w="1084" w:type="dxa"/>
            <w:shd w:val="clear" w:color="auto" w:fill="auto"/>
            <w:vAlign w:val="center"/>
          </w:tcPr>
          <w:p w:rsidR="003B61C2" w:rsidRPr="00E537AB" w:rsidRDefault="003B61C2" w:rsidP="007108BC">
            <w:pPr>
              <w:pStyle w:val="Tabletext"/>
              <w:jc w:val="center"/>
              <w:rPr>
                <w:bCs/>
                <w:color w:val="000000"/>
              </w:rPr>
            </w:pPr>
            <w:r w:rsidRPr="00E537AB">
              <w:t>$</w:t>
            </w:r>
            <w:r w:rsidR="00BB196F">
              <w:rPr>
                <w:noProof/>
                <w:color w:val="000000"/>
                <w:highlight w:val="black"/>
              </w:rPr>
              <w:t>'''''''''''''''''''''''''''</w:t>
            </w:r>
          </w:p>
        </w:tc>
      </w:tr>
      <w:tr w:rsidR="009D17FC" w:rsidRPr="000B51E4" w:rsidTr="000B51E4">
        <w:tc>
          <w:tcPr>
            <w:tcW w:w="2689" w:type="dxa"/>
            <w:shd w:val="clear" w:color="auto" w:fill="auto"/>
            <w:vAlign w:val="center"/>
          </w:tcPr>
          <w:p w:rsidR="003B61C2" w:rsidRPr="007713DA" w:rsidRDefault="003B61C2" w:rsidP="007108BC">
            <w:pPr>
              <w:pStyle w:val="Tabletext"/>
            </w:pPr>
            <w:r w:rsidRPr="007713DA">
              <w:t>Net cost to NIP/MBS</w:t>
            </w:r>
            <w:r w:rsidR="00624D24">
              <w:t xml:space="preserve"> </w:t>
            </w:r>
            <w:r w:rsidR="007713DA" w:rsidRPr="007713DA">
              <w:t xml:space="preserve">Aboriginal and Torres Strait Islander </w:t>
            </w:r>
            <w:r w:rsidRPr="007713DA">
              <w:t>population</w:t>
            </w:r>
          </w:p>
        </w:tc>
        <w:tc>
          <w:tcPr>
            <w:tcW w:w="1134" w:type="dxa"/>
            <w:shd w:val="clear" w:color="auto" w:fill="auto"/>
            <w:vAlign w:val="center"/>
          </w:tcPr>
          <w:p w:rsidR="003B61C2" w:rsidRPr="00E537AB" w:rsidRDefault="003B61C2" w:rsidP="007108BC">
            <w:pPr>
              <w:pStyle w:val="Tabletext"/>
              <w:jc w:val="center"/>
            </w:pPr>
            <w:r w:rsidRPr="00E537AB">
              <w:t>$</w:t>
            </w:r>
            <w:r w:rsidR="00BB196F">
              <w:rPr>
                <w:noProof/>
                <w:color w:val="000000"/>
                <w:highlight w:val="black"/>
              </w:rPr>
              <w:t>''''''''''''''''''''''''''''</w:t>
            </w:r>
          </w:p>
        </w:tc>
        <w:tc>
          <w:tcPr>
            <w:tcW w:w="992" w:type="dxa"/>
            <w:shd w:val="clear" w:color="auto" w:fill="auto"/>
            <w:vAlign w:val="center"/>
          </w:tcPr>
          <w:p w:rsidR="003B61C2" w:rsidRPr="00E537AB" w:rsidRDefault="003B61C2" w:rsidP="007108BC">
            <w:pPr>
              <w:pStyle w:val="Tabletext"/>
              <w:jc w:val="center"/>
            </w:pPr>
            <w:r w:rsidRPr="00E537AB">
              <w:t>$</w:t>
            </w:r>
            <w:r w:rsidR="00BB196F">
              <w:rPr>
                <w:noProof/>
                <w:color w:val="000000"/>
                <w:highlight w:val="black"/>
              </w:rPr>
              <w:t>'''''''''''''''''''''''</w:t>
            </w:r>
          </w:p>
        </w:tc>
        <w:tc>
          <w:tcPr>
            <w:tcW w:w="992" w:type="dxa"/>
            <w:shd w:val="clear" w:color="auto" w:fill="auto"/>
            <w:vAlign w:val="center"/>
          </w:tcPr>
          <w:p w:rsidR="003B61C2" w:rsidRPr="00E537AB" w:rsidRDefault="003B61C2" w:rsidP="007108BC">
            <w:pPr>
              <w:pStyle w:val="Tabletext"/>
              <w:jc w:val="center"/>
            </w:pPr>
            <w:r w:rsidRPr="00E537AB">
              <w:t>$</w:t>
            </w:r>
            <w:r w:rsidR="00BB196F">
              <w:rPr>
                <w:noProof/>
                <w:color w:val="000000"/>
                <w:highlight w:val="black"/>
              </w:rPr>
              <w:t>''''''''''''''''''''''''''</w:t>
            </w:r>
          </w:p>
        </w:tc>
        <w:tc>
          <w:tcPr>
            <w:tcW w:w="992" w:type="dxa"/>
            <w:shd w:val="clear" w:color="auto" w:fill="auto"/>
            <w:vAlign w:val="center"/>
          </w:tcPr>
          <w:p w:rsidR="003B61C2" w:rsidRPr="00E537AB" w:rsidRDefault="003B61C2" w:rsidP="007108BC">
            <w:pPr>
              <w:pStyle w:val="Tabletext"/>
              <w:jc w:val="center"/>
            </w:pPr>
            <w:r w:rsidRPr="00E537AB">
              <w:t>$</w:t>
            </w:r>
            <w:r w:rsidR="00BB196F">
              <w:rPr>
                <w:noProof/>
                <w:color w:val="000000"/>
                <w:highlight w:val="black"/>
              </w:rPr>
              <w:t>''''''''''''''''''''''''</w:t>
            </w:r>
          </w:p>
        </w:tc>
        <w:tc>
          <w:tcPr>
            <w:tcW w:w="1134" w:type="dxa"/>
            <w:shd w:val="clear" w:color="auto" w:fill="auto"/>
            <w:vAlign w:val="center"/>
          </w:tcPr>
          <w:p w:rsidR="003B61C2" w:rsidRPr="00E537AB" w:rsidRDefault="003B61C2" w:rsidP="007108BC">
            <w:pPr>
              <w:pStyle w:val="Tabletext"/>
              <w:jc w:val="center"/>
            </w:pPr>
            <w:r w:rsidRPr="00E537AB">
              <w:t>$</w:t>
            </w:r>
            <w:r w:rsidR="00BB196F">
              <w:rPr>
                <w:noProof/>
                <w:color w:val="000000"/>
                <w:highlight w:val="black"/>
              </w:rPr>
              <w:t>'''''''''''''''''''''''</w:t>
            </w:r>
          </w:p>
        </w:tc>
        <w:tc>
          <w:tcPr>
            <w:tcW w:w="1084" w:type="dxa"/>
            <w:shd w:val="clear" w:color="auto" w:fill="auto"/>
            <w:vAlign w:val="center"/>
          </w:tcPr>
          <w:p w:rsidR="003B61C2" w:rsidRPr="00E537AB" w:rsidRDefault="003B61C2" w:rsidP="007108BC">
            <w:pPr>
              <w:pStyle w:val="Tabletext"/>
              <w:jc w:val="center"/>
            </w:pPr>
            <w:r w:rsidRPr="00E537AB">
              <w:t>$</w:t>
            </w:r>
            <w:r w:rsidR="00BB196F">
              <w:rPr>
                <w:noProof/>
                <w:color w:val="000000"/>
                <w:highlight w:val="black"/>
              </w:rPr>
              <w:t>'''''''''''''''''''''''</w:t>
            </w:r>
          </w:p>
        </w:tc>
      </w:tr>
    </w:tbl>
    <w:p w:rsidR="003B61C2" w:rsidRPr="007108BC" w:rsidRDefault="003B61C2" w:rsidP="007108BC">
      <w:pPr>
        <w:pStyle w:val="TableFooter"/>
        <w:tabs>
          <w:tab w:val="left" w:pos="142"/>
        </w:tabs>
        <w:jc w:val="both"/>
      </w:pPr>
      <w:r w:rsidRPr="007108BC">
        <w:t>Abbreviations: GP = general practitioner; MBS = Medicare Benefits Schedule; NIP = National Immunisation Program</w:t>
      </w:r>
      <w:r w:rsidR="00584D80" w:rsidRPr="007108BC">
        <w:t xml:space="preserve"> NR= not reported.</w:t>
      </w:r>
      <w:r w:rsidRPr="007108BC">
        <w:t xml:space="preserve"> </w:t>
      </w:r>
    </w:p>
    <w:p w:rsidR="003B61C2" w:rsidRPr="007108BC" w:rsidRDefault="003B61C2" w:rsidP="007108BC">
      <w:pPr>
        <w:pStyle w:val="TableFooter"/>
        <w:tabs>
          <w:tab w:val="left" w:pos="142"/>
        </w:tabs>
        <w:jc w:val="both"/>
      </w:pPr>
      <w:r w:rsidRPr="007108BC">
        <w:t>Note</w:t>
      </w:r>
      <w:r w:rsidRPr="007108BC">
        <w:rPr>
          <w:vertAlign w:val="superscript"/>
        </w:rPr>
        <w:t>: a</w:t>
      </w:r>
      <w:r w:rsidRPr="007108BC">
        <w:t>Did not include the catch-up program for Aboriginal and Torres Strait Islander adolescents aged 16 to 19 years and aged 2 to 14 years in Year 1;</w:t>
      </w:r>
    </w:p>
    <w:p w:rsidR="003B61C2" w:rsidRPr="007108BC" w:rsidRDefault="003B61C2" w:rsidP="007108BC">
      <w:pPr>
        <w:pStyle w:val="TableFooter"/>
        <w:tabs>
          <w:tab w:val="left" w:pos="3869"/>
        </w:tabs>
        <w:jc w:val="both"/>
        <w:rPr>
          <w:rStyle w:val="CommentReference"/>
          <w:i/>
        </w:rPr>
      </w:pPr>
      <w:r w:rsidRPr="007108BC">
        <w:t xml:space="preserve">Source: Table 4.6, p. 316; Table 4.7, p. 317; Table 4.8, p. 318; Table 4.9, p. 319; Table 4.14, p.328; Table 4.15, p.328; Table 4.17 and Table 4.18, p. 323 of the resubmission </w:t>
      </w:r>
      <w:r w:rsidRPr="00270DA3">
        <w:t xml:space="preserve">and calculated during the evaluation </w:t>
      </w:r>
    </w:p>
    <w:p w:rsidR="003B61C2" w:rsidRDefault="003B61C2" w:rsidP="007108BC"/>
    <w:p w:rsidR="003B61C2" w:rsidRPr="007108BC" w:rsidRDefault="003B61C2" w:rsidP="00EB423F">
      <w:pPr>
        <w:pStyle w:val="bulletnumberedstyle"/>
      </w:pPr>
      <w:r w:rsidRPr="007108BC">
        <w:t xml:space="preserve">The </w:t>
      </w:r>
      <w:r w:rsidR="005A16A8">
        <w:t xml:space="preserve">evaluation considered the </w:t>
      </w:r>
      <w:r w:rsidRPr="007108BC">
        <w:t>main issues regarding</w:t>
      </w:r>
      <w:r w:rsidR="00624D24">
        <w:t xml:space="preserve"> </w:t>
      </w:r>
      <w:r w:rsidRPr="007108BC">
        <w:t xml:space="preserve">the financial estimates </w:t>
      </w:r>
      <w:r w:rsidR="001A6EAF">
        <w:t xml:space="preserve">that may have underestimated the </w:t>
      </w:r>
      <w:r w:rsidR="001A6EAF" w:rsidRPr="00EB423F">
        <w:t>cost to the NIP</w:t>
      </w:r>
      <w:r w:rsidR="001A6EAF" w:rsidRPr="007108BC">
        <w:t xml:space="preserve"> </w:t>
      </w:r>
      <w:r w:rsidRPr="007108BC">
        <w:t xml:space="preserve">were: </w:t>
      </w:r>
    </w:p>
    <w:p w:rsidR="003B61C2" w:rsidRPr="00EB423F" w:rsidRDefault="00EB423F" w:rsidP="00B975BD">
      <w:pPr>
        <w:pStyle w:val="ListParagraph"/>
        <w:numPr>
          <w:ilvl w:val="0"/>
          <w:numId w:val="6"/>
        </w:numPr>
        <w:jc w:val="both"/>
      </w:pPr>
      <w:r>
        <w:t>T</w:t>
      </w:r>
      <w:r w:rsidR="003B61C2" w:rsidRPr="00EB423F">
        <w:t xml:space="preserve">he resubmission did not propose a catch-up program for adolescents, </w:t>
      </w:r>
      <w:r w:rsidR="00B117CA" w:rsidRPr="00EB423F">
        <w:t xml:space="preserve">whereas </w:t>
      </w:r>
      <w:r w:rsidR="00B117CA" w:rsidRPr="00E26B70">
        <w:t>ATAGI recommended an ongoing catch-up program for all adolescents aged 15–19 years</w:t>
      </w:r>
      <w:r w:rsidR="003B61C2" w:rsidRPr="00EB423F">
        <w:t xml:space="preserve">. </w:t>
      </w:r>
    </w:p>
    <w:p w:rsidR="003B61C2" w:rsidRDefault="003B61C2" w:rsidP="00B975BD">
      <w:pPr>
        <w:pStyle w:val="ListParagraph"/>
        <w:numPr>
          <w:ilvl w:val="0"/>
          <w:numId w:val="6"/>
        </w:numPr>
        <w:jc w:val="both"/>
      </w:pPr>
      <w:r w:rsidRPr="00EB423F">
        <w:t xml:space="preserve">The resubmission did not consider the additional </w:t>
      </w:r>
      <w:r w:rsidR="005A1301" w:rsidRPr="00EB423F">
        <w:t xml:space="preserve">administration </w:t>
      </w:r>
      <w:r w:rsidRPr="00EB423F">
        <w:t>costs required to provide the second dose for adolescents in a school based program.</w:t>
      </w:r>
      <w:r w:rsidR="00624D24">
        <w:t xml:space="preserve"> </w:t>
      </w:r>
    </w:p>
    <w:p w:rsidR="001A6EAF" w:rsidRDefault="001A6EAF" w:rsidP="00B975BD">
      <w:pPr>
        <w:pStyle w:val="ListParagraph"/>
        <w:numPr>
          <w:ilvl w:val="0"/>
          <w:numId w:val="6"/>
        </w:numPr>
        <w:jc w:val="both"/>
      </w:pPr>
      <w:r w:rsidRPr="00D51D60">
        <w:t>The</w:t>
      </w:r>
      <w:r>
        <w:t xml:space="preserve"> </w:t>
      </w:r>
      <w:r w:rsidRPr="00D51D60">
        <w:t>financial estimates</w:t>
      </w:r>
      <w:r>
        <w:t xml:space="preserve"> for </w:t>
      </w:r>
      <w:r w:rsidRPr="00D51D60">
        <w:t xml:space="preserve">the General population did not include the catch-up program for Aboriginal and Torres Strait Islander </w:t>
      </w:r>
      <w:r>
        <w:t>people (under 20 years of age)</w:t>
      </w:r>
      <w:r w:rsidRPr="00D51D60">
        <w:t>.</w:t>
      </w:r>
    </w:p>
    <w:p w:rsidR="001A6EAF" w:rsidRPr="00EB423F" w:rsidRDefault="001A6EAF" w:rsidP="00B975BD">
      <w:pPr>
        <w:pStyle w:val="ListParagraph"/>
        <w:numPr>
          <w:ilvl w:val="0"/>
          <w:numId w:val="6"/>
        </w:numPr>
        <w:jc w:val="both"/>
      </w:pPr>
      <w:r>
        <w:t>The financial estimates included a one year catch-up program for people with high-risk medical conditions</w:t>
      </w:r>
      <w:r w:rsidR="00FE453B">
        <w:t xml:space="preserve">. The </w:t>
      </w:r>
      <w:r>
        <w:t xml:space="preserve">ATAGI considered </w:t>
      </w:r>
      <w:r w:rsidR="00FE453B">
        <w:t xml:space="preserve">a routine ongoing program </w:t>
      </w:r>
      <w:r w:rsidR="00C32E17">
        <w:t xml:space="preserve">is necessary </w:t>
      </w:r>
      <w:r w:rsidR="00FE453B">
        <w:t xml:space="preserve">for this </w:t>
      </w:r>
      <w:r w:rsidR="00FE453B" w:rsidRPr="00FE453B">
        <w:t xml:space="preserve">population </w:t>
      </w:r>
      <w:r w:rsidRPr="00FE453B">
        <w:t>(</w:t>
      </w:r>
      <w:r w:rsidR="00FE453B" w:rsidRPr="00FE453B">
        <w:t>ATAGI post-submission advice, October 2019</w:t>
      </w:r>
      <w:r w:rsidRPr="00FE453B">
        <w:t>).</w:t>
      </w:r>
      <w:r>
        <w:t xml:space="preserve"> </w:t>
      </w:r>
    </w:p>
    <w:p w:rsidR="005A16A8" w:rsidRPr="00DF4ADF" w:rsidRDefault="005A16A8" w:rsidP="005A16A8">
      <w:pPr>
        <w:pStyle w:val="bulletnumberedstyle"/>
        <w:numPr>
          <w:ilvl w:val="0"/>
          <w:numId w:val="0"/>
        </w:numPr>
        <w:rPr>
          <w:i/>
        </w:rPr>
      </w:pPr>
      <w:r w:rsidRPr="00DF4ADF">
        <w:rPr>
          <w:i/>
        </w:rPr>
        <w:t>For more detail on PBAC’s view, see section 7 PBAC outcome.</w:t>
      </w:r>
    </w:p>
    <w:p w:rsidR="008E44DD" w:rsidRPr="00D52702" w:rsidRDefault="008E44DD" w:rsidP="00EB4D44">
      <w:pPr>
        <w:pStyle w:val="PBACHeading1"/>
      </w:pPr>
      <w:r w:rsidRPr="00D52702">
        <w:lastRenderedPageBreak/>
        <w:t>PBAC Outcome</w:t>
      </w:r>
    </w:p>
    <w:p w:rsidR="00D97FD7" w:rsidRDefault="00D97FD7" w:rsidP="002549C5">
      <w:pPr>
        <w:pStyle w:val="bulletnumberedstyle"/>
      </w:pPr>
      <w:r w:rsidRPr="00D97FD7">
        <w:t xml:space="preserve">The PBAC recommended the listing of </w:t>
      </w:r>
      <w:r>
        <w:t>multicomponent meningococcal group B vaccine (</w:t>
      </w:r>
      <w:r w:rsidR="00364D05">
        <w:t xml:space="preserve">4CMenB, </w:t>
      </w:r>
      <w:r>
        <w:t>Bexsero®</w:t>
      </w:r>
      <w:r w:rsidRPr="00D97FD7">
        <w:t xml:space="preserve">), on the National Health (Immunisation Program – Designated Vaccines) Determination 2014 </w:t>
      </w:r>
      <w:r w:rsidR="0017050B">
        <w:t xml:space="preserve">(No.1) (the Determination), for </w:t>
      </w:r>
      <w:r w:rsidRPr="00D97FD7">
        <w:t xml:space="preserve">the prevention </w:t>
      </w:r>
      <w:r w:rsidR="0017050B">
        <w:t xml:space="preserve">of invasive meningococcal disease (IMD) caused by </w:t>
      </w:r>
      <w:r w:rsidR="0017050B" w:rsidRPr="00364D05">
        <w:rPr>
          <w:i/>
        </w:rPr>
        <w:t>N</w:t>
      </w:r>
      <w:r w:rsidR="00364D05" w:rsidRPr="00364D05">
        <w:rPr>
          <w:i/>
        </w:rPr>
        <w:t xml:space="preserve">eisseria </w:t>
      </w:r>
      <w:r w:rsidR="0017050B" w:rsidRPr="00364D05">
        <w:rPr>
          <w:i/>
        </w:rPr>
        <w:t>meningitidis</w:t>
      </w:r>
      <w:r w:rsidR="0017050B">
        <w:t xml:space="preserve"> group B strain in </w:t>
      </w:r>
      <w:r w:rsidR="00364D05">
        <w:t>Aboriginal and</w:t>
      </w:r>
      <w:r w:rsidRPr="00D97FD7">
        <w:t xml:space="preserve"> Torres Strait Islander</w:t>
      </w:r>
      <w:r w:rsidR="00846128">
        <w:t xml:space="preserve"> children</w:t>
      </w:r>
      <w:r w:rsidR="00D516CC">
        <w:t xml:space="preserve">. </w:t>
      </w:r>
      <w:r w:rsidR="0020549C" w:rsidRPr="0020549C">
        <w:t xml:space="preserve">The PBAC noted the cost-effectiveness of the vaccine was </w:t>
      </w:r>
      <w:r w:rsidR="000620CC">
        <w:t xml:space="preserve">highly dependent on </w:t>
      </w:r>
      <w:r w:rsidR="0020549C" w:rsidRPr="0020549C">
        <w:t xml:space="preserve">the incidence of IMD caused by the group B strain and </w:t>
      </w:r>
      <w:r w:rsidR="009F5C8A">
        <w:t xml:space="preserve">the incidence </w:t>
      </w:r>
      <w:r w:rsidR="0020549C" w:rsidRPr="0020549C">
        <w:t xml:space="preserve">was </w:t>
      </w:r>
      <w:r w:rsidR="007A52A9">
        <w:t xml:space="preserve">more than </w:t>
      </w:r>
      <w:r w:rsidR="0020549C" w:rsidRPr="0020549C">
        <w:t xml:space="preserve">6 times higher in Aboriginal and Torres Strait Islander </w:t>
      </w:r>
      <w:r w:rsidR="00F714B0">
        <w:t xml:space="preserve">children under 5 years of age </w:t>
      </w:r>
      <w:r w:rsidR="0020549C" w:rsidRPr="0020549C">
        <w:t>compared with non-Indigenous</w:t>
      </w:r>
      <w:r w:rsidR="00F714B0">
        <w:t xml:space="preserve"> children</w:t>
      </w:r>
      <w:r w:rsidR="0020549C" w:rsidRPr="0020549C">
        <w:t>. The PBAC considered</w:t>
      </w:r>
      <w:r w:rsidR="00364D05">
        <w:t xml:space="preserve"> 4CMenB</w:t>
      </w:r>
      <w:r w:rsidR="0020549C" w:rsidRPr="0020549C">
        <w:t xml:space="preserve"> was cost-effective for</w:t>
      </w:r>
      <w:r w:rsidR="009F5C8A">
        <w:t xml:space="preserve"> the routine vaccination of Aboriginal and Torres Strait Islander infants </w:t>
      </w:r>
      <w:r w:rsidR="0020549C" w:rsidRPr="0020549C">
        <w:t xml:space="preserve">at the price proposed </w:t>
      </w:r>
      <w:r w:rsidR="007C027F">
        <w:t xml:space="preserve">in </w:t>
      </w:r>
      <w:r w:rsidR="0020549C" w:rsidRPr="0020549C">
        <w:t xml:space="preserve">the </w:t>
      </w:r>
      <w:r w:rsidR="007C027F">
        <w:t>re</w:t>
      </w:r>
      <w:r w:rsidR="0020549C" w:rsidRPr="0020549C">
        <w:t xml:space="preserve">submission. The PBAC </w:t>
      </w:r>
      <w:r w:rsidR="00741B0A">
        <w:t xml:space="preserve">also </w:t>
      </w:r>
      <w:r w:rsidR="0020549C" w:rsidRPr="0020549C">
        <w:t xml:space="preserve">recommended implementation of a catch-up program for </w:t>
      </w:r>
      <w:r w:rsidR="007C027F">
        <w:t xml:space="preserve">Aboriginal and Torres Strait Islander </w:t>
      </w:r>
      <w:r w:rsidR="0020549C" w:rsidRPr="0020549C">
        <w:t>children up to 2 years of age.</w:t>
      </w:r>
      <w:r w:rsidR="007C027F">
        <w:t xml:space="preserve"> </w:t>
      </w:r>
      <w:r w:rsidR="002549C5">
        <w:t xml:space="preserve">The PBAC considered </w:t>
      </w:r>
      <w:r w:rsidR="002549C5" w:rsidRPr="002549C5">
        <w:t>4CMenB was likely to be cost-effective in children and adults with medical conditions associated with increased risk of IMD</w:t>
      </w:r>
      <w:r w:rsidR="002549C5">
        <w:t xml:space="preserve"> (specifically, people with </w:t>
      </w:r>
      <w:r w:rsidR="002549C5" w:rsidRPr="00F9180F">
        <w:t xml:space="preserve">asplenia and hyposplenia, complement deficiency and </w:t>
      </w:r>
      <w:r w:rsidR="002549C5">
        <w:t xml:space="preserve">those </w:t>
      </w:r>
      <w:r w:rsidR="002549C5" w:rsidRPr="00F9180F">
        <w:t>undergoing treatment with eculizumab</w:t>
      </w:r>
      <w:r w:rsidR="002549C5">
        <w:t>)</w:t>
      </w:r>
      <w:r w:rsidR="002549C5" w:rsidRPr="002549C5">
        <w:t xml:space="preserve"> and </w:t>
      </w:r>
      <w:r w:rsidR="002549C5">
        <w:t xml:space="preserve">recommended </w:t>
      </w:r>
      <w:r w:rsidR="002549C5" w:rsidRPr="002549C5">
        <w:t xml:space="preserve">listing </w:t>
      </w:r>
      <w:r w:rsidR="002549C5">
        <w:t xml:space="preserve">on the NIP </w:t>
      </w:r>
      <w:r w:rsidR="002549C5" w:rsidRPr="002549C5">
        <w:t>for routine vaccination of this population.</w:t>
      </w:r>
      <w:r w:rsidR="002549C5">
        <w:t xml:space="preserve"> </w:t>
      </w:r>
      <w:r w:rsidR="007C027F" w:rsidRPr="007C027F">
        <w:t xml:space="preserve">The PBAC did </w:t>
      </w:r>
      <w:r w:rsidR="007C027F" w:rsidRPr="00CB1BA8">
        <w:t xml:space="preserve">not recommended listing for the </w:t>
      </w:r>
      <w:r w:rsidR="00FA0B0C">
        <w:t>g</w:t>
      </w:r>
      <w:r w:rsidR="007C027F" w:rsidRPr="00CB1BA8">
        <w:t>e</w:t>
      </w:r>
      <w:r w:rsidR="00E06CA9">
        <w:t xml:space="preserve">neral population of infants or for </w:t>
      </w:r>
      <w:r w:rsidR="007C027F" w:rsidRPr="00CB1BA8">
        <w:t>adolescents as 4CMenB was not cost-effective at the price proposed in the resubmission.</w:t>
      </w:r>
      <w:r w:rsidR="00624D24">
        <w:t xml:space="preserve"> </w:t>
      </w:r>
    </w:p>
    <w:p w:rsidR="002F636E" w:rsidRPr="00E96751" w:rsidRDefault="002F636E" w:rsidP="0020549C">
      <w:pPr>
        <w:pStyle w:val="bulletnumberedstyle"/>
      </w:pPr>
      <w:r w:rsidRPr="00CB1BA8">
        <w:t xml:space="preserve">The PBAC noted the </w:t>
      </w:r>
      <w:r w:rsidR="00561950">
        <w:t xml:space="preserve">large </w:t>
      </w:r>
      <w:r w:rsidRPr="00CB1BA8">
        <w:t>number of consumer comments</w:t>
      </w:r>
      <w:r w:rsidR="00C728E3">
        <w:t xml:space="preserve"> (</w:t>
      </w:r>
      <w:r w:rsidR="00C728E3" w:rsidRPr="00EE7D9D">
        <w:t xml:space="preserve">paragraph </w:t>
      </w:r>
      <w:r w:rsidR="00B042EF" w:rsidRPr="00EE7D9D">
        <w:t>6.2</w:t>
      </w:r>
      <w:r w:rsidR="00C728E3" w:rsidRPr="00EE7D9D">
        <w:t>)</w:t>
      </w:r>
      <w:r w:rsidRPr="00CB1BA8">
        <w:t xml:space="preserve"> </w:t>
      </w:r>
      <w:r w:rsidR="00846128">
        <w:t>supporting</w:t>
      </w:r>
      <w:r w:rsidRPr="00CB1BA8">
        <w:t xml:space="preserve"> </w:t>
      </w:r>
      <w:r w:rsidR="00791FDC">
        <w:t>inclusion of</w:t>
      </w:r>
      <w:r w:rsidR="00561950">
        <w:t xml:space="preserve"> </w:t>
      </w:r>
      <w:r w:rsidRPr="00CB1BA8">
        <w:t xml:space="preserve">4CMenB </w:t>
      </w:r>
      <w:r w:rsidR="00561950">
        <w:t xml:space="preserve">on the National Immunisation Program </w:t>
      </w:r>
      <w:r w:rsidR="00C07FE4">
        <w:t xml:space="preserve">(NIP) </w:t>
      </w:r>
      <w:r w:rsidRPr="00CB1BA8">
        <w:t xml:space="preserve">to prevent IMD caused </w:t>
      </w:r>
      <w:r w:rsidRPr="00E96751">
        <w:t xml:space="preserve">by the group B strain of </w:t>
      </w:r>
      <w:r w:rsidRPr="00E96751">
        <w:rPr>
          <w:i/>
        </w:rPr>
        <w:t>Neisseria meningitidis</w:t>
      </w:r>
      <w:r w:rsidRPr="00E96751">
        <w:t>.</w:t>
      </w:r>
      <w:r w:rsidR="00BD5E08" w:rsidRPr="00E96751">
        <w:t xml:space="preserve"> </w:t>
      </w:r>
    </w:p>
    <w:p w:rsidR="00E96751" w:rsidRDefault="003E747E" w:rsidP="00E96751">
      <w:pPr>
        <w:pStyle w:val="bulletnumberedstyle"/>
      </w:pPr>
      <w:r w:rsidRPr="00E96751">
        <w:t xml:space="preserve">The PBAC noted the </w:t>
      </w:r>
      <w:r w:rsidR="00F016F0" w:rsidRPr="00E96751">
        <w:t xml:space="preserve">resubmission included evidence from </w:t>
      </w:r>
      <w:r w:rsidRPr="00E96751">
        <w:t xml:space="preserve">four </w:t>
      </w:r>
      <w:r w:rsidR="00FB31FC" w:rsidRPr="00E96751">
        <w:t xml:space="preserve">real world evidence </w:t>
      </w:r>
      <w:r w:rsidR="00001DA6" w:rsidRPr="00E96751">
        <w:t xml:space="preserve">(observational) </w:t>
      </w:r>
      <w:r w:rsidRPr="00E96751">
        <w:t xml:space="preserve">studies to support the clinical claim of superior effectiveness compared to no vaccination. </w:t>
      </w:r>
      <w:r w:rsidR="00E96751" w:rsidRPr="00E96751">
        <w:t>The PBAC co</w:t>
      </w:r>
      <w:r w:rsidR="00E96751">
        <w:t>nsidered that although there is a</w:t>
      </w:r>
      <w:r w:rsidR="00E61847">
        <w:t xml:space="preserve"> </w:t>
      </w:r>
      <w:r w:rsidR="00E96751" w:rsidRPr="00E96751">
        <w:t xml:space="preserve">risk of bias with observational studies, </w:t>
      </w:r>
      <w:r w:rsidR="00E96751">
        <w:t xml:space="preserve">the clinical evidence provided in the resubmission was a more appropriate </w:t>
      </w:r>
      <w:r w:rsidR="00C07FE4">
        <w:t xml:space="preserve">and reliable </w:t>
      </w:r>
      <w:r w:rsidR="00E96751">
        <w:t>evidence-base than the immunogenicity studies which formed the basis of the clinical claim</w:t>
      </w:r>
      <w:r w:rsidR="001C4007">
        <w:t xml:space="preserve"> </w:t>
      </w:r>
      <w:r w:rsidR="00E96751">
        <w:t xml:space="preserve">in previous submissions. </w:t>
      </w:r>
    </w:p>
    <w:p w:rsidR="00945D95" w:rsidRDefault="00F016F0" w:rsidP="006B423D">
      <w:pPr>
        <w:pStyle w:val="bulletnumberedstyle"/>
      </w:pPr>
      <w:r w:rsidRPr="00E96751">
        <w:t xml:space="preserve">The pivotal study </w:t>
      </w:r>
      <w:r w:rsidR="00E86E32">
        <w:t xml:space="preserve">informing vaccine effectiveness (VE) was </w:t>
      </w:r>
      <w:r w:rsidRPr="00E96751">
        <w:t>the UK PHE Vaccination Program</w:t>
      </w:r>
      <w:r w:rsidR="00987E54">
        <w:t xml:space="preserve">, </w:t>
      </w:r>
      <w:r w:rsidR="00E86E32">
        <w:t xml:space="preserve">which </w:t>
      </w:r>
      <w:r w:rsidRPr="00E96751">
        <w:t xml:space="preserve">provided routine vaccination for 1.29 million infants. </w:t>
      </w:r>
      <w:r w:rsidR="009115F7" w:rsidRPr="009115F7">
        <w:t xml:space="preserve">The </w:t>
      </w:r>
      <w:r w:rsidR="005A1E0E">
        <w:t>PBAC noted the VE</w:t>
      </w:r>
      <w:r w:rsidR="00E86E32">
        <w:t xml:space="preserve"> calculated directly from the study (</w:t>
      </w:r>
      <w:r w:rsidR="005A1E0E">
        <w:t>using the screening method</w:t>
      </w:r>
      <w:r w:rsidR="00E86E32">
        <w:t>)</w:t>
      </w:r>
      <w:r w:rsidR="005A1E0E">
        <w:t xml:space="preserve"> was </w:t>
      </w:r>
      <w:r w:rsidR="005A1E0E" w:rsidRPr="00D51D60">
        <w:t>58.9% (95% CI: -31.5, 87.1)</w:t>
      </w:r>
      <w:r w:rsidR="005A1E0E">
        <w:t>. The PBAC noted vaccine coverage in the study was 92.6% and a total of 29 cases of IMD caused by Men B were reported</w:t>
      </w:r>
      <w:r w:rsidR="00204D39">
        <w:t xml:space="preserve"> </w:t>
      </w:r>
      <w:r w:rsidR="00EC0F9D">
        <w:t>(</w:t>
      </w:r>
      <w:r w:rsidR="00204D39">
        <w:t>25 cases in vaccinated children</w:t>
      </w:r>
      <w:r w:rsidR="00EC0F9D">
        <w:t xml:space="preserve"> and 4 cases in unvaccinated children)</w:t>
      </w:r>
      <w:r w:rsidR="005A1E0E">
        <w:t xml:space="preserve">. The PBAC </w:t>
      </w:r>
      <w:r w:rsidR="004C466D">
        <w:t xml:space="preserve">noted </w:t>
      </w:r>
      <w:r w:rsidR="004C466D" w:rsidRPr="005A1E0E">
        <w:t xml:space="preserve">the high vaccine coverage </w:t>
      </w:r>
      <w:r w:rsidR="004C466D">
        <w:t>and the low number of cases of I</w:t>
      </w:r>
      <w:r w:rsidR="004C466D" w:rsidRPr="005A1E0E">
        <w:t xml:space="preserve">MD </w:t>
      </w:r>
      <w:r w:rsidR="004C466D">
        <w:t xml:space="preserve">caused by Men B resulted in </w:t>
      </w:r>
      <w:r w:rsidR="005A1E0E">
        <w:t xml:space="preserve">the VE </w:t>
      </w:r>
      <w:r w:rsidR="005A1E0E" w:rsidRPr="005A1E0E">
        <w:t xml:space="preserve">calculated using the screening method </w:t>
      </w:r>
      <w:r w:rsidR="004C466D">
        <w:t>being imprecise</w:t>
      </w:r>
      <w:r w:rsidR="005A1E0E">
        <w:t>.</w:t>
      </w:r>
      <w:r w:rsidR="006B423D">
        <w:t xml:space="preserve"> </w:t>
      </w:r>
    </w:p>
    <w:p w:rsidR="006B423D" w:rsidRPr="006B423D" w:rsidRDefault="006B423D" w:rsidP="006B423D">
      <w:pPr>
        <w:pStyle w:val="bulletnumberedstyle"/>
      </w:pPr>
      <w:r w:rsidRPr="006B423D">
        <w:t>The PBAC noted the resubmission proposed an alternative method of calculating VE</w:t>
      </w:r>
      <w:r w:rsidR="001C4007">
        <w:t xml:space="preserve"> </w:t>
      </w:r>
      <w:r w:rsidRPr="006B423D">
        <w:t xml:space="preserve">with the adjusted VE calculated directly from </w:t>
      </w:r>
      <w:r w:rsidR="00BB196F">
        <w:rPr>
          <w:noProof/>
          <w:color w:val="000000"/>
          <w:highlight w:val="black"/>
        </w:rPr>
        <w:t xml:space="preserve">'''''' '''''''''''''''' '''' '''''''''''''' '''''''''''''' ''''''' '''' </w:t>
      </w:r>
      <w:r w:rsidR="00BB196F">
        <w:rPr>
          <w:noProof/>
          <w:color w:val="000000"/>
          <w:highlight w:val="black"/>
        </w:rPr>
        <w:lastRenderedPageBreak/>
        <w:t>''''''' ''''' ''''''''' '''''''''''''''''''''' '''''''''''''''</w:t>
      </w:r>
      <w:r w:rsidRPr="006B423D">
        <w:t xml:space="preserve">. </w:t>
      </w:r>
      <w:r w:rsidR="00945D95" w:rsidRPr="00035719">
        <w:t xml:space="preserve">The PBAC </w:t>
      </w:r>
      <w:r w:rsidR="00945D95">
        <w:t xml:space="preserve">considered </w:t>
      </w:r>
      <w:r w:rsidR="00945D95" w:rsidRPr="00035719">
        <w:t xml:space="preserve">the </w:t>
      </w:r>
      <w:r w:rsidR="00945D95">
        <w:t xml:space="preserve">adjusted VE proposed by the resubmission was highly dependent on the assumption implicit in the VI calculation </w:t>
      </w:r>
      <w:r w:rsidR="00945D95" w:rsidRPr="00035719">
        <w:t xml:space="preserve">that any change in </w:t>
      </w:r>
      <w:r w:rsidR="00BB196F">
        <w:rPr>
          <w:noProof/>
          <w:color w:val="000000"/>
          <w:highlight w:val="black"/>
        </w:rPr>
        <w:t>''''''''''''''' ''''''''' '''' '''''' ''''' ''''''''' '''''' '''''''''''' ''' '''''''''''' ''''''' '''''''''''''' ''''''''''''''' '''''''' '''''''''''''''''''''''''' '''''''' ''''''''''' '''''''''''''''''''' '''' ''''''' ''''''''''''''''''' ''''''''''''''''' ''''''''''''' '''''''''' '''''''' ''''' ''''''' '''''''''' ''''''''''''''</w:t>
      </w:r>
      <w:r w:rsidR="00945D95">
        <w:t xml:space="preserve">, and considered this assumption to be </w:t>
      </w:r>
      <w:r w:rsidR="009A34E3">
        <w:t>highly uncertain</w:t>
      </w:r>
      <w:r w:rsidR="00945D95">
        <w:t xml:space="preserve">. </w:t>
      </w:r>
      <w:r w:rsidR="00945D95" w:rsidRPr="001612E4">
        <w:t xml:space="preserve">The PBAC noted the </w:t>
      </w:r>
      <w:r w:rsidR="00945D95">
        <w:t xml:space="preserve">point estimate for the </w:t>
      </w:r>
      <w:r w:rsidR="00945D95" w:rsidRPr="001612E4">
        <w:t xml:space="preserve">adjusted VE </w:t>
      </w:r>
      <w:r w:rsidR="00945D95">
        <w:t>(</w:t>
      </w:r>
      <w:r w:rsidR="00BB196F">
        <w:rPr>
          <w:noProof/>
          <w:color w:val="000000"/>
          <w:highlight w:val="black"/>
        </w:rPr>
        <w:t>'''''''''</w:t>
      </w:r>
      <w:r w:rsidR="00945D95">
        <w:t xml:space="preserve">%) </w:t>
      </w:r>
      <w:r w:rsidR="00BB196F">
        <w:rPr>
          <w:noProof/>
          <w:color w:val="000000"/>
          <w:highlight w:val="black"/>
        </w:rPr>
        <w:t>''''''' '''''''''''''</w:t>
      </w:r>
      <w:r w:rsidR="00945D95">
        <w:t xml:space="preserve"> to </w:t>
      </w:r>
      <w:r w:rsidR="00945D95" w:rsidRPr="001612E4">
        <w:t xml:space="preserve">the upper bound of the 95% CI </w:t>
      </w:r>
      <w:r w:rsidR="00945D95">
        <w:t>for the VE</w:t>
      </w:r>
      <w:r w:rsidR="009A34E3">
        <w:t xml:space="preserve"> calculated directly from the study</w:t>
      </w:r>
      <w:r w:rsidR="00945D95">
        <w:t xml:space="preserve"> (87.1%) </w:t>
      </w:r>
      <w:r w:rsidR="00945D95" w:rsidRPr="001612E4">
        <w:t xml:space="preserve">and </w:t>
      </w:r>
      <w:r w:rsidR="009A34E3">
        <w:t xml:space="preserve">therefore </w:t>
      </w:r>
      <w:r w:rsidR="00945D95">
        <w:t>considered the adjustment likely resulted in VE being</w:t>
      </w:r>
      <w:r w:rsidR="00945D95" w:rsidRPr="001612E4">
        <w:t xml:space="preserve"> overestimate</w:t>
      </w:r>
      <w:r w:rsidR="00945D95">
        <w:t>d</w:t>
      </w:r>
      <w:r w:rsidR="00945D95" w:rsidRPr="001612E4">
        <w:t>.</w:t>
      </w:r>
    </w:p>
    <w:p w:rsidR="004C499D" w:rsidRDefault="00EC724D" w:rsidP="00F016F0">
      <w:pPr>
        <w:pStyle w:val="bulletnumberedstyle"/>
      </w:pPr>
      <w:r w:rsidRPr="00E96751">
        <w:t xml:space="preserve">Evidence from three supportive </w:t>
      </w:r>
      <w:r w:rsidR="00F016F0" w:rsidRPr="00E96751">
        <w:t xml:space="preserve">studies, the Quebec Regional Vaccination Program, the Portugal PT-BEST study and the ‘South Australia B part of it’ were </w:t>
      </w:r>
      <w:r w:rsidR="00245203" w:rsidRPr="00E96751">
        <w:t xml:space="preserve">also </w:t>
      </w:r>
      <w:r w:rsidR="00F016F0" w:rsidRPr="00E96751">
        <w:t>included</w:t>
      </w:r>
      <w:r w:rsidRPr="00E96751">
        <w:t xml:space="preserve"> in the resubmission</w:t>
      </w:r>
      <w:r w:rsidR="00F016F0" w:rsidRPr="00E96751">
        <w:t>. The PBAC noted</w:t>
      </w:r>
      <w:r w:rsidR="004C499D">
        <w:t xml:space="preserve"> the following:</w:t>
      </w:r>
    </w:p>
    <w:p w:rsidR="004C499D" w:rsidRDefault="004C499D" w:rsidP="004C499D">
      <w:pPr>
        <w:pStyle w:val="bulletnumberedstyle"/>
        <w:numPr>
          <w:ilvl w:val="0"/>
          <w:numId w:val="9"/>
        </w:numPr>
      </w:pPr>
      <w:r>
        <w:t>T</w:t>
      </w:r>
      <w:r w:rsidR="00F016F0" w:rsidRPr="00E96751">
        <w:t>he Portug</w:t>
      </w:r>
      <w:r w:rsidR="001224D1">
        <w:t>uese</w:t>
      </w:r>
      <w:r w:rsidR="00F016F0" w:rsidRPr="00E96751">
        <w:t xml:space="preserve">-BEST </w:t>
      </w:r>
      <w:r w:rsidR="001224D1">
        <w:t xml:space="preserve">study reported a VE of </w:t>
      </w:r>
      <w:r w:rsidR="008E3D56">
        <w:rPr>
          <w:noProof/>
          <w:color w:val="000000"/>
          <w:highlight w:val="black"/>
        </w:rPr>
        <w:t>''''''''</w:t>
      </w:r>
      <w:r w:rsidR="001224D1">
        <w:t xml:space="preserve">% (95%CI: </w:t>
      </w:r>
      <w:r w:rsidR="008E3D56">
        <w:rPr>
          <w:noProof/>
          <w:color w:val="000000"/>
          <w:highlight w:val="black"/>
        </w:rPr>
        <w:t>''''''''</w:t>
      </w:r>
      <w:r w:rsidR="001224D1">
        <w:t xml:space="preserve">, </w:t>
      </w:r>
      <w:r w:rsidR="008E3D56">
        <w:rPr>
          <w:noProof/>
          <w:color w:val="000000"/>
          <w:highlight w:val="black"/>
        </w:rPr>
        <w:t>'''''''''</w:t>
      </w:r>
      <w:r w:rsidR="001224D1">
        <w:t xml:space="preserve">). This study </w:t>
      </w:r>
      <w:r w:rsidR="00492182" w:rsidRPr="00E96751">
        <w:t xml:space="preserve">was not a population-based study and </w:t>
      </w:r>
      <w:r w:rsidR="00A15D89" w:rsidRPr="00E96751">
        <w:t xml:space="preserve">data </w:t>
      </w:r>
      <w:r w:rsidR="00F016F0" w:rsidRPr="00E96751">
        <w:t>was only available as a</w:t>
      </w:r>
      <w:r w:rsidR="00EC724D" w:rsidRPr="00E96751">
        <w:t xml:space="preserve"> conference presentation</w:t>
      </w:r>
      <w:r w:rsidR="00F016F0" w:rsidRPr="00E96751">
        <w:t xml:space="preserve">. </w:t>
      </w:r>
      <w:r w:rsidR="009A34E3">
        <w:t xml:space="preserve">No information was provided on </w:t>
      </w:r>
      <w:r w:rsidR="00BE34F9">
        <w:t>strategies used to mitigate</w:t>
      </w:r>
      <w:r w:rsidR="009A34E3">
        <w:t xml:space="preserve"> confounding</w:t>
      </w:r>
      <w:r w:rsidR="00BE34F9">
        <w:t xml:space="preserve"> and other biases.</w:t>
      </w:r>
    </w:p>
    <w:p w:rsidR="004C499D" w:rsidRDefault="004C499D" w:rsidP="004C499D">
      <w:pPr>
        <w:pStyle w:val="bulletnumberedstyle"/>
        <w:numPr>
          <w:ilvl w:val="0"/>
          <w:numId w:val="9"/>
        </w:numPr>
      </w:pPr>
      <w:r>
        <w:t>T</w:t>
      </w:r>
      <w:r w:rsidR="00EC724D" w:rsidRPr="00E96751">
        <w:t xml:space="preserve">he Quebec study </w:t>
      </w:r>
      <w:r w:rsidR="001224D1">
        <w:t xml:space="preserve">reported a VE of 79% (95%CI: -231, 99). This study </w:t>
      </w:r>
      <w:r w:rsidR="00EC724D" w:rsidRPr="00E96751">
        <w:t xml:space="preserve">vaccinated </w:t>
      </w:r>
      <w:r w:rsidR="00BE34F9">
        <w:t>fewer</w:t>
      </w:r>
      <w:r w:rsidR="00BE34F9" w:rsidRPr="00E96751">
        <w:t xml:space="preserve"> </w:t>
      </w:r>
      <w:r w:rsidR="00EC724D" w:rsidRPr="00E96751">
        <w:t xml:space="preserve">than 60,000 children and adolescents and 5 cases of IMD caused </w:t>
      </w:r>
      <w:r w:rsidR="00A15D89" w:rsidRPr="00E96751">
        <w:t xml:space="preserve">by </w:t>
      </w:r>
      <w:r w:rsidR="00EC724D" w:rsidRPr="00E96751">
        <w:t>Men B were reported</w:t>
      </w:r>
      <w:r w:rsidR="006B423D">
        <w:t xml:space="preserve"> which resulted in </w:t>
      </w:r>
      <w:r w:rsidR="004C466D">
        <w:t>an imprecise estimate of</w:t>
      </w:r>
      <w:r w:rsidR="006B423D">
        <w:t xml:space="preserve"> VE</w:t>
      </w:r>
      <w:r w:rsidR="001224D1">
        <w:t>.</w:t>
      </w:r>
      <w:r w:rsidR="00D47FDA">
        <w:t xml:space="preserve"> </w:t>
      </w:r>
    </w:p>
    <w:p w:rsidR="00FC2372" w:rsidRPr="00E96751" w:rsidRDefault="00A15D89" w:rsidP="004C499D">
      <w:pPr>
        <w:pStyle w:val="bulletnumberedstyle"/>
        <w:numPr>
          <w:ilvl w:val="0"/>
          <w:numId w:val="9"/>
        </w:numPr>
      </w:pPr>
      <w:r w:rsidRPr="00E96751">
        <w:t>The South Australian study</w:t>
      </w:r>
      <w:r w:rsidR="00F75D5E" w:rsidRPr="00E96751">
        <w:t xml:space="preserve"> </w:t>
      </w:r>
      <w:r w:rsidR="001224D1">
        <w:t>did not report V</w:t>
      </w:r>
      <w:r w:rsidR="00AD69FE">
        <w:t>E</w:t>
      </w:r>
      <w:r w:rsidR="001224D1">
        <w:t xml:space="preserve"> and was </w:t>
      </w:r>
      <w:r w:rsidR="001224D1" w:rsidRPr="00E96751">
        <w:t xml:space="preserve">primarily designed to assess the impact of 4CMenB on </w:t>
      </w:r>
      <w:r w:rsidR="00937DD9">
        <w:t xml:space="preserve">nasopharyngeal </w:t>
      </w:r>
      <w:r w:rsidR="001224D1" w:rsidRPr="00E96751">
        <w:t xml:space="preserve">carriage </w:t>
      </w:r>
      <w:r w:rsidR="00937DD9">
        <w:t xml:space="preserve">of </w:t>
      </w:r>
      <w:r w:rsidR="00937DD9" w:rsidRPr="00937DD9">
        <w:t>disease</w:t>
      </w:r>
      <w:r w:rsidR="005D7C80">
        <w:t>-</w:t>
      </w:r>
      <w:r w:rsidR="00937DD9" w:rsidRPr="00937DD9">
        <w:t xml:space="preserve">causing </w:t>
      </w:r>
      <w:r w:rsidR="00937DD9" w:rsidRPr="005D7C80">
        <w:rPr>
          <w:i/>
        </w:rPr>
        <w:t>N</w:t>
      </w:r>
      <w:r w:rsidR="005D7C80" w:rsidRPr="005D7C80">
        <w:rPr>
          <w:i/>
        </w:rPr>
        <w:t>eisseria</w:t>
      </w:r>
      <w:r w:rsidR="00937DD9" w:rsidRPr="005D7C80">
        <w:rPr>
          <w:i/>
        </w:rPr>
        <w:t xml:space="preserve"> meningitidis</w:t>
      </w:r>
      <w:r w:rsidR="00937DD9" w:rsidRPr="00937DD9">
        <w:t xml:space="preserve"> genogroups</w:t>
      </w:r>
      <w:r w:rsidR="001224D1">
        <w:t xml:space="preserve">. The study vaccinated 26,153 </w:t>
      </w:r>
      <w:r w:rsidR="009115F7">
        <w:t>adolescents</w:t>
      </w:r>
      <w:r w:rsidR="001224D1">
        <w:t xml:space="preserve"> </w:t>
      </w:r>
      <w:r w:rsidR="009115F7">
        <w:t>and</w:t>
      </w:r>
      <w:r w:rsidR="001224D1">
        <w:t xml:space="preserve"> found that 4CMenB had no impact on </w:t>
      </w:r>
      <w:r w:rsidR="00937DD9">
        <w:t xml:space="preserve">nasopharyngeal </w:t>
      </w:r>
      <w:r w:rsidR="001224D1">
        <w:t>carriage</w:t>
      </w:r>
      <w:r w:rsidR="004C466D">
        <w:t xml:space="preserve"> and hence</w:t>
      </w:r>
      <w:r w:rsidR="000070DF">
        <w:t xml:space="preserve"> indicates that</w:t>
      </w:r>
      <w:r w:rsidR="004C466D">
        <w:t xml:space="preserve"> vaccination protects the in</w:t>
      </w:r>
      <w:r w:rsidR="00945D95">
        <w:t>dividual vaccinated but not the broader community th</w:t>
      </w:r>
      <w:r w:rsidR="00204D39">
        <w:t>r</w:t>
      </w:r>
      <w:r w:rsidR="00945D95">
        <w:t>ough herd immunity</w:t>
      </w:r>
      <w:r w:rsidR="00937DD9">
        <w:t>.</w:t>
      </w:r>
    </w:p>
    <w:p w:rsidR="009F2CB7" w:rsidRPr="005B7A0B" w:rsidRDefault="00035719" w:rsidP="004C499D">
      <w:pPr>
        <w:pStyle w:val="bulletnumberedstyle"/>
      </w:pPr>
      <w:r w:rsidRPr="00531B67">
        <w:t>The PBAC considered</w:t>
      </w:r>
      <w:r w:rsidRPr="0020549C">
        <w:t xml:space="preserve"> the real world </w:t>
      </w:r>
      <w:r w:rsidR="00C07FE4">
        <w:t xml:space="preserve">evidence </w:t>
      </w:r>
      <w:r w:rsidRPr="0020549C">
        <w:t xml:space="preserve">provided in the </w:t>
      </w:r>
      <w:r w:rsidR="007A52A9">
        <w:t>re</w:t>
      </w:r>
      <w:r w:rsidRPr="0020549C">
        <w:t>submission supported the benefit of vaccinating infants with</w:t>
      </w:r>
      <w:r>
        <w:t xml:space="preserve"> 4CMenB</w:t>
      </w:r>
      <w:r w:rsidR="00BE34F9" w:rsidRPr="00BE34F9">
        <w:t xml:space="preserve"> </w:t>
      </w:r>
      <w:r w:rsidR="00BE34F9">
        <w:t xml:space="preserve">in the </w:t>
      </w:r>
      <w:r w:rsidR="00BE34F9" w:rsidRPr="0020549C">
        <w:t>short-term</w:t>
      </w:r>
      <w:r w:rsidRPr="0020549C">
        <w:t xml:space="preserve">, although noted there is still uncertainty about the size of the benefit </w:t>
      </w:r>
      <w:r w:rsidRPr="008C0B2D">
        <w:t>and the duration of protection.</w:t>
      </w:r>
      <w:r w:rsidRPr="0020549C">
        <w:t xml:space="preserve"> </w:t>
      </w:r>
      <w:r w:rsidRPr="00035719">
        <w:t xml:space="preserve">The PBAC noted that </w:t>
      </w:r>
      <w:r w:rsidR="00AE467B">
        <w:t>the studies which informed VE were conducted in infants only and in the economic model it was assumed that the VE in adolescents would be the same as in infants</w:t>
      </w:r>
      <w:r w:rsidRPr="00035719">
        <w:t>.</w:t>
      </w:r>
      <w:r w:rsidR="00A15D89">
        <w:t xml:space="preserve"> </w:t>
      </w:r>
      <w:r w:rsidR="009F2CB7" w:rsidRPr="004C499D">
        <w:rPr>
          <w:iCs/>
        </w:rPr>
        <w:t>The PBAC</w:t>
      </w:r>
      <w:r w:rsidR="00CA515C" w:rsidRPr="004C499D">
        <w:rPr>
          <w:iCs/>
        </w:rPr>
        <w:t xml:space="preserve"> noted assumptions regarding waning of effect are based on immunogenicity studies, and </w:t>
      </w:r>
      <w:r w:rsidR="002D06DB" w:rsidRPr="004C499D">
        <w:rPr>
          <w:iCs/>
        </w:rPr>
        <w:t xml:space="preserve">while </w:t>
      </w:r>
      <w:r w:rsidR="00CA515C" w:rsidRPr="004C499D">
        <w:rPr>
          <w:iCs/>
        </w:rPr>
        <w:t>longer term immunogenicity data</w:t>
      </w:r>
      <w:r w:rsidR="009F2CB7" w:rsidRPr="004C499D">
        <w:rPr>
          <w:iCs/>
        </w:rPr>
        <w:t xml:space="preserve"> </w:t>
      </w:r>
      <w:r w:rsidR="00CA515C" w:rsidRPr="004C499D">
        <w:rPr>
          <w:iCs/>
        </w:rPr>
        <w:t xml:space="preserve">was provided in the resubmission, considered that </w:t>
      </w:r>
      <w:r w:rsidR="00A15D89" w:rsidRPr="004C499D">
        <w:rPr>
          <w:iCs/>
        </w:rPr>
        <w:t xml:space="preserve">the </w:t>
      </w:r>
      <w:r w:rsidR="00810774" w:rsidRPr="004C499D">
        <w:rPr>
          <w:iCs/>
        </w:rPr>
        <w:t xml:space="preserve">duration of protection </w:t>
      </w:r>
      <w:r w:rsidR="00A15D89" w:rsidRPr="004C499D">
        <w:rPr>
          <w:iCs/>
        </w:rPr>
        <w:t xml:space="preserve">afforded </w:t>
      </w:r>
      <w:r w:rsidR="00810774" w:rsidRPr="004C499D">
        <w:rPr>
          <w:iCs/>
        </w:rPr>
        <w:t xml:space="preserve">by 4CMenB </w:t>
      </w:r>
      <w:r w:rsidR="00A15D89" w:rsidRPr="004C499D">
        <w:rPr>
          <w:iCs/>
        </w:rPr>
        <w:t>is uncertain</w:t>
      </w:r>
      <w:r w:rsidR="00CA515C" w:rsidRPr="004C499D">
        <w:rPr>
          <w:iCs/>
        </w:rPr>
        <w:t>.</w:t>
      </w:r>
      <w:r w:rsidR="00D47FDA">
        <w:rPr>
          <w:iCs/>
        </w:rPr>
        <w:t xml:space="preserve"> </w:t>
      </w:r>
    </w:p>
    <w:p w:rsidR="00FC2372" w:rsidRDefault="002A6E48" w:rsidP="008D0DF5">
      <w:pPr>
        <w:pStyle w:val="bulletnumberedstyle"/>
        <w:tabs>
          <w:tab w:val="left" w:pos="993"/>
        </w:tabs>
      </w:pPr>
      <w:r>
        <w:t xml:space="preserve">The base case </w:t>
      </w:r>
      <w:r w:rsidR="00434B2E">
        <w:t>incremental cost effectiveness ratio (</w:t>
      </w:r>
      <w:r>
        <w:t>ICER</w:t>
      </w:r>
      <w:r w:rsidR="00434B2E">
        <w:t>)</w:t>
      </w:r>
      <w:r>
        <w:t xml:space="preserve"> </w:t>
      </w:r>
      <w:r w:rsidR="00945D95">
        <w:t xml:space="preserve">as presented in the </w:t>
      </w:r>
      <w:r w:rsidR="002F5770">
        <w:t>re</w:t>
      </w:r>
      <w:r w:rsidR="00945D95">
        <w:t xml:space="preserve">submission </w:t>
      </w:r>
      <w:r>
        <w:t>for the routine vaccination of infants and adolescents was $</w:t>
      </w:r>
      <w:r w:rsidR="00E84D1D">
        <w:t>1</w:t>
      </w:r>
      <w:r w:rsidR="0058438A">
        <w:t>5,000/QALY - $45,000</w:t>
      </w:r>
      <w:r w:rsidR="00671842">
        <w:t>/</w:t>
      </w:r>
      <w:r w:rsidR="00251781">
        <w:t xml:space="preserve">QALY </w:t>
      </w:r>
      <w:r>
        <w:t xml:space="preserve">in the </w:t>
      </w:r>
      <w:r w:rsidR="00FA0B0C">
        <w:t>G</w:t>
      </w:r>
      <w:r>
        <w:t xml:space="preserve">eneral population and </w:t>
      </w:r>
      <w:r w:rsidR="00E84D1D">
        <w:t xml:space="preserve">less than </w:t>
      </w:r>
      <w:r>
        <w:t>$</w:t>
      </w:r>
      <w:r w:rsidR="00E84D1D">
        <w:t>1</w:t>
      </w:r>
      <w:r w:rsidR="00825909">
        <w:t>5,000</w:t>
      </w:r>
      <w:r w:rsidR="00671842">
        <w:t>/</w:t>
      </w:r>
      <w:r w:rsidR="00251781">
        <w:t>QALY</w:t>
      </w:r>
      <w:r w:rsidR="00825909">
        <w:t xml:space="preserve"> </w:t>
      </w:r>
      <w:r>
        <w:t>in the Aboriginal and Torres Strait Islander population. The PBAC noted the base case ICERs incorporated a broader perspective</w:t>
      </w:r>
      <w:r w:rsidR="00774EE8">
        <w:t xml:space="preserve"> </w:t>
      </w:r>
      <w:r>
        <w:t>than is usually considered by the PBAC</w:t>
      </w:r>
      <w:r w:rsidR="001B65B6" w:rsidRPr="001B65B6">
        <w:t xml:space="preserve"> </w:t>
      </w:r>
      <w:r w:rsidR="00424DBE">
        <w:t xml:space="preserve">(by </w:t>
      </w:r>
      <w:r w:rsidR="001B65B6">
        <w:t>inclu</w:t>
      </w:r>
      <w:r w:rsidR="00424DBE">
        <w:t>sion of</w:t>
      </w:r>
      <w:r w:rsidR="001B65B6">
        <w:t xml:space="preserve"> outcomes and costs beyond the patient and the health system</w:t>
      </w:r>
      <w:r w:rsidR="00424DBE">
        <w:t>)</w:t>
      </w:r>
      <w:r>
        <w:t xml:space="preserve">, a Quality </w:t>
      </w:r>
      <w:r>
        <w:lastRenderedPageBreak/>
        <w:t>Adjustment Factor</w:t>
      </w:r>
      <w:r w:rsidR="008D0DF5">
        <w:t xml:space="preserve"> </w:t>
      </w:r>
      <w:r w:rsidR="00A6644C">
        <w:t xml:space="preserve">(QAF) </w:t>
      </w:r>
      <w:r w:rsidR="008D0DF5">
        <w:t>(which is not appropriate in the context of PBAC decision making)</w:t>
      </w:r>
      <w:r w:rsidR="00774EE8">
        <w:t xml:space="preserve"> </w:t>
      </w:r>
      <w:r>
        <w:t>and</w:t>
      </w:r>
      <w:r w:rsidR="001B65B6">
        <w:t xml:space="preserve"> a</w:t>
      </w:r>
      <w:r>
        <w:t xml:space="preserve"> </w:t>
      </w:r>
      <w:r w:rsidR="00C07FE4">
        <w:t xml:space="preserve">lower </w:t>
      </w:r>
      <w:r>
        <w:t xml:space="preserve">discount rate than recommended in the PBAC Guidelines. </w:t>
      </w:r>
    </w:p>
    <w:p w:rsidR="00304505" w:rsidRDefault="008267DE" w:rsidP="008267DE">
      <w:pPr>
        <w:pStyle w:val="bulletnumberedstyle"/>
      </w:pPr>
      <w:r>
        <w:t>T</w:t>
      </w:r>
      <w:r w:rsidRPr="008267DE">
        <w:t xml:space="preserve">he PBAC considered the use of a QAF was not appropriate in the base case </w:t>
      </w:r>
      <w:r>
        <w:t xml:space="preserve">economic evaluation </w:t>
      </w:r>
      <w:r w:rsidR="002441DB">
        <w:t>(</w:t>
      </w:r>
      <w:r w:rsidRPr="008267DE">
        <w:t>or in a sensitivity analysis</w:t>
      </w:r>
      <w:r w:rsidR="002441DB">
        <w:t>)</w:t>
      </w:r>
      <w:r w:rsidRPr="008267DE">
        <w:t xml:space="preserve"> as it was not relevant to the Australian context. The PBAC noted that the QAF was source</w:t>
      </w:r>
      <w:r>
        <w:t>d from the UK analysis for 4CM</w:t>
      </w:r>
      <w:r w:rsidRPr="008267DE">
        <w:t>enB, however unlike in the UK where vaccine</w:t>
      </w:r>
      <w:r>
        <w:t>s</w:t>
      </w:r>
      <w:r w:rsidRPr="008267DE">
        <w:t xml:space="preserve"> are assessed against a fixed ICER threshold, there is no fixed threshold for PBA</w:t>
      </w:r>
      <w:r>
        <w:t xml:space="preserve">C decisions and the PBAC accepts </w:t>
      </w:r>
      <w:r w:rsidRPr="00D60072">
        <w:t xml:space="preserve">varying ICERs </w:t>
      </w:r>
      <w:r>
        <w:t xml:space="preserve">to account for factors such as </w:t>
      </w:r>
      <w:r w:rsidRPr="00D60072">
        <w:t xml:space="preserve">severity </w:t>
      </w:r>
      <w:r>
        <w:t xml:space="preserve">or rarity </w:t>
      </w:r>
      <w:r w:rsidRPr="00D60072">
        <w:t>of the disease</w:t>
      </w:r>
      <w:r>
        <w:t xml:space="preserve">, equity, clinical need, public health </w:t>
      </w:r>
      <w:r w:rsidR="00BE34F9">
        <w:t xml:space="preserve">considerations </w:t>
      </w:r>
      <w:r>
        <w:t xml:space="preserve">and other relevant factors. </w:t>
      </w:r>
    </w:p>
    <w:p w:rsidR="00FC2372" w:rsidRDefault="00FC2372" w:rsidP="00FC2372">
      <w:pPr>
        <w:pStyle w:val="bulletnumberedstyle"/>
      </w:pPr>
      <w:r w:rsidRPr="009B1641">
        <w:t xml:space="preserve">The PBAC noted the cost-effectiveness of 4CMenB was sensitive to the incidence of IMD caused by </w:t>
      </w:r>
      <w:r w:rsidR="008160D6">
        <w:t xml:space="preserve">Men </w:t>
      </w:r>
      <w:r w:rsidRPr="009B1641">
        <w:t>B. Applying the incidence observed in 2001 to 2003 (i.e., the peak incidence</w:t>
      </w:r>
      <w:r w:rsidR="00304505">
        <w:t>, Figure 1</w:t>
      </w:r>
      <w:r w:rsidRPr="009B1641">
        <w:t>) decreased the resubmission base</w:t>
      </w:r>
      <w:r w:rsidR="00251781">
        <w:t xml:space="preserve"> </w:t>
      </w:r>
      <w:r w:rsidRPr="009B1641">
        <w:t>case ICER from $</w:t>
      </w:r>
      <w:r w:rsidR="00E84D1D">
        <w:t>1</w:t>
      </w:r>
      <w:r w:rsidR="00825909">
        <w:t>5,000/QALY - $45,000</w:t>
      </w:r>
      <w:r w:rsidR="00671842">
        <w:t>/QALY</w:t>
      </w:r>
      <w:r w:rsidR="00251781">
        <w:t xml:space="preserve"> </w:t>
      </w:r>
      <w:r w:rsidRPr="009B1641">
        <w:t>to</w:t>
      </w:r>
      <w:r w:rsidR="00E84D1D">
        <w:t xml:space="preserve"> less </w:t>
      </w:r>
      <w:r w:rsidR="00762A59">
        <w:t xml:space="preserve">than </w:t>
      </w:r>
      <w:r w:rsidR="00762A59" w:rsidRPr="009B1641">
        <w:t>$</w:t>
      </w:r>
      <w:r w:rsidR="00E84D1D">
        <w:t>1</w:t>
      </w:r>
      <w:r w:rsidR="00825909">
        <w:t>5,000</w:t>
      </w:r>
      <w:r w:rsidR="00671842">
        <w:t>/</w:t>
      </w:r>
      <w:r w:rsidR="00251781">
        <w:t xml:space="preserve">QALY </w:t>
      </w:r>
      <w:r w:rsidRPr="009B1641">
        <w:t>and applying the average incidence observed from 2010 to 2017 (i.e., excluding the peak incidence</w:t>
      </w:r>
      <w:r w:rsidR="00304505">
        <w:t>, Figure 1</w:t>
      </w:r>
      <w:r w:rsidR="00E97893">
        <w:t xml:space="preserve">) increased the ICER to </w:t>
      </w:r>
      <w:r w:rsidR="00825909">
        <w:t>$</w:t>
      </w:r>
      <w:r w:rsidR="00E84D1D">
        <w:t>10</w:t>
      </w:r>
      <w:r w:rsidR="00825909">
        <w:t>5,000/QALY - $</w:t>
      </w:r>
      <w:r w:rsidR="00E84D1D">
        <w:t>200</w:t>
      </w:r>
      <w:r w:rsidR="00825909">
        <w:t>,000</w:t>
      </w:r>
      <w:r w:rsidR="00671842">
        <w:t>/</w:t>
      </w:r>
      <w:r w:rsidR="00251781">
        <w:t>QALY</w:t>
      </w:r>
      <w:r w:rsidRPr="009B1641">
        <w:t xml:space="preserve">. </w:t>
      </w:r>
    </w:p>
    <w:p w:rsidR="00774EE8" w:rsidRPr="009B1641" w:rsidRDefault="003E21BD" w:rsidP="00DD350B">
      <w:pPr>
        <w:pStyle w:val="bulletnumberedstyle"/>
      </w:pPr>
      <w:r>
        <w:t xml:space="preserve">The PBAC noted the </w:t>
      </w:r>
      <w:r w:rsidR="00DD350B">
        <w:t xml:space="preserve">cost-effectiveness of 4CMenB was sensitive to the </w:t>
      </w:r>
      <w:r w:rsidRPr="003E21BD">
        <w:t xml:space="preserve">inclusion </w:t>
      </w:r>
      <w:r>
        <w:t xml:space="preserve">of </w:t>
      </w:r>
      <w:r w:rsidR="00DD350B">
        <w:t xml:space="preserve">the </w:t>
      </w:r>
      <w:r>
        <w:t xml:space="preserve">costs and utilities for </w:t>
      </w:r>
      <w:r w:rsidR="00712969">
        <w:t xml:space="preserve">the </w:t>
      </w:r>
      <w:r w:rsidR="00DD350B">
        <w:t xml:space="preserve">eight </w:t>
      </w:r>
      <w:r w:rsidR="00251781">
        <w:t>additional sequelae th</w:t>
      </w:r>
      <w:r w:rsidR="008160D6">
        <w:t>at</w:t>
      </w:r>
      <w:r w:rsidR="00251781">
        <w:t xml:space="preserve"> were not included in previous submissions. Excluding the additional sequelae increased the resubmission base case ICER from $</w:t>
      </w:r>
      <w:r w:rsidR="0006604F">
        <w:t>1</w:t>
      </w:r>
      <w:r w:rsidR="00825909">
        <w:t>5,000/QALY - $45,000</w:t>
      </w:r>
      <w:r w:rsidR="00671842">
        <w:t>/QALY</w:t>
      </w:r>
      <w:r w:rsidR="00251781">
        <w:t xml:space="preserve"> to </w:t>
      </w:r>
      <w:r w:rsidR="00251781">
        <w:rPr>
          <w:iCs/>
          <w:szCs w:val="20"/>
        </w:rPr>
        <w:t>$</w:t>
      </w:r>
      <w:r w:rsidR="00825909">
        <w:rPr>
          <w:iCs/>
          <w:szCs w:val="20"/>
        </w:rPr>
        <w:t>1</w:t>
      </w:r>
      <w:r w:rsidR="0006604F">
        <w:rPr>
          <w:iCs/>
          <w:szCs w:val="20"/>
        </w:rPr>
        <w:t>0</w:t>
      </w:r>
      <w:r w:rsidR="00825909">
        <w:rPr>
          <w:iCs/>
          <w:szCs w:val="20"/>
        </w:rPr>
        <w:t>5,000/QALY - $2</w:t>
      </w:r>
      <w:r w:rsidR="0006604F">
        <w:rPr>
          <w:iCs/>
          <w:szCs w:val="20"/>
        </w:rPr>
        <w:t>00</w:t>
      </w:r>
      <w:r w:rsidR="00825909">
        <w:rPr>
          <w:iCs/>
          <w:szCs w:val="20"/>
        </w:rPr>
        <w:t>,000</w:t>
      </w:r>
      <w:r w:rsidR="00671842">
        <w:rPr>
          <w:iCs/>
          <w:szCs w:val="20"/>
        </w:rPr>
        <w:t>/</w:t>
      </w:r>
      <w:r w:rsidR="000E23C2">
        <w:rPr>
          <w:iCs/>
          <w:szCs w:val="20"/>
        </w:rPr>
        <w:t xml:space="preserve">QALY in the </w:t>
      </w:r>
      <w:r w:rsidR="00FA0B0C">
        <w:rPr>
          <w:iCs/>
          <w:szCs w:val="20"/>
        </w:rPr>
        <w:t>G</w:t>
      </w:r>
      <w:r w:rsidR="000E23C2">
        <w:rPr>
          <w:iCs/>
          <w:szCs w:val="20"/>
        </w:rPr>
        <w:t>eneral population and from</w:t>
      </w:r>
      <w:r w:rsidR="0020195F">
        <w:rPr>
          <w:iCs/>
          <w:szCs w:val="20"/>
        </w:rPr>
        <w:t xml:space="preserve"> less than</w:t>
      </w:r>
      <w:r w:rsidR="000E23C2">
        <w:rPr>
          <w:iCs/>
          <w:szCs w:val="20"/>
        </w:rPr>
        <w:t xml:space="preserve"> $</w:t>
      </w:r>
      <w:r w:rsidR="0020195F">
        <w:rPr>
          <w:iCs/>
          <w:szCs w:val="20"/>
        </w:rPr>
        <w:t>1</w:t>
      </w:r>
      <w:r w:rsidR="00825909">
        <w:rPr>
          <w:iCs/>
          <w:szCs w:val="20"/>
        </w:rPr>
        <w:t>5,000/</w:t>
      </w:r>
      <w:r w:rsidR="0020195F">
        <w:rPr>
          <w:iCs/>
          <w:szCs w:val="20"/>
        </w:rPr>
        <w:t>QALY</w:t>
      </w:r>
      <w:r w:rsidR="000E23C2">
        <w:rPr>
          <w:iCs/>
          <w:szCs w:val="20"/>
        </w:rPr>
        <w:t xml:space="preserve"> to $</w:t>
      </w:r>
      <w:r w:rsidR="0020195F">
        <w:rPr>
          <w:iCs/>
          <w:szCs w:val="20"/>
        </w:rPr>
        <w:t>4</w:t>
      </w:r>
      <w:r w:rsidR="00825909">
        <w:rPr>
          <w:iCs/>
          <w:szCs w:val="20"/>
        </w:rPr>
        <w:t>5,000/QALY - $75,000</w:t>
      </w:r>
      <w:r w:rsidR="00671842">
        <w:rPr>
          <w:iCs/>
          <w:szCs w:val="20"/>
        </w:rPr>
        <w:t>/</w:t>
      </w:r>
      <w:r w:rsidR="000E23C2">
        <w:rPr>
          <w:iCs/>
          <w:szCs w:val="20"/>
        </w:rPr>
        <w:t>QALY in the Aboriginal and Torres Strait Islander population</w:t>
      </w:r>
      <w:r w:rsidR="00251781">
        <w:rPr>
          <w:iCs/>
          <w:szCs w:val="20"/>
        </w:rPr>
        <w:t xml:space="preserve">. </w:t>
      </w:r>
      <w:r w:rsidR="00DD350B">
        <w:rPr>
          <w:iCs/>
          <w:szCs w:val="20"/>
        </w:rPr>
        <w:t>The PBAC considered there was</w:t>
      </w:r>
      <w:r w:rsidR="00DD350B" w:rsidRPr="00DD350B">
        <w:rPr>
          <w:iCs/>
          <w:szCs w:val="20"/>
        </w:rPr>
        <w:t xml:space="preserve"> a risk of double counting the disutility </w:t>
      </w:r>
      <w:r w:rsidR="0054457F">
        <w:rPr>
          <w:iCs/>
          <w:szCs w:val="20"/>
        </w:rPr>
        <w:t xml:space="preserve">for </w:t>
      </w:r>
      <w:r w:rsidR="00DD350B">
        <w:rPr>
          <w:iCs/>
          <w:szCs w:val="20"/>
        </w:rPr>
        <w:t xml:space="preserve">some of the additional sequelae. For example, </w:t>
      </w:r>
      <w:r w:rsidR="00DD350B" w:rsidRPr="00DD350B">
        <w:rPr>
          <w:iCs/>
          <w:szCs w:val="20"/>
        </w:rPr>
        <w:t xml:space="preserve">patients with </w:t>
      </w:r>
      <w:r w:rsidR="00DD350B">
        <w:rPr>
          <w:iCs/>
          <w:szCs w:val="20"/>
        </w:rPr>
        <w:t>physical sequelae</w:t>
      </w:r>
      <w:r w:rsidR="0054457F">
        <w:rPr>
          <w:iCs/>
          <w:szCs w:val="20"/>
        </w:rPr>
        <w:t>,</w:t>
      </w:r>
      <w:r w:rsidR="00DD350B">
        <w:rPr>
          <w:iCs/>
          <w:szCs w:val="20"/>
        </w:rPr>
        <w:t xml:space="preserve"> such as </w:t>
      </w:r>
      <w:r w:rsidR="00DD350B" w:rsidRPr="00DD350B">
        <w:rPr>
          <w:iCs/>
          <w:szCs w:val="20"/>
        </w:rPr>
        <w:t xml:space="preserve">amputation, may also suffer from </w:t>
      </w:r>
      <w:r w:rsidR="00DD350B">
        <w:rPr>
          <w:iCs/>
          <w:szCs w:val="20"/>
        </w:rPr>
        <w:t xml:space="preserve">the </w:t>
      </w:r>
      <w:r w:rsidR="0054457F">
        <w:rPr>
          <w:iCs/>
          <w:szCs w:val="20"/>
        </w:rPr>
        <w:t xml:space="preserve">additional </w:t>
      </w:r>
      <w:r w:rsidR="00DD350B">
        <w:rPr>
          <w:iCs/>
          <w:szCs w:val="20"/>
        </w:rPr>
        <w:t>psychological and behavioural sequelae that were included, such as anxiety.</w:t>
      </w:r>
      <w:r w:rsidR="00D47FDA">
        <w:rPr>
          <w:iCs/>
          <w:szCs w:val="20"/>
        </w:rPr>
        <w:t xml:space="preserve"> </w:t>
      </w:r>
    </w:p>
    <w:p w:rsidR="008C0B2D" w:rsidRPr="00AC2374" w:rsidRDefault="0053451C" w:rsidP="00741B0A">
      <w:pPr>
        <w:pStyle w:val="bulletnumberedstyle"/>
      </w:pPr>
      <w:r w:rsidRPr="005B7A0B">
        <w:t xml:space="preserve">The PBAC considered the </w:t>
      </w:r>
      <w:r w:rsidR="001B1DFF" w:rsidRPr="005B7A0B">
        <w:t xml:space="preserve">ICER for the </w:t>
      </w:r>
      <w:r w:rsidRPr="005B7A0B">
        <w:t xml:space="preserve">scenario consistent with </w:t>
      </w:r>
      <w:r w:rsidR="001B1DFF" w:rsidRPr="005B7A0B">
        <w:t xml:space="preserve">the </w:t>
      </w:r>
      <w:r w:rsidRPr="005B7A0B">
        <w:t>PBAC guidelines</w:t>
      </w:r>
      <w:r w:rsidR="008C0B2D" w:rsidRPr="005B7A0B">
        <w:t xml:space="preserve"> (</w:t>
      </w:r>
      <w:r w:rsidR="008160D6">
        <w:t>General population</w:t>
      </w:r>
      <w:r w:rsidR="0020195F">
        <w:t xml:space="preserve"> more than</w:t>
      </w:r>
      <w:r w:rsidR="008160D6">
        <w:t xml:space="preserve"> </w:t>
      </w:r>
      <w:r w:rsidR="008C0B2D" w:rsidRPr="005B7A0B">
        <w:t>$</w:t>
      </w:r>
      <w:r w:rsidR="0020195F">
        <w:t>200</w:t>
      </w:r>
      <w:r w:rsidR="0041740D">
        <w:t>,000</w:t>
      </w:r>
      <w:r w:rsidR="00671842">
        <w:t>/QALY</w:t>
      </w:r>
      <w:r w:rsidR="008160D6">
        <w:t>, Aboriginal and Torres Strait Islander population $</w:t>
      </w:r>
      <w:r w:rsidR="0041740D">
        <w:t>1</w:t>
      </w:r>
      <w:r w:rsidR="0020195F">
        <w:t>0</w:t>
      </w:r>
      <w:r w:rsidR="0041740D">
        <w:t>5,000/QALY - $2</w:t>
      </w:r>
      <w:r w:rsidR="0020195F">
        <w:t>00</w:t>
      </w:r>
      <w:r w:rsidR="0041740D">
        <w:t>,000</w:t>
      </w:r>
      <w:r w:rsidR="008160D6">
        <w:t>/QALY</w:t>
      </w:r>
      <w:r w:rsidR="008C0B2D" w:rsidRPr="005B7A0B">
        <w:t xml:space="preserve">) </w:t>
      </w:r>
      <w:r w:rsidRPr="005B7A0B">
        <w:t xml:space="preserve">generated as part of the evaluation was most relevant for decision-making, although the </w:t>
      </w:r>
      <w:r w:rsidR="008C0B2D" w:rsidRPr="005B7A0B">
        <w:t xml:space="preserve">ICER for the </w:t>
      </w:r>
      <w:r w:rsidRPr="005B7A0B">
        <w:t xml:space="preserve">modified </w:t>
      </w:r>
      <w:r w:rsidR="002549C5">
        <w:t xml:space="preserve">PBAC </w:t>
      </w:r>
      <w:r w:rsidRPr="005B7A0B">
        <w:t xml:space="preserve">guidelines </w:t>
      </w:r>
      <w:r w:rsidR="00AE0B38" w:rsidRPr="005B7A0B">
        <w:t>scenario</w:t>
      </w:r>
      <w:r w:rsidRPr="005B7A0B">
        <w:t xml:space="preserve"> </w:t>
      </w:r>
      <w:r w:rsidR="008C0B2D" w:rsidRPr="005B7A0B">
        <w:t>(</w:t>
      </w:r>
      <w:r w:rsidR="008160D6">
        <w:t>General population</w:t>
      </w:r>
      <w:r w:rsidR="008160D6" w:rsidRPr="005B7A0B">
        <w:t xml:space="preserve"> </w:t>
      </w:r>
      <w:r w:rsidR="008C0B2D" w:rsidRPr="005B7A0B">
        <w:t>$</w:t>
      </w:r>
      <w:r w:rsidR="0041740D">
        <w:t>1</w:t>
      </w:r>
      <w:r w:rsidR="0020195F">
        <w:t>0</w:t>
      </w:r>
      <w:r w:rsidR="0041740D">
        <w:t>5,000/QALY - $2</w:t>
      </w:r>
      <w:r w:rsidR="0020195F">
        <w:t>00</w:t>
      </w:r>
      <w:r w:rsidR="0041740D">
        <w:t>,000</w:t>
      </w:r>
      <w:r w:rsidR="00671842">
        <w:t>/QALY</w:t>
      </w:r>
      <w:r w:rsidR="008160D6">
        <w:t>,</w:t>
      </w:r>
      <w:r w:rsidR="008160D6" w:rsidRPr="008160D6">
        <w:t xml:space="preserve"> </w:t>
      </w:r>
      <w:r w:rsidR="008160D6">
        <w:t>Aboriginal and Torres Strait Islander population $</w:t>
      </w:r>
      <w:r w:rsidR="0020195F">
        <w:t>4</w:t>
      </w:r>
      <w:r w:rsidR="0041740D">
        <w:t>5,000/QALY - $75,000</w:t>
      </w:r>
      <w:r w:rsidR="008160D6">
        <w:t>/QALY</w:t>
      </w:r>
      <w:r w:rsidR="008C0B2D" w:rsidRPr="005B7A0B">
        <w:t xml:space="preserve">) </w:t>
      </w:r>
      <w:r w:rsidR="00434B2E">
        <w:t xml:space="preserve">(incorporating a 3.5% discount rate, long-term caregiving costs, special education costs, family and network utility loss due to sequelae) </w:t>
      </w:r>
      <w:r w:rsidRPr="005B7A0B">
        <w:t>was also informative</w:t>
      </w:r>
      <w:r w:rsidR="008C0B2D" w:rsidRPr="005B7A0B">
        <w:t>.</w:t>
      </w:r>
      <w:r w:rsidR="00ED7DE0" w:rsidRPr="005B7A0B">
        <w:t xml:space="preserve"> </w:t>
      </w:r>
      <w:r w:rsidR="00C11ED9">
        <w:t>Given the very high ICER, the lack of herd effects, the lack of evidence about the duration of clinical protection, and the lack of any clinical effectiveness data for adolescents, t</w:t>
      </w:r>
      <w:r w:rsidR="006A3392" w:rsidRPr="005B7A0B">
        <w:t xml:space="preserve">he PBAC </w:t>
      </w:r>
      <w:r w:rsidRPr="00AC2374">
        <w:t xml:space="preserve">considered </w:t>
      </w:r>
      <w:r w:rsidR="00C11ED9">
        <w:t xml:space="preserve">the proposed price for </w:t>
      </w:r>
      <w:r w:rsidR="00C11ED9" w:rsidRPr="00AC2374">
        <w:t xml:space="preserve">4CMenB </w:t>
      </w:r>
      <w:r w:rsidR="006A3392" w:rsidRPr="00AC2374">
        <w:t xml:space="preserve">was </w:t>
      </w:r>
      <w:r w:rsidR="00C11ED9">
        <w:t>not acceptable</w:t>
      </w:r>
      <w:r w:rsidR="00D47FDA">
        <w:t xml:space="preserve"> </w:t>
      </w:r>
      <w:r w:rsidR="00DB6BFA" w:rsidRPr="00AC2374">
        <w:t xml:space="preserve">for the general population of </w:t>
      </w:r>
      <w:r w:rsidR="005E5B13">
        <w:t xml:space="preserve">children </w:t>
      </w:r>
      <w:r w:rsidR="0066640A" w:rsidRPr="00AC2374">
        <w:t xml:space="preserve">or for </w:t>
      </w:r>
      <w:r w:rsidR="00DB6BFA" w:rsidRPr="00AC2374">
        <w:t xml:space="preserve">adolescents </w:t>
      </w:r>
      <w:r w:rsidR="008C0B2D" w:rsidRPr="00AC2374">
        <w:t xml:space="preserve">under </w:t>
      </w:r>
      <w:r w:rsidR="008B07BA" w:rsidRPr="00AC2374">
        <w:t xml:space="preserve">either of these </w:t>
      </w:r>
      <w:r w:rsidR="00ED7DE0" w:rsidRPr="00AC2374">
        <w:t>scenario</w:t>
      </w:r>
      <w:r w:rsidR="008B07BA" w:rsidRPr="00AC2374">
        <w:t>s</w:t>
      </w:r>
      <w:r w:rsidR="00AE0B38" w:rsidRPr="00AC2374">
        <w:t xml:space="preserve">. </w:t>
      </w:r>
    </w:p>
    <w:p w:rsidR="008A3ADE" w:rsidRPr="00ED0D17" w:rsidRDefault="008A3ADE" w:rsidP="00741B0A">
      <w:pPr>
        <w:pStyle w:val="bulletnumberedstyle"/>
      </w:pPr>
      <w:r w:rsidRPr="00AC2374">
        <w:t xml:space="preserve">The PBAC considered </w:t>
      </w:r>
      <w:r w:rsidR="00186BEA" w:rsidRPr="00AC2374">
        <w:t xml:space="preserve">the </w:t>
      </w:r>
      <w:r w:rsidR="008160D6">
        <w:t>base case ICER in the resubmission (paragraph 7.</w:t>
      </w:r>
      <w:r w:rsidR="00ED0D17">
        <w:t>8</w:t>
      </w:r>
      <w:r w:rsidR="008160D6">
        <w:t xml:space="preserve">) and the revised base </w:t>
      </w:r>
      <w:r w:rsidR="008160D6" w:rsidRPr="00ED0D17">
        <w:t xml:space="preserve">case </w:t>
      </w:r>
      <w:r w:rsidR="00186BEA" w:rsidRPr="00ED0D17">
        <w:t>ICER</w:t>
      </w:r>
      <w:r w:rsidR="008160D6" w:rsidRPr="00ED0D17">
        <w:t xml:space="preserve"> (paragraph 7.1</w:t>
      </w:r>
      <w:r w:rsidR="00ED0D17" w:rsidRPr="00ED0D17">
        <w:t>2</w:t>
      </w:r>
      <w:r w:rsidR="008160D6" w:rsidRPr="00ED0D17">
        <w:t>)</w:t>
      </w:r>
      <w:r w:rsidR="00186BEA" w:rsidRPr="00ED0D17">
        <w:t xml:space="preserve"> were uncertain due to the likely overestimate </w:t>
      </w:r>
      <w:r w:rsidR="00186BEA" w:rsidRPr="00ED0D17">
        <w:lastRenderedPageBreak/>
        <w:t>of VE (paragraph 7.</w:t>
      </w:r>
      <w:r w:rsidR="00ED0D17" w:rsidRPr="00ED0D17">
        <w:t>5</w:t>
      </w:r>
      <w:r w:rsidR="00186BEA" w:rsidRPr="00ED0D17">
        <w:t>),</w:t>
      </w:r>
      <w:r w:rsidR="00ED0D17" w:rsidRPr="00ED0D17">
        <w:t xml:space="preserve"> unknown future </w:t>
      </w:r>
      <w:r w:rsidR="00186BEA" w:rsidRPr="00ED0D17">
        <w:t>incidence of IMD due to Men B</w:t>
      </w:r>
      <w:r w:rsidR="00ED0D17" w:rsidRPr="00ED0D17">
        <w:t xml:space="preserve"> </w:t>
      </w:r>
      <w:r w:rsidR="00186BEA" w:rsidRPr="00ED0D17">
        <w:t>(paragraph 7.</w:t>
      </w:r>
      <w:r w:rsidR="00ED0D17" w:rsidRPr="00ED0D17">
        <w:t>10</w:t>
      </w:r>
      <w:r w:rsidR="00186BEA" w:rsidRPr="00ED0D17">
        <w:t>) and inclusion of additional sequelae (paragraph 7.</w:t>
      </w:r>
      <w:r w:rsidR="00ED0D17" w:rsidRPr="00ED0D17">
        <w:t>11</w:t>
      </w:r>
      <w:r w:rsidR="00186BEA" w:rsidRPr="00ED0D17">
        <w:t>).</w:t>
      </w:r>
      <w:r w:rsidR="00D47FDA">
        <w:t xml:space="preserve"> </w:t>
      </w:r>
    </w:p>
    <w:p w:rsidR="00186BEA" w:rsidRPr="009B1641" w:rsidRDefault="00793DF4" w:rsidP="00B975BD">
      <w:pPr>
        <w:pStyle w:val="bulletnumberedstyle"/>
      </w:pPr>
      <w:r w:rsidRPr="00AC2374">
        <w:t>The PBAC noted the ICER for the scenario consistent with the PBAC guidelines for Aboriginal and Torres Strait Islander</w:t>
      </w:r>
      <w:r w:rsidR="002549C5" w:rsidRPr="00AC2374">
        <w:t xml:space="preserve"> children </w:t>
      </w:r>
      <w:r w:rsidRPr="00AC2374">
        <w:t>was $</w:t>
      </w:r>
      <w:r w:rsidR="0041740D">
        <w:t>$1</w:t>
      </w:r>
      <w:r w:rsidR="00497D03">
        <w:t>0</w:t>
      </w:r>
      <w:r w:rsidR="0041740D">
        <w:t>5,000/QALY - $</w:t>
      </w:r>
      <w:r w:rsidR="00497D03">
        <w:t>200</w:t>
      </w:r>
      <w:r w:rsidR="0041740D">
        <w:t>,000</w:t>
      </w:r>
      <w:r w:rsidR="00671842" w:rsidRPr="00AC2374">
        <w:t xml:space="preserve">/QALY </w:t>
      </w:r>
      <w:r w:rsidRPr="00AC2374">
        <w:t xml:space="preserve">and for the modified </w:t>
      </w:r>
      <w:r w:rsidR="002549C5" w:rsidRPr="00AC2374">
        <w:t xml:space="preserve">PBAC </w:t>
      </w:r>
      <w:r w:rsidRPr="00AC2374">
        <w:t>guidelines scenario</w:t>
      </w:r>
      <w:r w:rsidR="002549C5" w:rsidRPr="00AC2374">
        <w:t xml:space="preserve"> (as defined in </w:t>
      </w:r>
      <w:r w:rsidR="002549C5" w:rsidRPr="00ED0D17">
        <w:t>paragraph 7.</w:t>
      </w:r>
      <w:r w:rsidR="008160D6" w:rsidRPr="00ED0D17">
        <w:t>1</w:t>
      </w:r>
      <w:r w:rsidR="00ED0D17" w:rsidRPr="00ED0D17">
        <w:t>2</w:t>
      </w:r>
      <w:r w:rsidR="002549C5" w:rsidRPr="00ED0D17">
        <w:t>)</w:t>
      </w:r>
      <w:r w:rsidRPr="00AC2374">
        <w:t xml:space="preserve"> was $</w:t>
      </w:r>
      <w:r w:rsidR="0041740D">
        <w:t>$</w:t>
      </w:r>
      <w:r w:rsidR="00497D03">
        <w:t>1</w:t>
      </w:r>
      <w:r w:rsidR="0041740D">
        <w:t>5,000/QALY - $45,000</w:t>
      </w:r>
      <w:r w:rsidR="00671842" w:rsidRPr="00AC2374">
        <w:t>/</w:t>
      </w:r>
      <w:r w:rsidRPr="00AC2374">
        <w:t xml:space="preserve">QALY. </w:t>
      </w:r>
      <w:r w:rsidR="009B1641" w:rsidRPr="00AC2374">
        <w:t xml:space="preserve">The PBAC considered that, in the context of the extreme disparity in disease rates </w:t>
      </w:r>
      <w:r w:rsidR="007178D6">
        <w:t xml:space="preserve">compared to non-Indigenous children </w:t>
      </w:r>
      <w:r w:rsidR="00E7024A" w:rsidRPr="00AC2374">
        <w:t>(6-fold higher</w:t>
      </w:r>
      <w:r w:rsidR="00E7024A">
        <w:t xml:space="preserve"> incidence) </w:t>
      </w:r>
      <w:r w:rsidR="009B1641" w:rsidRPr="009B1641">
        <w:t xml:space="preserve">and relatively small opportunity cost, 4CMenB was of acceptable cost-effectiveness in Aboriginal and Torres Strait </w:t>
      </w:r>
      <w:r w:rsidR="009B1641" w:rsidRPr="002549C5">
        <w:t>Islander</w:t>
      </w:r>
      <w:r w:rsidR="00000B84" w:rsidRPr="002549C5">
        <w:t xml:space="preserve"> children</w:t>
      </w:r>
      <w:r w:rsidR="009B1641" w:rsidRPr="009B1641">
        <w:t xml:space="preserve"> and </w:t>
      </w:r>
      <w:r w:rsidR="00296C23" w:rsidRPr="009B1641">
        <w:t xml:space="preserve">recommended </w:t>
      </w:r>
      <w:r w:rsidR="009B1641" w:rsidRPr="009B1641">
        <w:t xml:space="preserve">the inclusion of routine vaccination </w:t>
      </w:r>
      <w:r w:rsidR="00000B84">
        <w:t xml:space="preserve">of infants </w:t>
      </w:r>
      <w:r w:rsidR="009B1641" w:rsidRPr="009B1641">
        <w:t>on the NIP</w:t>
      </w:r>
      <w:r w:rsidR="009B1641">
        <w:t xml:space="preserve"> with a catch-up program for</w:t>
      </w:r>
      <w:r w:rsidR="009B1641" w:rsidRPr="009B1641">
        <w:t xml:space="preserve"> children up to 2 years of age. </w:t>
      </w:r>
      <w:r w:rsidR="005B12B7">
        <w:t>T</w:t>
      </w:r>
      <w:r w:rsidR="00074EE1">
        <w:t>he PBAC</w:t>
      </w:r>
      <w:r w:rsidR="008160D6">
        <w:t xml:space="preserve"> </w:t>
      </w:r>
      <w:r w:rsidR="00BE34F9">
        <w:t>noted th</w:t>
      </w:r>
      <w:r w:rsidR="00C11ED9">
        <w:t>e</w:t>
      </w:r>
      <w:r w:rsidR="00BE34F9">
        <w:t xml:space="preserve"> lack of </w:t>
      </w:r>
      <w:r w:rsidR="00C11ED9">
        <w:t xml:space="preserve">any </w:t>
      </w:r>
      <w:r w:rsidR="00927857">
        <w:t xml:space="preserve">data on </w:t>
      </w:r>
      <w:r w:rsidR="00BE34F9">
        <w:t xml:space="preserve">clinical effectiveness </w:t>
      </w:r>
      <w:r w:rsidR="00C11ED9">
        <w:t xml:space="preserve">among adolescents and therefore </w:t>
      </w:r>
      <w:r w:rsidR="00074EE1">
        <w:t xml:space="preserve">considered </w:t>
      </w:r>
      <w:r w:rsidR="00C11ED9">
        <w:t xml:space="preserve">the </w:t>
      </w:r>
      <w:r w:rsidR="00074EE1">
        <w:t>cost effective</w:t>
      </w:r>
      <w:r w:rsidR="00C11ED9">
        <w:t>ness of</w:t>
      </w:r>
      <w:r w:rsidR="00074EE1">
        <w:t xml:space="preserve"> </w:t>
      </w:r>
      <w:r w:rsidR="00C11ED9">
        <w:t xml:space="preserve">4CMenB to be unacceptably high and uncertain </w:t>
      </w:r>
      <w:r w:rsidR="00074EE1">
        <w:t xml:space="preserve">in Aboriginal and Torres Strait Islander adolescents at the price proposed in the resubmission. </w:t>
      </w:r>
    </w:p>
    <w:p w:rsidR="000C586D" w:rsidRDefault="0020549C" w:rsidP="007A52A9">
      <w:pPr>
        <w:pStyle w:val="bulletnumberedstyle"/>
      </w:pPr>
      <w:r w:rsidRPr="009B1641">
        <w:t xml:space="preserve">The PBAC considered </w:t>
      </w:r>
      <w:r w:rsidR="00F9180F" w:rsidRPr="009B1641">
        <w:t xml:space="preserve">that 4CMenB </w:t>
      </w:r>
      <w:r w:rsidRPr="009B1641">
        <w:t xml:space="preserve">was likely to be cost-effective in </w:t>
      </w:r>
      <w:r w:rsidR="001C5D5B" w:rsidRPr="009B1641">
        <w:t xml:space="preserve">children and adults </w:t>
      </w:r>
      <w:r w:rsidRPr="009B1641">
        <w:t>with medical conditions associated with increased risk of IMD, and was</w:t>
      </w:r>
      <w:r w:rsidRPr="0020549C">
        <w:t xml:space="preserve"> supportive of a listing for </w:t>
      </w:r>
      <w:r w:rsidR="000620CC">
        <w:t xml:space="preserve">routine vaccination of </w:t>
      </w:r>
      <w:r w:rsidRPr="0020549C">
        <w:t>this population.</w:t>
      </w:r>
      <w:r w:rsidR="000620CC">
        <w:t xml:space="preserve"> The PBAC recalled it had recommended</w:t>
      </w:r>
      <w:r w:rsidR="00F9180F">
        <w:t xml:space="preserve"> funding of Men ACWY in people</w:t>
      </w:r>
      <w:r w:rsidR="000620CC">
        <w:t xml:space="preserve"> with </w:t>
      </w:r>
      <w:r w:rsidR="00F9180F" w:rsidRPr="00F9180F">
        <w:t xml:space="preserve">asplenia and hyposplenia, complement deficiency and </w:t>
      </w:r>
      <w:r w:rsidR="00F9180F">
        <w:t xml:space="preserve">those </w:t>
      </w:r>
      <w:r w:rsidR="00F9180F" w:rsidRPr="00F9180F">
        <w:t>undergoing treatment with eculizumab due to the high clinical need for vaccination</w:t>
      </w:r>
      <w:r w:rsidR="00F9180F">
        <w:t xml:space="preserve"> in</w:t>
      </w:r>
      <w:r w:rsidR="00624D24">
        <w:t xml:space="preserve"> </w:t>
      </w:r>
      <w:r w:rsidR="00F9180F">
        <w:t>these populations (</w:t>
      </w:r>
      <w:r w:rsidR="00E7024A">
        <w:t xml:space="preserve">published </w:t>
      </w:r>
      <w:r w:rsidR="008B07BA">
        <w:t xml:space="preserve">outcomes for the </w:t>
      </w:r>
      <w:r w:rsidR="00F9180F">
        <w:t>May 2019 PBAC meeting)</w:t>
      </w:r>
      <w:r w:rsidR="00F9180F" w:rsidRPr="00F9180F">
        <w:t>.</w:t>
      </w:r>
      <w:r w:rsidR="00F9180F" w:rsidRPr="000C586D">
        <w:rPr>
          <w:rFonts w:ascii="Arial" w:hAnsi="Arial" w:cs="Arial"/>
          <w:snapToGrid w:val="0"/>
          <w:lang w:eastAsia="en-US"/>
        </w:rPr>
        <w:t xml:space="preserve"> </w:t>
      </w:r>
      <w:r w:rsidR="00F9180F">
        <w:t xml:space="preserve">The PBAC considered it would be appropriate to provide </w:t>
      </w:r>
      <w:r w:rsidR="00E7024A">
        <w:t xml:space="preserve">routine vaccination with </w:t>
      </w:r>
      <w:r w:rsidR="00F9180F">
        <w:t>4CMenB for the same high-risk population</w:t>
      </w:r>
      <w:r w:rsidR="00E7024A">
        <w:t>s</w:t>
      </w:r>
      <w:r w:rsidR="00F9180F">
        <w:t xml:space="preserve">. </w:t>
      </w:r>
      <w:r w:rsidR="002F636E">
        <w:t>The PBAC noted there is some uncertainty regarding the duration of protection provided by 4CMenB and considered this population may require revaccination in 5 to 10 years.</w:t>
      </w:r>
      <w:r w:rsidR="00624D24">
        <w:t xml:space="preserve"> </w:t>
      </w:r>
    </w:p>
    <w:p w:rsidR="003313DE" w:rsidRDefault="00204D39" w:rsidP="00204D39">
      <w:pPr>
        <w:pStyle w:val="bulletnumberedstyle"/>
      </w:pPr>
      <w:r w:rsidRPr="00204D39">
        <w:t xml:space="preserve">The </w:t>
      </w:r>
      <w:r>
        <w:t xml:space="preserve">PBAC </w:t>
      </w:r>
      <w:r w:rsidRPr="00204D39">
        <w:t xml:space="preserve">considered that, given the high </w:t>
      </w:r>
      <w:r w:rsidRPr="00304505">
        <w:t>(paragraph 7.1</w:t>
      </w:r>
      <w:r>
        <w:t>2</w:t>
      </w:r>
      <w:r w:rsidRPr="00304505">
        <w:t xml:space="preserve">) </w:t>
      </w:r>
      <w:r w:rsidRPr="00204D39">
        <w:t xml:space="preserve">and uncertain </w:t>
      </w:r>
      <w:r w:rsidRPr="00304505">
        <w:t>(paragraph 7.1</w:t>
      </w:r>
      <w:r>
        <w:t>3</w:t>
      </w:r>
      <w:r w:rsidRPr="00304505">
        <w:t xml:space="preserve">) </w:t>
      </w:r>
      <w:r w:rsidRPr="00204D39">
        <w:t xml:space="preserve">ICER, the </w:t>
      </w:r>
      <w:r w:rsidR="00BE34F9">
        <w:t>lack</w:t>
      </w:r>
      <w:r w:rsidRPr="00204D39">
        <w:t xml:space="preserve"> of herd </w:t>
      </w:r>
      <w:r w:rsidR="00961A19">
        <w:t xml:space="preserve">protective </w:t>
      </w:r>
      <w:r w:rsidR="00927857">
        <w:t>effects</w:t>
      </w:r>
      <w:r w:rsidRPr="00204D39">
        <w:t xml:space="preserve">, </w:t>
      </w:r>
      <w:r w:rsidR="00927857">
        <w:t xml:space="preserve">the lack of data on the duration of clinical protection, </w:t>
      </w:r>
      <w:r w:rsidR="00BE34F9">
        <w:t xml:space="preserve">and the absence of </w:t>
      </w:r>
      <w:r w:rsidR="00927857">
        <w:t xml:space="preserve">data on </w:t>
      </w:r>
      <w:r w:rsidR="00BE34F9">
        <w:t xml:space="preserve">clinical effectiveness for adolescent vaccination, </w:t>
      </w:r>
      <w:r w:rsidRPr="00204D39">
        <w:t>circumstances that could enhance the acceptability of the cost-effectiveness would include arrangements resulting in a reduction in effective price and a shari</w:t>
      </w:r>
      <w:r>
        <w:t xml:space="preserve">ng of the cost of delivery of an </w:t>
      </w:r>
      <w:r w:rsidRPr="00204D39">
        <w:t>adolescent program</w:t>
      </w:r>
      <w:r>
        <w:t xml:space="preserve"> for the general population</w:t>
      </w:r>
      <w:r w:rsidRPr="00204D39">
        <w:t>.</w:t>
      </w:r>
    </w:p>
    <w:p w:rsidR="008E44DD" w:rsidRPr="00636E14" w:rsidRDefault="00636E14" w:rsidP="008E44DD">
      <w:pPr>
        <w:pStyle w:val="bulletnumberedstyle"/>
        <w:rPr>
          <w:i/>
        </w:rPr>
      </w:pPr>
      <w:r w:rsidRPr="00636E14">
        <w:t>The PBAC noted that this submission is not eligible for independent review as independent review is only relevant to PBS listing</w:t>
      </w:r>
      <w:r w:rsidR="008B07BA">
        <w:t xml:space="preserve">s. </w:t>
      </w:r>
    </w:p>
    <w:bookmarkEnd w:id="0"/>
    <w:bookmarkEnd w:id="1"/>
    <w:bookmarkEnd w:id="2"/>
    <w:bookmarkEnd w:id="3"/>
    <w:bookmarkEnd w:id="4"/>
    <w:p w:rsidR="00063A4F" w:rsidRPr="00B15E90" w:rsidRDefault="008E44DD" w:rsidP="00B15E90">
      <w:pPr>
        <w:spacing w:before="240"/>
        <w:jc w:val="both"/>
        <w:rPr>
          <w:rFonts w:asciiTheme="minorHAnsi" w:hAnsiTheme="minorHAnsi" w:cs="Arial"/>
          <w:b/>
          <w:bCs/>
          <w:snapToGrid w:val="0"/>
          <w:lang w:val="en-GB"/>
        </w:rPr>
      </w:pPr>
      <w:r w:rsidRPr="00525B39">
        <w:rPr>
          <w:rFonts w:asciiTheme="minorHAnsi" w:hAnsiTheme="minorHAnsi" w:cs="Arial"/>
          <w:b/>
          <w:bCs/>
          <w:snapToGrid w:val="0"/>
          <w:lang w:val="en-GB"/>
        </w:rPr>
        <w:t>Outcome:</w:t>
      </w:r>
    </w:p>
    <w:p w:rsidR="008E44DD" w:rsidRDefault="00561950" w:rsidP="007108BC">
      <w:r>
        <w:t xml:space="preserve">Recommended. </w:t>
      </w:r>
    </w:p>
    <w:p w:rsidR="00622033" w:rsidRPr="00622033" w:rsidRDefault="00622033" w:rsidP="00E3262E">
      <w:pPr>
        <w:pStyle w:val="PBACHeading1"/>
      </w:pPr>
      <w:r w:rsidRPr="00622033">
        <w:t>Recommended listing</w:t>
      </w:r>
    </w:p>
    <w:p w:rsidR="00622033" w:rsidRPr="00622033" w:rsidRDefault="00622033" w:rsidP="00B975BD">
      <w:pPr>
        <w:widowControl w:val="0"/>
        <w:numPr>
          <w:ilvl w:val="1"/>
          <w:numId w:val="2"/>
        </w:numPr>
        <w:spacing w:after="120"/>
        <w:jc w:val="both"/>
        <w:rPr>
          <w:rFonts w:asciiTheme="minorHAnsi" w:hAnsiTheme="minorHAnsi" w:cs="Arial"/>
          <w:b/>
          <w:bCs/>
          <w:snapToGrid w:val="0"/>
        </w:rPr>
      </w:pPr>
      <w:r w:rsidRPr="00622033">
        <w:rPr>
          <w:rFonts w:asciiTheme="minorHAnsi" w:hAnsiTheme="minorHAnsi" w:cs="Arial"/>
          <w:bCs/>
          <w:snapToGrid w:val="0"/>
        </w:rPr>
        <w:t>Add new item:</w:t>
      </w:r>
    </w:p>
    <w:p w:rsidR="00622033" w:rsidRDefault="00622033" w:rsidP="007108BC"/>
    <w:p w:rsidR="00D516CC" w:rsidRPr="007108BC" w:rsidRDefault="00D516CC" w:rsidP="00D516CC">
      <w:pPr>
        <w:pStyle w:val="TableHeader"/>
        <w:keepNext/>
        <w:rPr>
          <w:rFonts w:ascii="Arial Narrow" w:hAnsi="Arial Narrow"/>
        </w:rPr>
      </w:pPr>
      <w:r w:rsidRPr="007108BC">
        <w:rPr>
          <w:rFonts w:ascii="Arial Narrow" w:hAnsi="Arial Narrow"/>
        </w:rPr>
        <w:t>Essential elements of the requested listing</w:t>
      </w:r>
    </w:p>
    <w:tbl>
      <w:tblPr>
        <w:tblW w:w="9072" w:type="dxa"/>
        <w:tblBorders>
          <w:top w:val="single" w:sz="4" w:space="0" w:color="auto"/>
          <w:bottom w:val="single" w:sz="4" w:space="0" w:color="auto"/>
          <w:insideH w:val="single" w:sz="4" w:space="0" w:color="auto"/>
        </w:tblBorders>
        <w:tblLook w:val="04A0" w:firstRow="1" w:lastRow="0" w:firstColumn="1" w:lastColumn="0" w:noHBand="0" w:noVBand="1"/>
      </w:tblPr>
      <w:tblGrid>
        <w:gridCol w:w="3549"/>
        <w:gridCol w:w="1388"/>
        <w:gridCol w:w="255"/>
        <w:gridCol w:w="1765"/>
        <w:gridCol w:w="2115"/>
      </w:tblGrid>
      <w:tr w:rsidR="00D516CC" w:rsidRPr="007108BC" w:rsidTr="00364D05">
        <w:tc>
          <w:tcPr>
            <w:tcW w:w="3085" w:type="dxa"/>
            <w:vAlign w:val="center"/>
          </w:tcPr>
          <w:p w:rsidR="00D516CC" w:rsidRPr="007108BC" w:rsidRDefault="00D516CC" w:rsidP="00364D05">
            <w:pPr>
              <w:pStyle w:val="Tabletext"/>
              <w:keepNext/>
              <w:rPr>
                <w:b/>
                <w:bCs/>
              </w:rPr>
            </w:pPr>
            <w:r w:rsidRPr="007108BC">
              <w:rPr>
                <w:b/>
              </w:rPr>
              <w:t>Name, restriction, manner of administration, form</w:t>
            </w:r>
          </w:p>
        </w:tc>
        <w:tc>
          <w:tcPr>
            <w:tcW w:w="1206" w:type="dxa"/>
            <w:vAlign w:val="center"/>
          </w:tcPr>
          <w:p w:rsidR="00D516CC" w:rsidRPr="007108BC" w:rsidRDefault="00D516CC" w:rsidP="00364D05">
            <w:pPr>
              <w:pStyle w:val="Tabletext"/>
              <w:keepNext/>
              <w:rPr>
                <w:b/>
                <w:bCs/>
              </w:rPr>
            </w:pPr>
          </w:p>
        </w:tc>
        <w:tc>
          <w:tcPr>
            <w:tcW w:w="0" w:type="auto"/>
            <w:vAlign w:val="center"/>
          </w:tcPr>
          <w:p w:rsidR="00D516CC" w:rsidRPr="007108BC" w:rsidRDefault="00D516CC" w:rsidP="00364D05">
            <w:pPr>
              <w:pStyle w:val="Tabletext"/>
              <w:keepNext/>
              <w:rPr>
                <w:b/>
                <w:bCs/>
              </w:rPr>
            </w:pPr>
          </w:p>
        </w:tc>
        <w:tc>
          <w:tcPr>
            <w:tcW w:w="1534" w:type="dxa"/>
            <w:vAlign w:val="center"/>
          </w:tcPr>
          <w:p w:rsidR="00D516CC" w:rsidRPr="007108BC" w:rsidRDefault="00D516CC" w:rsidP="00364D05">
            <w:pPr>
              <w:pStyle w:val="Tabletext"/>
              <w:keepNext/>
              <w:jc w:val="center"/>
              <w:rPr>
                <w:b/>
                <w:bCs/>
              </w:rPr>
            </w:pPr>
            <w:r w:rsidRPr="007108BC">
              <w:rPr>
                <w:b/>
              </w:rPr>
              <w:t>Nationally negotiated price</w:t>
            </w:r>
          </w:p>
        </w:tc>
        <w:tc>
          <w:tcPr>
            <w:tcW w:w="1838" w:type="dxa"/>
            <w:vAlign w:val="center"/>
          </w:tcPr>
          <w:p w:rsidR="00D516CC" w:rsidRPr="007108BC" w:rsidRDefault="00D516CC" w:rsidP="00364D05">
            <w:pPr>
              <w:pStyle w:val="Tabletext"/>
              <w:keepNext/>
              <w:rPr>
                <w:b/>
                <w:bCs/>
              </w:rPr>
            </w:pPr>
            <w:r w:rsidRPr="007108BC">
              <w:rPr>
                <w:b/>
              </w:rPr>
              <w:t>Proprietary name and manufacturer</w:t>
            </w:r>
          </w:p>
        </w:tc>
      </w:tr>
      <w:tr w:rsidR="00D516CC" w:rsidRPr="00D51D60" w:rsidTr="00364D05">
        <w:trPr>
          <w:trHeight w:val="357"/>
        </w:trPr>
        <w:tc>
          <w:tcPr>
            <w:tcW w:w="3085" w:type="dxa"/>
          </w:tcPr>
          <w:p w:rsidR="00D516CC" w:rsidRPr="00D51D60" w:rsidRDefault="00D516CC" w:rsidP="00364D05">
            <w:pPr>
              <w:pStyle w:val="Tabletext"/>
              <w:rPr>
                <w:bCs/>
              </w:rPr>
            </w:pPr>
            <w:r w:rsidRPr="00D51D60">
              <w:t>Multicomponent meningococcal group B vaccine, 1 x 0.5 mL syringe</w:t>
            </w:r>
          </w:p>
        </w:tc>
        <w:tc>
          <w:tcPr>
            <w:tcW w:w="1206" w:type="dxa"/>
            <w:vAlign w:val="center"/>
          </w:tcPr>
          <w:p w:rsidR="00D516CC" w:rsidRPr="00D51D60" w:rsidRDefault="00D516CC" w:rsidP="00364D05">
            <w:pPr>
              <w:pStyle w:val="Tabletext"/>
              <w:jc w:val="center"/>
              <w:rPr>
                <w:rFonts w:ascii="Times" w:hAnsi="Times"/>
              </w:rPr>
            </w:pPr>
          </w:p>
        </w:tc>
        <w:tc>
          <w:tcPr>
            <w:tcW w:w="0" w:type="auto"/>
            <w:vAlign w:val="center"/>
          </w:tcPr>
          <w:p w:rsidR="00D516CC" w:rsidRPr="00D51D60" w:rsidRDefault="00D516CC" w:rsidP="00364D05">
            <w:pPr>
              <w:pStyle w:val="Tabletext"/>
              <w:jc w:val="center"/>
              <w:rPr>
                <w:rFonts w:ascii="Times" w:hAnsi="Times"/>
              </w:rPr>
            </w:pPr>
          </w:p>
        </w:tc>
        <w:tc>
          <w:tcPr>
            <w:tcW w:w="1534" w:type="dxa"/>
            <w:vAlign w:val="center"/>
          </w:tcPr>
          <w:p w:rsidR="00D516CC" w:rsidRPr="00D51D60" w:rsidRDefault="00D516CC" w:rsidP="00364D05">
            <w:pPr>
              <w:pStyle w:val="Tabletext"/>
              <w:jc w:val="center"/>
            </w:pPr>
            <w:r w:rsidRPr="00D51D60">
              <w:t>$</w:t>
            </w:r>
            <w:r w:rsidR="00BB196F">
              <w:rPr>
                <w:noProof/>
                <w:color w:val="000000"/>
                <w:highlight w:val="black"/>
              </w:rPr>
              <w:t>'''''</w:t>
            </w:r>
          </w:p>
        </w:tc>
        <w:tc>
          <w:tcPr>
            <w:tcW w:w="1838" w:type="dxa"/>
            <w:vAlign w:val="center"/>
          </w:tcPr>
          <w:p w:rsidR="00D516CC" w:rsidRPr="00D51D60" w:rsidRDefault="00D516CC" w:rsidP="00364D05">
            <w:pPr>
              <w:pStyle w:val="Tabletext"/>
              <w:rPr>
                <w:rFonts w:ascii="Times" w:hAnsi="Times"/>
              </w:rPr>
            </w:pPr>
            <w:r w:rsidRPr="00D51D60">
              <w:t>Bexsero®, GSK</w:t>
            </w:r>
          </w:p>
        </w:tc>
      </w:tr>
      <w:tr w:rsidR="00D516CC" w:rsidRPr="007108BC" w:rsidTr="00364D05">
        <w:trPr>
          <w:trHeight w:val="357"/>
        </w:trPr>
        <w:tc>
          <w:tcPr>
            <w:tcW w:w="9072" w:type="dxa"/>
            <w:gridSpan w:val="5"/>
          </w:tcPr>
          <w:p w:rsidR="00D516CC" w:rsidRPr="007108BC" w:rsidRDefault="00D516CC" w:rsidP="00364D05">
            <w:pPr>
              <w:pStyle w:val="Tabletext"/>
            </w:pPr>
            <w:r w:rsidRPr="007108BC">
              <w:t>National Immunisation Program</w:t>
            </w:r>
          </w:p>
          <w:p w:rsidR="00D516CC" w:rsidRPr="007108BC" w:rsidRDefault="00D516CC" w:rsidP="00B975BD">
            <w:pPr>
              <w:pStyle w:val="Tabletext"/>
              <w:numPr>
                <w:ilvl w:val="0"/>
                <w:numId w:val="5"/>
              </w:numPr>
            </w:pPr>
            <w:r w:rsidRPr="007108BC">
              <w:t xml:space="preserve">Two primary doses at 2 and 4 months and a booster dose at 12 months for </w:t>
            </w:r>
            <w:r w:rsidR="00B6472A">
              <w:t>Aboriginal and Torres Strait islander infants</w:t>
            </w:r>
            <w:r w:rsidR="003B29D7">
              <w:t>*</w:t>
            </w:r>
          </w:p>
          <w:p w:rsidR="00D516CC" w:rsidRDefault="00D516CC" w:rsidP="00B975BD">
            <w:pPr>
              <w:pStyle w:val="Tabletext"/>
              <w:numPr>
                <w:ilvl w:val="0"/>
                <w:numId w:val="5"/>
              </w:numPr>
            </w:pPr>
            <w:r w:rsidRPr="007108BC">
              <w:t xml:space="preserve">Three primary doses at 2, 4 and 6 months with 8 weeks between doses and a booster at 12 months for </w:t>
            </w:r>
            <w:r w:rsidR="003B6FC4">
              <w:t xml:space="preserve">Aboriginal and Torres Strait Islander </w:t>
            </w:r>
            <w:r w:rsidRPr="007108BC">
              <w:t>infants with medical conditions</w:t>
            </w:r>
            <w:r w:rsidR="00CA73C8" w:rsidRPr="00CA73C8">
              <w:rPr>
                <w:vertAlign w:val="superscript"/>
              </w:rPr>
              <w:t>1</w:t>
            </w:r>
            <w:r w:rsidR="00B6472A" w:rsidRPr="00035719">
              <w:t xml:space="preserve"> </w:t>
            </w:r>
            <w:r w:rsidRPr="007108BC">
              <w:t>known to increase risk of IMD</w:t>
            </w:r>
            <w:r w:rsidR="003B6FC4">
              <w:t>*</w:t>
            </w:r>
          </w:p>
          <w:p w:rsidR="003B29D7" w:rsidRPr="007108BC" w:rsidRDefault="00AC64D4" w:rsidP="00AC64D4">
            <w:pPr>
              <w:pStyle w:val="Tabletext"/>
              <w:numPr>
                <w:ilvl w:val="0"/>
                <w:numId w:val="5"/>
              </w:numPr>
            </w:pPr>
            <w:r w:rsidRPr="00AC64D4">
              <w:t>For people with specified medical conditions known to increase the risk of IMD2: infants 6 weeks to 5 months at start of vaccine course- three primary doses with 8 weeks between doses and a booster at 12 months; children between 6 and 11 months at start of vaccine course - two primary doses with 8 weeks between doses and a booster at 12 months; over 12 months of age at start of vaccine course - two primary doses with 8 weeks between doses</w:t>
            </w:r>
            <w:bookmarkStart w:id="18" w:name="_GoBack"/>
            <w:bookmarkEnd w:id="18"/>
          </w:p>
        </w:tc>
      </w:tr>
    </w:tbl>
    <w:p w:rsidR="00622033" w:rsidRPr="00CA73C8" w:rsidRDefault="003B29D7" w:rsidP="007108BC">
      <w:pPr>
        <w:rPr>
          <w:rFonts w:ascii="Arial Narrow" w:hAnsi="Arial Narrow"/>
          <w:snapToGrid w:val="0"/>
          <w:sz w:val="18"/>
        </w:rPr>
      </w:pPr>
      <w:r w:rsidRPr="00CA73C8">
        <w:rPr>
          <w:rFonts w:ascii="Arial Narrow" w:hAnsi="Arial Narrow"/>
          <w:snapToGrid w:val="0"/>
          <w:sz w:val="18"/>
        </w:rPr>
        <w:t>* With a</w:t>
      </w:r>
      <w:r w:rsidR="00FF53DB">
        <w:rPr>
          <w:rFonts w:ascii="Arial Narrow" w:hAnsi="Arial Narrow"/>
          <w:snapToGrid w:val="0"/>
          <w:sz w:val="18"/>
        </w:rPr>
        <w:t xml:space="preserve"> 3 year </w:t>
      </w:r>
      <w:r w:rsidRPr="00CA73C8">
        <w:rPr>
          <w:rFonts w:ascii="Arial Narrow" w:hAnsi="Arial Narrow"/>
          <w:snapToGrid w:val="0"/>
          <w:sz w:val="18"/>
        </w:rPr>
        <w:t xml:space="preserve">catch-up program for children aged under 2 years old </w:t>
      </w:r>
    </w:p>
    <w:p w:rsidR="00CA73C8" w:rsidRPr="00CA73C8" w:rsidRDefault="00CA73C8" w:rsidP="007108BC">
      <w:pPr>
        <w:rPr>
          <w:rFonts w:ascii="Arial Narrow" w:hAnsi="Arial Narrow"/>
          <w:snapToGrid w:val="0"/>
          <w:sz w:val="18"/>
        </w:rPr>
      </w:pPr>
      <w:r>
        <w:rPr>
          <w:rFonts w:ascii="Arial Narrow" w:hAnsi="Arial Narrow"/>
          <w:snapToGrid w:val="0"/>
          <w:sz w:val="18"/>
        </w:rPr>
        <w:t>1. A</w:t>
      </w:r>
      <w:r w:rsidRPr="00CA73C8">
        <w:rPr>
          <w:rFonts w:ascii="Arial Narrow" w:hAnsi="Arial Narrow"/>
          <w:snapToGrid w:val="0"/>
          <w:sz w:val="18"/>
        </w:rPr>
        <w:t>s defined by the Australian Immunisation Handbook</w:t>
      </w:r>
    </w:p>
    <w:p w:rsidR="00CA73C8" w:rsidRPr="00CA73C8" w:rsidRDefault="00CA73C8" w:rsidP="007108BC">
      <w:pPr>
        <w:rPr>
          <w:rFonts w:ascii="Arial Narrow" w:hAnsi="Arial Narrow"/>
          <w:snapToGrid w:val="0"/>
          <w:sz w:val="18"/>
        </w:rPr>
      </w:pPr>
      <w:r w:rsidRPr="00CA73C8">
        <w:rPr>
          <w:rFonts w:ascii="Arial Narrow" w:hAnsi="Arial Narrow"/>
          <w:snapToGrid w:val="0"/>
          <w:sz w:val="18"/>
        </w:rPr>
        <w:t xml:space="preserve">2. </w:t>
      </w:r>
      <w:r>
        <w:rPr>
          <w:rFonts w:ascii="Arial Narrow" w:hAnsi="Arial Narrow"/>
          <w:snapToGrid w:val="0"/>
          <w:sz w:val="18"/>
        </w:rPr>
        <w:t>P</w:t>
      </w:r>
      <w:r w:rsidRPr="00CA73C8">
        <w:rPr>
          <w:rFonts w:ascii="Arial Narrow" w:hAnsi="Arial Narrow"/>
          <w:snapToGrid w:val="0"/>
          <w:sz w:val="18"/>
        </w:rPr>
        <w:t>eople with asplenia and hyposplenia, complement deficiency and those undergoing treatment with eculizumab</w:t>
      </w:r>
    </w:p>
    <w:p w:rsidR="006A23DF" w:rsidRPr="006A23DF" w:rsidRDefault="006A23DF" w:rsidP="006A23DF">
      <w:pPr>
        <w:pStyle w:val="PBACHeading1"/>
      </w:pPr>
      <w:r w:rsidRPr="006A23DF">
        <w:t>Context for Decision</w:t>
      </w:r>
    </w:p>
    <w:p w:rsidR="00115900" w:rsidRPr="00167BA5" w:rsidRDefault="00115900" w:rsidP="00115900">
      <w:r w:rsidRPr="00167BA5">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6A23DF" w:rsidRPr="006A23DF" w:rsidRDefault="006A23DF" w:rsidP="006A23DF">
      <w:pPr>
        <w:pStyle w:val="PBACHeading1"/>
      </w:pPr>
      <w:r w:rsidRPr="006A23DF">
        <w:t>Sponsor’s Comment</w:t>
      </w:r>
    </w:p>
    <w:p w:rsidR="00497D03" w:rsidRDefault="00497D03" w:rsidP="00497D03">
      <w:r>
        <w:t>GSK welcomes the PBAC recommendation to list the meningococcal B vaccine, Bexsero, on the National Immunisation Program (NIP) for people with specified medical conditions and for Aboriginal and Torres Strait Islander infants. This is a much-needed step towards reducing the burden of meningococcal B disease in two groups of Australians who are at a higher risk for this rare but potentially deadly disease.</w:t>
      </w:r>
    </w:p>
    <w:p w:rsidR="00497D03" w:rsidRDefault="00497D03" w:rsidP="00497D03">
      <w:r>
        <w:t>However, GSK disagrees with the PBAC decision not to recommend meningococcal B vaccination on the NIP for all Australian infants and adolescents, as requested in our submission.</w:t>
      </w:r>
    </w:p>
    <w:p w:rsidR="00497D03" w:rsidRDefault="00497D03" w:rsidP="00497D03">
      <w:r>
        <w:t>Significant real-world evidence has been generated since the previous submission which GSK believes addresses most of the key clinical uncertainties upon which the prior three rejections were based. From a clinical and public health perspective, the Australian Technical Advisory Group on Immunisation (ATAGI) considered that inclusion of meningococcal B (MenB) vaccines in the NIP was warranted for the requested populations included in the submission.</w:t>
      </w:r>
    </w:p>
    <w:p w:rsidR="00497D03" w:rsidRDefault="00497D03" w:rsidP="00497D03">
      <w:r>
        <w:lastRenderedPageBreak/>
        <w:t>GSK believes the PBAC’s current decision-making framework and criteria is prohibitive to obtaining public subsidy for this clinically recommended vaccine in all infants and adolescents for the prevention of a rare and unpredictable life-threatening disease, with devastating impact in children, adolescents and their families.  Consequently, GSK cannot see a path forward to enable this vaccine to be widely available on the NIP beyond the current PBAC recommendation.</w:t>
      </w:r>
    </w:p>
    <w:p w:rsidR="006A23DF" w:rsidRPr="007108BC" w:rsidRDefault="00497D03" w:rsidP="00497D03">
      <w:r>
        <w:t>The Value of Vaccines paper referred to in paragraph 6.25 of the Public Summary Document is available from the GSK Australia website (https://au.gsk.com/) and can be found by searching ‘value of vaccines’.</w:t>
      </w:r>
    </w:p>
    <w:sectPr w:rsidR="006A23DF" w:rsidRPr="007108BC" w:rsidSect="00ED2F23">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ACF87C" w16cid:durableId="2187A38F"/>
  <w16cid:commentId w16cid:paraId="02FAE65E" w16cid:durableId="21879F87"/>
  <w16cid:commentId w16cid:paraId="3E1D5E47" w16cid:durableId="21879F88"/>
  <w16cid:commentId w16cid:paraId="77F09A08" w16cid:durableId="2187AA82"/>
  <w16cid:commentId w16cid:paraId="0DEE80E0" w16cid:durableId="21879F89"/>
  <w16cid:commentId w16cid:paraId="7E373153" w16cid:durableId="2187AACE"/>
  <w16cid:commentId w16cid:paraId="5220ECF7" w16cid:durableId="21879F8A"/>
  <w16cid:commentId w16cid:paraId="7EB1D9A0" w16cid:durableId="21879F8B"/>
  <w16cid:commentId w16cid:paraId="1CCB2869" w16cid:durableId="2187B122"/>
  <w16cid:commentId w16cid:paraId="744AD338" w16cid:durableId="2187B190"/>
  <w16cid:commentId w16cid:paraId="6D028301" w16cid:durableId="21879F8C"/>
  <w16cid:commentId w16cid:paraId="72000E6F" w16cid:durableId="21879F8D"/>
  <w16cid:commentId w16cid:paraId="22DFFF6E" w16cid:durableId="21879F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D56" w:rsidRDefault="008E3D56" w:rsidP="00124A51">
      <w:r>
        <w:separator/>
      </w:r>
    </w:p>
    <w:p w:rsidR="008E3D56" w:rsidRDefault="008E3D56"/>
  </w:endnote>
  <w:endnote w:type="continuationSeparator" w:id="0">
    <w:p w:rsidR="008E3D56" w:rsidRDefault="008E3D56" w:rsidP="00124A51">
      <w:r>
        <w:continuationSeparator/>
      </w:r>
    </w:p>
    <w:p w:rsidR="008E3D56" w:rsidRDefault="008E3D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UI Semibold">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96F" w:rsidRDefault="00BB1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569" w:rsidRDefault="00C63569" w:rsidP="008E44DD"/>
  <w:p w:rsidR="00C63569" w:rsidRPr="008E44DD" w:rsidRDefault="00C63569" w:rsidP="008E44DD">
    <w:pPr>
      <w:jc w:val="center"/>
      <w:rPr>
        <w:b/>
      </w:rPr>
    </w:pPr>
    <w:r w:rsidRPr="008E44DD">
      <w:rPr>
        <w:b/>
      </w:rPr>
      <w:fldChar w:fldCharType="begin"/>
    </w:r>
    <w:r w:rsidRPr="008E44DD">
      <w:rPr>
        <w:b/>
      </w:rPr>
      <w:instrText xml:space="preserve"> PAGE   \* MERGEFORMAT </w:instrText>
    </w:r>
    <w:r w:rsidRPr="008E44DD">
      <w:rPr>
        <w:b/>
      </w:rPr>
      <w:fldChar w:fldCharType="separate"/>
    </w:r>
    <w:r w:rsidR="00AC64D4">
      <w:rPr>
        <w:b/>
        <w:noProof/>
      </w:rPr>
      <w:t>34</w:t>
    </w:r>
    <w:r w:rsidRPr="008E44DD">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96F" w:rsidRDefault="00BB1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D56" w:rsidRDefault="008E3D56" w:rsidP="00124A51">
      <w:r>
        <w:separator/>
      </w:r>
    </w:p>
    <w:p w:rsidR="008E3D56" w:rsidRDefault="008E3D56"/>
  </w:footnote>
  <w:footnote w:type="continuationSeparator" w:id="0">
    <w:p w:rsidR="008E3D56" w:rsidRDefault="008E3D56" w:rsidP="00124A51">
      <w:r>
        <w:continuationSeparator/>
      </w:r>
    </w:p>
    <w:p w:rsidR="008E3D56" w:rsidRDefault="008E3D56"/>
  </w:footnote>
  <w:footnote w:id="1">
    <w:p w:rsidR="00C63569" w:rsidRPr="00EB423F" w:rsidRDefault="00C63569" w:rsidP="00EB423F">
      <w:pPr>
        <w:pStyle w:val="Bibliography"/>
        <w:spacing w:after="0" w:line="240" w:lineRule="auto"/>
        <w:rPr>
          <w:rFonts w:ascii="Arial Narrow" w:hAnsi="Arial Narrow"/>
          <w:noProof/>
          <w:sz w:val="18"/>
          <w:szCs w:val="18"/>
        </w:rPr>
      </w:pPr>
      <w:r w:rsidRPr="00EB423F">
        <w:rPr>
          <w:rStyle w:val="FootnoteReference"/>
          <w:rFonts w:ascii="Arial Narrow" w:hAnsi="Arial Narrow"/>
          <w:sz w:val="18"/>
          <w:szCs w:val="18"/>
        </w:rPr>
        <w:footnoteRef/>
      </w:r>
      <w:r w:rsidRPr="00EB423F">
        <w:rPr>
          <w:rFonts w:ascii="Arial Narrow" w:hAnsi="Arial Narrow"/>
          <w:sz w:val="18"/>
          <w:szCs w:val="18"/>
        </w:rPr>
        <w:t xml:space="preserve"> </w:t>
      </w:r>
      <w:r w:rsidRPr="00EB423F">
        <w:rPr>
          <w:rFonts w:ascii="Arial Narrow" w:hAnsi="Arial Narrow"/>
          <w:noProof/>
          <w:sz w:val="18"/>
          <w:szCs w:val="18"/>
        </w:rPr>
        <w:t xml:space="preserve">Bryan, P., Seabroke, S., Wong, J. &amp; et al, 2018. Safety of multicomponent meningococcal group B vaccine (4CMenB) in routine infant immunisation in the UK: a prospective surveillance study. </w:t>
      </w:r>
      <w:r w:rsidRPr="00EB423F">
        <w:rPr>
          <w:rFonts w:ascii="Arial Narrow" w:hAnsi="Arial Narrow"/>
          <w:i/>
          <w:iCs/>
          <w:noProof/>
          <w:sz w:val="18"/>
          <w:szCs w:val="18"/>
        </w:rPr>
        <w:t xml:space="preserve">Lancet Child Adolesc Health, </w:t>
      </w:r>
      <w:r w:rsidRPr="00EB423F">
        <w:rPr>
          <w:rFonts w:ascii="Arial Narrow" w:hAnsi="Arial Narrow"/>
          <w:noProof/>
          <w:sz w:val="18"/>
          <w:szCs w:val="18"/>
        </w:rPr>
        <w:t>2(6), pp. 395-403.</w:t>
      </w:r>
    </w:p>
    <w:p w:rsidR="00C63569" w:rsidRDefault="00C63569" w:rsidP="00710286">
      <w:pPr>
        <w:pStyle w:val="FootnoteText"/>
      </w:pPr>
    </w:p>
  </w:footnote>
  <w:footnote w:id="2">
    <w:p w:rsidR="00C63569" w:rsidRPr="00AC1305" w:rsidRDefault="00C63569">
      <w:pPr>
        <w:pStyle w:val="FootnoteText"/>
        <w:rPr>
          <w:lang w:val="en-US"/>
        </w:rPr>
      </w:pPr>
      <w:r>
        <w:rPr>
          <w:rStyle w:val="FootnoteReference"/>
        </w:rPr>
        <w:footnoteRef/>
      </w:r>
      <w:r>
        <w:t xml:space="preserve"> A</w:t>
      </w:r>
      <w:r w:rsidRPr="00CC0080">
        <w:t xml:space="preserve">dolescents in the </w:t>
      </w:r>
      <w:r>
        <w:t xml:space="preserve">base case </w:t>
      </w:r>
      <w:r w:rsidRPr="00CC0080">
        <w:t>model receive 2 doses of 4CMenB for the first 15 years of the model</w:t>
      </w:r>
      <w:r>
        <w:t xml:space="preserve"> (i.e., the cohort that were not vaccinated as infants)</w:t>
      </w:r>
      <w:r w:rsidRPr="00CC0080">
        <w:t xml:space="preserve"> and 1 dose for the remaining 85 years. In the adolescent </w:t>
      </w:r>
      <w:r>
        <w:t xml:space="preserve">only </w:t>
      </w:r>
      <w:r w:rsidRPr="00CC0080">
        <w:t>model</w:t>
      </w:r>
      <w:r>
        <w:t>, they receive 2 doses for the duration of the model.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96F" w:rsidRDefault="00BB1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569" w:rsidRPr="008E44DD" w:rsidRDefault="00C63569" w:rsidP="00463E32">
    <w:pPr>
      <w:tabs>
        <w:tab w:val="left" w:pos="142"/>
        <w:tab w:val="right" w:pos="9027"/>
      </w:tabs>
      <w:jc w:val="center"/>
      <w:rPr>
        <w:i/>
      </w:rPr>
    </w:pPr>
    <w:r>
      <w:rPr>
        <w:i/>
      </w:rPr>
      <w:t>Public Summary Document</w:t>
    </w:r>
    <w:r w:rsidRPr="008E44DD">
      <w:rPr>
        <w:i/>
        <w:caps/>
      </w:rPr>
      <w:t xml:space="preserve"> - </w:t>
    </w:r>
    <w:r w:rsidRPr="008E44DD">
      <w:rPr>
        <w:i/>
      </w:rPr>
      <w:t>November 2019 PBAC Meeting</w:t>
    </w:r>
  </w:p>
  <w:p w:rsidR="00C63569" w:rsidRPr="008E44DD" w:rsidRDefault="00C63569">
    <w:pPr>
      <w:pStyle w:val="Header"/>
      <w:rPr>
        <w:i/>
      </w:rPr>
    </w:pPr>
  </w:p>
  <w:p w:rsidR="00C63569" w:rsidRDefault="00C6356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96F" w:rsidRDefault="00BB1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6F6A"/>
    <w:multiLevelType w:val="hybridMultilevel"/>
    <w:tmpl w:val="092C4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E242F6"/>
    <w:multiLevelType w:val="hybridMultilevel"/>
    <w:tmpl w:val="4120F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7C34E2"/>
    <w:multiLevelType w:val="hybridMultilevel"/>
    <w:tmpl w:val="CD62BFC0"/>
    <w:lvl w:ilvl="0" w:tplc="0C090001">
      <w:start w:val="1"/>
      <w:numFmt w:val="bullet"/>
      <w:lvlText w:val=""/>
      <w:lvlJc w:val="left"/>
      <w:pPr>
        <w:ind w:left="1074" w:hanging="360"/>
      </w:pPr>
      <w:rPr>
        <w:rFonts w:ascii="Symbol" w:hAnsi="Symbol" w:hint="default"/>
      </w:rPr>
    </w:lvl>
    <w:lvl w:ilvl="1" w:tplc="0C090003">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3" w15:restartNumberingAfterBreak="0">
    <w:nsid w:val="40EC5C27"/>
    <w:multiLevelType w:val="hybridMultilevel"/>
    <w:tmpl w:val="1EB678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43E14DA6"/>
    <w:multiLevelType w:val="hybridMultilevel"/>
    <w:tmpl w:val="4F3C0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B0752B"/>
    <w:multiLevelType w:val="hybridMultilevel"/>
    <w:tmpl w:val="A9C47548"/>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7" w15:restartNumberingAfterBreak="0">
    <w:nsid w:val="784D033C"/>
    <w:multiLevelType w:val="multilevel"/>
    <w:tmpl w:val="5F7817E8"/>
    <w:lvl w:ilvl="0">
      <w:start w:val="1"/>
      <w:numFmt w:val="decimal"/>
      <w:pStyle w:val="PBACHeading1"/>
      <w:lvlText w:val="%1"/>
      <w:lvlJc w:val="left"/>
      <w:pPr>
        <w:ind w:left="720" w:hanging="720"/>
      </w:pPr>
      <w:rPr>
        <w:rFonts w:hint="default"/>
        <w:b/>
      </w:rPr>
    </w:lvl>
    <w:lvl w:ilvl="1">
      <w:start w:val="1"/>
      <w:numFmt w:val="decimal"/>
      <w:pStyle w:val="bulletnumberedstyle"/>
      <w:lvlText w:val="%1.%2"/>
      <w:lvlJc w:val="left"/>
      <w:pPr>
        <w:ind w:left="720" w:hanging="720"/>
      </w:pPr>
      <w:rPr>
        <w:rFonts w:hint="default"/>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B460347"/>
    <w:multiLevelType w:val="hybridMultilevel"/>
    <w:tmpl w:val="F274D7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5"/>
  </w:num>
  <w:num w:numId="4">
    <w:abstractNumId w:val="1"/>
  </w:num>
  <w:num w:numId="5">
    <w:abstractNumId w:val="4"/>
  </w:num>
  <w:num w:numId="6">
    <w:abstractNumId w:val="3"/>
  </w:num>
  <w:num w:numId="7">
    <w:abstractNumId w:val="0"/>
  </w:num>
  <w:num w:numId="8">
    <w:abstractNumId w:val="8"/>
  </w:num>
  <w:num w:numId="9">
    <w:abstractNumId w:val="6"/>
  </w:num>
  <w:num w:numId="10">
    <w:abstractNumId w:val="7"/>
  </w:num>
  <w:num w:numId="1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s-CL"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AU" w:vendorID="64" w:dllVersion="4096" w:nlCheck="1" w:checkStyle="0"/>
  <w:activeWritingStyle w:appName="MSWord" w:lang="en-US" w:vendorID="64" w:dllVersion="4096" w:nlCheck="1" w:checkStyle="0"/>
  <w:activeWritingStyle w:appName="MSWord" w:lang="es-CL" w:vendorID="64" w:dllVersion="4096" w:nlCheck="1" w:checkStyle="0"/>
  <w:activeWritingStyle w:appName="MSWord" w:lang="en-AU" w:vendorID="64" w:dllVersion="0"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6A8"/>
    <w:rsid w:val="00000790"/>
    <w:rsid w:val="00000B84"/>
    <w:rsid w:val="0000110B"/>
    <w:rsid w:val="00001270"/>
    <w:rsid w:val="00001DA6"/>
    <w:rsid w:val="00001F75"/>
    <w:rsid w:val="00002D99"/>
    <w:rsid w:val="00003499"/>
    <w:rsid w:val="000039B7"/>
    <w:rsid w:val="00005DBE"/>
    <w:rsid w:val="000066D7"/>
    <w:rsid w:val="000070DF"/>
    <w:rsid w:val="000076DF"/>
    <w:rsid w:val="0000792C"/>
    <w:rsid w:val="00007C2F"/>
    <w:rsid w:val="000102F8"/>
    <w:rsid w:val="000113D6"/>
    <w:rsid w:val="00012361"/>
    <w:rsid w:val="0001276F"/>
    <w:rsid w:val="00012AF8"/>
    <w:rsid w:val="00012D53"/>
    <w:rsid w:val="00013247"/>
    <w:rsid w:val="00014341"/>
    <w:rsid w:val="00014622"/>
    <w:rsid w:val="00015886"/>
    <w:rsid w:val="00016073"/>
    <w:rsid w:val="000162EF"/>
    <w:rsid w:val="00016B0F"/>
    <w:rsid w:val="00017E29"/>
    <w:rsid w:val="00021980"/>
    <w:rsid w:val="00021BA8"/>
    <w:rsid w:val="0002225F"/>
    <w:rsid w:val="00022422"/>
    <w:rsid w:val="00023763"/>
    <w:rsid w:val="000251ED"/>
    <w:rsid w:val="00025ADE"/>
    <w:rsid w:val="00025D93"/>
    <w:rsid w:val="00025E74"/>
    <w:rsid w:val="00027A23"/>
    <w:rsid w:val="00030191"/>
    <w:rsid w:val="00032DB5"/>
    <w:rsid w:val="000337CC"/>
    <w:rsid w:val="00033863"/>
    <w:rsid w:val="00034481"/>
    <w:rsid w:val="0003536F"/>
    <w:rsid w:val="00035719"/>
    <w:rsid w:val="00035DC0"/>
    <w:rsid w:val="00036195"/>
    <w:rsid w:val="00036383"/>
    <w:rsid w:val="00036829"/>
    <w:rsid w:val="00036CCF"/>
    <w:rsid w:val="00037275"/>
    <w:rsid w:val="000372DF"/>
    <w:rsid w:val="00040895"/>
    <w:rsid w:val="00041411"/>
    <w:rsid w:val="00041A02"/>
    <w:rsid w:val="00041C3D"/>
    <w:rsid w:val="00041E20"/>
    <w:rsid w:val="000427DB"/>
    <w:rsid w:val="000435E4"/>
    <w:rsid w:val="00043C37"/>
    <w:rsid w:val="00045017"/>
    <w:rsid w:val="000452F4"/>
    <w:rsid w:val="00045968"/>
    <w:rsid w:val="00045A2B"/>
    <w:rsid w:val="00045D19"/>
    <w:rsid w:val="0004698F"/>
    <w:rsid w:val="000506F2"/>
    <w:rsid w:val="00050EFD"/>
    <w:rsid w:val="0005132D"/>
    <w:rsid w:val="00051D47"/>
    <w:rsid w:val="00051EA7"/>
    <w:rsid w:val="00051F71"/>
    <w:rsid w:val="0005238A"/>
    <w:rsid w:val="00052446"/>
    <w:rsid w:val="000539D0"/>
    <w:rsid w:val="000541C3"/>
    <w:rsid w:val="00054621"/>
    <w:rsid w:val="000546D7"/>
    <w:rsid w:val="00054D59"/>
    <w:rsid w:val="00056454"/>
    <w:rsid w:val="00057344"/>
    <w:rsid w:val="000616BD"/>
    <w:rsid w:val="00061E70"/>
    <w:rsid w:val="000620CC"/>
    <w:rsid w:val="00062BC2"/>
    <w:rsid w:val="0006326A"/>
    <w:rsid w:val="00063A4F"/>
    <w:rsid w:val="00063AC9"/>
    <w:rsid w:val="0006452D"/>
    <w:rsid w:val="0006604F"/>
    <w:rsid w:val="00066360"/>
    <w:rsid w:val="00066A8B"/>
    <w:rsid w:val="00066D2F"/>
    <w:rsid w:val="000677CD"/>
    <w:rsid w:val="00070AFF"/>
    <w:rsid w:val="00070BA3"/>
    <w:rsid w:val="00071248"/>
    <w:rsid w:val="000718EA"/>
    <w:rsid w:val="00071D45"/>
    <w:rsid w:val="000720B9"/>
    <w:rsid w:val="00072502"/>
    <w:rsid w:val="000737F7"/>
    <w:rsid w:val="00073C53"/>
    <w:rsid w:val="0007425B"/>
    <w:rsid w:val="00074532"/>
    <w:rsid w:val="00074EE1"/>
    <w:rsid w:val="00075BD8"/>
    <w:rsid w:val="000764BF"/>
    <w:rsid w:val="0007672F"/>
    <w:rsid w:val="000774F0"/>
    <w:rsid w:val="000779E1"/>
    <w:rsid w:val="00080909"/>
    <w:rsid w:val="000812CA"/>
    <w:rsid w:val="00081DCF"/>
    <w:rsid w:val="0008258D"/>
    <w:rsid w:val="00082E90"/>
    <w:rsid w:val="00083270"/>
    <w:rsid w:val="0008397B"/>
    <w:rsid w:val="00083D33"/>
    <w:rsid w:val="00083E99"/>
    <w:rsid w:val="0008550B"/>
    <w:rsid w:val="00085571"/>
    <w:rsid w:val="000856C5"/>
    <w:rsid w:val="00085D6F"/>
    <w:rsid w:val="0008639A"/>
    <w:rsid w:val="00086586"/>
    <w:rsid w:val="00087AD8"/>
    <w:rsid w:val="00087DF2"/>
    <w:rsid w:val="00090577"/>
    <w:rsid w:val="00090BF3"/>
    <w:rsid w:val="00090C7E"/>
    <w:rsid w:val="00091340"/>
    <w:rsid w:val="0009224C"/>
    <w:rsid w:val="000923C5"/>
    <w:rsid w:val="00092600"/>
    <w:rsid w:val="0009262B"/>
    <w:rsid w:val="00092F2F"/>
    <w:rsid w:val="00093310"/>
    <w:rsid w:val="000941D8"/>
    <w:rsid w:val="0009445C"/>
    <w:rsid w:val="00095FE5"/>
    <w:rsid w:val="00095FEE"/>
    <w:rsid w:val="00096284"/>
    <w:rsid w:val="00096B02"/>
    <w:rsid w:val="00096C16"/>
    <w:rsid w:val="0009723A"/>
    <w:rsid w:val="000974E5"/>
    <w:rsid w:val="00097639"/>
    <w:rsid w:val="000A2277"/>
    <w:rsid w:val="000A2CD9"/>
    <w:rsid w:val="000A542E"/>
    <w:rsid w:val="000A5941"/>
    <w:rsid w:val="000A5D67"/>
    <w:rsid w:val="000A7036"/>
    <w:rsid w:val="000A7D08"/>
    <w:rsid w:val="000B01CB"/>
    <w:rsid w:val="000B0670"/>
    <w:rsid w:val="000B09B8"/>
    <w:rsid w:val="000B0E75"/>
    <w:rsid w:val="000B0F08"/>
    <w:rsid w:val="000B1E7F"/>
    <w:rsid w:val="000B1F32"/>
    <w:rsid w:val="000B4267"/>
    <w:rsid w:val="000B499E"/>
    <w:rsid w:val="000B4DCC"/>
    <w:rsid w:val="000B51E4"/>
    <w:rsid w:val="000B534C"/>
    <w:rsid w:val="000B593C"/>
    <w:rsid w:val="000B5B34"/>
    <w:rsid w:val="000B68A1"/>
    <w:rsid w:val="000B6CAC"/>
    <w:rsid w:val="000B7612"/>
    <w:rsid w:val="000B7746"/>
    <w:rsid w:val="000C0B11"/>
    <w:rsid w:val="000C2682"/>
    <w:rsid w:val="000C3620"/>
    <w:rsid w:val="000C36FE"/>
    <w:rsid w:val="000C3A3A"/>
    <w:rsid w:val="000C3DF9"/>
    <w:rsid w:val="000C46E9"/>
    <w:rsid w:val="000C586D"/>
    <w:rsid w:val="000C5F85"/>
    <w:rsid w:val="000C6713"/>
    <w:rsid w:val="000C6CDD"/>
    <w:rsid w:val="000C6D7F"/>
    <w:rsid w:val="000D0619"/>
    <w:rsid w:val="000D157C"/>
    <w:rsid w:val="000D1BFC"/>
    <w:rsid w:val="000D281A"/>
    <w:rsid w:val="000D2F9F"/>
    <w:rsid w:val="000D326A"/>
    <w:rsid w:val="000D3C0B"/>
    <w:rsid w:val="000D51FB"/>
    <w:rsid w:val="000D7A91"/>
    <w:rsid w:val="000E0738"/>
    <w:rsid w:val="000E108C"/>
    <w:rsid w:val="000E135D"/>
    <w:rsid w:val="000E14DC"/>
    <w:rsid w:val="000E23C2"/>
    <w:rsid w:val="000E2A73"/>
    <w:rsid w:val="000E2B40"/>
    <w:rsid w:val="000E2D3E"/>
    <w:rsid w:val="000E30E1"/>
    <w:rsid w:val="000E3970"/>
    <w:rsid w:val="000E5AFE"/>
    <w:rsid w:val="000E6978"/>
    <w:rsid w:val="000E700E"/>
    <w:rsid w:val="000E7F99"/>
    <w:rsid w:val="000F00BA"/>
    <w:rsid w:val="000F07E4"/>
    <w:rsid w:val="000F0F53"/>
    <w:rsid w:val="000F1242"/>
    <w:rsid w:val="000F19A4"/>
    <w:rsid w:val="000F22C0"/>
    <w:rsid w:val="000F2D80"/>
    <w:rsid w:val="000F2F01"/>
    <w:rsid w:val="000F316A"/>
    <w:rsid w:val="000F3A21"/>
    <w:rsid w:val="000F3C74"/>
    <w:rsid w:val="000F4BB8"/>
    <w:rsid w:val="000F5175"/>
    <w:rsid w:val="000F5401"/>
    <w:rsid w:val="000F7127"/>
    <w:rsid w:val="000F74BC"/>
    <w:rsid w:val="000F7B75"/>
    <w:rsid w:val="000F7FD2"/>
    <w:rsid w:val="0010017F"/>
    <w:rsid w:val="00100F8A"/>
    <w:rsid w:val="00100FC6"/>
    <w:rsid w:val="00101CB6"/>
    <w:rsid w:val="00104002"/>
    <w:rsid w:val="00105AE2"/>
    <w:rsid w:val="00105D17"/>
    <w:rsid w:val="00105FDA"/>
    <w:rsid w:val="00106B80"/>
    <w:rsid w:val="0011032E"/>
    <w:rsid w:val="00110F44"/>
    <w:rsid w:val="001116ED"/>
    <w:rsid w:val="001119FC"/>
    <w:rsid w:val="00112B6C"/>
    <w:rsid w:val="00112D0E"/>
    <w:rsid w:val="0011348B"/>
    <w:rsid w:val="00115900"/>
    <w:rsid w:val="00115982"/>
    <w:rsid w:val="00116C53"/>
    <w:rsid w:val="00116D30"/>
    <w:rsid w:val="00117A91"/>
    <w:rsid w:val="00121799"/>
    <w:rsid w:val="00121EE0"/>
    <w:rsid w:val="001220CE"/>
    <w:rsid w:val="001222FC"/>
    <w:rsid w:val="001224D1"/>
    <w:rsid w:val="0012261D"/>
    <w:rsid w:val="00123D0E"/>
    <w:rsid w:val="00123E70"/>
    <w:rsid w:val="0012414B"/>
    <w:rsid w:val="001246AD"/>
    <w:rsid w:val="00124A51"/>
    <w:rsid w:val="00125421"/>
    <w:rsid w:val="001255FE"/>
    <w:rsid w:val="00125A26"/>
    <w:rsid w:val="00125B86"/>
    <w:rsid w:val="00126621"/>
    <w:rsid w:val="00126885"/>
    <w:rsid w:val="00127084"/>
    <w:rsid w:val="001274D9"/>
    <w:rsid w:val="001301E9"/>
    <w:rsid w:val="001304C1"/>
    <w:rsid w:val="0013061D"/>
    <w:rsid w:val="00130760"/>
    <w:rsid w:val="00130B56"/>
    <w:rsid w:val="00130DB1"/>
    <w:rsid w:val="00130E31"/>
    <w:rsid w:val="00131B0B"/>
    <w:rsid w:val="00131D82"/>
    <w:rsid w:val="00131E42"/>
    <w:rsid w:val="00133D36"/>
    <w:rsid w:val="00133F21"/>
    <w:rsid w:val="00134267"/>
    <w:rsid w:val="00135F2A"/>
    <w:rsid w:val="00137645"/>
    <w:rsid w:val="0014015A"/>
    <w:rsid w:val="00140E99"/>
    <w:rsid w:val="001410B3"/>
    <w:rsid w:val="001416D2"/>
    <w:rsid w:val="00142D64"/>
    <w:rsid w:val="00143905"/>
    <w:rsid w:val="00144275"/>
    <w:rsid w:val="0014455C"/>
    <w:rsid w:val="00144CF6"/>
    <w:rsid w:val="00145071"/>
    <w:rsid w:val="00145540"/>
    <w:rsid w:val="001456B0"/>
    <w:rsid w:val="00145ECF"/>
    <w:rsid w:val="00145ED5"/>
    <w:rsid w:val="00146060"/>
    <w:rsid w:val="00146DD5"/>
    <w:rsid w:val="00146FC4"/>
    <w:rsid w:val="00147349"/>
    <w:rsid w:val="0015066D"/>
    <w:rsid w:val="00150A63"/>
    <w:rsid w:val="00150AEC"/>
    <w:rsid w:val="00150C4E"/>
    <w:rsid w:val="001515E6"/>
    <w:rsid w:val="001522DD"/>
    <w:rsid w:val="00154196"/>
    <w:rsid w:val="0015480D"/>
    <w:rsid w:val="00156600"/>
    <w:rsid w:val="001568D4"/>
    <w:rsid w:val="00156B71"/>
    <w:rsid w:val="00156C6A"/>
    <w:rsid w:val="00157130"/>
    <w:rsid w:val="001571CC"/>
    <w:rsid w:val="001576B1"/>
    <w:rsid w:val="00157A56"/>
    <w:rsid w:val="00157C01"/>
    <w:rsid w:val="00160A4C"/>
    <w:rsid w:val="00160E2A"/>
    <w:rsid w:val="001612E4"/>
    <w:rsid w:val="0016130B"/>
    <w:rsid w:val="00161A80"/>
    <w:rsid w:val="00162913"/>
    <w:rsid w:val="00163DCC"/>
    <w:rsid w:val="00163E60"/>
    <w:rsid w:val="00163EFF"/>
    <w:rsid w:val="00165450"/>
    <w:rsid w:val="00165528"/>
    <w:rsid w:val="001656B8"/>
    <w:rsid w:val="00165744"/>
    <w:rsid w:val="001661FB"/>
    <w:rsid w:val="00167E59"/>
    <w:rsid w:val="0017050B"/>
    <w:rsid w:val="0017075C"/>
    <w:rsid w:val="00170846"/>
    <w:rsid w:val="00171499"/>
    <w:rsid w:val="00171749"/>
    <w:rsid w:val="00171926"/>
    <w:rsid w:val="0017235D"/>
    <w:rsid w:val="0017265B"/>
    <w:rsid w:val="00172A1C"/>
    <w:rsid w:val="00173565"/>
    <w:rsid w:val="00173B07"/>
    <w:rsid w:val="00175081"/>
    <w:rsid w:val="00175975"/>
    <w:rsid w:val="0017738D"/>
    <w:rsid w:val="001779F6"/>
    <w:rsid w:val="0018029C"/>
    <w:rsid w:val="00181D9C"/>
    <w:rsid w:val="00182612"/>
    <w:rsid w:val="00182D4E"/>
    <w:rsid w:val="00184225"/>
    <w:rsid w:val="0018446D"/>
    <w:rsid w:val="00184D44"/>
    <w:rsid w:val="00186371"/>
    <w:rsid w:val="001867D6"/>
    <w:rsid w:val="00186BEA"/>
    <w:rsid w:val="0018752F"/>
    <w:rsid w:val="00187F3F"/>
    <w:rsid w:val="00191A98"/>
    <w:rsid w:val="00191C84"/>
    <w:rsid w:val="00193B25"/>
    <w:rsid w:val="00194D34"/>
    <w:rsid w:val="00195222"/>
    <w:rsid w:val="00195506"/>
    <w:rsid w:val="0019691A"/>
    <w:rsid w:val="001975D8"/>
    <w:rsid w:val="0019783D"/>
    <w:rsid w:val="00197ED6"/>
    <w:rsid w:val="001A1DE5"/>
    <w:rsid w:val="001A37C2"/>
    <w:rsid w:val="001A43FA"/>
    <w:rsid w:val="001A4464"/>
    <w:rsid w:val="001A59FB"/>
    <w:rsid w:val="001A5BDA"/>
    <w:rsid w:val="001A6354"/>
    <w:rsid w:val="001A6585"/>
    <w:rsid w:val="001A6805"/>
    <w:rsid w:val="001A6CE8"/>
    <w:rsid w:val="001A6EAF"/>
    <w:rsid w:val="001A73BE"/>
    <w:rsid w:val="001A7AE8"/>
    <w:rsid w:val="001A7CCD"/>
    <w:rsid w:val="001B1DFF"/>
    <w:rsid w:val="001B204E"/>
    <w:rsid w:val="001B3443"/>
    <w:rsid w:val="001B3A36"/>
    <w:rsid w:val="001B479E"/>
    <w:rsid w:val="001B4D20"/>
    <w:rsid w:val="001B50EB"/>
    <w:rsid w:val="001B65B6"/>
    <w:rsid w:val="001B7037"/>
    <w:rsid w:val="001C15D5"/>
    <w:rsid w:val="001C2A9B"/>
    <w:rsid w:val="001C4007"/>
    <w:rsid w:val="001C4299"/>
    <w:rsid w:val="001C47D6"/>
    <w:rsid w:val="001C5D5B"/>
    <w:rsid w:val="001C5F94"/>
    <w:rsid w:val="001C6E66"/>
    <w:rsid w:val="001C7507"/>
    <w:rsid w:val="001D047C"/>
    <w:rsid w:val="001D04ED"/>
    <w:rsid w:val="001D1602"/>
    <w:rsid w:val="001D223D"/>
    <w:rsid w:val="001D3A41"/>
    <w:rsid w:val="001D3DE1"/>
    <w:rsid w:val="001D3EF1"/>
    <w:rsid w:val="001D47CF"/>
    <w:rsid w:val="001D651E"/>
    <w:rsid w:val="001E046A"/>
    <w:rsid w:val="001E238E"/>
    <w:rsid w:val="001E2483"/>
    <w:rsid w:val="001E2B1E"/>
    <w:rsid w:val="001E2EDA"/>
    <w:rsid w:val="001E30D4"/>
    <w:rsid w:val="001E4577"/>
    <w:rsid w:val="001E52EB"/>
    <w:rsid w:val="001E5B61"/>
    <w:rsid w:val="001E61D2"/>
    <w:rsid w:val="001E6C9B"/>
    <w:rsid w:val="001E740C"/>
    <w:rsid w:val="001E76F6"/>
    <w:rsid w:val="001E7E12"/>
    <w:rsid w:val="001E7F2B"/>
    <w:rsid w:val="001F00B1"/>
    <w:rsid w:val="001F1235"/>
    <w:rsid w:val="001F1CB3"/>
    <w:rsid w:val="001F2C75"/>
    <w:rsid w:val="001F3826"/>
    <w:rsid w:val="001F38B5"/>
    <w:rsid w:val="001F3911"/>
    <w:rsid w:val="001F4007"/>
    <w:rsid w:val="001F54AD"/>
    <w:rsid w:val="001F5F9F"/>
    <w:rsid w:val="001F7361"/>
    <w:rsid w:val="0020017C"/>
    <w:rsid w:val="002011B0"/>
    <w:rsid w:val="0020195F"/>
    <w:rsid w:val="00201AF6"/>
    <w:rsid w:val="00202F67"/>
    <w:rsid w:val="00203181"/>
    <w:rsid w:val="00203783"/>
    <w:rsid w:val="0020385F"/>
    <w:rsid w:val="002039EF"/>
    <w:rsid w:val="00204D39"/>
    <w:rsid w:val="0020549C"/>
    <w:rsid w:val="00205B56"/>
    <w:rsid w:val="00205BCE"/>
    <w:rsid w:val="002061D3"/>
    <w:rsid w:val="00207021"/>
    <w:rsid w:val="0020732F"/>
    <w:rsid w:val="00207871"/>
    <w:rsid w:val="002078B9"/>
    <w:rsid w:val="00207AE8"/>
    <w:rsid w:val="00207B19"/>
    <w:rsid w:val="00207D00"/>
    <w:rsid w:val="00210061"/>
    <w:rsid w:val="002105C1"/>
    <w:rsid w:val="00211089"/>
    <w:rsid w:val="00212BB0"/>
    <w:rsid w:val="0021412C"/>
    <w:rsid w:val="0021442F"/>
    <w:rsid w:val="00214CA0"/>
    <w:rsid w:val="00214D84"/>
    <w:rsid w:val="00215535"/>
    <w:rsid w:val="00215935"/>
    <w:rsid w:val="00215A8A"/>
    <w:rsid w:val="0021605B"/>
    <w:rsid w:val="00216DD1"/>
    <w:rsid w:val="00220E04"/>
    <w:rsid w:val="0022162C"/>
    <w:rsid w:val="002226C0"/>
    <w:rsid w:val="002232F7"/>
    <w:rsid w:val="00223B49"/>
    <w:rsid w:val="0022411B"/>
    <w:rsid w:val="00224DD4"/>
    <w:rsid w:val="002309CC"/>
    <w:rsid w:val="00230C82"/>
    <w:rsid w:val="00230E68"/>
    <w:rsid w:val="00231D46"/>
    <w:rsid w:val="0023209F"/>
    <w:rsid w:val="00232B67"/>
    <w:rsid w:val="0023343B"/>
    <w:rsid w:val="00234B2A"/>
    <w:rsid w:val="00234E63"/>
    <w:rsid w:val="00235274"/>
    <w:rsid w:val="0023629D"/>
    <w:rsid w:val="00237255"/>
    <w:rsid w:val="002419A6"/>
    <w:rsid w:val="002424AF"/>
    <w:rsid w:val="00242632"/>
    <w:rsid w:val="0024382B"/>
    <w:rsid w:val="002439DC"/>
    <w:rsid w:val="00243E1E"/>
    <w:rsid w:val="002441DB"/>
    <w:rsid w:val="00244778"/>
    <w:rsid w:val="002449F0"/>
    <w:rsid w:val="00244DC8"/>
    <w:rsid w:val="00245203"/>
    <w:rsid w:val="002458BA"/>
    <w:rsid w:val="0024636C"/>
    <w:rsid w:val="00247925"/>
    <w:rsid w:val="00250057"/>
    <w:rsid w:val="002500ED"/>
    <w:rsid w:val="0025058B"/>
    <w:rsid w:val="00251781"/>
    <w:rsid w:val="00252808"/>
    <w:rsid w:val="00252978"/>
    <w:rsid w:val="00253C21"/>
    <w:rsid w:val="00253F00"/>
    <w:rsid w:val="0025429E"/>
    <w:rsid w:val="002543C7"/>
    <w:rsid w:val="00254741"/>
    <w:rsid w:val="002549C5"/>
    <w:rsid w:val="00254C7D"/>
    <w:rsid w:val="00254DCF"/>
    <w:rsid w:val="0025534B"/>
    <w:rsid w:val="002558F3"/>
    <w:rsid w:val="00255BB7"/>
    <w:rsid w:val="00257473"/>
    <w:rsid w:val="002574B7"/>
    <w:rsid w:val="00257541"/>
    <w:rsid w:val="0025791C"/>
    <w:rsid w:val="00257DCE"/>
    <w:rsid w:val="00261D8D"/>
    <w:rsid w:val="0026212D"/>
    <w:rsid w:val="00262872"/>
    <w:rsid w:val="00262A1A"/>
    <w:rsid w:val="00262A87"/>
    <w:rsid w:val="00262BC3"/>
    <w:rsid w:val="00262F10"/>
    <w:rsid w:val="00262FF8"/>
    <w:rsid w:val="00263A56"/>
    <w:rsid w:val="00263D05"/>
    <w:rsid w:val="0026474C"/>
    <w:rsid w:val="0026481B"/>
    <w:rsid w:val="00264963"/>
    <w:rsid w:val="00264C60"/>
    <w:rsid w:val="00264D26"/>
    <w:rsid w:val="00264E69"/>
    <w:rsid w:val="002650D8"/>
    <w:rsid w:val="00265837"/>
    <w:rsid w:val="00265D8C"/>
    <w:rsid w:val="00266B61"/>
    <w:rsid w:val="00266E65"/>
    <w:rsid w:val="00267642"/>
    <w:rsid w:val="00267951"/>
    <w:rsid w:val="00267AEA"/>
    <w:rsid w:val="00267D6F"/>
    <w:rsid w:val="00267F23"/>
    <w:rsid w:val="002700E6"/>
    <w:rsid w:val="00270B45"/>
    <w:rsid w:val="00270DA3"/>
    <w:rsid w:val="00271093"/>
    <w:rsid w:val="002713F1"/>
    <w:rsid w:val="00271C4D"/>
    <w:rsid w:val="00272689"/>
    <w:rsid w:val="0027294B"/>
    <w:rsid w:val="002733FA"/>
    <w:rsid w:val="0027368A"/>
    <w:rsid w:val="002752C3"/>
    <w:rsid w:val="00275C5A"/>
    <w:rsid w:val="002765DE"/>
    <w:rsid w:val="00277026"/>
    <w:rsid w:val="00277AD7"/>
    <w:rsid w:val="00281014"/>
    <w:rsid w:val="00282217"/>
    <w:rsid w:val="00282427"/>
    <w:rsid w:val="0028525B"/>
    <w:rsid w:val="00285483"/>
    <w:rsid w:val="00287ECA"/>
    <w:rsid w:val="00291227"/>
    <w:rsid w:val="002917BE"/>
    <w:rsid w:val="0029228D"/>
    <w:rsid w:val="002923D8"/>
    <w:rsid w:val="00294F00"/>
    <w:rsid w:val="00295D12"/>
    <w:rsid w:val="00295FE6"/>
    <w:rsid w:val="00296C23"/>
    <w:rsid w:val="0029713A"/>
    <w:rsid w:val="00297659"/>
    <w:rsid w:val="00297B1B"/>
    <w:rsid w:val="002A01A1"/>
    <w:rsid w:val="002A14AB"/>
    <w:rsid w:val="002A25FA"/>
    <w:rsid w:val="002A2F50"/>
    <w:rsid w:val="002A31FE"/>
    <w:rsid w:val="002A3C8F"/>
    <w:rsid w:val="002A439E"/>
    <w:rsid w:val="002A5134"/>
    <w:rsid w:val="002A5D71"/>
    <w:rsid w:val="002A6E48"/>
    <w:rsid w:val="002A6F85"/>
    <w:rsid w:val="002A7133"/>
    <w:rsid w:val="002A7359"/>
    <w:rsid w:val="002B098D"/>
    <w:rsid w:val="002B09A4"/>
    <w:rsid w:val="002B0A2F"/>
    <w:rsid w:val="002B1C1F"/>
    <w:rsid w:val="002B22CF"/>
    <w:rsid w:val="002B2FA1"/>
    <w:rsid w:val="002B38E4"/>
    <w:rsid w:val="002B432F"/>
    <w:rsid w:val="002B48DC"/>
    <w:rsid w:val="002B4C11"/>
    <w:rsid w:val="002B54FA"/>
    <w:rsid w:val="002B55C6"/>
    <w:rsid w:val="002B5915"/>
    <w:rsid w:val="002B5DE4"/>
    <w:rsid w:val="002B62B3"/>
    <w:rsid w:val="002B6602"/>
    <w:rsid w:val="002B6754"/>
    <w:rsid w:val="002B6CCE"/>
    <w:rsid w:val="002B721F"/>
    <w:rsid w:val="002B758C"/>
    <w:rsid w:val="002C155D"/>
    <w:rsid w:val="002C212B"/>
    <w:rsid w:val="002C2396"/>
    <w:rsid w:val="002C247A"/>
    <w:rsid w:val="002C2510"/>
    <w:rsid w:val="002C2775"/>
    <w:rsid w:val="002C27C1"/>
    <w:rsid w:val="002C2FA5"/>
    <w:rsid w:val="002C5099"/>
    <w:rsid w:val="002C5889"/>
    <w:rsid w:val="002C5F58"/>
    <w:rsid w:val="002C71CE"/>
    <w:rsid w:val="002C79ED"/>
    <w:rsid w:val="002C7C83"/>
    <w:rsid w:val="002C7E05"/>
    <w:rsid w:val="002D043F"/>
    <w:rsid w:val="002D06DB"/>
    <w:rsid w:val="002D0FA0"/>
    <w:rsid w:val="002D12BF"/>
    <w:rsid w:val="002D2647"/>
    <w:rsid w:val="002D27CC"/>
    <w:rsid w:val="002D4001"/>
    <w:rsid w:val="002D577C"/>
    <w:rsid w:val="002D60E8"/>
    <w:rsid w:val="002D631C"/>
    <w:rsid w:val="002E0147"/>
    <w:rsid w:val="002E0A04"/>
    <w:rsid w:val="002E10B6"/>
    <w:rsid w:val="002E15B9"/>
    <w:rsid w:val="002E2158"/>
    <w:rsid w:val="002E2FC0"/>
    <w:rsid w:val="002E3E0F"/>
    <w:rsid w:val="002E4960"/>
    <w:rsid w:val="002E5675"/>
    <w:rsid w:val="002E59D1"/>
    <w:rsid w:val="002E5B85"/>
    <w:rsid w:val="002E6B4A"/>
    <w:rsid w:val="002E710C"/>
    <w:rsid w:val="002E7722"/>
    <w:rsid w:val="002E7D26"/>
    <w:rsid w:val="002F00BA"/>
    <w:rsid w:val="002F07BA"/>
    <w:rsid w:val="002F0DA9"/>
    <w:rsid w:val="002F1106"/>
    <w:rsid w:val="002F1748"/>
    <w:rsid w:val="002F19B5"/>
    <w:rsid w:val="002F20EA"/>
    <w:rsid w:val="002F229A"/>
    <w:rsid w:val="002F2DFE"/>
    <w:rsid w:val="002F4E11"/>
    <w:rsid w:val="002F5770"/>
    <w:rsid w:val="002F636E"/>
    <w:rsid w:val="002F643C"/>
    <w:rsid w:val="002F6C0E"/>
    <w:rsid w:val="002F6F4C"/>
    <w:rsid w:val="002F6F4D"/>
    <w:rsid w:val="002F7089"/>
    <w:rsid w:val="002F71C0"/>
    <w:rsid w:val="002F7689"/>
    <w:rsid w:val="00301017"/>
    <w:rsid w:val="0030155F"/>
    <w:rsid w:val="00302C48"/>
    <w:rsid w:val="00302EDB"/>
    <w:rsid w:val="0030354F"/>
    <w:rsid w:val="00304505"/>
    <w:rsid w:val="0030587B"/>
    <w:rsid w:val="0030591C"/>
    <w:rsid w:val="00305B25"/>
    <w:rsid w:val="00306D98"/>
    <w:rsid w:val="003071BA"/>
    <w:rsid w:val="00307543"/>
    <w:rsid w:val="0030786C"/>
    <w:rsid w:val="0031031A"/>
    <w:rsid w:val="00310981"/>
    <w:rsid w:val="00312002"/>
    <w:rsid w:val="003120EF"/>
    <w:rsid w:val="00312485"/>
    <w:rsid w:val="003125D5"/>
    <w:rsid w:val="00312E17"/>
    <w:rsid w:val="0031380D"/>
    <w:rsid w:val="00314B11"/>
    <w:rsid w:val="00315414"/>
    <w:rsid w:val="00315498"/>
    <w:rsid w:val="00315527"/>
    <w:rsid w:val="0031633C"/>
    <w:rsid w:val="003165DF"/>
    <w:rsid w:val="00316A53"/>
    <w:rsid w:val="00317249"/>
    <w:rsid w:val="00317D8C"/>
    <w:rsid w:val="00322107"/>
    <w:rsid w:val="003227BA"/>
    <w:rsid w:val="00322846"/>
    <w:rsid w:val="00323932"/>
    <w:rsid w:val="003249F3"/>
    <w:rsid w:val="00325631"/>
    <w:rsid w:val="0032603C"/>
    <w:rsid w:val="00326DA7"/>
    <w:rsid w:val="003270E4"/>
    <w:rsid w:val="00327414"/>
    <w:rsid w:val="00327767"/>
    <w:rsid w:val="00330910"/>
    <w:rsid w:val="00330F5C"/>
    <w:rsid w:val="003313A5"/>
    <w:rsid w:val="003313DE"/>
    <w:rsid w:val="0033217B"/>
    <w:rsid w:val="003332E6"/>
    <w:rsid w:val="00333D8F"/>
    <w:rsid w:val="0033417C"/>
    <w:rsid w:val="00334D8F"/>
    <w:rsid w:val="003366C9"/>
    <w:rsid w:val="00336B28"/>
    <w:rsid w:val="00337138"/>
    <w:rsid w:val="003371B0"/>
    <w:rsid w:val="00337D2F"/>
    <w:rsid w:val="00340DF1"/>
    <w:rsid w:val="00341AF9"/>
    <w:rsid w:val="00341BEE"/>
    <w:rsid w:val="00343C8E"/>
    <w:rsid w:val="003446B3"/>
    <w:rsid w:val="003449DA"/>
    <w:rsid w:val="00344E8D"/>
    <w:rsid w:val="00345A58"/>
    <w:rsid w:val="00345CE5"/>
    <w:rsid w:val="00345EED"/>
    <w:rsid w:val="00346DBC"/>
    <w:rsid w:val="00347268"/>
    <w:rsid w:val="0034781D"/>
    <w:rsid w:val="00350175"/>
    <w:rsid w:val="003502EA"/>
    <w:rsid w:val="0035047B"/>
    <w:rsid w:val="0035145F"/>
    <w:rsid w:val="003517F9"/>
    <w:rsid w:val="00355F59"/>
    <w:rsid w:val="0035620E"/>
    <w:rsid w:val="00356705"/>
    <w:rsid w:val="00360B54"/>
    <w:rsid w:val="00360B69"/>
    <w:rsid w:val="003624C4"/>
    <w:rsid w:val="00362887"/>
    <w:rsid w:val="00363143"/>
    <w:rsid w:val="0036375E"/>
    <w:rsid w:val="003639E2"/>
    <w:rsid w:val="00364901"/>
    <w:rsid w:val="00364AF8"/>
    <w:rsid w:val="00364D05"/>
    <w:rsid w:val="003654AC"/>
    <w:rsid w:val="00365E7D"/>
    <w:rsid w:val="00366358"/>
    <w:rsid w:val="0036680A"/>
    <w:rsid w:val="0036754D"/>
    <w:rsid w:val="003710CF"/>
    <w:rsid w:val="003715A8"/>
    <w:rsid w:val="00371637"/>
    <w:rsid w:val="00372016"/>
    <w:rsid w:val="0037239B"/>
    <w:rsid w:val="00372ED1"/>
    <w:rsid w:val="0037358A"/>
    <w:rsid w:val="00375096"/>
    <w:rsid w:val="003750F6"/>
    <w:rsid w:val="003760FC"/>
    <w:rsid w:val="00376F60"/>
    <w:rsid w:val="003776AF"/>
    <w:rsid w:val="0037792E"/>
    <w:rsid w:val="0038027C"/>
    <w:rsid w:val="0038080E"/>
    <w:rsid w:val="003820B1"/>
    <w:rsid w:val="00382C67"/>
    <w:rsid w:val="0038365C"/>
    <w:rsid w:val="0038369B"/>
    <w:rsid w:val="00383B78"/>
    <w:rsid w:val="00384670"/>
    <w:rsid w:val="00384831"/>
    <w:rsid w:val="00385896"/>
    <w:rsid w:val="00385A9D"/>
    <w:rsid w:val="003861D7"/>
    <w:rsid w:val="00386C37"/>
    <w:rsid w:val="003878CC"/>
    <w:rsid w:val="00387C90"/>
    <w:rsid w:val="0039000A"/>
    <w:rsid w:val="003902B1"/>
    <w:rsid w:val="00390A12"/>
    <w:rsid w:val="003910C5"/>
    <w:rsid w:val="0039272C"/>
    <w:rsid w:val="00392A89"/>
    <w:rsid w:val="00392B14"/>
    <w:rsid w:val="00392C4F"/>
    <w:rsid w:val="00392DB2"/>
    <w:rsid w:val="00393B52"/>
    <w:rsid w:val="003944EC"/>
    <w:rsid w:val="00395231"/>
    <w:rsid w:val="00395CB0"/>
    <w:rsid w:val="0039654F"/>
    <w:rsid w:val="00396896"/>
    <w:rsid w:val="00396BD7"/>
    <w:rsid w:val="00396FD0"/>
    <w:rsid w:val="00397053"/>
    <w:rsid w:val="003975DC"/>
    <w:rsid w:val="003A0121"/>
    <w:rsid w:val="003A02DE"/>
    <w:rsid w:val="003A0736"/>
    <w:rsid w:val="003A1A7A"/>
    <w:rsid w:val="003A2326"/>
    <w:rsid w:val="003A2392"/>
    <w:rsid w:val="003A2831"/>
    <w:rsid w:val="003A3ED1"/>
    <w:rsid w:val="003A4EAA"/>
    <w:rsid w:val="003A7699"/>
    <w:rsid w:val="003B1111"/>
    <w:rsid w:val="003B267A"/>
    <w:rsid w:val="003B29D7"/>
    <w:rsid w:val="003B4613"/>
    <w:rsid w:val="003B4F3E"/>
    <w:rsid w:val="003B59F2"/>
    <w:rsid w:val="003B5B61"/>
    <w:rsid w:val="003B5E29"/>
    <w:rsid w:val="003B6080"/>
    <w:rsid w:val="003B61C2"/>
    <w:rsid w:val="003B636C"/>
    <w:rsid w:val="003B6FC4"/>
    <w:rsid w:val="003B742B"/>
    <w:rsid w:val="003B7AF7"/>
    <w:rsid w:val="003C09CD"/>
    <w:rsid w:val="003C1654"/>
    <w:rsid w:val="003C1A26"/>
    <w:rsid w:val="003C2175"/>
    <w:rsid w:val="003C2B44"/>
    <w:rsid w:val="003C39C7"/>
    <w:rsid w:val="003C4098"/>
    <w:rsid w:val="003C47F5"/>
    <w:rsid w:val="003C5808"/>
    <w:rsid w:val="003C5899"/>
    <w:rsid w:val="003C5EE1"/>
    <w:rsid w:val="003C68C9"/>
    <w:rsid w:val="003C73E5"/>
    <w:rsid w:val="003C7632"/>
    <w:rsid w:val="003C7C0F"/>
    <w:rsid w:val="003C7D19"/>
    <w:rsid w:val="003D07F0"/>
    <w:rsid w:val="003D07F2"/>
    <w:rsid w:val="003D11ED"/>
    <w:rsid w:val="003D1828"/>
    <w:rsid w:val="003D1B0B"/>
    <w:rsid w:val="003D1DE4"/>
    <w:rsid w:val="003D1F48"/>
    <w:rsid w:val="003D2422"/>
    <w:rsid w:val="003D2EA9"/>
    <w:rsid w:val="003D39A1"/>
    <w:rsid w:val="003D3FBF"/>
    <w:rsid w:val="003D4649"/>
    <w:rsid w:val="003D4A30"/>
    <w:rsid w:val="003D595D"/>
    <w:rsid w:val="003D59F7"/>
    <w:rsid w:val="003D5BEF"/>
    <w:rsid w:val="003D5CA2"/>
    <w:rsid w:val="003D5FA1"/>
    <w:rsid w:val="003D7725"/>
    <w:rsid w:val="003D79BB"/>
    <w:rsid w:val="003D7C98"/>
    <w:rsid w:val="003E0543"/>
    <w:rsid w:val="003E21BD"/>
    <w:rsid w:val="003E2838"/>
    <w:rsid w:val="003E30DF"/>
    <w:rsid w:val="003E32A1"/>
    <w:rsid w:val="003E4CA4"/>
    <w:rsid w:val="003E5CB0"/>
    <w:rsid w:val="003E5DC4"/>
    <w:rsid w:val="003E64DD"/>
    <w:rsid w:val="003E65D4"/>
    <w:rsid w:val="003E705F"/>
    <w:rsid w:val="003E747E"/>
    <w:rsid w:val="003E7A13"/>
    <w:rsid w:val="003E7B42"/>
    <w:rsid w:val="003F2391"/>
    <w:rsid w:val="003F2F87"/>
    <w:rsid w:val="003F4156"/>
    <w:rsid w:val="003F4DAE"/>
    <w:rsid w:val="003F7145"/>
    <w:rsid w:val="004003C8"/>
    <w:rsid w:val="00400B29"/>
    <w:rsid w:val="00400B79"/>
    <w:rsid w:val="00400EB2"/>
    <w:rsid w:val="00401608"/>
    <w:rsid w:val="00401808"/>
    <w:rsid w:val="0040327E"/>
    <w:rsid w:val="00404B28"/>
    <w:rsid w:val="00404BB6"/>
    <w:rsid w:val="0040504B"/>
    <w:rsid w:val="004053E6"/>
    <w:rsid w:val="00406938"/>
    <w:rsid w:val="0040758F"/>
    <w:rsid w:val="00407A87"/>
    <w:rsid w:val="00410708"/>
    <w:rsid w:val="00410EC7"/>
    <w:rsid w:val="00411B39"/>
    <w:rsid w:val="0041226F"/>
    <w:rsid w:val="00412404"/>
    <w:rsid w:val="004135B0"/>
    <w:rsid w:val="00413A1E"/>
    <w:rsid w:val="00414476"/>
    <w:rsid w:val="00414C2E"/>
    <w:rsid w:val="00414D5B"/>
    <w:rsid w:val="00414DF2"/>
    <w:rsid w:val="004151CF"/>
    <w:rsid w:val="00415455"/>
    <w:rsid w:val="00416364"/>
    <w:rsid w:val="00417266"/>
    <w:rsid w:val="0041740D"/>
    <w:rsid w:val="004206C7"/>
    <w:rsid w:val="00420AA6"/>
    <w:rsid w:val="00420B9F"/>
    <w:rsid w:val="004210E5"/>
    <w:rsid w:val="00422260"/>
    <w:rsid w:val="00422736"/>
    <w:rsid w:val="00422FAB"/>
    <w:rsid w:val="0042338F"/>
    <w:rsid w:val="0042413F"/>
    <w:rsid w:val="00424DBE"/>
    <w:rsid w:val="00424E0F"/>
    <w:rsid w:val="00427AED"/>
    <w:rsid w:val="00427FBA"/>
    <w:rsid w:val="004308A9"/>
    <w:rsid w:val="00430E53"/>
    <w:rsid w:val="004319F8"/>
    <w:rsid w:val="00431AB9"/>
    <w:rsid w:val="00431E55"/>
    <w:rsid w:val="004321F6"/>
    <w:rsid w:val="00433044"/>
    <w:rsid w:val="004334F6"/>
    <w:rsid w:val="0043379E"/>
    <w:rsid w:val="00433AB0"/>
    <w:rsid w:val="00433B5A"/>
    <w:rsid w:val="00434584"/>
    <w:rsid w:val="00434B2E"/>
    <w:rsid w:val="00434EED"/>
    <w:rsid w:val="00435675"/>
    <w:rsid w:val="004375B9"/>
    <w:rsid w:val="004409D3"/>
    <w:rsid w:val="004428D0"/>
    <w:rsid w:val="00442FA9"/>
    <w:rsid w:val="00443144"/>
    <w:rsid w:val="004443A7"/>
    <w:rsid w:val="0044442C"/>
    <w:rsid w:val="00445941"/>
    <w:rsid w:val="004464EB"/>
    <w:rsid w:val="004465BE"/>
    <w:rsid w:val="00446E02"/>
    <w:rsid w:val="00446F62"/>
    <w:rsid w:val="004475AE"/>
    <w:rsid w:val="004478ED"/>
    <w:rsid w:val="00447C24"/>
    <w:rsid w:val="00447D26"/>
    <w:rsid w:val="00450007"/>
    <w:rsid w:val="00450C07"/>
    <w:rsid w:val="00450F6C"/>
    <w:rsid w:val="0045138D"/>
    <w:rsid w:val="00451981"/>
    <w:rsid w:val="0045275B"/>
    <w:rsid w:val="00453351"/>
    <w:rsid w:val="00454197"/>
    <w:rsid w:val="004545CD"/>
    <w:rsid w:val="00454742"/>
    <w:rsid w:val="00454D27"/>
    <w:rsid w:val="00454F69"/>
    <w:rsid w:val="00455539"/>
    <w:rsid w:val="00455560"/>
    <w:rsid w:val="00455D45"/>
    <w:rsid w:val="004568E8"/>
    <w:rsid w:val="004577EF"/>
    <w:rsid w:val="004602F6"/>
    <w:rsid w:val="00461AB3"/>
    <w:rsid w:val="00461F48"/>
    <w:rsid w:val="004622F4"/>
    <w:rsid w:val="00463E32"/>
    <w:rsid w:val="00464595"/>
    <w:rsid w:val="004646F4"/>
    <w:rsid w:val="004664ED"/>
    <w:rsid w:val="00472A79"/>
    <w:rsid w:val="00472D8B"/>
    <w:rsid w:val="00473238"/>
    <w:rsid w:val="0047352D"/>
    <w:rsid w:val="00473F19"/>
    <w:rsid w:val="004756C5"/>
    <w:rsid w:val="00475AC0"/>
    <w:rsid w:val="00475E22"/>
    <w:rsid w:val="0047731B"/>
    <w:rsid w:val="0048088E"/>
    <w:rsid w:val="0048091C"/>
    <w:rsid w:val="00481E94"/>
    <w:rsid w:val="00482720"/>
    <w:rsid w:val="00482B6D"/>
    <w:rsid w:val="00482E99"/>
    <w:rsid w:val="00483075"/>
    <w:rsid w:val="004835E7"/>
    <w:rsid w:val="00483736"/>
    <w:rsid w:val="00483D9A"/>
    <w:rsid w:val="00483E50"/>
    <w:rsid w:val="00484096"/>
    <w:rsid w:val="004842CD"/>
    <w:rsid w:val="004845B1"/>
    <w:rsid w:val="00484BDA"/>
    <w:rsid w:val="00485026"/>
    <w:rsid w:val="004851DF"/>
    <w:rsid w:val="00485EA1"/>
    <w:rsid w:val="00486181"/>
    <w:rsid w:val="0048635A"/>
    <w:rsid w:val="00486412"/>
    <w:rsid w:val="004867E2"/>
    <w:rsid w:val="00486CE3"/>
    <w:rsid w:val="004904C9"/>
    <w:rsid w:val="00490AED"/>
    <w:rsid w:val="00491254"/>
    <w:rsid w:val="00491B3A"/>
    <w:rsid w:val="00492182"/>
    <w:rsid w:val="00492CFD"/>
    <w:rsid w:val="0049386A"/>
    <w:rsid w:val="00493AF8"/>
    <w:rsid w:val="00493F6F"/>
    <w:rsid w:val="00494658"/>
    <w:rsid w:val="00494DD5"/>
    <w:rsid w:val="004962D2"/>
    <w:rsid w:val="00496751"/>
    <w:rsid w:val="00496AB0"/>
    <w:rsid w:val="00497D03"/>
    <w:rsid w:val="004A0DA1"/>
    <w:rsid w:val="004A1DE6"/>
    <w:rsid w:val="004A25A4"/>
    <w:rsid w:val="004A2FEB"/>
    <w:rsid w:val="004A34FA"/>
    <w:rsid w:val="004A4998"/>
    <w:rsid w:val="004A52E9"/>
    <w:rsid w:val="004A57A4"/>
    <w:rsid w:val="004A582B"/>
    <w:rsid w:val="004A5B08"/>
    <w:rsid w:val="004A6597"/>
    <w:rsid w:val="004A6B98"/>
    <w:rsid w:val="004A7848"/>
    <w:rsid w:val="004B0434"/>
    <w:rsid w:val="004B0C45"/>
    <w:rsid w:val="004B13CF"/>
    <w:rsid w:val="004B1CB4"/>
    <w:rsid w:val="004B1FFC"/>
    <w:rsid w:val="004B23FA"/>
    <w:rsid w:val="004B2F18"/>
    <w:rsid w:val="004B3371"/>
    <w:rsid w:val="004B3DDB"/>
    <w:rsid w:val="004B41B9"/>
    <w:rsid w:val="004B44FD"/>
    <w:rsid w:val="004B49AA"/>
    <w:rsid w:val="004B4F57"/>
    <w:rsid w:val="004B51EF"/>
    <w:rsid w:val="004B5481"/>
    <w:rsid w:val="004B5CFC"/>
    <w:rsid w:val="004B774D"/>
    <w:rsid w:val="004B79C2"/>
    <w:rsid w:val="004C0DC3"/>
    <w:rsid w:val="004C14B1"/>
    <w:rsid w:val="004C1613"/>
    <w:rsid w:val="004C1A36"/>
    <w:rsid w:val="004C466D"/>
    <w:rsid w:val="004C499D"/>
    <w:rsid w:val="004C4AED"/>
    <w:rsid w:val="004C5E78"/>
    <w:rsid w:val="004C66CC"/>
    <w:rsid w:val="004C6E47"/>
    <w:rsid w:val="004C70FA"/>
    <w:rsid w:val="004C712D"/>
    <w:rsid w:val="004C74CB"/>
    <w:rsid w:val="004D2777"/>
    <w:rsid w:val="004D2C2D"/>
    <w:rsid w:val="004D36CE"/>
    <w:rsid w:val="004D519B"/>
    <w:rsid w:val="004D59DB"/>
    <w:rsid w:val="004D6723"/>
    <w:rsid w:val="004D69C5"/>
    <w:rsid w:val="004D7227"/>
    <w:rsid w:val="004D7EFC"/>
    <w:rsid w:val="004E0E7F"/>
    <w:rsid w:val="004E0EA5"/>
    <w:rsid w:val="004E0EB8"/>
    <w:rsid w:val="004E1EF6"/>
    <w:rsid w:val="004E2ADC"/>
    <w:rsid w:val="004E43B2"/>
    <w:rsid w:val="004E5FB4"/>
    <w:rsid w:val="004F03E0"/>
    <w:rsid w:val="004F0ABE"/>
    <w:rsid w:val="004F0FA2"/>
    <w:rsid w:val="004F14A5"/>
    <w:rsid w:val="004F1B9D"/>
    <w:rsid w:val="004F1D02"/>
    <w:rsid w:val="004F1D8B"/>
    <w:rsid w:val="004F2679"/>
    <w:rsid w:val="004F2D3A"/>
    <w:rsid w:val="004F2F21"/>
    <w:rsid w:val="004F39F1"/>
    <w:rsid w:val="004F4E3E"/>
    <w:rsid w:val="004F508C"/>
    <w:rsid w:val="004F5856"/>
    <w:rsid w:val="004F5D78"/>
    <w:rsid w:val="004F641E"/>
    <w:rsid w:val="004F6882"/>
    <w:rsid w:val="004F6913"/>
    <w:rsid w:val="004F7862"/>
    <w:rsid w:val="004F7865"/>
    <w:rsid w:val="005004C4"/>
    <w:rsid w:val="0050219B"/>
    <w:rsid w:val="005025CA"/>
    <w:rsid w:val="00502D0A"/>
    <w:rsid w:val="00503F17"/>
    <w:rsid w:val="00505AFF"/>
    <w:rsid w:val="00506928"/>
    <w:rsid w:val="00510D70"/>
    <w:rsid w:val="00510EC1"/>
    <w:rsid w:val="00511216"/>
    <w:rsid w:val="00511372"/>
    <w:rsid w:val="00511C09"/>
    <w:rsid w:val="00512615"/>
    <w:rsid w:val="005127B3"/>
    <w:rsid w:val="005150F0"/>
    <w:rsid w:val="005152B5"/>
    <w:rsid w:val="005153BF"/>
    <w:rsid w:val="005153C5"/>
    <w:rsid w:val="00515AD7"/>
    <w:rsid w:val="00516653"/>
    <w:rsid w:val="00516784"/>
    <w:rsid w:val="00516D53"/>
    <w:rsid w:val="0052029A"/>
    <w:rsid w:val="00521319"/>
    <w:rsid w:val="0052189E"/>
    <w:rsid w:val="0052250E"/>
    <w:rsid w:val="00522594"/>
    <w:rsid w:val="00522BC8"/>
    <w:rsid w:val="00522FF8"/>
    <w:rsid w:val="0052367C"/>
    <w:rsid w:val="00523B90"/>
    <w:rsid w:val="00523C28"/>
    <w:rsid w:val="00524728"/>
    <w:rsid w:val="00524C2E"/>
    <w:rsid w:val="00524F86"/>
    <w:rsid w:val="00525308"/>
    <w:rsid w:val="005262EB"/>
    <w:rsid w:val="00527F2C"/>
    <w:rsid w:val="00530CA0"/>
    <w:rsid w:val="00530E4A"/>
    <w:rsid w:val="005319CA"/>
    <w:rsid w:val="00531B67"/>
    <w:rsid w:val="00531CCA"/>
    <w:rsid w:val="00533CE4"/>
    <w:rsid w:val="0053451C"/>
    <w:rsid w:val="0053478D"/>
    <w:rsid w:val="00534869"/>
    <w:rsid w:val="005356D1"/>
    <w:rsid w:val="005362F8"/>
    <w:rsid w:val="005367FF"/>
    <w:rsid w:val="00536F42"/>
    <w:rsid w:val="00537182"/>
    <w:rsid w:val="00537805"/>
    <w:rsid w:val="005404DB"/>
    <w:rsid w:val="00541C58"/>
    <w:rsid w:val="00541D68"/>
    <w:rsid w:val="00541F00"/>
    <w:rsid w:val="00542202"/>
    <w:rsid w:val="00542743"/>
    <w:rsid w:val="00542C2D"/>
    <w:rsid w:val="00542E8C"/>
    <w:rsid w:val="005431C6"/>
    <w:rsid w:val="0054351C"/>
    <w:rsid w:val="0054457F"/>
    <w:rsid w:val="00544671"/>
    <w:rsid w:val="00544FF2"/>
    <w:rsid w:val="005461A5"/>
    <w:rsid w:val="00546D0D"/>
    <w:rsid w:val="00550DE4"/>
    <w:rsid w:val="0055142F"/>
    <w:rsid w:val="005516FE"/>
    <w:rsid w:val="00551985"/>
    <w:rsid w:val="00551DDB"/>
    <w:rsid w:val="00552BD3"/>
    <w:rsid w:val="00555109"/>
    <w:rsid w:val="005555B6"/>
    <w:rsid w:val="005556D0"/>
    <w:rsid w:val="00555720"/>
    <w:rsid w:val="00555826"/>
    <w:rsid w:val="005605DF"/>
    <w:rsid w:val="00561950"/>
    <w:rsid w:val="0056206D"/>
    <w:rsid w:val="00562E86"/>
    <w:rsid w:val="005633CA"/>
    <w:rsid w:val="00564E8C"/>
    <w:rsid w:val="00565552"/>
    <w:rsid w:val="00565553"/>
    <w:rsid w:val="005657B0"/>
    <w:rsid w:val="0056696F"/>
    <w:rsid w:val="00567A07"/>
    <w:rsid w:val="00572269"/>
    <w:rsid w:val="0057244A"/>
    <w:rsid w:val="00573763"/>
    <w:rsid w:val="00574164"/>
    <w:rsid w:val="005747FC"/>
    <w:rsid w:val="005756DB"/>
    <w:rsid w:val="00575D8D"/>
    <w:rsid w:val="00576972"/>
    <w:rsid w:val="00577361"/>
    <w:rsid w:val="00581F32"/>
    <w:rsid w:val="00583699"/>
    <w:rsid w:val="0058438A"/>
    <w:rsid w:val="00584D80"/>
    <w:rsid w:val="00585CDD"/>
    <w:rsid w:val="00586930"/>
    <w:rsid w:val="00587058"/>
    <w:rsid w:val="00587FE9"/>
    <w:rsid w:val="00591957"/>
    <w:rsid w:val="00591B7E"/>
    <w:rsid w:val="00591D21"/>
    <w:rsid w:val="005922E4"/>
    <w:rsid w:val="00592638"/>
    <w:rsid w:val="00592970"/>
    <w:rsid w:val="00593510"/>
    <w:rsid w:val="005946C1"/>
    <w:rsid w:val="00596CF3"/>
    <w:rsid w:val="00596F97"/>
    <w:rsid w:val="00597BF9"/>
    <w:rsid w:val="005A0676"/>
    <w:rsid w:val="005A0F6A"/>
    <w:rsid w:val="005A1301"/>
    <w:rsid w:val="005A16A8"/>
    <w:rsid w:val="005A1BBE"/>
    <w:rsid w:val="005A1E0E"/>
    <w:rsid w:val="005A2C3B"/>
    <w:rsid w:val="005A373D"/>
    <w:rsid w:val="005A3961"/>
    <w:rsid w:val="005A4147"/>
    <w:rsid w:val="005A73A7"/>
    <w:rsid w:val="005A7930"/>
    <w:rsid w:val="005B05AF"/>
    <w:rsid w:val="005B0A2D"/>
    <w:rsid w:val="005B0F59"/>
    <w:rsid w:val="005B12B7"/>
    <w:rsid w:val="005B14F1"/>
    <w:rsid w:val="005B1BBE"/>
    <w:rsid w:val="005B2CB9"/>
    <w:rsid w:val="005B3747"/>
    <w:rsid w:val="005B4A6A"/>
    <w:rsid w:val="005B581F"/>
    <w:rsid w:val="005B5857"/>
    <w:rsid w:val="005B5CC2"/>
    <w:rsid w:val="005B70BC"/>
    <w:rsid w:val="005B7A0B"/>
    <w:rsid w:val="005B7D8C"/>
    <w:rsid w:val="005B7DC5"/>
    <w:rsid w:val="005C1B83"/>
    <w:rsid w:val="005C1D46"/>
    <w:rsid w:val="005C2D55"/>
    <w:rsid w:val="005C2E21"/>
    <w:rsid w:val="005C346B"/>
    <w:rsid w:val="005C3BDE"/>
    <w:rsid w:val="005C3F16"/>
    <w:rsid w:val="005C4204"/>
    <w:rsid w:val="005C5391"/>
    <w:rsid w:val="005C64FC"/>
    <w:rsid w:val="005C7541"/>
    <w:rsid w:val="005C7D07"/>
    <w:rsid w:val="005D044D"/>
    <w:rsid w:val="005D0754"/>
    <w:rsid w:val="005D0ABD"/>
    <w:rsid w:val="005D18AD"/>
    <w:rsid w:val="005D1F55"/>
    <w:rsid w:val="005D23DD"/>
    <w:rsid w:val="005D26B4"/>
    <w:rsid w:val="005D2FF9"/>
    <w:rsid w:val="005D37EF"/>
    <w:rsid w:val="005D4117"/>
    <w:rsid w:val="005D45C2"/>
    <w:rsid w:val="005D51A7"/>
    <w:rsid w:val="005D5D2F"/>
    <w:rsid w:val="005D6079"/>
    <w:rsid w:val="005D617E"/>
    <w:rsid w:val="005D66B8"/>
    <w:rsid w:val="005D6D9D"/>
    <w:rsid w:val="005D7A4B"/>
    <w:rsid w:val="005D7C80"/>
    <w:rsid w:val="005D7F26"/>
    <w:rsid w:val="005E0E6A"/>
    <w:rsid w:val="005E1B23"/>
    <w:rsid w:val="005E20C2"/>
    <w:rsid w:val="005E2D6C"/>
    <w:rsid w:val="005E4C5E"/>
    <w:rsid w:val="005E4EA6"/>
    <w:rsid w:val="005E5089"/>
    <w:rsid w:val="005E5877"/>
    <w:rsid w:val="005E5B13"/>
    <w:rsid w:val="005E5EA5"/>
    <w:rsid w:val="005E61EC"/>
    <w:rsid w:val="005E6CBC"/>
    <w:rsid w:val="005E6CE4"/>
    <w:rsid w:val="005E73C0"/>
    <w:rsid w:val="005E78E3"/>
    <w:rsid w:val="005F1215"/>
    <w:rsid w:val="005F1ACC"/>
    <w:rsid w:val="005F204C"/>
    <w:rsid w:val="005F2706"/>
    <w:rsid w:val="005F284E"/>
    <w:rsid w:val="005F2C79"/>
    <w:rsid w:val="005F3D13"/>
    <w:rsid w:val="005F3D7A"/>
    <w:rsid w:val="005F4785"/>
    <w:rsid w:val="005F49F7"/>
    <w:rsid w:val="005F67D5"/>
    <w:rsid w:val="005F6A8F"/>
    <w:rsid w:val="005F6DF4"/>
    <w:rsid w:val="0060183E"/>
    <w:rsid w:val="006027BC"/>
    <w:rsid w:val="00603DB9"/>
    <w:rsid w:val="0060440A"/>
    <w:rsid w:val="006047AF"/>
    <w:rsid w:val="006064BA"/>
    <w:rsid w:val="006067C2"/>
    <w:rsid w:val="00606B25"/>
    <w:rsid w:val="00606F70"/>
    <w:rsid w:val="00607593"/>
    <w:rsid w:val="00607669"/>
    <w:rsid w:val="00607AFD"/>
    <w:rsid w:val="0061209A"/>
    <w:rsid w:val="00612264"/>
    <w:rsid w:val="00612B5E"/>
    <w:rsid w:val="00612F97"/>
    <w:rsid w:val="0061345D"/>
    <w:rsid w:val="00614130"/>
    <w:rsid w:val="006143D4"/>
    <w:rsid w:val="006155A3"/>
    <w:rsid w:val="0061670B"/>
    <w:rsid w:val="00616778"/>
    <w:rsid w:val="00616802"/>
    <w:rsid w:val="00616A65"/>
    <w:rsid w:val="00617D80"/>
    <w:rsid w:val="00617E12"/>
    <w:rsid w:val="00620801"/>
    <w:rsid w:val="006208AD"/>
    <w:rsid w:val="00621477"/>
    <w:rsid w:val="0062147E"/>
    <w:rsid w:val="00621A6D"/>
    <w:rsid w:val="00621BF9"/>
    <w:rsid w:val="00621C1B"/>
    <w:rsid w:val="00622033"/>
    <w:rsid w:val="0062210F"/>
    <w:rsid w:val="00622378"/>
    <w:rsid w:val="006229E1"/>
    <w:rsid w:val="006233A4"/>
    <w:rsid w:val="00624D24"/>
    <w:rsid w:val="006259EF"/>
    <w:rsid w:val="00625DDD"/>
    <w:rsid w:val="006260D8"/>
    <w:rsid w:val="00626511"/>
    <w:rsid w:val="0063158F"/>
    <w:rsid w:val="00631D6B"/>
    <w:rsid w:val="00632305"/>
    <w:rsid w:val="00632621"/>
    <w:rsid w:val="006330A1"/>
    <w:rsid w:val="006338FA"/>
    <w:rsid w:val="0063479F"/>
    <w:rsid w:val="006353F0"/>
    <w:rsid w:val="006364A1"/>
    <w:rsid w:val="00636E14"/>
    <w:rsid w:val="00637267"/>
    <w:rsid w:val="00637BFD"/>
    <w:rsid w:val="00637E22"/>
    <w:rsid w:val="00641C4E"/>
    <w:rsid w:val="00642004"/>
    <w:rsid w:val="0064235C"/>
    <w:rsid w:val="0064256C"/>
    <w:rsid w:val="006433C2"/>
    <w:rsid w:val="0064439E"/>
    <w:rsid w:val="00645C8D"/>
    <w:rsid w:val="00646ABA"/>
    <w:rsid w:val="006471CC"/>
    <w:rsid w:val="00647CB6"/>
    <w:rsid w:val="0065066D"/>
    <w:rsid w:val="0065079F"/>
    <w:rsid w:val="00652D0F"/>
    <w:rsid w:val="00652FDD"/>
    <w:rsid w:val="0065379F"/>
    <w:rsid w:val="00655716"/>
    <w:rsid w:val="00655AA6"/>
    <w:rsid w:val="00656550"/>
    <w:rsid w:val="00656B62"/>
    <w:rsid w:val="006570E0"/>
    <w:rsid w:val="00657804"/>
    <w:rsid w:val="00661C6B"/>
    <w:rsid w:val="00662A26"/>
    <w:rsid w:val="00662D55"/>
    <w:rsid w:val="00663340"/>
    <w:rsid w:val="0066368A"/>
    <w:rsid w:val="006637E9"/>
    <w:rsid w:val="0066478C"/>
    <w:rsid w:val="006653E4"/>
    <w:rsid w:val="00666106"/>
    <w:rsid w:val="0066640A"/>
    <w:rsid w:val="006665EE"/>
    <w:rsid w:val="00667C2D"/>
    <w:rsid w:val="00670347"/>
    <w:rsid w:val="0067054B"/>
    <w:rsid w:val="006705E2"/>
    <w:rsid w:val="00671842"/>
    <w:rsid w:val="00673D7A"/>
    <w:rsid w:val="006745A5"/>
    <w:rsid w:val="0067487D"/>
    <w:rsid w:val="006748D0"/>
    <w:rsid w:val="00674E42"/>
    <w:rsid w:val="00675432"/>
    <w:rsid w:val="00676CED"/>
    <w:rsid w:val="0067786B"/>
    <w:rsid w:val="006804D4"/>
    <w:rsid w:val="00682112"/>
    <w:rsid w:val="00682691"/>
    <w:rsid w:val="00682EEB"/>
    <w:rsid w:val="00683266"/>
    <w:rsid w:val="00683A94"/>
    <w:rsid w:val="00683AF6"/>
    <w:rsid w:val="0068513B"/>
    <w:rsid w:val="00685960"/>
    <w:rsid w:val="00686957"/>
    <w:rsid w:val="006872BA"/>
    <w:rsid w:val="006873A9"/>
    <w:rsid w:val="00690FA3"/>
    <w:rsid w:val="00691648"/>
    <w:rsid w:val="006917D7"/>
    <w:rsid w:val="006920CC"/>
    <w:rsid w:val="006921A1"/>
    <w:rsid w:val="0069282C"/>
    <w:rsid w:val="00693E6E"/>
    <w:rsid w:val="00694431"/>
    <w:rsid w:val="00694F44"/>
    <w:rsid w:val="0069580E"/>
    <w:rsid w:val="006959A7"/>
    <w:rsid w:val="00696998"/>
    <w:rsid w:val="006A09AC"/>
    <w:rsid w:val="006A0C9B"/>
    <w:rsid w:val="006A23DF"/>
    <w:rsid w:val="006A3392"/>
    <w:rsid w:val="006A4D60"/>
    <w:rsid w:val="006A656C"/>
    <w:rsid w:val="006A7537"/>
    <w:rsid w:val="006A7DAD"/>
    <w:rsid w:val="006A7E5F"/>
    <w:rsid w:val="006B261B"/>
    <w:rsid w:val="006B2C90"/>
    <w:rsid w:val="006B423D"/>
    <w:rsid w:val="006B4895"/>
    <w:rsid w:val="006B4940"/>
    <w:rsid w:val="006B4FC5"/>
    <w:rsid w:val="006B5CFF"/>
    <w:rsid w:val="006B5D25"/>
    <w:rsid w:val="006B6428"/>
    <w:rsid w:val="006B66B5"/>
    <w:rsid w:val="006B6DD0"/>
    <w:rsid w:val="006B7FB8"/>
    <w:rsid w:val="006C01CC"/>
    <w:rsid w:val="006C0318"/>
    <w:rsid w:val="006C0F8F"/>
    <w:rsid w:val="006C2648"/>
    <w:rsid w:val="006C2A8E"/>
    <w:rsid w:val="006C4051"/>
    <w:rsid w:val="006C507E"/>
    <w:rsid w:val="006C7248"/>
    <w:rsid w:val="006C7C3D"/>
    <w:rsid w:val="006D081A"/>
    <w:rsid w:val="006D0E4D"/>
    <w:rsid w:val="006D10D8"/>
    <w:rsid w:val="006D2805"/>
    <w:rsid w:val="006D2DF6"/>
    <w:rsid w:val="006D2F20"/>
    <w:rsid w:val="006D33AE"/>
    <w:rsid w:val="006D3C7D"/>
    <w:rsid w:val="006D409B"/>
    <w:rsid w:val="006D4D47"/>
    <w:rsid w:val="006D514C"/>
    <w:rsid w:val="006D5775"/>
    <w:rsid w:val="006D5D5F"/>
    <w:rsid w:val="006E041C"/>
    <w:rsid w:val="006E1E12"/>
    <w:rsid w:val="006E1E5C"/>
    <w:rsid w:val="006E3334"/>
    <w:rsid w:val="006E3C14"/>
    <w:rsid w:val="006E424D"/>
    <w:rsid w:val="006E4681"/>
    <w:rsid w:val="006E4F38"/>
    <w:rsid w:val="006E5BFD"/>
    <w:rsid w:val="006E601E"/>
    <w:rsid w:val="006E611A"/>
    <w:rsid w:val="006E6448"/>
    <w:rsid w:val="006E6797"/>
    <w:rsid w:val="006E67C5"/>
    <w:rsid w:val="006E687F"/>
    <w:rsid w:val="006E6C6C"/>
    <w:rsid w:val="006F12DF"/>
    <w:rsid w:val="006F25FA"/>
    <w:rsid w:val="006F306C"/>
    <w:rsid w:val="006F33EA"/>
    <w:rsid w:val="006F3800"/>
    <w:rsid w:val="006F391E"/>
    <w:rsid w:val="006F4B3D"/>
    <w:rsid w:val="006F4F69"/>
    <w:rsid w:val="006F63A5"/>
    <w:rsid w:val="006F63AC"/>
    <w:rsid w:val="006F67A0"/>
    <w:rsid w:val="006F6E83"/>
    <w:rsid w:val="0070009D"/>
    <w:rsid w:val="0070054A"/>
    <w:rsid w:val="007005F6"/>
    <w:rsid w:val="00700834"/>
    <w:rsid w:val="0070142B"/>
    <w:rsid w:val="0070276E"/>
    <w:rsid w:val="00702F8F"/>
    <w:rsid w:val="0070351F"/>
    <w:rsid w:val="00704A5B"/>
    <w:rsid w:val="0070535F"/>
    <w:rsid w:val="0070741D"/>
    <w:rsid w:val="00707E74"/>
    <w:rsid w:val="00710141"/>
    <w:rsid w:val="00710286"/>
    <w:rsid w:val="007108BC"/>
    <w:rsid w:val="00711A36"/>
    <w:rsid w:val="00711FA6"/>
    <w:rsid w:val="00712969"/>
    <w:rsid w:val="00712996"/>
    <w:rsid w:val="00712A65"/>
    <w:rsid w:val="0071529C"/>
    <w:rsid w:val="00715F09"/>
    <w:rsid w:val="007160D7"/>
    <w:rsid w:val="007172AD"/>
    <w:rsid w:val="007178D6"/>
    <w:rsid w:val="00720B5B"/>
    <w:rsid w:val="00721B82"/>
    <w:rsid w:val="00722538"/>
    <w:rsid w:val="00722B1B"/>
    <w:rsid w:val="007233EA"/>
    <w:rsid w:val="0072416F"/>
    <w:rsid w:val="00724722"/>
    <w:rsid w:val="00724DD1"/>
    <w:rsid w:val="00725156"/>
    <w:rsid w:val="00725C7C"/>
    <w:rsid w:val="00725E70"/>
    <w:rsid w:val="00727C94"/>
    <w:rsid w:val="00727E0E"/>
    <w:rsid w:val="00731EAE"/>
    <w:rsid w:val="00732603"/>
    <w:rsid w:val="00732D4F"/>
    <w:rsid w:val="00733E79"/>
    <w:rsid w:val="007342A6"/>
    <w:rsid w:val="0073495A"/>
    <w:rsid w:val="00735033"/>
    <w:rsid w:val="00735328"/>
    <w:rsid w:val="007357E2"/>
    <w:rsid w:val="0073685B"/>
    <w:rsid w:val="00737615"/>
    <w:rsid w:val="0074100D"/>
    <w:rsid w:val="00741B0A"/>
    <w:rsid w:val="00741EEF"/>
    <w:rsid w:val="00744422"/>
    <w:rsid w:val="00744791"/>
    <w:rsid w:val="007455B6"/>
    <w:rsid w:val="00747230"/>
    <w:rsid w:val="00750A90"/>
    <w:rsid w:val="00750D60"/>
    <w:rsid w:val="00751ACD"/>
    <w:rsid w:val="00751B58"/>
    <w:rsid w:val="007520EB"/>
    <w:rsid w:val="00752142"/>
    <w:rsid w:val="007523F9"/>
    <w:rsid w:val="00752F78"/>
    <w:rsid w:val="007533E9"/>
    <w:rsid w:val="00753A61"/>
    <w:rsid w:val="00755852"/>
    <w:rsid w:val="00755DD9"/>
    <w:rsid w:val="007573E8"/>
    <w:rsid w:val="007575EB"/>
    <w:rsid w:val="007575F5"/>
    <w:rsid w:val="00757E39"/>
    <w:rsid w:val="00760024"/>
    <w:rsid w:val="00760C4E"/>
    <w:rsid w:val="00761873"/>
    <w:rsid w:val="007621F0"/>
    <w:rsid w:val="00762924"/>
    <w:rsid w:val="00762A59"/>
    <w:rsid w:val="007652AE"/>
    <w:rsid w:val="00765474"/>
    <w:rsid w:val="00765B1A"/>
    <w:rsid w:val="00765BEA"/>
    <w:rsid w:val="0077053D"/>
    <w:rsid w:val="00771372"/>
    <w:rsid w:val="007713DA"/>
    <w:rsid w:val="00771790"/>
    <w:rsid w:val="00771847"/>
    <w:rsid w:val="00771E7E"/>
    <w:rsid w:val="00771FE8"/>
    <w:rsid w:val="00772846"/>
    <w:rsid w:val="00773956"/>
    <w:rsid w:val="00773A9A"/>
    <w:rsid w:val="00773AA6"/>
    <w:rsid w:val="00774EE8"/>
    <w:rsid w:val="00775C83"/>
    <w:rsid w:val="0077644E"/>
    <w:rsid w:val="00776A09"/>
    <w:rsid w:val="00776D3E"/>
    <w:rsid w:val="007771BA"/>
    <w:rsid w:val="0077723A"/>
    <w:rsid w:val="007772EA"/>
    <w:rsid w:val="00780D04"/>
    <w:rsid w:val="007818C9"/>
    <w:rsid w:val="007818ED"/>
    <w:rsid w:val="00782011"/>
    <w:rsid w:val="0078235B"/>
    <w:rsid w:val="007828A6"/>
    <w:rsid w:val="007832AF"/>
    <w:rsid w:val="007843F2"/>
    <w:rsid w:val="00787BBC"/>
    <w:rsid w:val="00791867"/>
    <w:rsid w:val="007918A2"/>
    <w:rsid w:val="00791ADC"/>
    <w:rsid w:val="00791FDC"/>
    <w:rsid w:val="00793545"/>
    <w:rsid w:val="00793DF4"/>
    <w:rsid w:val="007945E6"/>
    <w:rsid w:val="00794B3E"/>
    <w:rsid w:val="00795DE4"/>
    <w:rsid w:val="007A07D0"/>
    <w:rsid w:val="007A0A12"/>
    <w:rsid w:val="007A0A66"/>
    <w:rsid w:val="007A0B2E"/>
    <w:rsid w:val="007A132D"/>
    <w:rsid w:val="007A1777"/>
    <w:rsid w:val="007A30FD"/>
    <w:rsid w:val="007A498B"/>
    <w:rsid w:val="007A50FA"/>
    <w:rsid w:val="007A52A9"/>
    <w:rsid w:val="007A68D2"/>
    <w:rsid w:val="007A6910"/>
    <w:rsid w:val="007A757C"/>
    <w:rsid w:val="007A7806"/>
    <w:rsid w:val="007A799C"/>
    <w:rsid w:val="007A79C5"/>
    <w:rsid w:val="007B05A5"/>
    <w:rsid w:val="007B0739"/>
    <w:rsid w:val="007B0D68"/>
    <w:rsid w:val="007B10A9"/>
    <w:rsid w:val="007B13FF"/>
    <w:rsid w:val="007B1785"/>
    <w:rsid w:val="007B251D"/>
    <w:rsid w:val="007B38A7"/>
    <w:rsid w:val="007B3B72"/>
    <w:rsid w:val="007B4F58"/>
    <w:rsid w:val="007B528D"/>
    <w:rsid w:val="007B5981"/>
    <w:rsid w:val="007B5E47"/>
    <w:rsid w:val="007B6137"/>
    <w:rsid w:val="007B66B0"/>
    <w:rsid w:val="007B77D1"/>
    <w:rsid w:val="007B7B1B"/>
    <w:rsid w:val="007C027F"/>
    <w:rsid w:val="007C168D"/>
    <w:rsid w:val="007C1CD9"/>
    <w:rsid w:val="007C361D"/>
    <w:rsid w:val="007C3F4C"/>
    <w:rsid w:val="007C4B84"/>
    <w:rsid w:val="007C5639"/>
    <w:rsid w:val="007C6903"/>
    <w:rsid w:val="007C729E"/>
    <w:rsid w:val="007C7643"/>
    <w:rsid w:val="007C7986"/>
    <w:rsid w:val="007C7AF9"/>
    <w:rsid w:val="007D004F"/>
    <w:rsid w:val="007D073C"/>
    <w:rsid w:val="007D0B38"/>
    <w:rsid w:val="007D101D"/>
    <w:rsid w:val="007D1355"/>
    <w:rsid w:val="007D149E"/>
    <w:rsid w:val="007D2F3E"/>
    <w:rsid w:val="007D2F96"/>
    <w:rsid w:val="007D32AE"/>
    <w:rsid w:val="007D5440"/>
    <w:rsid w:val="007D637A"/>
    <w:rsid w:val="007D787A"/>
    <w:rsid w:val="007E121D"/>
    <w:rsid w:val="007E1949"/>
    <w:rsid w:val="007E19F3"/>
    <w:rsid w:val="007E388F"/>
    <w:rsid w:val="007E542C"/>
    <w:rsid w:val="007E6259"/>
    <w:rsid w:val="007E6262"/>
    <w:rsid w:val="007E79F3"/>
    <w:rsid w:val="007F1017"/>
    <w:rsid w:val="007F25B0"/>
    <w:rsid w:val="007F4A3F"/>
    <w:rsid w:val="007F4A61"/>
    <w:rsid w:val="007F5345"/>
    <w:rsid w:val="007F61C2"/>
    <w:rsid w:val="007F62D8"/>
    <w:rsid w:val="007F6692"/>
    <w:rsid w:val="007F683F"/>
    <w:rsid w:val="007F73AD"/>
    <w:rsid w:val="007F788C"/>
    <w:rsid w:val="0080287C"/>
    <w:rsid w:val="00802FB8"/>
    <w:rsid w:val="0080436B"/>
    <w:rsid w:val="00805142"/>
    <w:rsid w:val="0080519B"/>
    <w:rsid w:val="00805E45"/>
    <w:rsid w:val="00807A8B"/>
    <w:rsid w:val="00810774"/>
    <w:rsid w:val="00810E56"/>
    <w:rsid w:val="00811383"/>
    <w:rsid w:val="008113C6"/>
    <w:rsid w:val="0081181D"/>
    <w:rsid w:val="00812149"/>
    <w:rsid w:val="00812CAC"/>
    <w:rsid w:val="008138C0"/>
    <w:rsid w:val="0081472B"/>
    <w:rsid w:val="00814BEC"/>
    <w:rsid w:val="00814C2F"/>
    <w:rsid w:val="008160D6"/>
    <w:rsid w:val="0081663F"/>
    <w:rsid w:val="008166EF"/>
    <w:rsid w:val="008172BA"/>
    <w:rsid w:val="00820073"/>
    <w:rsid w:val="00820113"/>
    <w:rsid w:val="00820293"/>
    <w:rsid w:val="00820A9F"/>
    <w:rsid w:val="0082192A"/>
    <w:rsid w:val="00823536"/>
    <w:rsid w:val="00824703"/>
    <w:rsid w:val="008248CD"/>
    <w:rsid w:val="00824A9F"/>
    <w:rsid w:val="0082507E"/>
    <w:rsid w:val="00825751"/>
    <w:rsid w:val="00825909"/>
    <w:rsid w:val="008264EB"/>
    <w:rsid w:val="0082654D"/>
    <w:rsid w:val="008265B2"/>
    <w:rsid w:val="008266BD"/>
    <w:rsid w:val="008267DE"/>
    <w:rsid w:val="00826971"/>
    <w:rsid w:val="008302C1"/>
    <w:rsid w:val="008314B7"/>
    <w:rsid w:val="008334B2"/>
    <w:rsid w:val="00833B05"/>
    <w:rsid w:val="008347D1"/>
    <w:rsid w:val="0083482B"/>
    <w:rsid w:val="008348BD"/>
    <w:rsid w:val="008362B4"/>
    <w:rsid w:val="00836DB4"/>
    <w:rsid w:val="008403F2"/>
    <w:rsid w:val="00840910"/>
    <w:rsid w:val="008409C4"/>
    <w:rsid w:val="00840B55"/>
    <w:rsid w:val="00840CA2"/>
    <w:rsid w:val="00841191"/>
    <w:rsid w:val="00842B2F"/>
    <w:rsid w:val="00842C11"/>
    <w:rsid w:val="0084374F"/>
    <w:rsid w:val="0084595A"/>
    <w:rsid w:val="00845B4D"/>
    <w:rsid w:val="00845CF8"/>
    <w:rsid w:val="00846128"/>
    <w:rsid w:val="00846309"/>
    <w:rsid w:val="00847D92"/>
    <w:rsid w:val="00847DF5"/>
    <w:rsid w:val="00852026"/>
    <w:rsid w:val="0085309D"/>
    <w:rsid w:val="00854C41"/>
    <w:rsid w:val="008552D4"/>
    <w:rsid w:val="008554CA"/>
    <w:rsid w:val="00855790"/>
    <w:rsid w:val="008558B8"/>
    <w:rsid w:val="00856401"/>
    <w:rsid w:val="0085663F"/>
    <w:rsid w:val="00856897"/>
    <w:rsid w:val="00856E9A"/>
    <w:rsid w:val="00857753"/>
    <w:rsid w:val="008602B5"/>
    <w:rsid w:val="0086075D"/>
    <w:rsid w:val="00861B2B"/>
    <w:rsid w:val="00861C18"/>
    <w:rsid w:val="0086214B"/>
    <w:rsid w:val="00862502"/>
    <w:rsid w:val="00865E3F"/>
    <w:rsid w:val="008660D4"/>
    <w:rsid w:val="00866486"/>
    <w:rsid w:val="00867525"/>
    <w:rsid w:val="008704BF"/>
    <w:rsid w:val="00870CA8"/>
    <w:rsid w:val="00871FA9"/>
    <w:rsid w:val="008727E1"/>
    <w:rsid w:val="008728E9"/>
    <w:rsid w:val="00872A4A"/>
    <w:rsid w:val="00872D18"/>
    <w:rsid w:val="0087388D"/>
    <w:rsid w:val="00873B08"/>
    <w:rsid w:val="008743DB"/>
    <w:rsid w:val="008766D6"/>
    <w:rsid w:val="008773D9"/>
    <w:rsid w:val="00877E97"/>
    <w:rsid w:val="008808B9"/>
    <w:rsid w:val="008817F5"/>
    <w:rsid w:val="00881C91"/>
    <w:rsid w:val="00882874"/>
    <w:rsid w:val="00883481"/>
    <w:rsid w:val="00883787"/>
    <w:rsid w:val="00884226"/>
    <w:rsid w:val="008850AE"/>
    <w:rsid w:val="0088549A"/>
    <w:rsid w:val="00885B50"/>
    <w:rsid w:val="00885BB6"/>
    <w:rsid w:val="008866F0"/>
    <w:rsid w:val="00886CD2"/>
    <w:rsid w:val="00887DD8"/>
    <w:rsid w:val="00887FE3"/>
    <w:rsid w:val="0089080B"/>
    <w:rsid w:val="00890B11"/>
    <w:rsid w:val="00890E5A"/>
    <w:rsid w:val="00891A08"/>
    <w:rsid w:val="00891C1B"/>
    <w:rsid w:val="00891CB4"/>
    <w:rsid w:val="00892A36"/>
    <w:rsid w:val="00892FF5"/>
    <w:rsid w:val="00893239"/>
    <w:rsid w:val="00893451"/>
    <w:rsid w:val="00894489"/>
    <w:rsid w:val="00895224"/>
    <w:rsid w:val="008963A5"/>
    <w:rsid w:val="0089696A"/>
    <w:rsid w:val="00896AD7"/>
    <w:rsid w:val="008979F8"/>
    <w:rsid w:val="008A0032"/>
    <w:rsid w:val="008A17F1"/>
    <w:rsid w:val="008A1C5A"/>
    <w:rsid w:val="008A3363"/>
    <w:rsid w:val="008A3371"/>
    <w:rsid w:val="008A3ADE"/>
    <w:rsid w:val="008A3C3E"/>
    <w:rsid w:val="008A3F26"/>
    <w:rsid w:val="008A58D8"/>
    <w:rsid w:val="008A6A9E"/>
    <w:rsid w:val="008A79DE"/>
    <w:rsid w:val="008B0629"/>
    <w:rsid w:val="008B07BA"/>
    <w:rsid w:val="008B1757"/>
    <w:rsid w:val="008B187A"/>
    <w:rsid w:val="008B37DD"/>
    <w:rsid w:val="008B3922"/>
    <w:rsid w:val="008B3D19"/>
    <w:rsid w:val="008B4545"/>
    <w:rsid w:val="008B720F"/>
    <w:rsid w:val="008B7D7E"/>
    <w:rsid w:val="008B7FCF"/>
    <w:rsid w:val="008C0A50"/>
    <w:rsid w:val="008C0B2D"/>
    <w:rsid w:val="008C34CC"/>
    <w:rsid w:val="008C3DAB"/>
    <w:rsid w:val="008C41D8"/>
    <w:rsid w:val="008C45B7"/>
    <w:rsid w:val="008C4DBD"/>
    <w:rsid w:val="008C5303"/>
    <w:rsid w:val="008C547D"/>
    <w:rsid w:val="008C5551"/>
    <w:rsid w:val="008C5822"/>
    <w:rsid w:val="008C59AF"/>
    <w:rsid w:val="008C6BC6"/>
    <w:rsid w:val="008C7578"/>
    <w:rsid w:val="008C78F4"/>
    <w:rsid w:val="008C7ECB"/>
    <w:rsid w:val="008C7EFD"/>
    <w:rsid w:val="008D01FB"/>
    <w:rsid w:val="008D0DF5"/>
    <w:rsid w:val="008D1DC0"/>
    <w:rsid w:val="008D21F8"/>
    <w:rsid w:val="008D36F6"/>
    <w:rsid w:val="008D4409"/>
    <w:rsid w:val="008D4755"/>
    <w:rsid w:val="008D4C3D"/>
    <w:rsid w:val="008D5621"/>
    <w:rsid w:val="008D6C68"/>
    <w:rsid w:val="008D6C72"/>
    <w:rsid w:val="008D74B1"/>
    <w:rsid w:val="008D765B"/>
    <w:rsid w:val="008D7EE0"/>
    <w:rsid w:val="008E03CF"/>
    <w:rsid w:val="008E0A5F"/>
    <w:rsid w:val="008E0D3C"/>
    <w:rsid w:val="008E1B9E"/>
    <w:rsid w:val="008E201F"/>
    <w:rsid w:val="008E3D56"/>
    <w:rsid w:val="008E44DD"/>
    <w:rsid w:val="008E4DD6"/>
    <w:rsid w:val="008E55AB"/>
    <w:rsid w:val="008E587F"/>
    <w:rsid w:val="008E661E"/>
    <w:rsid w:val="008E6E06"/>
    <w:rsid w:val="008E6E30"/>
    <w:rsid w:val="008E7864"/>
    <w:rsid w:val="008E7A31"/>
    <w:rsid w:val="008F0CCC"/>
    <w:rsid w:val="008F120A"/>
    <w:rsid w:val="008F1CAA"/>
    <w:rsid w:val="008F212A"/>
    <w:rsid w:val="008F27E0"/>
    <w:rsid w:val="008F2F34"/>
    <w:rsid w:val="008F4070"/>
    <w:rsid w:val="008F456A"/>
    <w:rsid w:val="008F48EB"/>
    <w:rsid w:val="008F4EFB"/>
    <w:rsid w:val="008F4F0B"/>
    <w:rsid w:val="008F4F50"/>
    <w:rsid w:val="008F5605"/>
    <w:rsid w:val="008F600E"/>
    <w:rsid w:val="008F6CE1"/>
    <w:rsid w:val="008F6F9E"/>
    <w:rsid w:val="0090009D"/>
    <w:rsid w:val="009005AA"/>
    <w:rsid w:val="00900E05"/>
    <w:rsid w:val="00901E17"/>
    <w:rsid w:val="009039DD"/>
    <w:rsid w:val="00903FCA"/>
    <w:rsid w:val="009046C4"/>
    <w:rsid w:val="0090531B"/>
    <w:rsid w:val="0090617C"/>
    <w:rsid w:val="009062A5"/>
    <w:rsid w:val="0090657B"/>
    <w:rsid w:val="0090692C"/>
    <w:rsid w:val="0090753F"/>
    <w:rsid w:val="009101C1"/>
    <w:rsid w:val="009107F5"/>
    <w:rsid w:val="00911272"/>
    <w:rsid w:val="00911394"/>
    <w:rsid w:val="009115F7"/>
    <w:rsid w:val="009135D6"/>
    <w:rsid w:val="009137C5"/>
    <w:rsid w:val="00914C77"/>
    <w:rsid w:val="00914EC2"/>
    <w:rsid w:val="00915149"/>
    <w:rsid w:val="00915486"/>
    <w:rsid w:val="0091567E"/>
    <w:rsid w:val="0091642C"/>
    <w:rsid w:val="0091768F"/>
    <w:rsid w:val="00920122"/>
    <w:rsid w:val="009232EC"/>
    <w:rsid w:val="0092369B"/>
    <w:rsid w:val="00924590"/>
    <w:rsid w:val="00924F4D"/>
    <w:rsid w:val="00924FB3"/>
    <w:rsid w:val="00925EB4"/>
    <w:rsid w:val="00926AEF"/>
    <w:rsid w:val="00926B7B"/>
    <w:rsid w:val="00927857"/>
    <w:rsid w:val="009279D1"/>
    <w:rsid w:val="0093007B"/>
    <w:rsid w:val="00930D23"/>
    <w:rsid w:val="00930DD4"/>
    <w:rsid w:val="00930E06"/>
    <w:rsid w:val="009310EC"/>
    <w:rsid w:val="00932384"/>
    <w:rsid w:val="00934EDE"/>
    <w:rsid w:val="00936715"/>
    <w:rsid w:val="00936A24"/>
    <w:rsid w:val="00937DD9"/>
    <w:rsid w:val="00937E4F"/>
    <w:rsid w:val="00940A34"/>
    <w:rsid w:val="00940C7E"/>
    <w:rsid w:val="00941493"/>
    <w:rsid w:val="00941EB0"/>
    <w:rsid w:val="009426DD"/>
    <w:rsid w:val="00943701"/>
    <w:rsid w:val="009440E4"/>
    <w:rsid w:val="00944E07"/>
    <w:rsid w:val="00945D95"/>
    <w:rsid w:val="00945E35"/>
    <w:rsid w:val="00946F98"/>
    <w:rsid w:val="009470A3"/>
    <w:rsid w:val="0094754E"/>
    <w:rsid w:val="00947C43"/>
    <w:rsid w:val="00950854"/>
    <w:rsid w:val="009510A2"/>
    <w:rsid w:val="00951D51"/>
    <w:rsid w:val="00951D5A"/>
    <w:rsid w:val="00951F95"/>
    <w:rsid w:val="00952EC7"/>
    <w:rsid w:val="00953127"/>
    <w:rsid w:val="00953257"/>
    <w:rsid w:val="009532DB"/>
    <w:rsid w:val="0095370B"/>
    <w:rsid w:val="009554AE"/>
    <w:rsid w:val="0095627E"/>
    <w:rsid w:val="00957247"/>
    <w:rsid w:val="009611C3"/>
    <w:rsid w:val="00961800"/>
    <w:rsid w:val="00961A19"/>
    <w:rsid w:val="00962287"/>
    <w:rsid w:val="00962B3B"/>
    <w:rsid w:val="00962CB9"/>
    <w:rsid w:val="00963037"/>
    <w:rsid w:val="009636AE"/>
    <w:rsid w:val="00964312"/>
    <w:rsid w:val="009647DD"/>
    <w:rsid w:val="00964E87"/>
    <w:rsid w:val="00964F6F"/>
    <w:rsid w:val="00965AB8"/>
    <w:rsid w:val="00965B8A"/>
    <w:rsid w:val="00965BB3"/>
    <w:rsid w:val="009660E4"/>
    <w:rsid w:val="009665A2"/>
    <w:rsid w:val="0096665A"/>
    <w:rsid w:val="00967136"/>
    <w:rsid w:val="009673F7"/>
    <w:rsid w:val="00967402"/>
    <w:rsid w:val="009717AC"/>
    <w:rsid w:val="00972113"/>
    <w:rsid w:val="00972AC5"/>
    <w:rsid w:val="00972ED8"/>
    <w:rsid w:val="00974233"/>
    <w:rsid w:val="0097456C"/>
    <w:rsid w:val="00974BF9"/>
    <w:rsid w:val="0097506D"/>
    <w:rsid w:val="009755E3"/>
    <w:rsid w:val="009764B2"/>
    <w:rsid w:val="00976ACC"/>
    <w:rsid w:val="00977BA0"/>
    <w:rsid w:val="00977D66"/>
    <w:rsid w:val="009825B4"/>
    <w:rsid w:val="00983E57"/>
    <w:rsid w:val="009866A0"/>
    <w:rsid w:val="0098673C"/>
    <w:rsid w:val="0098675D"/>
    <w:rsid w:val="009867AD"/>
    <w:rsid w:val="00986F52"/>
    <w:rsid w:val="00987504"/>
    <w:rsid w:val="00987D51"/>
    <w:rsid w:val="00987E54"/>
    <w:rsid w:val="00990237"/>
    <w:rsid w:val="009912A6"/>
    <w:rsid w:val="00991900"/>
    <w:rsid w:val="009928FB"/>
    <w:rsid w:val="009936E1"/>
    <w:rsid w:val="00994DDD"/>
    <w:rsid w:val="00996B1A"/>
    <w:rsid w:val="0099779F"/>
    <w:rsid w:val="009A0630"/>
    <w:rsid w:val="009A0C6A"/>
    <w:rsid w:val="009A13A8"/>
    <w:rsid w:val="009A1AB0"/>
    <w:rsid w:val="009A1E1E"/>
    <w:rsid w:val="009A34E3"/>
    <w:rsid w:val="009A36A1"/>
    <w:rsid w:val="009A3E43"/>
    <w:rsid w:val="009A41A1"/>
    <w:rsid w:val="009A566B"/>
    <w:rsid w:val="009A56C3"/>
    <w:rsid w:val="009A60C0"/>
    <w:rsid w:val="009A7680"/>
    <w:rsid w:val="009A7DB0"/>
    <w:rsid w:val="009A7F10"/>
    <w:rsid w:val="009B07CD"/>
    <w:rsid w:val="009B0ADC"/>
    <w:rsid w:val="009B14DF"/>
    <w:rsid w:val="009B1607"/>
    <w:rsid w:val="009B1641"/>
    <w:rsid w:val="009B19C5"/>
    <w:rsid w:val="009B1A07"/>
    <w:rsid w:val="009B2508"/>
    <w:rsid w:val="009B3E26"/>
    <w:rsid w:val="009B469F"/>
    <w:rsid w:val="009B4A4D"/>
    <w:rsid w:val="009B5407"/>
    <w:rsid w:val="009B7004"/>
    <w:rsid w:val="009C0466"/>
    <w:rsid w:val="009C0B71"/>
    <w:rsid w:val="009C2FFF"/>
    <w:rsid w:val="009C3370"/>
    <w:rsid w:val="009C337F"/>
    <w:rsid w:val="009C3684"/>
    <w:rsid w:val="009C3CDD"/>
    <w:rsid w:val="009C49EB"/>
    <w:rsid w:val="009C4D93"/>
    <w:rsid w:val="009C5130"/>
    <w:rsid w:val="009C5415"/>
    <w:rsid w:val="009C55E8"/>
    <w:rsid w:val="009C563F"/>
    <w:rsid w:val="009C6923"/>
    <w:rsid w:val="009C6929"/>
    <w:rsid w:val="009C6CEA"/>
    <w:rsid w:val="009C7557"/>
    <w:rsid w:val="009C7B85"/>
    <w:rsid w:val="009C7C16"/>
    <w:rsid w:val="009C7C96"/>
    <w:rsid w:val="009C7ED5"/>
    <w:rsid w:val="009C7FA6"/>
    <w:rsid w:val="009D023E"/>
    <w:rsid w:val="009D0338"/>
    <w:rsid w:val="009D051A"/>
    <w:rsid w:val="009D10B1"/>
    <w:rsid w:val="009D121D"/>
    <w:rsid w:val="009D17FC"/>
    <w:rsid w:val="009D1B90"/>
    <w:rsid w:val="009D593D"/>
    <w:rsid w:val="009D5B91"/>
    <w:rsid w:val="009D679D"/>
    <w:rsid w:val="009D7516"/>
    <w:rsid w:val="009D7572"/>
    <w:rsid w:val="009D792E"/>
    <w:rsid w:val="009E003B"/>
    <w:rsid w:val="009E011C"/>
    <w:rsid w:val="009E050A"/>
    <w:rsid w:val="009E0565"/>
    <w:rsid w:val="009E0DFE"/>
    <w:rsid w:val="009E4302"/>
    <w:rsid w:val="009E4C07"/>
    <w:rsid w:val="009E586D"/>
    <w:rsid w:val="009E6CA2"/>
    <w:rsid w:val="009F0B79"/>
    <w:rsid w:val="009F0C6B"/>
    <w:rsid w:val="009F1748"/>
    <w:rsid w:val="009F23CC"/>
    <w:rsid w:val="009F2568"/>
    <w:rsid w:val="009F2CB7"/>
    <w:rsid w:val="009F2DBB"/>
    <w:rsid w:val="009F4B50"/>
    <w:rsid w:val="009F4F54"/>
    <w:rsid w:val="009F580B"/>
    <w:rsid w:val="009F5C8A"/>
    <w:rsid w:val="009F7B42"/>
    <w:rsid w:val="009F7D4C"/>
    <w:rsid w:val="00A01032"/>
    <w:rsid w:val="00A01184"/>
    <w:rsid w:val="00A016B9"/>
    <w:rsid w:val="00A017EA"/>
    <w:rsid w:val="00A02C35"/>
    <w:rsid w:val="00A03B21"/>
    <w:rsid w:val="00A03D43"/>
    <w:rsid w:val="00A04380"/>
    <w:rsid w:val="00A0551F"/>
    <w:rsid w:val="00A05C22"/>
    <w:rsid w:val="00A05DED"/>
    <w:rsid w:val="00A06CB5"/>
    <w:rsid w:val="00A106F9"/>
    <w:rsid w:val="00A10F23"/>
    <w:rsid w:val="00A1151E"/>
    <w:rsid w:val="00A11CD0"/>
    <w:rsid w:val="00A126F6"/>
    <w:rsid w:val="00A12910"/>
    <w:rsid w:val="00A1292E"/>
    <w:rsid w:val="00A13948"/>
    <w:rsid w:val="00A13FDA"/>
    <w:rsid w:val="00A14C0A"/>
    <w:rsid w:val="00A1555B"/>
    <w:rsid w:val="00A155C5"/>
    <w:rsid w:val="00A1595F"/>
    <w:rsid w:val="00A15D89"/>
    <w:rsid w:val="00A162CA"/>
    <w:rsid w:val="00A1639D"/>
    <w:rsid w:val="00A16A86"/>
    <w:rsid w:val="00A16AD8"/>
    <w:rsid w:val="00A20698"/>
    <w:rsid w:val="00A21640"/>
    <w:rsid w:val="00A21CF3"/>
    <w:rsid w:val="00A21F8E"/>
    <w:rsid w:val="00A23DFA"/>
    <w:rsid w:val="00A24671"/>
    <w:rsid w:val="00A26A88"/>
    <w:rsid w:val="00A26E44"/>
    <w:rsid w:val="00A27AEC"/>
    <w:rsid w:val="00A27E01"/>
    <w:rsid w:val="00A30C9E"/>
    <w:rsid w:val="00A312FD"/>
    <w:rsid w:val="00A320DB"/>
    <w:rsid w:val="00A32AB2"/>
    <w:rsid w:val="00A33B5B"/>
    <w:rsid w:val="00A35882"/>
    <w:rsid w:val="00A35A22"/>
    <w:rsid w:val="00A35D16"/>
    <w:rsid w:val="00A36946"/>
    <w:rsid w:val="00A37962"/>
    <w:rsid w:val="00A37BCD"/>
    <w:rsid w:val="00A37CD5"/>
    <w:rsid w:val="00A4014F"/>
    <w:rsid w:val="00A40531"/>
    <w:rsid w:val="00A40B68"/>
    <w:rsid w:val="00A40C16"/>
    <w:rsid w:val="00A40EE9"/>
    <w:rsid w:val="00A42C82"/>
    <w:rsid w:val="00A4368B"/>
    <w:rsid w:val="00A43B7B"/>
    <w:rsid w:val="00A43C59"/>
    <w:rsid w:val="00A454ED"/>
    <w:rsid w:val="00A469FC"/>
    <w:rsid w:val="00A46C9B"/>
    <w:rsid w:val="00A47404"/>
    <w:rsid w:val="00A50ECD"/>
    <w:rsid w:val="00A518F3"/>
    <w:rsid w:val="00A51DA7"/>
    <w:rsid w:val="00A52729"/>
    <w:rsid w:val="00A53039"/>
    <w:rsid w:val="00A53675"/>
    <w:rsid w:val="00A54417"/>
    <w:rsid w:val="00A564D7"/>
    <w:rsid w:val="00A56B6A"/>
    <w:rsid w:val="00A57574"/>
    <w:rsid w:val="00A578DC"/>
    <w:rsid w:val="00A604AF"/>
    <w:rsid w:val="00A60ECD"/>
    <w:rsid w:val="00A6102E"/>
    <w:rsid w:val="00A61085"/>
    <w:rsid w:val="00A61683"/>
    <w:rsid w:val="00A61C3E"/>
    <w:rsid w:val="00A630ED"/>
    <w:rsid w:val="00A63156"/>
    <w:rsid w:val="00A6320F"/>
    <w:rsid w:val="00A638B8"/>
    <w:rsid w:val="00A64E2C"/>
    <w:rsid w:val="00A6644C"/>
    <w:rsid w:val="00A6725B"/>
    <w:rsid w:val="00A67CA6"/>
    <w:rsid w:val="00A7002C"/>
    <w:rsid w:val="00A7031C"/>
    <w:rsid w:val="00A70605"/>
    <w:rsid w:val="00A717A2"/>
    <w:rsid w:val="00A717DD"/>
    <w:rsid w:val="00A7246B"/>
    <w:rsid w:val="00A73134"/>
    <w:rsid w:val="00A73BEE"/>
    <w:rsid w:val="00A73CE1"/>
    <w:rsid w:val="00A7432B"/>
    <w:rsid w:val="00A75A51"/>
    <w:rsid w:val="00A7659B"/>
    <w:rsid w:val="00A7706E"/>
    <w:rsid w:val="00A777B2"/>
    <w:rsid w:val="00A80EC6"/>
    <w:rsid w:val="00A80FE6"/>
    <w:rsid w:val="00A81E43"/>
    <w:rsid w:val="00A81E48"/>
    <w:rsid w:val="00A829C9"/>
    <w:rsid w:val="00A8375A"/>
    <w:rsid w:val="00A83AE6"/>
    <w:rsid w:val="00A84D44"/>
    <w:rsid w:val="00A854FF"/>
    <w:rsid w:val="00A85682"/>
    <w:rsid w:val="00A86361"/>
    <w:rsid w:val="00A86E8B"/>
    <w:rsid w:val="00A87164"/>
    <w:rsid w:val="00A87DD1"/>
    <w:rsid w:val="00A90199"/>
    <w:rsid w:val="00A9131D"/>
    <w:rsid w:val="00A93072"/>
    <w:rsid w:val="00A93953"/>
    <w:rsid w:val="00A942D4"/>
    <w:rsid w:val="00A94E3B"/>
    <w:rsid w:val="00A95211"/>
    <w:rsid w:val="00A959D8"/>
    <w:rsid w:val="00A96FC7"/>
    <w:rsid w:val="00AA113D"/>
    <w:rsid w:val="00AA3558"/>
    <w:rsid w:val="00AA36AD"/>
    <w:rsid w:val="00AA524A"/>
    <w:rsid w:val="00AA6C7D"/>
    <w:rsid w:val="00AA7FD6"/>
    <w:rsid w:val="00AB02B3"/>
    <w:rsid w:val="00AB042A"/>
    <w:rsid w:val="00AB0A15"/>
    <w:rsid w:val="00AB2ADE"/>
    <w:rsid w:val="00AB2D34"/>
    <w:rsid w:val="00AB3212"/>
    <w:rsid w:val="00AB3430"/>
    <w:rsid w:val="00AB3E68"/>
    <w:rsid w:val="00AB40DB"/>
    <w:rsid w:val="00AB485C"/>
    <w:rsid w:val="00AB4AD1"/>
    <w:rsid w:val="00AB5477"/>
    <w:rsid w:val="00AB6FF3"/>
    <w:rsid w:val="00AB7CFA"/>
    <w:rsid w:val="00AB7FD7"/>
    <w:rsid w:val="00AC0DF7"/>
    <w:rsid w:val="00AC1305"/>
    <w:rsid w:val="00AC2374"/>
    <w:rsid w:val="00AC3255"/>
    <w:rsid w:val="00AC4256"/>
    <w:rsid w:val="00AC44D5"/>
    <w:rsid w:val="00AC5B48"/>
    <w:rsid w:val="00AC5D18"/>
    <w:rsid w:val="00AC5D61"/>
    <w:rsid w:val="00AC5E83"/>
    <w:rsid w:val="00AC64D4"/>
    <w:rsid w:val="00AC6679"/>
    <w:rsid w:val="00AC7C40"/>
    <w:rsid w:val="00AD06F0"/>
    <w:rsid w:val="00AD18E8"/>
    <w:rsid w:val="00AD1D06"/>
    <w:rsid w:val="00AD2686"/>
    <w:rsid w:val="00AD5DE1"/>
    <w:rsid w:val="00AD6502"/>
    <w:rsid w:val="00AD65D2"/>
    <w:rsid w:val="00AD668F"/>
    <w:rsid w:val="00AD69FE"/>
    <w:rsid w:val="00AD6F8B"/>
    <w:rsid w:val="00AE0B38"/>
    <w:rsid w:val="00AE1149"/>
    <w:rsid w:val="00AE27F3"/>
    <w:rsid w:val="00AE3970"/>
    <w:rsid w:val="00AE44AB"/>
    <w:rsid w:val="00AE467B"/>
    <w:rsid w:val="00AE69A1"/>
    <w:rsid w:val="00AF0107"/>
    <w:rsid w:val="00AF01C6"/>
    <w:rsid w:val="00AF1315"/>
    <w:rsid w:val="00AF19BF"/>
    <w:rsid w:val="00AF1FB0"/>
    <w:rsid w:val="00AF2372"/>
    <w:rsid w:val="00AF2DC3"/>
    <w:rsid w:val="00AF5143"/>
    <w:rsid w:val="00AF6232"/>
    <w:rsid w:val="00AF65D2"/>
    <w:rsid w:val="00AF690C"/>
    <w:rsid w:val="00AF7B99"/>
    <w:rsid w:val="00B00218"/>
    <w:rsid w:val="00B0094A"/>
    <w:rsid w:val="00B01B3A"/>
    <w:rsid w:val="00B02750"/>
    <w:rsid w:val="00B030F0"/>
    <w:rsid w:val="00B033E5"/>
    <w:rsid w:val="00B03A63"/>
    <w:rsid w:val="00B03E0F"/>
    <w:rsid w:val="00B042EF"/>
    <w:rsid w:val="00B04590"/>
    <w:rsid w:val="00B046BD"/>
    <w:rsid w:val="00B04F7C"/>
    <w:rsid w:val="00B06011"/>
    <w:rsid w:val="00B06C85"/>
    <w:rsid w:val="00B108B9"/>
    <w:rsid w:val="00B117CA"/>
    <w:rsid w:val="00B11912"/>
    <w:rsid w:val="00B12974"/>
    <w:rsid w:val="00B13C50"/>
    <w:rsid w:val="00B13E95"/>
    <w:rsid w:val="00B14088"/>
    <w:rsid w:val="00B1433B"/>
    <w:rsid w:val="00B143E7"/>
    <w:rsid w:val="00B1576E"/>
    <w:rsid w:val="00B157BD"/>
    <w:rsid w:val="00B15E90"/>
    <w:rsid w:val="00B15FAF"/>
    <w:rsid w:val="00B16003"/>
    <w:rsid w:val="00B179F8"/>
    <w:rsid w:val="00B200B3"/>
    <w:rsid w:val="00B201A4"/>
    <w:rsid w:val="00B202CF"/>
    <w:rsid w:val="00B213A6"/>
    <w:rsid w:val="00B23769"/>
    <w:rsid w:val="00B240F1"/>
    <w:rsid w:val="00B2413E"/>
    <w:rsid w:val="00B24720"/>
    <w:rsid w:val="00B24DF6"/>
    <w:rsid w:val="00B2506E"/>
    <w:rsid w:val="00B26C4E"/>
    <w:rsid w:val="00B271CE"/>
    <w:rsid w:val="00B27474"/>
    <w:rsid w:val="00B30005"/>
    <w:rsid w:val="00B30678"/>
    <w:rsid w:val="00B30899"/>
    <w:rsid w:val="00B33051"/>
    <w:rsid w:val="00B34FE2"/>
    <w:rsid w:val="00B357D8"/>
    <w:rsid w:val="00B36432"/>
    <w:rsid w:val="00B36877"/>
    <w:rsid w:val="00B36CB2"/>
    <w:rsid w:val="00B3743D"/>
    <w:rsid w:val="00B37BFC"/>
    <w:rsid w:val="00B40358"/>
    <w:rsid w:val="00B40B6D"/>
    <w:rsid w:val="00B41614"/>
    <w:rsid w:val="00B41BD4"/>
    <w:rsid w:val="00B41EC2"/>
    <w:rsid w:val="00B42851"/>
    <w:rsid w:val="00B42BD8"/>
    <w:rsid w:val="00B42F80"/>
    <w:rsid w:val="00B435CB"/>
    <w:rsid w:val="00B437B0"/>
    <w:rsid w:val="00B44903"/>
    <w:rsid w:val="00B4500A"/>
    <w:rsid w:val="00B502B2"/>
    <w:rsid w:val="00B50928"/>
    <w:rsid w:val="00B50DB8"/>
    <w:rsid w:val="00B510D9"/>
    <w:rsid w:val="00B52D5B"/>
    <w:rsid w:val="00B53654"/>
    <w:rsid w:val="00B53905"/>
    <w:rsid w:val="00B54B5B"/>
    <w:rsid w:val="00B55134"/>
    <w:rsid w:val="00B5562E"/>
    <w:rsid w:val="00B55F13"/>
    <w:rsid w:val="00B57000"/>
    <w:rsid w:val="00B60334"/>
    <w:rsid w:val="00B60361"/>
    <w:rsid w:val="00B60939"/>
    <w:rsid w:val="00B60AFD"/>
    <w:rsid w:val="00B60B5A"/>
    <w:rsid w:val="00B616B4"/>
    <w:rsid w:val="00B61D0C"/>
    <w:rsid w:val="00B6202F"/>
    <w:rsid w:val="00B62715"/>
    <w:rsid w:val="00B62F65"/>
    <w:rsid w:val="00B635A3"/>
    <w:rsid w:val="00B63EE2"/>
    <w:rsid w:val="00B645F6"/>
    <w:rsid w:val="00B6472A"/>
    <w:rsid w:val="00B64939"/>
    <w:rsid w:val="00B655E9"/>
    <w:rsid w:val="00B668C5"/>
    <w:rsid w:val="00B6694D"/>
    <w:rsid w:val="00B66E00"/>
    <w:rsid w:val="00B671C2"/>
    <w:rsid w:val="00B7071C"/>
    <w:rsid w:val="00B72ECF"/>
    <w:rsid w:val="00B73297"/>
    <w:rsid w:val="00B7369A"/>
    <w:rsid w:val="00B744E8"/>
    <w:rsid w:val="00B74937"/>
    <w:rsid w:val="00B74EC4"/>
    <w:rsid w:val="00B76370"/>
    <w:rsid w:val="00B77EE6"/>
    <w:rsid w:val="00B80584"/>
    <w:rsid w:val="00B812FE"/>
    <w:rsid w:val="00B818A4"/>
    <w:rsid w:val="00B82347"/>
    <w:rsid w:val="00B82E27"/>
    <w:rsid w:val="00B82FCA"/>
    <w:rsid w:val="00B8325F"/>
    <w:rsid w:val="00B83654"/>
    <w:rsid w:val="00B84117"/>
    <w:rsid w:val="00B8579B"/>
    <w:rsid w:val="00B85AA2"/>
    <w:rsid w:val="00B85DDB"/>
    <w:rsid w:val="00B86003"/>
    <w:rsid w:val="00B8649C"/>
    <w:rsid w:val="00B86BC0"/>
    <w:rsid w:val="00B87F0A"/>
    <w:rsid w:val="00B87F31"/>
    <w:rsid w:val="00B91170"/>
    <w:rsid w:val="00B911CC"/>
    <w:rsid w:val="00B92D0B"/>
    <w:rsid w:val="00B93529"/>
    <w:rsid w:val="00B94945"/>
    <w:rsid w:val="00B9552F"/>
    <w:rsid w:val="00B959B0"/>
    <w:rsid w:val="00B95E57"/>
    <w:rsid w:val="00B9632C"/>
    <w:rsid w:val="00B9723E"/>
    <w:rsid w:val="00B97482"/>
    <w:rsid w:val="00B975BD"/>
    <w:rsid w:val="00B97FCF"/>
    <w:rsid w:val="00BA1ACE"/>
    <w:rsid w:val="00BA296E"/>
    <w:rsid w:val="00BA322D"/>
    <w:rsid w:val="00BA339B"/>
    <w:rsid w:val="00BA341D"/>
    <w:rsid w:val="00BA343D"/>
    <w:rsid w:val="00BA3697"/>
    <w:rsid w:val="00BA42E2"/>
    <w:rsid w:val="00BA79A1"/>
    <w:rsid w:val="00BA7A1D"/>
    <w:rsid w:val="00BB0964"/>
    <w:rsid w:val="00BB0A94"/>
    <w:rsid w:val="00BB0BDD"/>
    <w:rsid w:val="00BB196F"/>
    <w:rsid w:val="00BB2A73"/>
    <w:rsid w:val="00BB3E8A"/>
    <w:rsid w:val="00BB3ED8"/>
    <w:rsid w:val="00BB3FD9"/>
    <w:rsid w:val="00BB3FE6"/>
    <w:rsid w:val="00BB4817"/>
    <w:rsid w:val="00BB49CA"/>
    <w:rsid w:val="00BB4ACC"/>
    <w:rsid w:val="00BB5975"/>
    <w:rsid w:val="00BB5C23"/>
    <w:rsid w:val="00BB5E0C"/>
    <w:rsid w:val="00BB703E"/>
    <w:rsid w:val="00BB7405"/>
    <w:rsid w:val="00BB75A5"/>
    <w:rsid w:val="00BC0206"/>
    <w:rsid w:val="00BC0C34"/>
    <w:rsid w:val="00BC0DD3"/>
    <w:rsid w:val="00BC1164"/>
    <w:rsid w:val="00BC3631"/>
    <w:rsid w:val="00BC3E9F"/>
    <w:rsid w:val="00BC4D20"/>
    <w:rsid w:val="00BC4E18"/>
    <w:rsid w:val="00BC5647"/>
    <w:rsid w:val="00BC5ADE"/>
    <w:rsid w:val="00BC6129"/>
    <w:rsid w:val="00BC7590"/>
    <w:rsid w:val="00BD05E0"/>
    <w:rsid w:val="00BD0D1E"/>
    <w:rsid w:val="00BD0DA2"/>
    <w:rsid w:val="00BD0F16"/>
    <w:rsid w:val="00BD1310"/>
    <w:rsid w:val="00BD1AD0"/>
    <w:rsid w:val="00BD208C"/>
    <w:rsid w:val="00BD2367"/>
    <w:rsid w:val="00BD2A9B"/>
    <w:rsid w:val="00BD38C3"/>
    <w:rsid w:val="00BD59F1"/>
    <w:rsid w:val="00BD5A49"/>
    <w:rsid w:val="00BD5BC1"/>
    <w:rsid w:val="00BD5CA8"/>
    <w:rsid w:val="00BD5E08"/>
    <w:rsid w:val="00BD68A3"/>
    <w:rsid w:val="00BD6938"/>
    <w:rsid w:val="00BD6A51"/>
    <w:rsid w:val="00BD6CF3"/>
    <w:rsid w:val="00BE1017"/>
    <w:rsid w:val="00BE13D2"/>
    <w:rsid w:val="00BE149D"/>
    <w:rsid w:val="00BE2180"/>
    <w:rsid w:val="00BE21F2"/>
    <w:rsid w:val="00BE2478"/>
    <w:rsid w:val="00BE2AD3"/>
    <w:rsid w:val="00BE2D0B"/>
    <w:rsid w:val="00BE3001"/>
    <w:rsid w:val="00BE34F9"/>
    <w:rsid w:val="00BE4223"/>
    <w:rsid w:val="00BE4275"/>
    <w:rsid w:val="00BE4829"/>
    <w:rsid w:val="00BE4903"/>
    <w:rsid w:val="00BE54A4"/>
    <w:rsid w:val="00BE5C89"/>
    <w:rsid w:val="00BE72BD"/>
    <w:rsid w:val="00BF0F95"/>
    <w:rsid w:val="00BF2433"/>
    <w:rsid w:val="00BF2880"/>
    <w:rsid w:val="00BF2CFF"/>
    <w:rsid w:val="00BF3404"/>
    <w:rsid w:val="00BF3C51"/>
    <w:rsid w:val="00BF3E89"/>
    <w:rsid w:val="00BF56DC"/>
    <w:rsid w:val="00BF57E1"/>
    <w:rsid w:val="00BF61C9"/>
    <w:rsid w:val="00BF661C"/>
    <w:rsid w:val="00BF6C94"/>
    <w:rsid w:val="00BF6F14"/>
    <w:rsid w:val="00BF75FC"/>
    <w:rsid w:val="00C00424"/>
    <w:rsid w:val="00C00E3A"/>
    <w:rsid w:val="00C01A6C"/>
    <w:rsid w:val="00C0370F"/>
    <w:rsid w:val="00C04A3A"/>
    <w:rsid w:val="00C04C4F"/>
    <w:rsid w:val="00C04D7B"/>
    <w:rsid w:val="00C04F2B"/>
    <w:rsid w:val="00C05C06"/>
    <w:rsid w:val="00C0632D"/>
    <w:rsid w:val="00C06F8F"/>
    <w:rsid w:val="00C07FE4"/>
    <w:rsid w:val="00C1067A"/>
    <w:rsid w:val="00C10D62"/>
    <w:rsid w:val="00C10F30"/>
    <w:rsid w:val="00C11C7B"/>
    <w:rsid w:val="00C11ED9"/>
    <w:rsid w:val="00C12B70"/>
    <w:rsid w:val="00C12C14"/>
    <w:rsid w:val="00C171CA"/>
    <w:rsid w:val="00C17206"/>
    <w:rsid w:val="00C17428"/>
    <w:rsid w:val="00C17BFE"/>
    <w:rsid w:val="00C17CBF"/>
    <w:rsid w:val="00C200AA"/>
    <w:rsid w:val="00C20846"/>
    <w:rsid w:val="00C21575"/>
    <w:rsid w:val="00C218E4"/>
    <w:rsid w:val="00C221DF"/>
    <w:rsid w:val="00C22482"/>
    <w:rsid w:val="00C22A43"/>
    <w:rsid w:val="00C22DB8"/>
    <w:rsid w:val="00C23174"/>
    <w:rsid w:val="00C237ED"/>
    <w:rsid w:val="00C23E50"/>
    <w:rsid w:val="00C24632"/>
    <w:rsid w:val="00C25418"/>
    <w:rsid w:val="00C25494"/>
    <w:rsid w:val="00C25D9C"/>
    <w:rsid w:val="00C265E9"/>
    <w:rsid w:val="00C27377"/>
    <w:rsid w:val="00C2778B"/>
    <w:rsid w:val="00C3094C"/>
    <w:rsid w:val="00C30A4A"/>
    <w:rsid w:val="00C31649"/>
    <w:rsid w:val="00C32B05"/>
    <w:rsid w:val="00C32E17"/>
    <w:rsid w:val="00C336EA"/>
    <w:rsid w:val="00C3480F"/>
    <w:rsid w:val="00C34899"/>
    <w:rsid w:val="00C3507E"/>
    <w:rsid w:val="00C35BC0"/>
    <w:rsid w:val="00C36E9D"/>
    <w:rsid w:val="00C3723D"/>
    <w:rsid w:val="00C37843"/>
    <w:rsid w:val="00C378BA"/>
    <w:rsid w:val="00C37F57"/>
    <w:rsid w:val="00C40385"/>
    <w:rsid w:val="00C41ACF"/>
    <w:rsid w:val="00C41F61"/>
    <w:rsid w:val="00C4268C"/>
    <w:rsid w:val="00C426E0"/>
    <w:rsid w:val="00C44955"/>
    <w:rsid w:val="00C44AEE"/>
    <w:rsid w:val="00C475AA"/>
    <w:rsid w:val="00C4784E"/>
    <w:rsid w:val="00C47F0D"/>
    <w:rsid w:val="00C50A48"/>
    <w:rsid w:val="00C52987"/>
    <w:rsid w:val="00C52F5C"/>
    <w:rsid w:val="00C53E23"/>
    <w:rsid w:val="00C56EF6"/>
    <w:rsid w:val="00C60598"/>
    <w:rsid w:val="00C6099F"/>
    <w:rsid w:val="00C61832"/>
    <w:rsid w:val="00C6220A"/>
    <w:rsid w:val="00C634EF"/>
    <w:rsid w:val="00C63569"/>
    <w:rsid w:val="00C64082"/>
    <w:rsid w:val="00C64A8A"/>
    <w:rsid w:val="00C6548C"/>
    <w:rsid w:val="00C6552E"/>
    <w:rsid w:val="00C65576"/>
    <w:rsid w:val="00C66165"/>
    <w:rsid w:val="00C661AA"/>
    <w:rsid w:val="00C67AA9"/>
    <w:rsid w:val="00C67BD0"/>
    <w:rsid w:val="00C7151A"/>
    <w:rsid w:val="00C71924"/>
    <w:rsid w:val="00C71F60"/>
    <w:rsid w:val="00C72241"/>
    <w:rsid w:val="00C728E3"/>
    <w:rsid w:val="00C72CA8"/>
    <w:rsid w:val="00C750C8"/>
    <w:rsid w:val="00C7560F"/>
    <w:rsid w:val="00C763DB"/>
    <w:rsid w:val="00C7657C"/>
    <w:rsid w:val="00C7716A"/>
    <w:rsid w:val="00C80057"/>
    <w:rsid w:val="00C80879"/>
    <w:rsid w:val="00C80A0E"/>
    <w:rsid w:val="00C81B20"/>
    <w:rsid w:val="00C8213F"/>
    <w:rsid w:val="00C825DC"/>
    <w:rsid w:val="00C8340C"/>
    <w:rsid w:val="00C840E0"/>
    <w:rsid w:val="00C850EB"/>
    <w:rsid w:val="00C8797A"/>
    <w:rsid w:val="00C87CCD"/>
    <w:rsid w:val="00C900B8"/>
    <w:rsid w:val="00C90C71"/>
    <w:rsid w:val="00C9162F"/>
    <w:rsid w:val="00C92227"/>
    <w:rsid w:val="00C9257E"/>
    <w:rsid w:val="00C9281B"/>
    <w:rsid w:val="00C92B79"/>
    <w:rsid w:val="00C931CF"/>
    <w:rsid w:val="00C938B2"/>
    <w:rsid w:val="00C938CF"/>
    <w:rsid w:val="00C93E0D"/>
    <w:rsid w:val="00C94CD6"/>
    <w:rsid w:val="00C952B8"/>
    <w:rsid w:val="00C95BCF"/>
    <w:rsid w:val="00C95D11"/>
    <w:rsid w:val="00C9624D"/>
    <w:rsid w:val="00C9661D"/>
    <w:rsid w:val="00C969DA"/>
    <w:rsid w:val="00C96F0C"/>
    <w:rsid w:val="00C97B13"/>
    <w:rsid w:val="00CA065A"/>
    <w:rsid w:val="00CA08F6"/>
    <w:rsid w:val="00CA15E3"/>
    <w:rsid w:val="00CA2C77"/>
    <w:rsid w:val="00CA3740"/>
    <w:rsid w:val="00CA432E"/>
    <w:rsid w:val="00CA444F"/>
    <w:rsid w:val="00CA4E72"/>
    <w:rsid w:val="00CA515C"/>
    <w:rsid w:val="00CA5245"/>
    <w:rsid w:val="00CA5BEF"/>
    <w:rsid w:val="00CA6412"/>
    <w:rsid w:val="00CA6A48"/>
    <w:rsid w:val="00CA71F4"/>
    <w:rsid w:val="00CA73C8"/>
    <w:rsid w:val="00CA7B09"/>
    <w:rsid w:val="00CA7D22"/>
    <w:rsid w:val="00CB131F"/>
    <w:rsid w:val="00CB1BA8"/>
    <w:rsid w:val="00CB1C00"/>
    <w:rsid w:val="00CB2C90"/>
    <w:rsid w:val="00CB2E13"/>
    <w:rsid w:val="00CB2F2A"/>
    <w:rsid w:val="00CB350F"/>
    <w:rsid w:val="00CB481D"/>
    <w:rsid w:val="00CB49D2"/>
    <w:rsid w:val="00CB4D9D"/>
    <w:rsid w:val="00CB5B1A"/>
    <w:rsid w:val="00CB66D8"/>
    <w:rsid w:val="00CB697D"/>
    <w:rsid w:val="00CB6B22"/>
    <w:rsid w:val="00CB71EA"/>
    <w:rsid w:val="00CB7394"/>
    <w:rsid w:val="00CB7698"/>
    <w:rsid w:val="00CB77A7"/>
    <w:rsid w:val="00CB7F5F"/>
    <w:rsid w:val="00CC0080"/>
    <w:rsid w:val="00CC0A75"/>
    <w:rsid w:val="00CC14B7"/>
    <w:rsid w:val="00CC1B39"/>
    <w:rsid w:val="00CC249E"/>
    <w:rsid w:val="00CC30C9"/>
    <w:rsid w:val="00CC329C"/>
    <w:rsid w:val="00CC3F9F"/>
    <w:rsid w:val="00CC568F"/>
    <w:rsid w:val="00CC5732"/>
    <w:rsid w:val="00CC73E0"/>
    <w:rsid w:val="00CC756D"/>
    <w:rsid w:val="00CD0B36"/>
    <w:rsid w:val="00CD0BA0"/>
    <w:rsid w:val="00CD106B"/>
    <w:rsid w:val="00CD2322"/>
    <w:rsid w:val="00CD26C2"/>
    <w:rsid w:val="00CD32F0"/>
    <w:rsid w:val="00CD540A"/>
    <w:rsid w:val="00CD6ADC"/>
    <w:rsid w:val="00CD727B"/>
    <w:rsid w:val="00CE0177"/>
    <w:rsid w:val="00CE10D9"/>
    <w:rsid w:val="00CE280E"/>
    <w:rsid w:val="00CE37C9"/>
    <w:rsid w:val="00CE3984"/>
    <w:rsid w:val="00CE3E13"/>
    <w:rsid w:val="00CE45B2"/>
    <w:rsid w:val="00CE4797"/>
    <w:rsid w:val="00CE55FC"/>
    <w:rsid w:val="00CE562C"/>
    <w:rsid w:val="00CE6274"/>
    <w:rsid w:val="00CE7B0F"/>
    <w:rsid w:val="00CF0B9D"/>
    <w:rsid w:val="00CF0CB3"/>
    <w:rsid w:val="00CF2AE8"/>
    <w:rsid w:val="00CF2B8D"/>
    <w:rsid w:val="00CF3297"/>
    <w:rsid w:val="00CF4243"/>
    <w:rsid w:val="00CF43C8"/>
    <w:rsid w:val="00CF456B"/>
    <w:rsid w:val="00CF4B20"/>
    <w:rsid w:val="00CF5A22"/>
    <w:rsid w:val="00CF5A5C"/>
    <w:rsid w:val="00CF6379"/>
    <w:rsid w:val="00CF67E9"/>
    <w:rsid w:val="00CF68E2"/>
    <w:rsid w:val="00CF7697"/>
    <w:rsid w:val="00D00410"/>
    <w:rsid w:val="00D016FB"/>
    <w:rsid w:val="00D0262E"/>
    <w:rsid w:val="00D033D3"/>
    <w:rsid w:val="00D04368"/>
    <w:rsid w:val="00D05F29"/>
    <w:rsid w:val="00D07ABA"/>
    <w:rsid w:val="00D07C67"/>
    <w:rsid w:val="00D10800"/>
    <w:rsid w:val="00D10DFB"/>
    <w:rsid w:val="00D110BD"/>
    <w:rsid w:val="00D11276"/>
    <w:rsid w:val="00D13358"/>
    <w:rsid w:val="00D13675"/>
    <w:rsid w:val="00D136C7"/>
    <w:rsid w:val="00D141E1"/>
    <w:rsid w:val="00D1447C"/>
    <w:rsid w:val="00D15672"/>
    <w:rsid w:val="00D159D7"/>
    <w:rsid w:val="00D15DE4"/>
    <w:rsid w:val="00D17513"/>
    <w:rsid w:val="00D1775A"/>
    <w:rsid w:val="00D17D6C"/>
    <w:rsid w:val="00D208F7"/>
    <w:rsid w:val="00D20CA9"/>
    <w:rsid w:val="00D210DC"/>
    <w:rsid w:val="00D21236"/>
    <w:rsid w:val="00D2349F"/>
    <w:rsid w:val="00D23EE5"/>
    <w:rsid w:val="00D242E7"/>
    <w:rsid w:val="00D248E4"/>
    <w:rsid w:val="00D24DA7"/>
    <w:rsid w:val="00D251E0"/>
    <w:rsid w:val="00D2594C"/>
    <w:rsid w:val="00D2754D"/>
    <w:rsid w:val="00D27B27"/>
    <w:rsid w:val="00D27FDC"/>
    <w:rsid w:val="00D31582"/>
    <w:rsid w:val="00D31B1E"/>
    <w:rsid w:val="00D33BE9"/>
    <w:rsid w:val="00D3424D"/>
    <w:rsid w:val="00D3483D"/>
    <w:rsid w:val="00D357FF"/>
    <w:rsid w:val="00D35A2D"/>
    <w:rsid w:val="00D36025"/>
    <w:rsid w:val="00D369AE"/>
    <w:rsid w:val="00D36A13"/>
    <w:rsid w:val="00D37530"/>
    <w:rsid w:val="00D40B1F"/>
    <w:rsid w:val="00D414BF"/>
    <w:rsid w:val="00D417B6"/>
    <w:rsid w:val="00D4199C"/>
    <w:rsid w:val="00D41DB8"/>
    <w:rsid w:val="00D4227C"/>
    <w:rsid w:val="00D424C7"/>
    <w:rsid w:val="00D42755"/>
    <w:rsid w:val="00D43518"/>
    <w:rsid w:val="00D43B2A"/>
    <w:rsid w:val="00D44F87"/>
    <w:rsid w:val="00D45E14"/>
    <w:rsid w:val="00D462F5"/>
    <w:rsid w:val="00D46B62"/>
    <w:rsid w:val="00D47514"/>
    <w:rsid w:val="00D47575"/>
    <w:rsid w:val="00D47EAB"/>
    <w:rsid w:val="00D47FDA"/>
    <w:rsid w:val="00D502DB"/>
    <w:rsid w:val="00D50482"/>
    <w:rsid w:val="00D50AE7"/>
    <w:rsid w:val="00D516CC"/>
    <w:rsid w:val="00D51D60"/>
    <w:rsid w:val="00D51FBE"/>
    <w:rsid w:val="00D52F7C"/>
    <w:rsid w:val="00D5399C"/>
    <w:rsid w:val="00D53E2B"/>
    <w:rsid w:val="00D54386"/>
    <w:rsid w:val="00D56B12"/>
    <w:rsid w:val="00D57E90"/>
    <w:rsid w:val="00D60072"/>
    <w:rsid w:val="00D6060D"/>
    <w:rsid w:val="00D62262"/>
    <w:rsid w:val="00D62DC5"/>
    <w:rsid w:val="00D63337"/>
    <w:rsid w:val="00D63D8B"/>
    <w:rsid w:val="00D650A7"/>
    <w:rsid w:val="00D65C9F"/>
    <w:rsid w:val="00D66DE9"/>
    <w:rsid w:val="00D70F16"/>
    <w:rsid w:val="00D7118C"/>
    <w:rsid w:val="00D7243D"/>
    <w:rsid w:val="00D7248C"/>
    <w:rsid w:val="00D739C7"/>
    <w:rsid w:val="00D73B9E"/>
    <w:rsid w:val="00D740C6"/>
    <w:rsid w:val="00D74BF9"/>
    <w:rsid w:val="00D768DA"/>
    <w:rsid w:val="00D76A44"/>
    <w:rsid w:val="00D7762F"/>
    <w:rsid w:val="00D81056"/>
    <w:rsid w:val="00D815EF"/>
    <w:rsid w:val="00D82F42"/>
    <w:rsid w:val="00D835F7"/>
    <w:rsid w:val="00D837EA"/>
    <w:rsid w:val="00D83DD9"/>
    <w:rsid w:val="00D853D4"/>
    <w:rsid w:val="00D86A86"/>
    <w:rsid w:val="00D87527"/>
    <w:rsid w:val="00D876AC"/>
    <w:rsid w:val="00D90CE3"/>
    <w:rsid w:val="00D91923"/>
    <w:rsid w:val="00D9269B"/>
    <w:rsid w:val="00D928BE"/>
    <w:rsid w:val="00D92A91"/>
    <w:rsid w:val="00D93753"/>
    <w:rsid w:val="00D93CC5"/>
    <w:rsid w:val="00D93F6D"/>
    <w:rsid w:val="00D946CF"/>
    <w:rsid w:val="00D9476C"/>
    <w:rsid w:val="00D94902"/>
    <w:rsid w:val="00D96316"/>
    <w:rsid w:val="00D971AA"/>
    <w:rsid w:val="00D97C91"/>
    <w:rsid w:val="00D97FD7"/>
    <w:rsid w:val="00DA0ECB"/>
    <w:rsid w:val="00DA176B"/>
    <w:rsid w:val="00DA1E6D"/>
    <w:rsid w:val="00DA23E7"/>
    <w:rsid w:val="00DA29EF"/>
    <w:rsid w:val="00DA3167"/>
    <w:rsid w:val="00DA31F9"/>
    <w:rsid w:val="00DA33DB"/>
    <w:rsid w:val="00DA34D3"/>
    <w:rsid w:val="00DA4DC3"/>
    <w:rsid w:val="00DA5379"/>
    <w:rsid w:val="00DA636C"/>
    <w:rsid w:val="00DA6735"/>
    <w:rsid w:val="00DA6BD3"/>
    <w:rsid w:val="00DA77A5"/>
    <w:rsid w:val="00DA7DBD"/>
    <w:rsid w:val="00DB00DA"/>
    <w:rsid w:val="00DB0F4C"/>
    <w:rsid w:val="00DB1285"/>
    <w:rsid w:val="00DB1861"/>
    <w:rsid w:val="00DB1AA2"/>
    <w:rsid w:val="00DB484F"/>
    <w:rsid w:val="00DB5091"/>
    <w:rsid w:val="00DB5123"/>
    <w:rsid w:val="00DB5D1B"/>
    <w:rsid w:val="00DB6BFA"/>
    <w:rsid w:val="00DB776A"/>
    <w:rsid w:val="00DC04F6"/>
    <w:rsid w:val="00DC05AC"/>
    <w:rsid w:val="00DC1688"/>
    <w:rsid w:val="00DC1ECE"/>
    <w:rsid w:val="00DC3824"/>
    <w:rsid w:val="00DC3C57"/>
    <w:rsid w:val="00DC42C7"/>
    <w:rsid w:val="00DC4610"/>
    <w:rsid w:val="00DC5183"/>
    <w:rsid w:val="00DC5501"/>
    <w:rsid w:val="00DC67E6"/>
    <w:rsid w:val="00DC69E2"/>
    <w:rsid w:val="00DC7136"/>
    <w:rsid w:val="00DC756C"/>
    <w:rsid w:val="00DC78BC"/>
    <w:rsid w:val="00DC7A6E"/>
    <w:rsid w:val="00DD1767"/>
    <w:rsid w:val="00DD182C"/>
    <w:rsid w:val="00DD273C"/>
    <w:rsid w:val="00DD2B7D"/>
    <w:rsid w:val="00DD3435"/>
    <w:rsid w:val="00DD350B"/>
    <w:rsid w:val="00DD3C50"/>
    <w:rsid w:val="00DD3F28"/>
    <w:rsid w:val="00DD4537"/>
    <w:rsid w:val="00DD4E15"/>
    <w:rsid w:val="00DD4E41"/>
    <w:rsid w:val="00DD661B"/>
    <w:rsid w:val="00DD71DC"/>
    <w:rsid w:val="00DD7200"/>
    <w:rsid w:val="00DE074D"/>
    <w:rsid w:val="00DE194A"/>
    <w:rsid w:val="00DE2770"/>
    <w:rsid w:val="00DE3138"/>
    <w:rsid w:val="00DE3693"/>
    <w:rsid w:val="00DE37F8"/>
    <w:rsid w:val="00DE3B27"/>
    <w:rsid w:val="00DE4BEE"/>
    <w:rsid w:val="00DE4D08"/>
    <w:rsid w:val="00DE4FCB"/>
    <w:rsid w:val="00DE54A8"/>
    <w:rsid w:val="00DE6B57"/>
    <w:rsid w:val="00DE7832"/>
    <w:rsid w:val="00DE7C76"/>
    <w:rsid w:val="00DF03B4"/>
    <w:rsid w:val="00DF18FC"/>
    <w:rsid w:val="00DF1CA6"/>
    <w:rsid w:val="00DF1FBE"/>
    <w:rsid w:val="00DF22A3"/>
    <w:rsid w:val="00DF3D72"/>
    <w:rsid w:val="00DF3DA4"/>
    <w:rsid w:val="00DF3DAD"/>
    <w:rsid w:val="00DF4998"/>
    <w:rsid w:val="00DF4ADF"/>
    <w:rsid w:val="00DF5D2B"/>
    <w:rsid w:val="00DF659C"/>
    <w:rsid w:val="00DF65E3"/>
    <w:rsid w:val="00DF67F6"/>
    <w:rsid w:val="00DF744A"/>
    <w:rsid w:val="00DF74B7"/>
    <w:rsid w:val="00DF7654"/>
    <w:rsid w:val="00DF7949"/>
    <w:rsid w:val="00DF798E"/>
    <w:rsid w:val="00E00DFE"/>
    <w:rsid w:val="00E00E8E"/>
    <w:rsid w:val="00E013C7"/>
    <w:rsid w:val="00E01A81"/>
    <w:rsid w:val="00E03D00"/>
    <w:rsid w:val="00E04002"/>
    <w:rsid w:val="00E04471"/>
    <w:rsid w:val="00E0451D"/>
    <w:rsid w:val="00E05630"/>
    <w:rsid w:val="00E06CA9"/>
    <w:rsid w:val="00E06DBB"/>
    <w:rsid w:val="00E10149"/>
    <w:rsid w:val="00E113C3"/>
    <w:rsid w:val="00E13A2A"/>
    <w:rsid w:val="00E13F7B"/>
    <w:rsid w:val="00E162AA"/>
    <w:rsid w:val="00E16372"/>
    <w:rsid w:val="00E166F5"/>
    <w:rsid w:val="00E16858"/>
    <w:rsid w:val="00E16BF2"/>
    <w:rsid w:val="00E174DF"/>
    <w:rsid w:val="00E20227"/>
    <w:rsid w:val="00E20381"/>
    <w:rsid w:val="00E20B13"/>
    <w:rsid w:val="00E20E4D"/>
    <w:rsid w:val="00E20ED6"/>
    <w:rsid w:val="00E2114D"/>
    <w:rsid w:val="00E21358"/>
    <w:rsid w:val="00E22365"/>
    <w:rsid w:val="00E2249B"/>
    <w:rsid w:val="00E22A0D"/>
    <w:rsid w:val="00E2312D"/>
    <w:rsid w:val="00E255C6"/>
    <w:rsid w:val="00E2570F"/>
    <w:rsid w:val="00E25E09"/>
    <w:rsid w:val="00E25F1F"/>
    <w:rsid w:val="00E26178"/>
    <w:rsid w:val="00E2673B"/>
    <w:rsid w:val="00E26B70"/>
    <w:rsid w:val="00E26D36"/>
    <w:rsid w:val="00E2771E"/>
    <w:rsid w:val="00E27764"/>
    <w:rsid w:val="00E2792E"/>
    <w:rsid w:val="00E27D79"/>
    <w:rsid w:val="00E30968"/>
    <w:rsid w:val="00E31675"/>
    <w:rsid w:val="00E31895"/>
    <w:rsid w:val="00E31BB4"/>
    <w:rsid w:val="00E3262E"/>
    <w:rsid w:val="00E33391"/>
    <w:rsid w:val="00E341D7"/>
    <w:rsid w:val="00E343C5"/>
    <w:rsid w:val="00E34569"/>
    <w:rsid w:val="00E34948"/>
    <w:rsid w:val="00E356F4"/>
    <w:rsid w:val="00E35A7C"/>
    <w:rsid w:val="00E364E2"/>
    <w:rsid w:val="00E3689A"/>
    <w:rsid w:val="00E37569"/>
    <w:rsid w:val="00E37CCF"/>
    <w:rsid w:val="00E41E30"/>
    <w:rsid w:val="00E4229A"/>
    <w:rsid w:val="00E42553"/>
    <w:rsid w:val="00E429C6"/>
    <w:rsid w:val="00E43A72"/>
    <w:rsid w:val="00E43D70"/>
    <w:rsid w:val="00E443DA"/>
    <w:rsid w:val="00E4538C"/>
    <w:rsid w:val="00E4563B"/>
    <w:rsid w:val="00E456D4"/>
    <w:rsid w:val="00E466F3"/>
    <w:rsid w:val="00E46CE6"/>
    <w:rsid w:val="00E476C1"/>
    <w:rsid w:val="00E47B2C"/>
    <w:rsid w:val="00E5096A"/>
    <w:rsid w:val="00E51560"/>
    <w:rsid w:val="00E5321B"/>
    <w:rsid w:val="00E537AB"/>
    <w:rsid w:val="00E53850"/>
    <w:rsid w:val="00E54246"/>
    <w:rsid w:val="00E54347"/>
    <w:rsid w:val="00E55424"/>
    <w:rsid w:val="00E5542C"/>
    <w:rsid w:val="00E55BB5"/>
    <w:rsid w:val="00E55DF0"/>
    <w:rsid w:val="00E563C8"/>
    <w:rsid w:val="00E567EC"/>
    <w:rsid w:val="00E56E08"/>
    <w:rsid w:val="00E56F8B"/>
    <w:rsid w:val="00E60214"/>
    <w:rsid w:val="00E60C71"/>
    <w:rsid w:val="00E60CA1"/>
    <w:rsid w:val="00E61847"/>
    <w:rsid w:val="00E633F5"/>
    <w:rsid w:val="00E63874"/>
    <w:rsid w:val="00E64227"/>
    <w:rsid w:val="00E643E4"/>
    <w:rsid w:val="00E6443F"/>
    <w:rsid w:val="00E64AC5"/>
    <w:rsid w:val="00E65E79"/>
    <w:rsid w:val="00E66BA2"/>
    <w:rsid w:val="00E66EE8"/>
    <w:rsid w:val="00E66F3C"/>
    <w:rsid w:val="00E67416"/>
    <w:rsid w:val="00E6797E"/>
    <w:rsid w:val="00E7024A"/>
    <w:rsid w:val="00E70DD7"/>
    <w:rsid w:val="00E71618"/>
    <w:rsid w:val="00E718B6"/>
    <w:rsid w:val="00E72022"/>
    <w:rsid w:val="00E723BA"/>
    <w:rsid w:val="00E7258B"/>
    <w:rsid w:val="00E7301E"/>
    <w:rsid w:val="00E730EB"/>
    <w:rsid w:val="00E73581"/>
    <w:rsid w:val="00E73D96"/>
    <w:rsid w:val="00E74B60"/>
    <w:rsid w:val="00E77326"/>
    <w:rsid w:val="00E777E3"/>
    <w:rsid w:val="00E77998"/>
    <w:rsid w:val="00E8011C"/>
    <w:rsid w:val="00E8138A"/>
    <w:rsid w:val="00E8244A"/>
    <w:rsid w:val="00E831AD"/>
    <w:rsid w:val="00E833F7"/>
    <w:rsid w:val="00E83BDF"/>
    <w:rsid w:val="00E84D1D"/>
    <w:rsid w:val="00E84F7F"/>
    <w:rsid w:val="00E85BB8"/>
    <w:rsid w:val="00E861A1"/>
    <w:rsid w:val="00E86E32"/>
    <w:rsid w:val="00E8718F"/>
    <w:rsid w:val="00E87A1D"/>
    <w:rsid w:val="00E90779"/>
    <w:rsid w:val="00E90801"/>
    <w:rsid w:val="00E90F0E"/>
    <w:rsid w:val="00E926A5"/>
    <w:rsid w:val="00E956A4"/>
    <w:rsid w:val="00E96354"/>
    <w:rsid w:val="00E96751"/>
    <w:rsid w:val="00E97466"/>
    <w:rsid w:val="00E97893"/>
    <w:rsid w:val="00EA016D"/>
    <w:rsid w:val="00EA0188"/>
    <w:rsid w:val="00EA1157"/>
    <w:rsid w:val="00EA1277"/>
    <w:rsid w:val="00EA17C3"/>
    <w:rsid w:val="00EA2CAA"/>
    <w:rsid w:val="00EA2CD5"/>
    <w:rsid w:val="00EA3864"/>
    <w:rsid w:val="00EA4609"/>
    <w:rsid w:val="00EA52A6"/>
    <w:rsid w:val="00EA56FB"/>
    <w:rsid w:val="00EA5BD2"/>
    <w:rsid w:val="00EA6EA1"/>
    <w:rsid w:val="00EA79E6"/>
    <w:rsid w:val="00EA7E4A"/>
    <w:rsid w:val="00EA7FA4"/>
    <w:rsid w:val="00EB003C"/>
    <w:rsid w:val="00EB038D"/>
    <w:rsid w:val="00EB0885"/>
    <w:rsid w:val="00EB15B6"/>
    <w:rsid w:val="00EB26C5"/>
    <w:rsid w:val="00EB423F"/>
    <w:rsid w:val="00EB45B1"/>
    <w:rsid w:val="00EB4916"/>
    <w:rsid w:val="00EB4B5C"/>
    <w:rsid w:val="00EB4D44"/>
    <w:rsid w:val="00EB4DB2"/>
    <w:rsid w:val="00EB553E"/>
    <w:rsid w:val="00EB7043"/>
    <w:rsid w:val="00EB755B"/>
    <w:rsid w:val="00EC00C9"/>
    <w:rsid w:val="00EC0F9D"/>
    <w:rsid w:val="00EC10C0"/>
    <w:rsid w:val="00EC2649"/>
    <w:rsid w:val="00EC416F"/>
    <w:rsid w:val="00EC4927"/>
    <w:rsid w:val="00EC4C67"/>
    <w:rsid w:val="00EC617C"/>
    <w:rsid w:val="00EC652B"/>
    <w:rsid w:val="00EC6F87"/>
    <w:rsid w:val="00EC724D"/>
    <w:rsid w:val="00EC7F2C"/>
    <w:rsid w:val="00ED05A8"/>
    <w:rsid w:val="00ED0687"/>
    <w:rsid w:val="00ED0D17"/>
    <w:rsid w:val="00ED0FF6"/>
    <w:rsid w:val="00ED1791"/>
    <w:rsid w:val="00ED2BE3"/>
    <w:rsid w:val="00ED2F23"/>
    <w:rsid w:val="00ED2FC7"/>
    <w:rsid w:val="00ED2FE3"/>
    <w:rsid w:val="00ED547E"/>
    <w:rsid w:val="00ED57EA"/>
    <w:rsid w:val="00ED5FE3"/>
    <w:rsid w:val="00ED6B87"/>
    <w:rsid w:val="00ED70EC"/>
    <w:rsid w:val="00ED7DE0"/>
    <w:rsid w:val="00EE07D3"/>
    <w:rsid w:val="00EE0BC4"/>
    <w:rsid w:val="00EE0FB8"/>
    <w:rsid w:val="00EE1570"/>
    <w:rsid w:val="00EE15DC"/>
    <w:rsid w:val="00EE16CF"/>
    <w:rsid w:val="00EE22AF"/>
    <w:rsid w:val="00EE2682"/>
    <w:rsid w:val="00EE2C74"/>
    <w:rsid w:val="00EE67FC"/>
    <w:rsid w:val="00EE7138"/>
    <w:rsid w:val="00EE7746"/>
    <w:rsid w:val="00EE7D9D"/>
    <w:rsid w:val="00EF0171"/>
    <w:rsid w:val="00EF03E3"/>
    <w:rsid w:val="00EF095E"/>
    <w:rsid w:val="00EF0C08"/>
    <w:rsid w:val="00EF1902"/>
    <w:rsid w:val="00EF1936"/>
    <w:rsid w:val="00EF1B25"/>
    <w:rsid w:val="00EF2A60"/>
    <w:rsid w:val="00EF34F4"/>
    <w:rsid w:val="00EF3A6A"/>
    <w:rsid w:val="00EF4747"/>
    <w:rsid w:val="00EF4BF8"/>
    <w:rsid w:val="00EF4C8F"/>
    <w:rsid w:val="00EF595C"/>
    <w:rsid w:val="00EF5B0A"/>
    <w:rsid w:val="00EF70D9"/>
    <w:rsid w:val="00EF757F"/>
    <w:rsid w:val="00F0054C"/>
    <w:rsid w:val="00F00E65"/>
    <w:rsid w:val="00F0121D"/>
    <w:rsid w:val="00F0132E"/>
    <w:rsid w:val="00F016F0"/>
    <w:rsid w:val="00F01DEA"/>
    <w:rsid w:val="00F01F87"/>
    <w:rsid w:val="00F02253"/>
    <w:rsid w:val="00F0326B"/>
    <w:rsid w:val="00F03C2E"/>
    <w:rsid w:val="00F03CD2"/>
    <w:rsid w:val="00F04229"/>
    <w:rsid w:val="00F048CF"/>
    <w:rsid w:val="00F04A66"/>
    <w:rsid w:val="00F04C0D"/>
    <w:rsid w:val="00F0516C"/>
    <w:rsid w:val="00F05AB7"/>
    <w:rsid w:val="00F05BEE"/>
    <w:rsid w:val="00F067A2"/>
    <w:rsid w:val="00F07895"/>
    <w:rsid w:val="00F11BD3"/>
    <w:rsid w:val="00F122A7"/>
    <w:rsid w:val="00F123EA"/>
    <w:rsid w:val="00F1263A"/>
    <w:rsid w:val="00F1780E"/>
    <w:rsid w:val="00F20743"/>
    <w:rsid w:val="00F21A3A"/>
    <w:rsid w:val="00F226C6"/>
    <w:rsid w:val="00F23196"/>
    <w:rsid w:val="00F24545"/>
    <w:rsid w:val="00F24837"/>
    <w:rsid w:val="00F250A4"/>
    <w:rsid w:val="00F2575F"/>
    <w:rsid w:val="00F2609C"/>
    <w:rsid w:val="00F2746E"/>
    <w:rsid w:val="00F27565"/>
    <w:rsid w:val="00F27615"/>
    <w:rsid w:val="00F310D4"/>
    <w:rsid w:val="00F312CB"/>
    <w:rsid w:val="00F31789"/>
    <w:rsid w:val="00F31AB1"/>
    <w:rsid w:val="00F31D5A"/>
    <w:rsid w:val="00F3282B"/>
    <w:rsid w:val="00F33DE9"/>
    <w:rsid w:val="00F3419B"/>
    <w:rsid w:val="00F341D6"/>
    <w:rsid w:val="00F35346"/>
    <w:rsid w:val="00F3537A"/>
    <w:rsid w:val="00F356C2"/>
    <w:rsid w:val="00F3619A"/>
    <w:rsid w:val="00F40AAA"/>
    <w:rsid w:val="00F40BA7"/>
    <w:rsid w:val="00F41744"/>
    <w:rsid w:val="00F426D8"/>
    <w:rsid w:val="00F43071"/>
    <w:rsid w:val="00F43EB3"/>
    <w:rsid w:val="00F44459"/>
    <w:rsid w:val="00F45B78"/>
    <w:rsid w:val="00F464BD"/>
    <w:rsid w:val="00F46CB6"/>
    <w:rsid w:val="00F46EB6"/>
    <w:rsid w:val="00F475B6"/>
    <w:rsid w:val="00F47DE8"/>
    <w:rsid w:val="00F50735"/>
    <w:rsid w:val="00F5117E"/>
    <w:rsid w:val="00F52B0D"/>
    <w:rsid w:val="00F542C1"/>
    <w:rsid w:val="00F54FAC"/>
    <w:rsid w:val="00F55E73"/>
    <w:rsid w:val="00F55EDA"/>
    <w:rsid w:val="00F5602E"/>
    <w:rsid w:val="00F569BA"/>
    <w:rsid w:val="00F60092"/>
    <w:rsid w:val="00F60E6C"/>
    <w:rsid w:val="00F617ED"/>
    <w:rsid w:val="00F62E77"/>
    <w:rsid w:val="00F64B37"/>
    <w:rsid w:val="00F659EB"/>
    <w:rsid w:val="00F65F4B"/>
    <w:rsid w:val="00F66A59"/>
    <w:rsid w:val="00F67265"/>
    <w:rsid w:val="00F6784B"/>
    <w:rsid w:val="00F70C9D"/>
    <w:rsid w:val="00F714B0"/>
    <w:rsid w:val="00F71A2B"/>
    <w:rsid w:val="00F72764"/>
    <w:rsid w:val="00F7309B"/>
    <w:rsid w:val="00F732FF"/>
    <w:rsid w:val="00F73514"/>
    <w:rsid w:val="00F73519"/>
    <w:rsid w:val="00F747A3"/>
    <w:rsid w:val="00F74CD9"/>
    <w:rsid w:val="00F752EC"/>
    <w:rsid w:val="00F75A57"/>
    <w:rsid w:val="00F75D5E"/>
    <w:rsid w:val="00F75F85"/>
    <w:rsid w:val="00F76CA1"/>
    <w:rsid w:val="00F7704C"/>
    <w:rsid w:val="00F772A1"/>
    <w:rsid w:val="00F77EBC"/>
    <w:rsid w:val="00F80040"/>
    <w:rsid w:val="00F801BB"/>
    <w:rsid w:val="00F80A7B"/>
    <w:rsid w:val="00F80E5D"/>
    <w:rsid w:val="00F828F1"/>
    <w:rsid w:val="00F83499"/>
    <w:rsid w:val="00F851A6"/>
    <w:rsid w:val="00F851CE"/>
    <w:rsid w:val="00F859FC"/>
    <w:rsid w:val="00F8644B"/>
    <w:rsid w:val="00F8680C"/>
    <w:rsid w:val="00F86E50"/>
    <w:rsid w:val="00F8787D"/>
    <w:rsid w:val="00F905C3"/>
    <w:rsid w:val="00F91219"/>
    <w:rsid w:val="00F9180F"/>
    <w:rsid w:val="00F92DC4"/>
    <w:rsid w:val="00F93D8B"/>
    <w:rsid w:val="00F93E0A"/>
    <w:rsid w:val="00F956AB"/>
    <w:rsid w:val="00F964C0"/>
    <w:rsid w:val="00F97A78"/>
    <w:rsid w:val="00F97C63"/>
    <w:rsid w:val="00F97CF0"/>
    <w:rsid w:val="00FA0B0C"/>
    <w:rsid w:val="00FA0B20"/>
    <w:rsid w:val="00FA1137"/>
    <w:rsid w:val="00FA24E7"/>
    <w:rsid w:val="00FA2E58"/>
    <w:rsid w:val="00FA4508"/>
    <w:rsid w:val="00FA4804"/>
    <w:rsid w:val="00FA4FB3"/>
    <w:rsid w:val="00FA5BC7"/>
    <w:rsid w:val="00FA6F9E"/>
    <w:rsid w:val="00FA744D"/>
    <w:rsid w:val="00FA7551"/>
    <w:rsid w:val="00FB03E2"/>
    <w:rsid w:val="00FB07BF"/>
    <w:rsid w:val="00FB1AE9"/>
    <w:rsid w:val="00FB2C5F"/>
    <w:rsid w:val="00FB2D1C"/>
    <w:rsid w:val="00FB2FCB"/>
    <w:rsid w:val="00FB31FC"/>
    <w:rsid w:val="00FB35B2"/>
    <w:rsid w:val="00FB3E41"/>
    <w:rsid w:val="00FB4E97"/>
    <w:rsid w:val="00FB5658"/>
    <w:rsid w:val="00FB56E0"/>
    <w:rsid w:val="00FC07DB"/>
    <w:rsid w:val="00FC1074"/>
    <w:rsid w:val="00FC1884"/>
    <w:rsid w:val="00FC2372"/>
    <w:rsid w:val="00FC3069"/>
    <w:rsid w:val="00FC371D"/>
    <w:rsid w:val="00FC3753"/>
    <w:rsid w:val="00FC51D9"/>
    <w:rsid w:val="00FC5F0B"/>
    <w:rsid w:val="00FC64FD"/>
    <w:rsid w:val="00FD1912"/>
    <w:rsid w:val="00FD1C39"/>
    <w:rsid w:val="00FD1D55"/>
    <w:rsid w:val="00FD2100"/>
    <w:rsid w:val="00FD2D99"/>
    <w:rsid w:val="00FD3A16"/>
    <w:rsid w:val="00FD3A9B"/>
    <w:rsid w:val="00FD436C"/>
    <w:rsid w:val="00FD43FC"/>
    <w:rsid w:val="00FD446D"/>
    <w:rsid w:val="00FD6394"/>
    <w:rsid w:val="00FD7310"/>
    <w:rsid w:val="00FD7B26"/>
    <w:rsid w:val="00FE0E6C"/>
    <w:rsid w:val="00FE1434"/>
    <w:rsid w:val="00FE3694"/>
    <w:rsid w:val="00FE453B"/>
    <w:rsid w:val="00FE4C5D"/>
    <w:rsid w:val="00FE51AA"/>
    <w:rsid w:val="00FE54D8"/>
    <w:rsid w:val="00FE5C14"/>
    <w:rsid w:val="00FE6018"/>
    <w:rsid w:val="00FE70C3"/>
    <w:rsid w:val="00FE755A"/>
    <w:rsid w:val="00FF1339"/>
    <w:rsid w:val="00FF2192"/>
    <w:rsid w:val="00FF2F7C"/>
    <w:rsid w:val="00FF30EA"/>
    <w:rsid w:val="00FF3AD3"/>
    <w:rsid w:val="00FF3B18"/>
    <w:rsid w:val="00FF3BC4"/>
    <w:rsid w:val="00FF3DCF"/>
    <w:rsid w:val="00FF4894"/>
    <w:rsid w:val="00FF492C"/>
    <w:rsid w:val="00FF4A21"/>
    <w:rsid w:val="00FF53DB"/>
    <w:rsid w:val="00FF5AA3"/>
    <w:rsid w:val="00FF5AD8"/>
    <w:rsid w:val="00FF5CCC"/>
    <w:rsid w:val="00FF715C"/>
    <w:rsid w:val="00FF71E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3CF"/>
    <w:rPr>
      <w:rFonts w:ascii="Calibri" w:hAnsi="Calibri"/>
      <w:sz w:val="24"/>
      <w:szCs w:val="24"/>
    </w:rPr>
  </w:style>
  <w:style w:type="paragraph" w:styleId="Heading1">
    <w:name w:val="heading 1"/>
    <w:basedOn w:val="Normal"/>
    <w:next w:val="Normal"/>
    <w:link w:val="Heading1Char"/>
    <w:qFormat/>
    <w:rsid w:val="001B204E"/>
    <w:pPr>
      <w:ind w:left="720" w:hanging="720"/>
      <w:outlineLvl w:val="0"/>
    </w:pPr>
    <w:rPr>
      <w:b/>
      <w:caps/>
      <w:sz w:val="32"/>
    </w:rPr>
  </w:style>
  <w:style w:type="paragraph" w:styleId="Heading2">
    <w:name w:val="heading 2"/>
    <w:basedOn w:val="Normal"/>
    <w:next w:val="Normal"/>
    <w:link w:val="Heading2Char"/>
    <w:qFormat/>
    <w:rsid w:val="005A1BBE"/>
    <w:pPr>
      <w:spacing w:after="120"/>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1BBE"/>
    <w:rPr>
      <w:rFonts w:ascii="Calibri" w:hAnsi="Calibri"/>
      <w:b/>
      <w:i/>
      <w:sz w:val="28"/>
      <w:szCs w:val="24"/>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Bayer Caption,IB Caption,Medical Caption,CSR Caption,Char,Caption2,Caption Char1 Char,Caption Char Char Char,Caption Char1 Char Char Char,Caption Char Char Char Char Char,Caption Char Char1 Char,Caption Char1 Char1,CAPTION,Figure caption,- H17,c"/>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aliases w:val="Bayer Caption Char,IB Caption Char,Medical Caption Char,CSR Caption Char,Char Char,Caption2 Char,Caption Char1 Char Char,Caption Char Char Char Char,Caption Char1 Char Char Char Char,Caption Char Char Char Char Char Char,CAPTION Char,c Char"/>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_CC_Bullet,Bullet1,Bullet List,Section 5,Bullets Points,BulletList 1,Bulletlist1,BulletList1,Colorful List - Accent 11,BulletPoints,List Paragraph1,Footnote,Bullet point,List Paragraph11,Recommendation,ES Paragraph"/>
    <w:basedOn w:val="Normal"/>
    <w:link w:val="ListParagraphChar"/>
    <w:uiPriority w:val="34"/>
    <w:qFormat/>
    <w:rsid w:val="00591957"/>
    <w:pPr>
      <w:spacing w:after="160"/>
      <w:ind w:left="720"/>
    </w:pPr>
  </w:style>
  <w:style w:type="character" w:customStyle="1" w:styleId="ListParagraphChar">
    <w:name w:val="List Paragraph Char"/>
    <w:aliases w:val="Numbered para Char,BULLET Char,_CC_Bullet Char,Bullet1 Char,Bullet List Char,Section 5 Char,Bullets Points Char,BulletList 1 Char,Bulletlist1 Char,BulletList1 Char,Colorful List - Accent 11 Char,BulletPoints Char,List Paragraph1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rPr>
      <w:rFonts w:ascii="Arial Narrow" w:hAnsi="Arial Narrow"/>
      <w:snapToGrid w:val="0"/>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spacing w:before="40" w:after="40"/>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snapToGrid w:val="0"/>
      <w:lang w:val="en-US"/>
    </w:rPr>
  </w:style>
  <w:style w:type="paragraph" w:styleId="NormalWeb">
    <w:name w:val="Normal (Web)"/>
    <w:basedOn w:val="Normal"/>
    <w:uiPriority w:val="99"/>
    <w:rsid w:val="008F48EB"/>
    <w:pPr>
      <w:spacing w:before="100" w:after="100"/>
    </w:pPr>
    <w:rPr>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pPr>
    <w:rPr>
      <w:iCs/>
      <w:sz w:val="20"/>
    </w:rPr>
  </w:style>
  <w:style w:type="paragraph" w:styleId="TOC1">
    <w:name w:val="toc 1"/>
    <w:basedOn w:val="Normal"/>
    <w:next w:val="Normal"/>
    <w:autoRedefine/>
    <w:uiPriority w:val="39"/>
    <w:rsid w:val="00D0262E"/>
    <w:pPr>
      <w:spacing w:before="240" w:after="120"/>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pPr>
    <w:rPr>
      <w:rFonts w:asciiTheme="minorHAnsi" w:hAnsiTheme="minorHAnsi"/>
      <w:sz w:val="20"/>
    </w:rPr>
  </w:style>
  <w:style w:type="paragraph" w:styleId="TOC4">
    <w:name w:val="toc 4"/>
    <w:basedOn w:val="Normal"/>
    <w:next w:val="Normal"/>
    <w:autoRedefine/>
    <w:rsid w:val="00D0262E"/>
    <w:pPr>
      <w:ind w:left="660"/>
    </w:pPr>
    <w:rPr>
      <w:rFonts w:asciiTheme="minorHAnsi" w:hAnsiTheme="minorHAnsi"/>
      <w:sz w:val="20"/>
    </w:rPr>
  </w:style>
  <w:style w:type="paragraph" w:styleId="TOC5">
    <w:name w:val="toc 5"/>
    <w:basedOn w:val="Normal"/>
    <w:next w:val="Normal"/>
    <w:autoRedefine/>
    <w:rsid w:val="00D0262E"/>
    <w:pPr>
      <w:ind w:left="880"/>
    </w:pPr>
    <w:rPr>
      <w:rFonts w:asciiTheme="minorHAnsi" w:hAnsiTheme="minorHAnsi"/>
      <w:sz w:val="20"/>
    </w:rPr>
  </w:style>
  <w:style w:type="paragraph" w:styleId="TOC6">
    <w:name w:val="toc 6"/>
    <w:basedOn w:val="Normal"/>
    <w:next w:val="Normal"/>
    <w:autoRedefine/>
    <w:rsid w:val="00D0262E"/>
    <w:pPr>
      <w:ind w:left="1100"/>
    </w:pPr>
    <w:rPr>
      <w:rFonts w:asciiTheme="minorHAnsi" w:hAnsiTheme="minorHAnsi"/>
      <w:sz w:val="20"/>
    </w:rPr>
  </w:style>
  <w:style w:type="paragraph" w:styleId="TOC7">
    <w:name w:val="toc 7"/>
    <w:basedOn w:val="Normal"/>
    <w:next w:val="Normal"/>
    <w:autoRedefine/>
    <w:rsid w:val="00D0262E"/>
    <w:pPr>
      <w:ind w:left="1320"/>
    </w:pPr>
    <w:rPr>
      <w:rFonts w:asciiTheme="minorHAnsi" w:hAnsiTheme="minorHAnsi"/>
      <w:sz w:val="20"/>
    </w:rPr>
  </w:style>
  <w:style w:type="paragraph" w:styleId="TOC8">
    <w:name w:val="toc 8"/>
    <w:basedOn w:val="Normal"/>
    <w:next w:val="Normal"/>
    <w:autoRedefine/>
    <w:rsid w:val="00D0262E"/>
    <w:pPr>
      <w:ind w:left="1540"/>
    </w:pPr>
    <w:rPr>
      <w:rFonts w:asciiTheme="minorHAnsi" w:hAnsiTheme="minorHAnsi"/>
      <w:sz w:val="20"/>
    </w:rPr>
  </w:style>
  <w:style w:type="paragraph" w:styleId="TOC9">
    <w:name w:val="toc 9"/>
    <w:basedOn w:val="Normal"/>
    <w:next w:val="Normal"/>
    <w:autoRedefine/>
    <w:rsid w:val="00D0262E"/>
    <w:pPr>
      <w:ind w:left="1760"/>
    </w:pPr>
    <w:rPr>
      <w:rFonts w:asciiTheme="minorHAnsi" w:hAnsiTheme="minorHAnsi"/>
      <w:sz w:val="20"/>
    </w:rPr>
  </w:style>
  <w:style w:type="paragraph" w:styleId="CommentText">
    <w:name w:val="annotation text"/>
    <w:aliases w:val="- H19"/>
    <w:basedOn w:val="Normal"/>
    <w:link w:val="CommentTextChar"/>
    <w:uiPriority w:val="99"/>
    <w:rsid w:val="00FD2100"/>
    <w:rPr>
      <w:sz w:val="20"/>
    </w:rPr>
  </w:style>
  <w:style w:type="character" w:customStyle="1" w:styleId="CommentTextChar">
    <w:name w:val="Comment Text Char"/>
    <w:aliases w:val="- H19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3"/>
      </w:numPr>
      <w:spacing w:after="0"/>
      <w:ind w:left="425" w:hanging="425"/>
    </w:pPr>
  </w:style>
  <w:style w:type="paragraph" w:customStyle="1" w:styleId="TableName">
    <w:name w:val="TableName"/>
    <w:basedOn w:val="Normal"/>
    <w:rsid w:val="00CA7B09"/>
    <w:pPr>
      <w:keepNext/>
      <w:spacing w:before="120" w:after="120"/>
      <w:ind w:left="1800" w:hanging="1080"/>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5A1BBE"/>
    <w:pPr>
      <w:keepNext/>
      <w:numPr>
        <w:numId w:val="2"/>
      </w:numPr>
      <w:spacing w:before="240" w:after="120"/>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Left">
    <w:name w:val="Table Left"/>
    <w:basedOn w:val="Normal"/>
    <w:link w:val="TableLeftChar"/>
    <w:uiPriority w:val="99"/>
    <w:qFormat/>
    <w:rsid w:val="00C825DC"/>
    <w:rPr>
      <w:rFonts w:ascii="Arial Narrow" w:eastAsiaTheme="majorEastAsia" w:hAnsi="Arial Narrow" w:cstheme="majorBidi"/>
      <w:snapToGrid w:val="0"/>
      <w:sz w:val="20"/>
      <w:lang w:bidi="en-US"/>
    </w:rPr>
  </w:style>
  <w:style w:type="character" w:customStyle="1" w:styleId="TableLeftChar">
    <w:name w:val="Table Left Char"/>
    <w:basedOn w:val="DefaultParagraphFont"/>
    <w:link w:val="TableLeft"/>
    <w:uiPriority w:val="99"/>
    <w:locked/>
    <w:rsid w:val="00C825DC"/>
    <w:rPr>
      <w:rFonts w:ascii="Arial Narrow" w:eastAsiaTheme="majorEastAsia" w:hAnsi="Arial Narrow" w:cstheme="majorBidi"/>
      <w:szCs w:val="22"/>
      <w:lang w:eastAsia="en-US" w:bidi="en-US"/>
    </w:rPr>
  </w:style>
  <w:style w:type="character" w:customStyle="1" w:styleId="SmallItalics">
    <w:name w:val="Small Italics"/>
    <w:basedOn w:val="DefaultParagraphFont"/>
    <w:uiPriority w:val="4"/>
    <w:qFormat/>
    <w:rsid w:val="00C825DC"/>
    <w:rPr>
      <w:rFonts w:ascii="Calibri" w:hAnsi="Calibri"/>
      <w:i/>
      <w:sz w:val="20"/>
    </w:rPr>
  </w:style>
  <w:style w:type="paragraph" w:styleId="FootnoteText">
    <w:name w:val="footnote text"/>
    <w:aliases w:val="Char Char Char Char,Char Char Char1 Char Char,Char Char Char1 Char Char Char,Char Char Char1 Char, Char1, Char Char Char Char, Char Char Char1 Char Char, Char Char Char1 Char Char Char, Char Char Char1 Char"/>
    <w:basedOn w:val="Normal"/>
    <w:link w:val="FootnoteTextChar"/>
    <w:uiPriority w:val="99"/>
    <w:unhideWhenUsed/>
    <w:rsid w:val="00685960"/>
    <w:rPr>
      <w:sz w:val="20"/>
      <w:szCs w:val="20"/>
    </w:rPr>
  </w:style>
  <w:style w:type="character" w:customStyle="1" w:styleId="FootnoteTextChar">
    <w:name w:val="Footnote Text Char"/>
    <w:aliases w:val="Char Char Char Char Char,Char Char Char1 Char Char Char1,Char Char Char1 Char Char Char Char,Char Char Char1 Char Char1, Char1 Char, Char Char Char Char Char, Char Char Char1 Char Char Char1, Char Char Char1 Char Char Char Char"/>
    <w:basedOn w:val="DefaultParagraphFont"/>
    <w:link w:val="FootnoteText"/>
    <w:uiPriority w:val="99"/>
    <w:rsid w:val="00685960"/>
    <w:rPr>
      <w:rFonts w:ascii="Calibri" w:hAnsi="Calibri" w:cs="Arial"/>
      <w:snapToGrid w:val="0"/>
      <w:lang w:eastAsia="en-US"/>
    </w:rPr>
  </w:style>
  <w:style w:type="character" w:styleId="FootnoteReference">
    <w:name w:val="footnote reference"/>
    <w:basedOn w:val="DefaultParagraphFont"/>
    <w:unhideWhenUsed/>
    <w:rsid w:val="00685960"/>
    <w:rPr>
      <w:vertAlign w:val="superscript"/>
    </w:rPr>
  </w:style>
  <w:style w:type="character" w:customStyle="1" w:styleId="CaptionFootnoteChar">
    <w:name w:val="Caption Footnote Char"/>
    <w:basedOn w:val="DefaultParagraphFont"/>
    <w:link w:val="CaptionFootnote"/>
    <w:rsid w:val="00685960"/>
    <w:rPr>
      <w:rFonts w:asciiTheme="minorHAnsi" w:hAnsiTheme="minorHAnsi"/>
      <w:kern w:val="28"/>
      <w:sz w:val="16"/>
      <w:szCs w:val="24"/>
      <w:lang w:eastAsia="en-GB"/>
    </w:rPr>
  </w:style>
  <w:style w:type="paragraph" w:customStyle="1" w:styleId="CaptionFootnote">
    <w:name w:val="Caption Footnote"/>
    <w:basedOn w:val="Normal"/>
    <w:link w:val="CaptionFootnoteChar"/>
    <w:qFormat/>
    <w:rsid w:val="00685960"/>
    <w:rPr>
      <w:rFonts w:asciiTheme="minorHAnsi" w:hAnsiTheme="minorHAnsi"/>
      <w:snapToGrid w:val="0"/>
      <w:kern w:val="28"/>
      <w:sz w:val="16"/>
      <w:lang w:eastAsia="en-GB"/>
    </w:rPr>
  </w:style>
  <w:style w:type="paragraph" w:customStyle="1" w:styleId="Default">
    <w:name w:val="Default"/>
    <w:link w:val="DefaultChar"/>
    <w:rsid w:val="00A51DA7"/>
    <w:pPr>
      <w:autoSpaceDE w:val="0"/>
      <w:autoSpaceDN w:val="0"/>
      <w:adjustRightInd w:val="0"/>
    </w:pPr>
    <w:rPr>
      <w:color w:val="000000"/>
      <w:sz w:val="24"/>
      <w:szCs w:val="24"/>
      <w:lang w:val="en-US" w:eastAsia="en-US"/>
    </w:rPr>
  </w:style>
  <w:style w:type="table" w:customStyle="1" w:styleId="Submissionstandard">
    <w:name w:val="Submission standard"/>
    <w:basedOn w:val="TableNormal"/>
    <w:uiPriority w:val="99"/>
    <w:qFormat/>
    <w:rsid w:val="00DD182C"/>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Yu Gothic UI Semibold" w:hAnsi="@Yu Gothic UI Semibold"/>
        <w:b/>
        <w:sz w:val="20"/>
      </w:rPr>
      <w:tblPr/>
      <w:tcPr>
        <w:shd w:val="clear" w:color="auto" w:fill="BFBFBF" w:themeFill="background1" w:themeFillShade="BF"/>
      </w:tcPr>
    </w:tblStylePr>
  </w:style>
  <w:style w:type="character" w:customStyle="1" w:styleId="Small">
    <w:name w:val="Small"/>
    <w:basedOn w:val="DefaultParagraphFont"/>
    <w:uiPriority w:val="4"/>
    <w:qFormat/>
    <w:rsid w:val="006F25FA"/>
    <w:rPr>
      <w:rFonts w:ascii="Calibri" w:hAnsi="Calibri"/>
      <w:sz w:val="20"/>
    </w:rPr>
  </w:style>
  <w:style w:type="table" w:customStyle="1" w:styleId="TableGrid1">
    <w:name w:val="Table Grid1"/>
    <w:basedOn w:val="TableNormal"/>
    <w:next w:val="TableGrid"/>
    <w:uiPriority w:val="59"/>
    <w:rsid w:val="003D07F2"/>
    <w:rPr>
      <w:rFonts w:eastAsia="Batang"/>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Centre">
    <w:name w:val="Table Centre"/>
    <w:basedOn w:val="Normal"/>
    <w:qFormat/>
    <w:rsid w:val="00E37CCF"/>
    <w:pPr>
      <w:jc w:val="center"/>
    </w:pPr>
    <w:rPr>
      <w:rFonts w:ascii="Arial Narrow" w:eastAsiaTheme="majorEastAsia" w:hAnsi="Arial Narrow" w:cstheme="majorBidi"/>
      <w:snapToGrid w:val="0"/>
      <w:sz w:val="20"/>
      <w:lang w:bidi="en-US"/>
    </w:rPr>
  </w:style>
  <w:style w:type="character" w:customStyle="1" w:styleId="DefaultChar">
    <w:name w:val="Default Char"/>
    <w:basedOn w:val="DefaultParagraphFont"/>
    <w:link w:val="Default"/>
    <w:rsid w:val="00E34569"/>
    <w:rPr>
      <w:color w:val="000000"/>
      <w:sz w:val="24"/>
      <w:szCs w:val="24"/>
      <w:lang w:val="en-US" w:eastAsia="en-US"/>
    </w:rPr>
  </w:style>
  <w:style w:type="paragraph" w:customStyle="1" w:styleId="ATAGINormal">
    <w:name w:val="ATAGI Normal"/>
    <w:basedOn w:val="Normal"/>
    <w:link w:val="ATAGINormalChar"/>
    <w:qFormat/>
    <w:rsid w:val="009B19C5"/>
    <w:pPr>
      <w:spacing w:before="160" w:after="160" w:line="259" w:lineRule="auto"/>
    </w:pPr>
    <w:rPr>
      <w:rFonts w:ascii="Candara" w:eastAsiaTheme="majorEastAsia" w:hAnsi="Candara" w:cstheme="majorBidi"/>
      <w:snapToGrid w:val="0"/>
    </w:rPr>
  </w:style>
  <w:style w:type="character" w:customStyle="1" w:styleId="ATAGINormalChar">
    <w:name w:val="ATAGI Normal Char"/>
    <w:basedOn w:val="DefaultParagraphFont"/>
    <w:link w:val="ATAGINormal"/>
    <w:rsid w:val="009B19C5"/>
    <w:rPr>
      <w:rFonts w:ascii="Candara" w:eastAsiaTheme="majorEastAsia" w:hAnsi="Candara" w:cstheme="majorBidi"/>
      <w:sz w:val="24"/>
      <w:szCs w:val="24"/>
      <w:lang w:eastAsia="en-US"/>
    </w:rPr>
  </w:style>
  <w:style w:type="character" w:styleId="PlaceholderText">
    <w:name w:val="Placeholder Text"/>
    <w:basedOn w:val="DefaultParagraphFont"/>
    <w:uiPriority w:val="99"/>
    <w:semiHidden/>
    <w:rsid w:val="008C3DAB"/>
    <w:rPr>
      <w:color w:val="808080"/>
    </w:rPr>
  </w:style>
  <w:style w:type="paragraph" w:styleId="BodyText3">
    <w:name w:val="Body Text 3"/>
    <w:basedOn w:val="Normal"/>
    <w:link w:val="BodyText3Char"/>
    <w:semiHidden/>
    <w:unhideWhenUsed/>
    <w:rsid w:val="008C3DAB"/>
    <w:pPr>
      <w:spacing w:after="120"/>
    </w:pPr>
    <w:rPr>
      <w:sz w:val="16"/>
      <w:szCs w:val="16"/>
    </w:rPr>
  </w:style>
  <w:style w:type="character" w:customStyle="1" w:styleId="BodyText3Char">
    <w:name w:val="Body Text 3 Char"/>
    <w:basedOn w:val="DefaultParagraphFont"/>
    <w:link w:val="BodyText3"/>
    <w:semiHidden/>
    <w:rsid w:val="008C3DAB"/>
    <w:rPr>
      <w:rFonts w:ascii="Calibri" w:hAnsi="Calibri" w:cs="Arial"/>
      <w:snapToGrid w:val="0"/>
      <w:sz w:val="16"/>
      <w:szCs w:val="16"/>
      <w:lang w:eastAsia="en-US"/>
    </w:rPr>
  </w:style>
  <w:style w:type="paragraph" w:customStyle="1" w:styleId="NewTableText">
    <w:name w:val="New Table Text"/>
    <w:basedOn w:val="Normal"/>
    <w:link w:val="NewTableTextChar"/>
    <w:qFormat/>
    <w:rsid w:val="00C6220A"/>
    <w:pPr>
      <w:keepNext/>
      <w:spacing w:before="40" w:after="40"/>
    </w:pPr>
    <w:rPr>
      <w:rFonts w:ascii="Arial Narrow" w:eastAsia="SimSun" w:hAnsi="Arial Narrow"/>
      <w:snapToGrid w:val="0"/>
      <w:sz w:val="18"/>
      <w:szCs w:val="20"/>
      <w:lang w:val="en-GB"/>
    </w:rPr>
  </w:style>
  <w:style w:type="character" w:customStyle="1" w:styleId="NewTableTextChar">
    <w:name w:val="New Table Text Char"/>
    <w:link w:val="NewTableText"/>
    <w:rsid w:val="00C6220A"/>
    <w:rPr>
      <w:rFonts w:ascii="Arial Narrow" w:eastAsia="SimSun" w:hAnsi="Arial Narrow"/>
      <w:sz w:val="18"/>
      <w:lang w:val="en-GB" w:eastAsia="en-US"/>
    </w:rPr>
  </w:style>
  <w:style w:type="table" w:customStyle="1" w:styleId="ASDTable11">
    <w:name w:val="ASD Table11"/>
    <w:basedOn w:val="TableNormal"/>
    <w:next w:val="TableGrid"/>
    <w:uiPriority w:val="39"/>
    <w:rsid w:val="002543C7"/>
    <w:rPr>
      <w:rFonts w:ascii="Arial Narrow" w:eastAsia="MS Gothic" w:hAnsi="Arial Narrow"/>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ummarybox1">
    <w:name w:val="Summary box1"/>
    <w:basedOn w:val="TableNormal"/>
    <w:next w:val="TableGrid"/>
    <w:rsid w:val="00550DE4"/>
    <w:rPr>
      <w:rFonts w:ascii="Arial Narrow" w:eastAsiaTheme="majorEastAsia" w:hAnsi="Arial Narrow" w:cstheme="majorBidi"/>
      <w:szCs w:val="22"/>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leftalign">
    <w:name w:val="Table Text left align"/>
    <w:basedOn w:val="Normal"/>
    <w:link w:val="TableTextleftalignChar"/>
    <w:qFormat/>
    <w:rsid w:val="00ED2FE3"/>
    <w:rPr>
      <w:snapToGrid w:val="0"/>
      <w:sz w:val="18"/>
      <w:szCs w:val="18"/>
    </w:rPr>
  </w:style>
  <w:style w:type="character" w:customStyle="1" w:styleId="TableTextleftalignChar">
    <w:name w:val="Table Text left align Char"/>
    <w:basedOn w:val="DefaultParagraphFont"/>
    <w:link w:val="TableTextleftalign"/>
    <w:rsid w:val="00ED2FE3"/>
    <w:rPr>
      <w:rFonts w:ascii="Calibri" w:hAnsi="Calibri"/>
      <w:sz w:val="18"/>
      <w:szCs w:val="18"/>
      <w:lang w:eastAsia="en-US"/>
    </w:rPr>
  </w:style>
  <w:style w:type="paragraph" w:customStyle="1" w:styleId="TableTextcentred">
    <w:name w:val="Table Text centred"/>
    <w:basedOn w:val="Normal"/>
    <w:link w:val="TableTextcentredChar"/>
    <w:qFormat/>
    <w:rsid w:val="00ED2FE3"/>
    <w:pPr>
      <w:jc w:val="center"/>
    </w:pPr>
    <w:rPr>
      <w:snapToGrid w:val="0"/>
      <w:sz w:val="18"/>
      <w:szCs w:val="18"/>
    </w:rPr>
  </w:style>
  <w:style w:type="character" w:customStyle="1" w:styleId="TableTextcentredChar">
    <w:name w:val="Table Text centred Char"/>
    <w:basedOn w:val="DefaultParagraphFont"/>
    <w:link w:val="TableTextcentred"/>
    <w:rsid w:val="00ED2FE3"/>
    <w:rPr>
      <w:rFonts w:ascii="Calibri" w:hAnsi="Calibri"/>
      <w:sz w:val="18"/>
      <w:szCs w:val="18"/>
      <w:lang w:eastAsia="en-US"/>
    </w:rPr>
  </w:style>
  <w:style w:type="table" w:customStyle="1" w:styleId="ASDTable1">
    <w:name w:val="ASD Table1"/>
    <w:basedOn w:val="TableNormal"/>
    <w:next w:val="TableGrid"/>
    <w:uiPriority w:val="39"/>
    <w:rsid w:val="00ED2FE3"/>
    <w:rPr>
      <w:rFonts w:ascii="Arial Narrow" w:eastAsiaTheme="majorEastAsia" w:hAnsi="Arial Narrow" w:cstheme="majorBidi"/>
      <w:szCs w:val="22"/>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A6320F"/>
    <w:rPr>
      <w:rFonts w:ascii="Calibri" w:hAnsi="Calibri" w:cs="Arial"/>
      <w:b/>
      <w:caps/>
      <w:snapToGrid w:val="0"/>
      <w:sz w:val="32"/>
      <w:szCs w:val="22"/>
      <w:lang w:eastAsia="en-US"/>
    </w:rPr>
  </w:style>
  <w:style w:type="character" w:customStyle="1" w:styleId="Heading3Char">
    <w:name w:val="Heading 3 Char"/>
    <w:basedOn w:val="DefaultParagraphFont"/>
    <w:link w:val="Heading3"/>
    <w:rsid w:val="00A6320F"/>
    <w:rPr>
      <w:rFonts w:ascii="Calibri" w:hAnsi="Calibri" w:cs="Arial"/>
      <w:snapToGrid w:val="0"/>
      <w:sz w:val="24"/>
      <w:szCs w:val="22"/>
      <w:u w:val="single"/>
      <w:lang w:eastAsia="en-US"/>
    </w:rPr>
  </w:style>
  <w:style w:type="character" w:customStyle="1" w:styleId="Heading4Char">
    <w:name w:val="Heading 4 Char"/>
    <w:basedOn w:val="DefaultParagraphFont"/>
    <w:link w:val="Heading4"/>
    <w:rsid w:val="00A6320F"/>
    <w:rPr>
      <w:rFonts w:ascii="Calibri" w:hAnsi="Calibri" w:cs="Arial"/>
      <w:b/>
      <w:bCs/>
      <w:i/>
      <w:snapToGrid w:val="0"/>
      <w:sz w:val="26"/>
      <w:szCs w:val="28"/>
      <w:lang w:eastAsia="en-US"/>
    </w:rPr>
  </w:style>
  <w:style w:type="character" w:customStyle="1" w:styleId="Heading5Char">
    <w:name w:val="Heading 5 Char"/>
    <w:basedOn w:val="DefaultParagraphFont"/>
    <w:link w:val="Heading5"/>
    <w:rsid w:val="00A6320F"/>
    <w:rPr>
      <w:rFonts w:ascii="Calibri" w:hAnsi="Calibri" w:cs="Arial"/>
      <w:b/>
      <w:bCs/>
      <w:iCs/>
      <w:snapToGrid w:val="0"/>
      <w:sz w:val="26"/>
      <w:szCs w:val="26"/>
      <w:lang w:eastAsia="en-US"/>
    </w:rPr>
  </w:style>
  <w:style w:type="character" w:customStyle="1" w:styleId="Heading6Char">
    <w:name w:val="Heading 6 Char"/>
    <w:basedOn w:val="DefaultParagraphFont"/>
    <w:link w:val="Heading6"/>
    <w:rsid w:val="00A6320F"/>
    <w:rPr>
      <w:rFonts w:ascii="Calibri" w:hAnsi="Calibri" w:cs="Arial"/>
      <w:b/>
      <w:bCs/>
      <w:i/>
      <w:snapToGrid w:val="0"/>
      <w:sz w:val="24"/>
      <w:szCs w:val="22"/>
      <w:lang w:eastAsia="en-US"/>
    </w:rPr>
  </w:style>
  <w:style w:type="table" w:styleId="MediumGrid3-Accent5">
    <w:name w:val="Medium Grid 3 Accent 5"/>
    <w:basedOn w:val="TableNormal"/>
    <w:uiPriority w:val="69"/>
    <w:rsid w:val="004D36CE"/>
    <w:rPr>
      <w:rFonts w:asciiTheme="majorHAnsi" w:eastAsiaTheme="majorEastAsia" w:hAnsiTheme="majorHAnsi" w:cstheme="majorBidi"/>
      <w:sz w:val="22"/>
      <w:szCs w:val="22"/>
      <w:lang w:val="en-US" w:eastAsia="en-US"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EndnoteReference">
    <w:name w:val="endnote reference"/>
    <w:basedOn w:val="DefaultParagraphFont"/>
    <w:uiPriority w:val="99"/>
    <w:semiHidden/>
    <w:unhideWhenUsed/>
    <w:rsid w:val="00B179F8"/>
    <w:rPr>
      <w:vertAlign w:val="superscript"/>
    </w:rPr>
  </w:style>
  <w:style w:type="paragraph" w:styleId="Bibliography">
    <w:name w:val="Bibliography"/>
    <w:basedOn w:val="Normal"/>
    <w:next w:val="Normal"/>
    <w:uiPriority w:val="37"/>
    <w:unhideWhenUsed/>
    <w:rsid w:val="00710286"/>
    <w:pPr>
      <w:spacing w:after="200" w:line="276" w:lineRule="auto"/>
      <w:jc w:val="both"/>
    </w:pPr>
    <w:rPr>
      <w:rFonts w:eastAsiaTheme="majorEastAsia" w:cstheme="majorBidi"/>
      <w:sz w:val="22"/>
      <w:szCs w:val="22"/>
      <w:lang w:eastAsia="en-US" w:bidi="en-US"/>
    </w:rPr>
  </w:style>
  <w:style w:type="paragraph" w:customStyle="1" w:styleId="1-MainHeading">
    <w:name w:val="1-Main Heading"/>
    <w:link w:val="1-MainHeadingChar"/>
    <w:qFormat/>
    <w:rsid w:val="004B1FFC"/>
    <w:pPr>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B1FFC"/>
    <w:rPr>
      <w:rFonts w:asciiTheme="minorHAnsi" w:eastAsiaTheme="majorEastAsia" w:hAnsiTheme="minorHAnsi" w:cstheme="majorBidi"/>
      <w:b/>
      <w:spacing w:val="5"/>
      <w:kern w:val="28"/>
      <w:sz w:val="36"/>
      <w:szCs w:val="36"/>
    </w:rPr>
  </w:style>
  <w:style w:type="paragraph" w:customStyle="1" w:styleId="V50Heading2nonumbers">
    <w:name w:val="V5.0 Heading 2 no numbers"/>
    <w:basedOn w:val="Heading2"/>
    <w:qFormat/>
    <w:rsid w:val="004B1FFC"/>
    <w:pPr>
      <w:keepNext/>
      <w:keepLines/>
      <w:spacing w:before="240"/>
      <w:ind w:left="578" w:hanging="578"/>
    </w:pPr>
    <w:rPr>
      <w:szCs w:val="28"/>
      <w:lang w:eastAsia="en-US"/>
    </w:rPr>
  </w:style>
  <w:style w:type="paragraph" w:customStyle="1" w:styleId="bulletnumberedstyle">
    <w:name w:val="bullet numbered style"/>
    <w:basedOn w:val="ListParagraph"/>
    <w:link w:val="bulletnumberedstyleChar"/>
    <w:qFormat/>
    <w:rsid w:val="00EB423F"/>
    <w:pPr>
      <w:numPr>
        <w:ilvl w:val="1"/>
        <w:numId w:val="2"/>
      </w:numPr>
      <w:jc w:val="both"/>
    </w:pPr>
  </w:style>
  <w:style w:type="character" w:customStyle="1" w:styleId="bulletnumberedstyleChar">
    <w:name w:val="bullet numbered style Char"/>
    <w:basedOn w:val="ListParagraphChar"/>
    <w:link w:val="bulletnumberedstyle"/>
    <w:rsid w:val="00EB423F"/>
    <w:rPr>
      <w:rFonts w:ascii="Calibri" w:hAnsi="Calibri" w:cs="Arial"/>
      <w:snapToGrid/>
      <w:sz w:val="24"/>
      <w:szCs w:val="24"/>
      <w:lang w:eastAsia="en-US"/>
    </w:rPr>
  </w:style>
  <w:style w:type="table" w:customStyle="1" w:styleId="ASDTable2">
    <w:name w:val="ASD Table2"/>
    <w:basedOn w:val="TableNormal"/>
    <w:next w:val="TableGrid"/>
    <w:uiPriority w:val="39"/>
    <w:rsid w:val="003B29D7"/>
    <w:rPr>
      <w:rFonts w:ascii="Arial Narrow" w:eastAsiaTheme="majorEastAsia" w:hAnsi="Arial Narrow" w:cstheme="majorBidi"/>
      <w:szCs w:val="22"/>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copy">
    <w:name w:val="Body copy"/>
    <w:qFormat/>
    <w:rsid w:val="00CA6412"/>
    <w:rPr>
      <w:rFonts w:asciiTheme="minorHAnsi" w:eastAsiaTheme="minorHAnsi" w:hAnsiTheme="minorHAnsi" w:cstheme="minorHAnsi"/>
      <w:color w:val="000000" w:themeColor="text1"/>
      <w:szCs w:val="5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3658">
      <w:bodyDiv w:val="1"/>
      <w:marLeft w:val="0"/>
      <w:marRight w:val="0"/>
      <w:marTop w:val="0"/>
      <w:marBottom w:val="0"/>
      <w:divBdr>
        <w:top w:val="none" w:sz="0" w:space="0" w:color="auto"/>
        <w:left w:val="none" w:sz="0" w:space="0" w:color="auto"/>
        <w:bottom w:val="none" w:sz="0" w:space="0" w:color="auto"/>
        <w:right w:val="none" w:sz="0" w:space="0" w:color="auto"/>
      </w:divBdr>
      <w:divsChild>
        <w:div w:id="520629798">
          <w:marLeft w:val="0"/>
          <w:marRight w:val="0"/>
          <w:marTop w:val="0"/>
          <w:marBottom w:val="0"/>
          <w:divBdr>
            <w:top w:val="none" w:sz="0" w:space="0" w:color="auto"/>
            <w:left w:val="none" w:sz="0" w:space="0" w:color="auto"/>
            <w:bottom w:val="none" w:sz="0" w:space="0" w:color="auto"/>
            <w:right w:val="none" w:sz="0" w:space="0" w:color="auto"/>
          </w:divBdr>
        </w:div>
      </w:divsChild>
    </w:div>
    <w:div w:id="32467800">
      <w:bodyDiv w:val="1"/>
      <w:marLeft w:val="0"/>
      <w:marRight w:val="0"/>
      <w:marTop w:val="0"/>
      <w:marBottom w:val="0"/>
      <w:divBdr>
        <w:top w:val="none" w:sz="0" w:space="0" w:color="auto"/>
        <w:left w:val="none" w:sz="0" w:space="0" w:color="auto"/>
        <w:bottom w:val="none" w:sz="0" w:space="0" w:color="auto"/>
        <w:right w:val="none" w:sz="0" w:space="0" w:color="auto"/>
      </w:divBdr>
      <w:divsChild>
        <w:div w:id="697781974">
          <w:marLeft w:val="0"/>
          <w:marRight w:val="0"/>
          <w:marTop w:val="0"/>
          <w:marBottom w:val="0"/>
          <w:divBdr>
            <w:top w:val="none" w:sz="0" w:space="0" w:color="auto"/>
            <w:left w:val="none" w:sz="0" w:space="0" w:color="auto"/>
            <w:bottom w:val="none" w:sz="0" w:space="0" w:color="auto"/>
            <w:right w:val="none" w:sz="0" w:space="0" w:color="auto"/>
          </w:divBdr>
        </w:div>
      </w:divsChild>
    </w:div>
    <w:div w:id="85730273">
      <w:bodyDiv w:val="1"/>
      <w:marLeft w:val="0"/>
      <w:marRight w:val="0"/>
      <w:marTop w:val="0"/>
      <w:marBottom w:val="0"/>
      <w:divBdr>
        <w:top w:val="none" w:sz="0" w:space="0" w:color="auto"/>
        <w:left w:val="none" w:sz="0" w:space="0" w:color="auto"/>
        <w:bottom w:val="none" w:sz="0" w:space="0" w:color="auto"/>
        <w:right w:val="none" w:sz="0" w:space="0" w:color="auto"/>
      </w:divBdr>
      <w:divsChild>
        <w:div w:id="872620992">
          <w:marLeft w:val="0"/>
          <w:marRight w:val="0"/>
          <w:marTop w:val="0"/>
          <w:marBottom w:val="0"/>
          <w:divBdr>
            <w:top w:val="none" w:sz="0" w:space="0" w:color="auto"/>
            <w:left w:val="none" w:sz="0" w:space="0" w:color="auto"/>
            <w:bottom w:val="none" w:sz="0" w:space="0" w:color="auto"/>
            <w:right w:val="none" w:sz="0" w:space="0" w:color="auto"/>
          </w:divBdr>
          <w:divsChild>
            <w:div w:id="19595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906">
      <w:bodyDiv w:val="1"/>
      <w:marLeft w:val="0"/>
      <w:marRight w:val="0"/>
      <w:marTop w:val="0"/>
      <w:marBottom w:val="0"/>
      <w:divBdr>
        <w:top w:val="none" w:sz="0" w:space="0" w:color="auto"/>
        <w:left w:val="none" w:sz="0" w:space="0" w:color="auto"/>
        <w:bottom w:val="none" w:sz="0" w:space="0" w:color="auto"/>
        <w:right w:val="none" w:sz="0" w:space="0" w:color="auto"/>
      </w:divBdr>
    </w:div>
    <w:div w:id="103312953">
      <w:bodyDiv w:val="1"/>
      <w:marLeft w:val="0"/>
      <w:marRight w:val="0"/>
      <w:marTop w:val="0"/>
      <w:marBottom w:val="0"/>
      <w:divBdr>
        <w:top w:val="none" w:sz="0" w:space="0" w:color="auto"/>
        <w:left w:val="none" w:sz="0" w:space="0" w:color="auto"/>
        <w:bottom w:val="none" w:sz="0" w:space="0" w:color="auto"/>
        <w:right w:val="none" w:sz="0" w:space="0" w:color="auto"/>
      </w:divBdr>
    </w:div>
    <w:div w:id="160778619">
      <w:bodyDiv w:val="1"/>
      <w:marLeft w:val="0"/>
      <w:marRight w:val="0"/>
      <w:marTop w:val="0"/>
      <w:marBottom w:val="0"/>
      <w:divBdr>
        <w:top w:val="none" w:sz="0" w:space="0" w:color="auto"/>
        <w:left w:val="none" w:sz="0" w:space="0" w:color="auto"/>
        <w:bottom w:val="none" w:sz="0" w:space="0" w:color="auto"/>
        <w:right w:val="none" w:sz="0" w:space="0" w:color="auto"/>
      </w:divBdr>
      <w:divsChild>
        <w:div w:id="1645813232">
          <w:marLeft w:val="0"/>
          <w:marRight w:val="0"/>
          <w:marTop w:val="0"/>
          <w:marBottom w:val="0"/>
          <w:divBdr>
            <w:top w:val="none" w:sz="0" w:space="0" w:color="auto"/>
            <w:left w:val="none" w:sz="0" w:space="0" w:color="auto"/>
            <w:bottom w:val="none" w:sz="0" w:space="0" w:color="auto"/>
            <w:right w:val="none" w:sz="0" w:space="0" w:color="auto"/>
          </w:divBdr>
        </w:div>
      </w:divsChild>
    </w:div>
    <w:div w:id="190341180">
      <w:bodyDiv w:val="1"/>
      <w:marLeft w:val="0"/>
      <w:marRight w:val="0"/>
      <w:marTop w:val="0"/>
      <w:marBottom w:val="0"/>
      <w:divBdr>
        <w:top w:val="none" w:sz="0" w:space="0" w:color="auto"/>
        <w:left w:val="none" w:sz="0" w:space="0" w:color="auto"/>
        <w:bottom w:val="none" w:sz="0" w:space="0" w:color="auto"/>
        <w:right w:val="none" w:sz="0" w:space="0" w:color="auto"/>
      </w:divBdr>
      <w:divsChild>
        <w:div w:id="948245435">
          <w:marLeft w:val="0"/>
          <w:marRight w:val="0"/>
          <w:marTop w:val="0"/>
          <w:marBottom w:val="0"/>
          <w:divBdr>
            <w:top w:val="none" w:sz="0" w:space="0" w:color="auto"/>
            <w:left w:val="none" w:sz="0" w:space="0" w:color="auto"/>
            <w:bottom w:val="none" w:sz="0" w:space="0" w:color="auto"/>
            <w:right w:val="none" w:sz="0" w:space="0" w:color="auto"/>
          </w:divBdr>
        </w:div>
      </w:divsChild>
    </w:div>
    <w:div w:id="490633121">
      <w:bodyDiv w:val="1"/>
      <w:marLeft w:val="0"/>
      <w:marRight w:val="0"/>
      <w:marTop w:val="0"/>
      <w:marBottom w:val="0"/>
      <w:divBdr>
        <w:top w:val="none" w:sz="0" w:space="0" w:color="auto"/>
        <w:left w:val="none" w:sz="0" w:space="0" w:color="auto"/>
        <w:bottom w:val="none" w:sz="0" w:space="0" w:color="auto"/>
        <w:right w:val="none" w:sz="0" w:space="0" w:color="auto"/>
      </w:divBdr>
    </w:div>
    <w:div w:id="597297330">
      <w:bodyDiv w:val="1"/>
      <w:marLeft w:val="0"/>
      <w:marRight w:val="0"/>
      <w:marTop w:val="0"/>
      <w:marBottom w:val="0"/>
      <w:divBdr>
        <w:top w:val="none" w:sz="0" w:space="0" w:color="auto"/>
        <w:left w:val="none" w:sz="0" w:space="0" w:color="auto"/>
        <w:bottom w:val="none" w:sz="0" w:space="0" w:color="auto"/>
        <w:right w:val="none" w:sz="0" w:space="0" w:color="auto"/>
      </w:divBdr>
    </w:div>
    <w:div w:id="622074415">
      <w:bodyDiv w:val="1"/>
      <w:marLeft w:val="0"/>
      <w:marRight w:val="0"/>
      <w:marTop w:val="0"/>
      <w:marBottom w:val="0"/>
      <w:divBdr>
        <w:top w:val="none" w:sz="0" w:space="0" w:color="auto"/>
        <w:left w:val="none" w:sz="0" w:space="0" w:color="auto"/>
        <w:bottom w:val="none" w:sz="0" w:space="0" w:color="auto"/>
        <w:right w:val="none" w:sz="0" w:space="0" w:color="auto"/>
      </w:divBdr>
    </w:div>
    <w:div w:id="752432769">
      <w:bodyDiv w:val="1"/>
      <w:marLeft w:val="0"/>
      <w:marRight w:val="0"/>
      <w:marTop w:val="0"/>
      <w:marBottom w:val="0"/>
      <w:divBdr>
        <w:top w:val="none" w:sz="0" w:space="0" w:color="auto"/>
        <w:left w:val="none" w:sz="0" w:space="0" w:color="auto"/>
        <w:bottom w:val="none" w:sz="0" w:space="0" w:color="auto"/>
        <w:right w:val="none" w:sz="0" w:space="0" w:color="auto"/>
      </w:divBdr>
      <w:divsChild>
        <w:div w:id="2122602897">
          <w:marLeft w:val="0"/>
          <w:marRight w:val="0"/>
          <w:marTop w:val="0"/>
          <w:marBottom w:val="0"/>
          <w:divBdr>
            <w:top w:val="none" w:sz="0" w:space="0" w:color="auto"/>
            <w:left w:val="none" w:sz="0" w:space="0" w:color="auto"/>
            <w:bottom w:val="none" w:sz="0" w:space="0" w:color="auto"/>
            <w:right w:val="none" w:sz="0" w:space="0" w:color="auto"/>
          </w:divBdr>
        </w:div>
      </w:divsChild>
    </w:div>
    <w:div w:id="776604091">
      <w:bodyDiv w:val="1"/>
      <w:marLeft w:val="0"/>
      <w:marRight w:val="0"/>
      <w:marTop w:val="0"/>
      <w:marBottom w:val="0"/>
      <w:divBdr>
        <w:top w:val="none" w:sz="0" w:space="0" w:color="auto"/>
        <w:left w:val="none" w:sz="0" w:space="0" w:color="auto"/>
        <w:bottom w:val="none" w:sz="0" w:space="0" w:color="auto"/>
        <w:right w:val="none" w:sz="0" w:space="0" w:color="auto"/>
      </w:divBdr>
    </w:div>
    <w:div w:id="813450175">
      <w:bodyDiv w:val="1"/>
      <w:marLeft w:val="0"/>
      <w:marRight w:val="0"/>
      <w:marTop w:val="0"/>
      <w:marBottom w:val="0"/>
      <w:divBdr>
        <w:top w:val="none" w:sz="0" w:space="0" w:color="auto"/>
        <w:left w:val="none" w:sz="0" w:space="0" w:color="auto"/>
        <w:bottom w:val="none" w:sz="0" w:space="0" w:color="auto"/>
        <w:right w:val="none" w:sz="0" w:space="0" w:color="auto"/>
      </w:divBdr>
    </w:div>
    <w:div w:id="858928431">
      <w:bodyDiv w:val="1"/>
      <w:marLeft w:val="0"/>
      <w:marRight w:val="0"/>
      <w:marTop w:val="0"/>
      <w:marBottom w:val="0"/>
      <w:divBdr>
        <w:top w:val="none" w:sz="0" w:space="0" w:color="auto"/>
        <w:left w:val="none" w:sz="0" w:space="0" w:color="auto"/>
        <w:bottom w:val="none" w:sz="0" w:space="0" w:color="auto"/>
        <w:right w:val="none" w:sz="0" w:space="0" w:color="auto"/>
      </w:divBdr>
      <w:divsChild>
        <w:div w:id="1338463540">
          <w:marLeft w:val="360"/>
          <w:marRight w:val="0"/>
          <w:marTop w:val="200"/>
          <w:marBottom w:val="0"/>
          <w:divBdr>
            <w:top w:val="none" w:sz="0" w:space="0" w:color="auto"/>
            <w:left w:val="none" w:sz="0" w:space="0" w:color="auto"/>
            <w:bottom w:val="none" w:sz="0" w:space="0" w:color="auto"/>
            <w:right w:val="none" w:sz="0" w:space="0" w:color="auto"/>
          </w:divBdr>
        </w:div>
        <w:div w:id="1218976264">
          <w:marLeft w:val="360"/>
          <w:marRight w:val="0"/>
          <w:marTop w:val="200"/>
          <w:marBottom w:val="0"/>
          <w:divBdr>
            <w:top w:val="none" w:sz="0" w:space="0" w:color="auto"/>
            <w:left w:val="none" w:sz="0" w:space="0" w:color="auto"/>
            <w:bottom w:val="none" w:sz="0" w:space="0" w:color="auto"/>
            <w:right w:val="none" w:sz="0" w:space="0" w:color="auto"/>
          </w:divBdr>
        </w:div>
        <w:div w:id="1990481283">
          <w:marLeft w:val="360"/>
          <w:marRight w:val="0"/>
          <w:marTop w:val="200"/>
          <w:marBottom w:val="0"/>
          <w:divBdr>
            <w:top w:val="none" w:sz="0" w:space="0" w:color="auto"/>
            <w:left w:val="none" w:sz="0" w:space="0" w:color="auto"/>
            <w:bottom w:val="none" w:sz="0" w:space="0" w:color="auto"/>
            <w:right w:val="none" w:sz="0" w:space="0" w:color="auto"/>
          </w:divBdr>
        </w:div>
        <w:div w:id="952784459">
          <w:marLeft w:val="360"/>
          <w:marRight w:val="0"/>
          <w:marTop w:val="200"/>
          <w:marBottom w:val="0"/>
          <w:divBdr>
            <w:top w:val="none" w:sz="0" w:space="0" w:color="auto"/>
            <w:left w:val="none" w:sz="0" w:space="0" w:color="auto"/>
            <w:bottom w:val="none" w:sz="0" w:space="0" w:color="auto"/>
            <w:right w:val="none" w:sz="0" w:space="0" w:color="auto"/>
          </w:divBdr>
        </w:div>
        <w:div w:id="173350135">
          <w:marLeft w:val="360"/>
          <w:marRight w:val="0"/>
          <w:marTop w:val="200"/>
          <w:marBottom w:val="0"/>
          <w:divBdr>
            <w:top w:val="none" w:sz="0" w:space="0" w:color="auto"/>
            <w:left w:val="none" w:sz="0" w:space="0" w:color="auto"/>
            <w:bottom w:val="none" w:sz="0" w:space="0" w:color="auto"/>
            <w:right w:val="none" w:sz="0" w:space="0" w:color="auto"/>
          </w:divBdr>
        </w:div>
        <w:div w:id="1256011806">
          <w:marLeft w:val="360"/>
          <w:marRight w:val="0"/>
          <w:marTop w:val="200"/>
          <w:marBottom w:val="0"/>
          <w:divBdr>
            <w:top w:val="none" w:sz="0" w:space="0" w:color="auto"/>
            <w:left w:val="none" w:sz="0" w:space="0" w:color="auto"/>
            <w:bottom w:val="none" w:sz="0" w:space="0" w:color="auto"/>
            <w:right w:val="none" w:sz="0" w:space="0" w:color="auto"/>
          </w:divBdr>
        </w:div>
        <w:div w:id="282661173">
          <w:marLeft w:val="360"/>
          <w:marRight w:val="0"/>
          <w:marTop w:val="200"/>
          <w:marBottom w:val="0"/>
          <w:divBdr>
            <w:top w:val="none" w:sz="0" w:space="0" w:color="auto"/>
            <w:left w:val="none" w:sz="0" w:space="0" w:color="auto"/>
            <w:bottom w:val="none" w:sz="0" w:space="0" w:color="auto"/>
            <w:right w:val="none" w:sz="0" w:space="0" w:color="auto"/>
          </w:divBdr>
        </w:div>
      </w:divsChild>
    </w:div>
    <w:div w:id="862742496">
      <w:bodyDiv w:val="1"/>
      <w:marLeft w:val="0"/>
      <w:marRight w:val="0"/>
      <w:marTop w:val="0"/>
      <w:marBottom w:val="0"/>
      <w:divBdr>
        <w:top w:val="none" w:sz="0" w:space="0" w:color="auto"/>
        <w:left w:val="none" w:sz="0" w:space="0" w:color="auto"/>
        <w:bottom w:val="none" w:sz="0" w:space="0" w:color="auto"/>
        <w:right w:val="none" w:sz="0" w:space="0" w:color="auto"/>
      </w:divBdr>
      <w:divsChild>
        <w:div w:id="36787080">
          <w:marLeft w:val="0"/>
          <w:marRight w:val="0"/>
          <w:marTop w:val="0"/>
          <w:marBottom w:val="0"/>
          <w:divBdr>
            <w:top w:val="none" w:sz="0" w:space="0" w:color="auto"/>
            <w:left w:val="none" w:sz="0" w:space="0" w:color="auto"/>
            <w:bottom w:val="none" w:sz="0" w:space="0" w:color="auto"/>
            <w:right w:val="none" w:sz="0" w:space="0" w:color="auto"/>
          </w:divBdr>
        </w:div>
      </w:divsChild>
    </w:div>
    <w:div w:id="929507364">
      <w:bodyDiv w:val="1"/>
      <w:marLeft w:val="0"/>
      <w:marRight w:val="0"/>
      <w:marTop w:val="0"/>
      <w:marBottom w:val="0"/>
      <w:divBdr>
        <w:top w:val="none" w:sz="0" w:space="0" w:color="auto"/>
        <w:left w:val="none" w:sz="0" w:space="0" w:color="auto"/>
        <w:bottom w:val="none" w:sz="0" w:space="0" w:color="auto"/>
        <w:right w:val="none" w:sz="0" w:space="0" w:color="auto"/>
      </w:divBdr>
    </w:div>
    <w:div w:id="1001815621">
      <w:bodyDiv w:val="1"/>
      <w:marLeft w:val="0"/>
      <w:marRight w:val="0"/>
      <w:marTop w:val="0"/>
      <w:marBottom w:val="0"/>
      <w:divBdr>
        <w:top w:val="none" w:sz="0" w:space="0" w:color="auto"/>
        <w:left w:val="none" w:sz="0" w:space="0" w:color="auto"/>
        <w:bottom w:val="none" w:sz="0" w:space="0" w:color="auto"/>
        <w:right w:val="none" w:sz="0" w:space="0" w:color="auto"/>
      </w:divBdr>
    </w:div>
    <w:div w:id="1018889287">
      <w:bodyDiv w:val="1"/>
      <w:marLeft w:val="0"/>
      <w:marRight w:val="0"/>
      <w:marTop w:val="0"/>
      <w:marBottom w:val="0"/>
      <w:divBdr>
        <w:top w:val="none" w:sz="0" w:space="0" w:color="auto"/>
        <w:left w:val="none" w:sz="0" w:space="0" w:color="auto"/>
        <w:bottom w:val="none" w:sz="0" w:space="0" w:color="auto"/>
        <w:right w:val="none" w:sz="0" w:space="0" w:color="auto"/>
      </w:divBdr>
    </w:div>
    <w:div w:id="1042827083">
      <w:bodyDiv w:val="1"/>
      <w:marLeft w:val="0"/>
      <w:marRight w:val="0"/>
      <w:marTop w:val="0"/>
      <w:marBottom w:val="0"/>
      <w:divBdr>
        <w:top w:val="none" w:sz="0" w:space="0" w:color="auto"/>
        <w:left w:val="none" w:sz="0" w:space="0" w:color="auto"/>
        <w:bottom w:val="none" w:sz="0" w:space="0" w:color="auto"/>
        <w:right w:val="none" w:sz="0" w:space="0" w:color="auto"/>
      </w:divBdr>
    </w:div>
    <w:div w:id="1060978565">
      <w:bodyDiv w:val="1"/>
      <w:marLeft w:val="0"/>
      <w:marRight w:val="0"/>
      <w:marTop w:val="0"/>
      <w:marBottom w:val="0"/>
      <w:divBdr>
        <w:top w:val="none" w:sz="0" w:space="0" w:color="auto"/>
        <w:left w:val="none" w:sz="0" w:space="0" w:color="auto"/>
        <w:bottom w:val="none" w:sz="0" w:space="0" w:color="auto"/>
        <w:right w:val="none" w:sz="0" w:space="0" w:color="auto"/>
      </w:divBdr>
      <w:divsChild>
        <w:div w:id="1004437338">
          <w:marLeft w:val="0"/>
          <w:marRight w:val="0"/>
          <w:marTop w:val="0"/>
          <w:marBottom w:val="0"/>
          <w:divBdr>
            <w:top w:val="none" w:sz="0" w:space="0" w:color="auto"/>
            <w:left w:val="none" w:sz="0" w:space="0" w:color="auto"/>
            <w:bottom w:val="none" w:sz="0" w:space="0" w:color="auto"/>
            <w:right w:val="none" w:sz="0" w:space="0" w:color="auto"/>
          </w:divBdr>
        </w:div>
      </w:divsChild>
    </w:div>
    <w:div w:id="1104807446">
      <w:bodyDiv w:val="1"/>
      <w:marLeft w:val="0"/>
      <w:marRight w:val="0"/>
      <w:marTop w:val="0"/>
      <w:marBottom w:val="0"/>
      <w:divBdr>
        <w:top w:val="none" w:sz="0" w:space="0" w:color="auto"/>
        <w:left w:val="none" w:sz="0" w:space="0" w:color="auto"/>
        <w:bottom w:val="none" w:sz="0" w:space="0" w:color="auto"/>
        <w:right w:val="none" w:sz="0" w:space="0" w:color="auto"/>
      </w:divBdr>
    </w:div>
    <w:div w:id="1109861761">
      <w:bodyDiv w:val="1"/>
      <w:marLeft w:val="0"/>
      <w:marRight w:val="0"/>
      <w:marTop w:val="0"/>
      <w:marBottom w:val="0"/>
      <w:divBdr>
        <w:top w:val="none" w:sz="0" w:space="0" w:color="auto"/>
        <w:left w:val="none" w:sz="0" w:space="0" w:color="auto"/>
        <w:bottom w:val="none" w:sz="0" w:space="0" w:color="auto"/>
        <w:right w:val="none" w:sz="0" w:space="0" w:color="auto"/>
      </w:divBdr>
    </w:div>
    <w:div w:id="1200705660">
      <w:bodyDiv w:val="1"/>
      <w:marLeft w:val="0"/>
      <w:marRight w:val="0"/>
      <w:marTop w:val="0"/>
      <w:marBottom w:val="0"/>
      <w:divBdr>
        <w:top w:val="none" w:sz="0" w:space="0" w:color="auto"/>
        <w:left w:val="none" w:sz="0" w:space="0" w:color="auto"/>
        <w:bottom w:val="none" w:sz="0" w:space="0" w:color="auto"/>
        <w:right w:val="none" w:sz="0" w:space="0" w:color="auto"/>
      </w:divBdr>
      <w:divsChild>
        <w:div w:id="1794519105">
          <w:marLeft w:val="0"/>
          <w:marRight w:val="0"/>
          <w:marTop w:val="0"/>
          <w:marBottom w:val="0"/>
          <w:divBdr>
            <w:top w:val="none" w:sz="0" w:space="0" w:color="auto"/>
            <w:left w:val="none" w:sz="0" w:space="0" w:color="auto"/>
            <w:bottom w:val="none" w:sz="0" w:space="0" w:color="auto"/>
            <w:right w:val="none" w:sz="0" w:space="0" w:color="auto"/>
          </w:divBdr>
        </w:div>
      </w:divsChild>
    </w:div>
    <w:div w:id="1388647220">
      <w:bodyDiv w:val="1"/>
      <w:marLeft w:val="0"/>
      <w:marRight w:val="0"/>
      <w:marTop w:val="0"/>
      <w:marBottom w:val="0"/>
      <w:divBdr>
        <w:top w:val="none" w:sz="0" w:space="0" w:color="auto"/>
        <w:left w:val="none" w:sz="0" w:space="0" w:color="auto"/>
        <w:bottom w:val="none" w:sz="0" w:space="0" w:color="auto"/>
        <w:right w:val="none" w:sz="0" w:space="0" w:color="auto"/>
      </w:divBdr>
    </w:div>
    <w:div w:id="1428887560">
      <w:bodyDiv w:val="1"/>
      <w:marLeft w:val="0"/>
      <w:marRight w:val="0"/>
      <w:marTop w:val="0"/>
      <w:marBottom w:val="0"/>
      <w:divBdr>
        <w:top w:val="none" w:sz="0" w:space="0" w:color="auto"/>
        <w:left w:val="none" w:sz="0" w:space="0" w:color="auto"/>
        <w:bottom w:val="none" w:sz="0" w:space="0" w:color="auto"/>
        <w:right w:val="none" w:sz="0" w:space="0" w:color="auto"/>
      </w:divBdr>
    </w:div>
    <w:div w:id="1686323050">
      <w:bodyDiv w:val="1"/>
      <w:marLeft w:val="0"/>
      <w:marRight w:val="0"/>
      <w:marTop w:val="0"/>
      <w:marBottom w:val="0"/>
      <w:divBdr>
        <w:top w:val="none" w:sz="0" w:space="0" w:color="auto"/>
        <w:left w:val="none" w:sz="0" w:space="0" w:color="auto"/>
        <w:bottom w:val="none" w:sz="0" w:space="0" w:color="auto"/>
        <w:right w:val="none" w:sz="0" w:space="0" w:color="auto"/>
      </w:divBdr>
    </w:div>
    <w:div w:id="1726836656">
      <w:bodyDiv w:val="1"/>
      <w:marLeft w:val="0"/>
      <w:marRight w:val="0"/>
      <w:marTop w:val="0"/>
      <w:marBottom w:val="0"/>
      <w:divBdr>
        <w:top w:val="none" w:sz="0" w:space="0" w:color="auto"/>
        <w:left w:val="none" w:sz="0" w:space="0" w:color="auto"/>
        <w:bottom w:val="none" w:sz="0" w:space="0" w:color="auto"/>
        <w:right w:val="none" w:sz="0" w:space="0" w:color="auto"/>
      </w:divBdr>
      <w:divsChild>
        <w:div w:id="266737248">
          <w:marLeft w:val="0"/>
          <w:marRight w:val="0"/>
          <w:marTop w:val="0"/>
          <w:marBottom w:val="0"/>
          <w:divBdr>
            <w:top w:val="none" w:sz="0" w:space="0" w:color="auto"/>
            <w:left w:val="none" w:sz="0" w:space="0" w:color="auto"/>
            <w:bottom w:val="none" w:sz="0" w:space="0" w:color="auto"/>
            <w:right w:val="none" w:sz="0" w:space="0" w:color="auto"/>
          </w:divBdr>
        </w:div>
      </w:divsChild>
    </w:div>
    <w:div w:id="1801613196">
      <w:bodyDiv w:val="1"/>
      <w:marLeft w:val="0"/>
      <w:marRight w:val="0"/>
      <w:marTop w:val="0"/>
      <w:marBottom w:val="0"/>
      <w:divBdr>
        <w:top w:val="none" w:sz="0" w:space="0" w:color="auto"/>
        <w:left w:val="none" w:sz="0" w:space="0" w:color="auto"/>
        <w:bottom w:val="none" w:sz="0" w:space="0" w:color="auto"/>
        <w:right w:val="none" w:sz="0" w:space="0" w:color="auto"/>
      </w:divBdr>
    </w:div>
    <w:div w:id="1948808160">
      <w:bodyDiv w:val="1"/>
      <w:marLeft w:val="0"/>
      <w:marRight w:val="0"/>
      <w:marTop w:val="0"/>
      <w:marBottom w:val="0"/>
      <w:divBdr>
        <w:top w:val="none" w:sz="0" w:space="0" w:color="auto"/>
        <w:left w:val="none" w:sz="0" w:space="0" w:color="auto"/>
        <w:bottom w:val="none" w:sz="0" w:space="0" w:color="auto"/>
        <w:right w:val="none" w:sz="0" w:space="0" w:color="auto"/>
      </w:divBdr>
    </w:div>
    <w:div w:id="1954360164">
      <w:bodyDiv w:val="1"/>
      <w:marLeft w:val="0"/>
      <w:marRight w:val="0"/>
      <w:marTop w:val="0"/>
      <w:marBottom w:val="0"/>
      <w:divBdr>
        <w:top w:val="none" w:sz="0" w:space="0" w:color="auto"/>
        <w:left w:val="none" w:sz="0" w:space="0" w:color="auto"/>
        <w:bottom w:val="none" w:sz="0" w:space="0" w:color="auto"/>
        <w:right w:val="none" w:sz="0" w:space="0" w:color="auto"/>
      </w:divBdr>
    </w:div>
    <w:div w:id="1965960464">
      <w:bodyDiv w:val="1"/>
      <w:marLeft w:val="0"/>
      <w:marRight w:val="0"/>
      <w:marTop w:val="0"/>
      <w:marBottom w:val="0"/>
      <w:divBdr>
        <w:top w:val="none" w:sz="0" w:space="0" w:color="auto"/>
        <w:left w:val="none" w:sz="0" w:space="0" w:color="auto"/>
        <w:bottom w:val="none" w:sz="0" w:space="0" w:color="auto"/>
        <w:right w:val="none" w:sz="0" w:space="0" w:color="auto"/>
      </w:divBdr>
      <w:divsChild>
        <w:div w:id="1690252895">
          <w:marLeft w:val="0"/>
          <w:marRight w:val="0"/>
          <w:marTop w:val="0"/>
          <w:marBottom w:val="0"/>
          <w:divBdr>
            <w:top w:val="none" w:sz="0" w:space="0" w:color="auto"/>
            <w:left w:val="none" w:sz="0" w:space="0" w:color="auto"/>
            <w:bottom w:val="none" w:sz="0" w:space="0" w:color="auto"/>
            <w:right w:val="none" w:sz="0" w:space="0" w:color="auto"/>
          </w:divBdr>
        </w:div>
      </w:divsChild>
    </w:div>
    <w:div w:id="212549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Dep171</b:Tag>
    <b:SourceType>InternetSite</b:SourceType>
    <b:Guid>{CD7E5D50-1721-4E47-9351-22AD7D973761}</b:Guid>
    <b:Title>Meningococcal disease</b:Title>
    <b:InternetSiteTitle>Australian Immunisation Handbook</b:InternetSiteTitle>
    <b:Year>2018</b:Year>
    <b:Month>June</b:Month>
    <b:Day>8</b:Day>
    <b:URL>https://immunisationhandbook.health.gov.au/vaccine-preventable-diseases/meningococcal-disease</b:URL>
    <b:Author>
      <b:Author>
        <b:NameList>
          <b:Person>
            <b:Last>ATAGI</b:Last>
          </b:Person>
        </b:NameList>
      </b:Author>
    </b:Author>
    <b:YearAccessed>2018</b:YearAccessed>
    <b:MonthAccessed>11</b:MonthAccessed>
    <b:DayAccessed>12</b:DayAccessed>
    <b:RefOrder>1</b:RefOrder>
  </b:Source>
  <b:Source>
    <b:Tag>Placeholder1</b:Tag>
    <b:SourceType>InternetSite</b:SourceType>
    <b:Guid>{80BAEB0B-7553-41CB-9804-7B601EE87485}</b:Guid>
    <b:Title>Meningococcal Disease (Invasive)</b:Title>
    <b:InternetSiteTitle>Conditions and diseases</b:InternetSiteTitle>
    <b:Year>2019</b:Year>
    <b:Month>November</b:Month>
    <b:Day>14</b:Day>
    <b:URL>http://www.health.gov.au/internet/main/publishing.nsf/Content/ohp-meningococcal-W.htm</b:URL>
    <b:Author>
      <b:Author>
        <b:NameList>
          <b:Person>
            <b:Last>Department of Health</b:Last>
          </b:Person>
        </b:NameList>
      </b:Author>
    </b:Author>
    <b:YearAccessed>2019</b:YearAccessed>
    <b:MonthAccessed>04</b:MonthAccessed>
    <b:DayAccessed>26</b:DayAccessed>
    <b:RefOrder>8</b:RefOrder>
  </b:Source>
  <b:Source>
    <b:Tag>Gol18</b:Tag>
    <b:SourceType>JournalArticle</b:SourceType>
    <b:Guid>{5C0CE29B-8D03-448D-9CDE-C85CF61EF17A}</b:Guid>
    <b:Title>Pneumococcal conjugate vaccine 13 delivered as one primary and one booster dose (1 + 1) compared with two primary doses and a booster (2 + 1) in UK infants: a multicentre, parallel group randomised controlled trial.</b:Title>
    <b:JournalName>Lancet Infect Dis</b:JournalName>
    <b:Year>2018</b:Year>
    <b:Pages>171-179</b:Pages>
    <b:Volume>18</b:Volume>
    <b:Issue>2</b:Issue>
    <b:Author>
      <b:Author>
        <b:NameList>
          <b:Person>
            <b:Last>Goldblatt</b:Last>
            <b:First>F</b:First>
          </b:Person>
          <b:Person>
            <b:Last>Southern</b:Last>
            <b:First>J</b:First>
          </b:Person>
          <b:Person>
            <b:Last>Andrews</b:Last>
            <b:Middle>J</b:Middle>
            <b:First>N</b:First>
          </b:Person>
          <b:Person>
            <b:Last>Burbridge</b:Last>
            <b:First>P</b:First>
          </b:Person>
          <b:Person>
            <b:Last>Partington</b:Last>
            <b:First>J</b:First>
          </b:Person>
          <b:Person>
            <b:Last>Roalfe</b:Last>
            <b:First>L</b:First>
          </b:Person>
        </b:NameList>
      </b:Author>
    </b:Author>
    <b:RefOrder>113</b:RefOrder>
  </b:Source>
  <b:Source>
    <b:Tag>Sou19</b:Tag>
    <b:SourceType>InternetSite</b:SourceType>
    <b:Guid>{8FE64E0F-2646-4354-AC95-B377A7A19A2E}</b:Guid>
    <b:Author>
      <b:Author>
        <b:Corporate>South Australia Health</b:Corporate>
      </b:Author>
    </b:Author>
    <b:Title>Meningococcal B Immunisation Program</b:Title>
    <b:Year>2019</b:Year>
    <b:YearAccessed>2019</b:YearAccessed>
    <b:MonthAccessed>January</b:MonthAccessed>
    <b:DayAccessed>29</b:DayAccessed>
    <b:URL>https://www.sahealth.sa.gov.au/wps/wcm/connect/public+content/sa+health+internet/health+topics/health+conditions+prevention+and+treatment/immunisation/immunisation+programs/meningococcal+b+immunisation+program</b:URL>
    <b:RefOrder>114</b:RefOrder>
  </b:Source>
  <b:Source>
    <b:Tag>Pel16</b:Tag>
    <b:SourceType>JournalArticle</b:SourceType>
    <b:Guid>{BD54DE2C-0636-43F9-9057-72553BCAD819}</b:Guid>
    <b:Author>
      <b:Author>
        <b:NameList>
          <b:Person>
            <b:Last>Pelton</b:Last>
            <b:First>SI</b:First>
          </b:Person>
        </b:NameList>
      </b:Author>
    </b:Author>
    <b:Title>The Global Evolution of Meningicoccal Epidemiology Following the Introduction of Meningococcal Vaccines</b:Title>
    <b:JournalName>Journal of Adolescent Health</b:JournalName>
    <b:Year>2016</b:Year>
    <b:Pages>S3-S11</b:Pages>
    <b:Volume>59</b:Volume>
    <b:Issue>2</b:Issue>
    <b:RefOrder>259</b:RefOrder>
  </b:Source>
  <b:Source>
    <b:Tag>Mba19</b:Tag>
    <b:SourceType>JournalArticle</b:SourceType>
    <b:Guid>{B6F10C69-632E-436B-9A8E-FD52D2174B3C}</b:Guid>
    <b:Title>Epidemiology of Meningococcal Disease Outbreaks in the United States, 2009–2013</b:Title>
    <b:JournalName>Clinical Infectious Diseases</b:JournalName>
    <b:Year>2019</b:Year>
    <b:Pages>580–585</b:Pages>
    <b:Volume>4</b:Volume>
    <b:Issue>68</b:Issue>
    <b:Author>
      <b:Author>
        <b:NameList>
          <b:Person>
            <b:Last>Mbaeyi</b:Last>
            <b:First>SA </b:First>
          </b:Person>
          <b:Person>
            <b:Last>Blain</b:Last>
            <b:First>A</b:First>
          </b:Person>
          <b:Person>
            <b:Last>Whaley</b:Last>
            <b:First>MJ</b:First>
          </b:Person>
          <b:Person>
            <b:Last>et al</b:Last>
          </b:Person>
        </b:NameList>
      </b:Author>
    </b:Author>
    <b:RefOrder>257</b:RefOrder>
  </b:Source>
  <b:Source>
    <b:Tag>Pro17</b:Tag>
    <b:SourceType>Report</b:SourceType>
    <b:Guid>{5F921C75-4CB4-4DE2-93ED-CAAEA9AA698A}</b:Guid>
    <b:Title>Report on Government Services</b:Title>
    <b:Year>2017</b:Year>
    <b:Author>
      <b:Author>
        <b:Corporate>Productivity Commission</b:Corporate>
        <b:NameList>
          <b:Person>
            <b:Last>Productivity Commission</b:Last>
          </b:Person>
        </b:NameList>
      </b:Author>
    </b:Author>
    <b:Publisher>Australian Government</b:Publisher>
    <b:City>Canberra</b:City>
    <b:RefOrder>285</b:RefOrder>
  </b:Source>
  <b:Source>
    <b:Tag>Vis11</b:Tag>
    <b:SourceType>Report</b:SourceType>
    <b:Guid>{7508EF96-A655-4CE0-BD60-CF01A5771DC6}</b:Guid>
    <b:Author>
      <b:Author>
        <b:Corporate>Vision Australia</b:Corporate>
      </b:Author>
    </b:Author>
    <b:Title>Blindness and Low Vision Services</b:Title>
    <b:Year>2011</b:Year>
    <b:Publisher>Vision Australia</b:Publisher>
    <b:City>Melbourne</b:City>
    <b:RefOrder>288</b:RefOrder>
  </b:Source>
  <b:Source>
    <b:Tag>Del17</b:Tag>
    <b:SourceType>Report</b:SourceType>
    <b:Guid>{5E4C1C8E-AD0B-4AF5-B806-58DAA78FCB37}</b:Guid>
    <b:Author>
      <b:Author>
        <b:Corporate>Deloitte Access Economics</b:Corporate>
      </b:Author>
    </b:Author>
    <b:Title>The Social and Economic Cost of Hearing Loss in Australia</b:Title>
    <b:Year>2017</b:Year>
    <b:Publisher>Hearing Care Industry Association</b:Publisher>
    <b:URL>http://www.hcia.com.au/hcia-wp/wp-content/uploads/2015/05/Social-and-Economic-Cost-of-Hearing-Health-in-Australia_June-2017.pdf</b:URL>
    <b:City>Canberra</b:City>
    <b:RefOrder>262</b:RefOrder>
  </b:Source>
  <b:Source>
    <b:Tag>Koc10</b:Tag>
    <b:SourceType>JournalArticle</b:SourceType>
    <b:Guid>{3DEA6B6B-9D14-4EC1-81EF-AA2A789D9BFA}</b:Guid>
    <b:Author>
      <b:Author>
        <b:NameList>
          <b:Person>
            <b:Last>Kochkin</b:Last>
            <b:First>S</b:First>
          </b:Person>
        </b:NameList>
      </b:Author>
    </b:Author>
    <b:Title>The efficacy of hearing aids in achieving compensation equity in the workplace</b:Title>
    <b:JournalName>The Hearing Journal</b:JournalName>
    <b:Year>2010</b:Year>
    <b:Pages>19-26</b:Pages>
    <b:Volume>63</b:Volume>
    <b:Issue>10</b:Issue>
    <b:RefOrder>289</b:RefOrder>
  </b:Source>
  <b:Source>
    <b:Tag>Tur17</b:Tag>
    <b:SourceType>JournalArticle</b:SourceType>
    <b:Guid>{02E2902C-5690-4122-84C8-D88F1A5DDBAC}</b:Guid>
    <b:Author>
      <b:Author>
        <b:NameList>
          <b:Person>
            <b:Last>Turchetti</b:Last>
            <b:First>G</b:First>
          </b:Person>
        </b:NameList>
      </b:Author>
    </b:Author>
    <b:Title>The social cost of chronic kidney disease in ITaly</b:Title>
    <b:JournalName>European Journal of Health Economics</b:JournalName>
    <b:Year>2017</b:Year>
    <b:Pages>847-858</b:Pages>
    <b:Volume>18</b:Volume>
    <b:RefOrder>290</b:RefOrder>
  </b:Source>
  <b:Source>
    <b:Tag>Placeholder26</b:Tag>
    <b:SourceType>JournalArticle</b:SourceType>
    <b:Guid>{89E1F17A-CEC1-46C6-A5D7-87A320FCB9B9}</b:Guid>
    <b:Author>
      <b:Author>
        <b:NameList>
          <b:Person>
            <b:Last>Muehrer</b:Last>
            <b:First>RJ</b:First>
          </b:Person>
          <b:Person>
            <b:Last>Schatell</b:Last>
            <b:First>D</b:First>
          </b:Person>
          <b:Person>
            <b:Last>Witten</b:Last>
            <b:First>B</b:First>
          </b:Person>
          <b:Person>
            <b:Last>et al</b:Last>
          </b:Person>
        </b:NameList>
      </b:Author>
    </b:Author>
    <b:Title>Factors Affecting Employment at Initiation of Dialysis</b:Title>
    <b:JournalName>Clinical Journal of the American Society of Nephrology</b:JournalName>
    <b:Year>2011</b:Year>
    <b:Pages>489-496</b:Pages>
    <b:Volume>6</b:Volume>
    <b:Issue>3</b:Issue>
    <b:RefOrder>291</b:RefOrder>
  </b:Source>
  <b:Source>
    <b:Tag>Wil18</b:Tag>
    <b:SourceType>JournalArticle</b:SourceType>
    <b:Guid>{87A4A865-06F1-49FF-B44F-5BE89724672C}</b:Guid>
    <b:Author>
      <b:Author>
        <b:NameList>
          <b:Person>
            <b:Last>Willems</b:Last>
            <b:First>LM</b:First>
          </b:Person>
          <b:Person>
            <b:Last>Richter</b:Last>
            <b:First>S</b:First>
          </b:Person>
          <b:Person>
            <b:Last>Watermann</b:Last>
            <b:First>N</b:First>
          </b:Person>
          <b:Person>
            <b:Last>et al</b:Last>
          </b:Person>
        </b:NameList>
      </b:Author>
    </b:Author>
    <b:Title>Trends in resource utilization and prescription of anticonvulsants for patients with active epilepsy in Germany from 2003 to 2013 - A ten-year overview</b:Title>
    <b:JournalName>Epilepsy &amp; Behavior</b:JournalName>
    <b:Year>2018</b:Year>
    <b:Pages>28-35</b:Pages>
    <b:Volume>83</b:Volume>
    <b:RefOrder>292</b:RefOrder>
  </b:Source>
  <b:Source>
    <b:Tag>van18</b:Tag>
    <b:SourceType>JournalArticle</b:SourceType>
    <b:Guid>{5B45FC24-B1CA-4868-91C0-18D7B29609B0}</b:Guid>
    <b:Author>
      <b:Author>
        <b:NameList>
          <b:Person>
            <b:Last>van Gorp</b:Last>
            <b:First>DM</b:First>
          </b:Person>
          <b:Person>
            <b:Last>van der Klink</b:Last>
            <b:First>JL</b:First>
          </b:Person>
          <b:Person>
            <b:Last>Abma</b:Last>
            <b:First>FI</b:First>
          </b:Person>
          <b:Person>
            <b:Last>et al</b:Last>
          </b:Person>
        </b:NameList>
      </b:Author>
    </b:Author>
    <b:Title>The capability set for work - correlates of sustainable employability in workers with multiple sclerosis</b:Title>
    <b:JournalName>Health and Quality of Life Outcomes</b:JournalName>
    <b:Year>2018</b:Year>
    <b:Volume>16</b:Volume>
    <b:Issue>1</b:Issue>
    <b:Pages>113</b:Pages>
    <b:RefOrder>293</b:RefOrder>
  </b:Source>
  <b:Source>
    <b:Tag>Kna09</b:Tag>
    <b:SourceType>JournalArticle</b:SourceType>
    <b:Guid>{DF7EAA02-A522-4351-A9C4-AD557A99FB54}</b:Guid>
    <b:Title>Economic cost of autism in the UK</b:Title>
    <b:Year>2009</b:Year>
    <b:Author>
      <b:Author>
        <b:NameList>
          <b:Person>
            <b:Last>Knapp</b:Last>
            <b:First>M</b:First>
          </b:Person>
          <b:Person>
            <b:Last>Romeo</b:Last>
            <b:First>R</b:First>
          </b:Person>
          <b:Person>
            <b:Last>Beecham</b:Last>
            <b:First>J</b:First>
          </b:Person>
        </b:NameList>
      </b:Author>
    </b:Author>
    <b:JournalName>Autism</b:JournalName>
    <b:Volume>13</b:Volume>
    <b:Issue>3</b:Issue>
    <b:Pages>317-336</b:Pages>
    <b:RefOrder>294</b:RefOrder>
  </b:Source>
  <b:Source>
    <b:Tag>MSR17</b:Tag>
    <b:SourceType>Report</b:SourceType>
    <b:Guid>{F3BA4659-7F4A-40C5-9D6F-A572E0436741}</b:Guid>
    <b:Author>
      <b:Author>
        <b:Corporate>MS Research Australia</b:Corporate>
      </b:Author>
    </b:Author>
    <b:Title>Health Economic Impact of Multiple Sclerosis in Australia</b:Title>
    <b:Year>2017</b:Year>
    <b:Publisher>Menzies Institute of Medical Research</b:Publisher>
    <b:City>Tasmania</b:City>
    <b:RefOrder>295</b:RefOrder>
  </b:Source>
  <b:Source>
    <b:Tag>Bro08</b:Tag>
    <b:SourceType>JournalArticle</b:SourceType>
    <b:Guid>{408D1998-44F1-4340-BA5E-F3DB16058904}</b:Guid>
    <b:Title>The hidden cost of skin scars: quality of life after skin scarring</b:Title>
    <b:Year>2008</b:Year>
    <b:Pages>1049-1058</b:Pages>
    <b:Author>
      <b:Author>
        <b:NameList>
          <b:Person>
            <b:Last>Brown</b:Last>
            <b:First>BC</b:First>
          </b:Person>
          <b:Person>
            <b:Last>McKenna</b:Last>
            <b:First>SP</b:First>
          </b:Person>
          <b:Person>
            <b:Last>Siddhi</b:Last>
            <b:First>K</b:First>
          </b:Person>
          <b:Person>
            <b:Last>et al</b:Last>
          </b:Person>
        </b:NameList>
      </b:Author>
    </b:Author>
    <b:JournalName>Journal of Plastic, Reconstructive &amp; Aesthetic Surgery</b:JournalName>
    <b:Volume>61</b:Volume>
    <b:RefOrder>296</b:RefOrder>
  </b:Source>
  <b:Source>
    <b:Tag>Ste03</b:Tag>
    <b:SourceType>JournalArticle</b:SourceType>
    <b:Guid>{1C46B47D-EBFF-4EAE-9FFA-BA804D153E87}</b:Guid>
    <b:Author>
      <b:Author>
        <b:NameList>
          <b:Person>
            <b:Last>Stewart</b:Last>
            <b:First>W</b:First>
            <b:Middle>F</b:Middle>
          </b:Person>
          <b:Person>
            <b:Last>Ricci</b:Last>
            <b:First>J</b:First>
            <b:Middle>A</b:Middle>
          </b:Person>
          <b:Person>
            <b:Last>Chee</b:Last>
            <b:First>E</b:First>
          </b:Person>
          <b:Person>
            <b:Last>Hahn</b:Last>
            <b:First>S</b:First>
            <b:Middle>R</b:Middle>
          </b:Person>
          <b:Person>
            <b:Last>Morganstein</b:Last>
            <b:First>D</b:First>
          </b:Person>
        </b:NameList>
      </b:Author>
    </b:Author>
    <b:Title>Cost of lost productive work time among US workers with depression</b:Title>
    <b:JournalName>JAMA</b:JournalName>
    <b:Year>2003</b:Year>
    <b:Pages>3135-3144</b:Pages>
    <b:Volume>23</b:Volume>
    <b:Issue>3</b:Issue>
    <b:RefOrder>297</b:RefOrder>
  </b:Source>
  <b:Source>
    <b:Tag>Wag05</b:Tag>
    <b:SourceType>JournalArticle</b:SourceType>
    <b:Guid>{8467845E-8D3E-4169-AFD9-96E1B2AEE221}</b:Guid>
    <b:Author>
      <b:Author>
        <b:NameList>
          <b:Person>
            <b:Last>Waghorn</b:Last>
            <b:First>Geoff</b:First>
          </b:Person>
          <b:Person>
            <b:Last>Chant</b:Last>
            <b:First>David</b:First>
          </b:Person>
          <b:Person>
            <b:Last>White</b:Last>
            <b:First>Paul</b:First>
          </b:Person>
          <b:Person>
            <b:Last>Whiteford</b:Last>
            <b:First>Harvey</b:First>
          </b:Person>
        </b:NameList>
      </b:Author>
    </b:Author>
    <b:Title>Disability, employment and work performance among people with ICD-10 anxiety disorders</b:Title>
    <b:JournalName>Australian and New Zealand Journal of Psychiatry</b:JournalName>
    <b:Year>2005</b:Year>
    <b:Pages>55-66</b:Pages>
    <b:Volume>39</b:Volume>
    <b:RefOrder>298</b:RefOrder>
  </b:Source>
  <b:Source>
    <b:Tag>Lee17</b:Tag>
    <b:SourceType>JournalArticle</b:SourceType>
    <b:Guid>{A63DF06F-05C2-4147-910A-AAF52BF504B5}</b:Guid>
    <b:Title>Cost of high prevalence mental disorders: Findings from the 2007 Australian National Survey of Mental Health and Wellbeing</b:Title>
    <b:Year>2017</b:Year>
    <b:Author>
      <b:Author>
        <b:NameList>
          <b:Person>
            <b:Last>Lee</b:Last>
            <b:First>YC</b:First>
          </b:Person>
          <b:Person>
            <b:Last>Chatterton</b:Last>
            <b:First>ML</b:First>
          </b:Person>
          <b:Person>
            <b:Last>Magnus</b:Last>
            <b:First>A</b:First>
          </b:Person>
          <b:Person>
            <b:Last>et al</b:Last>
          </b:Person>
        </b:NameList>
      </b:Author>
    </b:Author>
    <b:JournalName>Australian &amp; New Zealand Journal of Psychiatry</b:JournalName>
    <b:Pages>1198-1211</b:Pages>
    <b:RefOrder>263</b:RefOrder>
  </b:Source>
  <b:Source>
    <b:Tag>Pet17</b:Tag>
    <b:SourceType>JournalArticle</b:SourceType>
    <b:Guid>{E1DF4842-0C18-4D4A-BDF4-012A6D4901A0}</b:Guid>
    <b:Title>Effectiveness of a group B outer membrane vesicle meningococcal vaccine against gonorrhoea in New Zealand: a retrospective case-control study</b:Title>
    <b:Year>2017</b:Year>
    <b:JournalName>Lancet</b:JournalName>
    <b:Author>
      <b:Author>
        <b:NameList>
          <b:Person>
            <b:Last>Petousis-Harris</b:Last>
            <b:First>H</b:First>
          </b:Person>
          <b:Person>
            <b:Last>Paynter</b:Last>
            <b:First>J</b:First>
          </b:Person>
          <b:Person>
            <b:Last>Morgan</b:Last>
            <b:First>J</b:First>
          </b:Person>
          <b:Person>
            <b:Last>Saxton</b:Last>
            <b:First>P</b:First>
          </b:Person>
          <b:Person>
            <b:Last>McArdle</b:Last>
            <b:First>B</b:First>
          </b:Person>
          <b:Person>
            <b:Last>Goodyear-Smith</b:Last>
            <b:First>F</b:First>
          </b:Person>
          <b:Person>
            <b:Last>Black</b:Last>
            <b:First>S</b:First>
          </b:Person>
        </b:NameList>
      </b:Author>
    </b:Author>
    <b:Pages>390:1603-10</b:Pages>
    <b:RefOrder>41</b:RefOrder>
  </b:Source>
  <b:Source>
    <b:Tag>Pay19</b:Tag>
    <b:SourceType>JournalArticle</b:SourceType>
    <b:Guid>{D20142A9-CB85-4D6A-A692-6193BA578D88}</b:Guid>
    <b:Title>Effectiveness of a group B outer membrane vesicle meningococcal vaccine in preventing hospitalization from gonorrhea in New Zealand: a retrospective cohort study</b:Title>
    <b:JournalName>Vaccines</b:JournalName>
    <b:Year>2019</b:Year>
    <b:Pages>doi:10.3390/vaccine</b:Pages>
    <b:Volume>7</b:Volume>
    <b:Issue>5</b:Issue>
    <b:Author>
      <b:Author>
        <b:NameList>
          <b:Person>
            <b:Last>Paynter</b:Last>
            <b:First>J</b:First>
          </b:Person>
          <b:Person>
            <b:Last>Goodyear-Smith</b:Last>
            <b:First>F</b:First>
          </b:Person>
          <b:Person>
            <b:Last>Morgan</b:Last>
            <b:First>J</b:First>
          </b:Person>
          <b:Person>
            <b:Last>et al</b:Last>
          </b:Person>
        </b:NameList>
      </b:Author>
    </b:Author>
    <b:RefOrder>42</b:RefOrder>
  </b:Source>
  <b:Source>
    <b:Tag>Lon17</b:Tag>
    <b:SourceType>JournalArticle</b:SourceType>
    <b:Guid>{627762B5-3A93-4277-A4B1-799644020DB8}</b:Guid>
    <b:Title>Possible Impact of Wide-scale Vaccination Against Serogroup B Neisseria Meningitidis on Gonorrhea Incidence Rates in One Region of Quebec, Canada</b:Title>
    <b:JournalName>Open Forum Infectious Disease</b:JournalName>
    <b:Year>2017</b:Year>
    <b:Pages>S734-S5</b:Pages>
    <b:Volume>4</b:Volume>
    <b:Issue>Suppl 1</b:Issue>
    <b:Author>
      <b:Author>
        <b:NameList>
          <b:Person>
            <b:Last>Longtin</b:Last>
            <b:First>J</b:First>
          </b:Person>
          <b:Person>
            <b:Last>Dion</b:Last>
            <b:First>R</b:First>
          </b:Person>
          <b:Person>
            <b:Last>Simard</b:Last>
            <b:First>M</b:First>
          </b:Person>
          <b:Person>
            <b:Last>et al.</b:Last>
          </b:Person>
        </b:NameList>
      </b:Author>
    </b:Author>
    <b:RefOrder>6</b:RefOrder>
  </b:Source>
  <b:Source>
    <b:Tag>DeW17</b:Tag>
    <b:SourceType>JournalArticle</b:SourceType>
    <b:Guid>{EA7233B4-154D-4FE5-B018-F670E23E13D4}</b:Guid>
    <b:Author>
      <b:Author>
        <b:NameList>
          <b:Person>
            <b:Last>De Wals</b:Last>
            <b:First>P</b:First>
          </b:Person>
          <b:Person>
            <b:Last>Deceuninck</b:Last>
            <b:First>G</b:First>
          </b:Person>
          <b:Person>
            <b:Last>Lefebvre</b:Last>
            <b:First>B</b:First>
          </b:Person>
          <b:Person>
            <b:Last>et al</b:Last>
          </b:Person>
        </b:NameList>
      </b:Author>
    </b:Author>
    <b:Title>Impact of an Immunization Campaign to Control an Increased Incidence of Serogroup B Meningococcal Disease in One Region of Quebec, Canada</b:Title>
    <b:Year>2017</b:Year>
    <b:JournalName>Clin Infect Dis</b:JournalName>
    <b:Pages>1263-1267</b:Pages>
    <b:Volume>64</b:Volume>
    <b:Issue>9</b:Issue>
    <b:RefOrder>43</b:RefOrder>
  </b:Source>
  <b:Source>
    <b:Tag>INS18</b:Tag>
    <b:SourceType>Report</b:SourceType>
    <b:Guid>{0461403E-0B9D-4200-9FDF-62F4F5DE3002}</b:Guid>
    <b:Title>Impact épidémiologique de la campagne de vaccination contre le méningocoque de sérogroupe B dans la région du Saguenay-Lac-Saint-Jean, en 2014 : rapport au 30 juin 2018.</b:Title>
    <b:Year>2018</b:Year>
    <b:Author>
      <b:Author>
        <b:NameList>
          <b:Person>
            <b:Last>INSPQ</b:Last>
          </b:Person>
        </b:NameList>
      </b:Author>
    </b:Author>
    <b:Publisher>Institut national de sante publique du Quebec</b:Publisher>
    <b:City>Quebec</b:City>
    <b:RefOrder>44</b:RefOrder>
  </b:Source>
  <b:Source>
    <b:Tag>Arn11</b:Tag>
    <b:SourceType>JournalArticle</b:SourceType>
    <b:Guid>{99077EC7-3188-4E97-A879-0FBFB832F705}</b:Guid>
    <b:Title>Effectiveness of a vaccination programme for an epidemic of meningococcal B in New Zealand</b:Title>
    <b:JournalName>Vaccine</b:JournalName>
    <b:Year>2011</b:Year>
    <b:Pages>7100-6</b:Pages>
    <b:Volume>29</b:Volume>
    <b:Issue>40</b:Issue>
    <b:Author>
      <b:Author>
        <b:NameList>
          <b:Person>
            <b:Last>Arnold</b:Last>
            <b:First>R</b:First>
          </b:Person>
          <b:Person>
            <b:Last>Galloway</b:Last>
            <b:First>Y</b:First>
          </b:Person>
          <b:Person>
            <b:Last>McNicholas</b:Last>
            <b:First>A</b:First>
          </b:Person>
          <b:Person>
            <b:Last>O’Hallahan</b:Last>
            <b:First>J</b:First>
          </b:Person>
        </b:NameList>
      </b:Author>
    </b:Author>
    <b:RefOrder>45</b:RefOrder>
  </b:Source>
  <b:Source>
    <b:Tag>CBG06</b:Tag>
    <b:SourceType>DocumentFromInternetSite</b:SourceType>
    <b:Guid>{464EEFFC-256D-46B8-85D5-EE78E558BB61}</b:Guid>
    <b:Title>Meningococcal B Immunisation Evaluation Final Report</b:Title>
    <b:Year>2006</b:Year>
    <b:YearAccessed>2018</b:YearAccessed>
    <b:MonthAccessed>11</b:MonthAccessed>
    <b:DayAccessed>27</b:DayAccessed>
    <b:URL>https://www.health.govt.nz/system/files/documents/publications/menzb-implementation-evaluation-nov06.pdf</b:URL>
    <b:Author>
      <b:Author>
        <b:NameList>
          <b:Person>
            <b:Last>CBG Health Research</b:Last>
          </b:Person>
        </b:NameList>
      </b:Author>
    </b:Author>
    <b:Month>November</b:Month>
    <b:RefOrder>40</b:RefOrder>
  </b:Source>
  <b:Source>
    <b:Tag>ABS2</b:Tag>
    <b:SourceType>ElectronicSource</b:SourceType>
    <b:Guid>{8A5C82E0-779F-4812-ADF7-8ED3D555C052}</b:Guid>
    <b:Author>
      <b:Author>
        <b:Corporate>ABS</b:Corporate>
      </b:Author>
    </b:Author>
    <b:Title>3101.0 Australian Demographic Statistics</b:Title>
    <b:City>Canberra</b:City>
    <b:StateProvince>ACT</b:StateProvince>
    <b:CountryRegion>Australia</b:CountryRegion>
    <b:Year>2017</b:Year>
    <b:Month>June</b:Month>
    <b:URL>http://www.abs.gov.au/ausstats/abs@.nsf/mf/3101.0</b:URL>
    <b:RefOrder>303</b:RefOrder>
  </b:Source>
  <b:Source>
    <b:Tag>ABS7b</b:Tag>
    <b:SourceType>DocumentFromInternetSite</b:SourceType>
    <b:Guid>{93823893-8D56-4655-BD04-5DED1392FD84}</b:Guid>
    <b:Author>
      <b:Author>
        <b:NameList>
          <b:Person>
            <b:Last>ABS</b:Last>
          </b:Person>
        </b:NameList>
      </b:Author>
    </b:Author>
    <b:Title>ABS 4221.0 - Schools, Australia</b:Title>
    <b:Year>2017b</b:Year>
    <b:URL>https://www.abs.gov.au/AUSSTATS/abs@.nsf/DetailsPage/4221.02017?OpenDocument</b:URL>
    <b:YearAccessed>2019</b:YearAccessed>
    <b:MonthAccessed>05</b:MonthAccessed>
    <b:DayAccessed>20</b:DayAccessed>
    <b:RefOrder>307</b:RefOrder>
  </b:Source>
  <b:Source>
    <b:Tag>NCI191</b:Tag>
    <b:SourceType>InternetSite</b:SourceType>
    <b:Guid>{548D972F-6F4F-4043-8C2A-79DF6CDA845B}</b:Guid>
    <b:Title>Coverage data and reports</b:Title>
    <b:Year>2019</b:Year>
    <b:Author>
      <b:Author>
        <b:NameList>
          <b:Person>
            <b:Last>NCIRS</b:Last>
          </b:Person>
        </b:NameList>
      </b:Author>
    </b:Author>
    <b:YearAccessed>2019</b:YearAccessed>
    <b:MonthAccessed>5</b:MonthAccessed>
    <b:DayAccessed>1</b:DayAccessed>
    <b:URL>http://www.ncirs.org.au/health-professionals/coverage-data-and-reports</b:URL>
    <b:RefOrder>193</b:RefOrder>
  </b:Source>
  <b:Source>
    <b:Tag>Kir07</b:Tag>
    <b:SourceType>JournalArticle</b:SourceType>
    <b:Guid>{B3A8E956-98AB-4AAF-BD26-6C6DE9DFC1D1}</b:Guid>
    <b:Title>Primary immunodeficiency diseases in Australia and New Zealand</b:Title>
    <b:Year>2007</b:Year>
    <b:Author>
      <b:Author>
        <b:NameList>
          <b:Person>
            <b:Last>Kirkpatrick</b:Last>
            <b:First>P</b:First>
          </b:Person>
          <b:Person>
            <b:Last>Riminton</b:Last>
            <b:First>S</b:First>
          </b:Person>
        </b:NameList>
      </b:Author>
    </b:Author>
    <b:JournalName>Journal of Clinical Immunology</b:JournalName>
    <b:Pages>517-24</b:Pages>
    <b:Volume>27</b:Volume>
    <b:RefOrder>308</b:RefOrder>
  </b:Source>
  <b:Source>
    <b:Tag>Pha</b:Tag>
    <b:SourceType>DocumentFromInternetSite</b:SourceType>
    <b:Guid>{9058513E-FF3A-45D6-BD9C-87BF15CF49D7}</b:Guid>
    <b:Title>Public Summary Document: Eculizumab, concentrated solution for IV infusion, 200 mg in 30 mL, Soliris</b:Title>
    <b:Author>
      <b:Author>
        <b:NameList>
          <b:Person>
            <b:Last>PBAC</b:Last>
          </b:Person>
        </b:NameList>
      </b:Author>
    </b:Author>
    <b:Year>2013</b:Year>
    <b:Month>March</b:Month>
    <b:URL>http://www.pbs.gov.au/industry/listing/elements/pbac-meetings/psd/2013-03/eculizumab-psd-03-2013.pdf</b:URL>
    <b:RefOrder>309</b:RefOrder>
  </b:Source>
  <b:Source>
    <b:Tag>Kan17</b:Tag>
    <b:SourceType>JournalArticle</b:SourceType>
    <b:Guid>{2B0BE6CD-1C7F-4079-90F4-9AAF5E0B8772}</b:Guid>
    <b:Title>Spleen Australia guidelines for the prevention of sepsis in patients with asplenia and hyposplenism in Australia and New Zealand</b:Title>
    <b:Year>2017</b:Year>
    <b:Author>
      <b:Author>
        <b:NameList>
          <b:Person>
            <b:Last>Kanhutu</b:Last>
            <b:First>K</b:First>
          </b:Person>
          <b:Person>
            <b:Last>Jones</b:Last>
            <b:First>P</b:First>
          </b:Person>
          <b:Person>
            <b:Last>Cheng</b:Last>
            <b:First>AC</b:First>
          </b:Person>
          <b:Person>
            <b:Last>et al</b:Last>
          </b:Person>
        </b:NameList>
      </b:Author>
    </b:Author>
    <b:JournalName>Internal Medicine Journal</b:JournalName>
    <b:Pages>848-55</b:Pages>
    <b:Volume>47</b:Volume>
    <b:RefOrder>310</b:RefOrder>
  </b:Source>
  <b:Source>
    <b:Tag>Placeholder4</b:Tag>
    <b:SourceType>Report</b:SourceType>
    <b:Guid>{67BB1394-7A85-472A-AF6F-6AA92533853D}</b:Guid>
    <b:Author>
      <b:Author>
        <b:Corporate>Kirby Institute</b:Corporate>
      </b:Author>
    </b:Author>
    <b:Title>HIV in Australia - Annual surveillance short report</b:Title>
    <b:Year>2018</b:Year>
    <b:Publisher>Kirby Institute</b:Publisher>
    <b:City>Sydney</b:City>
    <b:RefOrder>311</b:RefOrder>
  </b:Source>
  <b:Source>
    <b:Tag>ATA18</b:Tag>
    <b:SourceType>Report</b:SourceType>
    <b:Guid>{0A2E739B-D97D-4C24-9A1F-27FDB761064F}</b:Guid>
    <b:Title>ATAGI Pre-submission advice</b:Title>
    <b:Year>2018</b:Year>
    <b:Author>
      <b:Author>
        <b:Corporate>ATAGI</b:Corporate>
      </b:Author>
    </b:Author>
    <b:Publisher>ATAGI</b:Publisher>
    <b:RefOrder>306</b:RefOrder>
  </b:Source>
  <b:Source>
    <b:Tag>Das14</b:Tag>
    <b:SourceType>JournalArticle</b:SourceType>
    <b:Guid>{9E955570-675D-4CCA-922C-469B8F0A696F}</b:Guid>
    <b:Author>
      <b:Author>
        <b:NameList>
          <b:Person>
            <b:Last>Dastouri</b:Last>
            <b:First>F</b:First>
          </b:Person>
          <b:Person>
            <b:Last>Hosseini</b:Last>
            <b:First>A</b:First>
          </b:Person>
          <b:Person>
            <b:Last>Haworth</b:Last>
            <b:First>E</b:First>
          </b:Person>
          <b:Person>
            <b:Last>Khandaker</b:Last>
            <b:First>G</b:First>
          </b:Person>
          <b:Person>
            <b:Last>Rashid</b:Last>
            <b:First>H</b:First>
          </b:Person>
          <b:Person>
            <b:Last>Booy</b:Last>
            <b:First>R.</b:First>
          </b:Person>
        </b:NameList>
      </b:Author>
    </b:Author>
    <b:Title>Complications of Serogroup B Meningococcal Disease in Survivors: A review</b:Title>
    <b:JournalName>Infectious Disorders-Drug Targets</b:JournalName>
    <b:Year>2014</b:Year>
    <b:Pages>205-212</b:Pages>
    <b:Volume>14</b:Volume>
    <b:RefOrder>200</b:RefOrder>
  </b:Source>
  <b:Source>
    <b:Tag>Arc17</b:Tag>
    <b:SourceType>JournalArticle</b:SourceType>
    <b:Guid>{0043EDBA-D6A2-4D53-9971-92F60DA20BCA}</b:Guid>
    <b:Author>
      <b:Author>
        <b:NameList>
          <b:Person>
            <b:Last>Archer</b:Last>
            <b:First>BN</b:First>
          </b:Person>
          <b:Person>
            <b:Last>Chiu</b:Last>
            <b:First>CK</b:First>
          </b:Person>
          <b:Person>
            <b:Last>Jayasinghe</b:Last>
            <b:First>SH</b:First>
          </b:Person>
          <b:Person>
            <b:Last>et al</b:Last>
          </b:Person>
        </b:NameList>
      </b:Author>
    </b:Author>
    <b:Title>Epidemiology of invasive meningococcal B disease in Australia, 1999-2015: priority populations for vaccination</b:Title>
    <b:JournalName>Med J Aust</b:JournalName>
    <b:Year>2017</b:Year>
    <b:Pages>382-387</b:Pages>
    <b:Volume>207</b:Volume>
    <b:Issue>9</b:Issue>
    <b:RefOrder>183</b:RefOrder>
  </b:Source>
</b:Sources>
</file>

<file path=customXml/itemProps1.xml><?xml version="1.0" encoding="utf-8"?>
<ds:datastoreItem xmlns:ds="http://schemas.openxmlformats.org/officeDocument/2006/customXml" ds:itemID="{EEDF9D51-5053-4C58-BD4D-E40EAC867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12976</Words>
  <Characters>73969</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2020-02-28T05:05:00Z</dcterms:created>
  <dcterms:modified xsi:type="dcterms:W3CDTF">2020-03-03T04:07:00Z</dcterms:modified>
</cp:coreProperties>
</file>