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68" w:rsidRPr="00791450" w:rsidRDefault="0005561C" w:rsidP="00791450">
      <w:pPr>
        <w:pStyle w:val="1MainTitle"/>
        <w:spacing w:before="0" w:after="0"/>
      </w:pPr>
      <w:bookmarkStart w:id="0" w:name="_Toc341702043"/>
      <w:bookmarkStart w:id="1" w:name="_Toc380742621"/>
      <w:bookmarkStart w:id="2" w:name="_Toc380746188"/>
      <w:bookmarkStart w:id="3" w:name="_Toc380746314"/>
      <w:bookmarkStart w:id="4" w:name="_Toc380746595"/>
      <w:r w:rsidRPr="00BB3215">
        <w:t>7.06</w:t>
      </w:r>
      <w:r w:rsidR="004B4968" w:rsidRPr="00BB3215">
        <w:tab/>
        <w:t xml:space="preserve">NERATINIB, </w:t>
      </w:r>
    </w:p>
    <w:p w:rsidR="004B4968" w:rsidRPr="00791450" w:rsidRDefault="004B4968" w:rsidP="00791450">
      <w:pPr>
        <w:ind w:left="720"/>
        <w:rPr>
          <w:rFonts w:asciiTheme="minorHAnsi" w:hAnsiTheme="minorHAnsi" w:cstheme="minorHAnsi"/>
          <w:b/>
          <w:bCs/>
          <w:sz w:val="36"/>
          <w:szCs w:val="36"/>
        </w:rPr>
      </w:pPr>
      <w:r w:rsidRPr="00791450">
        <w:rPr>
          <w:rFonts w:asciiTheme="minorHAnsi" w:hAnsiTheme="minorHAnsi" w:cstheme="minorHAnsi"/>
          <w:b/>
          <w:bCs/>
          <w:sz w:val="36"/>
          <w:szCs w:val="36"/>
        </w:rPr>
        <w:t xml:space="preserve">Tablets 40 mg, </w:t>
      </w:r>
    </w:p>
    <w:p w:rsidR="004B4968" w:rsidRPr="00791450" w:rsidRDefault="004B4968" w:rsidP="00791450">
      <w:pPr>
        <w:ind w:left="720"/>
        <w:rPr>
          <w:rFonts w:asciiTheme="minorHAnsi" w:hAnsiTheme="minorHAnsi" w:cstheme="minorHAnsi"/>
          <w:b/>
          <w:bCs/>
          <w:sz w:val="36"/>
          <w:szCs w:val="36"/>
        </w:rPr>
      </w:pPr>
      <w:r w:rsidRPr="00791450">
        <w:rPr>
          <w:rFonts w:asciiTheme="minorHAnsi" w:hAnsiTheme="minorHAnsi" w:cstheme="minorHAnsi"/>
          <w:b/>
          <w:bCs/>
          <w:sz w:val="36"/>
          <w:szCs w:val="36"/>
        </w:rPr>
        <w:t xml:space="preserve">Nerlynx®, </w:t>
      </w:r>
    </w:p>
    <w:p w:rsidR="00465C5F" w:rsidRPr="00791450" w:rsidRDefault="004B4968" w:rsidP="00791450">
      <w:pPr>
        <w:ind w:left="720"/>
        <w:rPr>
          <w:rFonts w:asciiTheme="minorHAnsi" w:hAnsiTheme="minorHAnsi" w:cstheme="minorHAnsi"/>
          <w:b/>
          <w:bCs/>
          <w:sz w:val="36"/>
          <w:szCs w:val="36"/>
        </w:rPr>
      </w:pPr>
      <w:r w:rsidRPr="00791450">
        <w:rPr>
          <w:rFonts w:asciiTheme="minorHAnsi" w:hAnsiTheme="minorHAnsi" w:cstheme="minorHAnsi"/>
          <w:b/>
          <w:bCs/>
          <w:sz w:val="36"/>
          <w:szCs w:val="36"/>
        </w:rPr>
        <w:t>Specialised Therapeutics PM Pty Ltd.</w:t>
      </w:r>
    </w:p>
    <w:p w:rsidR="004B4968" w:rsidRPr="00BB3215" w:rsidRDefault="004B4968" w:rsidP="00025B3F">
      <w:pPr>
        <w:pStyle w:val="PBACHeading1"/>
        <w:keepNext/>
        <w:numPr>
          <w:ilvl w:val="0"/>
          <w:numId w:val="5"/>
        </w:numPr>
        <w:spacing w:before="240" w:after="120"/>
        <w:outlineLvl w:val="0"/>
      </w:pPr>
      <w:bookmarkStart w:id="5" w:name="_Toc18935802"/>
      <w:r w:rsidRPr="00BB3215">
        <w:t>Purpose of Application</w:t>
      </w:r>
      <w:bookmarkEnd w:id="5"/>
    </w:p>
    <w:p w:rsidR="004B4968" w:rsidRPr="00BB3215" w:rsidRDefault="00695109" w:rsidP="00FD5C0F">
      <w:pPr>
        <w:pStyle w:val="ListParagraph"/>
        <w:widowControl/>
        <w:numPr>
          <w:ilvl w:val="1"/>
          <w:numId w:val="5"/>
        </w:numPr>
      </w:pPr>
      <w:r>
        <w:t xml:space="preserve">The resubmission requested an </w:t>
      </w:r>
      <w:r w:rsidR="004B4968" w:rsidRPr="00BB3215">
        <w:t xml:space="preserve">Authority Required listing for neratinib for </w:t>
      </w:r>
      <w:r w:rsidR="00FD5C0F">
        <w:t xml:space="preserve">extended adjuvant </w:t>
      </w:r>
      <w:r w:rsidR="004B4968" w:rsidRPr="00BB3215">
        <w:t xml:space="preserve">treatment of adult patients with </w:t>
      </w:r>
      <w:r w:rsidR="00FD5C0F" w:rsidRPr="00FD5C0F">
        <w:t>human epidermal growth factor receptor-2 positive (HER2+), hormone receptor positive (HR+)</w:t>
      </w:r>
      <w:r w:rsidR="004B4968" w:rsidRPr="00BB3215">
        <w:t>, early breast cancer (eBC) who have completed prior adjuvant trastuzumab</w:t>
      </w:r>
      <w:r>
        <w:t>-</w:t>
      </w:r>
      <w:r w:rsidR="004B4968" w:rsidRPr="00BB3215">
        <w:t xml:space="preserve">based therapy within the past 12 months. The PBAC previously considered neratinib </w:t>
      </w:r>
      <w:r>
        <w:t>in this indication at</w:t>
      </w:r>
      <w:r w:rsidR="004B4968" w:rsidRPr="00BB3215">
        <w:t xml:space="preserve"> </w:t>
      </w:r>
      <w:r>
        <w:t>its</w:t>
      </w:r>
      <w:r w:rsidRPr="00BB3215">
        <w:t xml:space="preserve"> </w:t>
      </w:r>
      <w:r w:rsidR="004B4968" w:rsidRPr="00BB3215">
        <w:t xml:space="preserve">March 2019 meeting. </w:t>
      </w:r>
    </w:p>
    <w:p w:rsidR="004B4968" w:rsidRPr="00FE73C2" w:rsidRDefault="004B4968" w:rsidP="00A84C29">
      <w:pPr>
        <w:pStyle w:val="ListParagraph"/>
        <w:widowControl/>
        <w:numPr>
          <w:ilvl w:val="1"/>
          <w:numId w:val="5"/>
        </w:numPr>
        <w:spacing w:after="120"/>
      </w:pPr>
      <w:r w:rsidRPr="00FE73C2">
        <w:t>The basis of</w:t>
      </w:r>
      <w:r w:rsidR="0063070C">
        <w:t xml:space="preserve"> the requested</w:t>
      </w:r>
      <w:r w:rsidRPr="00FE73C2">
        <w:t xml:space="preserve"> listing was cost-effectiveness of neratinib compared to placebo.</w:t>
      </w:r>
      <w:r w:rsidR="004A2887" w:rsidRPr="00FE73C2">
        <w:t xml:space="preserve"> </w:t>
      </w:r>
      <w:r w:rsidR="004A2887" w:rsidRPr="00FE73C2">
        <w:rPr>
          <w:iCs/>
        </w:rPr>
        <w:t xml:space="preserve">This is </w:t>
      </w:r>
      <w:r w:rsidR="00695109">
        <w:rPr>
          <w:iCs/>
        </w:rPr>
        <w:t>un</w:t>
      </w:r>
      <w:r w:rsidR="004A2887" w:rsidRPr="00FE73C2">
        <w:rPr>
          <w:iCs/>
        </w:rPr>
        <w:t xml:space="preserve">changed from the original submission. The resubmission </w:t>
      </w:r>
      <w:r w:rsidR="00695109">
        <w:rPr>
          <w:iCs/>
        </w:rPr>
        <w:t xml:space="preserve">also </w:t>
      </w:r>
      <w:r w:rsidR="004A2887" w:rsidRPr="00FE73C2">
        <w:rPr>
          <w:iCs/>
        </w:rPr>
        <w:t xml:space="preserve">included pertuzumab as </w:t>
      </w:r>
      <w:r w:rsidR="00695109">
        <w:rPr>
          <w:iCs/>
        </w:rPr>
        <w:t>a</w:t>
      </w:r>
      <w:r w:rsidR="00695109" w:rsidRPr="00FE73C2">
        <w:rPr>
          <w:iCs/>
        </w:rPr>
        <w:t xml:space="preserve"> </w:t>
      </w:r>
      <w:r w:rsidR="004A2887" w:rsidRPr="00FE73C2">
        <w:rPr>
          <w:iCs/>
        </w:rPr>
        <w:t>near market comparator.</w:t>
      </w:r>
    </w:p>
    <w:p w:rsidR="004B4968" w:rsidRPr="00BB3215" w:rsidRDefault="004B4968" w:rsidP="00025B3F">
      <w:pPr>
        <w:keepNext/>
        <w:widowControl/>
      </w:pPr>
      <w:r w:rsidRPr="00BB3215">
        <w:rPr>
          <w:rStyle w:val="CommentReference"/>
        </w:rPr>
        <w:t>Table 1: 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4B4968" w:rsidRPr="00BB3215" w:rsidTr="00C21660">
        <w:tc>
          <w:tcPr>
            <w:tcW w:w="1668" w:type="dxa"/>
            <w:vAlign w:val="center"/>
          </w:tcPr>
          <w:p w:rsidR="004B4968" w:rsidRPr="00BB3215" w:rsidRDefault="004B4968" w:rsidP="00025B3F">
            <w:pPr>
              <w:pStyle w:val="Tabletext"/>
              <w:rPr>
                <w:b/>
              </w:rPr>
            </w:pPr>
            <w:r w:rsidRPr="00BB3215">
              <w:rPr>
                <w:b/>
              </w:rPr>
              <w:t>Component</w:t>
            </w:r>
          </w:p>
        </w:tc>
        <w:tc>
          <w:tcPr>
            <w:tcW w:w="7488" w:type="dxa"/>
            <w:vAlign w:val="center"/>
          </w:tcPr>
          <w:p w:rsidR="004B4968" w:rsidRPr="00BB3215" w:rsidRDefault="004B4968" w:rsidP="00025B3F">
            <w:pPr>
              <w:pStyle w:val="Tabletext"/>
              <w:jc w:val="center"/>
              <w:rPr>
                <w:b/>
              </w:rPr>
            </w:pPr>
            <w:r w:rsidRPr="00BB3215">
              <w:rPr>
                <w:b/>
              </w:rPr>
              <w:t>Description</w:t>
            </w:r>
          </w:p>
        </w:tc>
      </w:tr>
      <w:tr w:rsidR="004B4968" w:rsidRPr="00BB3215" w:rsidTr="00C21660">
        <w:tc>
          <w:tcPr>
            <w:tcW w:w="1668" w:type="dxa"/>
            <w:vAlign w:val="center"/>
          </w:tcPr>
          <w:p w:rsidR="004B4968" w:rsidRPr="00BB3215" w:rsidRDefault="004B4968" w:rsidP="00025B3F">
            <w:pPr>
              <w:pStyle w:val="Tabletext"/>
            </w:pPr>
            <w:r w:rsidRPr="00BB3215">
              <w:t>Population</w:t>
            </w:r>
          </w:p>
        </w:tc>
        <w:tc>
          <w:tcPr>
            <w:tcW w:w="7488" w:type="dxa"/>
            <w:vAlign w:val="center"/>
          </w:tcPr>
          <w:p w:rsidR="004B4968" w:rsidRPr="00BB3215" w:rsidRDefault="004B4968" w:rsidP="00025B3F">
            <w:pPr>
              <w:pStyle w:val="Tabletext"/>
            </w:pPr>
            <w:r w:rsidRPr="00BB3215">
              <w:t>Adult patients with HER2+, HR+, eBC who have completed prior adjuvant trastuzumab based therapy within the past 12 months</w:t>
            </w:r>
          </w:p>
        </w:tc>
      </w:tr>
      <w:tr w:rsidR="004B4968" w:rsidRPr="00BB3215" w:rsidTr="00C21660">
        <w:tc>
          <w:tcPr>
            <w:tcW w:w="1668" w:type="dxa"/>
            <w:vAlign w:val="center"/>
          </w:tcPr>
          <w:p w:rsidR="004B4968" w:rsidRPr="00BB3215" w:rsidRDefault="004B4968" w:rsidP="00025B3F">
            <w:pPr>
              <w:pStyle w:val="Tabletext"/>
            </w:pPr>
            <w:r w:rsidRPr="00BB3215">
              <w:t>Intervention</w:t>
            </w:r>
          </w:p>
        </w:tc>
        <w:tc>
          <w:tcPr>
            <w:tcW w:w="7488" w:type="dxa"/>
            <w:vAlign w:val="center"/>
          </w:tcPr>
          <w:p w:rsidR="004B4968" w:rsidRPr="00BB3215" w:rsidRDefault="004B4968" w:rsidP="00025B3F">
            <w:pPr>
              <w:pStyle w:val="Tabletext"/>
            </w:pPr>
            <w:r w:rsidRPr="00BB3215">
              <w:t>Neratinib</w:t>
            </w:r>
          </w:p>
        </w:tc>
      </w:tr>
      <w:tr w:rsidR="004B4968" w:rsidRPr="00BB3215" w:rsidTr="00C21660">
        <w:tc>
          <w:tcPr>
            <w:tcW w:w="1668" w:type="dxa"/>
            <w:vAlign w:val="center"/>
          </w:tcPr>
          <w:p w:rsidR="004B4968" w:rsidRPr="00BB3215" w:rsidRDefault="004B4968" w:rsidP="00025B3F">
            <w:pPr>
              <w:pStyle w:val="Tabletext"/>
            </w:pPr>
            <w:r w:rsidRPr="00BB3215">
              <w:t>Comparator</w:t>
            </w:r>
          </w:p>
        </w:tc>
        <w:tc>
          <w:tcPr>
            <w:tcW w:w="7488" w:type="dxa"/>
            <w:vAlign w:val="center"/>
          </w:tcPr>
          <w:p w:rsidR="004B4968" w:rsidRPr="00C87195" w:rsidRDefault="004B4968" w:rsidP="00025B3F">
            <w:pPr>
              <w:pStyle w:val="Tabletext"/>
            </w:pPr>
            <w:r w:rsidRPr="00C87195">
              <w:t>Main comparator: usual care/placebo</w:t>
            </w:r>
          </w:p>
          <w:p w:rsidR="004B4968" w:rsidRPr="00C87195" w:rsidRDefault="004B4968" w:rsidP="00025B3F">
            <w:pPr>
              <w:pStyle w:val="Tabletext"/>
              <w:rPr>
                <w:iCs/>
              </w:rPr>
            </w:pPr>
            <w:r w:rsidRPr="00C87195">
              <w:rPr>
                <w:iCs/>
              </w:rPr>
              <w:t xml:space="preserve">Near market comparator: pertuzumab </w:t>
            </w:r>
          </w:p>
        </w:tc>
      </w:tr>
      <w:tr w:rsidR="004B4968" w:rsidRPr="00BB3215" w:rsidTr="00C21660">
        <w:tc>
          <w:tcPr>
            <w:tcW w:w="1668" w:type="dxa"/>
            <w:vAlign w:val="center"/>
          </w:tcPr>
          <w:p w:rsidR="004B4968" w:rsidRPr="00BB3215" w:rsidRDefault="004B4968" w:rsidP="00025B3F">
            <w:pPr>
              <w:pStyle w:val="Tabletext"/>
            </w:pPr>
            <w:r w:rsidRPr="00BB3215">
              <w:t>Outcomes</w:t>
            </w:r>
          </w:p>
        </w:tc>
        <w:tc>
          <w:tcPr>
            <w:tcW w:w="7488" w:type="dxa"/>
            <w:vAlign w:val="center"/>
          </w:tcPr>
          <w:p w:rsidR="004B4968" w:rsidRPr="00BB3215" w:rsidRDefault="004B4968" w:rsidP="00025B3F">
            <w:pPr>
              <w:pStyle w:val="Tabletext"/>
            </w:pPr>
            <w:r w:rsidRPr="00BB3215">
              <w:t>Invasive disease-free survival (primary outcome), distant disease-free survival, time to distant recurrence, incidence of CNS recurrence, adverse events</w:t>
            </w:r>
          </w:p>
        </w:tc>
      </w:tr>
      <w:tr w:rsidR="004B4968" w:rsidRPr="00BB3215" w:rsidTr="00C21660">
        <w:tc>
          <w:tcPr>
            <w:tcW w:w="1668" w:type="dxa"/>
            <w:vAlign w:val="center"/>
          </w:tcPr>
          <w:p w:rsidR="004B4968" w:rsidRPr="00BB3215" w:rsidRDefault="004B4968" w:rsidP="00025B3F">
            <w:pPr>
              <w:pStyle w:val="Tabletext"/>
            </w:pPr>
            <w:r w:rsidRPr="00BB3215">
              <w:t>Clinical claim</w:t>
            </w:r>
          </w:p>
        </w:tc>
        <w:tc>
          <w:tcPr>
            <w:tcW w:w="7488" w:type="dxa"/>
            <w:vAlign w:val="center"/>
          </w:tcPr>
          <w:p w:rsidR="004B4968" w:rsidRPr="00BB3215" w:rsidRDefault="004B4968" w:rsidP="00025B3F">
            <w:pPr>
              <w:pStyle w:val="Tabletext"/>
            </w:pPr>
            <w:r w:rsidRPr="00BB3215">
              <w:t>In adult patients with early-stage HER2-overexpressed/amplified, hormone positive breast cancer who have received prior adjuvant trastuzumab based therapy, neratinib is more effective than placebo at improving invasive disease-free survival.</w:t>
            </w:r>
          </w:p>
        </w:tc>
      </w:tr>
    </w:tbl>
    <w:p w:rsidR="004B4968" w:rsidRPr="00BB3215" w:rsidRDefault="004B4968" w:rsidP="00025B3F">
      <w:pPr>
        <w:pStyle w:val="TableFooter"/>
        <w:widowControl/>
      </w:pPr>
      <w:r w:rsidRPr="00BB3215">
        <w:t>CNS: central nervous system, HER2+: human epidermal growth factor receptor 2 positive; HR+: hormone receptor positive; eBC: early breast cancer</w:t>
      </w:r>
    </w:p>
    <w:p w:rsidR="004B4968" w:rsidRPr="00BB3215" w:rsidRDefault="004B4968" w:rsidP="00025B3F">
      <w:pPr>
        <w:pStyle w:val="TableFooter"/>
        <w:widowControl/>
      </w:pPr>
      <w:r w:rsidRPr="00BB3215">
        <w:t>Source: Table 15, p49 of the resubmission.</w:t>
      </w:r>
    </w:p>
    <w:p w:rsidR="00A67EE3" w:rsidRDefault="00A67EE3">
      <w:pPr>
        <w:widowControl/>
        <w:jc w:val="left"/>
      </w:pPr>
      <w:r>
        <w:br w:type="page"/>
      </w:r>
    </w:p>
    <w:p w:rsidR="001675E6" w:rsidRPr="008472BF" w:rsidRDefault="004B4968" w:rsidP="00025B3F">
      <w:pPr>
        <w:pStyle w:val="PBACHeading1"/>
        <w:keepNext/>
        <w:numPr>
          <w:ilvl w:val="0"/>
          <w:numId w:val="5"/>
        </w:numPr>
        <w:spacing w:before="240" w:after="120"/>
        <w:outlineLvl w:val="0"/>
      </w:pPr>
      <w:bookmarkStart w:id="6" w:name="_Toc18935803"/>
      <w:r w:rsidRPr="00BB3215">
        <w:lastRenderedPageBreak/>
        <w:t>Requested listing</w:t>
      </w:r>
      <w:bookmarkEnd w:id="6"/>
    </w:p>
    <w:p w:rsidR="0014700A" w:rsidRDefault="005F1066" w:rsidP="00A84C29">
      <w:pPr>
        <w:pStyle w:val="ListParagraph"/>
        <w:widowControl/>
        <w:numPr>
          <w:ilvl w:val="1"/>
          <w:numId w:val="5"/>
        </w:numPr>
        <w:spacing w:after="120"/>
        <w:rPr>
          <w:rFonts w:cs="Calibri"/>
          <w:bCs/>
        </w:rPr>
      </w:pPr>
      <w:r w:rsidRPr="005F1066">
        <w:rPr>
          <w:rFonts w:asciiTheme="minorHAnsi" w:hAnsiTheme="minorHAnsi" w:cstheme="minorHAnsi"/>
          <w:szCs w:val="24"/>
        </w:rPr>
        <w:t>Suggestions and additions proposed by the Secretariat are added in italics and suggested deletions are crossed out with strikethrough.</w:t>
      </w:r>
    </w:p>
    <w:tbl>
      <w:tblPr>
        <w:tblW w:w="4921" w:type="pct"/>
        <w:tblInd w:w="142" w:type="dxa"/>
        <w:tblLayout w:type="fixed"/>
        <w:tblLook w:val="0000" w:firstRow="0" w:lastRow="0" w:firstColumn="0" w:lastColumn="0" w:noHBand="0" w:noVBand="0"/>
      </w:tblPr>
      <w:tblGrid>
        <w:gridCol w:w="1986"/>
        <w:gridCol w:w="1342"/>
        <w:gridCol w:w="1251"/>
        <w:gridCol w:w="1527"/>
        <w:gridCol w:w="836"/>
        <w:gridCol w:w="1942"/>
      </w:tblGrid>
      <w:tr w:rsidR="0014700A" w:rsidRPr="00C254D9" w:rsidTr="0014700A">
        <w:trPr>
          <w:cantSplit/>
          <w:trHeight w:val="471"/>
        </w:trPr>
        <w:tc>
          <w:tcPr>
            <w:tcW w:w="1986" w:type="dxa"/>
            <w:tcBorders>
              <w:bottom w:val="single" w:sz="4" w:space="0" w:color="auto"/>
            </w:tcBorders>
          </w:tcPr>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Name, Restriction,</w:t>
            </w:r>
          </w:p>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Manner of administration and form</w:t>
            </w:r>
          </w:p>
        </w:tc>
        <w:tc>
          <w:tcPr>
            <w:tcW w:w="1342" w:type="dxa"/>
            <w:tcBorders>
              <w:bottom w:val="single" w:sz="4" w:space="0" w:color="auto"/>
            </w:tcBorders>
          </w:tcPr>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Max.</w:t>
            </w:r>
          </w:p>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Qty</w:t>
            </w:r>
          </w:p>
        </w:tc>
        <w:tc>
          <w:tcPr>
            <w:tcW w:w="1251" w:type="dxa"/>
            <w:tcBorders>
              <w:bottom w:val="single" w:sz="4" w:space="0" w:color="auto"/>
            </w:tcBorders>
          </w:tcPr>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№.of</w:t>
            </w:r>
          </w:p>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Rpts</w:t>
            </w:r>
          </w:p>
        </w:tc>
        <w:tc>
          <w:tcPr>
            <w:tcW w:w="1527" w:type="dxa"/>
            <w:tcBorders>
              <w:bottom w:val="single" w:sz="4" w:space="0" w:color="auto"/>
            </w:tcBorders>
          </w:tcPr>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Dispensed Price for Max. Qty</w:t>
            </w:r>
          </w:p>
        </w:tc>
        <w:tc>
          <w:tcPr>
            <w:tcW w:w="2778" w:type="dxa"/>
            <w:gridSpan w:val="2"/>
            <w:tcBorders>
              <w:bottom w:val="single" w:sz="4" w:space="0" w:color="auto"/>
            </w:tcBorders>
          </w:tcPr>
          <w:p w:rsidR="0014700A" w:rsidRPr="00C254D9" w:rsidRDefault="0014700A" w:rsidP="004248E9">
            <w:pPr>
              <w:keepNext/>
              <w:widowControl/>
              <w:rPr>
                <w:rFonts w:ascii="Arial Narrow" w:hAnsi="Arial Narrow"/>
                <w:sz w:val="20"/>
                <w:szCs w:val="20"/>
                <w:lang w:val="fr-FR"/>
              </w:rPr>
            </w:pPr>
            <w:r w:rsidRPr="00C254D9">
              <w:rPr>
                <w:rFonts w:ascii="Arial Narrow" w:hAnsi="Arial Narrow"/>
                <w:sz w:val="20"/>
                <w:szCs w:val="20"/>
              </w:rPr>
              <w:t>Proprietary Name and Manufacturer</w:t>
            </w:r>
          </w:p>
        </w:tc>
      </w:tr>
      <w:tr w:rsidR="0014700A" w:rsidRPr="00C254D9" w:rsidTr="0014700A">
        <w:trPr>
          <w:cantSplit/>
          <w:trHeight w:val="577"/>
        </w:trPr>
        <w:tc>
          <w:tcPr>
            <w:tcW w:w="1986" w:type="dxa"/>
          </w:tcPr>
          <w:p w:rsidR="0014700A" w:rsidRPr="008B3257" w:rsidRDefault="0014700A" w:rsidP="004248E9">
            <w:pPr>
              <w:keepNext/>
              <w:widowControl/>
              <w:ind w:left="-108"/>
              <w:rPr>
                <w:rFonts w:ascii="Arial Narrow" w:hAnsi="Arial Narrow"/>
                <w:color w:val="FF0000"/>
                <w:sz w:val="20"/>
                <w:szCs w:val="20"/>
              </w:rPr>
            </w:pPr>
            <w:r w:rsidRPr="00216BC0">
              <w:rPr>
                <w:rFonts w:ascii="Arial Narrow" w:hAnsi="Arial Narrow"/>
                <w:smallCaps/>
                <w:sz w:val="20"/>
                <w:szCs w:val="20"/>
              </w:rPr>
              <w:t>Neratinib</w:t>
            </w:r>
            <w:r w:rsidRPr="00216BC0">
              <w:rPr>
                <w:rFonts w:ascii="Arial Narrow" w:hAnsi="Arial Narrow"/>
                <w:sz w:val="20"/>
                <w:szCs w:val="20"/>
              </w:rPr>
              <w:br/>
              <w:t>40 mg tablet</w:t>
            </w:r>
          </w:p>
        </w:tc>
        <w:tc>
          <w:tcPr>
            <w:tcW w:w="1342" w:type="dxa"/>
            <w:vAlign w:val="center"/>
          </w:tcPr>
          <w:p w:rsidR="0014700A" w:rsidRPr="00C254D9" w:rsidRDefault="0014700A" w:rsidP="004248E9">
            <w:pPr>
              <w:keepNext/>
              <w:widowControl/>
              <w:ind w:left="-108"/>
              <w:rPr>
                <w:rFonts w:ascii="Arial Narrow" w:hAnsi="Arial Narrow"/>
                <w:sz w:val="20"/>
                <w:szCs w:val="20"/>
              </w:rPr>
            </w:pPr>
            <w:r>
              <w:rPr>
                <w:rFonts w:ascii="Arial Narrow" w:hAnsi="Arial Narrow"/>
                <w:sz w:val="20"/>
                <w:szCs w:val="20"/>
              </w:rPr>
              <w:t>180</w:t>
            </w:r>
          </w:p>
        </w:tc>
        <w:tc>
          <w:tcPr>
            <w:tcW w:w="1251" w:type="dxa"/>
            <w:vAlign w:val="center"/>
          </w:tcPr>
          <w:p w:rsidR="0014700A" w:rsidRPr="00701ED7" w:rsidRDefault="0014700A" w:rsidP="004248E9">
            <w:pPr>
              <w:keepNext/>
              <w:widowControl/>
              <w:ind w:left="-108"/>
              <w:rPr>
                <w:rFonts w:ascii="Arial Narrow" w:hAnsi="Arial Narrow"/>
                <w:strike/>
                <w:sz w:val="20"/>
                <w:szCs w:val="20"/>
              </w:rPr>
            </w:pPr>
            <w:r w:rsidRPr="00701ED7">
              <w:rPr>
                <w:rFonts w:ascii="Arial Narrow" w:hAnsi="Arial Narrow"/>
                <w:strike/>
                <w:sz w:val="20"/>
                <w:szCs w:val="20"/>
              </w:rPr>
              <w:t>1 (initial)</w:t>
            </w:r>
          </w:p>
          <w:p w:rsidR="0014700A" w:rsidRDefault="0014700A" w:rsidP="004248E9">
            <w:pPr>
              <w:keepNext/>
              <w:widowControl/>
              <w:ind w:left="-108"/>
              <w:rPr>
                <w:rFonts w:ascii="Arial Narrow" w:hAnsi="Arial Narrow"/>
                <w:strike/>
                <w:sz w:val="20"/>
                <w:szCs w:val="20"/>
              </w:rPr>
            </w:pPr>
            <w:r w:rsidRPr="00701ED7">
              <w:rPr>
                <w:rFonts w:ascii="Arial Narrow" w:hAnsi="Arial Narrow"/>
                <w:strike/>
                <w:sz w:val="20"/>
                <w:szCs w:val="20"/>
              </w:rPr>
              <w:t>4 (continuing)</w:t>
            </w:r>
          </w:p>
          <w:p w:rsidR="0014700A" w:rsidRDefault="0014700A" w:rsidP="004248E9">
            <w:pPr>
              <w:keepNext/>
              <w:widowControl/>
              <w:ind w:left="-108"/>
              <w:rPr>
                <w:rFonts w:ascii="Arial Narrow" w:hAnsi="Arial Narrow"/>
                <w:i/>
                <w:sz w:val="20"/>
                <w:szCs w:val="20"/>
              </w:rPr>
            </w:pPr>
            <w:r w:rsidRPr="00701ED7">
              <w:rPr>
                <w:rFonts w:ascii="Arial Narrow" w:hAnsi="Arial Narrow"/>
                <w:i/>
                <w:sz w:val="20"/>
                <w:szCs w:val="20"/>
              </w:rPr>
              <w:t>2</w:t>
            </w:r>
          </w:p>
          <w:p w:rsidR="0014700A" w:rsidRPr="00701ED7" w:rsidRDefault="0014700A" w:rsidP="004248E9">
            <w:pPr>
              <w:keepNext/>
              <w:widowControl/>
              <w:ind w:left="-108"/>
              <w:rPr>
                <w:rFonts w:ascii="Arial Narrow" w:hAnsi="Arial Narrow"/>
                <w:i/>
                <w:sz w:val="20"/>
                <w:szCs w:val="20"/>
              </w:rPr>
            </w:pPr>
          </w:p>
        </w:tc>
        <w:tc>
          <w:tcPr>
            <w:tcW w:w="1527" w:type="dxa"/>
            <w:vAlign w:val="center"/>
          </w:tcPr>
          <w:p w:rsidR="0014700A" w:rsidRPr="00C254D9" w:rsidRDefault="0014700A" w:rsidP="004248E9">
            <w:pPr>
              <w:keepNext/>
              <w:widowControl/>
              <w:ind w:left="-108"/>
              <w:rPr>
                <w:rFonts w:ascii="Arial Narrow" w:hAnsi="Arial Narrow"/>
                <w:sz w:val="20"/>
                <w:szCs w:val="20"/>
              </w:rPr>
            </w:pPr>
            <w:r w:rsidRPr="00C254D9">
              <w:rPr>
                <w:rFonts w:ascii="Arial Narrow" w:hAnsi="Arial Narrow"/>
                <w:sz w:val="20"/>
                <w:szCs w:val="20"/>
              </w:rPr>
              <w:t>$</w:t>
            </w:r>
            <w:r w:rsidR="00152B62">
              <w:rPr>
                <w:rFonts w:ascii="Arial Narrow" w:hAnsi="Arial Narrow"/>
                <w:noProof/>
                <w:color w:val="000000"/>
                <w:sz w:val="20"/>
                <w:szCs w:val="20"/>
                <w:highlight w:val="black"/>
              </w:rPr>
              <w:t>'''''''''''''''''''''</w:t>
            </w:r>
          </w:p>
        </w:tc>
        <w:tc>
          <w:tcPr>
            <w:tcW w:w="836" w:type="dxa"/>
            <w:vAlign w:val="center"/>
          </w:tcPr>
          <w:p w:rsidR="0014700A" w:rsidRPr="00C254D9" w:rsidRDefault="0014700A" w:rsidP="004248E9">
            <w:pPr>
              <w:keepNext/>
              <w:widowControl/>
              <w:rPr>
                <w:rFonts w:ascii="Arial Narrow" w:hAnsi="Arial Narrow"/>
                <w:sz w:val="20"/>
                <w:szCs w:val="20"/>
              </w:rPr>
            </w:pPr>
            <w:r>
              <w:rPr>
                <w:rFonts w:ascii="Arial Narrow" w:hAnsi="Arial Narrow"/>
                <w:sz w:val="20"/>
                <w:szCs w:val="20"/>
              </w:rPr>
              <w:t>Nerlynx,</w:t>
            </w:r>
          </w:p>
        </w:tc>
        <w:tc>
          <w:tcPr>
            <w:tcW w:w="1942" w:type="dxa"/>
            <w:vAlign w:val="center"/>
          </w:tcPr>
          <w:p w:rsidR="0014700A" w:rsidRPr="00C254D9" w:rsidRDefault="0014700A" w:rsidP="004248E9">
            <w:pPr>
              <w:keepNext/>
              <w:widowControl/>
              <w:rPr>
                <w:rFonts w:ascii="Arial Narrow" w:hAnsi="Arial Narrow"/>
                <w:sz w:val="20"/>
                <w:szCs w:val="20"/>
              </w:rPr>
            </w:pPr>
            <w:r>
              <w:rPr>
                <w:rFonts w:ascii="Arial Narrow" w:hAnsi="Arial Narrow"/>
                <w:sz w:val="20"/>
                <w:szCs w:val="20"/>
              </w:rPr>
              <w:t>Therapeutics PM</w:t>
            </w: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t>Category / Program</w:t>
            </w:r>
            <w:r>
              <w:rPr>
                <w:rFonts w:ascii="Arial Narrow" w:hAnsi="Arial Narrow"/>
                <w:b/>
                <w:sz w:val="20"/>
                <w:szCs w:val="20"/>
              </w:rPr>
              <w:t>:</w:t>
            </w:r>
          </w:p>
        </w:tc>
        <w:tc>
          <w:tcPr>
            <w:tcW w:w="6898" w:type="dxa"/>
            <w:gridSpan w:val="5"/>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sz w:val="20"/>
                <w:szCs w:val="20"/>
              </w:rPr>
            </w:pPr>
            <w:r w:rsidRPr="00C254D9">
              <w:rPr>
                <w:rFonts w:ascii="Arial Narrow" w:hAnsi="Arial Narrow"/>
                <w:sz w:val="20"/>
                <w:szCs w:val="20"/>
              </w:rPr>
              <w:t>GENERAL – General Schedule (Code GE)</w:t>
            </w: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t>Prescriber type:</w:t>
            </w:r>
          </w:p>
          <w:p w:rsidR="0014700A" w:rsidRPr="00C254D9" w:rsidRDefault="0014700A" w:rsidP="004248E9">
            <w:pPr>
              <w:widowControl/>
              <w:rPr>
                <w:rFonts w:ascii="Arial Narrow" w:hAnsi="Arial Narrow"/>
                <w:b/>
                <w:sz w:val="20"/>
                <w:szCs w:val="20"/>
              </w:rPr>
            </w:pPr>
          </w:p>
        </w:tc>
        <w:tc>
          <w:tcPr>
            <w:tcW w:w="6898" w:type="dxa"/>
            <w:gridSpan w:val="5"/>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sz w:val="20"/>
                <w:szCs w:val="20"/>
              </w:rPr>
            </w:pPr>
            <w:r w:rsidRPr="00C254D9">
              <w:rPr>
                <w:rFonts w:ascii="Arial Narrow" w:hAnsi="Arial Narrow"/>
                <w:sz w:val="20"/>
                <w:szCs w:val="20"/>
              </w:rPr>
              <w:fldChar w:fldCharType="begin">
                <w:ffData>
                  <w:name w:val="Check1"/>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Pr>
                <w:rFonts w:ascii="Arial Narrow" w:hAnsi="Arial Narrow"/>
                <w:sz w:val="20"/>
                <w:szCs w:val="20"/>
              </w:rPr>
              <w:fldChar w:fldCharType="end"/>
            </w:r>
            <w:r w:rsidRPr="00C254D9">
              <w:rPr>
                <w:rFonts w:ascii="Arial Narrow" w:hAnsi="Arial Narrow"/>
                <w:sz w:val="20"/>
                <w:szCs w:val="20"/>
              </w:rPr>
              <w:t xml:space="preserve">Medical Practitioners  </w:t>
            </w:r>
            <w:r w:rsidRPr="00C254D9">
              <w:rPr>
                <w:rFonts w:ascii="Arial Narrow" w:hAnsi="Arial Narrow"/>
                <w:sz w:val="20"/>
                <w:szCs w:val="20"/>
              </w:rPr>
              <w:fldChar w:fldCharType="begin">
                <w:ffData>
                  <w:name w:val="Check3"/>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 xml:space="preserve">Nurse practitioners  </w:t>
            </w:r>
            <w:r w:rsidRPr="00C254D9">
              <w:rPr>
                <w:rFonts w:ascii="Arial Narrow" w:hAnsi="Arial Narrow"/>
                <w:sz w:val="20"/>
                <w:szCs w:val="20"/>
              </w:rPr>
              <w:fldChar w:fldCharType="begin">
                <w:ffData>
                  <w:name w:val=""/>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Optometrists</w:t>
            </w:r>
            <w:r>
              <w:rPr>
                <w:rFonts w:ascii="Arial Narrow" w:hAnsi="Arial Narrow"/>
                <w:sz w:val="20"/>
                <w:szCs w:val="20"/>
              </w:rPr>
              <w:t xml:space="preserve">  </w:t>
            </w:r>
            <w:r w:rsidRPr="00C254D9">
              <w:rPr>
                <w:rFonts w:ascii="Arial Narrow" w:hAnsi="Arial Narrow"/>
                <w:sz w:val="20"/>
                <w:szCs w:val="20"/>
              </w:rPr>
              <w:fldChar w:fldCharType="begin">
                <w:ffData>
                  <w:name w:val="Check5"/>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Midwives</w:t>
            </w: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t>Severity:</w:t>
            </w:r>
          </w:p>
        </w:tc>
        <w:tc>
          <w:tcPr>
            <w:tcW w:w="6898" w:type="dxa"/>
            <w:gridSpan w:val="5"/>
            <w:tcBorders>
              <w:top w:val="single" w:sz="4" w:space="0" w:color="auto"/>
              <w:left w:val="single" w:sz="4" w:space="0" w:color="auto"/>
              <w:bottom w:val="single" w:sz="4" w:space="0" w:color="auto"/>
              <w:right w:val="single" w:sz="4" w:space="0" w:color="auto"/>
            </w:tcBorders>
          </w:tcPr>
          <w:p w:rsidR="0014700A" w:rsidRPr="003F200D" w:rsidRDefault="0014700A" w:rsidP="004248E9">
            <w:pPr>
              <w:widowControl/>
              <w:rPr>
                <w:rFonts w:ascii="Arial Narrow" w:hAnsi="Arial Narrow"/>
                <w:i/>
                <w:sz w:val="20"/>
                <w:szCs w:val="20"/>
              </w:rPr>
            </w:pPr>
            <w:r w:rsidRPr="003F200D">
              <w:rPr>
                <w:rFonts w:ascii="Arial Narrow" w:hAnsi="Arial Narrow"/>
                <w:i/>
                <w:sz w:val="20"/>
                <w:szCs w:val="20"/>
              </w:rPr>
              <w:t>Early</w:t>
            </w: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t>Condition:</w:t>
            </w:r>
          </w:p>
        </w:tc>
        <w:tc>
          <w:tcPr>
            <w:tcW w:w="6898" w:type="dxa"/>
            <w:gridSpan w:val="5"/>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sz w:val="20"/>
                <w:szCs w:val="20"/>
              </w:rPr>
            </w:pPr>
            <w:r>
              <w:rPr>
                <w:rFonts w:ascii="Arial Narrow" w:hAnsi="Arial Narrow"/>
                <w:sz w:val="20"/>
                <w:szCs w:val="20"/>
              </w:rPr>
              <w:t>HER2 positive breast cancer [14765]</w:t>
            </w:r>
          </w:p>
        </w:tc>
      </w:tr>
      <w:tr w:rsidR="0014700A" w:rsidRPr="00C254D9" w:rsidTr="0014700A">
        <w:trPr>
          <w:cantSplit/>
          <w:trHeight w:val="369"/>
        </w:trPr>
        <w:tc>
          <w:tcPr>
            <w:tcW w:w="1986" w:type="dxa"/>
            <w:tcBorders>
              <w:top w:val="single" w:sz="4" w:space="0" w:color="auto"/>
              <w:left w:val="single" w:sz="4" w:space="0" w:color="auto"/>
              <w:bottom w:val="single" w:sz="4" w:space="0" w:color="auto"/>
              <w:right w:val="single" w:sz="4" w:space="0" w:color="auto"/>
            </w:tcBorders>
          </w:tcPr>
          <w:p w:rsidR="0014700A" w:rsidRPr="00136340" w:rsidRDefault="0014700A" w:rsidP="004248E9">
            <w:pPr>
              <w:widowControl/>
              <w:rPr>
                <w:rFonts w:ascii="Arial Narrow" w:hAnsi="Arial Narrow"/>
                <w:b/>
                <w:sz w:val="20"/>
                <w:szCs w:val="20"/>
              </w:rPr>
            </w:pPr>
            <w:r w:rsidRPr="00C254D9">
              <w:rPr>
                <w:rFonts w:ascii="Arial Narrow" w:hAnsi="Arial Narrow"/>
                <w:b/>
                <w:sz w:val="20"/>
                <w:szCs w:val="20"/>
              </w:rPr>
              <w:t>PBS Indication:</w:t>
            </w:r>
          </w:p>
        </w:tc>
        <w:tc>
          <w:tcPr>
            <w:tcW w:w="6898" w:type="dxa"/>
            <w:gridSpan w:val="5"/>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sz w:val="20"/>
                <w:szCs w:val="20"/>
              </w:rPr>
            </w:pPr>
            <w:r>
              <w:rPr>
                <w:rFonts w:ascii="Arial Narrow" w:hAnsi="Arial Narrow"/>
                <w:sz w:val="20"/>
                <w:szCs w:val="20"/>
              </w:rPr>
              <w:t>Early HER-2 positive breast cancer [7754]</w:t>
            </w: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8B3257" w:rsidRDefault="0014700A" w:rsidP="004248E9">
            <w:pPr>
              <w:widowControl/>
              <w:rPr>
                <w:rFonts w:ascii="Arial Narrow" w:hAnsi="Arial Narrow"/>
                <w:b/>
                <w:sz w:val="20"/>
                <w:szCs w:val="20"/>
              </w:rPr>
            </w:pPr>
            <w:r w:rsidRPr="00C254D9">
              <w:rPr>
                <w:rFonts w:ascii="Arial Narrow" w:hAnsi="Arial Narrow"/>
                <w:b/>
                <w:sz w:val="20"/>
                <w:szCs w:val="20"/>
              </w:rPr>
              <w:t>Treatment phase:</w:t>
            </w:r>
          </w:p>
        </w:tc>
        <w:tc>
          <w:tcPr>
            <w:tcW w:w="6898" w:type="dxa"/>
            <w:gridSpan w:val="5"/>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sz w:val="20"/>
                <w:szCs w:val="20"/>
              </w:rPr>
            </w:pPr>
            <w:r w:rsidRPr="00BD0301">
              <w:rPr>
                <w:rFonts w:ascii="Arial Narrow" w:hAnsi="Arial Narrow"/>
                <w:strike/>
                <w:sz w:val="20"/>
                <w:szCs w:val="20"/>
              </w:rPr>
              <w:t>Initial</w:t>
            </w:r>
            <w:r w:rsidRPr="008C1026">
              <w:rPr>
                <w:rFonts w:ascii="Arial Narrow" w:hAnsi="Arial Narrow"/>
                <w:sz w:val="20"/>
                <w:szCs w:val="20"/>
              </w:rPr>
              <w:t xml:space="preserve"> </w:t>
            </w:r>
            <w:r>
              <w:rPr>
                <w:rFonts w:ascii="Arial Narrow" w:hAnsi="Arial Narrow"/>
                <w:i/>
                <w:sz w:val="20"/>
                <w:szCs w:val="20"/>
              </w:rPr>
              <w:t xml:space="preserve">Adjuvant </w:t>
            </w:r>
            <w:r w:rsidRPr="008C1026">
              <w:rPr>
                <w:rFonts w:ascii="Arial Narrow" w:hAnsi="Arial Narrow"/>
                <w:sz w:val="20"/>
                <w:szCs w:val="20"/>
              </w:rPr>
              <w:t>treatment</w:t>
            </w: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t>Restriction Level / Method:</w:t>
            </w:r>
          </w:p>
          <w:p w:rsidR="0014700A" w:rsidRPr="00C254D9" w:rsidRDefault="0014700A" w:rsidP="004248E9">
            <w:pPr>
              <w:widowControl/>
              <w:rPr>
                <w:rFonts w:ascii="Arial Narrow" w:hAnsi="Arial Narrow"/>
                <w:i/>
                <w:sz w:val="20"/>
                <w:szCs w:val="20"/>
              </w:rPr>
            </w:pPr>
          </w:p>
          <w:p w:rsidR="0014700A" w:rsidRPr="00C254D9" w:rsidRDefault="0014700A" w:rsidP="004248E9">
            <w:pPr>
              <w:widowControl/>
              <w:rPr>
                <w:rFonts w:ascii="Arial Narrow" w:hAnsi="Arial Narrow"/>
                <w:i/>
                <w:sz w:val="20"/>
                <w:szCs w:val="20"/>
              </w:rPr>
            </w:pPr>
          </w:p>
          <w:p w:rsidR="0014700A" w:rsidRPr="00C254D9" w:rsidRDefault="0014700A" w:rsidP="004248E9">
            <w:pPr>
              <w:widowControl/>
              <w:rPr>
                <w:rFonts w:ascii="Arial Narrow" w:hAnsi="Arial Narrow"/>
                <w:i/>
                <w:sz w:val="20"/>
                <w:szCs w:val="20"/>
              </w:rPr>
            </w:pPr>
          </w:p>
        </w:tc>
        <w:tc>
          <w:tcPr>
            <w:tcW w:w="6898" w:type="dxa"/>
            <w:gridSpan w:val="5"/>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sz w:val="20"/>
                <w:szCs w:val="20"/>
              </w:rPr>
            </w:pPr>
            <w:r w:rsidRPr="00C254D9">
              <w:rPr>
                <w:rFonts w:ascii="Arial Narrow" w:hAnsi="Arial Narrow"/>
                <w:sz w:val="20"/>
                <w:szCs w:val="20"/>
              </w:rPr>
              <w:fldChar w:fldCharType="begin">
                <w:ffData>
                  <w:name w:val="Check1"/>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Restricted benefit</w:t>
            </w:r>
          </w:p>
          <w:p w:rsidR="0014700A" w:rsidRPr="00C254D9" w:rsidRDefault="0014700A" w:rsidP="004248E9">
            <w:pPr>
              <w:widowControl/>
              <w:rPr>
                <w:rFonts w:ascii="Arial Narrow" w:hAnsi="Arial Narrow"/>
                <w:sz w:val="20"/>
                <w:szCs w:val="20"/>
              </w:rPr>
            </w:pPr>
            <w:r w:rsidRPr="00C254D9">
              <w:rPr>
                <w:rFonts w:ascii="Arial Narrow" w:hAnsi="Arial Narrow"/>
                <w:sz w:val="20"/>
                <w:szCs w:val="20"/>
              </w:rPr>
              <w:fldChar w:fldCharType="begin">
                <w:ffData>
                  <w:name w:val=""/>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Pr>
                <w:rFonts w:ascii="Arial Narrow" w:hAnsi="Arial Narrow"/>
                <w:sz w:val="20"/>
                <w:szCs w:val="20"/>
              </w:rPr>
              <w:t>Authority Required –</w:t>
            </w:r>
            <w:r w:rsidRPr="00C254D9">
              <w:rPr>
                <w:rFonts w:ascii="Arial Narrow" w:hAnsi="Arial Narrow"/>
                <w:sz w:val="20"/>
                <w:szCs w:val="20"/>
              </w:rPr>
              <w:t xml:space="preserve"> In Writing</w:t>
            </w:r>
          </w:p>
          <w:p w:rsidR="0014700A" w:rsidRPr="00C254D9" w:rsidRDefault="0014700A" w:rsidP="004248E9">
            <w:pPr>
              <w:widowControl/>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1"/>
                  </w:checkBox>
                </w:ffData>
              </w:fldChar>
            </w:r>
            <w:r>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Pr>
                <w:rFonts w:ascii="Arial Narrow" w:hAnsi="Arial Narrow"/>
                <w:sz w:val="20"/>
                <w:szCs w:val="20"/>
              </w:rPr>
              <w:fldChar w:fldCharType="end"/>
            </w:r>
            <w:r w:rsidRPr="00C254D9">
              <w:rPr>
                <w:rFonts w:ascii="Arial Narrow" w:hAnsi="Arial Narrow"/>
                <w:sz w:val="20"/>
                <w:szCs w:val="20"/>
              </w:rPr>
              <w:t xml:space="preserve">Authority Required </w:t>
            </w:r>
            <w:r>
              <w:rPr>
                <w:rFonts w:ascii="Arial Narrow" w:hAnsi="Arial Narrow"/>
                <w:sz w:val="20"/>
                <w:szCs w:val="20"/>
              </w:rPr>
              <w:t>–</w:t>
            </w:r>
            <w:r w:rsidRPr="00C254D9">
              <w:rPr>
                <w:rFonts w:ascii="Arial Narrow" w:hAnsi="Arial Narrow"/>
                <w:sz w:val="20"/>
                <w:szCs w:val="20"/>
              </w:rPr>
              <w:t xml:space="preserve"> Telephone</w:t>
            </w:r>
            <w:r>
              <w:rPr>
                <w:rFonts w:ascii="Arial Narrow" w:hAnsi="Arial Narrow"/>
                <w:sz w:val="20"/>
                <w:szCs w:val="20"/>
              </w:rPr>
              <w:t>/</w:t>
            </w:r>
            <w:r w:rsidRPr="00C254D9">
              <w:rPr>
                <w:rFonts w:ascii="Arial Narrow" w:hAnsi="Arial Narrow"/>
                <w:sz w:val="20"/>
                <w:szCs w:val="20"/>
              </w:rPr>
              <w:t>Electronic</w:t>
            </w:r>
            <w:r>
              <w:rPr>
                <w:rFonts w:ascii="Arial Narrow" w:hAnsi="Arial Narrow"/>
                <w:sz w:val="20"/>
                <w:szCs w:val="20"/>
              </w:rPr>
              <w:t>/Emergency</w:t>
            </w:r>
          </w:p>
          <w:p w:rsidR="0014700A" w:rsidRPr="00C254D9" w:rsidRDefault="0014700A" w:rsidP="004248E9">
            <w:pPr>
              <w:widowControl/>
              <w:rPr>
                <w:rFonts w:ascii="Arial Narrow" w:hAnsi="Arial Narrow"/>
                <w:sz w:val="20"/>
                <w:szCs w:val="20"/>
              </w:rPr>
            </w:pPr>
            <w:r w:rsidRPr="00C254D9">
              <w:rPr>
                <w:rFonts w:ascii="Arial Narrow" w:hAnsi="Arial Narrow"/>
                <w:sz w:val="20"/>
                <w:szCs w:val="20"/>
              </w:rPr>
              <w:fldChar w:fldCharType="begin">
                <w:ffData>
                  <w:name w:val="Check5"/>
                  <w:enabled/>
                  <w:calcOnExit w:val="0"/>
                  <w:checkBox>
                    <w:sizeAuto/>
                    <w:default w:val="0"/>
                  </w:checkBox>
                </w:ffData>
              </w:fldChar>
            </w:r>
            <w:r w:rsidRPr="00C254D9">
              <w:rPr>
                <w:rFonts w:ascii="Arial Narrow" w:hAnsi="Arial Narrow"/>
                <w:sz w:val="20"/>
                <w:szCs w:val="20"/>
              </w:rPr>
              <w:instrText xml:space="preserve"> FORMCHECKBOX </w:instrText>
            </w:r>
            <w:r w:rsidR="00ED7D6E">
              <w:rPr>
                <w:rFonts w:ascii="Arial Narrow" w:hAnsi="Arial Narrow"/>
                <w:sz w:val="20"/>
                <w:szCs w:val="20"/>
              </w:rPr>
            </w:r>
            <w:r w:rsidR="00ED7D6E">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Streamlined</w:t>
            </w:r>
          </w:p>
        </w:tc>
      </w:tr>
      <w:tr w:rsidR="0014700A" w:rsidRPr="00C254D9" w:rsidTr="0014700A">
        <w:trPr>
          <w:cantSplit/>
          <w:trHeight w:val="657"/>
        </w:trPr>
        <w:tc>
          <w:tcPr>
            <w:tcW w:w="1986" w:type="dxa"/>
            <w:tcBorders>
              <w:top w:val="single" w:sz="4" w:space="0" w:color="auto"/>
              <w:left w:val="single" w:sz="4" w:space="0" w:color="auto"/>
              <w:bottom w:val="single" w:sz="4" w:space="0" w:color="auto"/>
              <w:right w:val="single" w:sz="4" w:space="0" w:color="auto"/>
            </w:tcBorders>
          </w:tcPr>
          <w:p w:rsidR="0014700A" w:rsidRPr="00F70F81" w:rsidRDefault="0014700A" w:rsidP="004248E9">
            <w:pPr>
              <w:widowControl/>
              <w:rPr>
                <w:rFonts w:ascii="Arial Narrow" w:hAnsi="Arial Narrow"/>
                <w:b/>
                <w:sz w:val="20"/>
                <w:szCs w:val="20"/>
              </w:rPr>
            </w:pPr>
            <w:r w:rsidRPr="00C254D9">
              <w:rPr>
                <w:rFonts w:ascii="Arial Narrow" w:hAnsi="Arial Narrow"/>
                <w:b/>
                <w:sz w:val="20"/>
                <w:szCs w:val="20"/>
              </w:rPr>
              <w:t>Clinical criteria:</w:t>
            </w:r>
          </w:p>
        </w:tc>
        <w:tc>
          <w:tcPr>
            <w:tcW w:w="6898" w:type="dxa"/>
            <w:gridSpan w:val="5"/>
            <w:tcBorders>
              <w:top w:val="single" w:sz="4" w:space="0" w:color="auto"/>
              <w:left w:val="single" w:sz="4" w:space="0" w:color="auto"/>
              <w:bottom w:val="single" w:sz="4" w:space="0" w:color="auto"/>
              <w:right w:val="single" w:sz="4" w:space="0" w:color="auto"/>
            </w:tcBorders>
          </w:tcPr>
          <w:p w:rsidR="0014700A" w:rsidRDefault="0014700A" w:rsidP="004248E9">
            <w:pPr>
              <w:widowControl/>
              <w:pBdr>
                <w:bottom w:val="dashed" w:sz="4" w:space="1" w:color="auto"/>
              </w:pBdr>
              <w:rPr>
                <w:rFonts w:ascii="Arial Narrow" w:hAnsi="Arial Narrow"/>
                <w:sz w:val="20"/>
                <w:szCs w:val="20"/>
              </w:rPr>
            </w:pPr>
            <w:r w:rsidRPr="00701ED7">
              <w:rPr>
                <w:rFonts w:ascii="Arial Narrow" w:hAnsi="Arial Narrow"/>
                <w:i/>
                <w:sz w:val="20"/>
                <w:szCs w:val="20"/>
              </w:rPr>
              <w:t>The treatment must be adjuvant</w:t>
            </w:r>
            <w:r>
              <w:rPr>
                <w:rFonts w:ascii="Arial Narrow" w:hAnsi="Arial Narrow"/>
                <w:i/>
                <w:sz w:val="20"/>
                <w:szCs w:val="20"/>
              </w:rPr>
              <w:t xml:space="preserve"> to </w:t>
            </w:r>
            <w:r w:rsidRPr="00701ED7">
              <w:rPr>
                <w:rFonts w:ascii="Arial Narrow" w:hAnsi="Arial Narrow"/>
                <w:i/>
                <w:sz w:val="20"/>
                <w:szCs w:val="20"/>
              </w:rPr>
              <w:t>surgery followed by adjuvant therapy with trastuzumab</w:t>
            </w:r>
            <w:r>
              <w:rPr>
                <w:rFonts w:ascii="Arial Narrow" w:hAnsi="Arial Narrow"/>
                <w:sz w:val="20"/>
                <w:szCs w:val="20"/>
              </w:rPr>
              <w:t xml:space="preserve"> [new concept]</w:t>
            </w:r>
          </w:p>
          <w:p w:rsidR="0014700A" w:rsidRDefault="0014700A" w:rsidP="004248E9">
            <w:pPr>
              <w:widowControl/>
              <w:pBdr>
                <w:bottom w:val="dashed" w:sz="4" w:space="1" w:color="auto"/>
              </w:pBdr>
              <w:rPr>
                <w:rFonts w:ascii="Arial Narrow" w:hAnsi="Arial Narrow"/>
                <w:sz w:val="20"/>
                <w:szCs w:val="20"/>
              </w:rPr>
            </w:pPr>
            <w:r>
              <w:rPr>
                <w:rFonts w:ascii="Arial Narrow" w:hAnsi="Arial Narrow"/>
                <w:sz w:val="20"/>
                <w:szCs w:val="20"/>
              </w:rPr>
              <w:t>AND</w:t>
            </w:r>
          </w:p>
          <w:p w:rsidR="0014700A" w:rsidRPr="00040373" w:rsidRDefault="0014700A" w:rsidP="004248E9">
            <w:pPr>
              <w:widowControl/>
              <w:pBdr>
                <w:bottom w:val="dashed" w:sz="4" w:space="1" w:color="auto"/>
              </w:pBdr>
              <w:rPr>
                <w:rFonts w:ascii="Arial Narrow" w:hAnsi="Arial Narrow"/>
                <w:strike/>
                <w:sz w:val="20"/>
                <w:szCs w:val="20"/>
              </w:rPr>
            </w:pPr>
            <w:r w:rsidRPr="00040373">
              <w:rPr>
                <w:rFonts w:ascii="Arial Narrow" w:hAnsi="Arial Narrow"/>
                <w:sz w:val="20"/>
                <w:szCs w:val="20"/>
              </w:rPr>
              <w:t xml:space="preserve">Patient must have </w:t>
            </w:r>
            <w:r w:rsidRPr="001A3136">
              <w:rPr>
                <w:rFonts w:ascii="Arial Narrow" w:hAnsi="Arial Narrow"/>
                <w:strike/>
                <w:sz w:val="20"/>
                <w:szCs w:val="20"/>
              </w:rPr>
              <w:t>been treated with</w:t>
            </w:r>
            <w:r w:rsidRPr="00040373">
              <w:rPr>
                <w:rFonts w:ascii="Arial Narrow" w:hAnsi="Arial Narrow"/>
                <w:sz w:val="20"/>
                <w:szCs w:val="20"/>
              </w:rPr>
              <w:t xml:space="preserve"> </w:t>
            </w:r>
            <w:r>
              <w:rPr>
                <w:rFonts w:ascii="Arial Narrow" w:hAnsi="Arial Narrow"/>
                <w:i/>
                <w:sz w:val="20"/>
                <w:szCs w:val="20"/>
              </w:rPr>
              <w:t xml:space="preserve">completed </w:t>
            </w:r>
            <w:r w:rsidRPr="00040373">
              <w:rPr>
                <w:rFonts w:ascii="Arial Narrow" w:hAnsi="Arial Narrow"/>
                <w:sz w:val="20"/>
                <w:szCs w:val="20"/>
              </w:rPr>
              <w:t xml:space="preserve">a course of adjuvant trastuzumab within </w:t>
            </w:r>
            <w:r w:rsidRPr="00040373">
              <w:rPr>
                <w:rFonts w:ascii="Arial Narrow" w:hAnsi="Arial Narrow"/>
                <w:strike/>
                <w:sz w:val="20"/>
                <w:szCs w:val="20"/>
              </w:rPr>
              <w:t>the last</w:t>
            </w:r>
            <w:r w:rsidRPr="00040373">
              <w:rPr>
                <w:rFonts w:ascii="Arial Narrow" w:hAnsi="Arial Narrow"/>
                <w:sz w:val="20"/>
                <w:szCs w:val="20"/>
              </w:rPr>
              <w:t xml:space="preserve"> 12 months prior to initiating treatment with this drug for this condition.</w:t>
            </w:r>
            <w:r>
              <w:rPr>
                <w:rFonts w:ascii="Arial Narrow" w:hAnsi="Arial Narrow"/>
                <w:i/>
                <w:sz w:val="20"/>
                <w:szCs w:val="20"/>
              </w:rPr>
              <w:t xml:space="preserve"> </w:t>
            </w:r>
            <w:r>
              <w:rPr>
                <w:rFonts w:ascii="Arial Narrow" w:hAnsi="Arial Narrow"/>
                <w:sz w:val="20"/>
                <w:szCs w:val="20"/>
              </w:rPr>
              <w:t>[new concept]</w:t>
            </w:r>
            <w:r w:rsidRPr="0078336C">
              <w:rPr>
                <w:rFonts w:ascii="Arial Narrow" w:hAnsi="Arial Narrow"/>
                <w:sz w:val="20"/>
                <w:szCs w:val="20"/>
              </w:rPr>
              <w:br/>
            </w:r>
            <w:r w:rsidRPr="006B00F3">
              <w:rPr>
                <w:rFonts w:ascii="Arial Narrow" w:hAnsi="Arial Narrow"/>
                <w:iCs/>
                <w:strike/>
                <w:sz w:val="20"/>
                <w:szCs w:val="20"/>
              </w:rPr>
              <w:t>OR</w:t>
            </w:r>
            <w:r w:rsidRPr="006B00F3">
              <w:rPr>
                <w:rFonts w:ascii="Arial Narrow" w:hAnsi="Arial Narrow"/>
                <w:iCs/>
                <w:strike/>
                <w:sz w:val="20"/>
                <w:szCs w:val="20"/>
              </w:rPr>
              <w:br/>
              <w:t>Patient must have discontinued treat</w:t>
            </w:r>
            <w:r>
              <w:rPr>
                <w:rFonts w:ascii="Arial Narrow" w:hAnsi="Arial Narrow"/>
                <w:iCs/>
                <w:strike/>
                <w:sz w:val="20"/>
                <w:szCs w:val="20"/>
              </w:rPr>
              <w:t>[ment]</w:t>
            </w:r>
            <w:r w:rsidRPr="006B00F3">
              <w:rPr>
                <w:rFonts w:ascii="Arial Narrow" w:hAnsi="Arial Narrow"/>
                <w:iCs/>
                <w:strike/>
                <w:sz w:val="20"/>
                <w:szCs w:val="20"/>
              </w:rPr>
              <w:t xml:space="preserve"> with a course of adjuvant T-DM1 or trastuzumab plus pertuzumab within 6 months of initiating treatment with this drug for this condition AND Patient must have subsequently been treated with a course of adjuvant trastuzumab within the last 12 months prior to initiating treatment with this drug for this condition</w:t>
            </w:r>
          </w:p>
          <w:p w:rsidR="0014700A" w:rsidRPr="0078336C" w:rsidRDefault="0014700A" w:rsidP="004248E9">
            <w:pPr>
              <w:widowControl/>
              <w:rPr>
                <w:rFonts w:ascii="Arial Narrow" w:hAnsi="Arial Narrow"/>
                <w:sz w:val="20"/>
                <w:szCs w:val="20"/>
              </w:rPr>
            </w:pPr>
            <w:r w:rsidRPr="0078336C">
              <w:rPr>
                <w:rFonts w:ascii="Arial Narrow" w:hAnsi="Arial Narrow"/>
                <w:sz w:val="20"/>
                <w:szCs w:val="20"/>
              </w:rPr>
              <w:t>AND</w:t>
            </w:r>
            <w:r w:rsidRPr="0078336C">
              <w:rPr>
                <w:rFonts w:ascii="Arial Narrow" w:hAnsi="Arial Narrow"/>
                <w:sz w:val="20"/>
                <w:szCs w:val="20"/>
              </w:rPr>
              <w:br/>
              <w:t xml:space="preserve">Patient must not have local or regional recurrence of disease or metastatic disease </w:t>
            </w:r>
            <w:r>
              <w:rPr>
                <w:rFonts w:ascii="Arial Narrow" w:hAnsi="Arial Narrow"/>
                <w:sz w:val="20"/>
                <w:szCs w:val="20"/>
              </w:rPr>
              <w:t>[new concept]</w:t>
            </w:r>
          </w:p>
          <w:p w:rsidR="0014700A" w:rsidRPr="0078336C" w:rsidRDefault="0014700A" w:rsidP="004248E9">
            <w:pPr>
              <w:widowControl/>
              <w:pBdr>
                <w:top w:val="dashed" w:sz="4" w:space="1" w:color="auto"/>
                <w:bottom w:val="dashed" w:sz="4" w:space="1" w:color="auto"/>
              </w:pBdr>
              <w:rPr>
                <w:rFonts w:ascii="Arial Narrow" w:hAnsi="Arial Narrow"/>
                <w:sz w:val="20"/>
                <w:szCs w:val="20"/>
              </w:rPr>
            </w:pPr>
            <w:r w:rsidRPr="0078336C">
              <w:rPr>
                <w:rFonts w:ascii="Arial Narrow" w:hAnsi="Arial Narrow"/>
                <w:sz w:val="20"/>
                <w:szCs w:val="20"/>
              </w:rPr>
              <w:t>AND</w:t>
            </w:r>
            <w:r w:rsidRPr="0078336C">
              <w:rPr>
                <w:rFonts w:ascii="Arial Narrow" w:hAnsi="Arial Narrow"/>
                <w:sz w:val="20"/>
                <w:szCs w:val="20"/>
              </w:rPr>
              <w:br/>
              <w:t>The condition must be hormone receptor positive</w:t>
            </w:r>
            <w:r>
              <w:rPr>
                <w:rFonts w:ascii="Arial Narrow" w:hAnsi="Arial Narrow"/>
                <w:sz w:val="20"/>
                <w:szCs w:val="20"/>
              </w:rPr>
              <w:t xml:space="preserve"> [10652]</w:t>
            </w:r>
          </w:p>
          <w:p w:rsidR="0014700A" w:rsidRPr="0078336C" w:rsidRDefault="0014700A" w:rsidP="004248E9">
            <w:pPr>
              <w:widowControl/>
              <w:pBdr>
                <w:bottom w:val="dashed" w:sz="4" w:space="1" w:color="auto"/>
              </w:pBdr>
              <w:rPr>
                <w:rFonts w:ascii="Arial Narrow" w:hAnsi="Arial Narrow"/>
                <w:sz w:val="20"/>
                <w:szCs w:val="20"/>
              </w:rPr>
            </w:pPr>
            <w:r w:rsidRPr="0078336C">
              <w:rPr>
                <w:rFonts w:ascii="Arial Narrow" w:hAnsi="Arial Narrow"/>
                <w:sz w:val="20"/>
                <w:szCs w:val="20"/>
              </w:rPr>
              <w:t>AND</w:t>
            </w:r>
            <w:r w:rsidRPr="0078336C">
              <w:rPr>
                <w:rFonts w:ascii="Arial Narrow" w:hAnsi="Arial Narrow"/>
                <w:sz w:val="20"/>
                <w:szCs w:val="20"/>
              </w:rPr>
              <w:br/>
              <w:t>The treatment must be the sole PBS-subsidised anti-</w:t>
            </w:r>
            <w:r>
              <w:rPr>
                <w:rFonts w:ascii="Arial Narrow" w:hAnsi="Arial Narrow"/>
                <w:sz w:val="20"/>
                <w:szCs w:val="20"/>
              </w:rPr>
              <w:t>HER-2 therapy [15452]</w:t>
            </w:r>
          </w:p>
          <w:p w:rsidR="0014700A" w:rsidRDefault="0014700A" w:rsidP="004248E9">
            <w:pPr>
              <w:widowControl/>
              <w:rPr>
                <w:rFonts w:ascii="Arial Narrow" w:hAnsi="Arial Narrow"/>
                <w:sz w:val="20"/>
                <w:szCs w:val="20"/>
              </w:rPr>
            </w:pPr>
            <w:r w:rsidRPr="0078336C">
              <w:rPr>
                <w:rFonts w:ascii="Arial Narrow" w:hAnsi="Arial Narrow"/>
                <w:sz w:val="20"/>
                <w:szCs w:val="20"/>
              </w:rPr>
              <w:t>AND</w:t>
            </w:r>
            <w:r w:rsidRPr="0078336C">
              <w:rPr>
                <w:rFonts w:ascii="Arial Narrow" w:hAnsi="Arial Narrow"/>
                <w:sz w:val="20"/>
                <w:szCs w:val="20"/>
              </w:rPr>
              <w:br/>
              <w:t xml:space="preserve">Patient must not receive more than 52 weeks of combined PBS-subsidised and non-PBS-subsidised therapy </w:t>
            </w:r>
            <w:r w:rsidRPr="00302C62">
              <w:rPr>
                <w:rFonts w:ascii="Arial Narrow" w:hAnsi="Arial Narrow"/>
                <w:strike/>
                <w:sz w:val="20"/>
                <w:szCs w:val="20"/>
              </w:rPr>
              <w:t>for this drug for this condition</w:t>
            </w:r>
            <w:r w:rsidRPr="00302C62">
              <w:rPr>
                <w:rFonts w:ascii="Arial Narrow" w:hAnsi="Arial Narrow"/>
                <w:sz w:val="20"/>
                <w:szCs w:val="20"/>
              </w:rPr>
              <w:t xml:space="preserve"> [7746]</w:t>
            </w:r>
          </w:p>
          <w:p w:rsidR="0014700A" w:rsidRPr="00C254D9" w:rsidRDefault="0014700A" w:rsidP="004248E9">
            <w:pPr>
              <w:widowControl/>
              <w:rPr>
                <w:rFonts w:ascii="Arial Narrow" w:hAnsi="Arial Narrow"/>
                <w:sz w:val="20"/>
                <w:szCs w:val="20"/>
              </w:rPr>
            </w:pP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t>Prescriber Instructions</w:t>
            </w:r>
            <w:r>
              <w:rPr>
                <w:rFonts w:ascii="Arial Narrow" w:hAnsi="Arial Narrow"/>
                <w:b/>
                <w:sz w:val="20"/>
                <w:szCs w:val="20"/>
              </w:rPr>
              <w:t>:</w:t>
            </w:r>
          </w:p>
          <w:p w:rsidR="0014700A" w:rsidRPr="00C254D9" w:rsidRDefault="0014700A" w:rsidP="004248E9">
            <w:pPr>
              <w:widowControl/>
              <w:rPr>
                <w:rFonts w:ascii="Arial Narrow" w:hAnsi="Arial Narrow"/>
                <w:sz w:val="20"/>
                <w:szCs w:val="20"/>
              </w:rPr>
            </w:pPr>
          </w:p>
        </w:tc>
        <w:tc>
          <w:tcPr>
            <w:tcW w:w="6898" w:type="dxa"/>
            <w:gridSpan w:val="5"/>
            <w:tcBorders>
              <w:top w:val="single" w:sz="4" w:space="0" w:color="auto"/>
              <w:left w:val="single" w:sz="4" w:space="0" w:color="auto"/>
              <w:bottom w:val="single" w:sz="4" w:space="0" w:color="auto"/>
              <w:right w:val="single" w:sz="4" w:space="0" w:color="auto"/>
            </w:tcBorders>
          </w:tcPr>
          <w:p w:rsidR="0014700A" w:rsidRDefault="0014700A" w:rsidP="004248E9">
            <w:pPr>
              <w:widowControl/>
              <w:rPr>
                <w:rFonts w:ascii="Arial Narrow" w:hAnsi="Arial Narrow"/>
                <w:strike/>
                <w:sz w:val="20"/>
                <w:szCs w:val="20"/>
              </w:rPr>
            </w:pPr>
            <w:r w:rsidRPr="00302C62">
              <w:rPr>
                <w:rFonts w:ascii="Arial Narrow" w:hAnsi="Arial Narrow"/>
                <w:strike/>
                <w:sz w:val="20"/>
                <w:szCs w:val="20"/>
              </w:rPr>
              <w:t>Anti-diarrhoeal prophylaxis is recommended during the first 2 cycles (56 days) of treatment and should be initiated with the first dose of neratinib.</w:t>
            </w:r>
          </w:p>
          <w:p w:rsidR="0014700A" w:rsidRDefault="0014700A" w:rsidP="004248E9">
            <w:pPr>
              <w:widowControl/>
              <w:rPr>
                <w:rFonts w:ascii="Arial Narrow" w:hAnsi="Arial Narrow"/>
                <w:strike/>
                <w:sz w:val="20"/>
                <w:szCs w:val="20"/>
              </w:rPr>
            </w:pPr>
          </w:p>
          <w:p w:rsidR="0014700A" w:rsidRPr="00BD0301" w:rsidRDefault="0014700A" w:rsidP="004248E9">
            <w:pPr>
              <w:widowControl/>
              <w:rPr>
                <w:rFonts w:ascii="Arial Narrow" w:hAnsi="Arial Narrow"/>
                <w:sz w:val="20"/>
                <w:szCs w:val="20"/>
              </w:rPr>
            </w:pPr>
            <w:r w:rsidRPr="00BD0301">
              <w:rPr>
                <w:rFonts w:ascii="Arial Narrow" w:hAnsi="Arial Narrow"/>
                <w:sz w:val="20"/>
                <w:szCs w:val="20"/>
              </w:rPr>
              <w:t>A patient who has progressive disease when treated with this drug is no longer eligible for PBS-subsidised treatment with this drug. [11473]</w:t>
            </w:r>
          </w:p>
          <w:p w:rsidR="0014700A" w:rsidRPr="00302C62" w:rsidRDefault="0014700A" w:rsidP="004248E9">
            <w:pPr>
              <w:widowControl/>
              <w:rPr>
                <w:rFonts w:ascii="Arial Narrow" w:hAnsi="Arial Narrow"/>
                <w:strike/>
                <w:sz w:val="20"/>
                <w:szCs w:val="20"/>
              </w:rPr>
            </w:pPr>
          </w:p>
        </w:tc>
      </w:tr>
      <w:tr w:rsidR="0014700A" w:rsidRPr="00C254D9" w:rsidTr="0014700A">
        <w:trPr>
          <w:cantSplit/>
          <w:trHeight w:val="360"/>
        </w:trPr>
        <w:tc>
          <w:tcPr>
            <w:tcW w:w="1986" w:type="dxa"/>
            <w:tcBorders>
              <w:top w:val="single" w:sz="4" w:space="0" w:color="auto"/>
              <w:left w:val="single" w:sz="4" w:space="0" w:color="auto"/>
              <w:bottom w:val="single" w:sz="4" w:space="0" w:color="auto"/>
              <w:right w:val="single" w:sz="4" w:space="0" w:color="auto"/>
            </w:tcBorders>
          </w:tcPr>
          <w:p w:rsidR="0014700A" w:rsidRPr="00C254D9" w:rsidRDefault="0014700A" w:rsidP="004248E9">
            <w:pPr>
              <w:widowControl/>
              <w:rPr>
                <w:rFonts w:ascii="Arial Narrow" w:hAnsi="Arial Narrow"/>
                <w:b/>
                <w:sz w:val="20"/>
                <w:szCs w:val="20"/>
              </w:rPr>
            </w:pPr>
            <w:r w:rsidRPr="00C254D9">
              <w:rPr>
                <w:rFonts w:ascii="Arial Narrow" w:hAnsi="Arial Narrow"/>
                <w:b/>
                <w:sz w:val="20"/>
                <w:szCs w:val="20"/>
              </w:rPr>
              <w:lastRenderedPageBreak/>
              <w:t>Administrative Advice</w:t>
            </w:r>
            <w:r>
              <w:rPr>
                <w:rFonts w:ascii="Arial Narrow" w:hAnsi="Arial Narrow"/>
                <w:b/>
                <w:sz w:val="20"/>
                <w:szCs w:val="20"/>
              </w:rPr>
              <w:t>:</w:t>
            </w:r>
          </w:p>
          <w:p w:rsidR="0014700A" w:rsidRPr="00C254D9" w:rsidRDefault="0014700A" w:rsidP="004248E9">
            <w:pPr>
              <w:widowControl/>
              <w:rPr>
                <w:rFonts w:ascii="Arial Narrow" w:hAnsi="Arial Narrow"/>
                <w:i/>
                <w:sz w:val="20"/>
                <w:szCs w:val="20"/>
              </w:rPr>
            </w:pPr>
          </w:p>
        </w:tc>
        <w:tc>
          <w:tcPr>
            <w:tcW w:w="6898" w:type="dxa"/>
            <w:gridSpan w:val="5"/>
            <w:tcBorders>
              <w:top w:val="single" w:sz="4" w:space="0" w:color="auto"/>
              <w:left w:val="single" w:sz="4" w:space="0" w:color="auto"/>
              <w:bottom w:val="single" w:sz="4" w:space="0" w:color="auto"/>
              <w:right w:val="single" w:sz="4" w:space="0" w:color="auto"/>
            </w:tcBorders>
          </w:tcPr>
          <w:p w:rsidR="0014700A" w:rsidRPr="007463BA" w:rsidRDefault="0014700A" w:rsidP="004248E9">
            <w:pPr>
              <w:widowControl/>
              <w:rPr>
                <w:rFonts w:ascii="Arial Narrow" w:hAnsi="Arial Narrow"/>
                <w:strike/>
                <w:sz w:val="20"/>
                <w:szCs w:val="20"/>
              </w:rPr>
            </w:pPr>
            <w:r w:rsidRPr="007463BA">
              <w:rPr>
                <w:rFonts w:ascii="Arial Narrow" w:hAnsi="Arial Narrow"/>
                <w:strike/>
                <w:sz w:val="20"/>
                <w:szCs w:val="20"/>
              </w:rPr>
              <w:t>No applications for increased maximum quantities will be authorised.</w:t>
            </w:r>
          </w:p>
          <w:p w:rsidR="0014700A" w:rsidRPr="007463BA" w:rsidRDefault="0014700A" w:rsidP="004248E9">
            <w:pPr>
              <w:widowControl/>
              <w:pBdr>
                <w:bottom w:val="dashed" w:sz="4" w:space="1" w:color="auto"/>
              </w:pBdr>
              <w:rPr>
                <w:rFonts w:ascii="Arial Narrow" w:hAnsi="Arial Narrow"/>
                <w:sz w:val="20"/>
                <w:szCs w:val="20"/>
              </w:rPr>
            </w:pPr>
            <w:r w:rsidRPr="007463BA">
              <w:rPr>
                <w:rFonts w:ascii="Arial Narrow" w:hAnsi="Arial Narrow"/>
                <w:i/>
                <w:sz w:val="20"/>
                <w:szCs w:val="20"/>
              </w:rPr>
              <w:t>No increase in the maximum quantity or number of units may be authorised</w:t>
            </w:r>
            <w:r>
              <w:rPr>
                <w:rFonts w:ascii="Arial Narrow" w:hAnsi="Arial Narrow"/>
                <w:i/>
                <w:sz w:val="20"/>
                <w:szCs w:val="20"/>
              </w:rPr>
              <w:t>.</w:t>
            </w:r>
            <w:r>
              <w:rPr>
                <w:rFonts w:ascii="Arial Narrow" w:hAnsi="Arial Narrow"/>
                <w:sz w:val="20"/>
                <w:szCs w:val="20"/>
              </w:rPr>
              <w:t xml:space="preserve"> [7606]</w:t>
            </w:r>
          </w:p>
          <w:p w:rsidR="0014700A" w:rsidRDefault="0014700A" w:rsidP="004248E9">
            <w:pPr>
              <w:widowControl/>
              <w:rPr>
                <w:rFonts w:ascii="Arial Narrow" w:hAnsi="Arial Narrow"/>
                <w:strike/>
                <w:sz w:val="20"/>
                <w:szCs w:val="20"/>
              </w:rPr>
            </w:pPr>
          </w:p>
          <w:p w:rsidR="0014700A" w:rsidRDefault="0014700A" w:rsidP="004248E9">
            <w:pPr>
              <w:widowControl/>
              <w:rPr>
                <w:rFonts w:ascii="Arial Narrow" w:hAnsi="Arial Narrow"/>
                <w:strike/>
                <w:sz w:val="20"/>
                <w:szCs w:val="20"/>
              </w:rPr>
            </w:pPr>
            <w:r w:rsidRPr="00302C62">
              <w:rPr>
                <w:rFonts w:ascii="Arial Narrow" w:hAnsi="Arial Narrow"/>
                <w:strike/>
                <w:sz w:val="20"/>
                <w:szCs w:val="20"/>
              </w:rPr>
              <w:t>No applications for increased repeats will be authorised.</w:t>
            </w:r>
          </w:p>
          <w:p w:rsidR="0014700A" w:rsidRPr="00302C62" w:rsidRDefault="0014700A" w:rsidP="004248E9">
            <w:pPr>
              <w:widowControl/>
              <w:rPr>
                <w:rFonts w:ascii="Arial Narrow" w:hAnsi="Arial Narrow"/>
                <w:sz w:val="20"/>
                <w:szCs w:val="20"/>
              </w:rPr>
            </w:pPr>
            <w:r w:rsidRPr="007463BA">
              <w:rPr>
                <w:rFonts w:ascii="Arial Narrow" w:hAnsi="Arial Narrow"/>
                <w:i/>
                <w:sz w:val="20"/>
                <w:szCs w:val="20"/>
              </w:rPr>
              <w:t>No increase in the maximum number of repeats may be authorised.</w:t>
            </w:r>
            <w:r>
              <w:rPr>
                <w:rFonts w:ascii="Arial Narrow" w:hAnsi="Arial Narrow"/>
                <w:sz w:val="20"/>
                <w:szCs w:val="20"/>
              </w:rPr>
              <w:t xml:space="preserve"> [7607]</w:t>
            </w:r>
          </w:p>
        </w:tc>
      </w:tr>
    </w:tbl>
    <w:p w:rsidR="0014700A" w:rsidRPr="0014700A" w:rsidRDefault="0014700A" w:rsidP="0014700A">
      <w:pPr>
        <w:widowControl/>
        <w:rPr>
          <w:rFonts w:asciiTheme="minorHAnsi" w:hAnsiTheme="minorHAnsi" w:cstheme="minorHAnsi"/>
          <w:color w:val="0070C0"/>
        </w:rPr>
      </w:pPr>
    </w:p>
    <w:p w:rsidR="004B4968" w:rsidRPr="00EF5B8F" w:rsidRDefault="004B4968" w:rsidP="0014700A">
      <w:pPr>
        <w:pStyle w:val="ListParagraph"/>
        <w:widowControl/>
        <w:numPr>
          <w:ilvl w:val="1"/>
          <w:numId w:val="5"/>
        </w:numPr>
        <w:spacing w:before="120"/>
        <w:rPr>
          <w:iCs/>
        </w:rPr>
      </w:pPr>
      <w:r w:rsidRPr="00EF5B8F">
        <w:rPr>
          <w:iCs/>
        </w:rPr>
        <w:t xml:space="preserve">The proposed restriction was updated in the resubmission and is mostly consistent with the </w:t>
      </w:r>
      <w:r w:rsidR="00613B6F" w:rsidRPr="00EF5B8F">
        <w:rPr>
          <w:iCs/>
        </w:rPr>
        <w:t>PBAC and Secretariat</w:t>
      </w:r>
      <w:r w:rsidR="00EB4876" w:rsidRPr="00EF5B8F">
        <w:rPr>
          <w:iCs/>
        </w:rPr>
        <w:t xml:space="preserve"> </w:t>
      </w:r>
      <w:r w:rsidR="00613B6F" w:rsidRPr="00EF5B8F">
        <w:rPr>
          <w:iCs/>
        </w:rPr>
        <w:t xml:space="preserve">suggestions </w:t>
      </w:r>
      <w:r w:rsidR="00EB4876" w:rsidRPr="00EF5B8F">
        <w:rPr>
          <w:iCs/>
        </w:rPr>
        <w:t>(</w:t>
      </w:r>
      <w:r w:rsidR="001A4674">
        <w:rPr>
          <w:iCs/>
        </w:rPr>
        <w:t>n</w:t>
      </w:r>
      <w:r w:rsidR="00EB4876" w:rsidRPr="00EF5B8F">
        <w:rPr>
          <w:iCs/>
        </w:rPr>
        <w:t xml:space="preserve">eratinib </w:t>
      </w:r>
      <w:r w:rsidR="008472BF">
        <w:rPr>
          <w:iCs/>
        </w:rPr>
        <w:t>Public Summary Document (</w:t>
      </w:r>
      <w:r w:rsidR="00EB4876" w:rsidRPr="00EF5B8F">
        <w:rPr>
          <w:iCs/>
        </w:rPr>
        <w:t>PSD</w:t>
      </w:r>
      <w:r w:rsidR="008472BF">
        <w:rPr>
          <w:iCs/>
        </w:rPr>
        <w:t>)</w:t>
      </w:r>
      <w:r w:rsidR="00EB4876" w:rsidRPr="00EF5B8F">
        <w:rPr>
          <w:iCs/>
        </w:rPr>
        <w:t>, March 2019)</w:t>
      </w:r>
      <w:r w:rsidRPr="00EF5B8F">
        <w:rPr>
          <w:iCs/>
        </w:rPr>
        <w:t xml:space="preserve">. </w:t>
      </w:r>
    </w:p>
    <w:p w:rsidR="004B4968" w:rsidRPr="00EF5B8F" w:rsidRDefault="004B4968" w:rsidP="00A84C29">
      <w:pPr>
        <w:pStyle w:val="ListParagraph"/>
        <w:widowControl/>
        <w:numPr>
          <w:ilvl w:val="0"/>
          <w:numId w:val="6"/>
        </w:numPr>
        <w:rPr>
          <w:iCs/>
        </w:rPr>
      </w:pPr>
      <w:r w:rsidRPr="00EF5B8F">
        <w:rPr>
          <w:iCs/>
        </w:rPr>
        <w:t>The proposed initial restriction was updated to be ‘Authority Required (Telephone)’ listing to align with the initial restriction for trastuzumab for eBC.</w:t>
      </w:r>
    </w:p>
    <w:p w:rsidR="004B4968" w:rsidRPr="00EF5B8F" w:rsidRDefault="004B4968" w:rsidP="00A84C29">
      <w:pPr>
        <w:pStyle w:val="ListParagraph"/>
        <w:widowControl/>
        <w:numPr>
          <w:ilvl w:val="0"/>
          <w:numId w:val="6"/>
        </w:numPr>
        <w:rPr>
          <w:iCs/>
        </w:rPr>
      </w:pPr>
      <w:r w:rsidRPr="00EF5B8F">
        <w:rPr>
          <w:iCs/>
        </w:rPr>
        <w:t>The proposed initial restriction was updated to include prescriber instructions to initiate anti-dia</w:t>
      </w:r>
      <w:r w:rsidR="004504EF" w:rsidRPr="00EF5B8F">
        <w:rPr>
          <w:iCs/>
        </w:rPr>
        <w:t>rr</w:t>
      </w:r>
      <w:r w:rsidRPr="00EF5B8F">
        <w:rPr>
          <w:iCs/>
        </w:rPr>
        <w:t xml:space="preserve">hoeal prophylaxis (loperamide, PBS item 10889D) with the first dose of neratinib and ongoing during the first three cycles (56 days of treatment). </w:t>
      </w:r>
      <w:r w:rsidR="00695109" w:rsidRPr="00EF5B8F">
        <w:rPr>
          <w:iCs/>
        </w:rPr>
        <w:t xml:space="preserve">The </w:t>
      </w:r>
      <w:r w:rsidR="00343EA0" w:rsidRPr="00167BA5">
        <w:rPr>
          <w:rFonts w:asciiTheme="minorHAnsi" w:hAnsiTheme="minorHAnsi" w:cstheme="minorHAnsi"/>
        </w:rPr>
        <w:t>Economics Sub-Committee</w:t>
      </w:r>
      <w:r w:rsidR="00343EA0" w:rsidRPr="00EF5B8F">
        <w:rPr>
          <w:iCs/>
        </w:rPr>
        <w:t xml:space="preserve"> </w:t>
      </w:r>
      <w:r w:rsidR="00343EA0">
        <w:rPr>
          <w:iCs/>
        </w:rPr>
        <w:t>(</w:t>
      </w:r>
      <w:r w:rsidR="00695109" w:rsidRPr="00EF5B8F">
        <w:rPr>
          <w:iCs/>
        </w:rPr>
        <w:t>ESC</w:t>
      </w:r>
      <w:r w:rsidR="00343EA0">
        <w:rPr>
          <w:iCs/>
        </w:rPr>
        <w:t>)</w:t>
      </w:r>
      <w:r w:rsidR="00695109" w:rsidRPr="00EF5B8F">
        <w:rPr>
          <w:iCs/>
        </w:rPr>
        <w:t xml:space="preserve"> considered this was appropriate.</w:t>
      </w:r>
    </w:p>
    <w:p w:rsidR="004B4968" w:rsidRPr="00EF5B8F" w:rsidRDefault="004B4968" w:rsidP="00A84C29">
      <w:pPr>
        <w:pStyle w:val="ListParagraph"/>
        <w:widowControl/>
        <w:numPr>
          <w:ilvl w:val="0"/>
          <w:numId w:val="6"/>
        </w:numPr>
        <w:rPr>
          <w:iCs/>
        </w:rPr>
      </w:pPr>
      <w:r w:rsidRPr="00EF5B8F">
        <w:rPr>
          <w:iCs/>
        </w:rPr>
        <w:t xml:space="preserve">The proposed restriction was updated to limit the use of neratinib following trastuzumab monotherapy. The resubmission stated that ‘If </w:t>
      </w:r>
      <w:bookmarkStart w:id="7" w:name="_Hlk18655596"/>
      <w:r w:rsidRPr="00EF5B8F">
        <w:rPr>
          <w:iCs/>
        </w:rPr>
        <w:t>trastuzumab emtansine</w:t>
      </w:r>
      <w:bookmarkEnd w:id="7"/>
      <w:r w:rsidRPr="00EF5B8F">
        <w:rPr>
          <w:iCs/>
        </w:rPr>
        <w:t xml:space="preserve"> (T-DM1) and/or pertuzumab (T+Ptz +Chemo) were to be listed in early stage breast cancer, patients receiving these therapies will not be permitted to receive neratinib in the proposed indication’ (p2 of the resubmission).</w:t>
      </w:r>
      <w:r w:rsidR="00E45A96" w:rsidRPr="00EF5B8F">
        <w:rPr>
          <w:iCs/>
        </w:rPr>
        <w:t xml:space="preserve"> </w:t>
      </w:r>
    </w:p>
    <w:p w:rsidR="00EE4A2A" w:rsidRPr="00EE4A2A" w:rsidRDefault="00EE4A2A" w:rsidP="004248E9">
      <w:pPr>
        <w:pStyle w:val="ListParagraph"/>
        <w:widowControl/>
        <w:numPr>
          <w:ilvl w:val="0"/>
          <w:numId w:val="6"/>
        </w:numPr>
        <w:spacing w:before="120"/>
        <w:rPr>
          <w:iCs/>
        </w:rPr>
      </w:pPr>
      <w:r w:rsidRPr="00EE4A2A">
        <w:rPr>
          <w:iCs/>
        </w:rPr>
        <w:t xml:space="preserve">The </w:t>
      </w:r>
      <w:r w:rsidR="005D3D83">
        <w:rPr>
          <w:iCs/>
        </w:rPr>
        <w:t>Secretariat proposed</w:t>
      </w:r>
      <w:r w:rsidRPr="00EE4A2A">
        <w:rPr>
          <w:iCs/>
        </w:rPr>
        <w:t xml:space="preserve"> that one restriction to cover initial, continuing and grandfathered patients </w:t>
      </w:r>
      <w:r w:rsidR="005D3D83">
        <w:rPr>
          <w:iCs/>
        </w:rPr>
        <w:t>would</w:t>
      </w:r>
      <w:r w:rsidR="00E857CB">
        <w:rPr>
          <w:iCs/>
        </w:rPr>
        <w:t xml:space="preserve"> </w:t>
      </w:r>
      <w:r w:rsidRPr="00EE4A2A">
        <w:rPr>
          <w:iCs/>
        </w:rPr>
        <w:t>be appropriate</w:t>
      </w:r>
      <w:r w:rsidR="00373D4E">
        <w:rPr>
          <w:iCs/>
        </w:rPr>
        <w:t>, g</w:t>
      </w:r>
      <w:r w:rsidRPr="00EE4A2A">
        <w:rPr>
          <w:iCs/>
        </w:rPr>
        <w:t>iven the absence of requirements to meet or demonstrate objective response criteria to continue treatment</w:t>
      </w:r>
      <w:r w:rsidR="00373D4E">
        <w:rPr>
          <w:iCs/>
        </w:rPr>
        <w:t>.</w:t>
      </w:r>
      <w:r w:rsidR="009B09FA">
        <w:rPr>
          <w:iCs/>
        </w:rPr>
        <w:t xml:space="preserve"> </w:t>
      </w:r>
      <w:r w:rsidRPr="00EE4A2A">
        <w:rPr>
          <w:iCs/>
        </w:rPr>
        <w:t xml:space="preserve">Additionally, grandfathered patients </w:t>
      </w:r>
      <w:r w:rsidR="005D3D83">
        <w:rPr>
          <w:iCs/>
        </w:rPr>
        <w:t>would</w:t>
      </w:r>
      <w:r w:rsidRPr="00EE4A2A">
        <w:rPr>
          <w:iCs/>
        </w:rPr>
        <w:t xml:space="preserve"> qualify for PBS-subsidised treatment under the proposed restriction without any need for treatment interruption. </w:t>
      </w:r>
      <w:r w:rsidR="005D3D83">
        <w:rPr>
          <w:iCs/>
        </w:rPr>
        <w:t>A</w:t>
      </w:r>
      <w:r w:rsidRPr="00EE4A2A">
        <w:rPr>
          <w:iCs/>
        </w:rPr>
        <w:t xml:space="preserve"> maximum of 2 repeats would reflect clinical monitoring requirements for patients in this extended adjuvant phase of treatment.  </w:t>
      </w:r>
    </w:p>
    <w:p w:rsidR="00A67EE3" w:rsidRDefault="00207BDB" w:rsidP="00A84C29">
      <w:pPr>
        <w:pStyle w:val="ListParagraph"/>
        <w:widowControl/>
        <w:numPr>
          <w:ilvl w:val="1"/>
          <w:numId w:val="5"/>
        </w:numPr>
      </w:pPr>
      <w:r w:rsidRPr="00EF5B8F">
        <w:t xml:space="preserve">The ESC noted there were differences in the clinical algorithm, TGA indication, proposed PBS listing and the populations in the ExteNET trial. Table 2 compares these </w:t>
      </w:r>
      <w:r w:rsidR="00025B3F" w:rsidRPr="00EF5B8F">
        <w:t>differences.</w:t>
      </w:r>
    </w:p>
    <w:p w:rsidR="00A67EE3" w:rsidRDefault="00A67EE3">
      <w:pPr>
        <w:widowControl/>
        <w:jc w:val="left"/>
      </w:pPr>
      <w:r>
        <w:br w:type="page"/>
      </w:r>
    </w:p>
    <w:p w:rsidR="00207BDB" w:rsidRPr="00BB3215" w:rsidRDefault="00207BDB" w:rsidP="00025B3F">
      <w:pPr>
        <w:widowControl/>
      </w:pPr>
      <w:r w:rsidRPr="00BB3215">
        <w:rPr>
          <w:rFonts w:ascii="Arial Narrow" w:hAnsi="Arial Narrow"/>
          <w:b/>
          <w:sz w:val="20"/>
          <w:szCs w:val="20"/>
        </w:rPr>
        <w:lastRenderedPageBreak/>
        <w:t>Table 2: Summary of factors in the ExteNET trial versus the proposed PBS listing</w:t>
      </w:r>
    </w:p>
    <w:tbl>
      <w:tblPr>
        <w:tblStyle w:val="TableGrid"/>
        <w:tblW w:w="5000" w:type="pct"/>
        <w:tblLook w:val="04A0" w:firstRow="1" w:lastRow="0" w:firstColumn="1" w:lastColumn="0" w:noHBand="0" w:noVBand="1"/>
        <w:tblCaption w:val="Table 2: Summary of factors in the ExteNET trial versus the proposed PBS listing"/>
      </w:tblPr>
      <w:tblGrid>
        <w:gridCol w:w="2122"/>
        <w:gridCol w:w="1723"/>
        <w:gridCol w:w="1537"/>
        <w:gridCol w:w="1984"/>
        <w:gridCol w:w="1651"/>
      </w:tblGrid>
      <w:tr w:rsidR="00207BDB" w:rsidRPr="00BB3215" w:rsidTr="00741AA0">
        <w:trPr>
          <w:tblHeader/>
        </w:trPr>
        <w:tc>
          <w:tcPr>
            <w:tcW w:w="2122" w:type="dxa"/>
          </w:tcPr>
          <w:p w:rsidR="00207BDB" w:rsidRPr="00BB3215" w:rsidRDefault="00207BDB" w:rsidP="00025B3F">
            <w:pPr>
              <w:widowControl/>
              <w:rPr>
                <w:rFonts w:ascii="Arial Narrow" w:hAnsi="Arial Narrow"/>
                <w:sz w:val="20"/>
                <w:szCs w:val="20"/>
              </w:rPr>
            </w:pPr>
          </w:p>
        </w:tc>
        <w:tc>
          <w:tcPr>
            <w:tcW w:w="1723" w:type="dxa"/>
          </w:tcPr>
          <w:p w:rsidR="00207BDB" w:rsidRPr="00304970" w:rsidRDefault="00207BDB" w:rsidP="00025B3F">
            <w:pPr>
              <w:widowControl/>
              <w:rPr>
                <w:rFonts w:ascii="Arial Narrow" w:hAnsi="Arial Narrow"/>
                <w:b/>
                <w:sz w:val="20"/>
                <w:szCs w:val="20"/>
              </w:rPr>
            </w:pPr>
            <w:r w:rsidRPr="00304970">
              <w:rPr>
                <w:rFonts w:ascii="Arial Narrow" w:hAnsi="Arial Narrow"/>
                <w:b/>
                <w:sz w:val="20"/>
                <w:szCs w:val="20"/>
              </w:rPr>
              <w:t>Clinical algorithm</w:t>
            </w:r>
          </w:p>
        </w:tc>
        <w:tc>
          <w:tcPr>
            <w:tcW w:w="1537" w:type="dxa"/>
          </w:tcPr>
          <w:p w:rsidR="00207BDB" w:rsidRPr="00304970" w:rsidRDefault="00207BDB" w:rsidP="00025B3F">
            <w:pPr>
              <w:widowControl/>
              <w:rPr>
                <w:rFonts w:ascii="Arial Narrow" w:hAnsi="Arial Narrow"/>
                <w:b/>
                <w:sz w:val="20"/>
                <w:szCs w:val="20"/>
              </w:rPr>
            </w:pPr>
            <w:r w:rsidRPr="00304970">
              <w:rPr>
                <w:rFonts w:ascii="Arial Narrow" w:hAnsi="Arial Narrow"/>
                <w:b/>
                <w:sz w:val="20"/>
                <w:szCs w:val="20"/>
              </w:rPr>
              <w:t>TGA indication</w:t>
            </w:r>
          </w:p>
        </w:tc>
        <w:tc>
          <w:tcPr>
            <w:tcW w:w="1984" w:type="dxa"/>
          </w:tcPr>
          <w:p w:rsidR="00207BDB" w:rsidRPr="00304970" w:rsidRDefault="00207BDB" w:rsidP="00025B3F">
            <w:pPr>
              <w:widowControl/>
              <w:rPr>
                <w:rFonts w:ascii="Arial Narrow" w:hAnsi="Arial Narrow"/>
                <w:b/>
                <w:sz w:val="20"/>
                <w:szCs w:val="20"/>
              </w:rPr>
            </w:pPr>
            <w:r w:rsidRPr="00304970">
              <w:rPr>
                <w:rFonts w:ascii="Arial Narrow" w:hAnsi="Arial Narrow"/>
                <w:b/>
                <w:sz w:val="20"/>
                <w:szCs w:val="20"/>
              </w:rPr>
              <w:t>Proposed restriction</w:t>
            </w:r>
          </w:p>
        </w:tc>
        <w:tc>
          <w:tcPr>
            <w:tcW w:w="1651" w:type="dxa"/>
          </w:tcPr>
          <w:p w:rsidR="00207BDB" w:rsidRPr="00304970" w:rsidRDefault="00207BDB" w:rsidP="00025B3F">
            <w:pPr>
              <w:widowControl/>
              <w:rPr>
                <w:rFonts w:ascii="Arial Narrow" w:hAnsi="Arial Narrow"/>
                <w:b/>
                <w:sz w:val="20"/>
                <w:szCs w:val="20"/>
              </w:rPr>
            </w:pPr>
            <w:r w:rsidRPr="00304970">
              <w:rPr>
                <w:rFonts w:ascii="Arial Narrow" w:hAnsi="Arial Narrow"/>
                <w:b/>
                <w:sz w:val="20"/>
                <w:szCs w:val="20"/>
              </w:rPr>
              <w:t>ExteNET trial</w:t>
            </w:r>
          </w:p>
        </w:tc>
      </w:tr>
      <w:tr w:rsidR="00207BDB" w:rsidRPr="00BB3215" w:rsidTr="00D00BEF">
        <w:tc>
          <w:tcPr>
            <w:tcW w:w="9017" w:type="dxa"/>
            <w:gridSpan w:val="5"/>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Prior neoadjuvant</w:t>
            </w:r>
            <w:r>
              <w:rPr>
                <w:rFonts w:ascii="Arial Narrow" w:hAnsi="Arial Narrow"/>
                <w:sz w:val="20"/>
                <w:szCs w:val="20"/>
              </w:rPr>
              <w:t xml:space="preserve"> treatment</w:t>
            </w:r>
          </w:p>
        </w:tc>
      </w:tr>
      <w:tr w:rsidR="00207BDB" w:rsidRPr="00BB3215" w:rsidTr="00D00BEF">
        <w:tc>
          <w:tcPr>
            <w:tcW w:w="2122" w:type="dxa"/>
          </w:tcPr>
          <w:p w:rsidR="00207BDB" w:rsidRPr="00BB3215" w:rsidRDefault="00207BDB" w:rsidP="00025B3F">
            <w:pPr>
              <w:widowControl/>
              <w:jc w:val="left"/>
              <w:rPr>
                <w:rFonts w:ascii="Arial Narrow" w:hAnsi="Arial Narrow"/>
                <w:sz w:val="20"/>
                <w:szCs w:val="20"/>
              </w:rPr>
            </w:pPr>
            <w:r w:rsidRPr="00BB3215">
              <w:rPr>
                <w:rFonts w:ascii="Arial Narrow" w:hAnsi="Arial Narrow"/>
                <w:sz w:val="20"/>
                <w:szCs w:val="20"/>
              </w:rPr>
              <w:t xml:space="preserve">   Residual disease</w:t>
            </w:r>
          </w:p>
        </w:tc>
        <w:tc>
          <w:tcPr>
            <w:tcW w:w="1723"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No</w:t>
            </w:r>
          </w:p>
        </w:tc>
        <w:tc>
          <w:tcPr>
            <w:tcW w:w="1537"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984"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 (HR+ only)</w:t>
            </w:r>
          </w:p>
        </w:tc>
        <w:tc>
          <w:tcPr>
            <w:tcW w:w="1651"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r>
      <w:tr w:rsidR="00207BDB" w:rsidRPr="00BB3215" w:rsidTr="00D00BEF">
        <w:tc>
          <w:tcPr>
            <w:tcW w:w="2122" w:type="dxa"/>
          </w:tcPr>
          <w:p w:rsidR="00207BDB" w:rsidRPr="00BB3215" w:rsidRDefault="00207BDB" w:rsidP="00025B3F">
            <w:pPr>
              <w:widowControl/>
              <w:jc w:val="left"/>
              <w:rPr>
                <w:rFonts w:ascii="Arial Narrow" w:hAnsi="Arial Narrow"/>
                <w:sz w:val="20"/>
                <w:szCs w:val="20"/>
              </w:rPr>
            </w:pPr>
            <w:r w:rsidRPr="00BB3215">
              <w:rPr>
                <w:rFonts w:ascii="Arial Narrow" w:hAnsi="Arial Narrow"/>
                <w:sz w:val="20"/>
                <w:szCs w:val="20"/>
              </w:rPr>
              <w:t xml:space="preserve">   pCR</w:t>
            </w:r>
          </w:p>
        </w:tc>
        <w:tc>
          <w:tcPr>
            <w:tcW w:w="1723" w:type="dxa"/>
          </w:tcPr>
          <w:p w:rsidR="00207BDB" w:rsidRPr="00BB3215" w:rsidRDefault="00207BDB" w:rsidP="00025B3F">
            <w:pPr>
              <w:widowControl/>
              <w:rPr>
                <w:rFonts w:ascii="Arial Narrow" w:hAnsi="Arial Narrow"/>
                <w:sz w:val="20"/>
                <w:szCs w:val="20"/>
              </w:rPr>
            </w:pPr>
          </w:p>
        </w:tc>
        <w:tc>
          <w:tcPr>
            <w:tcW w:w="1537" w:type="dxa"/>
          </w:tcPr>
          <w:p w:rsidR="00207BDB" w:rsidRPr="00BB3215" w:rsidRDefault="00207BDB" w:rsidP="00025B3F">
            <w:pPr>
              <w:widowControl/>
              <w:rPr>
                <w:rFonts w:ascii="Arial Narrow" w:hAnsi="Arial Narrow"/>
                <w:sz w:val="20"/>
                <w:szCs w:val="20"/>
              </w:rPr>
            </w:pPr>
          </w:p>
        </w:tc>
        <w:tc>
          <w:tcPr>
            <w:tcW w:w="1984" w:type="dxa"/>
          </w:tcPr>
          <w:p w:rsidR="00207BDB" w:rsidRPr="00BB3215" w:rsidRDefault="00207BDB" w:rsidP="00025B3F">
            <w:pPr>
              <w:widowControl/>
              <w:rPr>
                <w:rFonts w:ascii="Arial Narrow" w:hAnsi="Arial Narrow"/>
                <w:sz w:val="20"/>
                <w:szCs w:val="20"/>
              </w:rPr>
            </w:pPr>
          </w:p>
        </w:tc>
        <w:tc>
          <w:tcPr>
            <w:tcW w:w="1651" w:type="dxa"/>
          </w:tcPr>
          <w:p w:rsidR="00207BDB" w:rsidRPr="00BB3215" w:rsidRDefault="00207BDB" w:rsidP="00025B3F">
            <w:pPr>
              <w:widowControl/>
              <w:rPr>
                <w:rFonts w:ascii="Arial Narrow" w:hAnsi="Arial Narrow"/>
                <w:sz w:val="20"/>
                <w:szCs w:val="20"/>
              </w:rPr>
            </w:pPr>
          </w:p>
        </w:tc>
      </w:tr>
      <w:tr w:rsidR="00207BDB" w:rsidRPr="00BB3215" w:rsidTr="00D00BEF">
        <w:tc>
          <w:tcPr>
            <w:tcW w:w="2122" w:type="dxa"/>
          </w:tcPr>
          <w:p w:rsidR="00207BDB" w:rsidRPr="00BB3215" w:rsidRDefault="00207BDB" w:rsidP="00025B3F">
            <w:pPr>
              <w:widowControl/>
              <w:jc w:val="right"/>
              <w:rPr>
                <w:rFonts w:ascii="Arial Narrow" w:hAnsi="Arial Narrow"/>
                <w:sz w:val="20"/>
                <w:szCs w:val="20"/>
              </w:rPr>
            </w:pPr>
            <w:r w:rsidRPr="00BB3215">
              <w:rPr>
                <w:rFonts w:ascii="Arial Narrow" w:hAnsi="Arial Narrow"/>
                <w:sz w:val="20"/>
                <w:szCs w:val="20"/>
              </w:rPr>
              <w:t>HR+</w:t>
            </w:r>
          </w:p>
        </w:tc>
        <w:tc>
          <w:tcPr>
            <w:tcW w:w="1723"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537"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984"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651"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 xml:space="preserve">No </w:t>
            </w:r>
          </w:p>
        </w:tc>
      </w:tr>
      <w:tr w:rsidR="00207BDB" w:rsidRPr="00BB3215" w:rsidTr="00D00BEF">
        <w:tc>
          <w:tcPr>
            <w:tcW w:w="2122" w:type="dxa"/>
          </w:tcPr>
          <w:p w:rsidR="00207BDB" w:rsidRPr="00BB3215" w:rsidRDefault="00207BDB" w:rsidP="00025B3F">
            <w:pPr>
              <w:widowControl/>
              <w:jc w:val="right"/>
              <w:rPr>
                <w:rFonts w:ascii="Arial Narrow" w:hAnsi="Arial Narrow"/>
                <w:sz w:val="20"/>
                <w:szCs w:val="20"/>
              </w:rPr>
            </w:pPr>
            <w:r w:rsidRPr="00BB3215">
              <w:rPr>
                <w:rFonts w:ascii="Arial Narrow" w:hAnsi="Arial Narrow"/>
                <w:sz w:val="20"/>
                <w:szCs w:val="20"/>
              </w:rPr>
              <w:t>HR-</w:t>
            </w:r>
          </w:p>
        </w:tc>
        <w:tc>
          <w:tcPr>
            <w:tcW w:w="1723"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No</w:t>
            </w:r>
          </w:p>
        </w:tc>
        <w:tc>
          <w:tcPr>
            <w:tcW w:w="1537"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984"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No</w:t>
            </w:r>
          </w:p>
        </w:tc>
        <w:tc>
          <w:tcPr>
            <w:tcW w:w="1651"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No</w:t>
            </w:r>
          </w:p>
        </w:tc>
      </w:tr>
      <w:tr w:rsidR="00207BDB" w:rsidRPr="00BB3215" w:rsidTr="00D00BEF">
        <w:tc>
          <w:tcPr>
            <w:tcW w:w="9017" w:type="dxa"/>
            <w:gridSpan w:val="5"/>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 xml:space="preserve">Adjuvant </w:t>
            </w:r>
            <w:r>
              <w:rPr>
                <w:rFonts w:ascii="Arial Narrow" w:hAnsi="Arial Narrow"/>
                <w:sz w:val="20"/>
                <w:szCs w:val="20"/>
              </w:rPr>
              <w:t xml:space="preserve">treatment </w:t>
            </w:r>
            <w:r w:rsidRPr="00BB3215">
              <w:rPr>
                <w:rFonts w:ascii="Arial Narrow" w:hAnsi="Arial Narrow"/>
                <w:sz w:val="20"/>
                <w:szCs w:val="20"/>
              </w:rPr>
              <w:t>only</w:t>
            </w:r>
          </w:p>
        </w:tc>
      </w:tr>
      <w:tr w:rsidR="00207BDB" w:rsidRPr="00BB3215" w:rsidTr="00D00BEF">
        <w:tc>
          <w:tcPr>
            <w:tcW w:w="2122" w:type="dxa"/>
          </w:tcPr>
          <w:p w:rsidR="00207BDB" w:rsidRPr="00BB3215" w:rsidRDefault="00207BDB" w:rsidP="00025B3F">
            <w:pPr>
              <w:widowControl/>
              <w:jc w:val="right"/>
              <w:rPr>
                <w:rFonts w:ascii="Arial Narrow" w:hAnsi="Arial Narrow"/>
                <w:sz w:val="20"/>
                <w:szCs w:val="20"/>
              </w:rPr>
            </w:pPr>
            <w:r w:rsidRPr="00BB3215">
              <w:rPr>
                <w:rFonts w:ascii="Arial Narrow" w:hAnsi="Arial Narrow"/>
                <w:sz w:val="20"/>
                <w:szCs w:val="20"/>
              </w:rPr>
              <w:t>HR+</w:t>
            </w:r>
          </w:p>
        </w:tc>
        <w:tc>
          <w:tcPr>
            <w:tcW w:w="1723"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537"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984"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651"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r>
      <w:tr w:rsidR="00207BDB" w:rsidRPr="00BB3215" w:rsidTr="00D00BEF">
        <w:tc>
          <w:tcPr>
            <w:tcW w:w="2122" w:type="dxa"/>
          </w:tcPr>
          <w:p w:rsidR="00207BDB" w:rsidRPr="00BB3215" w:rsidRDefault="00207BDB" w:rsidP="00025B3F">
            <w:pPr>
              <w:widowControl/>
              <w:jc w:val="right"/>
              <w:rPr>
                <w:rFonts w:ascii="Arial Narrow" w:hAnsi="Arial Narrow"/>
                <w:sz w:val="20"/>
                <w:szCs w:val="20"/>
              </w:rPr>
            </w:pPr>
            <w:r w:rsidRPr="00BB3215">
              <w:rPr>
                <w:rFonts w:ascii="Arial Narrow" w:hAnsi="Arial Narrow"/>
                <w:sz w:val="20"/>
                <w:szCs w:val="20"/>
              </w:rPr>
              <w:t>HR-</w:t>
            </w:r>
          </w:p>
        </w:tc>
        <w:tc>
          <w:tcPr>
            <w:tcW w:w="1723"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No</w:t>
            </w:r>
          </w:p>
        </w:tc>
        <w:tc>
          <w:tcPr>
            <w:tcW w:w="1537"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c>
          <w:tcPr>
            <w:tcW w:w="1984"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No</w:t>
            </w:r>
          </w:p>
        </w:tc>
        <w:tc>
          <w:tcPr>
            <w:tcW w:w="1651" w:type="dxa"/>
          </w:tcPr>
          <w:p w:rsidR="00207BDB" w:rsidRPr="00BB3215" w:rsidRDefault="00207BDB" w:rsidP="00025B3F">
            <w:pPr>
              <w:widowControl/>
              <w:rPr>
                <w:rFonts w:ascii="Arial Narrow" w:hAnsi="Arial Narrow"/>
                <w:sz w:val="20"/>
                <w:szCs w:val="20"/>
              </w:rPr>
            </w:pPr>
            <w:r w:rsidRPr="00BB3215">
              <w:rPr>
                <w:rFonts w:ascii="Arial Narrow" w:hAnsi="Arial Narrow"/>
                <w:sz w:val="20"/>
                <w:szCs w:val="20"/>
              </w:rPr>
              <w:t>Yes</w:t>
            </w:r>
          </w:p>
        </w:tc>
      </w:tr>
    </w:tbl>
    <w:p w:rsidR="00207BDB" w:rsidRPr="00BB3215" w:rsidRDefault="00207BDB" w:rsidP="00025B3F">
      <w:pPr>
        <w:widowControl/>
        <w:rPr>
          <w:rFonts w:ascii="Arial Narrow" w:hAnsi="Arial Narrow"/>
          <w:sz w:val="18"/>
          <w:szCs w:val="16"/>
        </w:rPr>
      </w:pPr>
      <w:r w:rsidRPr="00BB3215">
        <w:rPr>
          <w:rFonts w:ascii="Arial Narrow" w:hAnsi="Arial Narrow"/>
          <w:sz w:val="18"/>
          <w:szCs w:val="16"/>
        </w:rPr>
        <w:t>pCR: Pathological Complete Response; HR+: hormone receptor positive; HR-: hormone receptor negative</w:t>
      </w:r>
    </w:p>
    <w:p w:rsidR="00207BDB" w:rsidRPr="00BB3215" w:rsidRDefault="00207BDB" w:rsidP="00025B3F">
      <w:pPr>
        <w:widowControl/>
        <w:rPr>
          <w:rFonts w:ascii="Arial Narrow" w:hAnsi="Arial Narrow"/>
          <w:sz w:val="18"/>
          <w:szCs w:val="16"/>
        </w:rPr>
      </w:pPr>
      <w:r w:rsidRPr="00BB3215">
        <w:rPr>
          <w:rFonts w:ascii="Arial Narrow" w:hAnsi="Arial Narrow"/>
          <w:sz w:val="18"/>
          <w:szCs w:val="16"/>
        </w:rPr>
        <w:t xml:space="preserve">Complied during the evaluation </w:t>
      </w:r>
    </w:p>
    <w:p w:rsidR="004B4968" w:rsidRPr="00EF5B8F" w:rsidRDefault="007B5962" w:rsidP="00A84C29">
      <w:pPr>
        <w:pStyle w:val="ListParagraph"/>
        <w:widowControl/>
        <w:numPr>
          <w:ilvl w:val="1"/>
          <w:numId w:val="5"/>
        </w:numPr>
        <w:spacing w:before="120"/>
      </w:pPr>
      <w:r w:rsidRPr="00EF5B8F">
        <w:rPr>
          <w:iCs/>
        </w:rPr>
        <w:t xml:space="preserve">The proposed PBS indication only included patients with HR+ disease. This is not consistent with the ExteNET trial (ITT and amended intend to treat (aITT) population) </w:t>
      </w:r>
      <w:r w:rsidR="00304970" w:rsidRPr="00EF5B8F">
        <w:rPr>
          <w:iCs/>
        </w:rPr>
        <w:t xml:space="preserve">or the TGA indication </w:t>
      </w:r>
      <w:r w:rsidRPr="00EF5B8F">
        <w:rPr>
          <w:iCs/>
        </w:rPr>
        <w:t xml:space="preserve">which include patients with both HR+ and HR- disease. </w:t>
      </w:r>
    </w:p>
    <w:p w:rsidR="00741AA0" w:rsidRDefault="00CE6312" w:rsidP="00A84C29">
      <w:pPr>
        <w:pStyle w:val="ListParagraph"/>
        <w:widowControl/>
        <w:numPr>
          <w:ilvl w:val="1"/>
          <w:numId w:val="5"/>
        </w:numPr>
      </w:pPr>
      <w:r w:rsidRPr="00EF5B8F">
        <w:t>The requested restriction was not consistent with the clinical algorithm presented</w:t>
      </w:r>
      <w:r w:rsidR="00373D4E">
        <w:t>, in that patients with residual disease following neoadjuvant treatment are expected to be treated with T-DM1</w:t>
      </w:r>
      <w:r w:rsidR="003F4DB0">
        <w:t xml:space="preserve"> but are not excluded under the proposed restriction</w:t>
      </w:r>
      <w:r w:rsidRPr="00EF5B8F">
        <w:t>.</w:t>
      </w:r>
      <w:r w:rsidR="00373D4E">
        <w:t xml:space="preserve"> The requested restriction was not consistent with the </w:t>
      </w:r>
      <w:r w:rsidR="003F4DB0">
        <w:t xml:space="preserve">population in the </w:t>
      </w:r>
      <w:r w:rsidR="00373D4E">
        <w:t>ExteNET trial, in that patients with pCR following neoadjuvant treatment</w:t>
      </w:r>
      <w:r w:rsidR="00902577">
        <w:t xml:space="preserve"> and patients with node negative stage 1 disease</w:t>
      </w:r>
      <w:r w:rsidR="00373D4E">
        <w:t xml:space="preserve"> were excluded after protocol amendment 3 but </w:t>
      </w:r>
      <w:r w:rsidR="003F4DB0">
        <w:t>are</w:t>
      </w:r>
      <w:r w:rsidR="00373D4E">
        <w:t xml:space="preserve"> </w:t>
      </w:r>
      <w:r w:rsidR="003F4DB0">
        <w:t>not excluded from treatment under the proposed restriction.</w:t>
      </w:r>
    </w:p>
    <w:p w:rsidR="004B4968" w:rsidRPr="00EF5B8F" w:rsidRDefault="00741AA0" w:rsidP="00A84C29">
      <w:pPr>
        <w:pStyle w:val="ListParagraph"/>
        <w:widowControl/>
        <w:numPr>
          <w:ilvl w:val="1"/>
          <w:numId w:val="5"/>
        </w:numPr>
      </w:pPr>
      <w:r>
        <w:t xml:space="preserve"> </w:t>
      </w:r>
      <w:r w:rsidR="00FE2319">
        <w:t xml:space="preserve">The resubmission included a revised clinical management algorithm incorporating the likely clinical place of emerging therapies pertuzumab and T-DM1. </w:t>
      </w:r>
      <w:r w:rsidR="004B4968" w:rsidRPr="00EF5B8F">
        <w:t xml:space="preserve">The resubmission </w:t>
      </w:r>
      <w:r w:rsidR="00FE2319">
        <w:t xml:space="preserve">also </w:t>
      </w:r>
      <w:r w:rsidR="004A2887" w:rsidRPr="00EF5B8F">
        <w:t>claimed</w:t>
      </w:r>
      <w:r w:rsidR="004B4968" w:rsidRPr="00EF5B8F">
        <w:t xml:space="preserve"> that patients unable to tolerate T-DM1 or pertuzumab would discontinue treatment </w:t>
      </w:r>
      <w:r w:rsidR="005D3D83">
        <w:t xml:space="preserve">without completing a full treatment course </w:t>
      </w:r>
      <w:r w:rsidR="004B4968" w:rsidRPr="00EF5B8F">
        <w:t>and would continue treatment with trastuzumab alone. T-DM1 and pertuzumab are currently not listed on the PBS for the treatment of HER2+, eBC. However, the resubmission stated that ‘should these agents be listed on the PBS in future, the wording of the neratinib restriction should not preclude its use by these patients who have needed to discontinue adjuvant T-DM1 or pertuzumab’</w:t>
      </w:r>
      <w:r w:rsidR="00205AF2" w:rsidRPr="00EF5B8F">
        <w:t xml:space="preserve"> </w:t>
      </w:r>
      <w:r w:rsidR="00205AF2" w:rsidRPr="00EF5B8F">
        <w:rPr>
          <w:rFonts w:cs="Calibri"/>
          <w:iCs/>
          <w:lang w:eastAsia="en-AU"/>
        </w:rPr>
        <w:t>(p67 of the resubmission)</w:t>
      </w:r>
      <w:r w:rsidR="004B4968" w:rsidRPr="00EF5B8F">
        <w:t xml:space="preserve">. </w:t>
      </w:r>
      <w:r w:rsidR="004B4968" w:rsidRPr="00EF5B8F">
        <w:rPr>
          <w:iCs/>
        </w:rPr>
        <w:t xml:space="preserve">The </w:t>
      </w:r>
      <w:r w:rsidR="00982987" w:rsidRPr="00EF5B8F">
        <w:rPr>
          <w:iCs/>
        </w:rPr>
        <w:t>ESC considered that this was problematic</w:t>
      </w:r>
      <w:r w:rsidR="004B4968" w:rsidRPr="00EF5B8F">
        <w:rPr>
          <w:iCs/>
        </w:rPr>
        <w:t xml:space="preserve"> given that there is no clinical evidence of the effectiveness and safety of switching treatment from T-DM1/pertuzumab to trastuzumab for less than 12 months and followed with </w:t>
      </w:r>
      <w:r w:rsidR="000F3017" w:rsidRPr="00EF5B8F">
        <w:t>neratinib</w:t>
      </w:r>
      <w:r w:rsidR="004B4968" w:rsidRPr="00EF5B8F">
        <w:rPr>
          <w:iCs/>
        </w:rPr>
        <w:t>.</w:t>
      </w:r>
      <w:r w:rsidR="005D669C" w:rsidRPr="00EF5B8F">
        <w:rPr>
          <w:iCs/>
        </w:rPr>
        <w:t xml:space="preserve"> </w:t>
      </w:r>
    </w:p>
    <w:p w:rsidR="004B4968" w:rsidRPr="00693849" w:rsidRDefault="004B4968" w:rsidP="00A84C29">
      <w:pPr>
        <w:pStyle w:val="ListParagraph"/>
        <w:widowControl/>
        <w:numPr>
          <w:ilvl w:val="1"/>
          <w:numId w:val="5"/>
        </w:numPr>
      </w:pPr>
      <w:r w:rsidRPr="00B22AD5">
        <w:t xml:space="preserve">The resubmission </w:t>
      </w:r>
      <w:r w:rsidR="004A2887" w:rsidRPr="00B22AD5">
        <w:t>noted</w:t>
      </w:r>
      <w:r w:rsidRPr="00B22AD5">
        <w:t xml:space="preserve"> that the Nerlynx Access Program (NAP) commenced in September 2018 and estimated that approximately 509 patients will be initiated through grandfathering if neratinib was listed on the PBS in 2020 Q2.</w:t>
      </w:r>
      <w:r w:rsidR="00527582">
        <w:t xml:space="preserve"> The Pre-PBAC response noted that 158 oncologists have prescribed neratinib for almost 300 patients on the NAP.</w:t>
      </w:r>
      <w:r w:rsidRPr="00B22AD5">
        <w:t xml:space="preserve"> </w:t>
      </w:r>
      <w:r w:rsidRPr="00B22AD5">
        <w:rPr>
          <w:iCs/>
        </w:rPr>
        <w:t>The original submission estimated 120 to 180 patients would be initiated through grandfathering.</w:t>
      </w:r>
    </w:p>
    <w:p w:rsidR="00693849" w:rsidRPr="00EF5B8F" w:rsidRDefault="00693849" w:rsidP="00A84C29">
      <w:pPr>
        <w:pStyle w:val="ListParagraph"/>
        <w:widowControl/>
        <w:numPr>
          <w:ilvl w:val="1"/>
          <w:numId w:val="5"/>
        </w:numPr>
      </w:pPr>
      <w:r w:rsidRPr="00EF5B8F">
        <w:rPr>
          <w:iCs/>
        </w:rPr>
        <w:t xml:space="preserve">The ESC noted the ExteNET trial included patients who were </w:t>
      </w:r>
      <w:r w:rsidR="008A6309" w:rsidRPr="00EF5B8F">
        <w:rPr>
          <w:iCs/>
        </w:rPr>
        <w:t>immunohistochemistry (</w:t>
      </w:r>
      <w:r w:rsidRPr="00EF5B8F">
        <w:rPr>
          <w:iCs/>
        </w:rPr>
        <w:t>IHC3+</w:t>
      </w:r>
      <w:r w:rsidR="008A6309" w:rsidRPr="00EF5B8F">
        <w:rPr>
          <w:iCs/>
        </w:rPr>
        <w:t>)</w:t>
      </w:r>
      <w:r w:rsidRPr="00EF5B8F">
        <w:rPr>
          <w:iCs/>
        </w:rPr>
        <w:t xml:space="preserve"> or </w:t>
      </w:r>
      <w:r w:rsidR="008A6309" w:rsidRPr="00EF5B8F">
        <w:rPr>
          <w:rFonts w:asciiTheme="minorHAnsi" w:hAnsiTheme="minorHAnsi" w:cstheme="minorHAnsi"/>
        </w:rPr>
        <w:t xml:space="preserve">in situ hybridization </w:t>
      </w:r>
      <w:r w:rsidR="008A6309" w:rsidRPr="00EF5B8F">
        <w:rPr>
          <w:iCs/>
        </w:rPr>
        <w:t>(</w:t>
      </w:r>
      <w:r w:rsidRPr="00EF5B8F">
        <w:rPr>
          <w:iCs/>
        </w:rPr>
        <w:t>ISH+</w:t>
      </w:r>
      <w:r w:rsidR="008A6309" w:rsidRPr="00EF5B8F">
        <w:rPr>
          <w:iCs/>
        </w:rPr>
        <w:t>) for HER2</w:t>
      </w:r>
      <w:r w:rsidRPr="00EF5B8F">
        <w:rPr>
          <w:iCs/>
        </w:rPr>
        <w:t xml:space="preserve">. However, in the Australia population, </w:t>
      </w:r>
      <w:r w:rsidRPr="00EF5B8F">
        <w:rPr>
          <w:iCs/>
        </w:rPr>
        <w:lastRenderedPageBreak/>
        <w:t>trastuzumab (for eBC) is reimbursed under the condition of patients having completed only ISH test.</w:t>
      </w:r>
    </w:p>
    <w:p w:rsidR="004B4968" w:rsidRDefault="004B4968" w:rsidP="00A84C29">
      <w:pPr>
        <w:pStyle w:val="ListParagraph"/>
        <w:widowControl/>
        <w:numPr>
          <w:ilvl w:val="1"/>
          <w:numId w:val="5"/>
        </w:numPr>
        <w:rPr>
          <w:iCs/>
        </w:rPr>
      </w:pPr>
      <w:r w:rsidRPr="00B22AD5">
        <w:rPr>
          <w:iCs/>
        </w:rPr>
        <w:t xml:space="preserve">The resubmission proposed a higher </w:t>
      </w:r>
      <w:r w:rsidR="00221556" w:rsidRPr="00B22AD5">
        <w:rPr>
          <w:iCs/>
        </w:rPr>
        <w:t>dispensed</w:t>
      </w:r>
      <w:r w:rsidRPr="00B22AD5">
        <w:rPr>
          <w:iCs/>
        </w:rPr>
        <w:t xml:space="preserve"> price ($</w:t>
      </w:r>
      <w:r w:rsidR="00152B62">
        <w:rPr>
          <w:iCs/>
          <w:noProof/>
          <w:color w:val="000000"/>
          <w:highlight w:val="black"/>
        </w:rPr>
        <w:t>'''''''''''''''</w:t>
      </w:r>
      <w:r w:rsidRPr="00B22AD5">
        <w:rPr>
          <w:iCs/>
        </w:rPr>
        <w:t>) compared with the original submission ($</w:t>
      </w:r>
      <w:r w:rsidR="00152B62">
        <w:rPr>
          <w:iCs/>
          <w:noProof/>
          <w:color w:val="000000"/>
          <w:highlight w:val="black"/>
        </w:rPr>
        <w:t>'''''''''''''''''</w:t>
      </w:r>
      <w:r w:rsidRPr="00B22AD5">
        <w:rPr>
          <w:iCs/>
        </w:rPr>
        <w:t>).</w:t>
      </w:r>
      <w:r w:rsidR="001B2F8B">
        <w:rPr>
          <w:iCs/>
        </w:rPr>
        <w:t xml:space="preserve"> </w:t>
      </w:r>
    </w:p>
    <w:p w:rsidR="004B4968" w:rsidRPr="008472BF" w:rsidRDefault="00961918" w:rsidP="008472BF">
      <w:pPr>
        <w:pStyle w:val="ListParagraph"/>
        <w:widowControl/>
        <w:rPr>
          <w:iCs/>
        </w:rPr>
      </w:pPr>
      <w:r w:rsidRPr="00525B39">
        <w:rPr>
          <w:rFonts w:asciiTheme="minorHAnsi" w:hAnsiTheme="minorHAnsi"/>
          <w:i/>
        </w:rPr>
        <w:t>For more detail on PBAC’s view, see section 7 PBAC outcome.</w:t>
      </w:r>
    </w:p>
    <w:p w:rsidR="003B568E" w:rsidRPr="008472BF" w:rsidRDefault="004B4968" w:rsidP="00025B3F">
      <w:pPr>
        <w:pStyle w:val="PBACHeading1"/>
        <w:keepNext/>
        <w:numPr>
          <w:ilvl w:val="0"/>
          <w:numId w:val="5"/>
        </w:numPr>
        <w:spacing w:before="240" w:after="120"/>
        <w:outlineLvl w:val="0"/>
      </w:pPr>
      <w:bookmarkStart w:id="8" w:name="_Toc18935804"/>
      <w:r w:rsidRPr="00BB3215">
        <w:t>Background</w:t>
      </w:r>
      <w:bookmarkEnd w:id="8"/>
    </w:p>
    <w:p w:rsidR="004B4968" w:rsidRPr="00BB3215" w:rsidRDefault="004B4968" w:rsidP="00025B3F">
      <w:pPr>
        <w:widowControl/>
        <w:rPr>
          <w:b/>
          <w:i/>
          <w:sz w:val="28"/>
          <w:szCs w:val="28"/>
        </w:rPr>
      </w:pPr>
      <w:r w:rsidRPr="00BB3215">
        <w:rPr>
          <w:b/>
          <w:i/>
          <w:sz w:val="28"/>
          <w:szCs w:val="28"/>
        </w:rPr>
        <w:t>Registration status</w:t>
      </w:r>
    </w:p>
    <w:p w:rsidR="004B4968" w:rsidRPr="00BB3215" w:rsidRDefault="004B4968" w:rsidP="00025B3F">
      <w:pPr>
        <w:widowControl/>
      </w:pPr>
    </w:p>
    <w:p w:rsidR="004B4968" w:rsidRPr="00BB3215" w:rsidRDefault="004B4968" w:rsidP="00A84C29">
      <w:pPr>
        <w:pStyle w:val="ListParagraph"/>
        <w:widowControl/>
        <w:numPr>
          <w:ilvl w:val="1"/>
          <w:numId w:val="5"/>
        </w:numPr>
      </w:pPr>
      <w:r w:rsidRPr="00BB3215">
        <w:t>The original submission was made under TGA/PBAC Parallel Process. The TGA Clinical Evaluation Report (Round 1) was available at the time of consideration by the PBAC in March 2019.</w:t>
      </w:r>
    </w:p>
    <w:p w:rsidR="004B4968" w:rsidRPr="00BB3215" w:rsidRDefault="004B4968" w:rsidP="00A84C29">
      <w:pPr>
        <w:pStyle w:val="ListParagraph"/>
        <w:widowControl/>
        <w:numPr>
          <w:ilvl w:val="1"/>
          <w:numId w:val="5"/>
        </w:numPr>
      </w:pPr>
      <w:r w:rsidRPr="00BB3215">
        <w:t>Neratinib was approved by the TGA on 14th March 2019 for the following indication:</w:t>
      </w:r>
    </w:p>
    <w:p w:rsidR="004B4968" w:rsidRPr="00BB3215" w:rsidRDefault="004B4968" w:rsidP="00025B3F">
      <w:pPr>
        <w:pStyle w:val="ListParagraph"/>
        <w:widowControl/>
      </w:pPr>
      <w:r w:rsidRPr="00BB3215">
        <w:t>Neratinib is indicated for the extended adjuvant treatment of adult patients with early-stage HER-2- overexpressed/amplified breast cancer, to follow adjuvant trastuzumab based therapy.</w:t>
      </w:r>
    </w:p>
    <w:p w:rsidR="00D117BB" w:rsidRDefault="00D117BB" w:rsidP="00025B3F">
      <w:pPr>
        <w:widowControl/>
        <w:rPr>
          <w:b/>
          <w:i/>
          <w:sz w:val="28"/>
          <w:szCs w:val="28"/>
        </w:rPr>
      </w:pPr>
    </w:p>
    <w:p w:rsidR="004B4968" w:rsidRPr="00BB3215" w:rsidRDefault="004B4968" w:rsidP="00025B3F">
      <w:pPr>
        <w:widowControl/>
        <w:rPr>
          <w:b/>
          <w:i/>
          <w:sz w:val="28"/>
          <w:szCs w:val="28"/>
        </w:rPr>
      </w:pPr>
      <w:r w:rsidRPr="00BB3215">
        <w:rPr>
          <w:b/>
          <w:i/>
          <w:sz w:val="28"/>
          <w:szCs w:val="28"/>
        </w:rPr>
        <w:t>Previous PBAC consideration</w:t>
      </w:r>
    </w:p>
    <w:p w:rsidR="004B4968" w:rsidRPr="00BB3215" w:rsidRDefault="004B4968" w:rsidP="00025B3F">
      <w:pPr>
        <w:widowControl/>
      </w:pPr>
    </w:p>
    <w:p w:rsidR="004B4968" w:rsidRPr="00EF5B8F" w:rsidRDefault="004B4968" w:rsidP="00A84C29">
      <w:pPr>
        <w:pStyle w:val="ListParagraph"/>
        <w:widowControl/>
        <w:numPr>
          <w:ilvl w:val="1"/>
          <w:numId w:val="5"/>
        </w:numPr>
      </w:pPr>
      <w:r w:rsidRPr="00EF5B8F">
        <w:rPr>
          <w:rFonts w:cs="Calibri"/>
          <w:snapToGrid/>
          <w:szCs w:val="24"/>
          <w:lang w:eastAsia="en-AU"/>
        </w:rPr>
        <w:t xml:space="preserve">The PBAC previously considered neratinib </w:t>
      </w:r>
      <w:r w:rsidR="001123BF">
        <w:rPr>
          <w:rFonts w:cs="Calibri"/>
          <w:snapToGrid/>
          <w:szCs w:val="24"/>
          <w:lang w:eastAsia="en-AU"/>
        </w:rPr>
        <w:t>at its</w:t>
      </w:r>
      <w:r w:rsidRPr="00EF5B8F">
        <w:rPr>
          <w:rFonts w:cs="Calibri"/>
          <w:snapToGrid/>
          <w:szCs w:val="24"/>
          <w:lang w:eastAsia="en-AU"/>
        </w:rPr>
        <w:t xml:space="preserve"> March 2019 meeting and did not recommend the listing of neratinib for </w:t>
      </w:r>
      <w:r w:rsidR="001123BF">
        <w:rPr>
          <w:rFonts w:cs="Calibri"/>
          <w:snapToGrid/>
          <w:szCs w:val="24"/>
          <w:lang w:eastAsia="en-AU"/>
        </w:rPr>
        <w:t xml:space="preserve">the </w:t>
      </w:r>
      <w:r w:rsidRPr="00EF5B8F">
        <w:t xml:space="preserve">treatment of adult patients with HER2 +, HR+, eBC who have completed prior adjuvant trastuzumab based therapy within the past 12 months. </w:t>
      </w:r>
    </w:p>
    <w:p w:rsidR="004B4968" w:rsidRPr="00EF5B8F" w:rsidRDefault="004B4968" w:rsidP="00A84C29">
      <w:pPr>
        <w:pStyle w:val="ListParagraph"/>
        <w:widowControl/>
        <w:numPr>
          <w:ilvl w:val="1"/>
          <w:numId w:val="5"/>
        </w:numPr>
        <w:rPr>
          <w:rFonts w:cs="Calibri"/>
          <w:snapToGrid/>
          <w:szCs w:val="24"/>
          <w:lang w:eastAsia="en-AU"/>
        </w:rPr>
      </w:pPr>
      <w:r w:rsidRPr="00EF5B8F">
        <w:rPr>
          <w:rFonts w:cs="Calibri"/>
          <w:snapToGrid/>
          <w:szCs w:val="24"/>
          <w:lang w:eastAsia="en-AU"/>
        </w:rPr>
        <w:t xml:space="preserve">The PBAC </w:t>
      </w:r>
      <w:r w:rsidR="0098429E">
        <w:rPr>
          <w:rFonts w:cs="Calibri"/>
          <w:snapToGrid/>
          <w:szCs w:val="24"/>
          <w:lang w:eastAsia="en-AU"/>
        </w:rPr>
        <w:t xml:space="preserve">previously </w:t>
      </w:r>
      <w:r w:rsidRPr="00EF5B8F">
        <w:rPr>
          <w:rFonts w:cs="Calibri"/>
          <w:snapToGrid/>
          <w:szCs w:val="24"/>
          <w:lang w:eastAsia="en-AU"/>
        </w:rPr>
        <w:t>considered that the clinical place for neratinib is unclear given the changing treatment landscape of early stage HER-2 positive breast cancer, emerging therapies, and the small and uncertain benefit of neratinib balanced against the substantial risk of adverse events, in particular severe diarrhoea. The PBAC considered the economic analysis presented to be highly uncertain, and the uptake and financial estimates to be overestimated</w:t>
      </w:r>
      <w:r w:rsidR="00EB4876" w:rsidRPr="00EF5B8F">
        <w:rPr>
          <w:rFonts w:cs="Calibri"/>
          <w:snapToGrid/>
          <w:szCs w:val="24"/>
          <w:lang w:eastAsia="en-AU"/>
        </w:rPr>
        <w:t xml:space="preserve"> (</w:t>
      </w:r>
      <w:r w:rsidR="00EB4876" w:rsidRPr="00EF5B8F">
        <w:t>para</w:t>
      </w:r>
      <w:r w:rsidR="001A4674">
        <w:t>graph</w:t>
      </w:r>
      <w:r w:rsidR="00EB4876" w:rsidRPr="00EF5B8F">
        <w:t xml:space="preserve"> 7.1, </w:t>
      </w:r>
      <w:r w:rsidR="001A4674">
        <w:t>n</w:t>
      </w:r>
      <w:r w:rsidR="00EB4876" w:rsidRPr="00EF5B8F">
        <w:t xml:space="preserve">eratinib PSD, March 2019). </w:t>
      </w:r>
    </w:p>
    <w:p w:rsidR="00BB3482" w:rsidRPr="00EF5B8F" w:rsidRDefault="00C02497" w:rsidP="00A84C29">
      <w:pPr>
        <w:pStyle w:val="ListParagraph"/>
        <w:widowControl/>
        <w:numPr>
          <w:ilvl w:val="1"/>
          <w:numId w:val="5"/>
        </w:numPr>
        <w:rPr>
          <w:rFonts w:cs="Calibri"/>
          <w:snapToGrid/>
          <w:szCs w:val="24"/>
          <w:lang w:eastAsia="en-AU"/>
        </w:rPr>
      </w:pPr>
      <w:r w:rsidRPr="00EF5B8F">
        <w:rPr>
          <w:rFonts w:cs="Calibri"/>
          <w:snapToGrid/>
          <w:szCs w:val="24"/>
          <w:lang w:eastAsia="en-AU"/>
        </w:rPr>
        <w:t xml:space="preserve">Overall, the ESC advised </w:t>
      </w:r>
      <w:r w:rsidR="00D1044C" w:rsidRPr="00EF5B8F">
        <w:rPr>
          <w:rFonts w:cs="Calibri"/>
          <w:snapToGrid/>
          <w:szCs w:val="24"/>
          <w:lang w:eastAsia="en-AU"/>
        </w:rPr>
        <w:t xml:space="preserve">that </w:t>
      </w:r>
      <w:r w:rsidR="001214BB" w:rsidRPr="00EF5B8F">
        <w:rPr>
          <w:rFonts w:asciiTheme="minorHAnsi" w:hAnsiTheme="minorHAnsi" w:cstheme="minorHAnsi"/>
          <w:szCs w:val="24"/>
        </w:rPr>
        <w:t>the PBAC’s key concerns with the March 2019 submission were not addressed by the resubmission, and the resubmission introduced additional areas of uncertainty</w:t>
      </w:r>
      <w:r w:rsidR="003F0D70" w:rsidRPr="00EF5B8F">
        <w:rPr>
          <w:rFonts w:cs="Calibri"/>
          <w:snapToGrid/>
          <w:szCs w:val="24"/>
          <w:lang w:eastAsia="en-AU"/>
        </w:rPr>
        <w:t>.</w:t>
      </w:r>
      <w:r w:rsidR="00BB3482" w:rsidRPr="00EF5B8F">
        <w:rPr>
          <w:rFonts w:cs="Calibri"/>
          <w:snapToGrid/>
          <w:szCs w:val="24"/>
          <w:lang w:eastAsia="en-AU"/>
        </w:rPr>
        <w:t xml:space="preserve"> </w:t>
      </w:r>
      <w:r w:rsidR="006E23F3">
        <w:rPr>
          <w:rFonts w:cs="Calibri"/>
          <w:snapToGrid/>
          <w:szCs w:val="24"/>
          <w:lang w:eastAsia="en-AU"/>
        </w:rPr>
        <w:t>The PBAC agreed with the ESC and considered t</w:t>
      </w:r>
      <w:r w:rsidR="00BB3482" w:rsidRPr="00EF5B8F">
        <w:rPr>
          <w:rFonts w:cs="Calibri"/>
          <w:snapToGrid/>
          <w:szCs w:val="24"/>
          <w:lang w:eastAsia="en-AU"/>
        </w:rPr>
        <w:t xml:space="preserve">he main outstanding matters of concern include: </w:t>
      </w:r>
    </w:p>
    <w:p w:rsidR="00BB3482" w:rsidRPr="00EF5B8F" w:rsidRDefault="00BB3482" w:rsidP="00025B3F">
      <w:pPr>
        <w:pStyle w:val="Bulletpoints"/>
        <w:widowControl/>
        <w:ind w:left="1248" w:hanging="397"/>
      </w:pPr>
      <w:r w:rsidRPr="00EF5B8F">
        <w:t xml:space="preserve">The clinical place in therapy of neratinib with other adjuvant treatment of HER2+ HR+ eBC is still unclear and inconsistent throughout the resubmission. </w:t>
      </w:r>
    </w:p>
    <w:p w:rsidR="00BB3482" w:rsidRPr="00EF5B8F" w:rsidRDefault="00D1044C" w:rsidP="00025B3F">
      <w:pPr>
        <w:pStyle w:val="Bulletpoints"/>
        <w:widowControl/>
        <w:ind w:left="1248" w:hanging="397"/>
      </w:pPr>
      <w:r w:rsidRPr="00EF5B8F">
        <w:lastRenderedPageBreak/>
        <w:t xml:space="preserve">Clinical </w:t>
      </w:r>
      <w:r w:rsidR="00BB3482" w:rsidRPr="00EF5B8F">
        <w:t>data remained unchanged from the previous submission</w:t>
      </w:r>
      <w:r w:rsidRPr="00EF5B8F">
        <w:t xml:space="preserve"> and no OS data w</w:t>
      </w:r>
      <w:r w:rsidR="001123BF">
        <w:t>ere</w:t>
      </w:r>
      <w:r w:rsidRPr="00EF5B8F">
        <w:t xml:space="preserve"> provided as requested by PBAC</w:t>
      </w:r>
      <w:r w:rsidR="00BB3482" w:rsidRPr="00EF5B8F">
        <w:t>.</w:t>
      </w:r>
      <w:r w:rsidR="00A6756C" w:rsidRPr="00EF5B8F">
        <w:t xml:space="preserve"> Therefore, uncertainties regarding the clinical claim remained.</w:t>
      </w:r>
      <w:r w:rsidR="00BB3482" w:rsidRPr="00EF5B8F">
        <w:t xml:space="preserve"> </w:t>
      </w:r>
    </w:p>
    <w:p w:rsidR="00BB3482" w:rsidRPr="00EF5B8F" w:rsidRDefault="00BB3482" w:rsidP="00025B3F">
      <w:pPr>
        <w:pStyle w:val="Bulletpoints"/>
        <w:widowControl/>
        <w:ind w:left="1248" w:hanging="397"/>
      </w:pPr>
      <w:r w:rsidRPr="00EF5B8F">
        <w:t>Although the documentation provided with the model was improved from the original submission and some of the PBAC’s concerns with the model were addressed, some issues were not addressed by the resubmission. Changes to the model structure, assumptions, inputs and inconsistency with the clinical algorithm introduced additional uncertainty to the economic evaluation.</w:t>
      </w:r>
    </w:p>
    <w:p w:rsidR="00BB3482" w:rsidRPr="00EF5B8F" w:rsidRDefault="00BB3482" w:rsidP="00025B3F">
      <w:pPr>
        <w:pStyle w:val="Bulletpoints"/>
        <w:widowControl/>
        <w:ind w:left="1248" w:hanging="397"/>
      </w:pPr>
      <w:r w:rsidRPr="00EF5B8F">
        <w:t>The uptake and financial estimates were still considered to be overestimated.</w:t>
      </w:r>
    </w:p>
    <w:p w:rsidR="004B4968" w:rsidRDefault="004B4968" w:rsidP="00025B3F">
      <w:pPr>
        <w:widowControl/>
      </w:pPr>
    </w:p>
    <w:p w:rsidR="00961918" w:rsidRPr="008472BF" w:rsidRDefault="00961918" w:rsidP="008472BF">
      <w:pPr>
        <w:widowControl/>
        <w:ind w:firstLine="720"/>
        <w:rPr>
          <w:rFonts w:asciiTheme="minorHAnsi" w:hAnsiTheme="minorHAnsi"/>
          <w:i/>
        </w:rPr>
      </w:pPr>
      <w:r w:rsidRPr="00525B39">
        <w:rPr>
          <w:rFonts w:asciiTheme="minorHAnsi" w:hAnsiTheme="minorHAnsi"/>
          <w:i/>
        </w:rPr>
        <w:t>For more detail on PBAC’s view, see section 7 PBAC outcome.</w:t>
      </w:r>
    </w:p>
    <w:p w:rsidR="004B4968" w:rsidRPr="00BB3215" w:rsidRDefault="004B4968" w:rsidP="00025B3F">
      <w:pPr>
        <w:pStyle w:val="PBACHeading1"/>
        <w:keepNext/>
        <w:numPr>
          <w:ilvl w:val="0"/>
          <w:numId w:val="5"/>
        </w:numPr>
        <w:spacing w:before="240" w:after="120"/>
        <w:outlineLvl w:val="0"/>
      </w:pPr>
      <w:bookmarkStart w:id="9" w:name="_Toc18935805"/>
      <w:r w:rsidRPr="00BB3215">
        <w:t>Population and disease</w:t>
      </w:r>
      <w:bookmarkEnd w:id="9"/>
    </w:p>
    <w:p w:rsidR="004B4968" w:rsidRPr="00EF5B8F" w:rsidRDefault="004B4968" w:rsidP="00A84C29">
      <w:pPr>
        <w:pStyle w:val="ListParagraph"/>
        <w:widowControl/>
        <w:numPr>
          <w:ilvl w:val="1"/>
          <w:numId w:val="5"/>
        </w:numPr>
        <w:rPr>
          <w:iCs/>
        </w:rPr>
      </w:pPr>
      <w:r w:rsidRPr="00EF5B8F">
        <w:rPr>
          <w:iCs/>
        </w:rPr>
        <w:t xml:space="preserve">The population and disease </w:t>
      </w:r>
      <w:r w:rsidR="008747BE" w:rsidRPr="00EF5B8F">
        <w:rPr>
          <w:iCs/>
        </w:rPr>
        <w:t>were</w:t>
      </w:r>
      <w:r w:rsidRPr="00EF5B8F">
        <w:rPr>
          <w:iCs/>
        </w:rPr>
        <w:t xml:space="preserve"> unchanged from the original submission.  </w:t>
      </w:r>
    </w:p>
    <w:p w:rsidR="004B4968" w:rsidRPr="00EF5B8F" w:rsidRDefault="004B4968" w:rsidP="00A84C29">
      <w:pPr>
        <w:pStyle w:val="ListParagraph"/>
        <w:widowControl/>
        <w:numPr>
          <w:ilvl w:val="1"/>
          <w:numId w:val="5"/>
        </w:numPr>
      </w:pPr>
      <w:r w:rsidRPr="00EF5B8F">
        <w:t xml:space="preserve">The resubmission stated that the current treatment for women with HER2+, eBC is complete surgical excision followed by 1 year of trastuzumab in combination with chemotherapy (T+Chemo). </w:t>
      </w:r>
      <w:r w:rsidR="00286F97" w:rsidRPr="00EF5B8F">
        <w:t>At the time of evaluation, t</w:t>
      </w:r>
      <w:r w:rsidRPr="00EF5B8F">
        <w:t xml:space="preserve">rastuzumab </w:t>
      </w:r>
      <w:r w:rsidR="00286F97" w:rsidRPr="00EF5B8F">
        <w:t xml:space="preserve">was </w:t>
      </w:r>
      <w:r w:rsidRPr="00EF5B8F">
        <w:t xml:space="preserve">PBS listed for adjuvant </w:t>
      </w:r>
      <w:r w:rsidR="00527582">
        <w:t xml:space="preserve">or neoadjuvant </w:t>
      </w:r>
      <w:r w:rsidRPr="00EF5B8F">
        <w:t>therapy for HER2+, eBC</w:t>
      </w:r>
      <w:r w:rsidR="00DE0A13" w:rsidRPr="00EF5B8F">
        <w:t>.</w:t>
      </w:r>
      <w:r w:rsidR="0062752D" w:rsidRPr="00EF5B8F">
        <w:t xml:space="preserve"> The ESC noted that the use of trastuzumab in the neoadjuvant setting in Australia for eBC align</w:t>
      </w:r>
      <w:r w:rsidR="00527582">
        <w:t>s</w:t>
      </w:r>
      <w:r w:rsidR="0062752D" w:rsidRPr="00EF5B8F">
        <w:t xml:space="preserve"> with the </w:t>
      </w:r>
      <w:r w:rsidR="006F7F80" w:rsidRPr="00EF5B8F">
        <w:t xml:space="preserve">neoadjuvant trastuzumab </w:t>
      </w:r>
      <w:r w:rsidR="00344532" w:rsidRPr="00EF5B8F">
        <w:t xml:space="preserve">approach </w:t>
      </w:r>
      <w:r w:rsidR="006F7F80" w:rsidRPr="00EF5B8F">
        <w:t xml:space="preserve">allowed in the </w:t>
      </w:r>
      <w:r w:rsidR="0062752D" w:rsidRPr="00EF5B8F">
        <w:t>ExteNET trial.</w:t>
      </w:r>
    </w:p>
    <w:p w:rsidR="00AA230A" w:rsidRPr="00EF5B8F" w:rsidRDefault="00AA230A" w:rsidP="00A84C29">
      <w:pPr>
        <w:pStyle w:val="ListParagraph"/>
        <w:widowControl/>
        <w:numPr>
          <w:ilvl w:val="1"/>
          <w:numId w:val="5"/>
        </w:numPr>
        <w:rPr>
          <w:iCs/>
        </w:rPr>
      </w:pPr>
      <w:r w:rsidRPr="00EF5B8F">
        <w:rPr>
          <w:iCs/>
        </w:rPr>
        <w:t xml:space="preserve">The ESC noted that the previous submission proposed the listing of neratinib on the PBS as an additional line of therapy for adult patients with HER2+, HR+, eBC who have been treated with trastuzumab-based therapy within the past 12 months. </w:t>
      </w:r>
      <w:r w:rsidR="000F2144" w:rsidRPr="00EF5B8F">
        <w:rPr>
          <w:iCs/>
        </w:rPr>
        <w:t>The ESC noted that the current clinical guidelines for adjuvant HR+, HER2+ BC advise considering extended adjuvant neratinib following adjuvant trastuzumab-containing therapy for patients with HR</w:t>
      </w:r>
      <w:r w:rsidR="00BF1FC7" w:rsidRPr="00EF5B8F">
        <w:rPr>
          <w:iCs/>
        </w:rPr>
        <w:t>+</w:t>
      </w:r>
      <w:r w:rsidR="000F2144" w:rsidRPr="00EF5B8F">
        <w:rPr>
          <w:iCs/>
        </w:rPr>
        <w:t>, HER2</w:t>
      </w:r>
      <w:r w:rsidR="00BF1FC7" w:rsidRPr="00EF5B8F">
        <w:rPr>
          <w:iCs/>
        </w:rPr>
        <w:t>+</w:t>
      </w:r>
      <w:r w:rsidR="000F2144" w:rsidRPr="00EF5B8F">
        <w:rPr>
          <w:iCs/>
        </w:rPr>
        <w:t xml:space="preserve"> disease with a perceived high risk of recurrence</w:t>
      </w:r>
      <w:r w:rsidR="000F2144" w:rsidRPr="00EF5B8F">
        <w:rPr>
          <w:rStyle w:val="FootnoteReference"/>
          <w:iCs/>
        </w:rPr>
        <w:footnoteReference w:id="1"/>
      </w:r>
      <w:r w:rsidR="000F2144" w:rsidRPr="00EF5B8F">
        <w:rPr>
          <w:iCs/>
        </w:rPr>
        <w:t>.</w:t>
      </w:r>
      <w:r w:rsidR="00A34BC9" w:rsidRPr="00EF5B8F">
        <w:rPr>
          <w:iCs/>
        </w:rPr>
        <w:t xml:space="preserve"> The ESC considered that it would not be appropriate to treat all HER2+, HR+ eBC patients with </w:t>
      </w:r>
      <w:r w:rsidR="00B17847" w:rsidRPr="00EF5B8F">
        <w:rPr>
          <w:iCs/>
        </w:rPr>
        <w:t>extended adjuvant treatment</w:t>
      </w:r>
      <w:r w:rsidR="00A34BC9" w:rsidRPr="00EF5B8F">
        <w:rPr>
          <w:iCs/>
        </w:rPr>
        <w:t>.</w:t>
      </w:r>
      <w:r w:rsidR="000F2144" w:rsidRPr="00EF5B8F">
        <w:rPr>
          <w:iCs/>
        </w:rPr>
        <w:t xml:space="preserve"> </w:t>
      </w:r>
      <w:r w:rsidR="00A34BC9" w:rsidRPr="00EF5B8F">
        <w:rPr>
          <w:iCs/>
        </w:rPr>
        <w:t xml:space="preserve">The </w:t>
      </w:r>
      <w:r w:rsidRPr="00EF5B8F">
        <w:rPr>
          <w:iCs/>
        </w:rPr>
        <w:t>ESC noted it was uncertain whether (if PBS listed) use of pertuzumab would negate the clinical benefit of neratinib in this population</w:t>
      </w:r>
      <w:r w:rsidR="00A34BC9" w:rsidRPr="00EF5B8F">
        <w:rPr>
          <w:iCs/>
        </w:rPr>
        <w:t xml:space="preserve"> and noted this was appropriately revised in the resubmission’s proposed clinical algorithm</w:t>
      </w:r>
      <w:r w:rsidRPr="00EF5B8F">
        <w:rPr>
          <w:iCs/>
        </w:rPr>
        <w:t>.</w:t>
      </w:r>
    </w:p>
    <w:p w:rsidR="00CB648D" w:rsidRPr="00EF5B8F" w:rsidRDefault="00D20432" w:rsidP="00A84C29">
      <w:pPr>
        <w:pStyle w:val="ListParagraph"/>
        <w:widowControl/>
        <w:numPr>
          <w:ilvl w:val="1"/>
          <w:numId w:val="5"/>
        </w:numPr>
        <w:rPr>
          <w:rStyle w:val="CommentReference"/>
          <w:rFonts w:ascii="Calibri" w:hAnsi="Calibri"/>
          <w:b w:val="0"/>
          <w:iCs/>
          <w:sz w:val="24"/>
          <w:szCs w:val="22"/>
        </w:rPr>
      </w:pPr>
      <w:r w:rsidRPr="00EF5B8F">
        <w:rPr>
          <w:iCs/>
        </w:rPr>
        <w:t xml:space="preserve">The resubmission presented a new clinical management algorithm </w:t>
      </w:r>
      <w:r w:rsidR="00344532" w:rsidRPr="00EF5B8F">
        <w:rPr>
          <w:iCs/>
        </w:rPr>
        <w:t xml:space="preserve">(Figure 1) </w:t>
      </w:r>
      <w:r w:rsidRPr="00EF5B8F">
        <w:rPr>
          <w:iCs/>
        </w:rPr>
        <w:t>that included emerging treatment</w:t>
      </w:r>
      <w:r w:rsidR="00344532" w:rsidRPr="00EF5B8F">
        <w:rPr>
          <w:iCs/>
        </w:rPr>
        <w:t>s</w:t>
      </w:r>
      <w:r w:rsidRPr="00EF5B8F">
        <w:rPr>
          <w:iCs/>
        </w:rPr>
        <w:t xml:space="preserve"> (T</w:t>
      </w:r>
      <w:r w:rsidR="00DC46F9" w:rsidRPr="00EF5B8F">
        <w:rPr>
          <w:iCs/>
        </w:rPr>
        <w:t>-</w:t>
      </w:r>
      <w:r w:rsidRPr="00EF5B8F">
        <w:rPr>
          <w:iCs/>
        </w:rPr>
        <w:t>DM1 and pertuzumab) and defined the position of neratinib within the HER2+, eBC treatment pathway as per the PBAC recommendation</w:t>
      </w:r>
      <w:r w:rsidR="001A7F6C" w:rsidRPr="00EF5B8F">
        <w:rPr>
          <w:iCs/>
        </w:rPr>
        <w:t xml:space="preserve"> </w:t>
      </w:r>
      <w:r w:rsidR="001A7F6C" w:rsidRPr="00EF5B8F">
        <w:t>(</w:t>
      </w:r>
      <w:r w:rsidR="001A4674" w:rsidRPr="00EF5B8F">
        <w:t>para</w:t>
      </w:r>
      <w:r w:rsidR="001A4674">
        <w:t>graph</w:t>
      </w:r>
      <w:r w:rsidR="001A4674" w:rsidRPr="00EF5B8F">
        <w:t xml:space="preserve"> 7.5</w:t>
      </w:r>
      <w:r w:rsidR="001A4674">
        <w:t>, n</w:t>
      </w:r>
      <w:r w:rsidR="001A7F6C" w:rsidRPr="00EF5B8F">
        <w:t>eratinib PSD, March 2019)</w:t>
      </w:r>
      <w:r w:rsidRPr="00EF5B8F">
        <w:rPr>
          <w:iCs/>
        </w:rPr>
        <w:t xml:space="preserve">. Pertuzumab has been considered previously by the PBAC in July 2018 and March 2019, however both submissions were rejected.  T-DM1 </w:t>
      </w:r>
      <w:r w:rsidR="000638EE">
        <w:rPr>
          <w:iCs/>
        </w:rPr>
        <w:t xml:space="preserve">was </w:t>
      </w:r>
      <w:r w:rsidRPr="00EF5B8F">
        <w:rPr>
          <w:iCs/>
        </w:rPr>
        <w:t>considered by the PBAC at the November 2019 meeting.</w:t>
      </w:r>
      <w:r w:rsidR="00874ED2" w:rsidRPr="00EF5B8F">
        <w:rPr>
          <w:iCs/>
        </w:rPr>
        <w:t xml:space="preserve"> </w:t>
      </w:r>
    </w:p>
    <w:p w:rsidR="00B17847" w:rsidRPr="003C7FC9" w:rsidRDefault="00B17847" w:rsidP="003C7FC9">
      <w:pPr>
        <w:pStyle w:val="ListParagraph"/>
        <w:widowControl/>
        <w:numPr>
          <w:ilvl w:val="1"/>
          <w:numId w:val="5"/>
        </w:numPr>
        <w:rPr>
          <w:iCs/>
        </w:rPr>
      </w:pPr>
      <w:r w:rsidRPr="003C7FC9">
        <w:rPr>
          <w:iCs/>
        </w:rPr>
        <w:lastRenderedPageBreak/>
        <w:t xml:space="preserve">The ESC noted that the clinical management algorithm in the resubmission did not align with the proposed restrictions, the key pivotal trial (ExteNET), the economic model nor the estimated use and financial costs. Overall, the ESC considered that there was no further clarity around the clinical place of neratinib in the resubmission due to these inconsistencies. The ESC considered that the lack of clarity around the clinical place in therapy for neratinib was </w:t>
      </w:r>
      <w:r w:rsidR="001D5D68" w:rsidRPr="003C7FC9">
        <w:rPr>
          <w:iCs/>
        </w:rPr>
        <w:t xml:space="preserve">also a </w:t>
      </w:r>
      <w:r w:rsidRPr="003C7FC9">
        <w:rPr>
          <w:iCs/>
        </w:rPr>
        <w:t>fundamenta</w:t>
      </w:r>
      <w:r w:rsidR="000E4D5B" w:rsidRPr="003C7FC9">
        <w:rPr>
          <w:iCs/>
        </w:rPr>
        <w:t>l</w:t>
      </w:r>
      <w:r w:rsidRPr="003C7FC9">
        <w:rPr>
          <w:iCs/>
        </w:rPr>
        <w:t xml:space="preserve"> issue for determining its cost effectiveness in eBC compared to other likely treatments for this patient group.</w:t>
      </w:r>
    </w:p>
    <w:p w:rsidR="0098429E" w:rsidRDefault="0078408B" w:rsidP="0098429E">
      <w:pPr>
        <w:pStyle w:val="ListParagraph"/>
        <w:widowControl/>
        <w:numPr>
          <w:ilvl w:val="1"/>
          <w:numId w:val="5"/>
        </w:numPr>
        <w:rPr>
          <w:rStyle w:val="CommentReference"/>
          <w:rFonts w:ascii="Calibri" w:hAnsi="Calibri"/>
          <w:b w:val="0"/>
          <w:iCs/>
          <w:sz w:val="24"/>
          <w:szCs w:val="22"/>
        </w:rPr>
      </w:pPr>
      <w:r>
        <w:t xml:space="preserve">A </w:t>
      </w:r>
      <w:r w:rsidR="007E67A4">
        <w:rPr>
          <w:rStyle w:val="CommentReference"/>
          <w:rFonts w:ascii="Calibri" w:hAnsi="Calibri"/>
          <w:b w:val="0"/>
          <w:iCs/>
          <w:sz w:val="24"/>
          <w:szCs w:val="22"/>
        </w:rPr>
        <w:t xml:space="preserve">summary of </w:t>
      </w:r>
      <w:r w:rsidR="00027B42">
        <w:rPr>
          <w:rStyle w:val="CommentReference"/>
          <w:rFonts w:ascii="Calibri" w:hAnsi="Calibri"/>
          <w:b w:val="0"/>
          <w:iCs/>
          <w:sz w:val="24"/>
          <w:szCs w:val="22"/>
        </w:rPr>
        <w:t>the different treatment pathways for eBC and the potential populations within these pathways</w:t>
      </w:r>
      <w:r w:rsidRPr="0078408B">
        <w:t xml:space="preserve"> </w:t>
      </w:r>
      <w:r>
        <w:t>was provided with t</w:t>
      </w:r>
      <w:r w:rsidRPr="0098429E">
        <w:t>he</w:t>
      </w:r>
      <w:r>
        <w:rPr>
          <w:rStyle w:val="CommentReference"/>
          <w:rFonts w:ascii="Calibri" w:hAnsi="Calibri"/>
          <w:b w:val="0"/>
          <w:iCs/>
          <w:sz w:val="24"/>
          <w:szCs w:val="22"/>
        </w:rPr>
        <w:t xml:space="preserve"> pre-PBAC response</w:t>
      </w:r>
      <w:r w:rsidR="00027B42">
        <w:rPr>
          <w:rStyle w:val="CommentReference"/>
          <w:rFonts w:ascii="Calibri" w:hAnsi="Calibri"/>
          <w:b w:val="0"/>
          <w:iCs/>
          <w:sz w:val="24"/>
          <w:szCs w:val="22"/>
        </w:rPr>
        <w:t xml:space="preserve">. </w:t>
      </w:r>
      <w:r w:rsidR="00584391">
        <w:rPr>
          <w:rStyle w:val="CommentReference"/>
          <w:rFonts w:ascii="Calibri" w:hAnsi="Calibri"/>
          <w:b w:val="0"/>
          <w:iCs/>
          <w:sz w:val="24"/>
          <w:szCs w:val="22"/>
        </w:rPr>
        <w:t xml:space="preserve">A summary of the potential populations and issues identified by the PBAC is presented in Table </w:t>
      </w:r>
      <w:r w:rsidR="00671BAD">
        <w:rPr>
          <w:rStyle w:val="CommentReference"/>
          <w:rFonts w:ascii="Calibri" w:hAnsi="Calibri"/>
          <w:b w:val="0"/>
          <w:iCs/>
          <w:sz w:val="24"/>
          <w:szCs w:val="22"/>
        </w:rPr>
        <w:t>3</w:t>
      </w:r>
      <w:r w:rsidR="00584391">
        <w:rPr>
          <w:rStyle w:val="CommentReference"/>
          <w:rFonts w:ascii="Calibri" w:hAnsi="Calibri"/>
          <w:b w:val="0"/>
          <w:iCs/>
          <w:sz w:val="24"/>
          <w:szCs w:val="22"/>
        </w:rPr>
        <w:t>.</w:t>
      </w:r>
    </w:p>
    <w:p w:rsidR="008F1DF9" w:rsidRPr="008F1DF9" w:rsidRDefault="008F1DF9" w:rsidP="008F1DF9">
      <w:pPr>
        <w:pStyle w:val="ListParagraph"/>
        <w:widowControl/>
        <w:spacing w:after="0"/>
        <w:rPr>
          <w:rStyle w:val="CommentReference"/>
          <w:iCs/>
          <w:szCs w:val="20"/>
        </w:rPr>
      </w:pPr>
      <w:r w:rsidRPr="008F1DF9">
        <w:rPr>
          <w:rStyle w:val="CommentReference"/>
          <w:iCs/>
          <w:szCs w:val="20"/>
        </w:rPr>
        <w:t xml:space="preserve">Table </w:t>
      </w:r>
      <w:r w:rsidR="00671BAD">
        <w:rPr>
          <w:rStyle w:val="CommentReference"/>
          <w:iCs/>
          <w:szCs w:val="20"/>
        </w:rPr>
        <w:t>3</w:t>
      </w:r>
      <w:r w:rsidRPr="008F1DF9">
        <w:rPr>
          <w:rStyle w:val="CommentReference"/>
          <w:iCs/>
          <w:szCs w:val="20"/>
        </w:rPr>
        <w:t>: Potential populations noted in resubmission and summary of issues</w:t>
      </w:r>
    </w:p>
    <w:tbl>
      <w:tblPr>
        <w:tblStyle w:val="TableGrid"/>
        <w:tblW w:w="4628" w:type="pct"/>
        <w:tblInd w:w="720" w:type="dxa"/>
        <w:tblLook w:val="04A0" w:firstRow="1" w:lastRow="0" w:firstColumn="1" w:lastColumn="0" w:noHBand="0" w:noVBand="1"/>
        <w:tblCaption w:val="Table 3: Potential populations noted in resubmission and summary of issues"/>
      </w:tblPr>
      <w:tblGrid>
        <w:gridCol w:w="1260"/>
        <w:gridCol w:w="2835"/>
        <w:gridCol w:w="4251"/>
      </w:tblGrid>
      <w:tr w:rsidR="008F1DF9" w:rsidRPr="008F1DF9" w:rsidTr="00741AA0">
        <w:trPr>
          <w:trHeight w:val="173"/>
          <w:tblHeader/>
        </w:trPr>
        <w:tc>
          <w:tcPr>
            <w:tcW w:w="1260" w:type="dxa"/>
            <w:hideMark/>
          </w:tcPr>
          <w:p w:rsidR="008F1DF9" w:rsidRPr="00047FA8" w:rsidRDefault="008F1DF9" w:rsidP="008F1DF9">
            <w:pPr>
              <w:pStyle w:val="ListParagraph"/>
              <w:spacing w:after="0"/>
              <w:ind w:left="0"/>
              <w:jc w:val="left"/>
              <w:rPr>
                <w:rFonts w:ascii="Arial Narrow" w:hAnsi="Arial Narrow"/>
                <w:iCs/>
                <w:sz w:val="20"/>
                <w:szCs w:val="20"/>
              </w:rPr>
            </w:pPr>
          </w:p>
        </w:tc>
        <w:tc>
          <w:tcPr>
            <w:tcW w:w="2835" w:type="dxa"/>
            <w:hideMark/>
          </w:tcPr>
          <w:p w:rsidR="008F1DF9" w:rsidRPr="00047FA8" w:rsidRDefault="008F1DF9" w:rsidP="008F1DF9">
            <w:pPr>
              <w:pStyle w:val="ListParagraph"/>
              <w:spacing w:after="0"/>
              <w:ind w:left="0"/>
              <w:jc w:val="left"/>
              <w:rPr>
                <w:rFonts w:ascii="Arial Narrow" w:hAnsi="Arial Narrow"/>
                <w:b/>
                <w:iCs/>
                <w:sz w:val="20"/>
                <w:szCs w:val="20"/>
              </w:rPr>
            </w:pPr>
            <w:r w:rsidRPr="00047FA8">
              <w:rPr>
                <w:rFonts w:ascii="Arial Narrow" w:hAnsi="Arial Narrow"/>
                <w:b/>
                <w:bCs/>
                <w:iCs/>
                <w:sz w:val="20"/>
                <w:szCs w:val="20"/>
                <w:lang w:val="en-US"/>
              </w:rPr>
              <w:t>Potential populations</w:t>
            </w:r>
          </w:p>
        </w:tc>
        <w:tc>
          <w:tcPr>
            <w:tcW w:w="4252" w:type="dxa"/>
            <w:hideMark/>
          </w:tcPr>
          <w:p w:rsidR="008F1DF9" w:rsidRPr="00047FA8" w:rsidRDefault="008F1DF9" w:rsidP="00027B42">
            <w:pPr>
              <w:pStyle w:val="ListParagraph"/>
              <w:spacing w:after="0"/>
              <w:ind w:left="0"/>
              <w:jc w:val="left"/>
              <w:rPr>
                <w:rFonts w:ascii="Arial Narrow" w:hAnsi="Arial Narrow"/>
                <w:b/>
                <w:iCs/>
                <w:sz w:val="20"/>
                <w:szCs w:val="20"/>
              </w:rPr>
            </w:pPr>
            <w:r w:rsidRPr="00047FA8">
              <w:rPr>
                <w:rFonts w:ascii="Arial Narrow" w:hAnsi="Arial Narrow"/>
                <w:b/>
                <w:bCs/>
                <w:iCs/>
                <w:sz w:val="20"/>
                <w:szCs w:val="20"/>
                <w:lang w:val="en-US"/>
              </w:rPr>
              <w:t>Issue</w:t>
            </w:r>
            <w:r w:rsidR="00027B42" w:rsidRPr="00047FA8">
              <w:rPr>
                <w:rFonts w:ascii="Arial Narrow" w:hAnsi="Arial Narrow"/>
                <w:b/>
                <w:bCs/>
                <w:iCs/>
                <w:sz w:val="20"/>
                <w:szCs w:val="20"/>
                <w:lang w:val="en-US"/>
              </w:rPr>
              <w:t>s identified by the PBAC</w:t>
            </w:r>
          </w:p>
        </w:tc>
      </w:tr>
      <w:tr w:rsidR="008F1DF9" w:rsidRPr="008F1DF9" w:rsidTr="00D00BEF">
        <w:trPr>
          <w:trHeight w:val="389"/>
        </w:trPr>
        <w:tc>
          <w:tcPr>
            <w:tcW w:w="1260" w:type="dxa"/>
            <w:vMerge w:val="restart"/>
            <w:vAlign w:val="center"/>
            <w:hideMark/>
          </w:tcPr>
          <w:p w:rsidR="008F1DF9" w:rsidRPr="00047FA8" w:rsidRDefault="008F1DF9" w:rsidP="008F1DF9">
            <w:pPr>
              <w:pStyle w:val="ListParagraph"/>
              <w:spacing w:after="0"/>
              <w:ind w:left="0"/>
              <w:jc w:val="center"/>
              <w:rPr>
                <w:rFonts w:ascii="Arial Narrow" w:hAnsi="Arial Narrow"/>
                <w:iCs/>
                <w:sz w:val="20"/>
                <w:szCs w:val="20"/>
              </w:rPr>
            </w:pPr>
            <w:r w:rsidRPr="00047FA8">
              <w:rPr>
                <w:rFonts w:ascii="Arial Narrow" w:hAnsi="Arial Narrow"/>
                <w:bCs/>
                <w:iCs/>
                <w:sz w:val="20"/>
                <w:szCs w:val="20"/>
                <w:lang w:val="en-US"/>
              </w:rPr>
              <w:t>Neoadjuvant path</w:t>
            </w:r>
            <w:r w:rsidR="00E414B5" w:rsidRPr="00047FA8">
              <w:rPr>
                <w:rFonts w:ascii="Arial Narrow" w:hAnsi="Arial Narrow"/>
                <w:bCs/>
                <w:iCs/>
                <w:sz w:val="20"/>
                <w:szCs w:val="20"/>
                <w:lang w:val="en-US"/>
              </w:rPr>
              <w:t>way</w:t>
            </w:r>
          </w:p>
        </w:tc>
        <w:tc>
          <w:tcPr>
            <w:tcW w:w="2835" w:type="dxa"/>
            <w:hideMark/>
          </w:tcPr>
          <w:p w:rsidR="008F1DF9" w:rsidRPr="00047FA8" w:rsidRDefault="008F1DF9"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Patients with residual disease post neoadjuvant therapy</w:t>
            </w:r>
          </w:p>
        </w:tc>
        <w:tc>
          <w:tcPr>
            <w:tcW w:w="4252" w:type="dxa"/>
            <w:hideMark/>
          </w:tcPr>
          <w:p w:rsidR="008F1DF9" w:rsidRPr="00047FA8" w:rsidRDefault="006A293F"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Patient</w:t>
            </w:r>
            <w:r w:rsidR="00902577" w:rsidRPr="00047FA8">
              <w:rPr>
                <w:rFonts w:ascii="Arial Narrow" w:hAnsi="Arial Narrow"/>
                <w:bCs/>
                <w:iCs/>
                <w:sz w:val="20"/>
                <w:szCs w:val="20"/>
                <w:lang w:val="en-US"/>
              </w:rPr>
              <w:t>s</w:t>
            </w:r>
            <w:r w:rsidRPr="00047FA8">
              <w:rPr>
                <w:rFonts w:ascii="Arial Narrow" w:hAnsi="Arial Narrow"/>
                <w:bCs/>
                <w:iCs/>
                <w:sz w:val="20"/>
                <w:szCs w:val="20"/>
                <w:lang w:val="en-US"/>
              </w:rPr>
              <w:t xml:space="preserve"> shou</w:t>
            </w:r>
            <w:r w:rsidR="008F1DF9" w:rsidRPr="00047FA8">
              <w:rPr>
                <w:rFonts w:ascii="Arial Narrow" w:hAnsi="Arial Narrow"/>
                <w:bCs/>
                <w:iCs/>
                <w:sz w:val="20"/>
                <w:szCs w:val="20"/>
                <w:lang w:val="en-US"/>
              </w:rPr>
              <w:t xml:space="preserve">ld </w:t>
            </w:r>
            <w:r w:rsidR="00A872A6" w:rsidRPr="00047FA8">
              <w:rPr>
                <w:rFonts w:ascii="Arial Narrow" w:hAnsi="Arial Narrow"/>
                <w:bCs/>
                <w:iCs/>
                <w:sz w:val="20"/>
                <w:szCs w:val="20"/>
                <w:lang w:val="en-US"/>
              </w:rPr>
              <w:t>receive</w:t>
            </w:r>
            <w:r w:rsidR="008F1DF9" w:rsidRPr="00047FA8">
              <w:rPr>
                <w:rFonts w:ascii="Arial Narrow" w:hAnsi="Arial Narrow"/>
                <w:bCs/>
                <w:iCs/>
                <w:sz w:val="20"/>
                <w:szCs w:val="20"/>
                <w:lang w:val="en-US"/>
              </w:rPr>
              <w:t xml:space="preserve"> TDM1</w:t>
            </w:r>
            <w:r w:rsidR="00A872A6" w:rsidRPr="00047FA8">
              <w:rPr>
                <w:rFonts w:ascii="Arial Narrow" w:hAnsi="Arial Narrow"/>
                <w:bCs/>
                <w:iCs/>
                <w:sz w:val="20"/>
                <w:szCs w:val="20"/>
                <w:lang w:val="en-US"/>
              </w:rPr>
              <w:t xml:space="preserve"> if available, based on efficacy shown in the KATHERINE trial</w:t>
            </w:r>
          </w:p>
          <w:p w:rsidR="008F1DF9" w:rsidRPr="00047FA8" w:rsidRDefault="006A293F" w:rsidP="006A293F">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 xml:space="preserve">There is no </w:t>
            </w:r>
            <w:r w:rsidR="008F1DF9" w:rsidRPr="00047FA8">
              <w:rPr>
                <w:rFonts w:ascii="Arial Narrow" w:hAnsi="Arial Narrow"/>
                <w:bCs/>
                <w:iCs/>
                <w:sz w:val="20"/>
                <w:szCs w:val="20"/>
                <w:lang w:val="en-US"/>
              </w:rPr>
              <w:t xml:space="preserve">evidence </w:t>
            </w:r>
            <w:r w:rsidR="00A872A6" w:rsidRPr="00047FA8">
              <w:rPr>
                <w:rFonts w:ascii="Arial Narrow" w:hAnsi="Arial Narrow"/>
                <w:bCs/>
                <w:iCs/>
                <w:sz w:val="20"/>
                <w:szCs w:val="20"/>
                <w:lang w:val="en-US"/>
              </w:rPr>
              <w:t xml:space="preserve">for neratinib </w:t>
            </w:r>
            <w:r w:rsidR="008F1DF9" w:rsidRPr="00047FA8">
              <w:rPr>
                <w:rFonts w:ascii="Arial Narrow" w:hAnsi="Arial Narrow"/>
                <w:bCs/>
                <w:iCs/>
                <w:sz w:val="20"/>
                <w:szCs w:val="20"/>
                <w:lang w:val="en-US"/>
              </w:rPr>
              <w:t>post T-DM1</w:t>
            </w:r>
          </w:p>
        </w:tc>
      </w:tr>
      <w:tr w:rsidR="008F1DF9" w:rsidRPr="008F1DF9" w:rsidTr="00D00BEF">
        <w:trPr>
          <w:trHeight w:val="60"/>
        </w:trPr>
        <w:tc>
          <w:tcPr>
            <w:tcW w:w="1260" w:type="dxa"/>
            <w:vMerge/>
            <w:hideMark/>
          </w:tcPr>
          <w:p w:rsidR="008F1DF9" w:rsidRPr="00047FA8" w:rsidRDefault="008F1DF9" w:rsidP="008F1DF9">
            <w:pPr>
              <w:pStyle w:val="ListParagraph"/>
              <w:spacing w:after="0"/>
              <w:ind w:left="0"/>
              <w:jc w:val="left"/>
              <w:rPr>
                <w:rFonts w:ascii="Arial Narrow" w:hAnsi="Arial Narrow"/>
                <w:iCs/>
                <w:sz w:val="20"/>
                <w:szCs w:val="20"/>
              </w:rPr>
            </w:pPr>
          </w:p>
        </w:tc>
        <w:tc>
          <w:tcPr>
            <w:tcW w:w="2835" w:type="dxa"/>
            <w:hideMark/>
          </w:tcPr>
          <w:p w:rsidR="008F1DF9" w:rsidRPr="00047FA8" w:rsidRDefault="008F1DF9"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 xml:space="preserve">Patients </w:t>
            </w:r>
            <w:r w:rsidR="00D606A6" w:rsidRPr="00047FA8">
              <w:rPr>
                <w:rFonts w:ascii="Arial Narrow" w:hAnsi="Arial Narrow"/>
                <w:bCs/>
                <w:iCs/>
                <w:sz w:val="20"/>
                <w:szCs w:val="20"/>
                <w:lang w:val="en-US"/>
              </w:rPr>
              <w:t xml:space="preserve">with residual disease post neoadjuvant therapy, </w:t>
            </w:r>
            <w:r w:rsidRPr="00047FA8">
              <w:rPr>
                <w:rFonts w:ascii="Arial Narrow" w:hAnsi="Arial Narrow"/>
                <w:bCs/>
                <w:iCs/>
                <w:sz w:val="20"/>
                <w:szCs w:val="20"/>
                <w:lang w:val="en-US"/>
              </w:rPr>
              <w:t>who discontinue adjuvant T</w:t>
            </w:r>
            <w:r w:rsidR="00A872A6" w:rsidRPr="00047FA8">
              <w:rPr>
                <w:rFonts w:ascii="Arial Narrow" w:hAnsi="Arial Narrow"/>
                <w:bCs/>
                <w:iCs/>
                <w:sz w:val="20"/>
                <w:szCs w:val="20"/>
                <w:lang w:val="en-US"/>
              </w:rPr>
              <w:t>-</w:t>
            </w:r>
            <w:r w:rsidRPr="00047FA8">
              <w:rPr>
                <w:rFonts w:ascii="Arial Narrow" w:hAnsi="Arial Narrow"/>
                <w:bCs/>
                <w:iCs/>
                <w:sz w:val="20"/>
                <w:szCs w:val="20"/>
                <w:lang w:val="en-US"/>
              </w:rPr>
              <w:t>DM1</w:t>
            </w:r>
          </w:p>
        </w:tc>
        <w:tc>
          <w:tcPr>
            <w:tcW w:w="4252" w:type="dxa"/>
            <w:hideMark/>
          </w:tcPr>
          <w:p w:rsidR="00A872A6" w:rsidRPr="00047FA8" w:rsidRDefault="00EC6B93" w:rsidP="00A872A6">
            <w:pPr>
              <w:pStyle w:val="ListParagraph"/>
              <w:spacing w:after="0"/>
              <w:ind w:left="0"/>
              <w:jc w:val="left"/>
              <w:rPr>
                <w:rFonts w:ascii="Arial Narrow" w:hAnsi="Arial Narrow"/>
                <w:bCs/>
                <w:iCs/>
                <w:sz w:val="20"/>
                <w:szCs w:val="20"/>
                <w:lang w:val="en-US"/>
              </w:rPr>
            </w:pPr>
            <w:r w:rsidRPr="00047FA8">
              <w:rPr>
                <w:rFonts w:ascii="Arial Narrow" w:hAnsi="Arial Narrow"/>
                <w:bCs/>
                <w:iCs/>
                <w:sz w:val="20"/>
                <w:szCs w:val="20"/>
                <w:lang w:val="en-US"/>
              </w:rPr>
              <w:t>9.6</w:t>
            </w:r>
            <w:r w:rsidR="008F1DF9" w:rsidRPr="00047FA8">
              <w:rPr>
                <w:rFonts w:ascii="Arial Narrow" w:hAnsi="Arial Narrow"/>
                <w:bCs/>
                <w:iCs/>
                <w:sz w:val="20"/>
                <w:szCs w:val="20"/>
                <w:lang w:val="en-US"/>
              </w:rPr>
              <w:t>%</w:t>
            </w:r>
            <w:r w:rsidR="00E0625F" w:rsidRPr="00047FA8">
              <w:rPr>
                <w:rFonts w:ascii="Arial Narrow" w:hAnsi="Arial Narrow"/>
                <w:bCs/>
                <w:iCs/>
                <w:sz w:val="20"/>
                <w:szCs w:val="20"/>
                <w:lang w:val="en-US"/>
              </w:rPr>
              <w:t>*</w:t>
            </w:r>
            <w:r w:rsidR="008F1DF9" w:rsidRPr="00047FA8">
              <w:rPr>
                <w:rFonts w:ascii="Arial Narrow" w:hAnsi="Arial Narrow"/>
                <w:bCs/>
                <w:iCs/>
                <w:sz w:val="20"/>
                <w:szCs w:val="20"/>
                <w:lang w:val="en-US"/>
              </w:rPr>
              <w:t xml:space="preserve"> </w:t>
            </w:r>
            <w:r w:rsidR="00A872A6" w:rsidRPr="00047FA8">
              <w:rPr>
                <w:rFonts w:ascii="Arial Narrow" w:hAnsi="Arial Narrow"/>
                <w:bCs/>
                <w:iCs/>
                <w:sz w:val="20"/>
                <w:szCs w:val="20"/>
                <w:lang w:val="en-US"/>
              </w:rPr>
              <w:t xml:space="preserve">of patients </w:t>
            </w:r>
            <w:r w:rsidR="008F1DF9" w:rsidRPr="00047FA8">
              <w:rPr>
                <w:rFonts w:ascii="Arial Narrow" w:hAnsi="Arial Narrow"/>
                <w:bCs/>
                <w:iCs/>
                <w:sz w:val="20"/>
                <w:szCs w:val="20"/>
                <w:lang w:val="en-US"/>
              </w:rPr>
              <w:t>switched to trastuzumab</w:t>
            </w:r>
            <w:r w:rsidR="00D606A6" w:rsidRPr="00047FA8">
              <w:rPr>
                <w:rFonts w:ascii="Arial Narrow" w:hAnsi="Arial Narrow"/>
                <w:bCs/>
                <w:iCs/>
                <w:sz w:val="20"/>
                <w:szCs w:val="20"/>
                <w:lang w:val="en-US"/>
              </w:rPr>
              <w:t xml:space="preserve"> in the KATHERINE</w:t>
            </w:r>
            <w:r w:rsidR="00D00BEF" w:rsidRPr="00047FA8">
              <w:rPr>
                <w:rFonts w:ascii="Arial Narrow" w:hAnsi="Arial Narrow"/>
                <w:bCs/>
                <w:iCs/>
                <w:sz w:val="20"/>
                <w:szCs w:val="20"/>
                <w:lang w:val="en-US"/>
              </w:rPr>
              <w:t xml:space="preserve"> trial</w:t>
            </w:r>
          </w:p>
          <w:p w:rsidR="008F1DF9" w:rsidRPr="00047FA8" w:rsidRDefault="00A872A6"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There is no evidence for neratinib in patients who discontinue adjuvant T-DM1</w:t>
            </w:r>
          </w:p>
        </w:tc>
      </w:tr>
      <w:tr w:rsidR="00D606A6" w:rsidRPr="008F1DF9" w:rsidTr="00D10709">
        <w:trPr>
          <w:trHeight w:val="60"/>
        </w:trPr>
        <w:tc>
          <w:tcPr>
            <w:tcW w:w="1260" w:type="dxa"/>
            <w:vMerge/>
            <w:hideMark/>
          </w:tcPr>
          <w:p w:rsidR="00D606A6" w:rsidRPr="00047FA8" w:rsidRDefault="00D606A6" w:rsidP="008F1DF9">
            <w:pPr>
              <w:pStyle w:val="ListParagraph"/>
              <w:spacing w:after="0"/>
              <w:ind w:left="0"/>
              <w:jc w:val="left"/>
              <w:rPr>
                <w:rFonts w:ascii="Arial Narrow" w:hAnsi="Arial Narrow"/>
                <w:iCs/>
                <w:sz w:val="20"/>
                <w:szCs w:val="20"/>
              </w:rPr>
            </w:pPr>
          </w:p>
        </w:tc>
        <w:tc>
          <w:tcPr>
            <w:tcW w:w="2835" w:type="dxa"/>
          </w:tcPr>
          <w:p w:rsidR="00D606A6" w:rsidRPr="00047FA8" w:rsidRDefault="00D606A6" w:rsidP="00EC6B93">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Prevalent patients with residual disease currently on adjuvant trastuzumab.</w:t>
            </w:r>
          </w:p>
        </w:tc>
        <w:tc>
          <w:tcPr>
            <w:tcW w:w="4252" w:type="dxa"/>
          </w:tcPr>
          <w:p w:rsidR="003A592B" w:rsidRPr="00047FA8" w:rsidRDefault="00D606A6" w:rsidP="00D606A6">
            <w:pPr>
              <w:pStyle w:val="ListParagraph"/>
              <w:spacing w:after="0"/>
              <w:ind w:left="0"/>
              <w:jc w:val="left"/>
              <w:rPr>
                <w:rFonts w:ascii="Arial Narrow" w:hAnsi="Arial Narrow"/>
                <w:bCs/>
                <w:iCs/>
                <w:sz w:val="20"/>
                <w:szCs w:val="20"/>
                <w:lang w:val="en-US"/>
              </w:rPr>
            </w:pPr>
            <w:r w:rsidRPr="00047FA8">
              <w:rPr>
                <w:rFonts w:ascii="Arial Narrow" w:hAnsi="Arial Narrow"/>
                <w:bCs/>
                <w:iCs/>
                <w:sz w:val="20"/>
                <w:szCs w:val="20"/>
                <w:lang w:val="en-US"/>
              </w:rPr>
              <w:t>If T-DM1 is listed this will be a diminishing population</w:t>
            </w:r>
          </w:p>
          <w:p w:rsidR="00D606A6" w:rsidRPr="00047FA8" w:rsidRDefault="00D606A6" w:rsidP="003A592B">
            <w:pPr>
              <w:pStyle w:val="ListParagraph"/>
              <w:spacing w:after="0"/>
              <w:ind w:left="0"/>
              <w:jc w:val="left"/>
              <w:rPr>
                <w:rFonts w:ascii="Arial Narrow" w:hAnsi="Arial Narrow"/>
                <w:iCs/>
                <w:sz w:val="20"/>
                <w:szCs w:val="20"/>
              </w:rPr>
            </w:pPr>
          </w:p>
        </w:tc>
      </w:tr>
      <w:tr w:rsidR="00D606A6" w:rsidRPr="008F1DF9" w:rsidTr="00D10709">
        <w:trPr>
          <w:trHeight w:val="386"/>
        </w:trPr>
        <w:tc>
          <w:tcPr>
            <w:tcW w:w="1260" w:type="dxa"/>
            <w:vMerge/>
            <w:hideMark/>
          </w:tcPr>
          <w:p w:rsidR="00D606A6" w:rsidRPr="00047FA8" w:rsidRDefault="00D606A6" w:rsidP="008F1DF9">
            <w:pPr>
              <w:pStyle w:val="ListParagraph"/>
              <w:spacing w:after="0"/>
              <w:ind w:left="0"/>
              <w:jc w:val="left"/>
              <w:rPr>
                <w:rFonts w:ascii="Arial Narrow" w:hAnsi="Arial Narrow"/>
                <w:iCs/>
                <w:sz w:val="20"/>
                <w:szCs w:val="20"/>
              </w:rPr>
            </w:pPr>
          </w:p>
        </w:tc>
        <w:tc>
          <w:tcPr>
            <w:tcW w:w="2835" w:type="dxa"/>
            <w:hideMark/>
          </w:tcPr>
          <w:p w:rsidR="00D606A6" w:rsidRPr="00047FA8" w:rsidRDefault="00D606A6" w:rsidP="00D606A6">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Patients with a pCR</w:t>
            </w:r>
          </w:p>
        </w:tc>
        <w:tc>
          <w:tcPr>
            <w:tcW w:w="4252" w:type="dxa"/>
            <w:hideMark/>
          </w:tcPr>
          <w:p w:rsidR="00D606A6" w:rsidRPr="00047FA8" w:rsidRDefault="00D606A6" w:rsidP="00D606A6">
            <w:pPr>
              <w:pStyle w:val="ListParagraph"/>
              <w:spacing w:after="0"/>
              <w:ind w:left="0"/>
              <w:jc w:val="left"/>
              <w:rPr>
                <w:rFonts w:ascii="Arial Narrow" w:hAnsi="Arial Narrow"/>
                <w:bCs/>
                <w:iCs/>
                <w:sz w:val="20"/>
                <w:szCs w:val="20"/>
                <w:lang w:val="en-US"/>
              </w:rPr>
            </w:pPr>
            <w:r w:rsidRPr="00047FA8">
              <w:rPr>
                <w:rFonts w:ascii="Arial Narrow" w:hAnsi="Arial Narrow"/>
                <w:bCs/>
                <w:iCs/>
                <w:sz w:val="20"/>
                <w:szCs w:val="20"/>
                <w:lang w:val="en-US"/>
              </w:rPr>
              <w:t xml:space="preserve">Low likelihood of benefit as patients </w:t>
            </w:r>
            <w:r w:rsidR="00D00BEF" w:rsidRPr="00047FA8">
              <w:rPr>
                <w:rFonts w:ascii="Arial Narrow" w:hAnsi="Arial Narrow"/>
                <w:bCs/>
                <w:iCs/>
                <w:sz w:val="20"/>
                <w:szCs w:val="20"/>
                <w:lang w:val="en-US"/>
              </w:rPr>
              <w:t>are at lower risk of recurrence</w:t>
            </w:r>
          </w:p>
          <w:p w:rsidR="00D606A6" w:rsidRPr="00047FA8" w:rsidRDefault="00D606A6" w:rsidP="00EC6B93">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 xml:space="preserve">There is </w:t>
            </w:r>
            <w:r w:rsidR="00EC6B93" w:rsidRPr="00047FA8">
              <w:rPr>
                <w:rFonts w:ascii="Arial Narrow" w:hAnsi="Arial Narrow"/>
                <w:bCs/>
                <w:iCs/>
                <w:sz w:val="20"/>
                <w:szCs w:val="20"/>
                <w:lang w:val="en-US"/>
              </w:rPr>
              <w:t>a paucity of</w:t>
            </w:r>
            <w:r w:rsidRPr="00047FA8">
              <w:rPr>
                <w:rFonts w:ascii="Arial Narrow" w:hAnsi="Arial Narrow"/>
                <w:bCs/>
                <w:iCs/>
                <w:sz w:val="20"/>
                <w:szCs w:val="20"/>
                <w:lang w:val="en-US"/>
              </w:rPr>
              <w:t xml:space="preserve"> evidence for neratinib in this population as patients with </w:t>
            </w:r>
            <w:r w:rsidR="00EC6B93" w:rsidRPr="00047FA8">
              <w:rPr>
                <w:rFonts w:ascii="Arial Narrow" w:hAnsi="Arial Narrow"/>
                <w:bCs/>
                <w:iCs/>
                <w:sz w:val="20"/>
                <w:szCs w:val="20"/>
                <w:lang w:val="en-US"/>
              </w:rPr>
              <w:t xml:space="preserve">a </w:t>
            </w:r>
            <w:r w:rsidRPr="00047FA8">
              <w:rPr>
                <w:rFonts w:ascii="Arial Narrow" w:hAnsi="Arial Narrow"/>
                <w:bCs/>
                <w:iCs/>
                <w:sz w:val="20"/>
                <w:szCs w:val="20"/>
                <w:lang w:val="en-US"/>
              </w:rPr>
              <w:t>pCR after neoadjuvant therapy were excluded from the ExteNET trial</w:t>
            </w:r>
            <w:r w:rsidR="00D73C3C" w:rsidRPr="00047FA8">
              <w:rPr>
                <w:rFonts w:ascii="Arial Narrow" w:hAnsi="Arial Narrow"/>
                <w:bCs/>
                <w:iCs/>
                <w:sz w:val="20"/>
                <w:szCs w:val="20"/>
                <w:lang w:val="en-US"/>
              </w:rPr>
              <w:t xml:space="preserve"> following protocol amendment 3</w:t>
            </w:r>
          </w:p>
        </w:tc>
      </w:tr>
      <w:tr w:rsidR="00D606A6" w:rsidRPr="008F1DF9" w:rsidTr="00D00BEF">
        <w:trPr>
          <w:trHeight w:val="247"/>
        </w:trPr>
        <w:tc>
          <w:tcPr>
            <w:tcW w:w="1260" w:type="dxa"/>
            <w:vMerge w:val="restart"/>
            <w:vAlign w:val="center"/>
          </w:tcPr>
          <w:p w:rsidR="00D606A6" w:rsidRPr="00047FA8" w:rsidRDefault="00D606A6" w:rsidP="00D606A6">
            <w:pPr>
              <w:pStyle w:val="ListParagraph"/>
              <w:spacing w:after="0"/>
              <w:ind w:left="0"/>
              <w:jc w:val="center"/>
              <w:rPr>
                <w:rFonts w:ascii="Arial Narrow" w:hAnsi="Arial Narrow"/>
                <w:iCs/>
                <w:sz w:val="20"/>
                <w:szCs w:val="20"/>
              </w:rPr>
            </w:pPr>
            <w:r w:rsidRPr="00047FA8">
              <w:rPr>
                <w:rFonts w:ascii="Arial Narrow" w:hAnsi="Arial Narrow"/>
                <w:bCs/>
                <w:iCs/>
                <w:sz w:val="20"/>
                <w:szCs w:val="20"/>
                <w:lang w:val="en-US"/>
              </w:rPr>
              <w:t>Adjuvant pathway</w:t>
            </w:r>
          </w:p>
        </w:tc>
        <w:tc>
          <w:tcPr>
            <w:tcW w:w="2835" w:type="dxa"/>
          </w:tcPr>
          <w:p w:rsidR="00D606A6" w:rsidRPr="00047FA8" w:rsidRDefault="00D606A6" w:rsidP="00D606A6">
            <w:pPr>
              <w:pStyle w:val="ListParagraph"/>
              <w:spacing w:after="0"/>
              <w:ind w:left="0"/>
              <w:jc w:val="left"/>
              <w:rPr>
                <w:rFonts w:ascii="Arial Narrow" w:hAnsi="Arial Narrow"/>
                <w:bCs/>
                <w:iCs/>
                <w:sz w:val="20"/>
                <w:szCs w:val="20"/>
                <w:lang w:val="en-US"/>
              </w:rPr>
            </w:pPr>
            <w:r w:rsidRPr="00047FA8">
              <w:rPr>
                <w:rFonts w:ascii="Arial Narrow" w:hAnsi="Arial Narrow"/>
                <w:bCs/>
                <w:iCs/>
                <w:sz w:val="20"/>
                <w:szCs w:val="20"/>
                <w:lang w:val="en-US"/>
              </w:rPr>
              <w:t>T1a/bN0 tumours</w:t>
            </w:r>
          </w:p>
        </w:tc>
        <w:tc>
          <w:tcPr>
            <w:tcW w:w="4252" w:type="dxa"/>
          </w:tcPr>
          <w:p w:rsidR="00D606A6" w:rsidRPr="00047FA8" w:rsidRDefault="00CA4397" w:rsidP="00CA4397">
            <w:pPr>
              <w:pStyle w:val="ListParagraph"/>
              <w:spacing w:after="0"/>
              <w:ind w:left="0"/>
              <w:jc w:val="left"/>
              <w:rPr>
                <w:rFonts w:ascii="Arial Narrow" w:hAnsi="Arial Narrow"/>
                <w:bCs/>
                <w:iCs/>
                <w:sz w:val="20"/>
                <w:szCs w:val="20"/>
                <w:lang w:val="en-US"/>
              </w:rPr>
            </w:pPr>
            <w:r w:rsidRPr="00047FA8">
              <w:rPr>
                <w:rFonts w:ascii="Arial Narrow" w:hAnsi="Arial Narrow"/>
                <w:bCs/>
                <w:iCs/>
                <w:sz w:val="20"/>
                <w:szCs w:val="20"/>
                <w:lang w:val="en-US"/>
              </w:rPr>
              <w:t>There is n</w:t>
            </w:r>
            <w:r w:rsidR="00D606A6" w:rsidRPr="00047FA8">
              <w:rPr>
                <w:rFonts w:ascii="Arial Narrow" w:hAnsi="Arial Narrow"/>
                <w:bCs/>
                <w:iCs/>
                <w:sz w:val="20"/>
                <w:szCs w:val="20"/>
                <w:lang w:val="en-US"/>
              </w:rPr>
              <w:t>o data</w:t>
            </w:r>
            <w:r w:rsidR="00413A72" w:rsidRPr="00047FA8">
              <w:rPr>
                <w:rFonts w:ascii="Arial Narrow" w:hAnsi="Arial Narrow"/>
                <w:bCs/>
                <w:iCs/>
                <w:sz w:val="20"/>
                <w:szCs w:val="20"/>
                <w:lang w:val="en-US"/>
              </w:rPr>
              <w:t xml:space="preserve"> </w:t>
            </w:r>
            <w:r w:rsidRPr="00047FA8">
              <w:rPr>
                <w:rFonts w:ascii="Arial Narrow" w:hAnsi="Arial Narrow"/>
                <w:bCs/>
                <w:iCs/>
                <w:sz w:val="20"/>
                <w:szCs w:val="20"/>
                <w:lang w:val="en-US"/>
              </w:rPr>
              <w:t xml:space="preserve">in this population </w:t>
            </w:r>
            <w:r w:rsidR="00413A72" w:rsidRPr="00047FA8">
              <w:rPr>
                <w:rFonts w:ascii="Arial Narrow" w:hAnsi="Arial Narrow"/>
                <w:bCs/>
                <w:iCs/>
                <w:sz w:val="20"/>
                <w:szCs w:val="20"/>
                <w:lang w:val="en-US"/>
              </w:rPr>
              <w:t>as patients were excluded from ExteNET study</w:t>
            </w:r>
          </w:p>
        </w:tc>
      </w:tr>
      <w:tr w:rsidR="00D606A6" w:rsidRPr="008F1DF9" w:rsidTr="00D00BEF">
        <w:trPr>
          <w:trHeight w:val="265"/>
        </w:trPr>
        <w:tc>
          <w:tcPr>
            <w:tcW w:w="1260" w:type="dxa"/>
            <w:vMerge/>
            <w:vAlign w:val="center"/>
            <w:hideMark/>
          </w:tcPr>
          <w:p w:rsidR="00D606A6" w:rsidRPr="00047FA8" w:rsidRDefault="00D606A6" w:rsidP="008F1DF9">
            <w:pPr>
              <w:pStyle w:val="ListParagraph"/>
              <w:spacing w:after="0"/>
              <w:ind w:left="0"/>
              <w:jc w:val="center"/>
              <w:rPr>
                <w:rFonts w:ascii="Arial Narrow" w:hAnsi="Arial Narrow"/>
                <w:iCs/>
                <w:sz w:val="20"/>
                <w:szCs w:val="20"/>
              </w:rPr>
            </w:pPr>
          </w:p>
        </w:tc>
        <w:tc>
          <w:tcPr>
            <w:tcW w:w="2835" w:type="dxa"/>
            <w:hideMark/>
          </w:tcPr>
          <w:p w:rsidR="00D606A6" w:rsidRPr="00047FA8" w:rsidRDefault="00EC6B93"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T1c</w:t>
            </w:r>
            <w:r w:rsidR="00D606A6" w:rsidRPr="00047FA8">
              <w:rPr>
                <w:rFonts w:ascii="Arial Narrow" w:hAnsi="Arial Narrow"/>
                <w:bCs/>
                <w:iCs/>
                <w:sz w:val="20"/>
                <w:szCs w:val="20"/>
                <w:lang w:val="en-US"/>
              </w:rPr>
              <w:t>N0 tumours</w:t>
            </w:r>
          </w:p>
        </w:tc>
        <w:tc>
          <w:tcPr>
            <w:tcW w:w="4252" w:type="dxa"/>
            <w:hideMark/>
          </w:tcPr>
          <w:p w:rsidR="00D606A6" w:rsidRPr="00047FA8" w:rsidRDefault="008B3786" w:rsidP="008B3786">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There is a p</w:t>
            </w:r>
            <w:r w:rsidR="00D606A6" w:rsidRPr="00047FA8">
              <w:rPr>
                <w:rFonts w:ascii="Arial Narrow" w:hAnsi="Arial Narrow"/>
                <w:bCs/>
                <w:iCs/>
                <w:sz w:val="20"/>
                <w:szCs w:val="20"/>
                <w:lang w:val="en-US"/>
              </w:rPr>
              <w:t>aucity of data</w:t>
            </w:r>
            <w:r w:rsidRPr="00047FA8">
              <w:rPr>
                <w:rFonts w:ascii="Arial Narrow" w:hAnsi="Arial Narrow"/>
                <w:bCs/>
                <w:iCs/>
                <w:sz w:val="20"/>
                <w:szCs w:val="20"/>
                <w:lang w:val="en-US"/>
              </w:rPr>
              <w:t xml:space="preserve"> for neratinib in this population as patients were excluded from the ExteNET trial following protocol amendment 3.</w:t>
            </w:r>
          </w:p>
        </w:tc>
      </w:tr>
      <w:tr w:rsidR="00015A00" w:rsidRPr="008F1DF9" w:rsidTr="00D00BEF">
        <w:trPr>
          <w:trHeight w:val="1119"/>
        </w:trPr>
        <w:tc>
          <w:tcPr>
            <w:tcW w:w="1260" w:type="dxa"/>
            <w:vMerge/>
            <w:hideMark/>
          </w:tcPr>
          <w:p w:rsidR="00015A00" w:rsidRPr="00047FA8" w:rsidRDefault="00015A00" w:rsidP="008F1DF9">
            <w:pPr>
              <w:pStyle w:val="ListParagraph"/>
              <w:spacing w:after="0"/>
              <w:ind w:left="0"/>
              <w:jc w:val="left"/>
              <w:rPr>
                <w:rFonts w:ascii="Arial Narrow" w:hAnsi="Arial Narrow"/>
                <w:iCs/>
                <w:sz w:val="20"/>
                <w:szCs w:val="20"/>
              </w:rPr>
            </w:pPr>
          </w:p>
        </w:tc>
        <w:tc>
          <w:tcPr>
            <w:tcW w:w="2835" w:type="dxa"/>
            <w:hideMark/>
          </w:tcPr>
          <w:p w:rsidR="00015A00" w:rsidRPr="00047FA8" w:rsidRDefault="003A592B"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≥T1cN0-3 tumours (</w:t>
            </w:r>
            <w:r w:rsidR="00015A00" w:rsidRPr="00047FA8">
              <w:rPr>
                <w:rFonts w:ascii="Arial Narrow" w:hAnsi="Arial Narrow"/>
                <w:bCs/>
                <w:iCs/>
                <w:sz w:val="20"/>
                <w:szCs w:val="20"/>
                <w:lang w:val="en-US"/>
              </w:rPr>
              <w:t>no neoadjuvant treatment</w:t>
            </w:r>
            <w:r w:rsidRPr="00047FA8">
              <w:rPr>
                <w:rFonts w:ascii="Arial Narrow" w:hAnsi="Arial Narrow"/>
                <w:bCs/>
                <w:iCs/>
                <w:sz w:val="20"/>
                <w:szCs w:val="20"/>
                <w:lang w:val="en-US"/>
              </w:rPr>
              <w:t>)</w:t>
            </w:r>
          </w:p>
          <w:p w:rsidR="00015A00" w:rsidRPr="00047FA8" w:rsidRDefault="00015A00" w:rsidP="008F1DF9">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(prevalent pool + any incident patients)</w:t>
            </w:r>
          </w:p>
        </w:tc>
        <w:tc>
          <w:tcPr>
            <w:tcW w:w="4252" w:type="dxa"/>
            <w:hideMark/>
          </w:tcPr>
          <w:p w:rsidR="00015A00" w:rsidRPr="00047FA8" w:rsidRDefault="00015A00" w:rsidP="00015A00">
            <w:pPr>
              <w:pStyle w:val="ListParagraph"/>
              <w:spacing w:after="0"/>
              <w:ind w:left="0"/>
              <w:jc w:val="left"/>
              <w:rPr>
                <w:rFonts w:ascii="Arial Narrow" w:hAnsi="Arial Narrow"/>
                <w:iCs/>
                <w:sz w:val="20"/>
                <w:szCs w:val="20"/>
              </w:rPr>
            </w:pPr>
            <w:r w:rsidRPr="00047FA8">
              <w:rPr>
                <w:rFonts w:ascii="Arial Narrow" w:hAnsi="Arial Narrow"/>
                <w:bCs/>
                <w:iCs/>
                <w:sz w:val="20"/>
                <w:szCs w:val="20"/>
                <w:lang w:val="en-US"/>
              </w:rPr>
              <w:t xml:space="preserve">Diminishing population due to shift to neoadjuvant </w:t>
            </w:r>
            <w:r w:rsidR="00413A72" w:rsidRPr="00047FA8">
              <w:rPr>
                <w:rFonts w:ascii="Arial Narrow" w:hAnsi="Arial Narrow"/>
                <w:bCs/>
                <w:iCs/>
                <w:sz w:val="20"/>
                <w:szCs w:val="20"/>
                <w:lang w:val="en-US"/>
              </w:rPr>
              <w:t xml:space="preserve">treatment </w:t>
            </w:r>
            <w:r w:rsidRPr="00047FA8">
              <w:rPr>
                <w:rFonts w:ascii="Arial Narrow" w:hAnsi="Arial Narrow"/>
                <w:bCs/>
                <w:iCs/>
                <w:sz w:val="20"/>
                <w:szCs w:val="20"/>
                <w:lang w:val="en-US"/>
              </w:rPr>
              <w:t xml:space="preserve">(as supported by </w:t>
            </w:r>
            <w:r w:rsidR="00204EED" w:rsidRPr="00047FA8">
              <w:rPr>
                <w:rFonts w:ascii="Arial Narrow" w:hAnsi="Arial Narrow"/>
                <w:bCs/>
                <w:iCs/>
                <w:sz w:val="20"/>
                <w:szCs w:val="20"/>
                <w:lang w:val="en-US"/>
              </w:rPr>
              <w:t>BCNA</w:t>
            </w:r>
            <w:r w:rsidRPr="00047FA8">
              <w:rPr>
                <w:rFonts w:ascii="Arial Narrow" w:hAnsi="Arial Narrow"/>
                <w:bCs/>
                <w:iCs/>
                <w:sz w:val="20"/>
                <w:szCs w:val="20"/>
                <w:lang w:val="en-US"/>
              </w:rPr>
              <w:t>)</w:t>
            </w:r>
            <w:r w:rsidR="00D00BEF" w:rsidRPr="00047FA8">
              <w:rPr>
                <w:rFonts w:ascii="Arial Narrow" w:hAnsi="Arial Narrow"/>
                <w:bCs/>
                <w:iCs/>
                <w:sz w:val="20"/>
                <w:szCs w:val="20"/>
                <w:lang w:val="en-US"/>
              </w:rPr>
              <w:t>, particularly for this higher risk population</w:t>
            </w:r>
          </w:p>
        </w:tc>
      </w:tr>
    </w:tbl>
    <w:p w:rsidR="008F1DF9" w:rsidRDefault="008F1DF9" w:rsidP="00E0625F">
      <w:pPr>
        <w:pStyle w:val="ListParagraph"/>
        <w:widowControl/>
        <w:spacing w:after="0"/>
        <w:rPr>
          <w:rStyle w:val="CommentReference"/>
          <w:b w:val="0"/>
          <w:iCs/>
          <w:sz w:val="18"/>
          <w:szCs w:val="18"/>
        </w:rPr>
      </w:pPr>
      <w:r w:rsidRPr="008F1DF9">
        <w:rPr>
          <w:rStyle w:val="CommentReference"/>
          <w:b w:val="0"/>
          <w:iCs/>
          <w:sz w:val="18"/>
          <w:szCs w:val="18"/>
        </w:rPr>
        <w:t>Compiled during PBAC evaluation</w:t>
      </w:r>
      <w:r w:rsidR="007E67A4">
        <w:rPr>
          <w:rStyle w:val="CommentReference"/>
          <w:b w:val="0"/>
          <w:iCs/>
          <w:sz w:val="18"/>
          <w:szCs w:val="18"/>
        </w:rPr>
        <w:t xml:space="preserve"> using information from the pre-PBAC response</w:t>
      </w:r>
      <w:r w:rsidR="00413A72">
        <w:rPr>
          <w:rStyle w:val="CommentReference"/>
          <w:b w:val="0"/>
          <w:iCs/>
          <w:sz w:val="18"/>
          <w:szCs w:val="18"/>
        </w:rPr>
        <w:t xml:space="preserve">, and p33 </w:t>
      </w:r>
      <w:r w:rsidR="00856DF1">
        <w:rPr>
          <w:rStyle w:val="CommentReference"/>
          <w:b w:val="0"/>
          <w:iCs/>
          <w:sz w:val="18"/>
          <w:szCs w:val="18"/>
        </w:rPr>
        <w:t xml:space="preserve">and p84 </w:t>
      </w:r>
      <w:r w:rsidR="00413A72">
        <w:rPr>
          <w:rStyle w:val="CommentReference"/>
          <w:b w:val="0"/>
          <w:iCs/>
          <w:sz w:val="18"/>
          <w:szCs w:val="18"/>
        </w:rPr>
        <w:t>of the neratinib submission</w:t>
      </w:r>
      <w:r w:rsidR="007E67A4">
        <w:rPr>
          <w:rStyle w:val="CommentReference"/>
          <w:b w:val="0"/>
          <w:iCs/>
          <w:sz w:val="18"/>
          <w:szCs w:val="18"/>
        </w:rPr>
        <w:t xml:space="preserve">. </w:t>
      </w:r>
    </w:p>
    <w:p w:rsidR="00E0625F" w:rsidRDefault="00E0625F" w:rsidP="00E0625F">
      <w:pPr>
        <w:pStyle w:val="Bulletpoints"/>
        <w:numPr>
          <w:ilvl w:val="0"/>
          <w:numId w:val="0"/>
        </w:numPr>
        <w:ind w:left="720"/>
        <w:rPr>
          <w:rStyle w:val="CommentReference"/>
          <w:b w:val="0"/>
          <w:iCs/>
          <w:sz w:val="18"/>
          <w:szCs w:val="18"/>
        </w:rPr>
      </w:pPr>
      <w:r>
        <w:rPr>
          <w:rStyle w:val="CommentReference"/>
          <w:b w:val="0"/>
          <w:iCs/>
          <w:sz w:val="18"/>
          <w:szCs w:val="18"/>
        </w:rPr>
        <w:t>*71 of 740 patients in the T-DM1 arm switched to trastuzumab, 63 patients completed 14 cycles of HER-2 directed therapy (von Minckwitz et al (2019).</w:t>
      </w:r>
    </w:p>
    <w:p w:rsidR="003C7FC9" w:rsidRDefault="003C7FC9" w:rsidP="00E0625F">
      <w:pPr>
        <w:pStyle w:val="Bulletpoints"/>
        <w:numPr>
          <w:ilvl w:val="0"/>
          <w:numId w:val="0"/>
        </w:numPr>
        <w:ind w:left="720"/>
        <w:rPr>
          <w:rStyle w:val="CommentReference"/>
          <w:b w:val="0"/>
          <w:iCs/>
          <w:sz w:val="18"/>
          <w:szCs w:val="18"/>
        </w:rPr>
      </w:pPr>
    </w:p>
    <w:p w:rsidR="003C7FC9" w:rsidRPr="003C7FC9" w:rsidRDefault="003C7FC9" w:rsidP="003C7FC9">
      <w:pPr>
        <w:pStyle w:val="ListParagraph"/>
        <w:widowControl/>
        <w:numPr>
          <w:ilvl w:val="1"/>
          <w:numId w:val="5"/>
        </w:numPr>
      </w:pPr>
      <w:r w:rsidRPr="003C7FC9">
        <w:rPr>
          <w:iCs/>
        </w:rPr>
        <w:t>Therefore, the PBAC noted that, if T-DM1 is listed on the PBS, the relevant populations, in which there is clinical evidence for neratinib, would be limited to (i) patients with ≥T1cN0-3 tumours who do not receive neoadjuvant treatment and (ii) a prevalent pool of patients with residual disease following neoadjuvant treatment, who have been treated with adjuvant trastuzumab. The PBAC noted that both would be diminishing populations.</w:t>
      </w:r>
    </w:p>
    <w:p w:rsidR="00F82734" w:rsidRPr="00F82734" w:rsidRDefault="00F82734" w:rsidP="003C7FC9">
      <w:pPr>
        <w:pStyle w:val="ListParagraph"/>
        <w:rPr>
          <w:rStyle w:val="CommentReference"/>
          <w:rFonts w:ascii="Calibri" w:hAnsi="Calibri"/>
          <w:b w:val="0"/>
          <w:iCs/>
          <w:sz w:val="24"/>
          <w:szCs w:val="22"/>
        </w:rPr>
        <w:sectPr w:rsidR="00F82734" w:rsidRPr="00F82734" w:rsidSect="0005561C">
          <w:headerReference w:type="default" r:id="rId8"/>
          <w:footerReference w:type="default" r:id="rId9"/>
          <w:pgSz w:w="11907" w:h="16840" w:code="9"/>
          <w:pgMar w:top="1440" w:right="1440" w:bottom="1440" w:left="1440" w:header="1440" w:footer="1440" w:gutter="0"/>
          <w:pgNumType w:start="1"/>
          <w:cols w:space="708"/>
          <w:docGrid w:linePitch="360"/>
        </w:sectPr>
      </w:pPr>
    </w:p>
    <w:p w:rsidR="00CB648D" w:rsidRPr="00CB648D" w:rsidRDefault="00CB648D" w:rsidP="00025B3F">
      <w:pPr>
        <w:keepNext/>
        <w:widowControl/>
        <w:rPr>
          <w:rFonts w:ascii="Arial Narrow" w:hAnsi="Arial Narrow"/>
          <w:b/>
          <w:sz w:val="20"/>
          <w:szCs w:val="16"/>
        </w:rPr>
      </w:pPr>
      <w:r>
        <w:rPr>
          <w:rStyle w:val="CommentReference"/>
        </w:rPr>
        <w:lastRenderedPageBreak/>
        <w:t>Figure 1</w:t>
      </w:r>
      <w:r w:rsidRPr="00BB3215">
        <w:rPr>
          <w:rStyle w:val="CommentReference"/>
        </w:rPr>
        <w:t>: Clinical management algorithm of HER-2 positive breast cancer if neratinib (TDM-1 and pertuzumab) listed on the PBS</w:t>
      </w:r>
      <w:r w:rsidR="00F35A21">
        <w:rPr>
          <w:rStyle w:val="CommentReference"/>
        </w:rPr>
        <w:t xml:space="preserve"> (as presented in the submission)</w:t>
      </w:r>
    </w:p>
    <w:p w:rsidR="00CB648D" w:rsidRPr="00BB3215" w:rsidRDefault="00CB648D" w:rsidP="00025B3F">
      <w:pPr>
        <w:widowControl/>
      </w:pPr>
      <w:r w:rsidRPr="00BB3215">
        <w:rPr>
          <w:noProof/>
          <w:lang w:eastAsia="en-AU"/>
        </w:rPr>
        <w:drawing>
          <wp:inline distT="0" distB="0" distL="0" distR="0" wp14:anchorId="55F512DB" wp14:editId="35E13A1E">
            <wp:extent cx="8495030" cy="3956050"/>
            <wp:effectExtent l="0" t="0" r="1270" b="6350"/>
            <wp:docPr id="3" name="Picture 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x algorithm (New) July2019 - HR 1st (2).jpg"/>
                    <pic:cNvPicPr/>
                  </pic:nvPicPr>
                  <pic:blipFill>
                    <a:blip r:embed="rId10"/>
                    <a:stretch>
                      <a:fillRect/>
                    </a:stretch>
                  </pic:blipFill>
                  <pic:spPr>
                    <a:xfrm>
                      <a:off x="0" y="0"/>
                      <a:ext cx="8511642" cy="3963786"/>
                    </a:xfrm>
                    <a:prstGeom prst="rect">
                      <a:avLst/>
                    </a:prstGeom>
                  </pic:spPr>
                </pic:pic>
              </a:graphicData>
            </a:graphic>
          </wp:inline>
        </w:drawing>
      </w:r>
    </w:p>
    <w:p w:rsidR="00CB648D" w:rsidRDefault="00CB648D" w:rsidP="00025B3F">
      <w:pPr>
        <w:widowControl/>
        <w:rPr>
          <w:rFonts w:ascii="Arial Narrow" w:hAnsi="Arial Narrow"/>
          <w:sz w:val="18"/>
        </w:rPr>
      </w:pPr>
      <w:r w:rsidRPr="00CB648D">
        <w:rPr>
          <w:rFonts w:ascii="Arial Narrow" w:hAnsi="Arial Narrow"/>
          <w:sz w:val="18"/>
        </w:rPr>
        <w:t>Source: Figure 18, p60 of the resubmission</w:t>
      </w:r>
    </w:p>
    <w:p w:rsidR="00961918" w:rsidRDefault="00961918" w:rsidP="00025B3F">
      <w:pPr>
        <w:widowControl/>
        <w:rPr>
          <w:rFonts w:ascii="Arial Narrow" w:hAnsi="Arial Narrow"/>
          <w:sz w:val="18"/>
        </w:rPr>
      </w:pPr>
    </w:p>
    <w:p w:rsidR="00961918" w:rsidRDefault="00961918" w:rsidP="00025B3F">
      <w:pPr>
        <w:widowControl/>
        <w:rPr>
          <w:rFonts w:ascii="Arial Narrow" w:hAnsi="Arial Narrow"/>
          <w:sz w:val="18"/>
        </w:rPr>
      </w:pPr>
    </w:p>
    <w:p w:rsidR="00961918" w:rsidRPr="00CB648D" w:rsidRDefault="00961918" w:rsidP="00025B3F">
      <w:pPr>
        <w:widowControl/>
        <w:rPr>
          <w:rFonts w:ascii="Arial Narrow" w:hAnsi="Arial Narrow"/>
          <w:sz w:val="18"/>
        </w:rPr>
        <w:sectPr w:rsidR="00961918" w:rsidRPr="00CB648D" w:rsidSect="000F2144">
          <w:headerReference w:type="default" r:id="rId11"/>
          <w:pgSz w:w="16840" w:h="11907" w:orient="landscape" w:code="9"/>
          <w:pgMar w:top="1440" w:right="1440" w:bottom="1440" w:left="1440" w:header="1440" w:footer="1440" w:gutter="0"/>
          <w:cols w:space="708"/>
          <w:docGrid w:linePitch="360"/>
        </w:sectPr>
      </w:pPr>
      <w:r w:rsidRPr="00525B39">
        <w:rPr>
          <w:rFonts w:asciiTheme="minorHAnsi" w:hAnsiTheme="minorHAnsi"/>
          <w:i/>
        </w:rPr>
        <w:t>For more detail on PBAC’s view, see section 7 PBAC outcome.</w:t>
      </w:r>
    </w:p>
    <w:p w:rsidR="004B4968" w:rsidRPr="00BB3215" w:rsidRDefault="004B4968" w:rsidP="00025B3F">
      <w:pPr>
        <w:pStyle w:val="PBACHeading1"/>
        <w:keepNext/>
        <w:numPr>
          <w:ilvl w:val="0"/>
          <w:numId w:val="5"/>
        </w:numPr>
        <w:spacing w:before="240" w:after="120"/>
        <w:outlineLvl w:val="0"/>
      </w:pPr>
      <w:bookmarkStart w:id="10" w:name="_Toc18935806"/>
      <w:r w:rsidRPr="00BB3215">
        <w:lastRenderedPageBreak/>
        <w:t>Comparator</w:t>
      </w:r>
      <w:bookmarkEnd w:id="10"/>
    </w:p>
    <w:p w:rsidR="004B4968" w:rsidRPr="00EF5B8F" w:rsidRDefault="004B4968" w:rsidP="00A84C29">
      <w:pPr>
        <w:pStyle w:val="ListParagraph"/>
        <w:keepNext/>
        <w:widowControl/>
        <w:numPr>
          <w:ilvl w:val="1"/>
          <w:numId w:val="5"/>
        </w:numPr>
        <w:rPr>
          <w:iCs/>
        </w:rPr>
      </w:pPr>
      <w:r w:rsidRPr="00EF5B8F">
        <w:t xml:space="preserve">The resubmission nominated usual care/placebo as the main comparator. </w:t>
      </w:r>
      <w:r w:rsidRPr="00EF5B8F">
        <w:rPr>
          <w:iCs/>
        </w:rPr>
        <w:t xml:space="preserve">This is unchanged from the original submission and </w:t>
      </w:r>
      <w:r w:rsidR="005B5136" w:rsidRPr="00EF5B8F">
        <w:rPr>
          <w:iCs/>
        </w:rPr>
        <w:t xml:space="preserve">the ESC noted this </w:t>
      </w:r>
      <w:r w:rsidRPr="00EF5B8F">
        <w:rPr>
          <w:iCs/>
        </w:rPr>
        <w:t xml:space="preserve">was considered reasonable by the </w:t>
      </w:r>
      <w:r w:rsidR="00921DE7" w:rsidRPr="00EF5B8F">
        <w:rPr>
          <w:iCs/>
        </w:rPr>
        <w:t>PBAC previously</w:t>
      </w:r>
      <w:r w:rsidR="00C21660" w:rsidRPr="00EF5B8F">
        <w:t xml:space="preserve"> (para</w:t>
      </w:r>
      <w:r w:rsidR="001A4674">
        <w:t>graph</w:t>
      </w:r>
      <w:r w:rsidR="00C21660" w:rsidRPr="00EF5B8F">
        <w:t xml:space="preserve"> 5.1, </w:t>
      </w:r>
      <w:r w:rsidR="001A4674">
        <w:t>n</w:t>
      </w:r>
      <w:r w:rsidR="00C21660" w:rsidRPr="00EF5B8F">
        <w:t>eratinib PSD, March 2019)</w:t>
      </w:r>
      <w:r w:rsidRPr="00EF5B8F">
        <w:rPr>
          <w:iCs/>
        </w:rPr>
        <w:t>.</w:t>
      </w:r>
    </w:p>
    <w:p w:rsidR="004B4968" w:rsidRPr="00EF5B8F" w:rsidRDefault="004B4968" w:rsidP="00A84C29">
      <w:pPr>
        <w:pStyle w:val="ListParagraph"/>
        <w:widowControl/>
        <w:numPr>
          <w:ilvl w:val="1"/>
          <w:numId w:val="5"/>
        </w:numPr>
      </w:pPr>
      <w:r w:rsidRPr="00EF5B8F">
        <w:t xml:space="preserve">The PBAC considered that ‘both pertuzumab and T-DM1 could be considered near market comparators and the clinical place of neratinib would need to be considered with regard to potential changes in the clinical algorithm’ </w:t>
      </w:r>
      <w:r w:rsidR="00C21660" w:rsidRPr="00EF5B8F">
        <w:t>(para</w:t>
      </w:r>
      <w:r w:rsidR="001A4674">
        <w:t>graph</w:t>
      </w:r>
      <w:r w:rsidR="00C21660" w:rsidRPr="00EF5B8F">
        <w:t xml:space="preserve"> 7.5, </w:t>
      </w:r>
      <w:r w:rsidR="001A4674">
        <w:t>n</w:t>
      </w:r>
      <w:r w:rsidR="00C21660" w:rsidRPr="00EF5B8F">
        <w:t>eratinib PSD, March 2019)</w:t>
      </w:r>
      <w:r w:rsidRPr="00EF5B8F">
        <w:t>.</w:t>
      </w:r>
    </w:p>
    <w:p w:rsidR="00282453" w:rsidRPr="00EF5B8F" w:rsidRDefault="004B4968" w:rsidP="00A84C29">
      <w:pPr>
        <w:pStyle w:val="ListParagraph"/>
        <w:widowControl/>
        <w:numPr>
          <w:ilvl w:val="1"/>
          <w:numId w:val="5"/>
        </w:numPr>
        <w:rPr>
          <w:iCs/>
        </w:rPr>
      </w:pPr>
      <w:r w:rsidRPr="00EF5B8F">
        <w:t xml:space="preserve">The resubmission nominated pertuzumab in combination with trastuzumab and chemotherapy (Ptz+T+Chemo) as a near market comparator. </w:t>
      </w:r>
      <w:r w:rsidR="00282453" w:rsidRPr="00EF5B8F">
        <w:rPr>
          <w:iCs/>
        </w:rPr>
        <w:t xml:space="preserve">The resubmission conducted an indirect comparison of neratinib (ExteNET trial) and pertuzumab (APHINITY trial), using trastuzumab plus chemotherapy (T+Chemo) as the common comparator. </w:t>
      </w:r>
    </w:p>
    <w:p w:rsidR="005C4B44" w:rsidRPr="00EF5B8F" w:rsidRDefault="004B4968" w:rsidP="00A84C29">
      <w:pPr>
        <w:pStyle w:val="ListParagraph"/>
        <w:widowControl/>
        <w:numPr>
          <w:ilvl w:val="1"/>
          <w:numId w:val="5"/>
        </w:numPr>
      </w:pPr>
      <w:r w:rsidRPr="00EF5B8F">
        <w:rPr>
          <w:iCs/>
        </w:rPr>
        <w:t xml:space="preserve">The resubmission did not include T-DM1 as a near market comparator as per the PBAC recommendation </w:t>
      </w:r>
      <w:r w:rsidR="00C21660" w:rsidRPr="00EF5B8F">
        <w:rPr>
          <w:iCs/>
        </w:rPr>
        <w:t>(para</w:t>
      </w:r>
      <w:r w:rsidR="00AE687F">
        <w:rPr>
          <w:iCs/>
        </w:rPr>
        <w:t>graph</w:t>
      </w:r>
      <w:r w:rsidR="00C21660" w:rsidRPr="00EF5B8F">
        <w:rPr>
          <w:iCs/>
        </w:rPr>
        <w:t xml:space="preserve"> 5.2, </w:t>
      </w:r>
      <w:r w:rsidR="00AE687F">
        <w:rPr>
          <w:iCs/>
        </w:rPr>
        <w:t>n</w:t>
      </w:r>
      <w:r w:rsidR="00C21660" w:rsidRPr="00EF5B8F">
        <w:rPr>
          <w:iCs/>
        </w:rPr>
        <w:t>eratinib PSD, March 2019)</w:t>
      </w:r>
      <w:r w:rsidRPr="00EF5B8F">
        <w:rPr>
          <w:iCs/>
        </w:rPr>
        <w:t>.</w:t>
      </w:r>
      <w:r w:rsidR="00CA70E4" w:rsidRPr="00EF5B8F">
        <w:rPr>
          <w:iCs/>
        </w:rPr>
        <w:t xml:space="preserve"> </w:t>
      </w:r>
      <w:r w:rsidR="005C4B44" w:rsidRPr="00EF5B8F">
        <w:t xml:space="preserve">The resubmission stated that ‘if in the future T-DM1 is registered and reimbursed in the adjuvant setting, it will be used as a substitute for trastuzumab in the adjuvant setting as follow-up therapy for a distinct pre-specified high risk neoadjuvant patient population who did not achieve a pathological complete response’ (p47 of the resubmission). </w:t>
      </w:r>
    </w:p>
    <w:p w:rsidR="004B4968" w:rsidRPr="00EF5B8F" w:rsidRDefault="005C4B44" w:rsidP="00A84C29">
      <w:pPr>
        <w:pStyle w:val="ListParagraph"/>
        <w:widowControl/>
        <w:numPr>
          <w:ilvl w:val="1"/>
          <w:numId w:val="5"/>
        </w:numPr>
        <w:rPr>
          <w:iCs/>
        </w:rPr>
      </w:pPr>
      <w:r w:rsidRPr="00EF5B8F">
        <w:t xml:space="preserve">The resubmission and </w:t>
      </w:r>
      <w:r w:rsidR="008472BF">
        <w:t>Pre-Sub-Committee Response (</w:t>
      </w:r>
      <w:r w:rsidRPr="00EF5B8F">
        <w:t>PSCR</w:t>
      </w:r>
      <w:r w:rsidR="008472BF">
        <w:t>)</w:t>
      </w:r>
      <w:r w:rsidRPr="00EF5B8F">
        <w:t xml:space="preserve"> argued that the KATHERINE and ExteNET trials cannot be directly compared as the KATHERINE trial only included high-risk patients. </w:t>
      </w:r>
      <w:r w:rsidR="00CA70E4" w:rsidRPr="00EF5B8F">
        <w:rPr>
          <w:iCs/>
        </w:rPr>
        <w:t xml:space="preserve">The PSCR argued that T-DM1 </w:t>
      </w:r>
      <w:r w:rsidR="008A4B31" w:rsidRPr="00EF5B8F">
        <w:rPr>
          <w:iCs/>
        </w:rPr>
        <w:t xml:space="preserve">should not be included as a near-market comparator because </w:t>
      </w:r>
      <w:r w:rsidR="00CA70E4" w:rsidRPr="00EF5B8F">
        <w:rPr>
          <w:iCs/>
        </w:rPr>
        <w:t xml:space="preserve">the patient population investigated in the KATHERINE study represented 10.5% of </w:t>
      </w:r>
      <w:r w:rsidRPr="00EF5B8F">
        <w:rPr>
          <w:iCs/>
        </w:rPr>
        <w:t xml:space="preserve">HR+ patients with &lt;1 year from last dose of trastuzumab </w:t>
      </w:r>
      <w:r w:rsidR="00CA70E4" w:rsidRPr="00EF5B8F">
        <w:rPr>
          <w:iCs/>
        </w:rPr>
        <w:t xml:space="preserve">in the ExteNET study (Table 10 of the resubmission). The ESC </w:t>
      </w:r>
      <w:r w:rsidR="00B17847" w:rsidRPr="00EF5B8F">
        <w:rPr>
          <w:iCs/>
        </w:rPr>
        <w:t xml:space="preserve">noted that in the ExteNET study 17.2% of </w:t>
      </w:r>
      <w:r w:rsidRPr="00EF5B8F">
        <w:rPr>
          <w:iCs/>
        </w:rPr>
        <w:t>the ITT population</w:t>
      </w:r>
      <w:r w:rsidR="00B17847" w:rsidRPr="00EF5B8F">
        <w:rPr>
          <w:iCs/>
        </w:rPr>
        <w:t xml:space="preserve"> initiated trastuzumab in the neoadjuvant setting and patients with prior neoadjuvant therapy were excluded if they achieved a pathologic complete response (pCR). </w:t>
      </w:r>
      <w:r w:rsidRPr="00EF5B8F">
        <w:rPr>
          <w:iCs/>
        </w:rPr>
        <w:t>As such, a substantial proportion of the ExteNET trial population overlapped with the KATHERINE trial population.</w:t>
      </w:r>
    </w:p>
    <w:p w:rsidR="004B4968" w:rsidRPr="00961918" w:rsidRDefault="004B4968" w:rsidP="00A84C29">
      <w:pPr>
        <w:pStyle w:val="ListParagraph"/>
        <w:widowControl/>
        <w:numPr>
          <w:ilvl w:val="1"/>
          <w:numId w:val="5"/>
        </w:numPr>
      </w:pPr>
      <w:r w:rsidRPr="00EF5B8F">
        <w:rPr>
          <w:iCs/>
        </w:rPr>
        <w:t xml:space="preserve">The resubmission also updated the proposed restriction to stop patients receiving sequential treatment with neratinib and T-DM1. If T-DM1 were to be listed on the PBS for HER2+ eBC, patients receiving T-DM1 would not be permitted to receive neratinib as a sequential treatment. However, patients unable to tolerate T-DM1 who switched to trastuzumab monotherapy would be permitted to receive neratinib as an extended adjuvant therapy following trastuzumab monotherapy. </w:t>
      </w:r>
    </w:p>
    <w:p w:rsidR="00961918" w:rsidRPr="00EF5B8F" w:rsidRDefault="00961918" w:rsidP="00961918">
      <w:pPr>
        <w:pStyle w:val="ListParagraph"/>
        <w:widowControl/>
      </w:pPr>
      <w:r w:rsidRPr="00525B39">
        <w:rPr>
          <w:rFonts w:asciiTheme="minorHAnsi" w:hAnsiTheme="minorHAnsi"/>
          <w:i/>
        </w:rPr>
        <w:t>For more detail on PBAC’s view, see section 7 PBAC outcome.</w:t>
      </w:r>
    </w:p>
    <w:p w:rsidR="004B4968" w:rsidRPr="00BB3215" w:rsidRDefault="004B4968" w:rsidP="00025B3F">
      <w:pPr>
        <w:widowControl/>
      </w:pPr>
    </w:p>
    <w:p w:rsidR="004B4968" w:rsidRPr="00BB3215" w:rsidRDefault="004B4968" w:rsidP="008472BF">
      <w:pPr>
        <w:pStyle w:val="PBACHeading1"/>
        <w:keepNext/>
        <w:numPr>
          <w:ilvl w:val="0"/>
          <w:numId w:val="5"/>
        </w:numPr>
        <w:spacing w:before="240" w:after="120"/>
        <w:outlineLvl w:val="0"/>
      </w:pPr>
      <w:bookmarkStart w:id="11" w:name="_Toc18935807"/>
      <w:r w:rsidRPr="00BB3215">
        <w:lastRenderedPageBreak/>
        <w:t>Consideration of the evidence</w:t>
      </w:r>
      <w:bookmarkEnd w:id="11"/>
    </w:p>
    <w:p w:rsidR="00B46428" w:rsidRPr="00836F75" w:rsidRDefault="00B46428" w:rsidP="00982397">
      <w:pPr>
        <w:spacing w:before="240" w:line="276" w:lineRule="auto"/>
        <w:outlineLvl w:val="1"/>
        <w:rPr>
          <w:rFonts w:asciiTheme="minorHAnsi" w:hAnsiTheme="minorHAnsi"/>
          <w:b/>
          <w:bCs/>
          <w:i/>
          <w:sz w:val="28"/>
          <w:szCs w:val="28"/>
        </w:rPr>
      </w:pPr>
      <w:bookmarkStart w:id="12" w:name="_Toc18935808"/>
      <w:r w:rsidRPr="00836F75">
        <w:rPr>
          <w:rFonts w:asciiTheme="minorHAnsi" w:hAnsiTheme="minorHAnsi"/>
          <w:b/>
          <w:bCs/>
          <w:i/>
          <w:sz w:val="28"/>
          <w:szCs w:val="28"/>
        </w:rPr>
        <w:t>Sponsor hearing</w:t>
      </w:r>
    </w:p>
    <w:p w:rsidR="00B46428" w:rsidRPr="00836F75" w:rsidRDefault="00B46428" w:rsidP="00A84C29">
      <w:pPr>
        <w:numPr>
          <w:ilvl w:val="1"/>
          <w:numId w:val="5"/>
        </w:numPr>
        <w:spacing w:after="120"/>
        <w:rPr>
          <w:rFonts w:asciiTheme="minorHAnsi" w:hAnsiTheme="minorHAnsi"/>
          <w:bCs/>
        </w:rPr>
      </w:pPr>
      <w:r w:rsidRPr="00836F75">
        <w:rPr>
          <w:rFonts w:asciiTheme="minorHAnsi" w:hAnsiTheme="minorHAnsi"/>
          <w:bCs/>
        </w:rPr>
        <w:t xml:space="preserve">The sponsor requested a hearing for this item. The </w:t>
      </w:r>
      <w:r w:rsidR="00B472F5">
        <w:rPr>
          <w:rFonts w:asciiTheme="minorHAnsi" w:hAnsiTheme="minorHAnsi"/>
          <w:bCs/>
        </w:rPr>
        <w:t>sponsor</w:t>
      </w:r>
      <w:r w:rsidR="00EA5849">
        <w:rPr>
          <w:rFonts w:asciiTheme="minorHAnsi" w:hAnsiTheme="minorHAnsi"/>
          <w:bCs/>
        </w:rPr>
        <w:t xml:space="preserve"> </w:t>
      </w:r>
      <w:r w:rsidRPr="00836F75">
        <w:rPr>
          <w:rFonts w:asciiTheme="minorHAnsi" w:hAnsiTheme="minorHAnsi"/>
          <w:bCs/>
        </w:rPr>
        <w:t xml:space="preserve">addressed </w:t>
      </w:r>
      <w:r w:rsidR="00EA5849">
        <w:rPr>
          <w:rFonts w:asciiTheme="minorHAnsi" w:hAnsiTheme="minorHAnsi"/>
          <w:bCs/>
        </w:rPr>
        <w:t>three key issues including the clinical place of therapy, the potential bias of the reconsenting process in the ExteNET trial, and the management of diarrhoea</w:t>
      </w:r>
      <w:r w:rsidR="00B91C88">
        <w:rPr>
          <w:rFonts w:asciiTheme="minorHAnsi" w:hAnsiTheme="minorHAnsi"/>
          <w:bCs/>
        </w:rPr>
        <w:t xml:space="preserve"> </w:t>
      </w:r>
      <w:r w:rsidR="00CA5551">
        <w:rPr>
          <w:rFonts w:asciiTheme="minorHAnsi" w:hAnsiTheme="minorHAnsi"/>
          <w:bCs/>
        </w:rPr>
        <w:t xml:space="preserve">associated with </w:t>
      </w:r>
      <w:r w:rsidR="00B91C88">
        <w:rPr>
          <w:rFonts w:asciiTheme="minorHAnsi" w:hAnsiTheme="minorHAnsi"/>
          <w:bCs/>
        </w:rPr>
        <w:t>neratinib</w:t>
      </w:r>
      <w:r w:rsidR="00EA5849">
        <w:rPr>
          <w:rFonts w:asciiTheme="minorHAnsi" w:hAnsiTheme="minorHAnsi"/>
          <w:bCs/>
        </w:rPr>
        <w:t xml:space="preserve">. </w:t>
      </w:r>
      <w:r w:rsidR="00D0710B">
        <w:rPr>
          <w:rFonts w:asciiTheme="minorHAnsi" w:hAnsiTheme="minorHAnsi"/>
          <w:bCs/>
        </w:rPr>
        <w:t xml:space="preserve">The PBAC considered that the information presented for the </w:t>
      </w:r>
      <w:r w:rsidR="00B91C88">
        <w:rPr>
          <w:rFonts w:asciiTheme="minorHAnsi" w:hAnsiTheme="minorHAnsi"/>
          <w:bCs/>
        </w:rPr>
        <w:t>first two key issues did not add substantively to the evidence</w:t>
      </w:r>
      <w:r w:rsidR="00D0710B">
        <w:rPr>
          <w:rFonts w:asciiTheme="minorHAnsi" w:hAnsiTheme="minorHAnsi"/>
          <w:bCs/>
        </w:rPr>
        <w:t xml:space="preserve"> already</w:t>
      </w:r>
      <w:r w:rsidR="00B91C88">
        <w:rPr>
          <w:rFonts w:asciiTheme="minorHAnsi" w:hAnsiTheme="minorHAnsi"/>
          <w:bCs/>
        </w:rPr>
        <w:t xml:space="preserve"> presented in the submission. In relation to the </w:t>
      </w:r>
      <w:r w:rsidR="00A65A39">
        <w:rPr>
          <w:rFonts w:asciiTheme="minorHAnsi" w:hAnsiTheme="minorHAnsi"/>
          <w:bCs/>
        </w:rPr>
        <w:t xml:space="preserve">management of diarrhoea as an adverse event, the sponsor highlighted that there </w:t>
      </w:r>
      <w:r w:rsidR="00204EED">
        <w:rPr>
          <w:rFonts w:asciiTheme="minorHAnsi" w:hAnsiTheme="minorHAnsi"/>
          <w:bCs/>
        </w:rPr>
        <w:t>are</w:t>
      </w:r>
      <w:r w:rsidR="00A65A39">
        <w:rPr>
          <w:rFonts w:asciiTheme="minorHAnsi" w:hAnsiTheme="minorHAnsi"/>
          <w:bCs/>
        </w:rPr>
        <w:t xml:space="preserve"> currently 280 patients in the patient access program</w:t>
      </w:r>
      <w:r w:rsidR="00D0710B">
        <w:rPr>
          <w:rFonts w:asciiTheme="minorHAnsi" w:hAnsiTheme="minorHAnsi"/>
          <w:bCs/>
        </w:rPr>
        <w:t xml:space="preserve"> and clinical data </w:t>
      </w:r>
      <w:r w:rsidR="00204EED">
        <w:rPr>
          <w:rFonts w:asciiTheme="minorHAnsi" w:hAnsiTheme="minorHAnsi"/>
          <w:bCs/>
        </w:rPr>
        <w:t>are</w:t>
      </w:r>
      <w:r w:rsidR="00D0710B">
        <w:rPr>
          <w:rFonts w:asciiTheme="minorHAnsi" w:hAnsiTheme="minorHAnsi"/>
          <w:bCs/>
        </w:rPr>
        <w:t xml:space="preserve"> currently being collected from this program</w:t>
      </w:r>
      <w:r w:rsidR="00A65A39">
        <w:rPr>
          <w:rFonts w:asciiTheme="minorHAnsi" w:hAnsiTheme="minorHAnsi"/>
          <w:bCs/>
        </w:rPr>
        <w:t>. Dose escalation with neratinib was initiated in July 2019, which aligns with the dose manag</w:t>
      </w:r>
      <w:r w:rsidR="00D0710B">
        <w:rPr>
          <w:rFonts w:asciiTheme="minorHAnsi" w:hAnsiTheme="minorHAnsi"/>
          <w:bCs/>
        </w:rPr>
        <w:t>e</w:t>
      </w:r>
      <w:r w:rsidR="00A65A39">
        <w:rPr>
          <w:rFonts w:asciiTheme="minorHAnsi" w:hAnsiTheme="minorHAnsi"/>
          <w:bCs/>
        </w:rPr>
        <w:t>ment of</w:t>
      </w:r>
      <w:r w:rsidR="00D0710B">
        <w:rPr>
          <w:rFonts w:asciiTheme="minorHAnsi" w:hAnsiTheme="minorHAnsi"/>
          <w:bCs/>
        </w:rPr>
        <w:t xml:space="preserve"> haematology and oncology drugs. The sponsor noted that dose escalation together with the patient support program has helped patients and oncologists </w:t>
      </w:r>
      <w:r w:rsidR="00A65A39">
        <w:rPr>
          <w:rFonts w:asciiTheme="minorHAnsi" w:hAnsiTheme="minorHAnsi"/>
          <w:bCs/>
        </w:rPr>
        <w:t>manage</w:t>
      </w:r>
      <w:r w:rsidR="00D0710B">
        <w:rPr>
          <w:rFonts w:asciiTheme="minorHAnsi" w:hAnsiTheme="minorHAnsi"/>
          <w:bCs/>
        </w:rPr>
        <w:t xml:space="preserve"> the adverse events associated with neratinib</w:t>
      </w:r>
      <w:r w:rsidR="00A65A39">
        <w:rPr>
          <w:rFonts w:asciiTheme="minorHAnsi" w:hAnsiTheme="minorHAnsi"/>
          <w:bCs/>
        </w:rPr>
        <w:t>.</w:t>
      </w:r>
      <w:r w:rsidR="00D0710B">
        <w:rPr>
          <w:rFonts w:asciiTheme="minorHAnsi" w:hAnsiTheme="minorHAnsi"/>
          <w:bCs/>
        </w:rPr>
        <w:t xml:space="preserve"> </w:t>
      </w:r>
    </w:p>
    <w:p w:rsidR="00B46428" w:rsidRPr="00836F75" w:rsidRDefault="00B46428" w:rsidP="006834C9">
      <w:pPr>
        <w:spacing w:after="120"/>
        <w:outlineLvl w:val="1"/>
        <w:rPr>
          <w:rFonts w:asciiTheme="minorHAnsi" w:hAnsiTheme="minorHAnsi"/>
          <w:b/>
          <w:bCs/>
          <w:i/>
          <w:sz w:val="28"/>
          <w:szCs w:val="28"/>
        </w:rPr>
      </w:pPr>
      <w:r w:rsidRPr="00836F75">
        <w:rPr>
          <w:rFonts w:asciiTheme="minorHAnsi" w:hAnsiTheme="minorHAnsi"/>
          <w:b/>
          <w:bCs/>
          <w:i/>
          <w:sz w:val="28"/>
          <w:szCs w:val="28"/>
        </w:rPr>
        <w:t>Consumer comments</w:t>
      </w:r>
    </w:p>
    <w:p w:rsidR="00B46428" w:rsidRPr="00836F75" w:rsidRDefault="00B46428" w:rsidP="00BE3F46">
      <w:pPr>
        <w:numPr>
          <w:ilvl w:val="1"/>
          <w:numId w:val="5"/>
        </w:numPr>
        <w:spacing w:after="120"/>
        <w:rPr>
          <w:rFonts w:asciiTheme="minorHAnsi" w:hAnsiTheme="minorHAnsi"/>
          <w:bCs/>
        </w:rPr>
      </w:pPr>
      <w:r w:rsidRPr="00836F75">
        <w:rPr>
          <w:rFonts w:asciiTheme="minorHAnsi" w:hAnsiTheme="minorHAnsi"/>
          <w:bCs/>
        </w:rPr>
        <w:t>The PBAC noted and welcomed the input from individuals (</w:t>
      </w:r>
      <w:r w:rsidR="00635E7E">
        <w:rPr>
          <w:rFonts w:asciiTheme="minorHAnsi" w:hAnsiTheme="minorHAnsi"/>
          <w:bCs/>
        </w:rPr>
        <w:t>37</w:t>
      </w:r>
      <w:r w:rsidRPr="00836F75">
        <w:rPr>
          <w:rFonts w:asciiTheme="minorHAnsi" w:hAnsiTheme="minorHAnsi"/>
          <w:bCs/>
        </w:rPr>
        <w:t>)</w:t>
      </w:r>
      <w:r w:rsidR="00635E7E">
        <w:rPr>
          <w:rFonts w:asciiTheme="minorHAnsi" w:hAnsiTheme="minorHAnsi"/>
          <w:bCs/>
        </w:rPr>
        <w:t xml:space="preserve"> and organisations (2</w:t>
      </w:r>
      <w:r w:rsidRPr="00836F75">
        <w:rPr>
          <w:rFonts w:asciiTheme="minorHAnsi" w:hAnsiTheme="minorHAnsi"/>
          <w:bCs/>
        </w:rPr>
        <w:t xml:space="preserve">) via the Consumer Comments facility on the PBS website. </w:t>
      </w:r>
      <w:r w:rsidR="00BE3F46">
        <w:rPr>
          <w:rFonts w:asciiTheme="minorHAnsi" w:hAnsiTheme="minorHAnsi"/>
          <w:bCs/>
        </w:rPr>
        <w:t xml:space="preserve">The PBAC noted the comments reported </w:t>
      </w:r>
      <w:r w:rsidR="00496FE5">
        <w:rPr>
          <w:rFonts w:asciiTheme="minorHAnsi" w:hAnsiTheme="minorHAnsi"/>
          <w:bCs/>
        </w:rPr>
        <w:t xml:space="preserve">different levels of </w:t>
      </w:r>
      <w:r w:rsidR="00BE3F46">
        <w:rPr>
          <w:rFonts w:asciiTheme="minorHAnsi" w:hAnsiTheme="minorHAnsi"/>
          <w:bCs/>
        </w:rPr>
        <w:t xml:space="preserve">severity </w:t>
      </w:r>
      <w:r w:rsidR="00496FE5">
        <w:rPr>
          <w:rFonts w:asciiTheme="minorHAnsi" w:hAnsiTheme="minorHAnsi"/>
          <w:bCs/>
        </w:rPr>
        <w:t xml:space="preserve">for </w:t>
      </w:r>
      <w:r w:rsidR="00BE3F46">
        <w:rPr>
          <w:rFonts w:asciiTheme="minorHAnsi" w:hAnsiTheme="minorHAnsi"/>
          <w:bCs/>
        </w:rPr>
        <w:t xml:space="preserve">the adverse effects </w:t>
      </w:r>
      <w:r w:rsidR="00496FE5">
        <w:rPr>
          <w:rFonts w:asciiTheme="minorHAnsi" w:hAnsiTheme="minorHAnsi"/>
          <w:bCs/>
        </w:rPr>
        <w:t xml:space="preserve">associated with </w:t>
      </w:r>
      <w:r w:rsidR="00BE3F46">
        <w:rPr>
          <w:rFonts w:asciiTheme="minorHAnsi" w:hAnsiTheme="minorHAnsi"/>
          <w:bCs/>
        </w:rPr>
        <w:t xml:space="preserve">neratinib. The side effects included diarrhoea, </w:t>
      </w:r>
      <w:r w:rsidR="00BE3F46" w:rsidRPr="00BE3F46">
        <w:rPr>
          <w:rFonts w:asciiTheme="minorHAnsi" w:hAnsiTheme="minorHAnsi"/>
          <w:bCs/>
        </w:rPr>
        <w:t>tiredness</w:t>
      </w:r>
      <w:r w:rsidR="00BE3F46">
        <w:rPr>
          <w:rFonts w:asciiTheme="minorHAnsi" w:hAnsiTheme="minorHAnsi"/>
          <w:bCs/>
        </w:rPr>
        <w:t xml:space="preserve"> and fatigue</w:t>
      </w:r>
      <w:r w:rsidR="00BE3F46" w:rsidRPr="00BE3F46">
        <w:rPr>
          <w:rFonts w:asciiTheme="minorHAnsi" w:hAnsiTheme="minorHAnsi"/>
          <w:bCs/>
        </w:rPr>
        <w:t>, dry skin, cramping, nose</w:t>
      </w:r>
      <w:r w:rsidR="00204EED">
        <w:rPr>
          <w:rFonts w:asciiTheme="minorHAnsi" w:hAnsiTheme="minorHAnsi"/>
          <w:bCs/>
        </w:rPr>
        <w:t xml:space="preserve"> bleeds</w:t>
      </w:r>
      <w:r w:rsidR="00BE3F46" w:rsidRPr="00BE3F46">
        <w:rPr>
          <w:rFonts w:asciiTheme="minorHAnsi" w:hAnsiTheme="minorHAnsi"/>
          <w:bCs/>
        </w:rPr>
        <w:t>, brittle nails</w:t>
      </w:r>
      <w:r w:rsidR="00BE3F46">
        <w:rPr>
          <w:rFonts w:asciiTheme="minorHAnsi" w:hAnsiTheme="minorHAnsi"/>
          <w:bCs/>
        </w:rPr>
        <w:t xml:space="preserve">, lack of appetite and </w:t>
      </w:r>
      <w:r w:rsidR="00BE3F46" w:rsidRPr="00BE3F46">
        <w:rPr>
          <w:rFonts w:asciiTheme="minorHAnsi" w:hAnsiTheme="minorHAnsi"/>
          <w:bCs/>
        </w:rPr>
        <w:t>weight loss</w:t>
      </w:r>
      <w:r w:rsidR="00BE3F46">
        <w:rPr>
          <w:rFonts w:asciiTheme="minorHAnsi" w:hAnsiTheme="minorHAnsi"/>
          <w:bCs/>
        </w:rPr>
        <w:t>. In terms of diarrhoea, a</w:t>
      </w:r>
      <w:r w:rsidR="000375A6" w:rsidRPr="000375A6">
        <w:rPr>
          <w:rFonts w:asciiTheme="minorHAnsi" w:hAnsiTheme="minorHAnsi"/>
          <w:bCs/>
        </w:rPr>
        <w:t>pprox</w:t>
      </w:r>
      <w:r w:rsidR="000375A6">
        <w:rPr>
          <w:rFonts w:asciiTheme="minorHAnsi" w:hAnsiTheme="minorHAnsi"/>
          <w:bCs/>
        </w:rPr>
        <w:t>imately</w:t>
      </w:r>
      <w:r w:rsidR="000375A6" w:rsidRPr="000375A6">
        <w:rPr>
          <w:rFonts w:asciiTheme="minorHAnsi" w:hAnsiTheme="minorHAnsi"/>
          <w:bCs/>
        </w:rPr>
        <w:t xml:space="preserve"> three quarters </w:t>
      </w:r>
      <w:r w:rsidR="000375A6">
        <w:rPr>
          <w:rFonts w:asciiTheme="minorHAnsi" w:hAnsiTheme="minorHAnsi"/>
          <w:bCs/>
        </w:rPr>
        <w:t xml:space="preserve">of the comments </w:t>
      </w:r>
      <w:r w:rsidR="000375A6" w:rsidRPr="000375A6">
        <w:rPr>
          <w:rFonts w:asciiTheme="minorHAnsi" w:hAnsiTheme="minorHAnsi"/>
          <w:bCs/>
        </w:rPr>
        <w:t>reported minimal or manageable side effects (</w:t>
      </w:r>
      <w:r w:rsidR="00204EED">
        <w:rPr>
          <w:rFonts w:asciiTheme="minorHAnsi" w:hAnsiTheme="minorHAnsi"/>
          <w:bCs/>
        </w:rPr>
        <w:t>many</w:t>
      </w:r>
      <w:r w:rsidR="000375A6" w:rsidRPr="000375A6">
        <w:rPr>
          <w:rFonts w:asciiTheme="minorHAnsi" w:hAnsiTheme="minorHAnsi"/>
          <w:bCs/>
        </w:rPr>
        <w:t xml:space="preserve"> described the side effects as initially difficult but then became manageable over the course of treatment)</w:t>
      </w:r>
      <w:r w:rsidR="000375A6">
        <w:rPr>
          <w:rFonts w:asciiTheme="minorHAnsi" w:hAnsiTheme="minorHAnsi"/>
          <w:bCs/>
        </w:rPr>
        <w:t xml:space="preserve">. </w:t>
      </w:r>
      <w:r w:rsidR="00931F1F">
        <w:rPr>
          <w:rFonts w:asciiTheme="minorHAnsi" w:hAnsiTheme="minorHAnsi"/>
          <w:bCs/>
        </w:rPr>
        <w:t xml:space="preserve">These comments noted that the side effects did not affect quality of life and that patients were able to work and exercise. </w:t>
      </w:r>
      <w:r w:rsidR="000375A6">
        <w:rPr>
          <w:rFonts w:asciiTheme="minorHAnsi" w:hAnsiTheme="minorHAnsi"/>
          <w:bCs/>
        </w:rPr>
        <w:t>A</w:t>
      </w:r>
      <w:r w:rsidR="000375A6" w:rsidRPr="000375A6">
        <w:rPr>
          <w:rFonts w:asciiTheme="minorHAnsi" w:hAnsiTheme="minorHAnsi"/>
          <w:bCs/>
        </w:rPr>
        <w:t xml:space="preserve"> quarter</w:t>
      </w:r>
      <w:r w:rsidR="000375A6">
        <w:rPr>
          <w:rFonts w:asciiTheme="minorHAnsi" w:hAnsiTheme="minorHAnsi"/>
          <w:bCs/>
        </w:rPr>
        <w:t xml:space="preserve"> of the comments</w:t>
      </w:r>
      <w:r w:rsidR="000375A6" w:rsidRPr="000375A6">
        <w:rPr>
          <w:rFonts w:asciiTheme="minorHAnsi" w:hAnsiTheme="minorHAnsi"/>
          <w:bCs/>
        </w:rPr>
        <w:t xml:space="preserve"> described </w:t>
      </w:r>
      <w:r w:rsidR="000375A6">
        <w:rPr>
          <w:rFonts w:asciiTheme="minorHAnsi" w:hAnsiTheme="minorHAnsi"/>
          <w:bCs/>
        </w:rPr>
        <w:t xml:space="preserve">the side effects </w:t>
      </w:r>
      <w:r w:rsidR="000375A6" w:rsidRPr="000375A6">
        <w:rPr>
          <w:rFonts w:asciiTheme="minorHAnsi" w:hAnsiTheme="minorHAnsi"/>
          <w:bCs/>
        </w:rPr>
        <w:t xml:space="preserve">as major but </w:t>
      </w:r>
      <w:r w:rsidR="000375A6">
        <w:rPr>
          <w:rFonts w:asciiTheme="minorHAnsi" w:hAnsiTheme="minorHAnsi"/>
          <w:bCs/>
        </w:rPr>
        <w:t xml:space="preserve">noted it was better </w:t>
      </w:r>
      <w:r w:rsidR="000375A6" w:rsidRPr="000375A6">
        <w:rPr>
          <w:rFonts w:asciiTheme="minorHAnsi" w:hAnsiTheme="minorHAnsi"/>
          <w:bCs/>
        </w:rPr>
        <w:t>than chemo</w:t>
      </w:r>
      <w:r w:rsidR="000375A6">
        <w:rPr>
          <w:rFonts w:asciiTheme="minorHAnsi" w:hAnsiTheme="minorHAnsi"/>
          <w:bCs/>
        </w:rPr>
        <w:t xml:space="preserve">therapy. </w:t>
      </w:r>
      <w:r w:rsidR="00496FE5">
        <w:rPr>
          <w:rFonts w:asciiTheme="minorHAnsi" w:hAnsiTheme="minorHAnsi"/>
          <w:bCs/>
        </w:rPr>
        <w:t xml:space="preserve">A number of comments </w:t>
      </w:r>
      <w:r w:rsidR="000375A6">
        <w:rPr>
          <w:rFonts w:asciiTheme="minorHAnsi" w:hAnsiTheme="minorHAnsi"/>
          <w:bCs/>
        </w:rPr>
        <w:t xml:space="preserve">noted </w:t>
      </w:r>
      <w:r w:rsidR="00496FE5">
        <w:rPr>
          <w:rFonts w:asciiTheme="minorHAnsi" w:hAnsiTheme="minorHAnsi"/>
          <w:bCs/>
        </w:rPr>
        <w:t xml:space="preserve">that neratinib was discontinued </w:t>
      </w:r>
      <w:r w:rsidR="000375A6" w:rsidRPr="000375A6">
        <w:rPr>
          <w:rFonts w:asciiTheme="minorHAnsi" w:hAnsiTheme="minorHAnsi"/>
          <w:bCs/>
        </w:rPr>
        <w:t xml:space="preserve">due to the </w:t>
      </w:r>
      <w:r w:rsidR="00BE3F46">
        <w:rPr>
          <w:rFonts w:asciiTheme="minorHAnsi" w:hAnsiTheme="minorHAnsi"/>
          <w:bCs/>
        </w:rPr>
        <w:t>severity of diarrhoea</w:t>
      </w:r>
      <w:r w:rsidR="00931F1F">
        <w:rPr>
          <w:rFonts w:asciiTheme="minorHAnsi" w:hAnsiTheme="minorHAnsi"/>
          <w:bCs/>
        </w:rPr>
        <w:t>.</w:t>
      </w:r>
      <w:r w:rsidR="00BE3F46">
        <w:rPr>
          <w:rFonts w:asciiTheme="minorHAnsi" w:hAnsiTheme="minorHAnsi"/>
          <w:bCs/>
        </w:rPr>
        <w:t xml:space="preserve"> The comments also noted that there was more monitoring and testing required while on neratinib. Overall, the comments were supportive of neratinib, noting that despite the side effects, being able to prevent the return of cancer was a significant priority for patients and that </w:t>
      </w:r>
      <w:r w:rsidR="00BE3F46" w:rsidRPr="00BE3F46">
        <w:rPr>
          <w:rFonts w:asciiTheme="minorHAnsi" w:hAnsiTheme="minorHAnsi"/>
          <w:bCs/>
        </w:rPr>
        <w:t xml:space="preserve">more people would be prepared to tolerate the side effects for the first two months in order to gain greater benefit in the long term. </w:t>
      </w:r>
      <w:r w:rsidR="00496FE5">
        <w:rPr>
          <w:rFonts w:asciiTheme="minorHAnsi" w:hAnsiTheme="minorHAnsi"/>
          <w:bCs/>
        </w:rPr>
        <w:t xml:space="preserve">The PBAC considered that the comments indicated that consumers were well-informed </w:t>
      </w:r>
      <w:r w:rsidR="00802377">
        <w:rPr>
          <w:rFonts w:asciiTheme="minorHAnsi" w:hAnsiTheme="minorHAnsi"/>
          <w:bCs/>
        </w:rPr>
        <w:t xml:space="preserve">about managing </w:t>
      </w:r>
      <w:r w:rsidR="005C51BB">
        <w:rPr>
          <w:rFonts w:asciiTheme="minorHAnsi" w:hAnsiTheme="minorHAnsi"/>
          <w:bCs/>
        </w:rPr>
        <w:t xml:space="preserve">the </w:t>
      </w:r>
      <w:r w:rsidR="00802377">
        <w:rPr>
          <w:rFonts w:asciiTheme="minorHAnsi" w:hAnsiTheme="minorHAnsi"/>
          <w:bCs/>
        </w:rPr>
        <w:t>diarrhoea associated with neratinib.</w:t>
      </w:r>
    </w:p>
    <w:p w:rsidR="00B46428" w:rsidRDefault="00B46428" w:rsidP="00062E04">
      <w:pPr>
        <w:numPr>
          <w:ilvl w:val="1"/>
          <w:numId w:val="5"/>
        </w:numPr>
        <w:spacing w:after="120"/>
        <w:rPr>
          <w:rFonts w:asciiTheme="minorHAnsi" w:hAnsiTheme="minorHAnsi"/>
          <w:bCs/>
        </w:rPr>
      </w:pPr>
      <w:r w:rsidRPr="00836F75">
        <w:rPr>
          <w:rFonts w:asciiTheme="minorHAnsi" w:hAnsiTheme="minorHAnsi"/>
          <w:bCs/>
        </w:rPr>
        <w:t xml:space="preserve">The PBAC noted the advice received from </w:t>
      </w:r>
      <w:r w:rsidR="0067695F">
        <w:rPr>
          <w:rFonts w:asciiTheme="minorHAnsi" w:hAnsiTheme="minorHAnsi"/>
          <w:bCs/>
        </w:rPr>
        <w:t>Breast Cancer Network Australia (BCNA)</w:t>
      </w:r>
      <w:r w:rsidRPr="00836F75">
        <w:rPr>
          <w:rFonts w:asciiTheme="minorHAnsi" w:hAnsiTheme="minorHAnsi"/>
          <w:bCs/>
        </w:rPr>
        <w:t xml:space="preserve"> clarifying the likely use of </w:t>
      </w:r>
      <w:r w:rsidR="0067695F">
        <w:rPr>
          <w:rFonts w:asciiTheme="minorHAnsi" w:hAnsiTheme="minorHAnsi"/>
          <w:bCs/>
        </w:rPr>
        <w:t xml:space="preserve">neratinib </w:t>
      </w:r>
      <w:r w:rsidRPr="00836F75">
        <w:rPr>
          <w:rFonts w:asciiTheme="minorHAnsi" w:hAnsiTheme="minorHAnsi"/>
          <w:bCs/>
        </w:rPr>
        <w:t xml:space="preserve">in clinical practice. </w:t>
      </w:r>
      <w:r w:rsidR="00075D2F">
        <w:rPr>
          <w:rFonts w:asciiTheme="minorHAnsi" w:hAnsiTheme="minorHAnsi"/>
          <w:bCs/>
        </w:rPr>
        <w:t xml:space="preserve">The BCNA maintained its support for neratinib. </w:t>
      </w:r>
      <w:r w:rsidR="00062E04">
        <w:rPr>
          <w:rFonts w:asciiTheme="minorHAnsi" w:hAnsiTheme="minorHAnsi"/>
          <w:bCs/>
        </w:rPr>
        <w:t xml:space="preserve">The </w:t>
      </w:r>
      <w:r w:rsidR="00062E04" w:rsidRPr="00062E04">
        <w:rPr>
          <w:rFonts w:asciiTheme="minorHAnsi" w:hAnsiTheme="minorHAnsi"/>
          <w:bCs/>
        </w:rPr>
        <w:t xml:space="preserve">BCNA </w:t>
      </w:r>
      <w:r w:rsidR="00075D2F">
        <w:rPr>
          <w:rFonts w:asciiTheme="minorHAnsi" w:hAnsiTheme="minorHAnsi"/>
          <w:bCs/>
        </w:rPr>
        <w:t xml:space="preserve">acknowledged the increasing use of neoadjuvant treatment in eBC however </w:t>
      </w:r>
      <w:r w:rsidR="00062E04" w:rsidRPr="00062E04">
        <w:rPr>
          <w:rFonts w:asciiTheme="minorHAnsi" w:hAnsiTheme="minorHAnsi"/>
          <w:bCs/>
        </w:rPr>
        <w:t>believe</w:t>
      </w:r>
      <w:r w:rsidR="00062E04">
        <w:rPr>
          <w:rFonts w:asciiTheme="minorHAnsi" w:hAnsiTheme="minorHAnsi"/>
          <w:bCs/>
        </w:rPr>
        <w:t>d</w:t>
      </w:r>
      <w:r w:rsidR="00062E04" w:rsidRPr="00062E04">
        <w:rPr>
          <w:rFonts w:asciiTheme="minorHAnsi" w:hAnsiTheme="minorHAnsi"/>
          <w:bCs/>
        </w:rPr>
        <w:t xml:space="preserve"> </w:t>
      </w:r>
      <w:r w:rsidR="00075D2F">
        <w:rPr>
          <w:rFonts w:asciiTheme="minorHAnsi" w:hAnsiTheme="minorHAnsi"/>
          <w:bCs/>
        </w:rPr>
        <w:t xml:space="preserve">that there would be a </w:t>
      </w:r>
      <w:r w:rsidR="00075D2F" w:rsidRPr="00062E04">
        <w:rPr>
          <w:rFonts w:asciiTheme="minorHAnsi" w:hAnsiTheme="minorHAnsi"/>
          <w:bCs/>
        </w:rPr>
        <w:t>patient population</w:t>
      </w:r>
      <w:r w:rsidR="00075D2F">
        <w:rPr>
          <w:rFonts w:asciiTheme="minorHAnsi" w:hAnsiTheme="minorHAnsi"/>
          <w:bCs/>
        </w:rPr>
        <w:t xml:space="preserve">, albeit </w:t>
      </w:r>
      <w:r w:rsidR="00CA5551">
        <w:rPr>
          <w:rFonts w:asciiTheme="minorHAnsi" w:hAnsiTheme="minorHAnsi"/>
          <w:bCs/>
        </w:rPr>
        <w:t xml:space="preserve">a </w:t>
      </w:r>
      <w:r w:rsidR="00075D2F">
        <w:rPr>
          <w:rFonts w:asciiTheme="minorHAnsi" w:hAnsiTheme="minorHAnsi"/>
          <w:bCs/>
        </w:rPr>
        <w:t>small</w:t>
      </w:r>
      <w:r w:rsidR="00CA5551">
        <w:rPr>
          <w:rFonts w:asciiTheme="minorHAnsi" w:hAnsiTheme="minorHAnsi"/>
          <w:bCs/>
        </w:rPr>
        <w:t xml:space="preserve"> population</w:t>
      </w:r>
      <w:r w:rsidR="00075D2F">
        <w:rPr>
          <w:rFonts w:asciiTheme="minorHAnsi" w:hAnsiTheme="minorHAnsi"/>
          <w:bCs/>
        </w:rPr>
        <w:t xml:space="preserve">, </w:t>
      </w:r>
      <w:r w:rsidR="00CF15D1">
        <w:rPr>
          <w:rFonts w:asciiTheme="minorHAnsi" w:hAnsiTheme="minorHAnsi"/>
          <w:bCs/>
        </w:rPr>
        <w:t xml:space="preserve">who would benefit from treatment with </w:t>
      </w:r>
      <w:r w:rsidR="00062E04" w:rsidRPr="00062E04">
        <w:rPr>
          <w:rFonts w:asciiTheme="minorHAnsi" w:hAnsiTheme="minorHAnsi"/>
          <w:bCs/>
        </w:rPr>
        <w:t xml:space="preserve">neratinib in the </w:t>
      </w:r>
      <w:r w:rsidR="00CF15D1">
        <w:rPr>
          <w:rFonts w:asciiTheme="minorHAnsi" w:hAnsiTheme="minorHAnsi"/>
          <w:bCs/>
        </w:rPr>
        <w:t>adjuvant setting following trastuzumab treatment.</w:t>
      </w:r>
      <w:r w:rsidR="00062E04" w:rsidRPr="00062E04">
        <w:rPr>
          <w:rFonts w:asciiTheme="minorHAnsi" w:hAnsiTheme="minorHAnsi"/>
          <w:bCs/>
        </w:rPr>
        <w:t xml:space="preserve"> </w:t>
      </w:r>
      <w:r w:rsidR="00075D2F">
        <w:rPr>
          <w:rFonts w:asciiTheme="minorHAnsi" w:hAnsiTheme="minorHAnsi"/>
          <w:bCs/>
        </w:rPr>
        <w:t xml:space="preserve">The BCNA also commented that </w:t>
      </w:r>
      <w:r w:rsidR="00062E04" w:rsidRPr="00062E04">
        <w:rPr>
          <w:rFonts w:asciiTheme="minorHAnsi" w:hAnsiTheme="minorHAnsi"/>
          <w:bCs/>
        </w:rPr>
        <w:t xml:space="preserve">each </w:t>
      </w:r>
      <w:r w:rsidR="00062E04" w:rsidRPr="00062E04">
        <w:rPr>
          <w:rFonts w:asciiTheme="minorHAnsi" w:hAnsiTheme="minorHAnsi"/>
          <w:bCs/>
        </w:rPr>
        <w:lastRenderedPageBreak/>
        <w:t>eligible patient should have the right to decide whether, for them, the potential benefit outweig</w:t>
      </w:r>
      <w:r w:rsidR="00EF4F70">
        <w:rPr>
          <w:rFonts w:asciiTheme="minorHAnsi" w:hAnsiTheme="minorHAnsi"/>
          <w:bCs/>
        </w:rPr>
        <w:t>hs the potential adverse events</w:t>
      </w:r>
      <w:r w:rsidR="00F402B7">
        <w:rPr>
          <w:rFonts w:asciiTheme="minorHAnsi" w:hAnsiTheme="minorHAnsi"/>
          <w:bCs/>
        </w:rPr>
        <w:t>.</w:t>
      </w:r>
    </w:p>
    <w:p w:rsidR="00B46428" w:rsidRDefault="00B46428" w:rsidP="0061276D">
      <w:pPr>
        <w:numPr>
          <w:ilvl w:val="1"/>
          <w:numId w:val="5"/>
        </w:numPr>
        <w:spacing w:after="120"/>
      </w:pPr>
      <w:r w:rsidRPr="0061276D">
        <w:rPr>
          <w:rFonts w:asciiTheme="minorHAnsi" w:hAnsiTheme="minorHAnsi"/>
          <w:bCs/>
        </w:rPr>
        <w:t xml:space="preserve">The Medical Oncology Group of Australia (MOGA) </w:t>
      </w:r>
      <w:r w:rsidR="0061276D" w:rsidRPr="0061276D">
        <w:rPr>
          <w:rFonts w:asciiTheme="minorHAnsi" w:hAnsiTheme="minorHAnsi"/>
          <w:bCs/>
        </w:rPr>
        <w:t xml:space="preserve">included neratinib in the category “other supported applications”, on the basis of improved iDFS but noting that the OS benefit was immature. The PBAC noted that the MOGA presented the European Society for Medical Oncology Magnitude of Clinical Benefit Scale (ESMO-MCBS) for neratinib, and it was rated A (out of A, B and C, where A and B represent the grades with substantial improvement for new approaches to adjuvant therapy or new </w:t>
      </w:r>
      <w:r w:rsidR="0061276D">
        <w:rPr>
          <w:rFonts w:asciiTheme="minorHAnsi" w:hAnsiTheme="minorHAnsi"/>
          <w:bCs/>
        </w:rPr>
        <w:t>potentially curative therapies)</w:t>
      </w:r>
      <w:r w:rsidR="0061276D">
        <w:rPr>
          <w:rStyle w:val="FootnoteReference"/>
          <w:rFonts w:asciiTheme="minorHAnsi" w:hAnsiTheme="minorHAnsi"/>
          <w:bCs/>
        </w:rPr>
        <w:footnoteReference w:id="2"/>
      </w:r>
      <w:r w:rsidR="0061276D" w:rsidRPr="0061276D">
        <w:rPr>
          <w:rFonts w:asciiTheme="minorHAnsi" w:hAnsiTheme="minorHAnsi"/>
          <w:bCs/>
        </w:rPr>
        <w:t>, based on a comparison with placebo.</w:t>
      </w:r>
    </w:p>
    <w:p w:rsidR="00B46428" w:rsidRDefault="00B46428" w:rsidP="00A84C29"/>
    <w:p w:rsidR="004B4968" w:rsidRPr="00BB3215" w:rsidRDefault="004B4968" w:rsidP="00025B3F">
      <w:pPr>
        <w:pStyle w:val="Heading2"/>
        <w:widowControl/>
      </w:pPr>
      <w:r w:rsidRPr="00BB3215">
        <w:t>Clinical trials</w:t>
      </w:r>
      <w:bookmarkEnd w:id="12"/>
    </w:p>
    <w:p w:rsidR="004B4968" w:rsidRPr="00BB3215" w:rsidRDefault="004B4968" w:rsidP="00025B3F">
      <w:pPr>
        <w:widowControl/>
      </w:pPr>
    </w:p>
    <w:p w:rsidR="004B4968" w:rsidRPr="00B22AD5" w:rsidRDefault="004B4968" w:rsidP="00A84C29">
      <w:pPr>
        <w:pStyle w:val="ListParagraph"/>
        <w:widowControl/>
        <w:numPr>
          <w:ilvl w:val="1"/>
          <w:numId w:val="5"/>
        </w:numPr>
        <w:rPr>
          <w:iCs/>
        </w:rPr>
      </w:pPr>
      <w:r w:rsidRPr="00B22AD5">
        <w:t xml:space="preserve">The resubmission was based on one head-to head randomised trial comparing neratinib to placebo: ExteNET (N=2840). </w:t>
      </w:r>
      <w:r w:rsidRPr="00B22AD5">
        <w:rPr>
          <w:iCs/>
        </w:rPr>
        <w:t>This is unchanged from the original submission.</w:t>
      </w:r>
    </w:p>
    <w:p w:rsidR="004B4968" w:rsidRPr="00BB3215" w:rsidRDefault="004B4968" w:rsidP="00A84C29">
      <w:pPr>
        <w:pStyle w:val="ListParagraph"/>
        <w:widowControl/>
        <w:numPr>
          <w:ilvl w:val="1"/>
          <w:numId w:val="5"/>
        </w:numPr>
      </w:pPr>
      <w:r w:rsidRPr="00BB3215">
        <w:rPr>
          <w:rFonts w:cs="Calibri"/>
          <w:snapToGrid/>
          <w:szCs w:val="24"/>
          <w:lang w:eastAsia="en-AU"/>
        </w:rPr>
        <w:t xml:space="preserve">Table </w:t>
      </w:r>
      <w:r w:rsidR="00671BAD">
        <w:rPr>
          <w:rFonts w:cs="Calibri"/>
          <w:snapToGrid/>
          <w:szCs w:val="24"/>
          <w:lang w:eastAsia="en-AU"/>
        </w:rPr>
        <w:t>4</w:t>
      </w:r>
      <w:r w:rsidRPr="00BB3215">
        <w:rPr>
          <w:rFonts w:cs="Calibri"/>
          <w:snapToGrid/>
          <w:szCs w:val="24"/>
          <w:lang w:eastAsia="en-AU"/>
        </w:rPr>
        <w:t xml:space="preserve"> presents the details of the trial presented in the resubmission.</w:t>
      </w:r>
    </w:p>
    <w:p w:rsidR="004B4968" w:rsidRPr="00BB3215" w:rsidRDefault="004B4968" w:rsidP="00025B3F">
      <w:pPr>
        <w:keepNext/>
        <w:widowControl/>
        <w:rPr>
          <w:rFonts w:ascii="Arial Narrow" w:hAnsi="Arial Narrow"/>
          <w:b/>
          <w:sz w:val="20"/>
          <w:szCs w:val="16"/>
        </w:rPr>
      </w:pPr>
      <w:r w:rsidRPr="00BB3215">
        <w:rPr>
          <w:rStyle w:val="CommentReference"/>
        </w:rPr>
        <w:t xml:space="preserve">Table </w:t>
      </w:r>
      <w:r w:rsidR="00671BAD">
        <w:rPr>
          <w:rStyle w:val="CommentReference"/>
        </w:rPr>
        <w:t>4</w:t>
      </w:r>
      <w:r w:rsidRPr="00BB3215">
        <w:rPr>
          <w:rStyle w:val="CommentReference"/>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4940"/>
        <w:gridCol w:w="2642"/>
      </w:tblGrid>
      <w:tr w:rsidR="004B4968" w:rsidRPr="00BB3215" w:rsidTr="00C21660">
        <w:trPr>
          <w:tblHeader/>
        </w:trPr>
        <w:tc>
          <w:tcPr>
            <w:tcW w:w="796" w:type="pct"/>
            <w:vAlign w:val="center"/>
          </w:tcPr>
          <w:p w:rsidR="004B4968" w:rsidRPr="00BB3215" w:rsidRDefault="004B4968" w:rsidP="00025B3F">
            <w:pPr>
              <w:pStyle w:val="Tabletext"/>
              <w:rPr>
                <w:b/>
              </w:rPr>
            </w:pPr>
            <w:r w:rsidRPr="00BB3215">
              <w:rPr>
                <w:b/>
              </w:rPr>
              <w:t>Trial ID</w:t>
            </w:r>
          </w:p>
        </w:tc>
        <w:tc>
          <w:tcPr>
            <w:tcW w:w="2739" w:type="pct"/>
            <w:vAlign w:val="center"/>
          </w:tcPr>
          <w:p w:rsidR="004B4968" w:rsidRPr="00BB3215" w:rsidRDefault="004B4968" w:rsidP="00025B3F">
            <w:pPr>
              <w:pStyle w:val="Tabletext"/>
              <w:jc w:val="center"/>
              <w:rPr>
                <w:b/>
              </w:rPr>
            </w:pPr>
            <w:r w:rsidRPr="00BB3215">
              <w:rPr>
                <w:b/>
              </w:rPr>
              <w:t>Protocol title/ Publication title</w:t>
            </w:r>
          </w:p>
        </w:tc>
        <w:tc>
          <w:tcPr>
            <w:tcW w:w="1465" w:type="pct"/>
            <w:vAlign w:val="center"/>
          </w:tcPr>
          <w:p w:rsidR="004B4968" w:rsidRPr="00BB3215" w:rsidRDefault="004B4968" w:rsidP="00025B3F">
            <w:pPr>
              <w:pStyle w:val="Tabletext"/>
              <w:jc w:val="center"/>
              <w:rPr>
                <w:b/>
              </w:rPr>
            </w:pPr>
            <w:r w:rsidRPr="00BB3215">
              <w:rPr>
                <w:b/>
              </w:rPr>
              <w:t>Publication citation</w:t>
            </w:r>
          </w:p>
        </w:tc>
      </w:tr>
      <w:tr w:rsidR="004B4968" w:rsidRPr="00BB3215" w:rsidTr="00C21660">
        <w:tc>
          <w:tcPr>
            <w:tcW w:w="796" w:type="pct"/>
            <w:tcBorders>
              <w:top w:val="single" w:sz="4" w:space="0" w:color="auto"/>
              <w:left w:val="single" w:sz="4" w:space="0" w:color="auto"/>
              <w:bottom w:val="nil"/>
              <w:right w:val="single" w:sz="4" w:space="0" w:color="auto"/>
            </w:tcBorders>
          </w:tcPr>
          <w:p w:rsidR="004B4968" w:rsidRPr="00BB3215" w:rsidRDefault="004B4968" w:rsidP="00025B3F">
            <w:pPr>
              <w:pStyle w:val="Tabletext"/>
            </w:pPr>
            <w:r w:rsidRPr="00BB3215">
              <w:t>ExteNET</w:t>
            </w:r>
          </w:p>
          <w:p w:rsidR="004B4968" w:rsidRPr="00BB3215" w:rsidRDefault="004B4968" w:rsidP="00025B3F">
            <w:pPr>
              <w:pStyle w:val="Tabletext"/>
            </w:pPr>
            <w:r w:rsidRPr="00BB3215">
              <w:t>(study 3004)</w:t>
            </w:r>
          </w:p>
        </w:tc>
        <w:tc>
          <w:tcPr>
            <w:tcW w:w="2739" w:type="pct"/>
            <w:tcBorders>
              <w:top w:val="single" w:sz="4" w:space="0" w:color="auto"/>
              <w:left w:val="single" w:sz="4" w:space="0" w:color="auto"/>
              <w:bottom w:val="nil"/>
              <w:right w:val="single" w:sz="4" w:space="0" w:color="auto"/>
            </w:tcBorders>
          </w:tcPr>
          <w:p w:rsidR="004B4968" w:rsidRPr="00BB3215" w:rsidRDefault="004B4968" w:rsidP="00025B3F">
            <w:pPr>
              <w:widowControl/>
              <w:autoSpaceDE w:val="0"/>
              <w:autoSpaceDN w:val="0"/>
              <w:adjustRightInd w:val="0"/>
              <w:jc w:val="left"/>
              <w:rPr>
                <w:rFonts w:ascii="Arial Narrow" w:hAnsi="Arial Narrow" w:cs="Times New Roman"/>
                <w:snapToGrid/>
                <w:sz w:val="20"/>
              </w:rPr>
            </w:pPr>
            <w:r w:rsidRPr="00BB3215">
              <w:rPr>
                <w:rFonts w:ascii="Arial Narrow" w:hAnsi="Arial Narrow" w:cs="Times New Roman"/>
                <w:snapToGrid/>
                <w:sz w:val="20"/>
              </w:rPr>
              <w:t>A Randomized Double-blind Placebo-Controlled Trial of Neratinib (HKI-272) After Trastuzumab in Women With Early-Stage HER-2/neu Overexpressed/Amplified Breast Cancer</w:t>
            </w:r>
          </w:p>
        </w:tc>
        <w:tc>
          <w:tcPr>
            <w:tcW w:w="1465" w:type="pct"/>
            <w:tcBorders>
              <w:top w:val="single" w:sz="4" w:space="0" w:color="auto"/>
              <w:left w:val="single" w:sz="4" w:space="0" w:color="auto"/>
              <w:bottom w:val="nil"/>
              <w:right w:val="single" w:sz="4" w:space="0" w:color="auto"/>
            </w:tcBorders>
          </w:tcPr>
          <w:p w:rsidR="004B4968" w:rsidRPr="00BB3215" w:rsidRDefault="004B4968" w:rsidP="00025B3F">
            <w:pPr>
              <w:pStyle w:val="Tabletext"/>
              <w:rPr>
                <w:szCs w:val="18"/>
              </w:rPr>
            </w:pPr>
            <w:r w:rsidRPr="00BB3215">
              <w:rPr>
                <w:szCs w:val="18"/>
              </w:rPr>
              <w:t>April 2009</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Martin M; Holmes FA; Ejlertsen B et al. ExteNET Study Group. Neratinib after trastuzumab-based adjuvant therapy in HER2+ breast cancer (ExteNET): 5-year analysis of a randomised, double-blind, placebo-controlled, phase 3 trial.</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rPr>
                <w:i/>
              </w:rPr>
              <w:t xml:space="preserve">Lancet Oncology </w:t>
            </w:r>
            <w:r w:rsidRPr="00BB3215">
              <w:t>2017; 18(12):1688-1700.</w:t>
            </w:r>
          </w:p>
        </w:tc>
      </w:tr>
      <w:tr w:rsidR="004B4968" w:rsidRPr="00BB3215" w:rsidTr="00C21660">
        <w:tc>
          <w:tcPr>
            <w:tcW w:w="796" w:type="pct"/>
            <w:tcBorders>
              <w:top w:val="nil"/>
              <w:bottom w:val="nil"/>
            </w:tcBorders>
          </w:tcPr>
          <w:p w:rsidR="004B4968" w:rsidRPr="00BB3215" w:rsidRDefault="004B4968" w:rsidP="00025B3F">
            <w:pPr>
              <w:pStyle w:val="Tabletext"/>
            </w:pPr>
          </w:p>
        </w:tc>
        <w:tc>
          <w:tcPr>
            <w:tcW w:w="2739" w:type="pct"/>
            <w:tcBorders>
              <w:top w:val="nil"/>
              <w:bottom w:val="nil"/>
            </w:tcBorders>
          </w:tcPr>
          <w:p w:rsidR="004B4968" w:rsidRPr="00BB3215" w:rsidRDefault="004B4968" w:rsidP="00025B3F">
            <w:pPr>
              <w:pStyle w:val="Tabletext"/>
              <w:rPr>
                <w:szCs w:val="18"/>
              </w:rPr>
            </w:pPr>
            <w:r w:rsidRPr="00BB3215">
              <w:t xml:space="preserve">Chan A; Delaloge S; Holmes FA et al ExteNET Study Group. Neratinib after trastuzumab-based adjuvant therapy in patients with HER2+ breast cancer (ExteNET): a multicentre, randomised, double-blind, placebo-controlled, phase 3 trial. </w:t>
            </w:r>
          </w:p>
        </w:tc>
        <w:tc>
          <w:tcPr>
            <w:tcW w:w="1465" w:type="pct"/>
            <w:tcBorders>
              <w:top w:val="nil"/>
              <w:bottom w:val="nil"/>
            </w:tcBorders>
          </w:tcPr>
          <w:p w:rsidR="004B4968" w:rsidRPr="00BB3215" w:rsidRDefault="004B4968" w:rsidP="00025B3F">
            <w:pPr>
              <w:pStyle w:val="Tabletext"/>
              <w:rPr>
                <w:i/>
                <w:szCs w:val="18"/>
              </w:rPr>
            </w:pPr>
            <w:r w:rsidRPr="00BB3215">
              <w:rPr>
                <w:i/>
              </w:rPr>
              <w:t xml:space="preserve">Lancet Oncology </w:t>
            </w:r>
            <w:r w:rsidRPr="00BB3215">
              <w:t>2016, 17(3):367-77.</w:t>
            </w:r>
          </w:p>
        </w:tc>
      </w:tr>
      <w:tr w:rsidR="004B4968" w:rsidRPr="00BB3215" w:rsidTr="00C21660">
        <w:tc>
          <w:tcPr>
            <w:tcW w:w="796" w:type="pct"/>
            <w:tcBorders>
              <w:top w:val="nil"/>
              <w:bottom w:val="nil"/>
            </w:tcBorders>
          </w:tcPr>
          <w:p w:rsidR="004B4968" w:rsidRPr="00BB3215" w:rsidRDefault="004B4968" w:rsidP="00025B3F">
            <w:pPr>
              <w:pStyle w:val="Tabletext"/>
            </w:pPr>
          </w:p>
        </w:tc>
        <w:tc>
          <w:tcPr>
            <w:tcW w:w="2739" w:type="pct"/>
            <w:tcBorders>
              <w:top w:val="nil"/>
              <w:bottom w:val="nil"/>
            </w:tcBorders>
          </w:tcPr>
          <w:p w:rsidR="004B4968" w:rsidRPr="00BB3215" w:rsidRDefault="004B4968" w:rsidP="00025B3F">
            <w:pPr>
              <w:pStyle w:val="Tabletext"/>
              <w:rPr>
                <w:szCs w:val="18"/>
              </w:rPr>
            </w:pPr>
            <w:r w:rsidRPr="00BB3215">
              <w:t xml:space="preserve">Goss PE, Barrios CH, Chan A et al. A phase III trial of adjuvant neratinib (NER) after trastuzumab (TRAS) in women with early-stage HER2+ breast cancer (BC). </w:t>
            </w:r>
          </w:p>
        </w:tc>
        <w:tc>
          <w:tcPr>
            <w:tcW w:w="1465" w:type="pct"/>
            <w:tcBorders>
              <w:top w:val="nil"/>
              <w:bottom w:val="nil"/>
            </w:tcBorders>
          </w:tcPr>
          <w:p w:rsidR="004B4968" w:rsidRPr="00BB3215" w:rsidRDefault="004B4968" w:rsidP="00025B3F">
            <w:pPr>
              <w:pStyle w:val="Tabletext"/>
              <w:rPr>
                <w:i/>
                <w:szCs w:val="18"/>
              </w:rPr>
            </w:pPr>
            <w:r w:rsidRPr="00BB3215">
              <w:rPr>
                <w:i/>
              </w:rPr>
              <w:t>Journal of clinical oncology</w:t>
            </w:r>
            <w:r w:rsidRPr="00BB3215">
              <w:t>, 29(15 SUPPL. 1):, ASCO Annual Meeting 2011 Chicago, IL United States</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 xml:space="preserve">Ejlertsen B., Chan A., Gnant M et al. Timing of initiation of neratinib after completion of trastuzumab based adjuvant therapy in early-stage HER2+ breast cancer: Exploratory analyses from the phase III ExteNET trial.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t xml:space="preserve">San Antonio Breast Cancer Symposium, SABCS 2017. United States. 78 (4 Supplement 1) (no pagination), February 2018. </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 xml:space="preserve">Chia S.K.L., Martin M., Iwata H. et al. Effects of neratinib after trastuzumab-based adjuvant therapy in hormone receptor-positive HER2+ early-stage breast cancer: Exploratory analyses from the phase III ExteNET trial.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t xml:space="preserve">San Antonio Breast Cancer Symposium, SABCS 2017. United States. 78 (4 Supplement 1) (no pagination), February 2018. </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 xml:space="preserve">Chia S.K.L., Martin M., Holmes F.A. et al. PIK3CA alterations and benefit with neratinib after trastuzumab-based adjuvant therapy in </w:t>
            </w:r>
            <w:r w:rsidRPr="00BB3215">
              <w:lastRenderedPageBreak/>
              <w:t xml:space="preserve">early-stage HER2+ breast cancer: Correlative analyses of the phase III ExteNET trial.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lastRenderedPageBreak/>
              <w:t xml:space="preserve">San Antonio Breast Cancer Symposium, SABCS 2017. United States. 78 (4 Supplement 1) (no </w:t>
            </w:r>
            <w:r w:rsidRPr="00BB3215">
              <w:lastRenderedPageBreak/>
              <w:t>pagination), 2018. Date of Publication: February 2018.</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pPr>
            <w:r w:rsidRPr="00BB3215">
              <w:t xml:space="preserve">Gnant M, Martin M, Holmes F-A, Jackisch C, Chia SK, Iwata H, et al. Efficacy of neratinib in hormone receptor-positive patients who initiated treatment within 1 year of completing trastuzumab-based adjuvant therapy in HER-2+ early-stage breast cancer: Subgroup analyses from the phase III ExteNET trial.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pPr>
            <w:r w:rsidRPr="00BB3215">
              <w:t>Presented at the San Antonio Breast Cancer Symposium; Dec 4-8, 2018. San Antonio, TX.</w:t>
            </w:r>
          </w:p>
          <w:p w:rsidR="004B4968" w:rsidRPr="00BB3215" w:rsidRDefault="004B4968" w:rsidP="00025B3F">
            <w:pPr>
              <w:pStyle w:val="Tabletext"/>
            </w:pP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Iwata H., Masuda N., Kim S.-B. et al. Neratinib in the extended adjuvant treatment of patients from Asia with early-stage HER2+ breast cancer after trastuzumab-based therapy: Exploratory analyses from the phase III ExteNET trial.</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t>San Antonio Breast Cancer Symposium, SABCS 2017. United States. 78 (4 Supplement 1) (no pagination), 2018. Date of Publication: February 2018</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Martin Jimenez M., Holmes F.A., Ejlertsen B. et al. Neratinib after trastuzumab (T)-based adjuvant therapy in early-stage HER21 breast cancer (BC): 5-year analysis of the phase III ExteNET trial.</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pPr>
            <w:r w:rsidRPr="00BB3215">
              <w:rPr>
                <w:i/>
              </w:rPr>
              <w:t>Embase Classic+Embase Annals of Oncology</w:t>
            </w:r>
            <w:r w:rsidRPr="00BB3215">
              <w:t xml:space="preserve"> </w:t>
            </w:r>
          </w:p>
          <w:p w:rsidR="004B4968" w:rsidRPr="00BB3215" w:rsidRDefault="004B4968" w:rsidP="00025B3F">
            <w:pPr>
              <w:pStyle w:val="Tabletext"/>
              <w:rPr>
                <w:i/>
                <w:szCs w:val="18"/>
              </w:rPr>
            </w:pPr>
            <w:r w:rsidRPr="00BB3215">
              <w:t>42nd ESMO Congress, ESMO 2017. Spain. 28 (Supplement 5) (pp v43-v44), September 2017.</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 xml:space="preserve">Delaloge S., Ye Y., Cella D. et al. Effects of neratinib (N) on health-related quality of life (HRQoL) in early-stage HER21 breast cancer (BC): Longitudinal analyses from the phase III ExteNET trial.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t>42nd ESMO Congress, ESMO 2017. Spain. 28 (Supplement 5) (pp v53), September 2017.</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 xml:space="preserve">Mortimer J., Di Palma J., Jahanzeb M. et al. Characterization of neratinib-induced diarrhea in patients with early-stage HER2+ breast cancer: Analyses from the phase III ExteNET trial.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pPr>
            <w:r w:rsidRPr="00BB3215">
              <w:t>39th Annual CTRC-AACR San Antonio Breast Cancer Symposium. United States. 77 (4 Supplement 1) (no pagination), February 2017.</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Chan A., Delaloge S., Holmes F.A. et al. Neratinib after trastuzumab-based adjuvant therapy in early-stage HER2+ breast cancer: 3-year analysis from a phase 3 randomized, placebo-controlled, double-blind</w:t>
            </w:r>
            <w:r w:rsidR="007A0BC0">
              <w:t xml:space="preserve"> </w:t>
            </w:r>
            <w:r w:rsidRPr="00BB3215">
              <w:t xml:space="preserve">trial (ExteNET).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t>38th Annual CTRC-AACR San Antonio Breast Cancer Symposium. San Antonio, TX United States. Conference Publication: (var.pagings). 76 (4 SUPPL. 1) (no pagination), Feb 2016.</w:t>
            </w:r>
          </w:p>
        </w:tc>
      </w:tr>
      <w:tr w:rsidR="004B4968" w:rsidRPr="00BB3215" w:rsidTr="00C21660">
        <w:tc>
          <w:tcPr>
            <w:tcW w:w="796" w:type="pct"/>
            <w:tcBorders>
              <w:top w:val="nil"/>
              <w:left w:val="single" w:sz="4" w:space="0" w:color="auto"/>
              <w:bottom w:val="nil"/>
              <w:right w:val="single" w:sz="4" w:space="0" w:color="auto"/>
            </w:tcBorders>
          </w:tcPr>
          <w:p w:rsidR="004B4968" w:rsidRPr="00BB3215" w:rsidRDefault="004B4968" w:rsidP="00025B3F">
            <w:pPr>
              <w:pStyle w:val="Tabletext"/>
            </w:pPr>
          </w:p>
        </w:tc>
        <w:tc>
          <w:tcPr>
            <w:tcW w:w="2739" w:type="pct"/>
            <w:tcBorders>
              <w:top w:val="nil"/>
              <w:left w:val="single" w:sz="4" w:space="0" w:color="auto"/>
              <w:bottom w:val="nil"/>
              <w:right w:val="single" w:sz="4" w:space="0" w:color="auto"/>
            </w:tcBorders>
          </w:tcPr>
          <w:p w:rsidR="004B4968" w:rsidRPr="00BB3215" w:rsidRDefault="004B4968" w:rsidP="00025B3F">
            <w:pPr>
              <w:pStyle w:val="Tabletext"/>
              <w:rPr>
                <w:szCs w:val="18"/>
              </w:rPr>
            </w:pPr>
            <w:r w:rsidRPr="00BB3215">
              <w:t xml:space="preserve">Sudhan D.R., Schwarz L.J., Guerrero-Zotano A.L. et al. Extended adjuvant neratinib/fulvestrant blocks ER/HER2 crosstalk and maintains complete responses of ER+/HER2+ tumors following treatment with chemotherapy and anti-HER2 therapy. </w:t>
            </w:r>
          </w:p>
        </w:tc>
        <w:tc>
          <w:tcPr>
            <w:tcW w:w="1465" w:type="pct"/>
            <w:tcBorders>
              <w:top w:val="nil"/>
              <w:left w:val="single" w:sz="4" w:space="0" w:color="auto"/>
              <w:bottom w:val="nil"/>
              <w:right w:val="single" w:sz="4" w:space="0" w:color="auto"/>
            </w:tcBorders>
          </w:tcPr>
          <w:p w:rsidR="004B4968" w:rsidRPr="00BB3215" w:rsidRDefault="004B4968" w:rsidP="00025B3F">
            <w:pPr>
              <w:pStyle w:val="Tabletext"/>
              <w:rPr>
                <w:i/>
                <w:szCs w:val="18"/>
              </w:rPr>
            </w:pPr>
            <w:r w:rsidRPr="00BB3215">
              <w:t>San Antonio Breast Cancer Symposium, SABCS 2017. United States. 78 (4 Supplement 1) (no pagination), February 2018.</w:t>
            </w:r>
          </w:p>
        </w:tc>
      </w:tr>
      <w:tr w:rsidR="004B4968" w:rsidRPr="00BB3215" w:rsidTr="00C21660">
        <w:tc>
          <w:tcPr>
            <w:tcW w:w="796" w:type="pct"/>
            <w:tcBorders>
              <w:top w:val="nil"/>
              <w:left w:val="single" w:sz="4" w:space="0" w:color="auto"/>
              <w:bottom w:val="single" w:sz="4" w:space="0" w:color="auto"/>
              <w:right w:val="single" w:sz="4" w:space="0" w:color="auto"/>
            </w:tcBorders>
          </w:tcPr>
          <w:p w:rsidR="004B4968" w:rsidRPr="00BB3215" w:rsidRDefault="004B4968" w:rsidP="00025B3F">
            <w:pPr>
              <w:pStyle w:val="Tabletext"/>
            </w:pPr>
          </w:p>
        </w:tc>
        <w:tc>
          <w:tcPr>
            <w:tcW w:w="2739" w:type="pct"/>
            <w:tcBorders>
              <w:top w:val="nil"/>
              <w:left w:val="single" w:sz="4" w:space="0" w:color="auto"/>
              <w:bottom w:val="single" w:sz="4" w:space="0" w:color="auto"/>
              <w:right w:val="single" w:sz="4" w:space="0" w:color="auto"/>
            </w:tcBorders>
          </w:tcPr>
          <w:p w:rsidR="004B4968" w:rsidRPr="00BB3215" w:rsidRDefault="004B4968" w:rsidP="00025B3F">
            <w:pPr>
              <w:pStyle w:val="Tabletext"/>
              <w:rPr>
                <w:szCs w:val="18"/>
              </w:rPr>
            </w:pPr>
            <w:r w:rsidRPr="00BB3215">
              <w:t xml:space="preserve">Wang M., Tao Z. Safety and efficacy profile of neratinib in breast cancer: Pooled reanalysis based on randomized controlled trials. </w:t>
            </w:r>
          </w:p>
        </w:tc>
        <w:tc>
          <w:tcPr>
            <w:tcW w:w="1465" w:type="pct"/>
            <w:tcBorders>
              <w:top w:val="nil"/>
              <w:left w:val="single" w:sz="4" w:space="0" w:color="auto"/>
              <w:bottom w:val="single" w:sz="4" w:space="0" w:color="auto"/>
              <w:right w:val="single" w:sz="4" w:space="0" w:color="auto"/>
            </w:tcBorders>
          </w:tcPr>
          <w:p w:rsidR="004B4968" w:rsidRPr="00BB3215" w:rsidRDefault="004B4968" w:rsidP="00025B3F">
            <w:pPr>
              <w:pStyle w:val="Tabletext"/>
              <w:rPr>
                <w:i/>
                <w:szCs w:val="18"/>
              </w:rPr>
            </w:pPr>
            <w:r w:rsidRPr="00BB3215">
              <w:t>Joint Meeting of the Multinational Association of Supportive Care in Cancer, MASCC and the International Society of Oral Oncology, ISOO 2018. Austria. 26 (2 Supplement 1) (pp S254-S255), 2018</w:t>
            </w:r>
          </w:p>
        </w:tc>
      </w:tr>
    </w:tbl>
    <w:p w:rsidR="004B4968" w:rsidRPr="00BB3215" w:rsidRDefault="004B4968" w:rsidP="00025B3F">
      <w:pPr>
        <w:pStyle w:val="TableFooter"/>
        <w:widowControl/>
        <w:rPr>
          <w:rStyle w:val="CommentReference"/>
          <w:b w:val="0"/>
          <w:szCs w:val="22"/>
        </w:rPr>
      </w:pPr>
      <w:r w:rsidRPr="00BB3215">
        <w:t xml:space="preserve">Source: Table 26, p80 of the resubmission </w:t>
      </w:r>
    </w:p>
    <w:p w:rsidR="004B4968" w:rsidRPr="00BB3215" w:rsidRDefault="004B4968" w:rsidP="00025B3F">
      <w:pPr>
        <w:widowControl/>
      </w:pPr>
    </w:p>
    <w:p w:rsidR="004B4968" w:rsidRPr="00BB3215" w:rsidRDefault="004B4968" w:rsidP="00A84C29">
      <w:pPr>
        <w:pStyle w:val="ListParagraph"/>
        <w:widowControl/>
        <w:numPr>
          <w:ilvl w:val="1"/>
          <w:numId w:val="5"/>
        </w:numPr>
      </w:pPr>
      <w:r w:rsidRPr="00BB3215">
        <w:t xml:space="preserve">The key features of the direct randomised trial are summarised in Table </w:t>
      </w:r>
      <w:r w:rsidR="00671BAD">
        <w:t>5</w:t>
      </w:r>
      <w:r w:rsidRPr="00BB3215">
        <w:t>.</w:t>
      </w:r>
    </w:p>
    <w:p w:rsidR="004B4968" w:rsidRPr="00BB3215" w:rsidRDefault="004B4968" w:rsidP="00ED7D6E">
      <w:pPr>
        <w:keepNext/>
        <w:keepLines/>
        <w:widowControl/>
        <w:rPr>
          <w:rStyle w:val="CommentReference"/>
        </w:rPr>
      </w:pPr>
      <w:r w:rsidRPr="00BB3215">
        <w:rPr>
          <w:rStyle w:val="CommentReference"/>
        </w:rPr>
        <w:lastRenderedPageBreak/>
        <w:t xml:space="preserve">Table </w:t>
      </w:r>
      <w:r w:rsidR="00671BAD">
        <w:rPr>
          <w:rStyle w:val="CommentReference"/>
        </w:rPr>
        <w:t>5</w:t>
      </w:r>
      <w:r w:rsidRPr="00BB3215">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3"/>
        <w:gridCol w:w="421"/>
        <w:gridCol w:w="827"/>
        <w:gridCol w:w="686"/>
        <w:gridCol w:w="2267"/>
        <w:gridCol w:w="2393"/>
        <w:gridCol w:w="1710"/>
      </w:tblGrid>
      <w:tr w:rsidR="004B4968" w:rsidRPr="00BB3215" w:rsidTr="00C21660">
        <w:tc>
          <w:tcPr>
            <w:tcW w:w="395" w:type="pct"/>
            <w:shd w:val="clear" w:color="auto" w:fill="auto"/>
            <w:vAlign w:val="center"/>
          </w:tcPr>
          <w:p w:rsidR="004B4968" w:rsidRPr="00BB3215" w:rsidRDefault="004B4968" w:rsidP="00ED7D6E">
            <w:pPr>
              <w:pStyle w:val="Tabletext"/>
              <w:keepNext/>
              <w:keepLines/>
              <w:rPr>
                <w:b/>
              </w:rPr>
            </w:pPr>
            <w:r w:rsidRPr="00BB3215">
              <w:rPr>
                <w:b/>
              </w:rPr>
              <w:t>Trial</w:t>
            </w:r>
          </w:p>
        </w:tc>
        <w:tc>
          <w:tcPr>
            <w:tcW w:w="233" w:type="pct"/>
            <w:shd w:val="clear" w:color="auto" w:fill="auto"/>
            <w:vAlign w:val="center"/>
          </w:tcPr>
          <w:p w:rsidR="004B4968" w:rsidRPr="00BB3215" w:rsidRDefault="004B4968" w:rsidP="00ED7D6E">
            <w:pPr>
              <w:pStyle w:val="Tabletext"/>
              <w:keepNext/>
              <w:keepLines/>
              <w:jc w:val="center"/>
              <w:rPr>
                <w:b/>
              </w:rPr>
            </w:pPr>
            <w:r w:rsidRPr="00BB3215">
              <w:rPr>
                <w:b/>
              </w:rPr>
              <w:t>N</w:t>
            </w:r>
          </w:p>
        </w:tc>
        <w:tc>
          <w:tcPr>
            <w:tcW w:w="459" w:type="pct"/>
            <w:shd w:val="clear" w:color="auto" w:fill="auto"/>
            <w:vAlign w:val="center"/>
          </w:tcPr>
          <w:p w:rsidR="004B4968" w:rsidRPr="00BB3215" w:rsidRDefault="004B4968" w:rsidP="00ED7D6E">
            <w:pPr>
              <w:pStyle w:val="Tabletext"/>
              <w:keepNext/>
              <w:keepLines/>
              <w:jc w:val="center"/>
              <w:rPr>
                <w:b/>
              </w:rPr>
            </w:pPr>
            <w:r w:rsidRPr="00BB3215">
              <w:rPr>
                <w:b/>
              </w:rPr>
              <w:t>Design/ duration</w:t>
            </w:r>
          </w:p>
        </w:tc>
        <w:tc>
          <w:tcPr>
            <w:tcW w:w="381" w:type="pct"/>
            <w:shd w:val="clear" w:color="auto" w:fill="auto"/>
            <w:vAlign w:val="center"/>
          </w:tcPr>
          <w:p w:rsidR="004B4968" w:rsidRPr="00BB3215" w:rsidRDefault="004B4968" w:rsidP="00ED7D6E">
            <w:pPr>
              <w:pStyle w:val="Tabletext"/>
              <w:keepNext/>
              <w:keepLines/>
              <w:jc w:val="center"/>
              <w:rPr>
                <w:b/>
              </w:rPr>
            </w:pPr>
            <w:r w:rsidRPr="00BB3215">
              <w:rPr>
                <w:b/>
              </w:rPr>
              <w:t>Risk of bias</w:t>
            </w:r>
          </w:p>
        </w:tc>
        <w:tc>
          <w:tcPr>
            <w:tcW w:w="1257" w:type="pct"/>
            <w:shd w:val="clear" w:color="auto" w:fill="auto"/>
            <w:vAlign w:val="center"/>
          </w:tcPr>
          <w:p w:rsidR="004B4968" w:rsidRPr="00BB3215" w:rsidRDefault="004B4968" w:rsidP="00ED7D6E">
            <w:pPr>
              <w:pStyle w:val="Tabletext"/>
              <w:keepNext/>
              <w:keepLines/>
              <w:jc w:val="center"/>
              <w:rPr>
                <w:b/>
              </w:rPr>
            </w:pPr>
            <w:r w:rsidRPr="00BB3215">
              <w:rPr>
                <w:b/>
              </w:rPr>
              <w:t>Patient population</w:t>
            </w:r>
          </w:p>
        </w:tc>
        <w:tc>
          <w:tcPr>
            <w:tcW w:w="1327" w:type="pct"/>
            <w:shd w:val="clear" w:color="auto" w:fill="auto"/>
            <w:vAlign w:val="center"/>
          </w:tcPr>
          <w:p w:rsidR="004B4968" w:rsidRPr="00BB3215" w:rsidRDefault="004B4968" w:rsidP="00ED7D6E">
            <w:pPr>
              <w:pStyle w:val="Tabletext"/>
              <w:keepNext/>
              <w:keepLines/>
              <w:jc w:val="center"/>
              <w:rPr>
                <w:b/>
              </w:rPr>
            </w:pPr>
            <w:r w:rsidRPr="00BB3215">
              <w:rPr>
                <w:b/>
              </w:rPr>
              <w:t>Outcome(s)</w:t>
            </w:r>
          </w:p>
        </w:tc>
        <w:tc>
          <w:tcPr>
            <w:tcW w:w="947" w:type="pct"/>
            <w:shd w:val="clear" w:color="auto" w:fill="auto"/>
            <w:vAlign w:val="center"/>
          </w:tcPr>
          <w:p w:rsidR="004B4968" w:rsidRPr="00BB3215" w:rsidRDefault="004B4968" w:rsidP="00ED7D6E">
            <w:pPr>
              <w:pStyle w:val="Tabletext"/>
              <w:keepNext/>
              <w:keepLines/>
              <w:jc w:val="center"/>
              <w:rPr>
                <w:b/>
              </w:rPr>
            </w:pPr>
            <w:r w:rsidRPr="00BB3215">
              <w:rPr>
                <w:b/>
              </w:rPr>
              <w:t>Use in modelled evaluation</w:t>
            </w:r>
          </w:p>
        </w:tc>
      </w:tr>
      <w:tr w:rsidR="004B4968" w:rsidRPr="00BB3215" w:rsidTr="00C21660">
        <w:tc>
          <w:tcPr>
            <w:tcW w:w="5000" w:type="pct"/>
            <w:gridSpan w:val="7"/>
            <w:shd w:val="clear" w:color="auto" w:fill="auto"/>
            <w:vAlign w:val="center"/>
          </w:tcPr>
          <w:p w:rsidR="004B4968" w:rsidRPr="00BB3215" w:rsidRDefault="004B4968" w:rsidP="00ED7D6E">
            <w:pPr>
              <w:pStyle w:val="Tabletext"/>
              <w:keepNext/>
              <w:keepLines/>
              <w:rPr>
                <w:b/>
              </w:rPr>
            </w:pPr>
            <w:r w:rsidRPr="00BB3215">
              <w:rPr>
                <w:b/>
              </w:rPr>
              <w:t>Neratinib vs placebo</w:t>
            </w:r>
          </w:p>
        </w:tc>
      </w:tr>
      <w:tr w:rsidR="004B4968" w:rsidRPr="00BB3215" w:rsidTr="00C21660">
        <w:tc>
          <w:tcPr>
            <w:tcW w:w="395" w:type="pct"/>
            <w:shd w:val="clear" w:color="auto" w:fill="auto"/>
            <w:vAlign w:val="center"/>
          </w:tcPr>
          <w:p w:rsidR="004B4968" w:rsidRPr="00BB3215" w:rsidRDefault="004B4968" w:rsidP="00ED7D6E">
            <w:pPr>
              <w:pStyle w:val="Tabletext"/>
              <w:keepNext/>
              <w:keepLines/>
            </w:pPr>
            <w:r w:rsidRPr="00BB3215">
              <w:t>ExteNET</w:t>
            </w:r>
          </w:p>
        </w:tc>
        <w:tc>
          <w:tcPr>
            <w:tcW w:w="233" w:type="pct"/>
            <w:shd w:val="clear" w:color="auto" w:fill="auto"/>
            <w:vAlign w:val="center"/>
          </w:tcPr>
          <w:p w:rsidR="004B4968" w:rsidRPr="00BB3215" w:rsidRDefault="004B4968" w:rsidP="00ED7D6E">
            <w:pPr>
              <w:pStyle w:val="Tabletext"/>
              <w:keepNext/>
              <w:keepLines/>
              <w:jc w:val="center"/>
            </w:pPr>
            <w:r w:rsidRPr="00BB3215">
              <w:t>2840</w:t>
            </w:r>
          </w:p>
        </w:tc>
        <w:tc>
          <w:tcPr>
            <w:tcW w:w="459" w:type="pct"/>
            <w:shd w:val="clear" w:color="auto" w:fill="auto"/>
            <w:vAlign w:val="center"/>
          </w:tcPr>
          <w:p w:rsidR="004B4968" w:rsidRPr="00BB3215" w:rsidRDefault="004B4968" w:rsidP="00ED7D6E">
            <w:pPr>
              <w:pStyle w:val="Tabletext"/>
              <w:keepNext/>
              <w:keepLines/>
              <w:jc w:val="center"/>
            </w:pPr>
            <w:r w:rsidRPr="00BB3215">
              <w:t>R, DB</w:t>
            </w:r>
          </w:p>
          <w:p w:rsidR="004B4968" w:rsidRPr="00BB3215" w:rsidRDefault="004B4968" w:rsidP="00ED7D6E">
            <w:pPr>
              <w:pStyle w:val="Tabletext"/>
              <w:keepNext/>
              <w:keepLines/>
              <w:jc w:val="center"/>
            </w:pPr>
            <w:r w:rsidRPr="00BB3215">
              <w:t>60 months</w:t>
            </w:r>
          </w:p>
        </w:tc>
        <w:tc>
          <w:tcPr>
            <w:tcW w:w="381" w:type="pct"/>
            <w:shd w:val="clear" w:color="auto" w:fill="auto"/>
            <w:vAlign w:val="center"/>
          </w:tcPr>
          <w:p w:rsidR="004B4968" w:rsidRPr="00BB3215" w:rsidRDefault="004B4968" w:rsidP="00ED7D6E">
            <w:pPr>
              <w:pStyle w:val="Tabletext"/>
              <w:keepNext/>
              <w:keepLines/>
              <w:jc w:val="center"/>
            </w:pPr>
            <w:r w:rsidRPr="00BB3215">
              <w:t>Unclear</w:t>
            </w:r>
          </w:p>
        </w:tc>
        <w:tc>
          <w:tcPr>
            <w:tcW w:w="1257" w:type="pct"/>
            <w:shd w:val="clear" w:color="auto" w:fill="auto"/>
            <w:vAlign w:val="center"/>
          </w:tcPr>
          <w:p w:rsidR="004B4968" w:rsidRPr="00BB3215" w:rsidRDefault="004B4968" w:rsidP="00ED7D6E">
            <w:pPr>
              <w:pStyle w:val="Tabletext"/>
              <w:keepNext/>
              <w:keepLines/>
              <w:jc w:val="center"/>
            </w:pPr>
            <w:r w:rsidRPr="00BB3215">
              <w:t>Initial protocol: HER2+, HR+ &amp; HR-, lymph node positive &amp; negative eBC; completed trastuzumab up to 2 years</w:t>
            </w:r>
          </w:p>
          <w:p w:rsidR="004B4968" w:rsidRPr="00BB3215" w:rsidRDefault="004B4968" w:rsidP="00ED7D6E">
            <w:pPr>
              <w:pStyle w:val="Tabletext"/>
              <w:keepNext/>
              <w:keepLines/>
              <w:jc w:val="center"/>
            </w:pPr>
          </w:p>
          <w:p w:rsidR="004B4968" w:rsidRPr="00BB3215" w:rsidRDefault="004B4968" w:rsidP="00ED7D6E">
            <w:pPr>
              <w:pStyle w:val="Tabletext"/>
              <w:keepNext/>
              <w:keepLines/>
              <w:jc w:val="center"/>
            </w:pPr>
            <w:r w:rsidRPr="00BB3215">
              <w:t xml:space="preserve">Amendment 3: </w:t>
            </w:r>
          </w:p>
          <w:p w:rsidR="004B4968" w:rsidRPr="00BB3215" w:rsidRDefault="004B4968" w:rsidP="00ED7D6E">
            <w:pPr>
              <w:pStyle w:val="Tabletext"/>
              <w:keepNext/>
              <w:keepLines/>
              <w:jc w:val="center"/>
            </w:pPr>
            <w:r w:rsidRPr="00BB3215">
              <w:t>HER2+, HR+ &amp; HR</w:t>
            </w:r>
            <w:r w:rsidRPr="00BB3215">
              <w:noBreakHyphen/>
              <w:t>, lymph node positive eBC; completed trastuzumab up to 1 years</w:t>
            </w:r>
          </w:p>
        </w:tc>
        <w:tc>
          <w:tcPr>
            <w:tcW w:w="1327" w:type="pct"/>
            <w:shd w:val="clear" w:color="auto" w:fill="auto"/>
            <w:vAlign w:val="center"/>
          </w:tcPr>
          <w:p w:rsidR="004B4968" w:rsidRPr="00BB3215" w:rsidRDefault="004B4968" w:rsidP="00ED7D6E">
            <w:pPr>
              <w:pStyle w:val="Tabletext"/>
              <w:keepNext/>
              <w:keepLines/>
              <w:jc w:val="center"/>
            </w:pPr>
            <w:r w:rsidRPr="00BB3215">
              <w:t>Primary outcome: iDFS of the ITT population, aITT population, Centrally-confirmed ERBB2-positive.</w:t>
            </w:r>
          </w:p>
          <w:p w:rsidR="004B4968" w:rsidRPr="00BB3215" w:rsidRDefault="004B4968" w:rsidP="00ED7D6E">
            <w:pPr>
              <w:pStyle w:val="Tabletext"/>
              <w:keepNext/>
              <w:keepLines/>
              <w:jc w:val="center"/>
            </w:pPr>
          </w:p>
          <w:p w:rsidR="004B4968" w:rsidRPr="00BB3215" w:rsidRDefault="004B4968" w:rsidP="00ED7D6E">
            <w:pPr>
              <w:pStyle w:val="Tabletext"/>
              <w:keepNext/>
              <w:keepLines/>
              <w:jc w:val="center"/>
            </w:pPr>
            <w:r w:rsidRPr="00BB3215">
              <w:t>Secondary outcome:DFS-DCIS, DDFS TTDR, Incidence of CNS recurrence; OS not available; FACT-B; EQ-5D</w:t>
            </w:r>
          </w:p>
        </w:tc>
        <w:tc>
          <w:tcPr>
            <w:tcW w:w="947" w:type="pct"/>
            <w:shd w:val="clear" w:color="auto" w:fill="auto"/>
            <w:vAlign w:val="center"/>
          </w:tcPr>
          <w:p w:rsidR="004B4968" w:rsidRPr="00BB3215" w:rsidRDefault="004B4968" w:rsidP="00ED7D6E">
            <w:pPr>
              <w:pStyle w:val="Tabletext"/>
              <w:keepNext/>
              <w:keepLines/>
              <w:jc w:val="center"/>
            </w:pPr>
            <w:r w:rsidRPr="00BB3215">
              <w:t>Unclear, but presumably iDFS in the HR+ population of the ITT analysis.</w:t>
            </w:r>
          </w:p>
        </w:tc>
      </w:tr>
    </w:tbl>
    <w:p w:rsidR="004B4968" w:rsidRPr="00BB3215" w:rsidRDefault="004B4968" w:rsidP="00ED7D6E">
      <w:pPr>
        <w:pStyle w:val="TableFooter"/>
        <w:keepNext/>
        <w:keepLines/>
        <w:widowControl/>
      </w:pPr>
      <w:r w:rsidRPr="00BB3215">
        <w:t xml:space="preserve">DB=double blind; MC=multi-centre; OL=open label; OS=overall survival; PFS=progression-free survival; R=randomised; HER2+= human epidermal growth factor receptor 2 positive; HR+: hormone receptor positive; HR-: hormone receptor negative; eBC: early breast cancer; DFS-DCIS: DFS including ductal carcinoma in situ; DDFS: Distant disease-free survival; TTDR: Time to distant recurrence; CNS: Central Nervous System; FACT-B: Breast cancer-specific quality of life – FACT-B (version 4); </w:t>
      </w:r>
    </w:p>
    <w:p w:rsidR="004B4968" w:rsidRPr="00BB3215" w:rsidRDefault="004B4968" w:rsidP="00ED7D6E">
      <w:pPr>
        <w:pStyle w:val="TableFooter"/>
        <w:keepNext/>
        <w:keepLines/>
        <w:widowControl/>
      </w:pPr>
      <w:r w:rsidRPr="00BB3215">
        <w:t>ITT: Intent to treat: The ITT population includes all randomised patients with the exceptions documented in the SAP. Patients were analysed by the randomised treatment arms regardless of the actual treatment received.</w:t>
      </w:r>
    </w:p>
    <w:p w:rsidR="004B4968" w:rsidRPr="00BB3215" w:rsidRDefault="004B4968" w:rsidP="00ED7D6E">
      <w:pPr>
        <w:pStyle w:val="TableFooter"/>
        <w:keepNext/>
        <w:keepLines/>
        <w:widowControl/>
      </w:pPr>
      <w:r w:rsidRPr="00BB3215">
        <w:t>aITT: amended Intent to treat: The aITT population includes all patients randomised under global amendment 3 or later amendment, or all patients randomised prior to implementation of global amendment 3 if they met the following key criteria: 1. All patients with node-positive disease and 2. All patients randomised within 1 year from completion of prior trastuzumab therapy.</w:t>
      </w:r>
    </w:p>
    <w:p w:rsidR="004B4968" w:rsidRPr="00BB3215" w:rsidRDefault="004B4968" w:rsidP="00ED7D6E">
      <w:pPr>
        <w:pStyle w:val="TableFooter"/>
        <w:keepNext/>
        <w:keepLines/>
        <w:widowControl/>
      </w:pPr>
      <w:r w:rsidRPr="00BB3215">
        <w:t>Centrally-confirmed ERBB2-positive: The Centrally Confirmed erbB-2-Positive population includes all patients randomised who were confirmed by central testing to be erbB-2 positive.</w:t>
      </w:r>
    </w:p>
    <w:p w:rsidR="004B4968" w:rsidRPr="001251B2" w:rsidRDefault="004B4968" w:rsidP="00ED7D6E">
      <w:pPr>
        <w:pStyle w:val="TableFooter"/>
        <w:keepNext/>
        <w:keepLines/>
        <w:widowControl/>
        <w:rPr>
          <w:iCs/>
        </w:rPr>
      </w:pPr>
      <w:r w:rsidRPr="001251B2">
        <w:rPr>
          <w:iCs/>
        </w:rPr>
        <w:t xml:space="preserve">Source: compiled during the evaluation based on information provided in p40-43 of the resubmission </w:t>
      </w:r>
    </w:p>
    <w:p w:rsidR="004B4968" w:rsidRPr="00BB3215" w:rsidRDefault="004B4968" w:rsidP="00556F3A">
      <w:pPr>
        <w:widowControl/>
      </w:pPr>
    </w:p>
    <w:p w:rsidR="004B4968" w:rsidRPr="00D00BEF" w:rsidRDefault="004B4968" w:rsidP="00A84C29">
      <w:pPr>
        <w:pStyle w:val="ListParagraph"/>
        <w:widowControl/>
        <w:numPr>
          <w:ilvl w:val="1"/>
          <w:numId w:val="5"/>
        </w:numPr>
        <w:rPr>
          <w:iCs/>
        </w:rPr>
      </w:pPr>
      <w:r w:rsidRPr="00D00BEF">
        <w:rPr>
          <w:iCs/>
        </w:rPr>
        <w:t>There were 14 protocol amendments throughout the five years of the ExteNET trial, of which six were global amendments.</w:t>
      </w:r>
    </w:p>
    <w:p w:rsidR="00A40AE3" w:rsidRPr="00EF5B8F" w:rsidRDefault="004E1EAA" w:rsidP="00A84C29">
      <w:pPr>
        <w:pStyle w:val="ListParagraph"/>
        <w:widowControl/>
        <w:numPr>
          <w:ilvl w:val="1"/>
          <w:numId w:val="5"/>
        </w:numPr>
      </w:pPr>
      <w:r w:rsidRPr="00EF5B8F">
        <w:t>Previously, the PBAC considered amendment</w:t>
      </w:r>
      <w:r w:rsidR="00A40AE3" w:rsidRPr="00EF5B8F">
        <w:t xml:space="preserve">s </w:t>
      </w:r>
      <w:r w:rsidR="003404B0" w:rsidRPr="00EF5B8F">
        <w:t xml:space="preserve">3, 9 and 13 </w:t>
      </w:r>
      <w:r w:rsidR="00A40AE3" w:rsidRPr="00EF5B8F">
        <w:t>contributed to an overall high risk of bias for the ExteNET trial</w:t>
      </w:r>
      <w:r w:rsidR="00CD64E3" w:rsidRPr="00EF5B8F">
        <w:t xml:space="preserve"> (</w:t>
      </w:r>
      <w:r w:rsidR="00AE687F">
        <w:t>paragraph 7.6 n</w:t>
      </w:r>
      <w:r w:rsidR="00CD64E3" w:rsidRPr="00EF5B8F">
        <w:t>eratinib</w:t>
      </w:r>
      <w:r w:rsidR="00FE4B09" w:rsidRPr="00EF5B8F">
        <w:t xml:space="preserve"> PSD,</w:t>
      </w:r>
      <w:r w:rsidR="00CD64E3" w:rsidRPr="00EF5B8F">
        <w:t xml:space="preserve"> March 2019)</w:t>
      </w:r>
      <w:r w:rsidR="003404B0" w:rsidRPr="00EF5B8F">
        <w:t xml:space="preserve">. The resubmission </w:t>
      </w:r>
      <w:r w:rsidR="00FE4B09" w:rsidRPr="00EF5B8F">
        <w:t xml:space="preserve">attempted to </w:t>
      </w:r>
      <w:r w:rsidR="003404B0" w:rsidRPr="00EF5B8F">
        <w:t>addre</w:t>
      </w:r>
      <w:r w:rsidR="00084E15" w:rsidRPr="00EF5B8F">
        <w:t>ss the PBAC concerns for each of these amendments</w:t>
      </w:r>
      <w:r w:rsidR="00E7795A" w:rsidRPr="00EF5B8F">
        <w:t>.</w:t>
      </w:r>
      <w:r w:rsidR="001456FD" w:rsidRPr="00EF5B8F">
        <w:t xml:space="preserve"> </w:t>
      </w:r>
      <w:r w:rsidR="00E7795A" w:rsidRPr="00EF5B8F">
        <w:t xml:space="preserve">The </w:t>
      </w:r>
      <w:r w:rsidR="001456FD" w:rsidRPr="00EF5B8F">
        <w:t xml:space="preserve">PSCR </w:t>
      </w:r>
      <w:r w:rsidR="00E7795A" w:rsidRPr="00EF5B8F">
        <w:t xml:space="preserve">noted </w:t>
      </w:r>
      <w:r w:rsidR="001456FD" w:rsidRPr="00EF5B8F">
        <w:t>that regardless of these amendments, all international regulatory and reimbursement agencies that have reviewed neratinib (NICE, EMA, Health Canada, TGA, FDA) have delivered positive recommendations on the basis of the HR</w:t>
      </w:r>
      <w:r w:rsidR="00E30B8D" w:rsidRPr="00EF5B8F">
        <w:t xml:space="preserve">+ </w:t>
      </w:r>
      <w:r w:rsidR="001456FD" w:rsidRPr="00EF5B8F">
        <w:t>subgroup analysis and none have concluded that the protocol amendments invalidated the results.</w:t>
      </w:r>
    </w:p>
    <w:p w:rsidR="00A40AE3" w:rsidRPr="00EF5B8F" w:rsidRDefault="00416797" w:rsidP="00A84C29">
      <w:pPr>
        <w:pStyle w:val="ListParagraph"/>
        <w:widowControl/>
        <w:numPr>
          <w:ilvl w:val="1"/>
          <w:numId w:val="5"/>
        </w:numPr>
      </w:pPr>
      <w:r w:rsidRPr="00EF5B8F">
        <w:t>T</w:t>
      </w:r>
      <w:r w:rsidR="00E70C1A" w:rsidRPr="00EF5B8F">
        <w:t>o address protocol amendments 9 &amp; 13</w:t>
      </w:r>
      <w:r w:rsidR="00B1210B" w:rsidRPr="00EF5B8F">
        <w:t>, which related to revising</w:t>
      </w:r>
      <w:r w:rsidR="00E70C1A" w:rsidRPr="00EF5B8F">
        <w:t xml:space="preserve"> key statistical methods and follow-up periods</w:t>
      </w:r>
      <w:r w:rsidR="00B1210B" w:rsidRPr="00EF5B8F">
        <w:t>,</w:t>
      </w:r>
      <w:r w:rsidR="00E70C1A" w:rsidRPr="00EF5B8F">
        <w:t xml:space="preserve"> t</w:t>
      </w:r>
      <w:r w:rsidRPr="00EF5B8F">
        <w:t>he resubmission stated that the Food and Drug Administration (FDA) conducted a tipping</w:t>
      </w:r>
      <w:r w:rsidRPr="00EF5B8F">
        <w:noBreakHyphen/>
        <w:t>point analysis, which showed that the missing survival data of the non-reconsented patients had a minimal impact on the trial results.</w:t>
      </w:r>
      <w:r w:rsidR="00084E15" w:rsidRPr="00EF5B8F">
        <w:t xml:space="preserve"> The ESC agreed with the commentary that the tipping-point analysis did not take into consideration the disease recurrence rates in the </w:t>
      </w:r>
      <w:r w:rsidR="00945A7C" w:rsidRPr="00EF5B8F">
        <w:t xml:space="preserve">patients not </w:t>
      </w:r>
      <w:r w:rsidR="00084E15" w:rsidRPr="00EF5B8F">
        <w:t>reconsented given this data was unknown. A comparison of the baseline characteristics of the reconsented patients compared with th</w:t>
      </w:r>
      <w:r w:rsidR="00455DB9" w:rsidRPr="00EF5B8F">
        <w:t xml:space="preserve">ose not </w:t>
      </w:r>
      <w:r w:rsidR="00084E15" w:rsidRPr="00EF5B8F">
        <w:t xml:space="preserve">reconsented patients was not provided. Thus, the 5-year health outcome results may have favoured neratinib if the </w:t>
      </w:r>
      <w:r w:rsidR="00A665B1" w:rsidRPr="00EF5B8F">
        <w:t xml:space="preserve">patients who were not </w:t>
      </w:r>
      <w:r w:rsidR="00084E15" w:rsidRPr="00EF5B8F">
        <w:t>reconsented had worse survival outcome</w:t>
      </w:r>
      <w:r w:rsidR="009D2DBD" w:rsidRPr="00EF5B8F">
        <w:t>s</w:t>
      </w:r>
      <w:r w:rsidR="00084E15" w:rsidRPr="00EF5B8F">
        <w:t xml:space="preserve"> compared with the reconsented patients.</w:t>
      </w:r>
    </w:p>
    <w:p w:rsidR="004B4968" w:rsidRPr="00EF5B8F" w:rsidRDefault="00084E15" w:rsidP="00A84C29">
      <w:pPr>
        <w:pStyle w:val="ListParagraph"/>
        <w:widowControl/>
        <w:numPr>
          <w:ilvl w:val="1"/>
          <w:numId w:val="5"/>
        </w:numPr>
        <w:rPr>
          <w:iCs/>
        </w:rPr>
      </w:pPr>
      <w:r w:rsidRPr="00EF5B8F">
        <w:lastRenderedPageBreak/>
        <w:t>T</w:t>
      </w:r>
      <w:r w:rsidR="004E1EAA" w:rsidRPr="00EF5B8F">
        <w:t>he ESC</w:t>
      </w:r>
      <w:r w:rsidR="00BF53E8" w:rsidRPr="00EF5B8F">
        <w:t xml:space="preserve"> </w:t>
      </w:r>
      <w:r w:rsidRPr="00EF5B8F">
        <w:t xml:space="preserve">maintained its advice </w:t>
      </w:r>
      <w:r w:rsidR="00BF53E8" w:rsidRPr="00EF5B8F">
        <w:t xml:space="preserve">that the overall risk of bias for the ExteNET trial remained high. </w:t>
      </w:r>
    </w:p>
    <w:p w:rsidR="00AB6B5C" w:rsidRPr="00EF5B8F" w:rsidRDefault="00AB6B5C" w:rsidP="00A84C29">
      <w:pPr>
        <w:pStyle w:val="ListParagraph"/>
        <w:widowControl/>
        <w:numPr>
          <w:ilvl w:val="1"/>
          <w:numId w:val="5"/>
        </w:numPr>
      </w:pPr>
      <w:r w:rsidRPr="00EF5B8F">
        <w:t xml:space="preserve">The resubmission presented an indirect comparison of two trials: ExteNET (neratinib as an extended adjuvant therapy following trastuzumab plus chemotherapy (T+ Chemo)) and APHINITY (pertuzumab in combination with trastuzumab plus chemotherapy (Ptz+ T+ Chemo)). Trastuzumab plus chemotherapy (T+Chemo) </w:t>
      </w:r>
      <w:r w:rsidR="00914B8F" w:rsidRPr="00EF5B8F">
        <w:t>w</w:t>
      </w:r>
      <w:r w:rsidRPr="00EF5B8F">
        <w:t xml:space="preserve">as the common comparator. </w:t>
      </w:r>
      <w:r w:rsidRPr="00EF5B8F">
        <w:rPr>
          <w:iCs/>
        </w:rPr>
        <w:t xml:space="preserve">The March 2019 submission did not include this indirect comparison. </w:t>
      </w:r>
    </w:p>
    <w:p w:rsidR="004B4968" w:rsidRPr="00BB3215" w:rsidRDefault="004B4968" w:rsidP="00A84C29">
      <w:pPr>
        <w:pStyle w:val="ListParagraph"/>
        <w:widowControl/>
        <w:numPr>
          <w:ilvl w:val="1"/>
          <w:numId w:val="5"/>
        </w:numPr>
      </w:pPr>
      <w:r w:rsidRPr="00BB3215">
        <w:t>The key features of the</w:t>
      </w:r>
      <w:r w:rsidR="00531D3C" w:rsidRPr="00BB3215">
        <w:t xml:space="preserve"> trials included in the</w:t>
      </w:r>
      <w:r w:rsidRPr="00BB3215">
        <w:t xml:space="preserve"> indirect comparison are summarised in Table </w:t>
      </w:r>
      <w:r w:rsidR="00671BAD">
        <w:t>6</w:t>
      </w:r>
      <w:r w:rsidRPr="00BB3215">
        <w:t>.</w:t>
      </w:r>
    </w:p>
    <w:p w:rsidR="004B4968" w:rsidRPr="00BB3215" w:rsidRDefault="004B4968" w:rsidP="00025B3F">
      <w:pPr>
        <w:keepNext/>
        <w:keepLines/>
        <w:widowControl/>
        <w:rPr>
          <w:rStyle w:val="CommentReference"/>
        </w:rPr>
      </w:pPr>
      <w:r w:rsidRPr="00BB3215">
        <w:rPr>
          <w:rStyle w:val="CommentReference"/>
        </w:rPr>
        <w:t xml:space="preserve">Table </w:t>
      </w:r>
      <w:r w:rsidR="00671BAD">
        <w:rPr>
          <w:rStyle w:val="CommentReference"/>
        </w:rPr>
        <w:t>6</w:t>
      </w:r>
      <w:r w:rsidRPr="00BB3215">
        <w:rPr>
          <w:rStyle w:val="CommentReference"/>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3"/>
        <w:gridCol w:w="476"/>
        <w:gridCol w:w="712"/>
        <w:gridCol w:w="709"/>
        <w:gridCol w:w="2833"/>
        <w:gridCol w:w="2784"/>
      </w:tblGrid>
      <w:tr w:rsidR="004C7DD6" w:rsidRPr="00BB3215" w:rsidTr="009D1399">
        <w:trPr>
          <w:tblHeader/>
        </w:trPr>
        <w:tc>
          <w:tcPr>
            <w:tcW w:w="833" w:type="pct"/>
            <w:shd w:val="clear" w:color="auto" w:fill="auto"/>
            <w:vAlign w:val="center"/>
          </w:tcPr>
          <w:p w:rsidR="004C7DD6" w:rsidRPr="00BB3215" w:rsidRDefault="004C7DD6" w:rsidP="00025B3F">
            <w:pPr>
              <w:pStyle w:val="Tabletext"/>
              <w:keepNext/>
              <w:keepLines/>
              <w:rPr>
                <w:b/>
              </w:rPr>
            </w:pPr>
            <w:r w:rsidRPr="00BB3215">
              <w:rPr>
                <w:b/>
              </w:rPr>
              <w:t>Trial</w:t>
            </w:r>
          </w:p>
        </w:tc>
        <w:tc>
          <w:tcPr>
            <w:tcW w:w="264" w:type="pct"/>
            <w:shd w:val="clear" w:color="auto" w:fill="auto"/>
            <w:vAlign w:val="center"/>
          </w:tcPr>
          <w:p w:rsidR="004C7DD6" w:rsidRPr="00BB3215" w:rsidRDefault="004C7DD6" w:rsidP="00025B3F">
            <w:pPr>
              <w:pStyle w:val="Tabletext"/>
              <w:keepNext/>
              <w:keepLines/>
              <w:jc w:val="center"/>
              <w:rPr>
                <w:b/>
              </w:rPr>
            </w:pPr>
            <w:r w:rsidRPr="00BB3215">
              <w:rPr>
                <w:b/>
              </w:rPr>
              <w:t>N</w:t>
            </w:r>
          </w:p>
        </w:tc>
        <w:tc>
          <w:tcPr>
            <w:tcW w:w="395" w:type="pct"/>
            <w:shd w:val="clear" w:color="auto" w:fill="auto"/>
            <w:vAlign w:val="center"/>
          </w:tcPr>
          <w:p w:rsidR="004C7DD6" w:rsidRPr="00BB3215" w:rsidRDefault="004C7DD6" w:rsidP="00025B3F">
            <w:pPr>
              <w:pStyle w:val="Tabletext"/>
              <w:keepNext/>
              <w:keepLines/>
              <w:jc w:val="center"/>
              <w:rPr>
                <w:b/>
              </w:rPr>
            </w:pPr>
            <w:r w:rsidRPr="00BB3215">
              <w:rPr>
                <w:b/>
              </w:rPr>
              <w:t>Design/ duration</w:t>
            </w:r>
          </w:p>
        </w:tc>
        <w:tc>
          <w:tcPr>
            <w:tcW w:w="393" w:type="pct"/>
            <w:shd w:val="clear" w:color="auto" w:fill="auto"/>
            <w:vAlign w:val="center"/>
          </w:tcPr>
          <w:p w:rsidR="004C7DD6" w:rsidRPr="00BB3215" w:rsidRDefault="004C7DD6" w:rsidP="00025B3F">
            <w:pPr>
              <w:pStyle w:val="Tabletext"/>
              <w:keepNext/>
              <w:keepLines/>
              <w:jc w:val="center"/>
              <w:rPr>
                <w:b/>
              </w:rPr>
            </w:pPr>
            <w:r w:rsidRPr="00BB3215">
              <w:rPr>
                <w:b/>
              </w:rPr>
              <w:t>Risk of bias</w:t>
            </w:r>
          </w:p>
        </w:tc>
        <w:tc>
          <w:tcPr>
            <w:tcW w:w="1571" w:type="pct"/>
            <w:shd w:val="clear" w:color="auto" w:fill="auto"/>
            <w:vAlign w:val="center"/>
          </w:tcPr>
          <w:p w:rsidR="004C7DD6" w:rsidRPr="00BB3215" w:rsidRDefault="004C7DD6" w:rsidP="00025B3F">
            <w:pPr>
              <w:pStyle w:val="Tabletext"/>
              <w:keepNext/>
              <w:keepLines/>
              <w:jc w:val="center"/>
              <w:rPr>
                <w:b/>
              </w:rPr>
            </w:pPr>
            <w:r w:rsidRPr="00BB3215">
              <w:rPr>
                <w:b/>
              </w:rPr>
              <w:t>Patient population</w:t>
            </w:r>
          </w:p>
        </w:tc>
        <w:tc>
          <w:tcPr>
            <w:tcW w:w="1544" w:type="pct"/>
            <w:shd w:val="clear" w:color="auto" w:fill="auto"/>
            <w:vAlign w:val="center"/>
          </w:tcPr>
          <w:p w:rsidR="004C7DD6" w:rsidRPr="00BB3215" w:rsidRDefault="004C7DD6" w:rsidP="00025B3F">
            <w:pPr>
              <w:pStyle w:val="Tabletext"/>
              <w:keepNext/>
              <w:keepLines/>
              <w:jc w:val="center"/>
              <w:rPr>
                <w:b/>
              </w:rPr>
            </w:pPr>
            <w:r w:rsidRPr="00BB3215">
              <w:rPr>
                <w:b/>
              </w:rPr>
              <w:t>Outcome(s)</w:t>
            </w:r>
          </w:p>
        </w:tc>
      </w:tr>
      <w:tr w:rsidR="004C7DD6" w:rsidRPr="00BB3215" w:rsidTr="009D1399">
        <w:tc>
          <w:tcPr>
            <w:tcW w:w="833" w:type="pct"/>
            <w:shd w:val="clear" w:color="auto" w:fill="auto"/>
            <w:vAlign w:val="center"/>
          </w:tcPr>
          <w:p w:rsidR="004C7DD6" w:rsidRPr="00BB3215" w:rsidRDefault="004C7DD6" w:rsidP="00025B3F">
            <w:pPr>
              <w:pStyle w:val="Tabletext"/>
              <w:keepNext/>
              <w:keepLines/>
            </w:pPr>
            <w:r w:rsidRPr="00BB3215">
              <w:rPr>
                <w:b/>
              </w:rPr>
              <w:t>Neratinib vs placebo</w:t>
            </w:r>
          </w:p>
        </w:tc>
        <w:tc>
          <w:tcPr>
            <w:tcW w:w="264" w:type="pct"/>
            <w:shd w:val="clear" w:color="auto" w:fill="auto"/>
            <w:vAlign w:val="center"/>
          </w:tcPr>
          <w:p w:rsidR="004C7DD6" w:rsidRPr="00BB3215" w:rsidRDefault="004C7DD6" w:rsidP="00025B3F">
            <w:pPr>
              <w:pStyle w:val="Tabletext"/>
              <w:keepNext/>
              <w:keepLines/>
              <w:jc w:val="center"/>
            </w:pPr>
          </w:p>
        </w:tc>
        <w:tc>
          <w:tcPr>
            <w:tcW w:w="395" w:type="pct"/>
            <w:shd w:val="clear" w:color="auto" w:fill="auto"/>
            <w:vAlign w:val="center"/>
          </w:tcPr>
          <w:p w:rsidR="004C7DD6" w:rsidRPr="00BB3215" w:rsidRDefault="004C7DD6" w:rsidP="00025B3F">
            <w:pPr>
              <w:pStyle w:val="Tabletext"/>
              <w:keepNext/>
              <w:keepLines/>
              <w:jc w:val="center"/>
            </w:pPr>
          </w:p>
        </w:tc>
        <w:tc>
          <w:tcPr>
            <w:tcW w:w="393" w:type="pct"/>
            <w:shd w:val="clear" w:color="auto" w:fill="auto"/>
            <w:vAlign w:val="center"/>
          </w:tcPr>
          <w:p w:rsidR="004C7DD6" w:rsidRPr="00BB3215" w:rsidRDefault="004C7DD6" w:rsidP="00025B3F">
            <w:pPr>
              <w:pStyle w:val="Tabletext"/>
              <w:keepNext/>
              <w:keepLines/>
              <w:jc w:val="center"/>
            </w:pPr>
          </w:p>
        </w:tc>
        <w:tc>
          <w:tcPr>
            <w:tcW w:w="1571" w:type="pct"/>
            <w:shd w:val="clear" w:color="auto" w:fill="auto"/>
            <w:vAlign w:val="center"/>
          </w:tcPr>
          <w:p w:rsidR="004C7DD6" w:rsidRPr="00BB3215" w:rsidRDefault="004C7DD6" w:rsidP="00025B3F">
            <w:pPr>
              <w:pStyle w:val="Tabletext"/>
              <w:keepNext/>
              <w:keepLines/>
              <w:jc w:val="center"/>
            </w:pPr>
          </w:p>
        </w:tc>
        <w:tc>
          <w:tcPr>
            <w:tcW w:w="1544" w:type="pct"/>
            <w:shd w:val="clear" w:color="auto" w:fill="auto"/>
            <w:vAlign w:val="center"/>
          </w:tcPr>
          <w:p w:rsidR="004C7DD6" w:rsidRPr="00BB3215" w:rsidRDefault="004C7DD6" w:rsidP="00025B3F">
            <w:pPr>
              <w:pStyle w:val="Tabletext"/>
              <w:keepNext/>
              <w:keepLines/>
              <w:jc w:val="center"/>
            </w:pPr>
          </w:p>
        </w:tc>
      </w:tr>
      <w:tr w:rsidR="004C7DD6" w:rsidRPr="00BB3215" w:rsidTr="009D1399">
        <w:tc>
          <w:tcPr>
            <w:tcW w:w="833" w:type="pct"/>
            <w:shd w:val="clear" w:color="auto" w:fill="auto"/>
            <w:vAlign w:val="center"/>
          </w:tcPr>
          <w:p w:rsidR="004C7DD6" w:rsidRPr="00BB3215" w:rsidRDefault="004C7DD6" w:rsidP="00025B3F">
            <w:pPr>
              <w:pStyle w:val="Tabletext"/>
              <w:keepNext/>
              <w:keepLines/>
            </w:pPr>
            <w:r w:rsidRPr="00BB3215">
              <w:t>ExteNET</w:t>
            </w:r>
          </w:p>
        </w:tc>
        <w:tc>
          <w:tcPr>
            <w:tcW w:w="264" w:type="pct"/>
            <w:shd w:val="clear" w:color="auto" w:fill="auto"/>
            <w:vAlign w:val="center"/>
          </w:tcPr>
          <w:p w:rsidR="004C7DD6" w:rsidRPr="00BB3215" w:rsidRDefault="004C7DD6" w:rsidP="00025B3F">
            <w:pPr>
              <w:pStyle w:val="Tabletext"/>
              <w:keepNext/>
              <w:keepLines/>
              <w:jc w:val="center"/>
            </w:pPr>
            <w:r w:rsidRPr="00BB3215">
              <w:t>2840</w:t>
            </w:r>
          </w:p>
        </w:tc>
        <w:tc>
          <w:tcPr>
            <w:tcW w:w="395" w:type="pct"/>
            <w:shd w:val="clear" w:color="auto" w:fill="auto"/>
            <w:vAlign w:val="center"/>
          </w:tcPr>
          <w:p w:rsidR="004C7DD6" w:rsidRPr="00BB3215" w:rsidRDefault="004C7DD6" w:rsidP="00025B3F">
            <w:pPr>
              <w:pStyle w:val="Tabletext"/>
              <w:keepNext/>
              <w:keepLines/>
              <w:jc w:val="center"/>
            </w:pPr>
            <w:r w:rsidRPr="00BB3215">
              <w:t>R, DB</w:t>
            </w:r>
          </w:p>
          <w:p w:rsidR="004C7DD6" w:rsidRPr="00BB3215" w:rsidRDefault="004C7DD6" w:rsidP="00025B3F">
            <w:pPr>
              <w:pStyle w:val="Tabletext"/>
              <w:keepNext/>
              <w:keepLines/>
              <w:jc w:val="center"/>
            </w:pPr>
            <w:r w:rsidRPr="00BB3215">
              <w:t>60 months</w:t>
            </w:r>
          </w:p>
        </w:tc>
        <w:tc>
          <w:tcPr>
            <w:tcW w:w="393" w:type="pct"/>
            <w:shd w:val="clear" w:color="auto" w:fill="auto"/>
            <w:vAlign w:val="center"/>
          </w:tcPr>
          <w:p w:rsidR="004C7DD6" w:rsidRPr="00BB3215" w:rsidRDefault="004C7DD6" w:rsidP="00025B3F">
            <w:pPr>
              <w:pStyle w:val="Tabletext"/>
              <w:keepNext/>
              <w:keepLines/>
              <w:jc w:val="center"/>
            </w:pPr>
            <w:r w:rsidRPr="00BB3215">
              <w:t>high</w:t>
            </w:r>
          </w:p>
        </w:tc>
        <w:tc>
          <w:tcPr>
            <w:tcW w:w="1571" w:type="pct"/>
            <w:shd w:val="clear" w:color="auto" w:fill="auto"/>
            <w:vAlign w:val="center"/>
          </w:tcPr>
          <w:p w:rsidR="004C7DD6" w:rsidRPr="00BB3215" w:rsidRDefault="004C7DD6" w:rsidP="00025B3F">
            <w:pPr>
              <w:pStyle w:val="Tabletext"/>
              <w:keepNext/>
              <w:keepLines/>
              <w:jc w:val="center"/>
            </w:pPr>
            <w:r w:rsidRPr="00BB3215">
              <w:t>Initial protocol: HER2+, HR+ &amp; HR-, lymph node positive &amp; negative eBC; completed trastuzumab up to 2 years</w:t>
            </w:r>
          </w:p>
          <w:p w:rsidR="004C7DD6" w:rsidRPr="00BB3215" w:rsidRDefault="004C7DD6" w:rsidP="00025B3F">
            <w:pPr>
              <w:pStyle w:val="Tabletext"/>
              <w:keepNext/>
              <w:keepLines/>
              <w:jc w:val="center"/>
            </w:pPr>
          </w:p>
          <w:p w:rsidR="004C7DD6" w:rsidRPr="00BB3215" w:rsidRDefault="004C7DD6" w:rsidP="00025B3F">
            <w:pPr>
              <w:pStyle w:val="Tabletext"/>
              <w:keepNext/>
              <w:keepLines/>
              <w:jc w:val="center"/>
            </w:pPr>
            <w:r w:rsidRPr="00BB3215">
              <w:t xml:space="preserve">Amendment 3: </w:t>
            </w:r>
          </w:p>
          <w:p w:rsidR="004C7DD6" w:rsidRPr="00BB3215" w:rsidRDefault="004C7DD6" w:rsidP="00025B3F">
            <w:pPr>
              <w:pStyle w:val="Tabletext"/>
              <w:keepNext/>
              <w:keepLines/>
              <w:jc w:val="center"/>
            </w:pPr>
            <w:r w:rsidRPr="00BB3215">
              <w:t>HER2+, HR+ &amp; HR</w:t>
            </w:r>
            <w:r w:rsidRPr="00BB3215">
              <w:noBreakHyphen/>
              <w:t>, lymph node positive eBC; completed trastuzumab up to 1 years</w:t>
            </w:r>
          </w:p>
        </w:tc>
        <w:tc>
          <w:tcPr>
            <w:tcW w:w="1544" w:type="pct"/>
            <w:shd w:val="clear" w:color="auto" w:fill="auto"/>
            <w:vAlign w:val="center"/>
          </w:tcPr>
          <w:p w:rsidR="004C7DD6" w:rsidRPr="00BB3215" w:rsidRDefault="004C7DD6" w:rsidP="00025B3F">
            <w:pPr>
              <w:pStyle w:val="Tabletext"/>
              <w:keepNext/>
              <w:keepLines/>
              <w:jc w:val="center"/>
            </w:pPr>
            <w:r w:rsidRPr="00BB3215">
              <w:t>Primary outcome: iDFS of the ITT population, aITT population, Centrally-confirmed ERBB2-positive.</w:t>
            </w:r>
          </w:p>
          <w:p w:rsidR="004C7DD6" w:rsidRPr="00BB3215" w:rsidRDefault="004C7DD6" w:rsidP="00025B3F">
            <w:pPr>
              <w:pStyle w:val="Tabletext"/>
              <w:keepNext/>
              <w:keepLines/>
              <w:jc w:val="center"/>
            </w:pPr>
          </w:p>
          <w:p w:rsidR="004C7DD6" w:rsidRPr="00BB3215" w:rsidRDefault="004C7DD6" w:rsidP="00025B3F">
            <w:pPr>
              <w:pStyle w:val="Tabletext"/>
              <w:keepNext/>
              <w:keepLines/>
              <w:jc w:val="center"/>
            </w:pPr>
            <w:r w:rsidRPr="00BB3215">
              <w:t>Secondary outcome:DFS-DCIS, DDFS TTDR, Incidence of CNS recurrence; OS not available; FACT-B; EQ-5D</w:t>
            </w:r>
          </w:p>
        </w:tc>
      </w:tr>
      <w:tr w:rsidR="004C7DD6" w:rsidRPr="00BB3215" w:rsidTr="009D1399">
        <w:tc>
          <w:tcPr>
            <w:tcW w:w="833" w:type="pct"/>
            <w:shd w:val="clear" w:color="auto" w:fill="auto"/>
            <w:vAlign w:val="center"/>
          </w:tcPr>
          <w:p w:rsidR="004C7DD6" w:rsidRPr="00BB3215" w:rsidRDefault="004C7DD6" w:rsidP="00025B3F">
            <w:pPr>
              <w:pStyle w:val="Tabletext"/>
              <w:keepNext/>
              <w:keepLines/>
            </w:pPr>
            <w:r w:rsidRPr="00BB3215">
              <w:rPr>
                <w:b/>
              </w:rPr>
              <w:t>Ptz+T+Chemo vs T + Chemo</w:t>
            </w:r>
          </w:p>
        </w:tc>
        <w:tc>
          <w:tcPr>
            <w:tcW w:w="264" w:type="pct"/>
            <w:shd w:val="clear" w:color="auto" w:fill="auto"/>
            <w:vAlign w:val="center"/>
          </w:tcPr>
          <w:p w:rsidR="004C7DD6" w:rsidRPr="00BB3215" w:rsidRDefault="004C7DD6" w:rsidP="00025B3F">
            <w:pPr>
              <w:pStyle w:val="Tabletext"/>
              <w:keepNext/>
              <w:keepLines/>
              <w:jc w:val="center"/>
            </w:pPr>
          </w:p>
        </w:tc>
        <w:tc>
          <w:tcPr>
            <w:tcW w:w="395" w:type="pct"/>
            <w:shd w:val="clear" w:color="auto" w:fill="auto"/>
            <w:vAlign w:val="center"/>
          </w:tcPr>
          <w:p w:rsidR="004C7DD6" w:rsidRPr="00BB3215" w:rsidRDefault="004C7DD6" w:rsidP="00025B3F">
            <w:pPr>
              <w:pStyle w:val="Tabletext"/>
              <w:keepNext/>
              <w:keepLines/>
              <w:jc w:val="center"/>
            </w:pPr>
          </w:p>
        </w:tc>
        <w:tc>
          <w:tcPr>
            <w:tcW w:w="393" w:type="pct"/>
            <w:shd w:val="clear" w:color="auto" w:fill="auto"/>
            <w:vAlign w:val="center"/>
          </w:tcPr>
          <w:p w:rsidR="004C7DD6" w:rsidRPr="00BB3215" w:rsidRDefault="004C7DD6" w:rsidP="00025B3F">
            <w:pPr>
              <w:pStyle w:val="Tabletext"/>
              <w:keepNext/>
              <w:keepLines/>
              <w:jc w:val="center"/>
            </w:pPr>
          </w:p>
        </w:tc>
        <w:tc>
          <w:tcPr>
            <w:tcW w:w="1571" w:type="pct"/>
            <w:shd w:val="clear" w:color="auto" w:fill="auto"/>
            <w:vAlign w:val="center"/>
          </w:tcPr>
          <w:p w:rsidR="004C7DD6" w:rsidRPr="00BB3215" w:rsidRDefault="004C7DD6" w:rsidP="00025B3F">
            <w:pPr>
              <w:pStyle w:val="Tabletext"/>
              <w:keepNext/>
              <w:keepLines/>
              <w:jc w:val="center"/>
            </w:pPr>
          </w:p>
        </w:tc>
        <w:tc>
          <w:tcPr>
            <w:tcW w:w="1544" w:type="pct"/>
            <w:shd w:val="clear" w:color="auto" w:fill="auto"/>
            <w:vAlign w:val="center"/>
          </w:tcPr>
          <w:p w:rsidR="004C7DD6" w:rsidRPr="00BB3215" w:rsidRDefault="004C7DD6" w:rsidP="00025B3F">
            <w:pPr>
              <w:pStyle w:val="Tabletext"/>
              <w:keepNext/>
              <w:keepLines/>
              <w:jc w:val="center"/>
            </w:pPr>
          </w:p>
        </w:tc>
      </w:tr>
      <w:tr w:rsidR="004C7DD6" w:rsidRPr="00BB3215" w:rsidTr="009D1399">
        <w:tc>
          <w:tcPr>
            <w:tcW w:w="833" w:type="pct"/>
            <w:shd w:val="clear" w:color="auto" w:fill="auto"/>
            <w:vAlign w:val="center"/>
          </w:tcPr>
          <w:p w:rsidR="004C7DD6" w:rsidRPr="00BB3215" w:rsidRDefault="004C7DD6" w:rsidP="00025B3F">
            <w:pPr>
              <w:pStyle w:val="Tabletext"/>
              <w:keepNext/>
              <w:keepLines/>
            </w:pPr>
            <w:r w:rsidRPr="00BB3215">
              <w:t>APHINITY</w:t>
            </w:r>
          </w:p>
        </w:tc>
        <w:tc>
          <w:tcPr>
            <w:tcW w:w="264" w:type="pct"/>
            <w:shd w:val="clear" w:color="auto" w:fill="auto"/>
            <w:vAlign w:val="center"/>
          </w:tcPr>
          <w:p w:rsidR="004C7DD6" w:rsidRPr="00BB3215" w:rsidRDefault="004C7DD6" w:rsidP="00025B3F">
            <w:pPr>
              <w:pStyle w:val="Tabletext"/>
              <w:keepNext/>
              <w:keepLines/>
              <w:jc w:val="center"/>
            </w:pPr>
            <w:r w:rsidRPr="00BB3215">
              <w:t>4,805</w:t>
            </w:r>
          </w:p>
        </w:tc>
        <w:tc>
          <w:tcPr>
            <w:tcW w:w="395" w:type="pct"/>
            <w:shd w:val="clear" w:color="auto" w:fill="auto"/>
            <w:vAlign w:val="center"/>
          </w:tcPr>
          <w:p w:rsidR="004C7DD6" w:rsidRPr="00BB3215" w:rsidRDefault="004C7DD6" w:rsidP="00025B3F">
            <w:pPr>
              <w:pStyle w:val="Tabletext"/>
              <w:keepNext/>
              <w:keepLines/>
              <w:jc w:val="center"/>
            </w:pPr>
            <w:r w:rsidRPr="00BB3215">
              <w:t>R, DB</w:t>
            </w:r>
          </w:p>
          <w:p w:rsidR="004C7DD6" w:rsidRPr="00BB3215" w:rsidRDefault="004C7DD6" w:rsidP="00025B3F">
            <w:pPr>
              <w:pStyle w:val="Tabletext"/>
              <w:keepNext/>
              <w:keepLines/>
              <w:jc w:val="center"/>
            </w:pPr>
            <w:r w:rsidRPr="00BB3215">
              <w:t>45 mths</w:t>
            </w:r>
          </w:p>
        </w:tc>
        <w:tc>
          <w:tcPr>
            <w:tcW w:w="393" w:type="pct"/>
            <w:shd w:val="clear" w:color="auto" w:fill="auto"/>
            <w:vAlign w:val="center"/>
          </w:tcPr>
          <w:p w:rsidR="004C7DD6" w:rsidRPr="00BB3215" w:rsidRDefault="004C7DD6" w:rsidP="00025B3F">
            <w:pPr>
              <w:pStyle w:val="Tabletext"/>
              <w:keepNext/>
              <w:keepLines/>
              <w:jc w:val="center"/>
            </w:pPr>
            <w:r w:rsidRPr="00BB3215">
              <w:t>Low</w:t>
            </w:r>
          </w:p>
        </w:tc>
        <w:tc>
          <w:tcPr>
            <w:tcW w:w="1571" w:type="pct"/>
            <w:shd w:val="clear" w:color="auto" w:fill="auto"/>
            <w:vAlign w:val="center"/>
          </w:tcPr>
          <w:p w:rsidR="004C7DD6" w:rsidRPr="00BB3215" w:rsidRDefault="004C7DD6" w:rsidP="00025B3F">
            <w:pPr>
              <w:pStyle w:val="Tabletext"/>
              <w:keepNext/>
              <w:keepLines/>
              <w:jc w:val="center"/>
            </w:pPr>
            <w:r w:rsidRPr="00BB3215">
              <w:t>HER2+ eBC</w:t>
            </w:r>
          </w:p>
        </w:tc>
        <w:tc>
          <w:tcPr>
            <w:tcW w:w="1544" w:type="pct"/>
            <w:shd w:val="clear" w:color="auto" w:fill="auto"/>
            <w:vAlign w:val="center"/>
          </w:tcPr>
          <w:p w:rsidR="004C7DD6" w:rsidRPr="00BB3215" w:rsidRDefault="004C7DD6" w:rsidP="00025B3F">
            <w:pPr>
              <w:pStyle w:val="Tabletext"/>
              <w:keepNext/>
              <w:keepLines/>
              <w:jc w:val="center"/>
            </w:pPr>
            <w:r w:rsidRPr="00BB3215">
              <w:t>iDFS (primary outcome) OS, recurrence-free interval (RFI), distant RFI (DRFI), EORTC QLQ-C30 and EQ-5D-3L</w:t>
            </w:r>
          </w:p>
        </w:tc>
      </w:tr>
    </w:tbl>
    <w:p w:rsidR="004B4968" w:rsidRPr="00BB3215" w:rsidRDefault="004B4968" w:rsidP="00025B3F">
      <w:pPr>
        <w:pStyle w:val="TableFooter"/>
        <w:keepNext/>
        <w:keepLines/>
        <w:widowControl/>
      </w:pPr>
      <w:r w:rsidRPr="00BB3215">
        <w:t xml:space="preserve">DB=double blind; DRFI= distant recurrence free interval; EORTC=European organisation for research and treatment of cancer; iDFS=invasive disease-free survival; OS=overall survival; R=randomised; RFI=recurrence free interval; QLQ=quality of life questionnaire; Ptz=pertuzumab; T= trastuzumab; Chemo= chemotherapy; MC=multi-centre; OL=open label; OS=overall survival; PFS=progression-free survival; R=randomised; HER2+= human epidermal growth factor receptor 2 positive; HR+: hormone receptor positive; HR-: hormone receptor negative; eBC: early breast cancer; DFS-DCIS: DFS including ductal carcinoma in situ; DDFS: Distant disease-free survival; TTDR: Time to distant recurrence; CNS: Central Nervous System; FACT-B: Breast cancer-specific quality of life – FACT-B (version 4); </w:t>
      </w:r>
    </w:p>
    <w:p w:rsidR="004B4968" w:rsidRPr="001251B2" w:rsidRDefault="004B4968" w:rsidP="00025B3F">
      <w:pPr>
        <w:pStyle w:val="TableFooter"/>
        <w:keepNext/>
        <w:keepLines/>
        <w:widowControl/>
      </w:pPr>
      <w:r w:rsidRPr="00BB3215">
        <w:t xml:space="preserve">ITT: Intent to treat: The ITT population includes all randomised patients with the exceptions documented in the SAP. Patients were analysed by the randomised treatment arms regardless of the actual treatment received.; aITT: amended Intent to treat: The aITT population includes all patients randomised under global amendment 3 or later amendment, or all patients randomised prior to implementation of global amendment 3 if they met the following key criteria: 1. All patients with node-positive disease and 2. All patients randomised within 1 year </w:t>
      </w:r>
      <w:r w:rsidRPr="001251B2">
        <w:t>from completion of prior trastuzumab therapy; Centrally-confirmed ERBB2-positive: The Centrally Confirmed erbB-2-Positive population includes all patients randomised who were confirmed by central testing to be erbB-2 positive.</w:t>
      </w:r>
    </w:p>
    <w:p w:rsidR="004B4968" w:rsidRPr="001251B2" w:rsidRDefault="004B4968" w:rsidP="00025B3F">
      <w:pPr>
        <w:pStyle w:val="TableFooter"/>
        <w:keepNext/>
        <w:keepLines/>
        <w:widowControl/>
        <w:rPr>
          <w:iCs/>
          <w:szCs w:val="18"/>
        </w:rPr>
      </w:pPr>
      <w:r w:rsidRPr="001251B2">
        <w:rPr>
          <w:iCs/>
        </w:rPr>
        <w:t>Source: compiled during the evaluation based on neratinib PSD March 2019 meeting and pertuzumab March 2019 meeting</w:t>
      </w:r>
    </w:p>
    <w:p w:rsidR="004B4968" w:rsidRPr="00BB3215" w:rsidRDefault="004B4968" w:rsidP="00025B3F">
      <w:pPr>
        <w:widowControl/>
      </w:pPr>
    </w:p>
    <w:p w:rsidR="00ED52A3" w:rsidRPr="00EF5B8F" w:rsidRDefault="00875585" w:rsidP="00A84C29">
      <w:pPr>
        <w:pStyle w:val="ListParagraph"/>
        <w:widowControl/>
        <w:numPr>
          <w:ilvl w:val="1"/>
          <w:numId w:val="5"/>
        </w:numPr>
        <w:rPr>
          <w:iCs/>
        </w:rPr>
      </w:pPr>
      <w:r w:rsidRPr="00EF5B8F">
        <w:rPr>
          <w:iCs/>
        </w:rPr>
        <w:t>The ESC agreed with the commentary that t</w:t>
      </w:r>
      <w:r w:rsidR="000961CF" w:rsidRPr="00EF5B8F">
        <w:rPr>
          <w:iCs/>
        </w:rPr>
        <w:t>he results of the indirect comparison should be interpreted with caution due to applicability and exchangeability issues</w:t>
      </w:r>
      <w:r w:rsidRPr="00EF5B8F">
        <w:rPr>
          <w:iCs/>
        </w:rPr>
        <w:t xml:space="preserve"> due to differences </w:t>
      </w:r>
      <w:r w:rsidR="00684FA4" w:rsidRPr="00EF5B8F">
        <w:rPr>
          <w:iCs/>
        </w:rPr>
        <w:t xml:space="preserve">between the two trials including </w:t>
      </w:r>
      <w:r w:rsidRPr="00EF5B8F">
        <w:rPr>
          <w:iCs/>
        </w:rPr>
        <w:t>trial design, timepoint of analysis, patient characteristics and</w:t>
      </w:r>
      <w:r w:rsidR="00AD63D4" w:rsidRPr="00EF5B8F">
        <w:rPr>
          <w:iCs/>
        </w:rPr>
        <w:t xml:space="preserve"> the overall</w:t>
      </w:r>
      <w:r w:rsidRPr="00EF5B8F">
        <w:rPr>
          <w:iCs/>
        </w:rPr>
        <w:t xml:space="preserve"> risk of bias. The ESC considered the indirect comparison was likely to favour neratinib.</w:t>
      </w:r>
      <w:r w:rsidR="006A50E4" w:rsidRPr="00EF5B8F">
        <w:rPr>
          <w:iCs/>
        </w:rPr>
        <w:t xml:space="preserve"> </w:t>
      </w:r>
      <w:r w:rsidR="00357F1C">
        <w:t>Given the ESC and PBAC considered that the indirect comparison was unreliable, the results have not been presented.</w:t>
      </w:r>
    </w:p>
    <w:p w:rsidR="004B4968" w:rsidRDefault="004B4968" w:rsidP="00025B3F">
      <w:pPr>
        <w:pStyle w:val="Heading2"/>
        <w:widowControl/>
      </w:pPr>
      <w:bookmarkStart w:id="13" w:name="_Toc18935809"/>
      <w:r w:rsidRPr="00BB3215">
        <w:lastRenderedPageBreak/>
        <w:t>Comparative effectiveness</w:t>
      </w:r>
      <w:bookmarkEnd w:id="13"/>
    </w:p>
    <w:p w:rsidR="00ED52A3" w:rsidRPr="00ED52A3" w:rsidRDefault="00ED52A3" w:rsidP="00ED52A3"/>
    <w:p w:rsidR="004B4968" w:rsidRPr="00CC3825" w:rsidRDefault="004B4968" w:rsidP="00ED52A3">
      <w:pPr>
        <w:pStyle w:val="ListParagraph"/>
        <w:widowControl/>
        <w:numPr>
          <w:ilvl w:val="1"/>
          <w:numId w:val="5"/>
        </w:numPr>
      </w:pPr>
      <w:r w:rsidRPr="00CC3825">
        <w:t xml:space="preserve">Table </w:t>
      </w:r>
      <w:r w:rsidR="00671BAD">
        <w:t>7</w:t>
      </w:r>
      <w:r w:rsidR="00174AA7" w:rsidRPr="00CC3825">
        <w:t xml:space="preserve"> </w:t>
      </w:r>
      <w:r w:rsidRPr="00CC3825">
        <w:t xml:space="preserve">presents the results of the iDFS for the ITT population, aITT population, and centrally-confirmed ERBB2 positive populations (i.e. HER+ population), and the sensitivity analyses of the iDFS for the ITT population. This is unchanged from the original submission. </w:t>
      </w:r>
    </w:p>
    <w:p w:rsidR="004B4968" w:rsidRPr="00CC3825" w:rsidRDefault="004B4968" w:rsidP="00025B3F">
      <w:pPr>
        <w:keepNext/>
        <w:widowControl/>
        <w:rPr>
          <w:rFonts w:ascii="Arial Narrow" w:hAnsi="Arial Narrow"/>
          <w:b/>
          <w:sz w:val="20"/>
        </w:rPr>
      </w:pPr>
      <w:r w:rsidRPr="00CC3825">
        <w:rPr>
          <w:rFonts w:ascii="Arial Narrow" w:hAnsi="Arial Narrow"/>
          <w:b/>
          <w:sz w:val="20"/>
        </w:rPr>
        <w:t xml:space="preserve">Table </w:t>
      </w:r>
      <w:r w:rsidR="00671BAD">
        <w:rPr>
          <w:rFonts w:ascii="Arial Narrow" w:hAnsi="Arial Narrow"/>
          <w:b/>
          <w:sz w:val="20"/>
        </w:rPr>
        <w:t>7</w:t>
      </w:r>
      <w:r w:rsidRPr="00CC3825">
        <w:rPr>
          <w:rFonts w:ascii="Arial Narrow" w:hAnsi="Arial Narrow"/>
          <w:b/>
          <w:sz w:val="20"/>
        </w:rPr>
        <w:t>: Results of iDFS of the ExteNET trial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179"/>
        <w:gridCol w:w="2552"/>
        <w:gridCol w:w="673"/>
        <w:gridCol w:w="1026"/>
        <w:gridCol w:w="1086"/>
      </w:tblGrid>
      <w:tr w:rsidR="004B4968" w:rsidRPr="00CC3825" w:rsidTr="00C21660">
        <w:trPr>
          <w:tblHeader/>
        </w:trPr>
        <w:tc>
          <w:tcPr>
            <w:tcW w:w="833" w:type="pct"/>
            <w:vMerge w:val="restart"/>
            <w:vAlign w:val="center"/>
          </w:tcPr>
          <w:p w:rsidR="004B4968" w:rsidRPr="00CC3825" w:rsidRDefault="004B4968" w:rsidP="00025B3F">
            <w:pPr>
              <w:pStyle w:val="Tabletext"/>
              <w:keepNext/>
              <w:keepLines/>
              <w:rPr>
                <w:b/>
              </w:rPr>
            </w:pPr>
            <w:r w:rsidRPr="00CC3825">
              <w:rPr>
                <w:b/>
              </w:rPr>
              <w:t>Population</w:t>
            </w:r>
          </w:p>
        </w:tc>
        <w:tc>
          <w:tcPr>
            <w:tcW w:w="1208" w:type="pct"/>
            <w:vAlign w:val="center"/>
          </w:tcPr>
          <w:p w:rsidR="004B4968" w:rsidRPr="00CC3825" w:rsidRDefault="004B4968" w:rsidP="00025B3F">
            <w:pPr>
              <w:pStyle w:val="Tabletext"/>
              <w:keepNext/>
              <w:keepLines/>
              <w:jc w:val="center"/>
              <w:rPr>
                <w:b/>
              </w:rPr>
            </w:pPr>
            <w:r w:rsidRPr="00CC3825">
              <w:rPr>
                <w:b/>
              </w:rPr>
              <w:t>Neratinib</w:t>
            </w:r>
          </w:p>
        </w:tc>
        <w:tc>
          <w:tcPr>
            <w:tcW w:w="1415" w:type="pct"/>
            <w:vAlign w:val="center"/>
          </w:tcPr>
          <w:p w:rsidR="004B4968" w:rsidRPr="00CC3825" w:rsidRDefault="004B4968" w:rsidP="00025B3F">
            <w:pPr>
              <w:pStyle w:val="Tabletext"/>
              <w:keepNext/>
              <w:keepLines/>
              <w:jc w:val="center"/>
              <w:rPr>
                <w:b/>
              </w:rPr>
            </w:pPr>
            <w:r w:rsidRPr="00CC3825">
              <w:rPr>
                <w:b/>
              </w:rPr>
              <w:t>Placebo</w:t>
            </w:r>
          </w:p>
        </w:tc>
        <w:tc>
          <w:tcPr>
            <w:tcW w:w="373" w:type="pct"/>
            <w:vMerge w:val="restart"/>
            <w:vAlign w:val="center"/>
          </w:tcPr>
          <w:p w:rsidR="004B4968" w:rsidRPr="00CC3825" w:rsidRDefault="004B4968" w:rsidP="00025B3F">
            <w:pPr>
              <w:pStyle w:val="Tabletext"/>
              <w:keepNext/>
              <w:keepLines/>
              <w:jc w:val="center"/>
              <w:rPr>
                <w:b/>
              </w:rPr>
            </w:pPr>
            <w:r w:rsidRPr="00CC3825">
              <w:rPr>
                <w:b/>
              </w:rPr>
              <w:t>RD</w:t>
            </w:r>
          </w:p>
        </w:tc>
        <w:tc>
          <w:tcPr>
            <w:tcW w:w="569" w:type="pct"/>
            <w:vMerge w:val="restart"/>
            <w:vAlign w:val="center"/>
          </w:tcPr>
          <w:p w:rsidR="004B4968" w:rsidRPr="00CC3825" w:rsidRDefault="004B4968" w:rsidP="00025B3F">
            <w:pPr>
              <w:pStyle w:val="Tabletext"/>
              <w:keepNext/>
              <w:keepLines/>
              <w:jc w:val="center"/>
              <w:rPr>
                <w:b/>
              </w:rPr>
            </w:pPr>
            <w:r w:rsidRPr="00CC3825">
              <w:rPr>
                <w:b/>
              </w:rPr>
              <w:t>P value</w:t>
            </w:r>
          </w:p>
          <w:p w:rsidR="004B4968" w:rsidRPr="00CC3825" w:rsidRDefault="004B4968" w:rsidP="00025B3F">
            <w:pPr>
              <w:pStyle w:val="Tabletext"/>
              <w:keepNext/>
              <w:keepLines/>
              <w:jc w:val="center"/>
              <w:rPr>
                <w:b/>
              </w:rPr>
            </w:pPr>
            <w:r w:rsidRPr="00CC3825">
              <w:rPr>
                <w:b/>
              </w:rPr>
              <w:t>(log rank test)</w:t>
            </w:r>
          </w:p>
        </w:tc>
        <w:tc>
          <w:tcPr>
            <w:tcW w:w="602" w:type="pct"/>
            <w:vMerge w:val="restart"/>
            <w:vAlign w:val="center"/>
          </w:tcPr>
          <w:p w:rsidR="004B4968" w:rsidRPr="00CC3825" w:rsidRDefault="004B4968" w:rsidP="00025B3F">
            <w:pPr>
              <w:pStyle w:val="Tabletext"/>
              <w:keepNext/>
              <w:keepLines/>
              <w:jc w:val="center"/>
              <w:rPr>
                <w:b/>
              </w:rPr>
            </w:pPr>
            <w:r w:rsidRPr="00CC3825">
              <w:rPr>
                <w:b/>
              </w:rPr>
              <w:t>Hazard ratio (95% CI)</w:t>
            </w:r>
          </w:p>
        </w:tc>
      </w:tr>
      <w:tr w:rsidR="004B4968" w:rsidRPr="00CC3825" w:rsidTr="00C21660">
        <w:tc>
          <w:tcPr>
            <w:tcW w:w="833" w:type="pct"/>
            <w:vMerge/>
            <w:vAlign w:val="center"/>
          </w:tcPr>
          <w:p w:rsidR="004B4968" w:rsidRPr="00CC3825" w:rsidRDefault="004B4968" w:rsidP="00025B3F">
            <w:pPr>
              <w:pStyle w:val="Tabletext"/>
              <w:keepNext/>
              <w:keepLines/>
            </w:pPr>
          </w:p>
        </w:tc>
        <w:tc>
          <w:tcPr>
            <w:tcW w:w="1208" w:type="pct"/>
            <w:vAlign w:val="center"/>
          </w:tcPr>
          <w:p w:rsidR="004B4968" w:rsidRPr="00CC3825" w:rsidRDefault="004B4968" w:rsidP="00025B3F">
            <w:pPr>
              <w:pStyle w:val="Tabletext"/>
              <w:keepNext/>
              <w:keepLines/>
              <w:jc w:val="center"/>
              <w:rPr>
                <w:b/>
              </w:rPr>
            </w:pPr>
            <w:r w:rsidRPr="00CC3825">
              <w:rPr>
                <w:b/>
              </w:rPr>
              <w:t>n/N with event (%)</w:t>
            </w:r>
          </w:p>
        </w:tc>
        <w:tc>
          <w:tcPr>
            <w:tcW w:w="1415" w:type="pct"/>
            <w:vAlign w:val="center"/>
          </w:tcPr>
          <w:p w:rsidR="004B4968" w:rsidRPr="00CC3825" w:rsidRDefault="004B4968" w:rsidP="00025B3F">
            <w:pPr>
              <w:pStyle w:val="Tabletext"/>
              <w:keepNext/>
              <w:keepLines/>
              <w:jc w:val="center"/>
              <w:rPr>
                <w:b/>
              </w:rPr>
            </w:pPr>
            <w:r w:rsidRPr="00CC3825">
              <w:rPr>
                <w:b/>
              </w:rPr>
              <w:t>n/N with event (%)</w:t>
            </w:r>
          </w:p>
        </w:tc>
        <w:tc>
          <w:tcPr>
            <w:tcW w:w="373" w:type="pct"/>
            <w:vMerge/>
            <w:vAlign w:val="center"/>
          </w:tcPr>
          <w:p w:rsidR="004B4968" w:rsidRPr="00CC3825" w:rsidRDefault="004B4968" w:rsidP="00025B3F">
            <w:pPr>
              <w:pStyle w:val="Tabletext"/>
              <w:keepNext/>
              <w:keepLines/>
              <w:jc w:val="center"/>
            </w:pPr>
          </w:p>
        </w:tc>
        <w:tc>
          <w:tcPr>
            <w:tcW w:w="569" w:type="pct"/>
            <w:vMerge/>
            <w:vAlign w:val="center"/>
          </w:tcPr>
          <w:p w:rsidR="004B4968" w:rsidRPr="00CC3825" w:rsidRDefault="004B4968" w:rsidP="00025B3F">
            <w:pPr>
              <w:pStyle w:val="Tabletext"/>
              <w:keepNext/>
              <w:keepLines/>
              <w:jc w:val="center"/>
              <w:rPr>
                <w:b/>
              </w:rPr>
            </w:pPr>
          </w:p>
        </w:tc>
        <w:tc>
          <w:tcPr>
            <w:tcW w:w="602" w:type="pct"/>
            <w:vMerge/>
            <w:vAlign w:val="center"/>
          </w:tcPr>
          <w:p w:rsidR="004B4968" w:rsidRPr="00CC3825" w:rsidRDefault="004B4968" w:rsidP="00025B3F">
            <w:pPr>
              <w:pStyle w:val="Tabletext"/>
              <w:keepNext/>
              <w:keepLines/>
              <w:jc w:val="center"/>
            </w:pPr>
          </w:p>
        </w:tc>
      </w:tr>
      <w:tr w:rsidR="004B4968" w:rsidRPr="00CC3825" w:rsidTr="00C21660">
        <w:tc>
          <w:tcPr>
            <w:tcW w:w="5000" w:type="pct"/>
            <w:gridSpan w:val="6"/>
            <w:vAlign w:val="center"/>
          </w:tcPr>
          <w:p w:rsidR="004B4968" w:rsidRPr="00CC3825" w:rsidRDefault="004B4968" w:rsidP="00025B3F">
            <w:pPr>
              <w:pStyle w:val="Tabletext"/>
              <w:keepNext/>
              <w:keepLines/>
              <w:rPr>
                <w:b/>
              </w:rPr>
            </w:pPr>
            <w:r w:rsidRPr="00CC3825">
              <w:rPr>
                <w:b/>
              </w:rPr>
              <w:t xml:space="preserve">Primary analysis </w:t>
            </w:r>
          </w:p>
        </w:tc>
      </w:tr>
      <w:tr w:rsidR="004B4968" w:rsidRPr="00CC3825" w:rsidTr="00C21660">
        <w:tc>
          <w:tcPr>
            <w:tcW w:w="833" w:type="pct"/>
            <w:vAlign w:val="center"/>
          </w:tcPr>
          <w:p w:rsidR="004B4968" w:rsidRPr="00CC3825" w:rsidRDefault="004B4968" w:rsidP="00025B3F">
            <w:pPr>
              <w:pStyle w:val="Tabletext"/>
              <w:keepNext/>
              <w:keepLines/>
            </w:pPr>
            <w:r w:rsidRPr="00CC3825">
              <w:t>ITT (7 July 2014) (at 2 years)</w:t>
            </w:r>
          </w:p>
        </w:tc>
        <w:tc>
          <w:tcPr>
            <w:tcW w:w="1208" w:type="pct"/>
            <w:vAlign w:val="center"/>
          </w:tcPr>
          <w:p w:rsidR="004B4968" w:rsidRPr="00CC3825" w:rsidRDefault="004B4968" w:rsidP="00025B3F">
            <w:pPr>
              <w:pStyle w:val="Tabletext"/>
              <w:keepNext/>
              <w:keepLines/>
              <w:jc w:val="center"/>
            </w:pPr>
            <w:r w:rsidRPr="00CC3825">
              <w:t>Events: 67/1420 (4.7%)</w:t>
            </w:r>
          </w:p>
          <w:p w:rsidR="004B4968" w:rsidRPr="00CC3825" w:rsidRDefault="004B4968" w:rsidP="00025B3F">
            <w:pPr>
              <w:pStyle w:val="Tabletext"/>
              <w:keepNext/>
              <w:keepLines/>
              <w:jc w:val="center"/>
            </w:pPr>
            <w:r w:rsidRPr="00CC3825">
              <w:t>KM: 94.2 (92.6, 95.4)</w:t>
            </w:r>
          </w:p>
        </w:tc>
        <w:tc>
          <w:tcPr>
            <w:tcW w:w="1415" w:type="pct"/>
            <w:vAlign w:val="center"/>
          </w:tcPr>
          <w:p w:rsidR="004B4968" w:rsidRPr="00CC3825" w:rsidRDefault="004B4968" w:rsidP="00025B3F">
            <w:pPr>
              <w:pStyle w:val="Tabletext"/>
              <w:keepNext/>
              <w:keepLines/>
              <w:jc w:val="center"/>
            </w:pPr>
            <w:r w:rsidRPr="00CC3825">
              <w:t>Events: 106/1420 (7.5%)</w:t>
            </w:r>
          </w:p>
          <w:p w:rsidR="004B4968" w:rsidRPr="00CC3825" w:rsidRDefault="004B4968" w:rsidP="00025B3F">
            <w:pPr>
              <w:pStyle w:val="Tabletext"/>
              <w:keepNext/>
              <w:keepLines/>
              <w:jc w:val="center"/>
            </w:pPr>
            <w:r w:rsidRPr="00CC3825">
              <w:rPr>
                <w:rStyle w:val="Emphasis"/>
                <w:i w:val="0"/>
              </w:rPr>
              <w:t>KM: 91.9 (90.2, 93.2)</w:t>
            </w:r>
          </w:p>
        </w:tc>
        <w:tc>
          <w:tcPr>
            <w:tcW w:w="373" w:type="pct"/>
            <w:vAlign w:val="center"/>
          </w:tcPr>
          <w:p w:rsidR="004B4968" w:rsidRPr="00CC3825" w:rsidRDefault="004B4968" w:rsidP="00025B3F">
            <w:pPr>
              <w:pStyle w:val="Tabletext"/>
              <w:keepNext/>
              <w:keepLines/>
              <w:jc w:val="center"/>
            </w:pPr>
            <w:r w:rsidRPr="00CC3825">
              <w:t>2.3%</w:t>
            </w:r>
          </w:p>
        </w:tc>
        <w:tc>
          <w:tcPr>
            <w:tcW w:w="569" w:type="pct"/>
            <w:vAlign w:val="center"/>
          </w:tcPr>
          <w:p w:rsidR="004B4968" w:rsidRPr="00CC3825" w:rsidRDefault="004B4968" w:rsidP="00025B3F">
            <w:pPr>
              <w:pStyle w:val="Tabletext"/>
              <w:keepNext/>
              <w:keepLines/>
              <w:jc w:val="center"/>
            </w:pPr>
            <w:r w:rsidRPr="00CC3825">
              <w:t>0.004</w:t>
            </w:r>
          </w:p>
        </w:tc>
        <w:tc>
          <w:tcPr>
            <w:tcW w:w="602" w:type="pct"/>
            <w:vAlign w:val="center"/>
          </w:tcPr>
          <w:p w:rsidR="004B4968" w:rsidRPr="00CC3825" w:rsidRDefault="004B4968" w:rsidP="00025B3F">
            <w:pPr>
              <w:pStyle w:val="Tabletext"/>
              <w:keepNext/>
              <w:keepLines/>
              <w:jc w:val="center"/>
              <w:rPr>
                <w:b/>
              </w:rPr>
            </w:pPr>
            <w:r w:rsidRPr="00CC3825">
              <w:rPr>
                <w:b/>
              </w:rPr>
              <w:t>0.66</w:t>
            </w:r>
          </w:p>
          <w:p w:rsidR="004B4968" w:rsidRPr="00CC3825" w:rsidRDefault="004B4968" w:rsidP="00025B3F">
            <w:pPr>
              <w:pStyle w:val="Tabletext"/>
              <w:keepNext/>
              <w:keepLines/>
              <w:jc w:val="center"/>
              <w:rPr>
                <w:b/>
              </w:rPr>
            </w:pPr>
            <w:r w:rsidRPr="00CC3825">
              <w:rPr>
                <w:b/>
              </w:rPr>
              <w:t>(0.49, 0.90)</w:t>
            </w:r>
          </w:p>
        </w:tc>
      </w:tr>
      <w:tr w:rsidR="004B4968" w:rsidRPr="00CC3825" w:rsidTr="00C21660">
        <w:tc>
          <w:tcPr>
            <w:tcW w:w="833" w:type="pct"/>
            <w:vAlign w:val="center"/>
          </w:tcPr>
          <w:p w:rsidR="004B4968" w:rsidRPr="00CC3825" w:rsidRDefault="004B4968" w:rsidP="00025B3F">
            <w:pPr>
              <w:pStyle w:val="Tabletext"/>
              <w:keepNext/>
              <w:keepLines/>
            </w:pPr>
            <w:r w:rsidRPr="00CC3825">
              <w:t>ITT (1 March 2017) (at 2 years)</w:t>
            </w:r>
          </w:p>
        </w:tc>
        <w:tc>
          <w:tcPr>
            <w:tcW w:w="1208" w:type="pct"/>
            <w:vAlign w:val="center"/>
          </w:tcPr>
          <w:p w:rsidR="004B4968" w:rsidRPr="00CC3825" w:rsidRDefault="004B4968" w:rsidP="00025B3F">
            <w:pPr>
              <w:pStyle w:val="Tabletext"/>
              <w:keepNext/>
              <w:keepLines/>
              <w:jc w:val="center"/>
            </w:pPr>
            <w:r w:rsidRPr="00CC3825">
              <w:t>Events: 76/1420 (5.4%)</w:t>
            </w:r>
          </w:p>
          <w:p w:rsidR="004B4968" w:rsidRPr="00CC3825" w:rsidRDefault="004B4968" w:rsidP="00025B3F">
            <w:pPr>
              <w:pStyle w:val="Tabletext"/>
              <w:keepNext/>
              <w:keepLines/>
              <w:jc w:val="center"/>
            </w:pPr>
            <w:r w:rsidRPr="00CC3825">
              <w:t>KM: 94.3 (92.9, 95.4)</w:t>
            </w:r>
          </w:p>
        </w:tc>
        <w:tc>
          <w:tcPr>
            <w:tcW w:w="1415" w:type="pct"/>
            <w:vAlign w:val="center"/>
          </w:tcPr>
          <w:p w:rsidR="004B4968" w:rsidRPr="00CC3825" w:rsidRDefault="004B4968" w:rsidP="00025B3F">
            <w:pPr>
              <w:pStyle w:val="Tabletext"/>
              <w:keepNext/>
              <w:keepLines/>
              <w:jc w:val="center"/>
            </w:pPr>
            <w:r w:rsidRPr="00CC3825">
              <w:t>Events: 114/1420 (8.0%)</w:t>
            </w:r>
          </w:p>
          <w:p w:rsidR="004B4968" w:rsidRPr="00CC3825" w:rsidRDefault="004B4968" w:rsidP="00025B3F">
            <w:pPr>
              <w:pStyle w:val="Tabletext"/>
              <w:keepNext/>
              <w:keepLines/>
              <w:jc w:val="center"/>
            </w:pPr>
            <w:r w:rsidRPr="00CC3825">
              <w:t>KM: 91.7 (90.1, 93.1)</w:t>
            </w:r>
          </w:p>
        </w:tc>
        <w:tc>
          <w:tcPr>
            <w:tcW w:w="373" w:type="pct"/>
            <w:vAlign w:val="center"/>
          </w:tcPr>
          <w:p w:rsidR="004B4968" w:rsidRPr="00CC3825" w:rsidRDefault="004B4968" w:rsidP="00025B3F">
            <w:pPr>
              <w:pStyle w:val="Tabletext"/>
              <w:keepNext/>
              <w:keepLines/>
              <w:jc w:val="center"/>
            </w:pPr>
            <w:r w:rsidRPr="00CC3825">
              <w:t>2.6%</w:t>
            </w:r>
          </w:p>
        </w:tc>
        <w:tc>
          <w:tcPr>
            <w:tcW w:w="569" w:type="pct"/>
            <w:vAlign w:val="center"/>
          </w:tcPr>
          <w:p w:rsidR="004B4968" w:rsidRPr="00CC3825" w:rsidRDefault="004B4968" w:rsidP="00025B3F">
            <w:pPr>
              <w:pStyle w:val="Tabletext"/>
              <w:keepNext/>
              <w:keepLines/>
              <w:jc w:val="center"/>
            </w:pPr>
            <w:r w:rsidRPr="00CC3825">
              <w:t>0.004</w:t>
            </w:r>
          </w:p>
        </w:tc>
        <w:tc>
          <w:tcPr>
            <w:tcW w:w="602" w:type="pct"/>
            <w:vAlign w:val="center"/>
          </w:tcPr>
          <w:p w:rsidR="004B4968" w:rsidRPr="00CC3825" w:rsidRDefault="004B4968" w:rsidP="00025B3F">
            <w:pPr>
              <w:pStyle w:val="Tabletext"/>
              <w:keepNext/>
              <w:keepLines/>
              <w:jc w:val="center"/>
              <w:rPr>
                <w:b/>
              </w:rPr>
            </w:pPr>
            <w:r w:rsidRPr="00CC3825">
              <w:rPr>
                <w:b/>
              </w:rPr>
              <w:t>0.68</w:t>
            </w:r>
          </w:p>
          <w:p w:rsidR="004B4968" w:rsidRPr="00CC3825" w:rsidRDefault="004B4968" w:rsidP="00025B3F">
            <w:pPr>
              <w:pStyle w:val="Tabletext"/>
              <w:keepNext/>
              <w:keepLines/>
              <w:jc w:val="center"/>
              <w:rPr>
                <w:b/>
              </w:rPr>
            </w:pPr>
            <w:r w:rsidRPr="00CC3825">
              <w:rPr>
                <w:b/>
              </w:rPr>
              <w:t>(0.51, 0.91)</w:t>
            </w:r>
          </w:p>
        </w:tc>
      </w:tr>
      <w:tr w:rsidR="004B4968" w:rsidRPr="00CC3825" w:rsidTr="00C21660">
        <w:tc>
          <w:tcPr>
            <w:tcW w:w="833" w:type="pct"/>
            <w:vAlign w:val="center"/>
          </w:tcPr>
          <w:p w:rsidR="004B4968" w:rsidRPr="00CC3825" w:rsidRDefault="004B4968" w:rsidP="00025B3F">
            <w:pPr>
              <w:pStyle w:val="Tabletext"/>
              <w:keepNext/>
              <w:keepLines/>
            </w:pPr>
            <w:r w:rsidRPr="00CC3825">
              <w:t>ITT (1 March 2017) (at 5 years)</w:t>
            </w:r>
          </w:p>
        </w:tc>
        <w:tc>
          <w:tcPr>
            <w:tcW w:w="1208" w:type="pct"/>
            <w:vAlign w:val="center"/>
          </w:tcPr>
          <w:p w:rsidR="004B4968" w:rsidRPr="00CC3825" w:rsidRDefault="004B4968" w:rsidP="00025B3F">
            <w:pPr>
              <w:pStyle w:val="Tabletext"/>
              <w:keepNext/>
              <w:keepLines/>
              <w:jc w:val="center"/>
            </w:pPr>
            <w:r w:rsidRPr="00CC3825">
              <w:t>Events: 116/1420 (8.2%)</w:t>
            </w:r>
          </w:p>
          <w:p w:rsidR="004B4968" w:rsidRPr="00CC3825" w:rsidRDefault="004B4968" w:rsidP="00025B3F">
            <w:pPr>
              <w:pStyle w:val="Tabletext"/>
              <w:keepNext/>
              <w:keepLines/>
              <w:jc w:val="center"/>
            </w:pPr>
            <w:r w:rsidRPr="00CC3825">
              <w:t xml:space="preserve">KM: </w:t>
            </w:r>
            <w:r w:rsidRPr="00CC3825">
              <w:rPr>
                <w:rStyle w:val="Emphasis"/>
                <w:i w:val="0"/>
              </w:rPr>
              <w:t>90.2 (88.3, 91.8)</w:t>
            </w:r>
          </w:p>
        </w:tc>
        <w:tc>
          <w:tcPr>
            <w:tcW w:w="1415" w:type="pct"/>
            <w:vAlign w:val="center"/>
          </w:tcPr>
          <w:p w:rsidR="004B4968" w:rsidRPr="00CC3825" w:rsidRDefault="004B4968" w:rsidP="00025B3F">
            <w:pPr>
              <w:pStyle w:val="Tabletext"/>
              <w:keepNext/>
              <w:keepLines/>
              <w:jc w:val="center"/>
            </w:pPr>
            <w:r w:rsidRPr="00CC3825">
              <w:t>Events: 163/1420 (11.5%)</w:t>
            </w:r>
          </w:p>
          <w:p w:rsidR="004B4968" w:rsidRPr="00CC3825" w:rsidRDefault="004B4968" w:rsidP="00025B3F">
            <w:pPr>
              <w:pStyle w:val="Tabletext"/>
              <w:keepNext/>
              <w:keepLines/>
              <w:jc w:val="center"/>
            </w:pPr>
            <w:r w:rsidRPr="00CC3825">
              <w:rPr>
                <w:rStyle w:val="Emphasis"/>
                <w:i w:val="0"/>
              </w:rPr>
              <w:t>KM: 87.7 (85.7, 89.4)</w:t>
            </w:r>
          </w:p>
        </w:tc>
        <w:tc>
          <w:tcPr>
            <w:tcW w:w="373" w:type="pct"/>
            <w:vAlign w:val="center"/>
          </w:tcPr>
          <w:p w:rsidR="004B4968" w:rsidRPr="00CC3825" w:rsidRDefault="004B4968" w:rsidP="00025B3F">
            <w:pPr>
              <w:pStyle w:val="Tabletext"/>
              <w:keepNext/>
              <w:keepLines/>
              <w:jc w:val="center"/>
            </w:pPr>
            <w:r w:rsidRPr="00CC3825">
              <w:t>2.5%</w:t>
            </w:r>
          </w:p>
        </w:tc>
        <w:tc>
          <w:tcPr>
            <w:tcW w:w="569" w:type="pct"/>
            <w:vAlign w:val="center"/>
          </w:tcPr>
          <w:p w:rsidR="004B4968" w:rsidRPr="00CC3825" w:rsidRDefault="004B4968" w:rsidP="00025B3F">
            <w:pPr>
              <w:pStyle w:val="Tabletext"/>
              <w:keepNext/>
              <w:keepLines/>
              <w:jc w:val="center"/>
            </w:pPr>
            <w:r w:rsidRPr="00CC3825">
              <w:t>0.004</w:t>
            </w:r>
          </w:p>
        </w:tc>
        <w:tc>
          <w:tcPr>
            <w:tcW w:w="602" w:type="pct"/>
            <w:vAlign w:val="center"/>
          </w:tcPr>
          <w:p w:rsidR="004B4968" w:rsidRPr="00CC3825" w:rsidRDefault="004B4968" w:rsidP="00025B3F">
            <w:pPr>
              <w:pStyle w:val="Tabletext"/>
              <w:keepNext/>
              <w:keepLines/>
              <w:jc w:val="center"/>
              <w:rPr>
                <w:b/>
              </w:rPr>
            </w:pPr>
            <w:r w:rsidRPr="00CC3825">
              <w:rPr>
                <w:b/>
              </w:rPr>
              <w:t>0.73</w:t>
            </w:r>
          </w:p>
          <w:p w:rsidR="004B4968" w:rsidRPr="00CC3825" w:rsidRDefault="004B4968" w:rsidP="00025B3F">
            <w:pPr>
              <w:pStyle w:val="Tabletext"/>
              <w:keepNext/>
              <w:keepLines/>
              <w:jc w:val="center"/>
              <w:rPr>
                <w:b/>
              </w:rPr>
            </w:pPr>
            <w:r w:rsidRPr="00CC3825">
              <w:rPr>
                <w:b/>
              </w:rPr>
              <w:t>(0.57, 0.92)</w:t>
            </w:r>
          </w:p>
        </w:tc>
      </w:tr>
      <w:tr w:rsidR="004B4968" w:rsidRPr="00CC3825" w:rsidTr="00C21660">
        <w:tc>
          <w:tcPr>
            <w:tcW w:w="833" w:type="pct"/>
            <w:vAlign w:val="center"/>
          </w:tcPr>
          <w:p w:rsidR="004B4968" w:rsidRPr="00CC3825" w:rsidRDefault="004B4968" w:rsidP="00025B3F">
            <w:pPr>
              <w:pStyle w:val="Tabletext"/>
              <w:keepNext/>
              <w:keepLines/>
            </w:pPr>
            <w:r w:rsidRPr="00CC3825">
              <w:t>aITT (7 July 2014) (at 2 years)</w:t>
            </w:r>
          </w:p>
        </w:tc>
        <w:tc>
          <w:tcPr>
            <w:tcW w:w="1208" w:type="pct"/>
            <w:vAlign w:val="center"/>
          </w:tcPr>
          <w:p w:rsidR="004B4968" w:rsidRPr="00CC3825" w:rsidRDefault="004B4968" w:rsidP="00025B3F">
            <w:pPr>
              <w:pStyle w:val="Tabletext"/>
              <w:keepNext/>
              <w:keepLines/>
              <w:jc w:val="center"/>
            </w:pPr>
            <w:r w:rsidRPr="00CC3825">
              <w:t>Events: 53/938 (5.7%)</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93.1 (91.1,94.7)</w:t>
            </w:r>
          </w:p>
        </w:tc>
        <w:tc>
          <w:tcPr>
            <w:tcW w:w="1415" w:type="pct"/>
            <w:vAlign w:val="center"/>
          </w:tcPr>
          <w:p w:rsidR="004B4968" w:rsidRPr="00CC3825" w:rsidRDefault="004B4968" w:rsidP="00025B3F">
            <w:pPr>
              <w:pStyle w:val="Tabletext"/>
              <w:keepNext/>
              <w:keepLines/>
              <w:jc w:val="center"/>
            </w:pPr>
            <w:r w:rsidRPr="00CC3825">
              <w:t>Events: 84/935 (9.0%)</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90.1 (87.9,92.0)</w:t>
            </w:r>
          </w:p>
        </w:tc>
        <w:tc>
          <w:tcPr>
            <w:tcW w:w="373" w:type="pct"/>
            <w:vAlign w:val="center"/>
          </w:tcPr>
          <w:p w:rsidR="004B4968" w:rsidRPr="00CC3825" w:rsidRDefault="004B4968" w:rsidP="00025B3F">
            <w:pPr>
              <w:pStyle w:val="Tabletext"/>
              <w:keepNext/>
              <w:keepLines/>
              <w:jc w:val="center"/>
            </w:pPr>
            <w:r w:rsidRPr="00CC3825">
              <w:t>3.0%</w:t>
            </w:r>
          </w:p>
        </w:tc>
        <w:tc>
          <w:tcPr>
            <w:tcW w:w="569" w:type="pct"/>
            <w:vAlign w:val="center"/>
          </w:tcPr>
          <w:p w:rsidR="004B4968" w:rsidRPr="00CC3825" w:rsidRDefault="004B4968" w:rsidP="00025B3F">
            <w:pPr>
              <w:pStyle w:val="Tabletext"/>
              <w:keepNext/>
              <w:keepLines/>
              <w:jc w:val="center"/>
            </w:pPr>
            <w:r w:rsidRPr="00CC3825">
              <w:t>0.007</w:t>
            </w:r>
          </w:p>
        </w:tc>
        <w:tc>
          <w:tcPr>
            <w:tcW w:w="602" w:type="pct"/>
            <w:vAlign w:val="center"/>
          </w:tcPr>
          <w:p w:rsidR="004B4968" w:rsidRPr="00CC3825" w:rsidRDefault="004B4968" w:rsidP="00025B3F">
            <w:pPr>
              <w:pStyle w:val="Tabletext"/>
              <w:keepNext/>
              <w:keepLines/>
              <w:jc w:val="center"/>
              <w:rPr>
                <w:b/>
              </w:rPr>
            </w:pPr>
            <w:r w:rsidRPr="00CC3825">
              <w:rPr>
                <w:b/>
              </w:rPr>
              <w:t>0.65</w:t>
            </w:r>
          </w:p>
          <w:p w:rsidR="004B4968" w:rsidRPr="00CC3825" w:rsidRDefault="004B4968" w:rsidP="00025B3F">
            <w:pPr>
              <w:pStyle w:val="Tabletext"/>
              <w:keepNext/>
              <w:keepLines/>
              <w:jc w:val="center"/>
              <w:rPr>
                <w:b/>
              </w:rPr>
            </w:pPr>
            <w:r w:rsidRPr="00CC3825">
              <w:rPr>
                <w:b/>
              </w:rPr>
              <w:t>(0.46, 0.92)</w:t>
            </w:r>
          </w:p>
        </w:tc>
      </w:tr>
      <w:tr w:rsidR="004B4968" w:rsidRPr="00CC3825" w:rsidTr="00C21660">
        <w:tc>
          <w:tcPr>
            <w:tcW w:w="833" w:type="pct"/>
            <w:vAlign w:val="center"/>
          </w:tcPr>
          <w:p w:rsidR="004B4968" w:rsidRPr="00CC3825" w:rsidRDefault="004B4968" w:rsidP="00025B3F">
            <w:pPr>
              <w:pStyle w:val="Tabletext"/>
              <w:keepNext/>
              <w:keepLines/>
            </w:pPr>
            <w:r w:rsidRPr="00CC3825">
              <w:t>Centrally confirmed ERBB2-positive (7 July 2014) (2 year follow-up)</w:t>
            </w:r>
          </w:p>
        </w:tc>
        <w:tc>
          <w:tcPr>
            <w:tcW w:w="1208" w:type="pct"/>
            <w:vAlign w:val="center"/>
          </w:tcPr>
          <w:p w:rsidR="004B4968" w:rsidRPr="00CC3825" w:rsidRDefault="004B4968" w:rsidP="00025B3F">
            <w:pPr>
              <w:pStyle w:val="Tabletext"/>
              <w:keepNext/>
              <w:keepLines/>
              <w:jc w:val="center"/>
            </w:pPr>
            <w:r w:rsidRPr="00CC3825">
              <w:t>Events: 32/741 (4.3%)</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94.9 (92.8,96.3)</w:t>
            </w:r>
          </w:p>
        </w:tc>
        <w:tc>
          <w:tcPr>
            <w:tcW w:w="1415" w:type="pct"/>
            <w:vAlign w:val="center"/>
          </w:tcPr>
          <w:p w:rsidR="004B4968" w:rsidRPr="00CC3825" w:rsidRDefault="004B4968" w:rsidP="00025B3F">
            <w:pPr>
              <w:pStyle w:val="Tabletext"/>
              <w:keepNext/>
              <w:keepLines/>
              <w:jc w:val="center"/>
            </w:pPr>
            <w:r w:rsidRPr="00CC3825">
              <w:t>Events: 61/722 (8.4%)</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90.9 (88.5,92.9)</w:t>
            </w:r>
          </w:p>
        </w:tc>
        <w:tc>
          <w:tcPr>
            <w:tcW w:w="373" w:type="pct"/>
            <w:vAlign w:val="center"/>
          </w:tcPr>
          <w:p w:rsidR="004B4968" w:rsidRPr="00CC3825" w:rsidRDefault="004B4968" w:rsidP="00025B3F">
            <w:pPr>
              <w:pStyle w:val="Tabletext"/>
              <w:keepNext/>
              <w:keepLines/>
              <w:jc w:val="center"/>
            </w:pPr>
            <w:r w:rsidRPr="00CC3825">
              <w:t>4.0%</w:t>
            </w:r>
          </w:p>
        </w:tc>
        <w:tc>
          <w:tcPr>
            <w:tcW w:w="569" w:type="pct"/>
            <w:vAlign w:val="center"/>
          </w:tcPr>
          <w:p w:rsidR="004B4968" w:rsidRPr="00CC3825" w:rsidRDefault="004B4968" w:rsidP="00025B3F">
            <w:pPr>
              <w:pStyle w:val="Tabletext"/>
              <w:keepNext/>
              <w:keepLines/>
              <w:jc w:val="center"/>
            </w:pPr>
            <w:r w:rsidRPr="00CC3825">
              <w:t>&lt;0.001</w:t>
            </w:r>
          </w:p>
        </w:tc>
        <w:tc>
          <w:tcPr>
            <w:tcW w:w="602" w:type="pct"/>
            <w:vAlign w:val="center"/>
          </w:tcPr>
          <w:p w:rsidR="004B4968" w:rsidRPr="00CC3825" w:rsidRDefault="004B4968" w:rsidP="00025B3F">
            <w:pPr>
              <w:pStyle w:val="Tabletext"/>
              <w:keepNext/>
              <w:keepLines/>
              <w:jc w:val="center"/>
              <w:rPr>
                <w:b/>
              </w:rPr>
            </w:pPr>
            <w:r w:rsidRPr="00CC3825">
              <w:rPr>
                <w:b/>
              </w:rPr>
              <w:t>0.51</w:t>
            </w:r>
          </w:p>
          <w:p w:rsidR="004B4968" w:rsidRPr="00CC3825" w:rsidRDefault="004B4968" w:rsidP="00025B3F">
            <w:pPr>
              <w:pStyle w:val="Tabletext"/>
              <w:keepNext/>
              <w:keepLines/>
              <w:jc w:val="center"/>
              <w:rPr>
                <w:b/>
              </w:rPr>
            </w:pPr>
            <w:r w:rsidRPr="00CC3825">
              <w:rPr>
                <w:b/>
              </w:rPr>
              <w:t>(0.33,0.78)</w:t>
            </w:r>
          </w:p>
        </w:tc>
      </w:tr>
      <w:tr w:rsidR="004B4968" w:rsidRPr="00CC3825" w:rsidTr="00C21660">
        <w:tc>
          <w:tcPr>
            <w:tcW w:w="5000" w:type="pct"/>
            <w:gridSpan w:val="6"/>
            <w:vAlign w:val="center"/>
          </w:tcPr>
          <w:p w:rsidR="004B4968" w:rsidRPr="00CC3825" w:rsidRDefault="004B4968" w:rsidP="00025B3F">
            <w:pPr>
              <w:pStyle w:val="Tabletext"/>
              <w:keepNext/>
              <w:keepLines/>
              <w:rPr>
                <w:b/>
              </w:rPr>
            </w:pPr>
            <w:r w:rsidRPr="00CC3825">
              <w:rPr>
                <w:b/>
              </w:rPr>
              <w:t>Sensitivity analyses of ITT</w:t>
            </w:r>
          </w:p>
        </w:tc>
      </w:tr>
      <w:tr w:rsidR="004B4968" w:rsidRPr="00CC3825" w:rsidTr="00C21660">
        <w:tc>
          <w:tcPr>
            <w:tcW w:w="833" w:type="pct"/>
            <w:vAlign w:val="center"/>
          </w:tcPr>
          <w:p w:rsidR="004B4968" w:rsidRPr="00CC3825" w:rsidRDefault="004B4968" w:rsidP="00025B3F">
            <w:pPr>
              <w:pStyle w:val="Tabletext"/>
              <w:keepNext/>
              <w:keepLines/>
            </w:pPr>
            <w:r w:rsidRPr="00CC3825">
              <w:t>Effect of Censoring (Site Early Dropout Rate &lt;10%) (7 July 2014) (at 2 years)</w:t>
            </w:r>
          </w:p>
        </w:tc>
        <w:tc>
          <w:tcPr>
            <w:tcW w:w="1208" w:type="pct"/>
            <w:vAlign w:val="center"/>
          </w:tcPr>
          <w:p w:rsidR="004B4968" w:rsidRPr="00CC3825" w:rsidRDefault="004B4968" w:rsidP="00025B3F">
            <w:pPr>
              <w:pStyle w:val="Tabletext"/>
              <w:keepNext/>
              <w:keepLines/>
              <w:jc w:val="center"/>
            </w:pPr>
            <w:r w:rsidRPr="00CC3825">
              <w:t>Events: 57/1420 (4.0%)</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94.1 (92.4,95.4)</w:t>
            </w:r>
          </w:p>
        </w:tc>
        <w:tc>
          <w:tcPr>
            <w:tcW w:w="1415" w:type="pct"/>
            <w:vAlign w:val="center"/>
          </w:tcPr>
          <w:p w:rsidR="004B4968" w:rsidRPr="00CC3825" w:rsidRDefault="004B4968" w:rsidP="00025B3F">
            <w:pPr>
              <w:pStyle w:val="Tabletext"/>
              <w:keepNext/>
              <w:keepLines/>
              <w:jc w:val="center"/>
            </w:pPr>
            <w:r w:rsidRPr="00CC3825">
              <w:t>Events: 88/1420 (6.2%)</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91.6 (89.7,93.1)</w:t>
            </w:r>
          </w:p>
        </w:tc>
        <w:tc>
          <w:tcPr>
            <w:tcW w:w="373" w:type="pct"/>
            <w:vAlign w:val="center"/>
          </w:tcPr>
          <w:p w:rsidR="004B4968" w:rsidRPr="00CC3825" w:rsidRDefault="004B4968" w:rsidP="00025B3F">
            <w:pPr>
              <w:pStyle w:val="Tabletext"/>
              <w:keepNext/>
              <w:keepLines/>
              <w:jc w:val="center"/>
            </w:pPr>
            <w:r w:rsidRPr="00CC3825">
              <w:t>2.5%</w:t>
            </w:r>
          </w:p>
        </w:tc>
        <w:tc>
          <w:tcPr>
            <w:tcW w:w="569" w:type="pct"/>
            <w:vAlign w:val="center"/>
          </w:tcPr>
          <w:p w:rsidR="004B4968" w:rsidRPr="00CC3825" w:rsidRDefault="004B4968" w:rsidP="00025B3F">
            <w:pPr>
              <w:pStyle w:val="Tabletext"/>
              <w:keepNext/>
              <w:keepLines/>
              <w:jc w:val="center"/>
            </w:pPr>
            <w:r w:rsidRPr="00CC3825">
              <w:t>0.008</w:t>
            </w:r>
          </w:p>
        </w:tc>
        <w:tc>
          <w:tcPr>
            <w:tcW w:w="602" w:type="pct"/>
            <w:vAlign w:val="center"/>
          </w:tcPr>
          <w:p w:rsidR="004B4968" w:rsidRPr="00CC3825" w:rsidRDefault="004B4968" w:rsidP="00025B3F">
            <w:pPr>
              <w:pStyle w:val="Tabletext"/>
              <w:keepNext/>
              <w:keepLines/>
              <w:jc w:val="center"/>
              <w:rPr>
                <w:b/>
              </w:rPr>
            </w:pPr>
            <w:r w:rsidRPr="00CC3825">
              <w:rPr>
                <w:b/>
              </w:rPr>
              <w:t>0.66</w:t>
            </w:r>
          </w:p>
          <w:p w:rsidR="004B4968" w:rsidRPr="00CC3825" w:rsidRDefault="004B4968" w:rsidP="00025B3F">
            <w:pPr>
              <w:pStyle w:val="Tabletext"/>
              <w:keepNext/>
              <w:keepLines/>
              <w:jc w:val="center"/>
              <w:rPr>
                <w:b/>
              </w:rPr>
            </w:pPr>
            <w:r w:rsidRPr="00CC3825">
              <w:rPr>
                <w:b/>
              </w:rPr>
              <w:t>(0.47, 0.93)</w:t>
            </w:r>
          </w:p>
        </w:tc>
      </w:tr>
      <w:tr w:rsidR="004B4968" w:rsidRPr="00CC3825" w:rsidTr="00C21660">
        <w:tc>
          <w:tcPr>
            <w:tcW w:w="833" w:type="pct"/>
            <w:vAlign w:val="center"/>
          </w:tcPr>
          <w:p w:rsidR="004B4968" w:rsidRPr="00CC3825" w:rsidRDefault="004B4968" w:rsidP="00025B3F">
            <w:pPr>
              <w:pStyle w:val="Tabletext"/>
              <w:keepNext/>
              <w:keepLines/>
            </w:pPr>
            <w:r w:rsidRPr="00CC3825">
              <w:t>Effect of Censoring (Site Completed Follow-up ≥90%)(7 July 2014) (at 2 years)</w:t>
            </w:r>
          </w:p>
        </w:tc>
        <w:tc>
          <w:tcPr>
            <w:tcW w:w="1208" w:type="pct"/>
            <w:vAlign w:val="center"/>
          </w:tcPr>
          <w:p w:rsidR="004B4968" w:rsidRPr="00CC3825" w:rsidRDefault="004B4968" w:rsidP="00025B3F">
            <w:pPr>
              <w:pStyle w:val="Tabletext"/>
              <w:keepNext/>
              <w:keepLines/>
              <w:jc w:val="center"/>
            </w:pPr>
            <w:r w:rsidRPr="00CC3825">
              <w:t>Events: 43/1420 (3.0%)</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93.9 (91.8,95.4)</w:t>
            </w:r>
          </w:p>
        </w:tc>
        <w:tc>
          <w:tcPr>
            <w:tcW w:w="1415" w:type="pct"/>
            <w:vAlign w:val="center"/>
          </w:tcPr>
          <w:p w:rsidR="004B4968" w:rsidRPr="00CC3825" w:rsidRDefault="004B4968" w:rsidP="00025B3F">
            <w:pPr>
              <w:pStyle w:val="Tabletext"/>
              <w:keepNext/>
              <w:keepLines/>
              <w:jc w:val="center"/>
            </w:pPr>
            <w:r w:rsidRPr="00CC3825">
              <w:t>Events: 67/1420 (4.7%)</w:t>
            </w:r>
          </w:p>
          <w:p w:rsidR="004B4968" w:rsidRPr="00CC3825" w:rsidRDefault="004B4968" w:rsidP="00025B3F">
            <w:pPr>
              <w:keepNext/>
              <w:keepLines/>
              <w:widowControl/>
              <w:autoSpaceDE w:val="0"/>
              <w:autoSpaceDN w:val="0"/>
              <w:adjustRightInd w:val="0"/>
              <w:jc w:val="center"/>
            </w:pPr>
            <w:r w:rsidRPr="00CC3825">
              <w:rPr>
                <w:rFonts w:ascii="Arial Narrow" w:hAnsi="Arial Narrow" w:cs="Times New Roman"/>
                <w:snapToGrid/>
                <w:sz w:val="20"/>
              </w:rPr>
              <w:t>KM: 91.3 (89.1,93.1)</w:t>
            </w:r>
          </w:p>
        </w:tc>
        <w:tc>
          <w:tcPr>
            <w:tcW w:w="373" w:type="pct"/>
            <w:vAlign w:val="center"/>
          </w:tcPr>
          <w:p w:rsidR="004B4968" w:rsidRPr="00CC3825" w:rsidRDefault="004B4968" w:rsidP="00025B3F">
            <w:pPr>
              <w:pStyle w:val="Tabletext"/>
              <w:keepNext/>
              <w:keepLines/>
              <w:jc w:val="center"/>
            </w:pPr>
            <w:r w:rsidRPr="00CC3825">
              <w:t>2.6%</w:t>
            </w:r>
          </w:p>
        </w:tc>
        <w:tc>
          <w:tcPr>
            <w:tcW w:w="569" w:type="pct"/>
            <w:vAlign w:val="center"/>
          </w:tcPr>
          <w:p w:rsidR="004B4968" w:rsidRPr="00CC3825" w:rsidRDefault="004B4968" w:rsidP="00025B3F">
            <w:pPr>
              <w:pStyle w:val="Tabletext"/>
              <w:keepNext/>
              <w:keepLines/>
              <w:jc w:val="center"/>
            </w:pPr>
            <w:r w:rsidRPr="00CC3825">
              <w:t>0.028</w:t>
            </w:r>
          </w:p>
        </w:tc>
        <w:tc>
          <w:tcPr>
            <w:tcW w:w="602" w:type="pct"/>
            <w:vAlign w:val="center"/>
          </w:tcPr>
          <w:p w:rsidR="004B4968" w:rsidRPr="00CC3825" w:rsidRDefault="004B4968" w:rsidP="00025B3F">
            <w:pPr>
              <w:pStyle w:val="Tabletext"/>
              <w:keepNext/>
              <w:keepLines/>
              <w:jc w:val="center"/>
            </w:pPr>
            <w:r w:rsidRPr="00CC3825">
              <w:t>0.69</w:t>
            </w:r>
          </w:p>
          <w:p w:rsidR="004B4968" w:rsidRPr="00CC3825" w:rsidRDefault="004B4968" w:rsidP="00025B3F">
            <w:pPr>
              <w:pStyle w:val="Tabletext"/>
              <w:keepNext/>
              <w:keepLines/>
              <w:jc w:val="center"/>
            </w:pPr>
            <w:r w:rsidRPr="00CC3825">
              <w:t>(0.47, 1.01)</w:t>
            </w:r>
          </w:p>
        </w:tc>
      </w:tr>
    </w:tbl>
    <w:p w:rsidR="004B4968" w:rsidRPr="00CC3825" w:rsidRDefault="004B4968" w:rsidP="00025B3F">
      <w:pPr>
        <w:pStyle w:val="TableFooter"/>
        <w:widowControl/>
      </w:pPr>
      <w:r w:rsidRPr="00CC3825">
        <w:t xml:space="preserve">CI: confidence interval; DFS-DCIS: disease free survival including ductal carcinoma in situ; DDFS: Distant disease-free survival; FACT-B: Breast cancer-specific quality of life – FACT-B (version 4); iDFS: invasive disease free survival; KM: Kaplan-Meier; NA: not available; RD: risk difference; TTDR: Time to distant recurrence. ITT: Intent to treat: </w:t>
      </w:r>
      <w:r w:rsidRPr="00CC3825">
        <w:rPr>
          <w:rFonts w:eastAsia="TimesNewRoman"/>
          <w:szCs w:val="16"/>
          <w:lang w:eastAsia="en-AU"/>
        </w:rPr>
        <w:t>The ITT population includes all randomised patients with the exceptions documented in the SAP. Patients were analysed by the randomised treatment arms regardless of the actual treatment received</w:t>
      </w:r>
    </w:p>
    <w:p w:rsidR="004B4968" w:rsidRPr="00CC3825" w:rsidRDefault="004B4968" w:rsidP="00025B3F">
      <w:pPr>
        <w:pStyle w:val="TableFooter"/>
        <w:widowControl/>
      </w:pPr>
      <w:r w:rsidRPr="00CC3825">
        <w:t>aITT: amended Intent to treat: The aITT population includes all patients randomised under global amendment 3 or later amendment, or all patients randomised prior to implementation of global amendment 3 if they met the following key criteria: 1. All patients with node-positive disease and 2. All patients randomised within 1 year from completion of prior trastuzumab therapy. Centrally confirmed ERBB2-positive: The Centrally Confirmed erbB-2-Positive population includes all patients randomised who were confirmed by central testing to be erbB-2 positive.</w:t>
      </w:r>
    </w:p>
    <w:p w:rsidR="004B4968" w:rsidRPr="00CC3825" w:rsidRDefault="004B4968" w:rsidP="00025B3F">
      <w:pPr>
        <w:pStyle w:val="TableFooter"/>
        <w:widowControl/>
      </w:pPr>
      <w:r w:rsidRPr="00CC3825">
        <w:rPr>
          <w:b/>
        </w:rPr>
        <w:t>Bold</w:t>
      </w:r>
      <w:r w:rsidRPr="00CC3825">
        <w:t xml:space="preserve"> indicates statistically significant results at the 5% level.</w:t>
      </w:r>
    </w:p>
    <w:p w:rsidR="004B4968" w:rsidRPr="00CC3825" w:rsidRDefault="004B4968" w:rsidP="00025B3F">
      <w:pPr>
        <w:pStyle w:val="TableFooter"/>
        <w:widowControl/>
      </w:pPr>
      <w:r w:rsidRPr="00CC3825">
        <w:t>Source: compiled during the evaluation based on information provided in Table37, p110 of the resubmission; p117-118 of the CSR (Clinical Study Report).</w:t>
      </w:r>
    </w:p>
    <w:p w:rsidR="004B4968" w:rsidRPr="00CC3825" w:rsidRDefault="004B4968" w:rsidP="00025B3F">
      <w:pPr>
        <w:pStyle w:val="TableFooter"/>
        <w:widowControl/>
        <w:rPr>
          <w:i/>
        </w:rPr>
      </w:pPr>
    </w:p>
    <w:p w:rsidR="004B4968" w:rsidRPr="00CC3825" w:rsidRDefault="004B4968" w:rsidP="00A84C29">
      <w:pPr>
        <w:pStyle w:val="ListParagraph"/>
        <w:widowControl/>
        <w:numPr>
          <w:ilvl w:val="1"/>
          <w:numId w:val="5"/>
        </w:numPr>
      </w:pPr>
      <w:r w:rsidRPr="00CC3825">
        <w:rPr>
          <w:iCs/>
        </w:rPr>
        <w:t>For the ITT population, iDFS at 2 years (7 July 2014 analysis) was 94.2% with neratinib and 91.9% with placebo.</w:t>
      </w:r>
      <w:r w:rsidRPr="00CC3825">
        <w:t xml:space="preserve"> </w:t>
      </w:r>
      <w:r w:rsidRPr="00CC3825">
        <w:rPr>
          <w:iCs/>
        </w:rPr>
        <w:t xml:space="preserve">The HR for iDFS was statistically significant (HR=0.66, 95% CI: 0.49, 0.90, P=0.004) but the absolute benefit in terms of the difference in iDFS was small (2.3% at 2 years). In terms of the ESMO MCBS, this would equate to a Grade A clinical </w:t>
      </w:r>
      <w:r w:rsidR="007B4531" w:rsidRPr="00CC3825">
        <w:rPr>
          <w:iCs/>
        </w:rPr>
        <w:t>benefit.</w:t>
      </w:r>
      <w:r w:rsidRPr="00CC3825">
        <w:rPr>
          <w:iCs/>
        </w:rPr>
        <w:t xml:space="preserve"> However, this may fall to Grade C with the availability of OS data if the absolute difference in OS </w:t>
      </w:r>
      <w:r w:rsidR="00357F1C">
        <w:rPr>
          <w:iCs/>
        </w:rPr>
        <w:t xml:space="preserve">is </w:t>
      </w:r>
      <w:r w:rsidR="00282453" w:rsidRPr="00CC3825">
        <w:rPr>
          <w:iCs/>
        </w:rPr>
        <w:t>like</w:t>
      </w:r>
      <w:r w:rsidRPr="00CC3825">
        <w:rPr>
          <w:iCs/>
        </w:rPr>
        <w:t xml:space="preserve"> iDFS.</w:t>
      </w:r>
    </w:p>
    <w:p w:rsidR="007B4531" w:rsidRPr="00CC3825" w:rsidRDefault="007B4531" w:rsidP="00A84C29">
      <w:pPr>
        <w:pStyle w:val="ListParagraph"/>
        <w:widowControl/>
        <w:numPr>
          <w:ilvl w:val="1"/>
          <w:numId w:val="5"/>
        </w:numPr>
      </w:pPr>
      <w:r w:rsidRPr="00CC3825">
        <w:t xml:space="preserve">Figure </w:t>
      </w:r>
      <w:r w:rsidR="00914B8F" w:rsidRPr="00CC3825">
        <w:t xml:space="preserve">2 </w:t>
      </w:r>
      <w:r w:rsidRPr="00CC3825">
        <w:t xml:space="preserve">shows the Kaplan-Meier plot of the iDFS analyses for the ITT population on 7 July 2014 and Figure </w:t>
      </w:r>
      <w:r w:rsidR="00914B8F" w:rsidRPr="00CC3825">
        <w:t xml:space="preserve">3 </w:t>
      </w:r>
      <w:r w:rsidRPr="00CC3825">
        <w:t>shows the Kaplan-Meier plot of the iDFS analyses for the ITT population on 1 March 2017, following re-consenting of patients (and thus high levels of censoring). The 2-year iDFS results from both time points were similar.</w:t>
      </w:r>
    </w:p>
    <w:p w:rsidR="007B4531" w:rsidRPr="00BB3215" w:rsidRDefault="007B4531" w:rsidP="00025B3F">
      <w:pPr>
        <w:widowControl/>
        <w:rPr>
          <w:rFonts w:ascii="Arial Narrow" w:hAnsi="Arial Narrow"/>
          <w:b/>
          <w:bCs/>
          <w:iCs/>
          <w:sz w:val="20"/>
          <w:szCs w:val="20"/>
          <w:highlight w:val="lightGray"/>
        </w:rPr>
      </w:pPr>
      <w:r w:rsidRPr="00BB3215">
        <w:rPr>
          <w:rFonts w:ascii="Arial Narrow" w:hAnsi="Arial Narrow"/>
          <w:b/>
          <w:bCs/>
          <w:iCs/>
          <w:sz w:val="20"/>
          <w:szCs w:val="20"/>
        </w:rPr>
        <w:t xml:space="preserve">Figure </w:t>
      </w:r>
      <w:r w:rsidR="00914B8F">
        <w:rPr>
          <w:rFonts w:ascii="Arial Narrow" w:hAnsi="Arial Narrow"/>
          <w:b/>
          <w:bCs/>
          <w:iCs/>
          <w:sz w:val="20"/>
          <w:szCs w:val="20"/>
        </w:rPr>
        <w:t>2</w:t>
      </w:r>
      <w:r w:rsidRPr="00BB3215">
        <w:rPr>
          <w:rFonts w:ascii="Arial Narrow" w:hAnsi="Arial Narrow"/>
          <w:b/>
          <w:bCs/>
          <w:iCs/>
          <w:sz w:val="20"/>
          <w:szCs w:val="20"/>
        </w:rPr>
        <w:t>: Kaplan-Meier Plot of Disease free survival-ITT population (July 2014 analysis)</w:t>
      </w:r>
    </w:p>
    <w:p w:rsidR="007B4531" w:rsidRPr="00BB3215" w:rsidRDefault="007B4531" w:rsidP="00025B3F">
      <w:pPr>
        <w:widowControl/>
        <w:rPr>
          <w:i/>
          <w:highlight w:val="lightGray"/>
        </w:rPr>
      </w:pPr>
      <w:r w:rsidRPr="00BB3215">
        <w:rPr>
          <w:noProof/>
          <w:lang w:eastAsia="en-AU"/>
        </w:rPr>
        <w:drawing>
          <wp:inline distT="0" distB="0" distL="0" distR="0" wp14:anchorId="1C909886" wp14:editId="49F6149F">
            <wp:extent cx="5732145" cy="3215640"/>
            <wp:effectExtent l="0" t="0" r="1905" b="3810"/>
            <wp:docPr id="15" name="Picture 15" title="Figure 2: Kaplan-Meier Plot of Disease free survival-ITT population (July 2014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215640"/>
                    </a:xfrm>
                    <a:prstGeom prst="rect">
                      <a:avLst/>
                    </a:prstGeom>
                    <a:noFill/>
                    <a:ln>
                      <a:noFill/>
                    </a:ln>
                  </pic:spPr>
                </pic:pic>
              </a:graphicData>
            </a:graphic>
          </wp:inline>
        </w:drawing>
      </w:r>
    </w:p>
    <w:p w:rsidR="007B4531" w:rsidRPr="00BB3215" w:rsidRDefault="007B4531" w:rsidP="00025B3F">
      <w:pPr>
        <w:widowControl/>
        <w:rPr>
          <w:rFonts w:ascii="Arial Narrow" w:hAnsi="Arial Narrow"/>
          <w:sz w:val="18"/>
        </w:rPr>
      </w:pPr>
      <w:r w:rsidRPr="00BB3215">
        <w:rPr>
          <w:rFonts w:ascii="Arial Narrow" w:hAnsi="Arial Narrow"/>
          <w:sz w:val="18"/>
        </w:rPr>
        <w:t xml:space="preserve">Source: Figure 21, p110 of the resubmission </w:t>
      </w:r>
    </w:p>
    <w:p w:rsidR="007B4531" w:rsidRPr="00BB3215" w:rsidRDefault="007B4531" w:rsidP="00025B3F">
      <w:pPr>
        <w:widowControl/>
        <w:rPr>
          <w:i/>
          <w:highlight w:val="lightGray"/>
        </w:rPr>
      </w:pPr>
    </w:p>
    <w:p w:rsidR="007B4531" w:rsidRPr="00BB3215" w:rsidRDefault="007B4531" w:rsidP="00025B3F">
      <w:pPr>
        <w:keepNext/>
        <w:widowControl/>
        <w:rPr>
          <w:rFonts w:ascii="Arial Narrow" w:hAnsi="Arial Narrow"/>
          <w:b/>
          <w:sz w:val="20"/>
        </w:rPr>
      </w:pPr>
      <w:r w:rsidRPr="00BB3215">
        <w:rPr>
          <w:rFonts w:ascii="Arial Narrow" w:hAnsi="Arial Narrow"/>
          <w:b/>
          <w:sz w:val="20"/>
        </w:rPr>
        <w:lastRenderedPageBreak/>
        <w:t xml:space="preserve">Figure </w:t>
      </w:r>
      <w:r w:rsidR="00914B8F">
        <w:rPr>
          <w:rFonts w:ascii="Arial Narrow" w:hAnsi="Arial Narrow"/>
          <w:b/>
          <w:sz w:val="20"/>
        </w:rPr>
        <w:t>3</w:t>
      </w:r>
      <w:r w:rsidRPr="00BB3215">
        <w:rPr>
          <w:rFonts w:ascii="Arial Narrow" w:hAnsi="Arial Narrow"/>
          <w:b/>
          <w:sz w:val="20"/>
        </w:rPr>
        <w:t>: Kaplan-Meier Plot of 5-year Disease-free Survival (All Data for Censoring), ITT Population (March 2017 analysis)</w:t>
      </w:r>
    </w:p>
    <w:p w:rsidR="007B4531" w:rsidRPr="00BB3215" w:rsidRDefault="007B4531" w:rsidP="00025B3F">
      <w:pPr>
        <w:widowControl/>
        <w:rPr>
          <w:i/>
          <w:highlight w:val="lightGray"/>
        </w:rPr>
      </w:pPr>
      <w:r w:rsidRPr="00BB3215">
        <w:rPr>
          <w:noProof/>
          <w:lang w:eastAsia="en-AU"/>
        </w:rPr>
        <w:drawing>
          <wp:inline distT="0" distB="0" distL="0" distR="0" wp14:anchorId="095349CA" wp14:editId="0CFB8B3B">
            <wp:extent cx="5731200" cy="3214800"/>
            <wp:effectExtent l="0" t="0" r="3175" b="5080"/>
            <wp:docPr id="16" name="Picture 16" title="Figure 3: Kaplan-Meier Plot of 5-year Disease-free Survival (All Data for Censoring), ITT Population (March 2017 analy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200" cy="3214800"/>
                    </a:xfrm>
                    <a:prstGeom prst="rect">
                      <a:avLst/>
                    </a:prstGeom>
                    <a:noFill/>
                    <a:ln>
                      <a:noFill/>
                    </a:ln>
                  </pic:spPr>
                </pic:pic>
              </a:graphicData>
            </a:graphic>
          </wp:inline>
        </w:drawing>
      </w:r>
    </w:p>
    <w:p w:rsidR="007B4531" w:rsidRPr="00BB3215" w:rsidRDefault="007B4531" w:rsidP="00025B3F">
      <w:pPr>
        <w:widowControl/>
        <w:rPr>
          <w:rFonts w:ascii="Arial Narrow" w:hAnsi="Arial Narrow"/>
          <w:sz w:val="18"/>
        </w:rPr>
      </w:pPr>
      <w:r w:rsidRPr="00BB3215">
        <w:rPr>
          <w:rFonts w:ascii="Arial Narrow" w:hAnsi="Arial Narrow"/>
          <w:sz w:val="18"/>
        </w:rPr>
        <w:t xml:space="preserve">Source: Figure 22, p111 of the resubmission </w:t>
      </w:r>
    </w:p>
    <w:p w:rsidR="007B4531" w:rsidRPr="00BB3215" w:rsidRDefault="007B4531" w:rsidP="00025B3F">
      <w:pPr>
        <w:widowControl/>
        <w:rPr>
          <w:i/>
          <w:highlight w:val="lightGray"/>
        </w:rPr>
      </w:pPr>
    </w:p>
    <w:p w:rsidR="004B4968" w:rsidRPr="00CC3825" w:rsidRDefault="004B4968" w:rsidP="00A84C29">
      <w:pPr>
        <w:pStyle w:val="ListParagraph"/>
        <w:widowControl/>
        <w:numPr>
          <w:ilvl w:val="1"/>
          <w:numId w:val="5"/>
        </w:numPr>
        <w:rPr>
          <w:iCs/>
        </w:rPr>
      </w:pPr>
      <w:r w:rsidRPr="00CC3825">
        <w:rPr>
          <w:iCs/>
        </w:rPr>
        <w:t>The HR for iDFS based on the 1 March 2017 analysis was less favourable (closer to 1) than for the 7 July 2014 analysis but still statistically significant (HR=0.73, 95% CI: 0.57, 0.92, p=0.004 as reported in the CSR and p=0.0083 as reported in Martin et al. 2017). The absolute benefit in terms of the difference iDFS at 5 years remained small (2.5%).</w:t>
      </w:r>
    </w:p>
    <w:p w:rsidR="004B4968" w:rsidRPr="00EF5B8F" w:rsidRDefault="004B4968" w:rsidP="00A84C29">
      <w:pPr>
        <w:pStyle w:val="ListParagraph"/>
        <w:widowControl/>
        <w:numPr>
          <w:ilvl w:val="1"/>
          <w:numId w:val="5"/>
        </w:numPr>
      </w:pPr>
      <w:r w:rsidRPr="00EF5B8F">
        <w:t xml:space="preserve">The ESC </w:t>
      </w:r>
      <w:r w:rsidR="00601F1E" w:rsidRPr="00EF5B8F">
        <w:t xml:space="preserve">previously </w:t>
      </w:r>
      <w:r w:rsidRPr="00EF5B8F">
        <w:t>questioned ‘the clinical meaningfulness of the iDFS benefit given no OS data were available. Although the 2 year follow up data showed a significant improvement in iDFS, the ESC considered the difference to be small in absolute terms, and uncertain given the risk of bias and concerns regarding the applicability of the trial evidence to the PBS population’</w:t>
      </w:r>
      <w:r w:rsidR="00C21660" w:rsidRPr="00EF5B8F">
        <w:t xml:space="preserve"> (</w:t>
      </w:r>
      <w:r w:rsidR="00AE687F">
        <w:t>paragraph 6.37, n</w:t>
      </w:r>
      <w:r w:rsidR="00C21660" w:rsidRPr="00EF5B8F">
        <w:t>eratinib PSD</w:t>
      </w:r>
      <w:r w:rsidR="001C75EF" w:rsidRPr="00EF5B8F">
        <w:t>, March 2019</w:t>
      </w:r>
      <w:r w:rsidR="00C21660" w:rsidRPr="00EF5B8F">
        <w:t>)</w:t>
      </w:r>
      <w:r w:rsidRPr="00EF5B8F">
        <w:t>.</w:t>
      </w:r>
      <w:r w:rsidR="002B1248" w:rsidRPr="00EF5B8F">
        <w:t xml:space="preserve"> The </w:t>
      </w:r>
      <w:r w:rsidR="00914B8F" w:rsidRPr="00EF5B8F">
        <w:t xml:space="preserve">ESC </w:t>
      </w:r>
      <w:r w:rsidR="00550270" w:rsidRPr="00EF5B8F">
        <w:t>noted that no additional OS data were available and m</w:t>
      </w:r>
      <w:r w:rsidR="000939FD" w:rsidRPr="00EF5B8F">
        <w:t>aintained t</w:t>
      </w:r>
      <w:r w:rsidR="00550270" w:rsidRPr="00EF5B8F">
        <w:t>he</w:t>
      </w:r>
      <w:r w:rsidR="000939FD" w:rsidRPr="00EF5B8F">
        <w:t xml:space="preserve"> view </w:t>
      </w:r>
      <w:r w:rsidR="00550270" w:rsidRPr="00EF5B8F">
        <w:t>that the clinical meaningfulness of the iDFS benefit is unclear</w:t>
      </w:r>
      <w:r w:rsidR="000939FD" w:rsidRPr="00EF5B8F">
        <w:t>.</w:t>
      </w:r>
    </w:p>
    <w:p w:rsidR="004B4968" w:rsidRPr="00EF5B8F" w:rsidRDefault="004B4968" w:rsidP="00A84C29">
      <w:pPr>
        <w:pStyle w:val="ListParagraph"/>
        <w:widowControl/>
        <w:numPr>
          <w:ilvl w:val="1"/>
          <w:numId w:val="5"/>
        </w:numPr>
      </w:pPr>
      <w:r w:rsidRPr="00EF5B8F">
        <w:t>The resubmission argued that ‘after 5 years of follow-up, extended adjuvant neratinib significantly reduced the risk of clinically significant relapse with no increased risk of long-term toxicities. The absolute benefit in</w:t>
      </w:r>
      <w:r w:rsidR="00F669A4" w:rsidRPr="00EF5B8F">
        <w:t xml:space="preserve"> the</w:t>
      </w:r>
      <w:r w:rsidRPr="00EF5B8F">
        <w:t xml:space="preserve"> ITT population was 2.5% (HR 0.49; 95% CI 0.30‒0.78; p=0.002) and the absolute benefit in HR positive cohort ≤1 year from trastuzumab was 5.1% (HR 0.58; 95% CI 0.41‒0.82; p=0.002)</w:t>
      </w:r>
      <w:r w:rsidR="00282453" w:rsidRPr="00EF5B8F">
        <w:t>’</w:t>
      </w:r>
      <w:r w:rsidRPr="00EF5B8F">
        <w:t xml:space="preserve"> (p3 of the resubmission).</w:t>
      </w:r>
      <w:r w:rsidR="00550270" w:rsidRPr="00EF5B8F">
        <w:t xml:space="preserve"> The ESC noted that these 5 year outcomes were impacted by re-consenting issues discussed above.</w:t>
      </w:r>
    </w:p>
    <w:p w:rsidR="004B4968" w:rsidRPr="00EF5B8F" w:rsidRDefault="004B4968" w:rsidP="00A84C29">
      <w:pPr>
        <w:pStyle w:val="ListParagraph"/>
        <w:widowControl/>
        <w:numPr>
          <w:ilvl w:val="1"/>
          <w:numId w:val="5"/>
        </w:numPr>
      </w:pPr>
      <w:r w:rsidRPr="00EF5B8F">
        <w:rPr>
          <w:iCs/>
        </w:rPr>
        <w:t xml:space="preserve">Overall survival (OS) data was not presented. </w:t>
      </w:r>
      <w:r w:rsidRPr="00EF5B8F">
        <w:t xml:space="preserve">The PBAC considered that any resubmission would need to provide available OS data </w:t>
      </w:r>
      <w:r w:rsidR="00C21660" w:rsidRPr="00EF5B8F">
        <w:t>(</w:t>
      </w:r>
      <w:r w:rsidR="00AE687F">
        <w:t>paragraph 7.17, n</w:t>
      </w:r>
      <w:r w:rsidR="00C21660" w:rsidRPr="00EF5B8F">
        <w:t>eratinib PSD, March 2019)</w:t>
      </w:r>
      <w:r w:rsidRPr="00EF5B8F">
        <w:t xml:space="preserve">. The resubmission </w:t>
      </w:r>
      <w:r w:rsidR="00550270" w:rsidRPr="00EF5B8F">
        <w:t xml:space="preserve">stated </w:t>
      </w:r>
      <w:r w:rsidRPr="00EF5B8F">
        <w:t xml:space="preserve">that the OS data will not be available until the </w:t>
      </w:r>
      <w:r w:rsidRPr="00EF5B8F">
        <w:lastRenderedPageBreak/>
        <w:t>first half of 2020 and the OS data for patients with HR+ disease will not be available until 2024-2027.</w:t>
      </w:r>
    </w:p>
    <w:p w:rsidR="00333AF4" w:rsidRPr="00CC3825" w:rsidRDefault="00333AF4" w:rsidP="00A84C29">
      <w:pPr>
        <w:pStyle w:val="ListParagraph"/>
        <w:widowControl/>
        <w:numPr>
          <w:ilvl w:val="1"/>
          <w:numId w:val="5"/>
        </w:numPr>
      </w:pPr>
      <w:r w:rsidRPr="00CC3825">
        <w:t xml:space="preserve">The average FACT-B total score over time is shown in Figure </w:t>
      </w:r>
      <w:r w:rsidR="003F247B" w:rsidRPr="00CC3825">
        <w:t xml:space="preserve">4 </w:t>
      </w:r>
      <w:r w:rsidRPr="00CC3825">
        <w:t xml:space="preserve">and the average EQ-5D Health State over time is shown graphically in Figure </w:t>
      </w:r>
      <w:r w:rsidR="003F247B" w:rsidRPr="00CC3825">
        <w:t>5</w:t>
      </w:r>
      <w:r w:rsidRPr="00CC3825">
        <w:t xml:space="preserve">. </w:t>
      </w:r>
    </w:p>
    <w:p w:rsidR="00333AF4" w:rsidRPr="00BB3215" w:rsidRDefault="00333AF4" w:rsidP="00025B3F">
      <w:pPr>
        <w:pStyle w:val="ListParagraph"/>
        <w:keepNext/>
        <w:widowControl/>
        <w:ind w:left="0"/>
        <w:jc w:val="left"/>
        <w:rPr>
          <w:rFonts w:ascii="Arial Narrow" w:hAnsi="Arial Narrow"/>
          <w:b/>
          <w:sz w:val="20"/>
        </w:rPr>
      </w:pPr>
      <w:r w:rsidRPr="00BB3215">
        <w:rPr>
          <w:rFonts w:ascii="Arial Narrow" w:hAnsi="Arial Narrow"/>
          <w:b/>
          <w:sz w:val="20"/>
        </w:rPr>
        <w:t xml:space="preserve">Figure </w:t>
      </w:r>
      <w:r w:rsidR="003F247B">
        <w:rPr>
          <w:rFonts w:ascii="Arial Narrow" w:hAnsi="Arial Narrow"/>
          <w:b/>
          <w:sz w:val="20"/>
        </w:rPr>
        <w:t>4</w:t>
      </w:r>
      <w:r w:rsidRPr="00BB3215">
        <w:rPr>
          <w:rFonts w:ascii="Arial Narrow" w:hAnsi="Arial Narrow"/>
          <w:b/>
          <w:sz w:val="20"/>
        </w:rPr>
        <w:t>: Average FACT-B Total Scores Over Time, ITT Population</w:t>
      </w:r>
    </w:p>
    <w:p w:rsidR="00333AF4" w:rsidRPr="00BB3215" w:rsidRDefault="00333AF4" w:rsidP="00025B3F">
      <w:pPr>
        <w:pStyle w:val="ListParagraph"/>
        <w:widowControl/>
      </w:pPr>
      <w:r w:rsidRPr="00BB3215">
        <w:rPr>
          <w:noProof/>
          <w:lang w:eastAsia="en-AU"/>
        </w:rPr>
        <w:drawing>
          <wp:inline distT="0" distB="0" distL="0" distR="0" wp14:anchorId="4B717AED" wp14:editId="5B85AF90">
            <wp:extent cx="5313072" cy="3214800"/>
            <wp:effectExtent l="0" t="0" r="1905" b="5080"/>
            <wp:docPr id="14" name="Picture 14" title="Figure 4: Average FACT-B Total Scores Over Time,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3072" cy="3214800"/>
                    </a:xfrm>
                    <a:prstGeom prst="rect">
                      <a:avLst/>
                    </a:prstGeom>
                    <a:noFill/>
                    <a:ln>
                      <a:noFill/>
                    </a:ln>
                  </pic:spPr>
                </pic:pic>
              </a:graphicData>
            </a:graphic>
          </wp:inline>
        </w:drawing>
      </w:r>
    </w:p>
    <w:p w:rsidR="00333AF4" w:rsidRPr="00BB3215" w:rsidRDefault="00333AF4" w:rsidP="00025B3F">
      <w:pPr>
        <w:pStyle w:val="ListParagraph"/>
        <w:widowControl/>
        <w:rPr>
          <w:rFonts w:ascii="Arial Narrow" w:hAnsi="Arial Narrow"/>
          <w:sz w:val="20"/>
        </w:rPr>
      </w:pPr>
      <w:r w:rsidRPr="00BB3215">
        <w:rPr>
          <w:rFonts w:ascii="Arial Narrow" w:hAnsi="Arial Narrow"/>
          <w:sz w:val="20"/>
        </w:rPr>
        <w:t>Source: Figure 8, p119 of the resubmission</w:t>
      </w:r>
    </w:p>
    <w:p w:rsidR="00333AF4" w:rsidRPr="00BB3215" w:rsidRDefault="00333AF4" w:rsidP="00025B3F">
      <w:pPr>
        <w:pStyle w:val="ListParagraph"/>
        <w:keepNext/>
        <w:widowControl/>
        <w:ind w:left="0"/>
        <w:rPr>
          <w:rFonts w:ascii="Arial Narrow" w:hAnsi="Arial Narrow"/>
          <w:b/>
          <w:sz w:val="20"/>
        </w:rPr>
      </w:pPr>
      <w:r w:rsidRPr="00BB3215">
        <w:rPr>
          <w:rFonts w:ascii="Arial Narrow" w:hAnsi="Arial Narrow"/>
          <w:b/>
          <w:sz w:val="20"/>
        </w:rPr>
        <w:lastRenderedPageBreak/>
        <w:t xml:space="preserve">Figure </w:t>
      </w:r>
      <w:r w:rsidR="003F247B">
        <w:rPr>
          <w:rFonts w:ascii="Arial Narrow" w:hAnsi="Arial Narrow"/>
          <w:b/>
          <w:sz w:val="20"/>
        </w:rPr>
        <w:t>5</w:t>
      </w:r>
      <w:r w:rsidRPr="00BB3215">
        <w:rPr>
          <w:rFonts w:ascii="Arial Narrow" w:hAnsi="Arial Narrow"/>
          <w:b/>
          <w:sz w:val="20"/>
        </w:rPr>
        <w:t>: Average EQ-5D Health State Summary Scores Over Time, ITT Population</w:t>
      </w:r>
    </w:p>
    <w:p w:rsidR="00333AF4" w:rsidRPr="00BB3215" w:rsidRDefault="00333AF4" w:rsidP="00025B3F">
      <w:pPr>
        <w:pStyle w:val="ListParagraph"/>
        <w:widowControl/>
        <w:rPr>
          <w:rFonts w:ascii="Arial Narrow" w:hAnsi="Arial Narrow"/>
          <w:sz w:val="20"/>
        </w:rPr>
      </w:pPr>
      <w:r w:rsidRPr="00BB3215">
        <w:rPr>
          <w:noProof/>
          <w:lang w:eastAsia="en-AU"/>
        </w:rPr>
        <w:drawing>
          <wp:inline distT="0" distB="0" distL="0" distR="0" wp14:anchorId="32ACFC82" wp14:editId="315FCEDC">
            <wp:extent cx="5411150" cy="3214800"/>
            <wp:effectExtent l="0" t="0" r="0" b="5080"/>
            <wp:docPr id="17" name="Picture 17" title="Figure 5: Average EQ-5D Health State Summary Scores Over Time,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1150" cy="3214800"/>
                    </a:xfrm>
                    <a:prstGeom prst="rect">
                      <a:avLst/>
                    </a:prstGeom>
                    <a:noFill/>
                    <a:ln>
                      <a:noFill/>
                    </a:ln>
                  </pic:spPr>
                </pic:pic>
              </a:graphicData>
            </a:graphic>
          </wp:inline>
        </w:drawing>
      </w:r>
    </w:p>
    <w:p w:rsidR="00333AF4" w:rsidRPr="00BB3215" w:rsidRDefault="00333AF4" w:rsidP="00025B3F">
      <w:pPr>
        <w:pStyle w:val="ListParagraph"/>
        <w:widowControl/>
        <w:rPr>
          <w:rFonts w:ascii="Arial Narrow" w:hAnsi="Arial Narrow"/>
          <w:sz w:val="20"/>
        </w:rPr>
      </w:pPr>
      <w:r w:rsidRPr="00BB3215">
        <w:rPr>
          <w:rFonts w:ascii="Arial Narrow" w:hAnsi="Arial Narrow"/>
          <w:sz w:val="20"/>
        </w:rPr>
        <w:t>Source: Figure 8, p120 of the resubmission</w:t>
      </w:r>
    </w:p>
    <w:p w:rsidR="00333AF4" w:rsidRPr="00CC3825" w:rsidRDefault="00333AF4" w:rsidP="00A84C29">
      <w:pPr>
        <w:pStyle w:val="ListParagraph"/>
        <w:widowControl/>
        <w:numPr>
          <w:ilvl w:val="1"/>
          <w:numId w:val="5"/>
        </w:numPr>
      </w:pPr>
      <w:r w:rsidRPr="00CC3825">
        <w:t>The health-related quality of life pattern derived from the EQ-5D instrument was similar compared with using the FACT-B instrument. The quality of life results suggested within the first month after randomisation, the quality of life score decreased more with neratinib than with placebo. This may be due to the onset of diarrhoea. After the first month, the quality of life scores were similar for the two arms. However, the results suggested that neratinib does not significantly improve health-related quality of life.</w:t>
      </w:r>
    </w:p>
    <w:p w:rsidR="004B4968" w:rsidRPr="00BB3215" w:rsidRDefault="004B4968" w:rsidP="00A84C29">
      <w:pPr>
        <w:pStyle w:val="ListParagraph"/>
        <w:widowControl/>
        <w:numPr>
          <w:ilvl w:val="1"/>
          <w:numId w:val="5"/>
        </w:numPr>
      </w:pPr>
      <w:r w:rsidRPr="00BB3215">
        <w:t xml:space="preserve">Table </w:t>
      </w:r>
      <w:r w:rsidR="00671BAD">
        <w:t>8</w:t>
      </w:r>
      <w:r w:rsidR="00174AA7" w:rsidRPr="00BB3215">
        <w:t xml:space="preserve"> </w:t>
      </w:r>
      <w:r w:rsidRPr="00BB3215">
        <w:t>presents the key subgroup analyses results of the ExteNET trial.</w:t>
      </w:r>
      <w:r w:rsidRPr="00D53B1F">
        <w:t xml:space="preserve"> </w:t>
      </w:r>
      <w:r w:rsidRPr="00D53B1F">
        <w:rPr>
          <w:iCs/>
        </w:rPr>
        <w:t>This is unchanged from the original submission</w:t>
      </w:r>
      <w:r w:rsidR="00550270">
        <w:rPr>
          <w:iCs/>
        </w:rPr>
        <w:t>.</w:t>
      </w:r>
      <w:r w:rsidRPr="00D53B1F">
        <w:rPr>
          <w:iCs/>
        </w:rPr>
        <w:t xml:space="preserve"> </w:t>
      </w:r>
    </w:p>
    <w:p w:rsidR="004B4968" w:rsidRPr="00CC3825" w:rsidRDefault="004B4968" w:rsidP="00025B3F">
      <w:pPr>
        <w:keepNext/>
        <w:widowControl/>
        <w:rPr>
          <w:rFonts w:ascii="Arial Narrow" w:hAnsi="Arial Narrow"/>
          <w:b/>
          <w:sz w:val="20"/>
        </w:rPr>
      </w:pPr>
      <w:r w:rsidRPr="00CC3825">
        <w:rPr>
          <w:rFonts w:ascii="Arial Narrow" w:hAnsi="Arial Narrow"/>
          <w:b/>
          <w:sz w:val="20"/>
        </w:rPr>
        <w:t xml:space="preserve">Table </w:t>
      </w:r>
      <w:r w:rsidR="00671BAD">
        <w:rPr>
          <w:rFonts w:ascii="Arial Narrow" w:hAnsi="Arial Narrow"/>
          <w:b/>
          <w:sz w:val="20"/>
        </w:rPr>
        <w:t>8</w:t>
      </w:r>
      <w:r w:rsidRPr="00CC3825">
        <w:rPr>
          <w:rFonts w:ascii="Arial Narrow" w:hAnsi="Arial Narrow"/>
          <w:b/>
          <w:sz w:val="20"/>
        </w:rPr>
        <w:t xml:space="preserve">: iDFS </w:t>
      </w:r>
      <w:r w:rsidRPr="00CC3825">
        <w:rPr>
          <w:rStyle w:val="CommentReference"/>
        </w:rPr>
        <w:t>results for subgroups based on HR status (7 July 2014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133"/>
        <w:gridCol w:w="1708"/>
        <w:gridCol w:w="1695"/>
        <w:gridCol w:w="1275"/>
        <w:gridCol w:w="1084"/>
      </w:tblGrid>
      <w:tr w:rsidR="004B4968" w:rsidRPr="00CC3825" w:rsidTr="00C21660">
        <w:trPr>
          <w:tblHeader/>
        </w:trPr>
        <w:tc>
          <w:tcPr>
            <w:tcW w:w="548" w:type="pct"/>
            <w:tcMar>
              <w:left w:w="28" w:type="dxa"/>
              <w:right w:w="28" w:type="dxa"/>
            </w:tcMar>
            <w:vAlign w:val="center"/>
          </w:tcPr>
          <w:p w:rsidR="004B4968" w:rsidRPr="00CC3825" w:rsidRDefault="004B4968" w:rsidP="00025B3F">
            <w:pPr>
              <w:pStyle w:val="Tabletext"/>
              <w:rPr>
                <w:b/>
              </w:rPr>
            </w:pPr>
            <w:r w:rsidRPr="00CC3825">
              <w:rPr>
                <w:b/>
              </w:rPr>
              <w:t>Population</w:t>
            </w:r>
          </w:p>
        </w:tc>
        <w:tc>
          <w:tcPr>
            <w:tcW w:w="629" w:type="pct"/>
            <w:tcMar>
              <w:left w:w="28" w:type="dxa"/>
              <w:right w:w="28" w:type="dxa"/>
            </w:tcMar>
            <w:vAlign w:val="center"/>
          </w:tcPr>
          <w:p w:rsidR="004B4968" w:rsidRPr="00CC3825" w:rsidRDefault="004B4968" w:rsidP="00025B3F">
            <w:pPr>
              <w:pStyle w:val="Tabletext"/>
              <w:jc w:val="center"/>
              <w:rPr>
                <w:b/>
              </w:rPr>
            </w:pPr>
            <w:r w:rsidRPr="00CC3825">
              <w:rPr>
                <w:b/>
              </w:rPr>
              <w:t>Neratinib</w:t>
            </w:r>
          </w:p>
          <w:p w:rsidR="004B4968" w:rsidRPr="00CC3825" w:rsidRDefault="004B4968" w:rsidP="00025B3F">
            <w:pPr>
              <w:pStyle w:val="Tabletext"/>
              <w:jc w:val="center"/>
              <w:rPr>
                <w:b/>
              </w:rPr>
            </w:pPr>
            <w:r w:rsidRPr="00CC3825">
              <w:rPr>
                <w:b/>
              </w:rPr>
              <w:t xml:space="preserve"> n/N (%)</w:t>
            </w:r>
          </w:p>
        </w:tc>
        <w:tc>
          <w:tcPr>
            <w:tcW w:w="628" w:type="pct"/>
            <w:tcMar>
              <w:left w:w="28" w:type="dxa"/>
              <w:right w:w="28" w:type="dxa"/>
            </w:tcMar>
            <w:vAlign w:val="center"/>
          </w:tcPr>
          <w:p w:rsidR="004B4968" w:rsidRPr="00CC3825" w:rsidRDefault="004B4968" w:rsidP="00025B3F">
            <w:pPr>
              <w:pStyle w:val="Tabletext"/>
              <w:jc w:val="center"/>
              <w:rPr>
                <w:b/>
              </w:rPr>
            </w:pPr>
            <w:r w:rsidRPr="00CC3825">
              <w:rPr>
                <w:b/>
              </w:rPr>
              <w:t>Placebo</w:t>
            </w:r>
          </w:p>
          <w:p w:rsidR="004B4968" w:rsidRPr="00CC3825" w:rsidRDefault="004B4968" w:rsidP="00025B3F">
            <w:pPr>
              <w:pStyle w:val="Tabletext"/>
              <w:jc w:val="center"/>
              <w:rPr>
                <w:b/>
              </w:rPr>
            </w:pPr>
            <w:r w:rsidRPr="00CC3825">
              <w:rPr>
                <w:b/>
              </w:rPr>
              <w:t>n/N (%)</w:t>
            </w:r>
          </w:p>
        </w:tc>
        <w:tc>
          <w:tcPr>
            <w:tcW w:w="947" w:type="pct"/>
            <w:tcMar>
              <w:left w:w="28" w:type="dxa"/>
              <w:right w:w="28" w:type="dxa"/>
            </w:tcMar>
          </w:tcPr>
          <w:p w:rsidR="004B4968" w:rsidRPr="00CC3825" w:rsidRDefault="004B4968" w:rsidP="00025B3F">
            <w:pPr>
              <w:pStyle w:val="Tabletext"/>
              <w:jc w:val="center"/>
              <w:rPr>
                <w:b/>
              </w:rPr>
            </w:pPr>
            <w:r w:rsidRPr="00CC3825">
              <w:rPr>
                <w:b/>
              </w:rPr>
              <w:t>Neratinib</w:t>
            </w:r>
          </w:p>
          <w:p w:rsidR="004B4968" w:rsidRPr="00CC3825" w:rsidRDefault="004B4968" w:rsidP="00025B3F">
            <w:pPr>
              <w:pStyle w:val="Tabletext"/>
              <w:jc w:val="center"/>
              <w:rPr>
                <w:b/>
              </w:rPr>
            </w:pPr>
            <w:r w:rsidRPr="00CC3825">
              <w:rPr>
                <w:b/>
              </w:rPr>
              <w:t>24-month iDFS rate, % (95% CI)</w:t>
            </w:r>
          </w:p>
        </w:tc>
        <w:tc>
          <w:tcPr>
            <w:tcW w:w="940" w:type="pct"/>
            <w:tcMar>
              <w:left w:w="28" w:type="dxa"/>
              <w:right w:w="28" w:type="dxa"/>
            </w:tcMar>
          </w:tcPr>
          <w:p w:rsidR="004B4968" w:rsidRPr="00CC3825" w:rsidRDefault="004B4968" w:rsidP="00025B3F">
            <w:pPr>
              <w:pStyle w:val="Tabletext"/>
              <w:jc w:val="center"/>
              <w:rPr>
                <w:b/>
              </w:rPr>
            </w:pPr>
            <w:r w:rsidRPr="00CC3825">
              <w:rPr>
                <w:b/>
              </w:rPr>
              <w:t>Placebo</w:t>
            </w:r>
          </w:p>
          <w:p w:rsidR="004B4968" w:rsidRPr="00CC3825" w:rsidRDefault="004B4968" w:rsidP="00025B3F">
            <w:pPr>
              <w:pStyle w:val="Tabletext"/>
              <w:jc w:val="center"/>
              <w:rPr>
                <w:b/>
              </w:rPr>
            </w:pPr>
            <w:r w:rsidRPr="00CC3825">
              <w:rPr>
                <w:b/>
              </w:rPr>
              <w:t>24-month iDFS rate, % (95% CI)</w:t>
            </w:r>
          </w:p>
        </w:tc>
        <w:tc>
          <w:tcPr>
            <w:tcW w:w="707" w:type="pct"/>
            <w:tcMar>
              <w:left w:w="28" w:type="dxa"/>
              <w:right w:w="28" w:type="dxa"/>
            </w:tcMar>
            <w:vAlign w:val="center"/>
          </w:tcPr>
          <w:p w:rsidR="004B4968" w:rsidRPr="00CC3825" w:rsidRDefault="004B4968" w:rsidP="00025B3F">
            <w:pPr>
              <w:pStyle w:val="Tabletext"/>
              <w:jc w:val="center"/>
              <w:rPr>
                <w:b/>
              </w:rPr>
            </w:pPr>
            <w:r w:rsidRPr="00CC3825">
              <w:rPr>
                <w:b/>
              </w:rPr>
              <w:t>P value</w:t>
            </w:r>
          </w:p>
          <w:p w:rsidR="004B4968" w:rsidRPr="00CC3825" w:rsidRDefault="004B4968" w:rsidP="00025B3F">
            <w:pPr>
              <w:pStyle w:val="Tabletext"/>
              <w:jc w:val="center"/>
              <w:rPr>
                <w:b/>
              </w:rPr>
            </w:pPr>
            <w:r w:rsidRPr="00CC3825">
              <w:rPr>
                <w:b/>
              </w:rPr>
              <w:t>(log rank test)</w:t>
            </w:r>
          </w:p>
        </w:tc>
        <w:tc>
          <w:tcPr>
            <w:tcW w:w="601" w:type="pct"/>
            <w:tcMar>
              <w:left w:w="28" w:type="dxa"/>
              <w:right w:w="28" w:type="dxa"/>
            </w:tcMar>
            <w:vAlign w:val="center"/>
          </w:tcPr>
          <w:p w:rsidR="004B4968" w:rsidRPr="00CC3825" w:rsidRDefault="004B4968" w:rsidP="00025B3F">
            <w:pPr>
              <w:pStyle w:val="Tabletext"/>
              <w:jc w:val="center"/>
              <w:rPr>
                <w:b/>
              </w:rPr>
            </w:pPr>
            <w:r w:rsidRPr="00CC3825">
              <w:rPr>
                <w:b/>
              </w:rPr>
              <w:t>Hazard ratio (95% CI)</w:t>
            </w:r>
          </w:p>
        </w:tc>
      </w:tr>
      <w:tr w:rsidR="004B4968" w:rsidRPr="00CC3825" w:rsidTr="00C21660">
        <w:tc>
          <w:tcPr>
            <w:tcW w:w="548" w:type="pct"/>
            <w:tcBorders>
              <w:bottom w:val="double" w:sz="4" w:space="0" w:color="auto"/>
            </w:tcBorders>
            <w:tcMar>
              <w:left w:w="28" w:type="dxa"/>
              <w:right w:w="28" w:type="dxa"/>
            </w:tcMar>
            <w:vAlign w:val="center"/>
          </w:tcPr>
          <w:p w:rsidR="004B4968" w:rsidRPr="00CC3825" w:rsidRDefault="004B4968" w:rsidP="00025B3F">
            <w:pPr>
              <w:pStyle w:val="Tabletext"/>
            </w:pPr>
            <w:r w:rsidRPr="00CC3825">
              <w:t>ITT</w:t>
            </w:r>
          </w:p>
        </w:tc>
        <w:tc>
          <w:tcPr>
            <w:tcW w:w="629" w:type="pct"/>
            <w:tcBorders>
              <w:bottom w:val="double" w:sz="4" w:space="0" w:color="auto"/>
            </w:tcBorders>
            <w:tcMar>
              <w:left w:w="28" w:type="dxa"/>
              <w:right w:w="28" w:type="dxa"/>
            </w:tcMar>
            <w:vAlign w:val="center"/>
          </w:tcPr>
          <w:p w:rsidR="004B4968" w:rsidRPr="00CC3825" w:rsidRDefault="004B4968" w:rsidP="00025B3F">
            <w:pPr>
              <w:pStyle w:val="Tabletext"/>
              <w:jc w:val="center"/>
            </w:pPr>
            <w:r w:rsidRPr="00CC3825">
              <w:t>67/1,420 (4.7%)</w:t>
            </w:r>
          </w:p>
        </w:tc>
        <w:tc>
          <w:tcPr>
            <w:tcW w:w="628" w:type="pct"/>
            <w:tcBorders>
              <w:bottom w:val="double" w:sz="4" w:space="0" w:color="auto"/>
            </w:tcBorders>
            <w:tcMar>
              <w:left w:w="28" w:type="dxa"/>
              <w:right w:w="28" w:type="dxa"/>
            </w:tcMar>
            <w:vAlign w:val="center"/>
          </w:tcPr>
          <w:p w:rsidR="004B4968" w:rsidRPr="00CC3825" w:rsidRDefault="004B4968" w:rsidP="00025B3F">
            <w:pPr>
              <w:pStyle w:val="Tabletext"/>
              <w:jc w:val="center"/>
            </w:pPr>
            <w:r w:rsidRPr="00CC3825">
              <w:t>106/1,420</w:t>
            </w:r>
          </w:p>
          <w:p w:rsidR="004B4968" w:rsidRPr="00CC3825" w:rsidRDefault="004B4968" w:rsidP="00025B3F">
            <w:pPr>
              <w:pStyle w:val="Tabletext"/>
              <w:jc w:val="center"/>
            </w:pPr>
            <w:r w:rsidRPr="00CC3825">
              <w:t>(7.5%)</w:t>
            </w:r>
          </w:p>
        </w:tc>
        <w:tc>
          <w:tcPr>
            <w:tcW w:w="947" w:type="pct"/>
            <w:tcBorders>
              <w:bottom w:val="double" w:sz="4" w:space="0" w:color="auto"/>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94.2</w:t>
            </w:r>
          </w:p>
          <w:p w:rsidR="004B4968" w:rsidRPr="00CC3825" w:rsidRDefault="004B4968" w:rsidP="00025B3F">
            <w:pPr>
              <w:pStyle w:val="Tabletext"/>
              <w:jc w:val="center"/>
            </w:pPr>
            <w:r w:rsidRPr="00CC3825">
              <w:t>(92.6, 95.4)</w:t>
            </w:r>
          </w:p>
        </w:tc>
        <w:tc>
          <w:tcPr>
            <w:tcW w:w="940" w:type="pct"/>
            <w:tcBorders>
              <w:bottom w:val="double" w:sz="4" w:space="0" w:color="auto"/>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91.9</w:t>
            </w:r>
          </w:p>
          <w:p w:rsidR="004B4968" w:rsidRPr="00CC3825" w:rsidRDefault="004B4968" w:rsidP="00025B3F">
            <w:pPr>
              <w:pStyle w:val="Tabletext"/>
              <w:jc w:val="center"/>
            </w:pPr>
            <w:r w:rsidRPr="00CC3825">
              <w:t>(90.2, 93.2)</w:t>
            </w:r>
          </w:p>
        </w:tc>
        <w:tc>
          <w:tcPr>
            <w:tcW w:w="707" w:type="pct"/>
            <w:tcBorders>
              <w:bottom w:val="double" w:sz="4" w:space="0" w:color="auto"/>
            </w:tcBorders>
            <w:tcMar>
              <w:left w:w="28" w:type="dxa"/>
              <w:right w:w="28" w:type="dxa"/>
            </w:tcMar>
            <w:vAlign w:val="center"/>
          </w:tcPr>
          <w:p w:rsidR="004B4968" w:rsidRPr="00CC3825" w:rsidRDefault="004B4968" w:rsidP="00025B3F">
            <w:pPr>
              <w:pStyle w:val="Tabletext"/>
              <w:jc w:val="center"/>
            </w:pPr>
            <w:r w:rsidRPr="00CC3825">
              <w:t>0.004</w:t>
            </w:r>
          </w:p>
        </w:tc>
        <w:tc>
          <w:tcPr>
            <w:tcW w:w="601" w:type="pct"/>
            <w:tcBorders>
              <w:bottom w:val="double" w:sz="4" w:space="0" w:color="auto"/>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b/>
                <w:snapToGrid/>
                <w:sz w:val="20"/>
              </w:rPr>
            </w:pPr>
            <w:r w:rsidRPr="00CC3825">
              <w:rPr>
                <w:rFonts w:ascii="Arial Narrow" w:hAnsi="Arial Narrow" w:cs="Times New Roman"/>
                <w:b/>
                <w:snapToGrid/>
                <w:sz w:val="20"/>
              </w:rPr>
              <w:t>0.66</w:t>
            </w:r>
          </w:p>
          <w:p w:rsidR="004B4968" w:rsidRPr="00CC3825" w:rsidRDefault="004B4968" w:rsidP="00025B3F">
            <w:pPr>
              <w:pStyle w:val="Tabletext"/>
              <w:jc w:val="center"/>
            </w:pPr>
            <w:r w:rsidRPr="00CC3825">
              <w:rPr>
                <w:b/>
              </w:rPr>
              <w:t>(0.49, 0.90)</w:t>
            </w:r>
          </w:p>
        </w:tc>
      </w:tr>
      <w:tr w:rsidR="004B4968" w:rsidRPr="00CC3825" w:rsidTr="00C21660">
        <w:tc>
          <w:tcPr>
            <w:tcW w:w="548" w:type="pct"/>
            <w:tcBorders>
              <w:top w:val="double" w:sz="4" w:space="0" w:color="auto"/>
              <w:bottom w:val="single" w:sz="4" w:space="0" w:color="auto"/>
            </w:tcBorders>
            <w:tcMar>
              <w:left w:w="28" w:type="dxa"/>
              <w:right w:w="28" w:type="dxa"/>
            </w:tcMar>
            <w:vAlign w:val="center"/>
          </w:tcPr>
          <w:p w:rsidR="004B4968" w:rsidRPr="00CC3825" w:rsidRDefault="004B4968" w:rsidP="00025B3F">
            <w:pPr>
              <w:pStyle w:val="Tabletext"/>
            </w:pPr>
            <w:r w:rsidRPr="00CC3825">
              <w:t>HR+</w:t>
            </w:r>
          </w:p>
        </w:tc>
        <w:tc>
          <w:tcPr>
            <w:tcW w:w="629" w:type="pct"/>
            <w:tcBorders>
              <w:top w:val="double" w:sz="4" w:space="0" w:color="auto"/>
              <w:bottom w:val="single" w:sz="4" w:space="0" w:color="auto"/>
            </w:tcBorders>
            <w:tcMar>
              <w:left w:w="28" w:type="dxa"/>
              <w:right w:w="28" w:type="dxa"/>
            </w:tcMar>
            <w:vAlign w:val="center"/>
          </w:tcPr>
          <w:p w:rsidR="004B4968" w:rsidRPr="00CC3825" w:rsidRDefault="004B4968" w:rsidP="00025B3F">
            <w:pPr>
              <w:pStyle w:val="Tabletext"/>
              <w:jc w:val="center"/>
            </w:pPr>
            <w:r w:rsidRPr="00CC3825">
              <w:t xml:space="preserve">29/816 </w:t>
            </w:r>
            <w:r w:rsidRPr="00CC3825">
              <w:br/>
              <w:t>(3.6%)</w:t>
            </w:r>
          </w:p>
        </w:tc>
        <w:tc>
          <w:tcPr>
            <w:tcW w:w="628" w:type="pct"/>
            <w:tcBorders>
              <w:top w:val="double" w:sz="4" w:space="0" w:color="auto"/>
              <w:bottom w:val="single" w:sz="4" w:space="0" w:color="auto"/>
            </w:tcBorders>
            <w:tcMar>
              <w:left w:w="28" w:type="dxa"/>
              <w:right w:w="28" w:type="dxa"/>
            </w:tcMar>
            <w:vAlign w:val="center"/>
          </w:tcPr>
          <w:p w:rsidR="004B4968" w:rsidRPr="00CC3825" w:rsidRDefault="004B4968" w:rsidP="00025B3F">
            <w:pPr>
              <w:pStyle w:val="Tabletext"/>
              <w:jc w:val="center"/>
            </w:pPr>
            <w:r w:rsidRPr="00CC3825">
              <w:t xml:space="preserve">63/815 </w:t>
            </w:r>
            <w:r w:rsidRPr="00CC3825">
              <w:br/>
              <w:t>(7.7%)</w:t>
            </w:r>
          </w:p>
        </w:tc>
        <w:tc>
          <w:tcPr>
            <w:tcW w:w="947" w:type="pct"/>
            <w:tcBorders>
              <w:top w:val="double" w:sz="4" w:space="0" w:color="auto"/>
              <w:bottom w:val="single" w:sz="4" w:space="0" w:color="auto"/>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95.6</w:t>
            </w:r>
          </w:p>
          <w:p w:rsidR="004B4968" w:rsidRPr="00CC3825" w:rsidRDefault="004B4968" w:rsidP="00025B3F">
            <w:pPr>
              <w:pStyle w:val="Tabletext"/>
              <w:jc w:val="center"/>
            </w:pPr>
            <w:r w:rsidRPr="00CC3825">
              <w:t>(93.8, 96.9)</w:t>
            </w:r>
          </w:p>
        </w:tc>
        <w:tc>
          <w:tcPr>
            <w:tcW w:w="940" w:type="pct"/>
            <w:tcBorders>
              <w:top w:val="double" w:sz="4" w:space="0" w:color="auto"/>
              <w:bottom w:val="single" w:sz="4" w:space="0" w:color="auto"/>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91.5</w:t>
            </w:r>
          </w:p>
          <w:p w:rsidR="004B4968" w:rsidRPr="00CC3825" w:rsidRDefault="004B4968" w:rsidP="00025B3F">
            <w:pPr>
              <w:pStyle w:val="Tabletext"/>
              <w:jc w:val="center"/>
            </w:pPr>
            <w:r w:rsidRPr="00CC3825">
              <w:t>(89.2, 93.3)</w:t>
            </w:r>
          </w:p>
        </w:tc>
        <w:tc>
          <w:tcPr>
            <w:tcW w:w="707" w:type="pct"/>
            <w:tcBorders>
              <w:top w:val="double" w:sz="4" w:space="0" w:color="auto"/>
              <w:bottom w:val="single" w:sz="4" w:space="0" w:color="auto"/>
            </w:tcBorders>
            <w:tcMar>
              <w:left w:w="28" w:type="dxa"/>
              <w:right w:w="28" w:type="dxa"/>
            </w:tcMar>
            <w:vAlign w:val="center"/>
          </w:tcPr>
          <w:p w:rsidR="004B4968" w:rsidRPr="00CC3825" w:rsidRDefault="004B4968" w:rsidP="00025B3F">
            <w:pPr>
              <w:pStyle w:val="Tabletext"/>
              <w:jc w:val="center"/>
            </w:pPr>
            <w:r w:rsidRPr="00CC3825">
              <w:t>&lt;0.001</w:t>
            </w:r>
          </w:p>
        </w:tc>
        <w:tc>
          <w:tcPr>
            <w:tcW w:w="601" w:type="pct"/>
            <w:tcBorders>
              <w:top w:val="double" w:sz="4" w:space="0" w:color="auto"/>
              <w:bottom w:val="single" w:sz="4" w:space="0" w:color="auto"/>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b/>
                <w:snapToGrid/>
                <w:sz w:val="20"/>
              </w:rPr>
            </w:pPr>
            <w:r w:rsidRPr="00CC3825">
              <w:rPr>
                <w:rFonts w:ascii="Arial Narrow" w:hAnsi="Arial Narrow" w:cs="Times New Roman"/>
                <w:b/>
                <w:snapToGrid/>
                <w:sz w:val="20"/>
              </w:rPr>
              <w:t>0.49</w:t>
            </w:r>
          </w:p>
          <w:p w:rsidR="004B4968" w:rsidRPr="00CC3825" w:rsidRDefault="004B4968" w:rsidP="00025B3F">
            <w:pPr>
              <w:pStyle w:val="Tabletext"/>
              <w:jc w:val="center"/>
            </w:pPr>
            <w:r w:rsidRPr="00CC3825">
              <w:rPr>
                <w:b/>
              </w:rPr>
              <w:t>(0.31, 0.75)</w:t>
            </w:r>
          </w:p>
        </w:tc>
      </w:tr>
      <w:tr w:rsidR="004B4968" w:rsidRPr="00CC3825" w:rsidTr="00C21660">
        <w:trPr>
          <w:trHeight w:val="403"/>
        </w:trPr>
        <w:tc>
          <w:tcPr>
            <w:tcW w:w="548" w:type="pct"/>
            <w:tcBorders>
              <w:bottom w:val="single" w:sz="4" w:space="0" w:color="000000" w:themeColor="text1"/>
            </w:tcBorders>
            <w:tcMar>
              <w:left w:w="28" w:type="dxa"/>
              <w:right w:w="28" w:type="dxa"/>
            </w:tcMar>
            <w:vAlign w:val="center"/>
          </w:tcPr>
          <w:p w:rsidR="004B4968" w:rsidRPr="00CC3825" w:rsidRDefault="004B4968" w:rsidP="00025B3F">
            <w:pPr>
              <w:pStyle w:val="Tabletext"/>
            </w:pPr>
            <w:r w:rsidRPr="00CC3825">
              <w:t>HR-</w:t>
            </w:r>
          </w:p>
        </w:tc>
        <w:tc>
          <w:tcPr>
            <w:tcW w:w="629" w:type="pct"/>
            <w:tcBorders>
              <w:bottom w:val="single" w:sz="4" w:space="0" w:color="000000" w:themeColor="text1"/>
            </w:tcBorders>
            <w:tcMar>
              <w:left w:w="28" w:type="dxa"/>
              <w:right w:w="28" w:type="dxa"/>
            </w:tcMar>
            <w:vAlign w:val="center"/>
          </w:tcPr>
          <w:p w:rsidR="004B4968" w:rsidRPr="00CC3825" w:rsidRDefault="004B4968" w:rsidP="00025B3F">
            <w:pPr>
              <w:pStyle w:val="Tabletext"/>
              <w:jc w:val="center"/>
            </w:pPr>
            <w:r w:rsidRPr="00CC3825">
              <w:t xml:space="preserve">38/604 </w:t>
            </w:r>
            <w:r w:rsidRPr="00CC3825">
              <w:br/>
              <w:t>(6.3%)</w:t>
            </w:r>
          </w:p>
        </w:tc>
        <w:tc>
          <w:tcPr>
            <w:tcW w:w="628" w:type="pct"/>
            <w:tcBorders>
              <w:bottom w:val="single" w:sz="4" w:space="0" w:color="000000" w:themeColor="text1"/>
            </w:tcBorders>
            <w:tcMar>
              <w:left w:w="28" w:type="dxa"/>
              <w:right w:w="28" w:type="dxa"/>
            </w:tcMar>
            <w:vAlign w:val="center"/>
          </w:tcPr>
          <w:p w:rsidR="004B4968" w:rsidRPr="00CC3825" w:rsidRDefault="004B4968" w:rsidP="00025B3F">
            <w:pPr>
              <w:pStyle w:val="Tabletext"/>
              <w:jc w:val="center"/>
            </w:pPr>
            <w:r w:rsidRPr="00CC3825">
              <w:t xml:space="preserve">43/605 </w:t>
            </w:r>
            <w:r w:rsidRPr="00CC3825">
              <w:br/>
              <w:t>(7.1%)</w:t>
            </w:r>
          </w:p>
        </w:tc>
        <w:tc>
          <w:tcPr>
            <w:tcW w:w="947" w:type="pct"/>
            <w:tcBorders>
              <w:bottom w:val="single" w:sz="4" w:space="0" w:color="000000" w:themeColor="text1"/>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92.2</w:t>
            </w:r>
          </w:p>
          <w:p w:rsidR="004B4968" w:rsidRPr="00CC3825" w:rsidRDefault="004B4968" w:rsidP="00025B3F">
            <w:pPr>
              <w:pStyle w:val="Tabletext"/>
              <w:jc w:val="center"/>
            </w:pPr>
            <w:r w:rsidRPr="00CC3825">
              <w:t>(89.4, 94.3)</w:t>
            </w:r>
          </w:p>
        </w:tc>
        <w:tc>
          <w:tcPr>
            <w:tcW w:w="940" w:type="pct"/>
            <w:tcBorders>
              <w:bottom w:val="single" w:sz="4" w:space="0" w:color="000000" w:themeColor="text1"/>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92.4</w:t>
            </w:r>
          </w:p>
          <w:p w:rsidR="004B4968" w:rsidRPr="00CC3825" w:rsidRDefault="004B4968" w:rsidP="00025B3F">
            <w:pPr>
              <w:pStyle w:val="Tabletext"/>
              <w:jc w:val="center"/>
            </w:pPr>
            <w:r w:rsidRPr="00CC3825">
              <w:t>(89.8, 94.3)</w:t>
            </w:r>
          </w:p>
        </w:tc>
        <w:tc>
          <w:tcPr>
            <w:tcW w:w="707" w:type="pct"/>
            <w:tcBorders>
              <w:bottom w:val="single" w:sz="4" w:space="0" w:color="000000" w:themeColor="text1"/>
            </w:tcBorders>
            <w:tcMar>
              <w:left w:w="28" w:type="dxa"/>
              <w:right w:w="28" w:type="dxa"/>
            </w:tcMar>
            <w:vAlign w:val="center"/>
          </w:tcPr>
          <w:p w:rsidR="004B4968" w:rsidRPr="00CC3825" w:rsidRDefault="004B4968" w:rsidP="00025B3F">
            <w:pPr>
              <w:pStyle w:val="Tabletext"/>
              <w:jc w:val="center"/>
            </w:pPr>
            <w:r w:rsidRPr="00CC3825">
              <w:t>0.365</w:t>
            </w:r>
          </w:p>
        </w:tc>
        <w:tc>
          <w:tcPr>
            <w:tcW w:w="601" w:type="pct"/>
            <w:tcBorders>
              <w:bottom w:val="single" w:sz="4" w:space="0" w:color="000000" w:themeColor="text1"/>
            </w:tcBorders>
            <w:tcMar>
              <w:left w:w="28" w:type="dxa"/>
              <w:right w:w="28" w:type="dxa"/>
            </w:tcMar>
            <w:vAlign w:val="center"/>
          </w:tcPr>
          <w:p w:rsidR="004B4968" w:rsidRPr="00CC3825" w:rsidRDefault="004B4968" w:rsidP="00025B3F">
            <w:pPr>
              <w:widowControl/>
              <w:autoSpaceDE w:val="0"/>
              <w:autoSpaceDN w:val="0"/>
              <w:adjustRightInd w:val="0"/>
              <w:jc w:val="center"/>
              <w:rPr>
                <w:rFonts w:ascii="Arial Narrow" w:hAnsi="Arial Narrow" w:cs="Times New Roman"/>
                <w:snapToGrid/>
                <w:sz w:val="20"/>
              </w:rPr>
            </w:pPr>
            <w:r w:rsidRPr="00CC3825">
              <w:rPr>
                <w:rFonts w:ascii="Arial Narrow" w:hAnsi="Arial Narrow" w:cs="Times New Roman"/>
                <w:snapToGrid/>
                <w:sz w:val="20"/>
              </w:rPr>
              <w:t>0.93</w:t>
            </w:r>
          </w:p>
          <w:p w:rsidR="004B4968" w:rsidRPr="00CC3825" w:rsidRDefault="004B4968" w:rsidP="00025B3F">
            <w:pPr>
              <w:pStyle w:val="Tabletext"/>
              <w:jc w:val="center"/>
            </w:pPr>
            <w:r w:rsidRPr="00CC3825">
              <w:t>(0.60, 1.43)</w:t>
            </w:r>
          </w:p>
        </w:tc>
      </w:tr>
    </w:tbl>
    <w:p w:rsidR="004B4968" w:rsidRPr="00CC3825" w:rsidRDefault="004B4968" w:rsidP="00025B3F">
      <w:pPr>
        <w:pStyle w:val="TableFooter"/>
        <w:widowControl/>
        <w:rPr>
          <w:rFonts w:eastAsia="Calibri"/>
        </w:rPr>
      </w:pPr>
      <w:r w:rsidRPr="00CC3825">
        <w:rPr>
          <w:rFonts w:eastAsia="Calibri"/>
        </w:rPr>
        <w:t xml:space="preserve">CI: confidence interval; n: number of participants reporting data; N: total participants in </w:t>
      </w:r>
      <w:r w:rsidR="00BB3215" w:rsidRPr="00CC3825">
        <w:rPr>
          <w:rFonts w:eastAsia="Calibri"/>
        </w:rPr>
        <w:t>group;</w:t>
      </w:r>
      <w:r w:rsidRPr="00CC3825">
        <w:rPr>
          <w:rFonts w:eastAsia="Calibri"/>
        </w:rPr>
        <w:t xml:space="preserve"> ITT: intent to treat; iDFS</w:t>
      </w:r>
      <w:r w:rsidRPr="00CC3825">
        <w:rPr>
          <w:rFonts w:eastAsia="Calibri"/>
          <w:szCs w:val="18"/>
        </w:rPr>
        <w:t xml:space="preserve">; </w:t>
      </w:r>
      <w:r w:rsidRPr="00CC3825">
        <w:rPr>
          <w:szCs w:val="18"/>
        </w:rPr>
        <w:t>iDFS: invasive disease free survival; HR+: hormone receptor positive; HR-: hormone receptor negative.</w:t>
      </w:r>
    </w:p>
    <w:p w:rsidR="004B4968" w:rsidRPr="00CC3825" w:rsidRDefault="004B4968" w:rsidP="00025B3F">
      <w:pPr>
        <w:pStyle w:val="TableFooter"/>
        <w:widowControl/>
      </w:pPr>
      <w:r w:rsidRPr="00CC3825">
        <w:rPr>
          <w:b/>
        </w:rPr>
        <w:t>Bold</w:t>
      </w:r>
      <w:r w:rsidRPr="00CC3825">
        <w:t xml:space="preserve"> indicates statistically significant at the 5% level.</w:t>
      </w:r>
    </w:p>
    <w:p w:rsidR="004B4968" w:rsidRPr="00BB3215" w:rsidRDefault="004B4968" w:rsidP="00025B3F">
      <w:pPr>
        <w:pStyle w:val="TableFooter"/>
        <w:widowControl/>
      </w:pPr>
      <w:r w:rsidRPr="00CC3825">
        <w:t>Source: compiled during the evaluation, based on Table 19, p121 of the CSR</w:t>
      </w:r>
    </w:p>
    <w:p w:rsidR="004B4968" w:rsidRPr="00BB3215" w:rsidRDefault="004B4968" w:rsidP="00025B3F">
      <w:pPr>
        <w:widowControl/>
      </w:pPr>
    </w:p>
    <w:p w:rsidR="004B4968" w:rsidRPr="00CC3825" w:rsidRDefault="004B4968" w:rsidP="00A84C29">
      <w:pPr>
        <w:pStyle w:val="ListParagraph"/>
        <w:widowControl/>
        <w:numPr>
          <w:ilvl w:val="1"/>
          <w:numId w:val="5"/>
        </w:numPr>
      </w:pPr>
      <w:r w:rsidRPr="00CC3825">
        <w:lastRenderedPageBreak/>
        <w:t xml:space="preserve">Results from the pre-specified subgroup analysis by HR status showed that the improvement in iDFS was greater among patients with HR+ disease (2-year iDFS rate: neratinib arm=95.6%, placebo arm=91.5%, HR=0.49, P&lt;0.001) compared with patients with HR- disease (2-year iDFS rate: neratinib arm=92.2%, placebo arm= 92.4%, HR=0.93, P=0.365). </w:t>
      </w:r>
      <w:r w:rsidRPr="00CC3825">
        <w:rPr>
          <w:iCs/>
        </w:rPr>
        <w:t>The results indicated that the clinical outcomes were significantly improved for HR+ patients compared to HR- patients.</w:t>
      </w:r>
    </w:p>
    <w:p w:rsidR="004B4968" w:rsidRPr="00BB3215" w:rsidRDefault="004B4968" w:rsidP="00025B3F">
      <w:pPr>
        <w:widowControl/>
        <w:rPr>
          <w:rStyle w:val="CommentReference"/>
          <w:b w:val="0"/>
        </w:rPr>
      </w:pPr>
    </w:p>
    <w:p w:rsidR="004B4968" w:rsidRPr="00BB3215" w:rsidRDefault="004B4968" w:rsidP="00025B3F">
      <w:pPr>
        <w:pStyle w:val="Heading2"/>
        <w:widowControl/>
      </w:pPr>
      <w:bookmarkStart w:id="14" w:name="_Toc18935810"/>
      <w:r w:rsidRPr="00BB3215">
        <w:t>Comparative harms</w:t>
      </w:r>
      <w:bookmarkEnd w:id="14"/>
    </w:p>
    <w:p w:rsidR="004B4968" w:rsidRPr="00BB3215" w:rsidRDefault="004B4968" w:rsidP="00025B3F">
      <w:pPr>
        <w:widowControl/>
        <w:ind w:left="720" w:hanging="720"/>
      </w:pPr>
    </w:p>
    <w:p w:rsidR="004B4968" w:rsidRPr="001C3E6B" w:rsidRDefault="000D534A" w:rsidP="00A84C29">
      <w:pPr>
        <w:pStyle w:val="ListParagraph"/>
        <w:widowControl/>
        <w:numPr>
          <w:ilvl w:val="1"/>
          <w:numId w:val="5"/>
        </w:numPr>
      </w:pPr>
      <w:r>
        <w:t>Table 9</w:t>
      </w:r>
      <w:r w:rsidR="004B4968" w:rsidRPr="001C3E6B">
        <w:t xml:space="preserve"> presents a summary of patient-relevant harms, based on the ExteNET trial.</w:t>
      </w:r>
      <w:r w:rsidR="004B4968" w:rsidRPr="001C3E6B">
        <w:rPr>
          <w:iCs/>
        </w:rPr>
        <w:t xml:space="preserve"> This is unchanged from the original submission. </w:t>
      </w:r>
    </w:p>
    <w:p w:rsidR="004B4968" w:rsidRPr="00CC3825" w:rsidRDefault="000D534A" w:rsidP="00285496">
      <w:pPr>
        <w:pStyle w:val="Tabletext"/>
        <w:keepNext/>
        <w:rPr>
          <w:b/>
        </w:rPr>
      </w:pPr>
      <w:r w:rsidRPr="00CC3825">
        <w:rPr>
          <w:b/>
        </w:rPr>
        <w:t>Table 9</w:t>
      </w:r>
      <w:r w:rsidR="004B4968" w:rsidRPr="00CC3825">
        <w:rPr>
          <w:b/>
        </w:rPr>
        <w:t xml:space="preserve">: Summary of key adverse events in ExteNET trial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29"/>
        <w:gridCol w:w="2234"/>
        <w:gridCol w:w="2224"/>
      </w:tblGrid>
      <w:tr w:rsidR="004B4968" w:rsidRPr="00CC3825" w:rsidTr="00C21660">
        <w:trPr>
          <w:tblHeader/>
        </w:trPr>
        <w:tc>
          <w:tcPr>
            <w:tcW w:w="1569" w:type="pct"/>
            <w:vAlign w:val="center"/>
          </w:tcPr>
          <w:p w:rsidR="004B4968" w:rsidRPr="00CC3825" w:rsidRDefault="004B4968" w:rsidP="00285496">
            <w:pPr>
              <w:pStyle w:val="Tabletext"/>
              <w:keepNext/>
              <w:rPr>
                <w:b/>
              </w:rPr>
            </w:pPr>
            <w:r w:rsidRPr="00CC3825">
              <w:rPr>
                <w:b/>
              </w:rPr>
              <w:t>Trial ID</w:t>
            </w:r>
          </w:p>
        </w:tc>
        <w:tc>
          <w:tcPr>
            <w:tcW w:w="959" w:type="pct"/>
            <w:vAlign w:val="center"/>
          </w:tcPr>
          <w:p w:rsidR="004B4968" w:rsidRPr="00CC3825" w:rsidRDefault="004B4968" w:rsidP="00285496">
            <w:pPr>
              <w:pStyle w:val="Tabletext"/>
              <w:keepNext/>
              <w:jc w:val="center"/>
              <w:rPr>
                <w:b/>
              </w:rPr>
            </w:pPr>
            <w:r w:rsidRPr="00CC3825">
              <w:rPr>
                <w:b/>
              </w:rPr>
              <w:t>Neratinib</w:t>
            </w:r>
          </w:p>
          <w:p w:rsidR="004B4968" w:rsidRPr="00CC3825" w:rsidRDefault="004B4968" w:rsidP="00285496">
            <w:pPr>
              <w:pStyle w:val="Tabletext"/>
              <w:keepNext/>
              <w:jc w:val="center"/>
              <w:rPr>
                <w:b/>
              </w:rPr>
            </w:pPr>
            <w:r w:rsidRPr="00CC3825">
              <w:rPr>
                <w:b/>
              </w:rPr>
              <w:t>n with event/N (%)</w:t>
            </w:r>
          </w:p>
        </w:tc>
        <w:tc>
          <w:tcPr>
            <w:tcW w:w="1239" w:type="pct"/>
            <w:vAlign w:val="center"/>
          </w:tcPr>
          <w:p w:rsidR="004B4968" w:rsidRPr="00CC3825" w:rsidRDefault="004B4968" w:rsidP="00285496">
            <w:pPr>
              <w:pStyle w:val="Tabletext"/>
              <w:keepNext/>
              <w:jc w:val="center"/>
              <w:rPr>
                <w:b/>
              </w:rPr>
            </w:pPr>
            <w:r w:rsidRPr="00CC3825">
              <w:rPr>
                <w:b/>
              </w:rPr>
              <w:t>Placebo</w:t>
            </w:r>
          </w:p>
          <w:p w:rsidR="004B4968" w:rsidRPr="00CC3825" w:rsidRDefault="004B4968" w:rsidP="00285496">
            <w:pPr>
              <w:pStyle w:val="Tabletext"/>
              <w:keepNext/>
              <w:jc w:val="center"/>
              <w:rPr>
                <w:b/>
              </w:rPr>
            </w:pPr>
            <w:r w:rsidRPr="00CC3825">
              <w:rPr>
                <w:b/>
              </w:rPr>
              <w:t>n with event/N (%)</w:t>
            </w:r>
          </w:p>
        </w:tc>
        <w:tc>
          <w:tcPr>
            <w:tcW w:w="1233" w:type="pct"/>
            <w:vAlign w:val="center"/>
          </w:tcPr>
          <w:p w:rsidR="004B4968" w:rsidRPr="00CC3825" w:rsidRDefault="004B4968" w:rsidP="00285496">
            <w:pPr>
              <w:pStyle w:val="Tabletext"/>
              <w:keepNext/>
              <w:jc w:val="center"/>
              <w:rPr>
                <w:b/>
              </w:rPr>
            </w:pPr>
            <w:r w:rsidRPr="00CC3825">
              <w:rPr>
                <w:b/>
              </w:rPr>
              <w:t>RR (95% CI)</w:t>
            </w:r>
            <w:r w:rsidR="004E7216" w:rsidRPr="00CC3825">
              <w:rPr>
                <w:b/>
              </w:rPr>
              <w:t>*</w:t>
            </w:r>
          </w:p>
        </w:tc>
      </w:tr>
      <w:tr w:rsidR="004B4968" w:rsidRPr="00CC3825" w:rsidTr="00C21660">
        <w:tc>
          <w:tcPr>
            <w:tcW w:w="1569" w:type="pct"/>
          </w:tcPr>
          <w:p w:rsidR="004B4968" w:rsidRPr="00CC3825" w:rsidRDefault="004B4968" w:rsidP="00285496">
            <w:pPr>
              <w:pStyle w:val="Tabletext"/>
              <w:keepNext/>
            </w:pPr>
            <w:r w:rsidRPr="00CC3825">
              <w:t>Any TEAE – n (%)</w:t>
            </w:r>
          </w:p>
        </w:tc>
        <w:tc>
          <w:tcPr>
            <w:tcW w:w="959" w:type="pct"/>
            <w:vAlign w:val="center"/>
          </w:tcPr>
          <w:p w:rsidR="004B4968" w:rsidRPr="00CC3825" w:rsidRDefault="004B4968" w:rsidP="00285496">
            <w:pPr>
              <w:pStyle w:val="Tabletext"/>
              <w:keepNext/>
              <w:jc w:val="center"/>
            </w:pPr>
            <w:r w:rsidRPr="00CC3825">
              <w:t>1387/ 1408 (98.5)</w:t>
            </w:r>
          </w:p>
        </w:tc>
        <w:tc>
          <w:tcPr>
            <w:tcW w:w="1239" w:type="pct"/>
            <w:vAlign w:val="center"/>
          </w:tcPr>
          <w:p w:rsidR="004B4968" w:rsidRPr="00CC3825" w:rsidRDefault="004B4968" w:rsidP="00285496">
            <w:pPr>
              <w:pStyle w:val="Tabletext"/>
              <w:keepNext/>
              <w:jc w:val="center"/>
            </w:pPr>
            <w:r w:rsidRPr="00CC3825">
              <w:t>1240/ 1408 (88.1)</w:t>
            </w:r>
          </w:p>
        </w:tc>
        <w:tc>
          <w:tcPr>
            <w:tcW w:w="1233" w:type="pct"/>
            <w:vAlign w:val="center"/>
          </w:tcPr>
          <w:p w:rsidR="004B4968" w:rsidRPr="00CC3825" w:rsidRDefault="004B4968" w:rsidP="00285496">
            <w:pPr>
              <w:pStyle w:val="Tabletext"/>
              <w:keepNext/>
              <w:jc w:val="center"/>
              <w:rPr>
                <w:b/>
              </w:rPr>
            </w:pPr>
            <w:r w:rsidRPr="00CC3825">
              <w:rPr>
                <w:b/>
              </w:rPr>
              <w:t>1.119 (1.096, 1.141)</w:t>
            </w:r>
          </w:p>
        </w:tc>
      </w:tr>
      <w:tr w:rsidR="004B4968" w:rsidRPr="00CC3825" w:rsidTr="00C21660">
        <w:tc>
          <w:tcPr>
            <w:tcW w:w="1569" w:type="pct"/>
          </w:tcPr>
          <w:p w:rsidR="004B4968" w:rsidRPr="00CC3825" w:rsidRDefault="004B4968" w:rsidP="00285496">
            <w:pPr>
              <w:pStyle w:val="Tabletext"/>
              <w:keepNext/>
            </w:pPr>
            <w:r w:rsidRPr="00CC3825">
              <w:t xml:space="preserve">Grade 3 or 4 TEAE </w:t>
            </w:r>
          </w:p>
        </w:tc>
        <w:tc>
          <w:tcPr>
            <w:tcW w:w="959" w:type="pct"/>
            <w:vAlign w:val="center"/>
          </w:tcPr>
          <w:p w:rsidR="004B4968" w:rsidRPr="00CC3825" w:rsidRDefault="004B4968" w:rsidP="00285496">
            <w:pPr>
              <w:pStyle w:val="Tabletext"/>
              <w:keepNext/>
              <w:jc w:val="center"/>
            </w:pPr>
            <w:r w:rsidRPr="00CC3825">
              <w:t>700/ 1408 (49.7)</w:t>
            </w:r>
          </w:p>
        </w:tc>
        <w:tc>
          <w:tcPr>
            <w:tcW w:w="1239" w:type="pct"/>
            <w:vAlign w:val="center"/>
          </w:tcPr>
          <w:p w:rsidR="004B4968" w:rsidRPr="00CC3825" w:rsidRDefault="004B4968" w:rsidP="00285496">
            <w:pPr>
              <w:pStyle w:val="Tabletext"/>
              <w:keepNext/>
              <w:jc w:val="center"/>
            </w:pPr>
            <w:r w:rsidRPr="00CC3825">
              <w:t>184/ 1408 (13.1)</w:t>
            </w:r>
          </w:p>
        </w:tc>
        <w:tc>
          <w:tcPr>
            <w:tcW w:w="1233" w:type="pct"/>
            <w:vAlign w:val="center"/>
          </w:tcPr>
          <w:p w:rsidR="004B4968" w:rsidRPr="00CC3825" w:rsidRDefault="004B4968" w:rsidP="00285496">
            <w:pPr>
              <w:pStyle w:val="Tabletext"/>
              <w:keepNext/>
              <w:jc w:val="center"/>
              <w:rPr>
                <w:b/>
              </w:rPr>
            </w:pPr>
            <w:r w:rsidRPr="00CC3825">
              <w:rPr>
                <w:b/>
              </w:rPr>
              <w:t>3.804 (3.292, 4.396)</w:t>
            </w:r>
          </w:p>
        </w:tc>
      </w:tr>
      <w:tr w:rsidR="004B4968" w:rsidRPr="00CC3825" w:rsidTr="00C21660">
        <w:tc>
          <w:tcPr>
            <w:tcW w:w="1569" w:type="pct"/>
          </w:tcPr>
          <w:p w:rsidR="004B4968" w:rsidRPr="00CC3825" w:rsidRDefault="004B4968" w:rsidP="00285496">
            <w:pPr>
              <w:pStyle w:val="Tabletext"/>
              <w:keepNext/>
            </w:pPr>
            <w:r w:rsidRPr="00CC3825">
              <w:t xml:space="preserve">Fatal TEAE </w:t>
            </w:r>
          </w:p>
        </w:tc>
        <w:tc>
          <w:tcPr>
            <w:tcW w:w="959" w:type="pct"/>
            <w:vAlign w:val="center"/>
          </w:tcPr>
          <w:p w:rsidR="004B4968" w:rsidRPr="00CC3825" w:rsidRDefault="004B4968" w:rsidP="00285496">
            <w:pPr>
              <w:pStyle w:val="Tabletext"/>
              <w:keepNext/>
              <w:jc w:val="center"/>
            </w:pPr>
            <w:r w:rsidRPr="00CC3825">
              <w:t>2/ 1408 (0.1)</w:t>
            </w:r>
          </w:p>
        </w:tc>
        <w:tc>
          <w:tcPr>
            <w:tcW w:w="1239" w:type="pct"/>
            <w:vAlign w:val="center"/>
          </w:tcPr>
          <w:p w:rsidR="004B4968" w:rsidRPr="00CC3825" w:rsidRDefault="004B4968" w:rsidP="00285496">
            <w:pPr>
              <w:pStyle w:val="Tabletext"/>
              <w:keepNext/>
              <w:jc w:val="center"/>
            </w:pPr>
            <w:r w:rsidRPr="00CC3825">
              <w:t>1/ 1408 (0.1)</w:t>
            </w:r>
          </w:p>
        </w:tc>
        <w:tc>
          <w:tcPr>
            <w:tcW w:w="1233" w:type="pct"/>
            <w:vAlign w:val="center"/>
          </w:tcPr>
          <w:p w:rsidR="004B4968" w:rsidRPr="00CC3825" w:rsidRDefault="004B4968" w:rsidP="00285496">
            <w:pPr>
              <w:pStyle w:val="Tabletext"/>
              <w:keepNext/>
              <w:jc w:val="center"/>
            </w:pPr>
            <w:r w:rsidRPr="00CC3825">
              <w:t>2.000 (0.182, 22.032)</w:t>
            </w:r>
          </w:p>
        </w:tc>
      </w:tr>
      <w:tr w:rsidR="004B4968" w:rsidRPr="00CC3825" w:rsidTr="00C21660">
        <w:tc>
          <w:tcPr>
            <w:tcW w:w="1569" w:type="pct"/>
          </w:tcPr>
          <w:p w:rsidR="004B4968" w:rsidRPr="00CC3825" w:rsidRDefault="004B4968" w:rsidP="00285496">
            <w:pPr>
              <w:pStyle w:val="Tabletext"/>
              <w:keepNext/>
            </w:pPr>
            <w:r w:rsidRPr="00CC3825">
              <w:t xml:space="preserve">Serious TEAE (SAE) </w:t>
            </w:r>
          </w:p>
        </w:tc>
        <w:tc>
          <w:tcPr>
            <w:tcW w:w="959" w:type="pct"/>
            <w:vAlign w:val="center"/>
          </w:tcPr>
          <w:p w:rsidR="004B4968" w:rsidRPr="00CC3825" w:rsidRDefault="004B4968" w:rsidP="00285496">
            <w:pPr>
              <w:pStyle w:val="Tabletext"/>
              <w:keepNext/>
              <w:jc w:val="center"/>
            </w:pPr>
            <w:r w:rsidRPr="00CC3825">
              <w:t>103/ 1408 (7.3)</w:t>
            </w:r>
          </w:p>
        </w:tc>
        <w:tc>
          <w:tcPr>
            <w:tcW w:w="1239" w:type="pct"/>
            <w:vAlign w:val="center"/>
          </w:tcPr>
          <w:p w:rsidR="004B4968" w:rsidRPr="00CC3825" w:rsidRDefault="004B4968" w:rsidP="00285496">
            <w:pPr>
              <w:pStyle w:val="Tabletext"/>
              <w:keepNext/>
              <w:jc w:val="center"/>
            </w:pPr>
            <w:r w:rsidRPr="00CC3825">
              <w:t>85/ 1408 (6.0)</w:t>
            </w:r>
          </w:p>
        </w:tc>
        <w:tc>
          <w:tcPr>
            <w:tcW w:w="1233" w:type="pct"/>
            <w:vAlign w:val="center"/>
          </w:tcPr>
          <w:p w:rsidR="004B4968" w:rsidRPr="00CC3825" w:rsidRDefault="004B4968" w:rsidP="00285496">
            <w:pPr>
              <w:pStyle w:val="Tabletext"/>
              <w:keepNext/>
              <w:jc w:val="center"/>
            </w:pPr>
            <w:r w:rsidRPr="00CC3825">
              <w:t>1.212 (0.918, 1.599)</w:t>
            </w:r>
          </w:p>
        </w:tc>
      </w:tr>
      <w:tr w:rsidR="004B4968" w:rsidRPr="00CC3825" w:rsidTr="00C21660">
        <w:tc>
          <w:tcPr>
            <w:tcW w:w="1569" w:type="pct"/>
          </w:tcPr>
          <w:p w:rsidR="004B4968" w:rsidRPr="00CC3825" w:rsidRDefault="004B4968" w:rsidP="00285496">
            <w:pPr>
              <w:pStyle w:val="Tabletext"/>
              <w:keepNext/>
            </w:pPr>
            <w:r w:rsidRPr="00CC3825">
              <w:t xml:space="preserve">Treatment-related TEAE </w:t>
            </w:r>
          </w:p>
        </w:tc>
        <w:tc>
          <w:tcPr>
            <w:tcW w:w="959" w:type="pct"/>
            <w:vAlign w:val="center"/>
          </w:tcPr>
          <w:p w:rsidR="004B4968" w:rsidRPr="00CC3825" w:rsidRDefault="004B4968" w:rsidP="00285496">
            <w:pPr>
              <w:pStyle w:val="Tabletext"/>
              <w:keepNext/>
              <w:jc w:val="center"/>
            </w:pPr>
            <w:r w:rsidRPr="00CC3825">
              <w:t>1353/ 1408 (96.1)</w:t>
            </w:r>
          </w:p>
        </w:tc>
        <w:tc>
          <w:tcPr>
            <w:tcW w:w="1239" w:type="pct"/>
            <w:vAlign w:val="center"/>
          </w:tcPr>
          <w:p w:rsidR="004B4968" w:rsidRPr="00CC3825" w:rsidRDefault="004B4968" w:rsidP="00285496">
            <w:pPr>
              <w:pStyle w:val="Tabletext"/>
              <w:keepNext/>
              <w:jc w:val="center"/>
            </w:pPr>
            <w:r w:rsidRPr="00CC3825">
              <w:t>805/ 1408 (57.2)</w:t>
            </w:r>
          </w:p>
        </w:tc>
        <w:tc>
          <w:tcPr>
            <w:tcW w:w="1233" w:type="pct"/>
            <w:vAlign w:val="center"/>
          </w:tcPr>
          <w:p w:rsidR="004B4968" w:rsidRPr="00CC3825" w:rsidRDefault="004B4968" w:rsidP="00285496">
            <w:pPr>
              <w:pStyle w:val="Tabletext"/>
              <w:keepNext/>
              <w:jc w:val="center"/>
              <w:rPr>
                <w:b/>
              </w:rPr>
            </w:pPr>
            <w:r w:rsidRPr="00CC3825">
              <w:rPr>
                <w:b/>
              </w:rPr>
              <w:t>1.681 (1.605, 1.761)</w:t>
            </w:r>
          </w:p>
        </w:tc>
      </w:tr>
      <w:tr w:rsidR="004B4968" w:rsidRPr="00CC3825" w:rsidTr="00C21660">
        <w:tc>
          <w:tcPr>
            <w:tcW w:w="1569" w:type="pct"/>
          </w:tcPr>
          <w:p w:rsidR="004B4968" w:rsidRPr="00CC3825" w:rsidRDefault="004B4968" w:rsidP="00285496">
            <w:pPr>
              <w:pStyle w:val="Tabletext"/>
              <w:keepNext/>
            </w:pPr>
            <w:r w:rsidRPr="00CC3825">
              <w:t xml:space="preserve">Serious Treatment-related TEAE </w:t>
            </w:r>
          </w:p>
        </w:tc>
        <w:tc>
          <w:tcPr>
            <w:tcW w:w="959" w:type="pct"/>
            <w:vAlign w:val="center"/>
          </w:tcPr>
          <w:p w:rsidR="004B4968" w:rsidRPr="00CC3825" w:rsidRDefault="004B4968" w:rsidP="00285496">
            <w:pPr>
              <w:pStyle w:val="Tabletext"/>
              <w:keepNext/>
              <w:jc w:val="center"/>
            </w:pPr>
            <w:r w:rsidRPr="00CC3825">
              <w:t>42/ 1408 (3.0)</w:t>
            </w:r>
          </w:p>
        </w:tc>
        <w:tc>
          <w:tcPr>
            <w:tcW w:w="1239" w:type="pct"/>
            <w:vAlign w:val="center"/>
          </w:tcPr>
          <w:p w:rsidR="004B4968" w:rsidRPr="00CC3825" w:rsidRDefault="004B4968" w:rsidP="00285496">
            <w:pPr>
              <w:pStyle w:val="Tabletext"/>
              <w:keepNext/>
              <w:jc w:val="center"/>
            </w:pPr>
            <w:r w:rsidRPr="00CC3825">
              <w:t>8/ 1408 (0.6)</w:t>
            </w:r>
          </w:p>
        </w:tc>
        <w:tc>
          <w:tcPr>
            <w:tcW w:w="1233" w:type="pct"/>
            <w:vAlign w:val="center"/>
          </w:tcPr>
          <w:p w:rsidR="004B4968" w:rsidRPr="00CC3825" w:rsidRDefault="004B4968" w:rsidP="00285496">
            <w:pPr>
              <w:pStyle w:val="Tabletext"/>
              <w:keepNext/>
              <w:jc w:val="center"/>
              <w:rPr>
                <w:b/>
              </w:rPr>
            </w:pPr>
            <w:r w:rsidRPr="00CC3825">
              <w:rPr>
                <w:b/>
              </w:rPr>
              <w:t>5.250 (2.474, 11.142)</w:t>
            </w:r>
          </w:p>
        </w:tc>
      </w:tr>
      <w:tr w:rsidR="004B4968" w:rsidRPr="00CC3825" w:rsidTr="00C21660">
        <w:tc>
          <w:tcPr>
            <w:tcW w:w="1569" w:type="pct"/>
          </w:tcPr>
          <w:p w:rsidR="004B4968" w:rsidRPr="00CC3825" w:rsidRDefault="004B4968" w:rsidP="00285496">
            <w:pPr>
              <w:pStyle w:val="Tabletext"/>
              <w:keepNext/>
            </w:pPr>
            <w:r w:rsidRPr="00CC3825">
              <w:t xml:space="preserve">TEAE Leading to Treatment Discontinuation </w:t>
            </w:r>
          </w:p>
        </w:tc>
        <w:tc>
          <w:tcPr>
            <w:tcW w:w="959" w:type="pct"/>
            <w:vAlign w:val="center"/>
          </w:tcPr>
          <w:p w:rsidR="004B4968" w:rsidRPr="00CC3825" w:rsidRDefault="004B4968" w:rsidP="00285496">
            <w:pPr>
              <w:pStyle w:val="Tabletext"/>
              <w:keepNext/>
              <w:jc w:val="center"/>
            </w:pPr>
            <w:r w:rsidRPr="00CC3825">
              <w:t>388/ 1408 (27.6)</w:t>
            </w:r>
          </w:p>
        </w:tc>
        <w:tc>
          <w:tcPr>
            <w:tcW w:w="1239" w:type="pct"/>
            <w:vAlign w:val="center"/>
          </w:tcPr>
          <w:p w:rsidR="004B4968" w:rsidRPr="00CC3825" w:rsidRDefault="004B4968" w:rsidP="00285496">
            <w:pPr>
              <w:pStyle w:val="Tabletext"/>
              <w:keepNext/>
              <w:jc w:val="center"/>
            </w:pPr>
            <w:r w:rsidRPr="00CC3825">
              <w:t>76/ 1408 (5.4)</w:t>
            </w:r>
          </w:p>
        </w:tc>
        <w:tc>
          <w:tcPr>
            <w:tcW w:w="1233" w:type="pct"/>
            <w:vAlign w:val="center"/>
          </w:tcPr>
          <w:p w:rsidR="004B4968" w:rsidRPr="00CC3825" w:rsidRDefault="004B4968" w:rsidP="00285496">
            <w:pPr>
              <w:pStyle w:val="Tabletext"/>
              <w:keepNext/>
              <w:jc w:val="center"/>
              <w:rPr>
                <w:b/>
              </w:rPr>
            </w:pPr>
            <w:r w:rsidRPr="00CC3825">
              <w:rPr>
                <w:b/>
              </w:rPr>
              <w:t>5.105 (4.038, 6.454)</w:t>
            </w:r>
          </w:p>
        </w:tc>
      </w:tr>
      <w:tr w:rsidR="004B4968" w:rsidRPr="00CC3825" w:rsidTr="00C21660">
        <w:tc>
          <w:tcPr>
            <w:tcW w:w="1569" w:type="pct"/>
          </w:tcPr>
          <w:p w:rsidR="004B4968" w:rsidRPr="00CC3825" w:rsidRDefault="004B4968" w:rsidP="00285496">
            <w:pPr>
              <w:pStyle w:val="Tabletext"/>
              <w:keepNext/>
            </w:pPr>
            <w:r w:rsidRPr="00CC3825">
              <w:t xml:space="preserve">TEAE Leading to Study Withdrawal </w:t>
            </w:r>
          </w:p>
        </w:tc>
        <w:tc>
          <w:tcPr>
            <w:tcW w:w="959" w:type="pct"/>
            <w:vAlign w:val="center"/>
          </w:tcPr>
          <w:p w:rsidR="004B4968" w:rsidRPr="00CC3825" w:rsidRDefault="004B4968" w:rsidP="00285496">
            <w:pPr>
              <w:pStyle w:val="Tabletext"/>
              <w:keepNext/>
              <w:jc w:val="center"/>
            </w:pPr>
            <w:r w:rsidRPr="00CC3825">
              <w:t>32/ 1408 (2.3)</w:t>
            </w:r>
          </w:p>
        </w:tc>
        <w:tc>
          <w:tcPr>
            <w:tcW w:w="1239" w:type="pct"/>
            <w:vAlign w:val="center"/>
          </w:tcPr>
          <w:p w:rsidR="004B4968" w:rsidRPr="00CC3825" w:rsidRDefault="004B4968" w:rsidP="00285496">
            <w:pPr>
              <w:pStyle w:val="Tabletext"/>
              <w:keepNext/>
              <w:jc w:val="center"/>
            </w:pPr>
            <w:r w:rsidRPr="00CC3825">
              <w:t>7/ 1408 (0.5)</w:t>
            </w:r>
          </w:p>
        </w:tc>
        <w:tc>
          <w:tcPr>
            <w:tcW w:w="1233" w:type="pct"/>
            <w:vAlign w:val="center"/>
          </w:tcPr>
          <w:p w:rsidR="004B4968" w:rsidRPr="00CC3825" w:rsidRDefault="004B4968" w:rsidP="00285496">
            <w:pPr>
              <w:pStyle w:val="Tabletext"/>
              <w:keepNext/>
              <w:jc w:val="center"/>
              <w:rPr>
                <w:b/>
              </w:rPr>
            </w:pPr>
            <w:r w:rsidRPr="00CC3825">
              <w:rPr>
                <w:b/>
              </w:rPr>
              <w:t>4.571 (2.025, 10.322)</w:t>
            </w:r>
          </w:p>
        </w:tc>
      </w:tr>
      <w:tr w:rsidR="004B4968" w:rsidRPr="00CC3825" w:rsidTr="00C21660">
        <w:tc>
          <w:tcPr>
            <w:tcW w:w="1569" w:type="pct"/>
          </w:tcPr>
          <w:p w:rsidR="004B4968" w:rsidRPr="00CC3825" w:rsidRDefault="004B4968" w:rsidP="00285496">
            <w:pPr>
              <w:pStyle w:val="Tabletext"/>
              <w:keepNext/>
            </w:pPr>
            <w:r w:rsidRPr="00CC3825">
              <w:t xml:space="preserve">TEAE Leading to Dose Reduction </w:t>
            </w:r>
          </w:p>
        </w:tc>
        <w:tc>
          <w:tcPr>
            <w:tcW w:w="959" w:type="pct"/>
            <w:vAlign w:val="center"/>
          </w:tcPr>
          <w:p w:rsidR="004B4968" w:rsidRPr="00CC3825" w:rsidRDefault="004B4968" w:rsidP="00285496">
            <w:pPr>
              <w:pStyle w:val="Tabletext"/>
              <w:keepNext/>
              <w:jc w:val="center"/>
            </w:pPr>
            <w:r w:rsidRPr="00CC3825">
              <w:t>440/ 1408 (31.3)</w:t>
            </w:r>
          </w:p>
        </w:tc>
        <w:tc>
          <w:tcPr>
            <w:tcW w:w="1239" w:type="pct"/>
            <w:vAlign w:val="center"/>
          </w:tcPr>
          <w:p w:rsidR="004B4968" w:rsidRPr="00CC3825" w:rsidRDefault="004B4968" w:rsidP="00285496">
            <w:pPr>
              <w:pStyle w:val="Tabletext"/>
              <w:keepNext/>
              <w:jc w:val="center"/>
            </w:pPr>
            <w:r w:rsidRPr="00CC3825">
              <w:t>35/ 1408 (2.5)</w:t>
            </w:r>
          </w:p>
        </w:tc>
        <w:tc>
          <w:tcPr>
            <w:tcW w:w="1233" w:type="pct"/>
            <w:vAlign w:val="center"/>
          </w:tcPr>
          <w:p w:rsidR="004B4968" w:rsidRPr="00CC3825" w:rsidRDefault="004B4968" w:rsidP="00285496">
            <w:pPr>
              <w:pStyle w:val="Tabletext"/>
              <w:keepNext/>
              <w:jc w:val="center"/>
              <w:rPr>
                <w:b/>
              </w:rPr>
            </w:pPr>
            <w:r w:rsidRPr="00CC3825">
              <w:rPr>
                <w:b/>
              </w:rPr>
              <w:t>12.571 (8.982, 17.595)</w:t>
            </w:r>
          </w:p>
        </w:tc>
      </w:tr>
      <w:tr w:rsidR="004B4968" w:rsidRPr="00CC3825" w:rsidTr="00C21660">
        <w:tc>
          <w:tcPr>
            <w:tcW w:w="1569" w:type="pct"/>
          </w:tcPr>
          <w:p w:rsidR="004B4968" w:rsidRPr="00CC3825" w:rsidRDefault="004B4968" w:rsidP="00285496">
            <w:pPr>
              <w:pStyle w:val="Tabletext"/>
              <w:keepNext/>
            </w:pPr>
            <w:r w:rsidRPr="00CC3825">
              <w:t xml:space="preserve">TEAE Leading to Hospitalisation </w:t>
            </w:r>
          </w:p>
        </w:tc>
        <w:tc>
          <w:tcPr>
            <w:tcW w:w="959" w:type="pct"/>
            <w:vAlign w:val="center"/>
          </w:tcPr>
          <w:p w:rsidR="004B4968" w:rsidRPr="00CC3825" w:rsidRDefault="004B4968" w:rsidP="00285496">
            <w:pPr>
              <w:pStyle w:val="Tabletext"/>
              <w:keepNext/>
              <w:jc w:val="center"/>
            </w:pPr>
            <w:r w:rsidRPr="00CC3825">
              <w:t>93/ 1408 (6.6)</w:t>
            </w:r>
          </w:p>
        </w:tc>
        <w:tc>
          <w:tcPr>
            <w:tcW w:w="1239" w:type="pct"/>
            <w:vAlign w:val="center"/>
          </w:tcPr>
          <w:p w:rsidR="004B4968" w:rsidRPr="00CC3825" w:rsidRDefault="004B4968" w:rsidP="00285496">
            <w:pPr>
              <w:pStyle w:val="Tabletext"/>
              <w:keepNext/>
              <w:jc w:val="center"/>
            </w:pPr>
            <w:r w:rsidRPr="00CC3825">
              <w:t>75/ 1408 (5.3)</w:t>
            </w:r>
          </w:p>
        </w:tc>
        <w:tc>
          <w:tcPr>
            <w:tcW w:w="1233" w:type="pct"/>
            <w:vAlign w:val="center"/>
          </w:tcPr>
          <w:p w:rsidR="004B4968" w:rsidRPr="00CC3825" w:rsidRDefault="004B4968" w:rsidP="00285496">
            <w:pPr>
              <w:pStyle w:val="Tabletext"/>
              <w:keepNext/>
              <w:jc w:val="center"/>
            </w:pPr>
            <w:r w:rsidRPr="00CC3825">
              <w:t>1.240 (0.558, 0.796)</w:t>
            </w:r>
          </w:p>
        </w:tc>
      </w:tr>
      <w:tr w:rsidR="004B4968" w:rsidRPr="00CC3825" w:rsidTr="00C21660">
        <w:tc>
          <w:tcPr>
            <w:tcW w:w="1569" w:type="pct"/>
          </w:tcPr>
          <w:p w:rsidR="004B4968" w:rsidRPr="00CC3825" w:rsidRDefault="004B4968" w:rsidP="00285496">
            <w:pPr>
              <w:pStyle w:val="Tabletext"/>
              <w:keepNext/>
            </w:pPr>
            <w:r w:rsidRPr="00CC3825">
              <w:t xml:space="preserve">TEAE Leading to Dose Hold </w:t>
            </w:r>
          </w:p>
        </w:tc>
        <w:tc>
          <w:tcPr>
            <w:tcW w:w="959" w:type="pct"/>
            <w:vAlign w:val="center"/>
          </w:tcPr>
          <w:p w:rsidR="004B4968" w:rsidRPr="00CC3825" w:rsidRDefault="004B4968" w:rsidP="00285496">
            <w:pPr>
              <w:pStyle w:val="Tabletext"/>
              <w:keepNext/>
              <w:jc w:val="center"/>
            </w:pPr>
            <w:r w:rsidRPr="00CC3825">
              <w:t>629/ 1408 (44.7)</w:t>
            </w:r>
          </w:p>
        </w:tc>
        <w:tc>
          <w:tcPr>
            <w:tcW w:w="1239" w:type="pct"/>
            <w:vAlign w:val="center"/>
          </w:tcPr>
          <w:p w:rsidR="004B4968" w:rsidRPr="00CC3825" w:rsidRDefault="004B4968" w:rsidP="00285496">
            <w:pPr>
              <w:pStyle w:val="Tabletext"/>
              <w:keepNext/>
              <w:jc w:val="center"/>
            </w:pPr>
            <w:r w:rsidRPr="00CC3825">
              <w:t>187/ 1408 (13.3)</w:t>
            </w:r>
          </w:p>
        </w:tc>
        <w:tc>
          <w:tcPr>
            <w:tcW w:w="1233" w:type="pct"/>
            <w:vAlign w:val="center"/>
          </w:tcPr>
          <w:p w:rsidR="004B4968" w:rsidRPr="00CC3825" w:rsidRDefault="004B4968" w:rsidP="00285496">
            <w:pPr>
              <w:pStyle w:val="Tabletext"/>
              <w:keepNext/>
              <w:jc w:val="center"/>
              <w:rPr>
                <w:b/>
              </w:rPr>
            </w:pPr>
            <w:r w:rsidRPr="00CC3825">
              <w:rPr>
                <w:b/>
              </w:rPr>
              <w:t>3.364 (2.908, 3.891)</w:t>
            </w:r>
          </w:p>
        </w:tc>
      </w:tr>
    </w:tbl>
    <w:p w:rsidR="004B4968" w:rsidRPr="00CC3825" w:rsidRDefault="004B4968" w:rsidP="00025B3F">
      <w:pPr>
        <w:pStyle w:val="TableFooter"/>
        <w:widowControl/>
      </w:pPr>
      <w:r w:rsidRPr="00CC3825">
        <w:rPr>
          <w:rFonts w:eastAsia="Calibri"/>
        </w:rPr>
        <w:t xml:space="preserve">CI = confidence interval; n = number of participants reporting data; N = total participants in group; RD = risk difference; RR = relative risk; SAE: Serious </w:t>
      </w:r>
      <w:r w:rsidRPr="00CC3825">
        <w:t xml:space="preserve">Treatment-emergent adverse events; </w:t>
      </w:r>
      <w:r w:rsidRPr="00CC3825">
        <w:rPr>
          <w:rFonts w:eastAsia="Calibri"/>
        </w:rPr>
        <w:t xml:space="preserve">TEAE: </w:t>
      </w:r>
      <w:r w:rsidRPr="00CC3825">
        <w:t>Treatment-emergent adverse events</w:t>
      </w:r>
    </w:p>
    <w:p w:rsidR="004B4968" w:rsidRPr="00CC3825" w:rsidRDefault="004B4968" w:rsidP="00025B3F">
      <w:pPr>
        <w:pStyle w:val="TableFooter"/>
        <w:widowControl/>
      </w:pPr>
      <w:r w:rsidRPr="00CC3825">
        <w:rPr>
          <w:b/>
        </w:rPr>
        <w:t>Bold</w:t>
      </w:r>
      <w:r w:rsidRPr="00CC3825">
        <w:t xml:space="preserve"> indicates statistically significant at the 5% level.</w:t>
      </w:r>
    </w:p>
    <w:p w:rsidR="004E7216" w:rsidRPr="00CC3825" w:rsidRDefault="004E7216" w:rsidP="00025B3F">
      <w:pPr>
        <w:pStyle w:val="TableFooter"/>
        <w:widowControl/>
      </w:pPr>
      <w:r w:rsidRPr="00CC3825">
        <w:t>*Values were estimated during the evaluation</w:t>
      </w:r>
    </w:p>
    <w:p w:rsidR="004E7216" w:rsidRPr="004E7216" w:rsidRDefault="004B4968" w:rsidP="00025B3F">
      <w:pPr>
        <w:pStyle w:val="TableFooter"/>
        <w:widowControl/>
      </w:pPr>
      <w:r w:rsidRPr="00CC3825">
        <w:t xml:space="preserve">Source: Table 45, p125 of the resubmission </w:t>
      </w:r>
    </w:p>
    <w:p w:rsidR="004B4968" w:rsidRPr="00BB3215" w:rsidRDefault="004B4968" w:rsidP="00025B3F">
      <w:pPr>
        <w:widowControl/>
      </w:pPr>
    </w:p>
    <w:p w:rsidR="004B4968" w:rsidRPr="00EF5B8F" w:rsidRDefault="004B4968" w:rsidP="00A84C29">
      <w:pPr>
        <w:pStyle w:val="ListParagraph"/>
        <w:widowControl/>
        <w:numPr>
          <w:ilvl w:val="1"/>
          <w:numId w:val="5"/>
        </w:numPr>
      </w:pPr>
      <w:r w:rsidRPr="00EF5B8F">
        <w:t xml:space="preserve">The ESC </w:t>
      </w:r>
      <w:r w:rsidR="002E23CF" w:rsidRPr="00EF5B8F">
        <w:t xml:space="preserve">previously </w:t>
      </w:r>
      <w:r w:rsidRPr="00EF5B8F">
        <w:t xml:space="preserve">noted that ‘the AE data show a clear pattern of increased risk of serious treatment related TEAE, including those leading to withdrawal/dose reduction. The toxicity level of neratinib was high, especially in terms of diarrhoea’ </w:t>
      </w:r>
      <w:r w:rsidR="00C21660" w:rsidRPr="00EF5B8F">
        <w:t>(</w:t>
      </w:r>
      <w:r w:rsidR="00AE687F">
        <w:t>paragraph 6.32, n</w:t>
      </w:r>
      <w:r w:rsidR="00C21660" w:rsidRPr="00EF5B8F">
        <w:t>eratinib PSD, March 2019)</w:t>
      </w:r>
      <w:r w:rsidRPr="00EF5B8F">
        <w:t xml:space="preserve">. </w:t>
      </w:r>
    </w:p>
    <w:p w:rsidR="004B4968" w:rsidRPr="00EF5B8F" w:rsidRDefault="004B4968" w:rsidP="00A84C29">
      <w:pPr>
        <w:pStyle w:val="ListParagraph"/>
        <w:widowControl/>
        <w:numPr>
          <w:ilvl w:val="1"/>
          <w:numId w:val="5"/>
        </w:numPr>
      </w:pPr>
      <w:r w:rsidRPr="00EF5B8F">
        <w:t xml:space="preserve">The ESC also </w:t>
      </w:r>
      <w:r w:rsidR="002E23CF" w:rsidRPr="00EF5B8F">
        <w:t xml:space="preserve">previously </w:t>
      </w:r>
      <w:r w:rsidRPr="00EF5B8F">
        <w:t xml:space="preserve">noted the ExteNET trial excluded patients with significant gastroenterological conditions with a primary symptom of diarrhoea, including any Grade ≥2 diarrhoea. Although diarrhoea is an adverse event for other </w:t>
      </w:r>
      <w:r w:rsidR="00531D3C" w:rsidRPr="00EF5B8F">
        <w:t xml:space="preserve">treatments </w:t>
      </w:r>
      <w:r w:rsidRPr="00EF5B8F">
        <w:t xml:space="preserve">used in eBC, such as pertuzumab and trastuzumab, the ESC considered that the severe diarrhoea experienced by patients treated with neratinib trial will impact on the attrition levels in clinical practice and therefore on treatment effectiveness </w:t>
      </w:r>
      <w:r w:rsidR="00C21660" w:rsidRPr="00EF5B8F">
        <w:t>(</w:t>
      </w:r>
      <w:r w:rsidR="00AE687F">
        <w:t>paragraph 6.32, n</w:t>
      </w:r>
      <w:r w:rsidR="00C21660" w:rsidRPr="00EF5B8F">
        <w:t>eratinib PSD, March 2019)</w:t>
      </w:r>
      <w:r w:rsidRPr="00EF5B8F">
        <w:t xml:space="preserve">. </w:t>
      </w:r>
    </w:p>
    <w:p w:rsidR="004B4968" w:rsidRPr="00EF5B8F" w:rsidRDefault="004B4968" w:rsidP="00A84C29">
      <w:pPr>
        <w:pStyle w:val="ListParagraph"/>
        <w:widowControl/>
        <w:numPr>
          <w:ilvl w:val="1"/>
          <w:numId w:val="5"/>
        </w:numPr>
      </w:pPr>
      <w:r w:rsidRPr="00EF5B8F">
        <w:t xml:space="preserve">The PBAC </w:t>
      </w:r>
      <w:r w:rsidR="004B6333" w:rsidRPr="00EF5B8F">
        <w:t xml:space="preserve">previously </w:t>
      </w:r>
      <w:r w:rsidRPr="00EF5B8F">
        <w:t>noted that ‘for patients treated with neratinib 30% had a dose reduction, 44% had a dose hold and 27% discontinued treatment’</w:t>
      </w:r>
      <w:r w:rsidR="004B6333" w:rsidRPr="00EF5B8F">
        <w:t xml:space="preserve"> and</w:t>
      </w:r>
      <w:r w:rsidRPr="00EF5B8F">
        <w:t xml:space="preserve"> considered that </w:t>
      </w:r>
      <w:r w:rsidRPr="00EF5B8F">
        <w:lastRenderedPageBreak/>
        <w:t xml:space="preserve">‘there would be some reduction in diarrhoea with loperamide prophylaxis, however neratinib would remain a difficult drug to manage in practice due to its toxicity’ </w:t>
      </w:r>
      <w:r w:rsidR="00C21660" w:rsidRPr="00EF5B8F">
        <w:t>(</w:t>
      </w:r>
      <w:r w:rsidR="00AE687F">
        <w:t>paragraph 6.32, n</w:t>
      </w:r>
      <w:r w:rsidR="00C21660" w:rsidRPr="00EF5B8F">
        <w:t>eratinib PSD, March 2019)</w:t>
      </w:r>
      <w:r w:rsidRPr="00EF5B8F">
        <w:t>.</w:t>
      </w:r>
    </w:p>
    <w:p w:rsidR="005E7FC3" w:rsidRPr="00EF5B8F" w:rsidRDefault="005E7FC3" w:rsidP="00A84C29">
      <w:pPr>
        <w:pStyle w:val="ListParagraph"/>
        <w:widowControl/>
        <w:numPr>
          <w:ilvl w:val="1"/>
          <w:numId w:val="5"/>
        </w:numPr>
      </w:pPr>
      <w:r w:rsidRPr="00EF5B8F">
        <w:rPr>
          <w:iCs/>
          <w:lang w:eastAsia="en-AU"/>
        </w:rPr>
        <w:t>Diarrhoea was a common adverse event for patients with eBC who were treated with pertuzumab, trastuzumab or neratinib. However, more patients treated with neratinib experienced grade 3 or 4 diarrhoea in the ExteNET trial compared with patients treated with Ptz+T+Chemo in the APHINITY trial. The relative risk was statistically significant (RR=9.319, CI: 4.498, 19.310) and the odds ratio was also statistically significant (OR=14.292, CI:</w:t>
      </w:r>
      <w:r w:rsidR="002107C9">
        <w:rPr>
          <w:iCs/>
          <w:lang w:eastAsia="en-AU"/>
        </w:rPr>
        <w:t xml:space="preserve"> </w:t>
      </w:r>
      <w:r w:rsidRPr="00EF5B8F">
        <w:rPr>
          <w:iCs/>
          <w:lang w:eastAsia="en-AU"/>
        </w:rPr>
        <w:t>8.722, 23.419).</w:t>
      </w:r>
      <w:r w:rsidR="007473CB" w:rsidRPr="00EF5B8F">
        <w:rPr>
          <w:iCs/>
          <w:lang w:eastAsia="en-AU"/>
        </w:rPr>
        <w:t xml:space="preserve"> The PSCR argued that the multiple cohort CONTROL study demonstrated that the use of prophylactic loperamide reduced the incidence, duration, and severity of diarrhoea. The ESC noted </w:t>
      </w:r>
      <w:r w:rsidR="00815401" w:rsidRPr="00EF5B8F">
        <w:rPr>
          <w:iCs/>
          <w:lang w:eastAsia="en-AU"/>
        </w:rPr>
        <w:t xml:space="preserve">the CONTROL trial was presented in the previous consideration and maintained the view </w:t>
      </w:r>
      <w:r w:rsidR="007473CB" w:rsidRPr="00EF5B8F">
        <w:rPr>
          <w:iCs/>
          <w:lang w:eastAsia="en-AU"/>
        </w:rPr>
        <w:t>that the results of the CONTROL trial should be interpreted with caution as the risk of bias may be high due to it being an open label trial.</w:t>
      </w:r>
      <w:r w:rsidR="00D51D55" w:rsidRPr="00EF5B8F">
        <w:rPr>
          <w:iCs/>
          <w:lang w:eastAsia="en-AU"/>
        </w:rPr>
        <w:t xml:space="preserve"> The ESC noted that loperamide was not allowed in the ExteNET trial and considered that in clinical practice, loperamide </w:t>
      </w:r>
      <w:r w:rsidR="00802654">
        <w:rPr>
          <w:iCs/>
          <w:lang w:eastAsia="en-AU"/>
        </w:rPr>
        <w:t>may</w:t>
      </w:r>
      <w:r w:rsidR="00802654" w:rsidRPr="00EF5B8F">
        <w:rPr>
          <w:iCs/>
          <w:lang w:eastAsia="en-AU"/>
        </w:rPr>
        <w:t xml:space="preserve"> </w:t>
      </w:r>
      <w:r w:rsidR="00D51D55" w:rsidRPr="00EF5B8F">
        <w:rPr>
          <w:iCs/>
          <w:lang w:eastAsia="en-AU"/>
        </w:rPr>
        <w:t xml:space="preserve">not be </w:t>
      </w:r>
      <w:r w:rsidR="009F7C99" w:rsidRPr="00EF5B8F">
        <w:rPr>
          <w:iCs/>
          <w:lang w:eastAsia="en-AU"/>
        </w:rPr>
        <w:t xml:space="preserve">sufficient </w:t>
      </w:r>
      <w:r w:rsidR="00D51D55" w:rsidRPr="00EF5B8F">
        <w:rPr>
          <w:iCs/>
          <w:lang w:eastAsia="en-AU"/>
        </w:rPr>
        <w:t>to manage the severity of grade 3 or 4 diarrhoea.</w:t>
      </w:r>
      <w:r w:rsidR="00815401" w:rsidRPr="00EF5B8F">
        <w:rPr>
          <w:iCs/>
          <w:lang w:eastAsia="en-AU"/>
        </w:rPr>
        <w:t xml:space="preserve"> </w:t>
      </w:r>
      <w:r w:rsidR="00C36706">
        <w:rPr>
          <w:iCs/>
          <w:lang w:eastAsia="en-AU"/>
        </w:rPr>
        <w:t xml:space="preserve">The PBAC noted in the consumer comments that prophylactic anti-diarrhoeal medication, together with dose escalation within the current patient access program has helped to manage the adverse events associated with neratinib. </w:t>
      </w:r>
    </w:p>
    <w:p w:rsidR="004B4968" w:rsidRPr="00BB3215" w:rsidRDefault="004B4968" w:rsidP="00025B3F">
      <w:pPr>
        <w:pStyle w:val="ListParagraph"/>
        <w:widowControl/>
        <w:spacing w:after="0"/>
        <w:ind w:left="0"/>
      </w:pPr>
    </w:p>
    <w:p w:rsidR="004B4968" w:rsidRPr="00BB3215" w:rsidRDefault="004B4968" w:rsidP="00025B3F">
      <w:pPr>
        <w:pStyle w:val="Heading2"/>
        <w:widowControl/>
      </w:pPr>
      <w:bookmarkStart w:id="15" w:name="_Toc18935811"/>
      <w:r w:rsidRPr="00BB3215">
        <w:t>Benefits/harms</w:t>
      </w:r>
      <w:bookmarkEnd w:id="15"/>
    </w:p>
    <w:p w:rsidR="004B4968" w:rsidRPr="00BB3215" w:rsidRDefault="004B4968" w:rsidP="00025B3F">
      <w:pPr>
        <w:widowControl/>
      </w:pPr>
    </w:p>
    <w:p w:rsidR="004B4968" w:rsidRPr="00BB3215" w:rsidRDefault="004B4968" w:rsidP="00A84C29">
      <w:pPr>
        <w:pStyle w:val="ListParagraph"/>
        <w:widowControl/>
        <w:numPr>
          <w:ilvl w:val="1"/>
          <w:numId w:val="5"/>
        </w:numPr>
      </w:pPr>
      <w:r w:rsidRPr="00BB3215">
        <w:t xml:space="preserve">A summary of the comparative benefits and harms for neratinib versus </w:t>
      </w:r>
      <w:r w:rsidR="000D534A">
        <w:t>placebo is presented in Table 10</w:t>
      </w:r>
      <w:r w:rsidRPr="00BB3215">
        <w:t>.</w:t>
      </w:r>
      <w:r w:rsidRPr="00BB3215">
        <w:rPr>
          <w:i/>
          <w:iCs/>
        </w:rPr>
        <w:t xml:space="preserve"> </w:t>
      </w:r>
      <w:r w:rsidRPr="001C3E6B">
        <w:rPr>
          <w:iCs/>
        </w:rPr>
        <w:t xml:space="preserve">This is unchanged from the </w:t>
      </w:r>
      <w:r w:rsidR="00531D3C" w:rsidRPr="001C3E6B">
        <w:rPr>
          <w:iCs/>
        </w:rPr>
        <w:t xml:space="preserve">March 2019 </w:t>
      </w:r>
      <w:r w:rsidRPr="001C3E6B">
        <w:rPr>
          <w:iCs/>
        </w:rPr>
        <w:t>submission</w:t>
      </w:r>
      <w:r w:rsidRPr="00BB3215">
        <w:rPr>
          <w:i/>
          <w:iCs/>
        </w:rPr>
        <w:t xml:space="preserve">. </w:t>
      </w:r>
    </w:p>
    <w:p w:rsidR="004B4968" w:rsidRPr="00CC3825" w:rsidRDefault="004B4968" w:rsidP="00025B3F">
      <w:pPr>
        <w:keepNext/>
        <w:keepLines/>
        <w:widowControl/>
        <w:jc w:val="left"/>
        <w:rPr>
          <w:rFonts w:ascii="Arial Narrow" w:hAnsi="Arial Narrow"/>
          <w:b/>
          <w:sz w:val="20"/>
          <w:szCs w:val="16"/>
        </w:rPr>
      </w:pPr>
      <w:r w:rsidRPr="00CC3825">
        <w:rPr>
          <w:rFonts w:ascii="Arial Narrow" w:hAnsi="Arial Narrow"/>
          <w:b/>
          <w:sz w:val="20"/>
          <w:szCs w:val="16"/>
        </w:rPr>
        <w:lastRenderedPageBreak/>
        <w:t>Table 1</w:t>
      </w:r>
      <w:r w:rsidR="000D534A" w:rsidRPr="00CC3825">
        <w:rPr>
          <w:rFonts w:ascii="Arial Narrow" w:hAnsi="Arial Narrow"/>
          <w:b/>
          <w:sz w:val="20"/>
          <w:szCs w:val="16"/>
        </w:rPr>
        <w:t>0</w:t>
      </w:r>
      <w:r w:rsidRPr="00CC3825">
        <w:rPr>
          <w:rFonts w:ascii="Arial Narrow" w:hAnsi="Arial Narrow"/>
          <w:b/>
          <w:sz w:val="20"/>
          <w:szCs w:val="16"/>
        </w:rPr>
        <w:t>: Summary of comparative benefits and harms for neratinib and placebo</w:t>
      </w:r>
    </w:p>
    <w:tbl>
      <w:tblPr>
        <w:tblW w:w="5000" w:type="pct"/>
        <w:tblCellMar>
          <w:left w:w="28" w:type="dxa"/>
          <w:right w:w="28" w:type="dxa"/>
        </w:tblCellMar>
        <w:tblLook w:val="04A0" w:firstRow="1" w:lastRow="0" w:firstColumn="1" w:lastColumn="0" w:noHBand="0" w:noVBand="1"/>
      </w:tblPr>
      <w:tblGrid>
        <w:gridCol w:w="2060"/>
        <w:gridCol w:w="1228"/>
        <w:gridCol w:w="372"/>
        <w:gridCol w:w="370"/>
        <w:gridCol w:w="1244"/>
        <w:gridCol w:w="1827"/>
        <w:gridCol w:w="343"/>
        <w:gridCol w:w="343"/>
        <w:gridCol w:w="1230"/>
      </w:tblGrid>
      <w:tr w:rsidR="004B4968" w:rsidRPr="00CC3825" w:rsidTr="00C21660">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b/>
                <w:color w:val="000000"/>
                <w:sz w:val="20"/>
                <w:szCs w:val="20"/>
              </w:rPr>
            </w:pPr>
            <w:r w:rsidRPr="00CC3825">
              <w:rPr>
                <w:rFonts w:ascii="Arial Narrow" w:hAnsi="Arial Narrow"/>
                <w:b/>
                <w:color w:val="000000"/>
                <w:sz w:val="20"/>
                <w:szCs w:val="20"/>
              </w:rPr>
              <w:t>iDFS at 2 years (7 July 2014) (at 2 years)</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Neratinib</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Placebo</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Absolute difference</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HR (95% CI)</w:t>
            </w:r>
          </w:p>
        </w:tc>
      </w:tr>
      <w:tr w:rsidR="004B4968" w:rsidRPr="00CC3825" w:rsidTr="00C216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left"/>
              <w:rPr>
                <w:rFonts w:ascii="Arial Narrow" w:hAnsi="Arial Narrow"/>
                <w:sz w:val="20"/>
                <w:szCs w:val="20"/>
              </w:rPr>
            </w:pPr>
            <w:r w:rsidRPr="00CC3825">
              <w:rPr>
                <w:rFonts w:ascii="Arial Narrow" w:hAnsi="Arial Narrow"/>
                <w:b/>
                <w:color w:val="000000"/>
                <w:sz w:val="20"/>
                <w:szCs w:val="20"/>
              </w:rPr>
              <w:t>iDFS (ITT population)</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iDFS, % (95% CI)</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t>94.2 (92.6, 95.4)</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rPr>
                <w:rStyle w:val="Emphasis"/>
                <w:i w:val="0"/>
              </w:rPr>
              <w:t>91.9 (90.2, 93.2)</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2.3%</w:t>
            </w:r>
          </w:p>
        </w:tc>
        <w:tc>
          <w:tcPr>
            <w:tcW w:w="872" w:type="pct"/>
            <w:gridSpan w:val="2"/>
            <w:vMerge w:val="restart"/>
            <w:tcBorders>
              <w:top w:val="single" w:sz="4" w:space="0" w:color="auto"/>
              <w:left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rPr>
                <w:szCs w:val="20"/>
              </w:rPr>
              <w:t>0.66 (0.49,0.90)</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Median iDFS (months)</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872" w:type="pct"/>
            <w:gridSpan w:val="2"/>
            <w:vMerge/>
            <w:tcBorders>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p>
        </w:tc>
      </w:tr>
      <w:tr w:rsidR="004B4968" w:rsidRPr="00CC3825" w:rsidTr="00C216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left"/>
              <w:rPr>
                <w:rFonts w:ascii="Arial Narrow" w:hAnsi="Arial Narrow"/>
                <w:sz w:val="20"/>
                <w:szCs w:val="20"/>
              </w:rPr>
            </w:pPr>
            <w:r w:rsidRPr="00CC3825">
              <w:rPr>
                <w:rFonts w:ascii="Arial Narrow" w:hAnsi="Arial Narrow"/>
                <w:b/>
                <w:color w:val="000000"/>
                <w:sz w:val="20"/>
                <w:szCs w:val="20"/>
              </w:rPr>
              <w:t>iDFS (aITT)</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iDFS, % (95% CI)</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t>93.1 (91.1,94.7)</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t>90.1 (87.9,92.0)</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3.0%</w:t>
            </w:r>
          </w:p>
        </w:tc>
        <w:tc>
          <w:tcPr>
            <w:tcW w:w="872" w:type="pct"/>
            <w:gridSpan w:val="2"/>
            <w:vMerge w:val="restart"/>
            <w:tcBorders>
              <w:top w:val="single" w:sz="4" w:space="0" w:color="auto"/>
              <w:left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rPr>
                <w:szCs w:val="20"/>
              </w:rPr>
              <w:t>0.65 (0.46, 0.92)</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Median iDFS (months)</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NA</w:t>
            </w:r>
          </w:p>
        </w:tc>
        <w:tc>
          <w:tcPr>
            <w:tcW w:w="872" w:type="pct"/>
            <w:gridSpan w:val="2"/>
            <w:vMerge/>
            <w:tcBorders>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p>
        </w:tc>
      </w:tr>
      <w:tr w:rsidR="004B4968" w:rsidRPr="00CC3825" w:rsidTr="00C216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left"/>
              <w:rPr>
                <w:rFonts w:ascii="Arial Narrow" w:hAnsi="Arial Narrow"/>
                <w:b/>
                <w:color w:val="000000"/>
                <w:sz w:val="20"/>
                <w:szCs w:val="20"/>
              </w:rPr>
            </w:pPr>
            <w:r w:rsidRPr="00CC3825">
              <w:rPr>
                <w:rFonts w:ascii="Arial Narrow" w:hAnsi="Arial Narrow"/>
                <w:b/>
                <w:color w:val="000000"/>
                <w:sz w:val="20"/>
                <w:szCs w:val="20"/>
              </w:rPr>
              <w:t>iDFS (Centrally confirmed ERBB2-positive)</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iDFS, % (95% CI)</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t>94.9 (92.8,96.3)</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t>90.9 (88.5,92.9)</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4.0%</w:t>
            </w:r>
          </w:p>
        </w:tc>
        <w:tc>
          <w:tcPr>
            <w:tcW w:w="872" w:type="pct"/>
            <w:gridSpan w:val="2"/>
            <w:vMerge w:val="restart"/>
            <w:tcBorders>
              <w:top w:val="single" w:sz="4" w:space="0" w:color="auto"/>
              <w:left w:val="single" w:sz="4" w:space="0" w:color="auto"/>
              <w:right w:val="single" w:sz="4" w:space="0" w:color="auto"/>
            </w:tcBorders>
            <w:vAlign w:val="center"/>
          </w:tcPr>
          <w:p w:rsidR="004B4968" w:rsidRPr="00CC3825" w:rsidRDefault="004B4968" w:rsidP="00025B3F">
            <w:pPr>
              <w:pStyle w:val="Tabletext"/>
              <w:keepNext/>
              <w:keepLines/>
              <w:jc w:val="center"/>
              <w:rPr>
                <w:szCs w:val="20"/>
              </w:rPr>
            </w:pPr>
            <w:r w:rsidRPr="00CC3825">
              <w:rPr>
                <w:szCs w:val="20"/>
              </w:rPr>
              <w:t>0.51 (0.33,0.78)</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Median iDFS (months)</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NA</w:t>
            </w:r>
          </w:p>
        </w:tc>
        <w:tc>
          <w:tcPr>
            <w:tcW w:w="872" w:type="pct"/>
            <w:gridSpan w:val="2"/>
            <w:vMerge/>
            <w:tcBorders>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color w:val="000000"/>
                <w:sz w:val="20"/>
                <w:szCs w:val="20"/>
              </w:rPr>
            </w:pPr>
          </w:p>
        </w:tc>
      </w:tr>
      <w:tr w:rsidR="004B4968" w:rsidRPr="00CC3825" w:rsidTr="00C216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left"/>
              <w:rPr>
                <w:rFonts w:ascii="Arial Narrow" w:hAnsi="Arial Narrow"/>
                <w:b/>
                <w:color w:val="000000"/>
                <w:sz w:val="20"/>
                <w:szCs w:val="20"/>
              </w:rPr>
            </w:pPr>
            <w:r w:rsidRPr="00CC3825">
              <w:rPr>
                <w:rFonts w:ascii="Arial Narrow" w:hAnsi="Arial Narrow"/>
                <w:b/>
                <w:color w:val="000000"/>
                <w:sz w:val="20"/>
                <w:szCs w:val="20"/>
              </w:rPr>
              <w:t>iDFS (HR+)</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iDFS, % (95% CI)</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pPr>
            <w:r w:rsidRPr="00CC3825">
              <w:t>95.6 (93.8,96.9)</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pStyle w:val="Tabletext"/>
              <w:keepNext/>
              <w:keepLines/>
              <w:jc w:val="center"/>
            </w:pPr>
            <w:r w:rsidRPr="00CC3825">
              <w:t>91.5 (89.2,93.3)</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4.1%</w:t>
            </w:r>
          </w:p>
        </w:tc>
        <w:tc>
          <w:tcPr>
            <w:tcW w:w="872" w:type="pct"/>
            <w:gridSpan w:val="2"/>
            <w:vMerge w:val="restart"/>
            <w:tcBorders>
              <w:left w:val="single" w:sz="4" w:space="0" w:color="auto"/>
              <w:right w:val="single" w:sz="4" w:space="0" w:color="auto"/>
            </w:tcBorders>
            <w:vAlign w:val="center"/>
          </w:tcPr>
          <w:p w:rsidR="004B4968" w:rsidRPr="00CC3825" w:rsidRDefault="004B4968" w:rsidP="00025B3F">
            <w:pPr>
              <w:keepNext/>
              <w:keepLines/>
              <w:widowControl/>
              <w:autoSpaceDE w:val="0"/>
              <w:autoSpaceDN w:val="0"/>
              <w:adjustRightInd w:val="0"/>
              <w:jc w:val="center"/>
              <w:rPr>
                <w:rFonts w:ascii="Arial Narrow" w:hAnsi="Arial Narrow"/>
                <w:color w:val="000000"/>
                <w:sz w:val="20"/>
                <w:szCs w:val="20"/>
              </w:rPr>
            </w:pPr>
            <w:r w:rsidRPr="00CC3825">
              <w:rPr>
                <w:rFonts w:ascii="Arial Narrow" w:hAnsi="Arial Narrow" w:cs="Times New Roman"/>
                <w:snapToGrid/>
                <w:sz w:val="20"/>
                <w:szCs w:val="20"/>
              </w:rPr>
              <w:t xml:space="preserve">0.49 </w:t>
            </w:r>
            <w:r w:rsidRPr="00CC3825">
              <w:rPr>
                <w:rFonts w:ascii="Arial Narrow" w:hAnsi="Arial Narrow"/>
                <w:sz w:val="20"/>
                <w:szCs w:val="20"/>
              </w:rPr>
              <w:t>(0.31,0.75)</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color w:val="000000"/>
                <w:sz w:val="20"/>
                <w:szCs w:val="20"/>
              </w:rPr>
              <w:t>Median (months)</w:t>
            </w:r>
          </w:p>
        </w:tc>
        <w:tc>
          <w:tcPr>
            <w:tcW w:w="887"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NA</w:t>
            </w:r>
          </w:p>
        </w:tc>
        <w:tc>
          <w:tcPr>
            <w:tcW w:w="872" w:type="pct"/>
            <w:gridSpan w:val="2"/>
            <w:vMerge/>
            <w:tcBorders>
              <w:left w:val="single" w:sz="4" w:space="0" w:color="auto"/>
              <w:bottom w:val="single" w:sz="4" w:space="0" w:color="auto"/>
              <w:right w:val="single" w:sz="4" w:space="0" w:color="auto"/>
            </w:tcBorders>
            <w:vAlign w:val="center"/>
          </w:tcPr>
          <w:p w:rsidR="004B4968" w:rsidRPr="00CC3825" w:rsidRDefault="004B4968" w:rsidP="00025B3F">
            <w:pPr>
              <w:keepNext/>
              <w:keepLines/>
              <w:widowControl/>
              <w:jc w:val="center"/>
              <w:rPr>
                <w:rFonts w:ascii="Arial Narrow" w:hAnsi="Arial Narrow"/>
                <w:color w:val="000000"/>
                <w:sz w:val="20"/>
                <w:szCs w:val="20"/>
              </w:rPr>
            </w:pPr>
          </w:p>
        </w:tc>
      </w:tr>
      <w:tr w:rsidR="004B4968" w:rsidRPr="00CC3825" w:rsidTr="00C21660">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b/>
                <w:color w:val="000000"/>
                <w:sz w:val="20"/>
                <w:szCs w:val="20"/>
              </w:rPr>
            </w:pPr>
            <w:r w:rsidRPr="00CC3825">
              <w:rPr>
                <w:rFonts w:ascii="Arial Narrow" w:hAnsi="Arial Narrow"/>
                <w:b/>
                <w:color w:val="000000"/>
                <w:sz w:val="20"/>
                <w:szCs w:val="20"/>
              </w:rPr>
              <w:t>Harms</w:t>
            </w:r>
          </w:p>
        </w:tc>
      </w:tr>
      <w:tr w:rsidR="004B4968" w:rsidRPr="00CC3825" w:rsidTr="00C21660">
        <w:trPr>
          <w:trHeight w:val="70"/>
        </w:trPr>
        <w:tc>
          <w:tcPr>
            <w:tcW w:w="11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b/>
                <w:color w:val="000000"/>
                <w:sz w:val="20"/>
                <w:szCs w:val="20"/>
              </w:rPr>
            </w:pP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Neratinib</w:t>
            </w:r>
          </w:p>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n/N (%)</w:t>
            </w: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Placebo</w:t>
            </w:r>
          </w:p>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n/N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RR</w:t>
            </w:r>
          </w:p>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(95% CI)</w:t>
            </w:r>
          </w:p>
        </w:tc>
        <w:tc>
          <w:tcPr>
            <w:tcW w:w="13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 xml:space="preserve">Event rate/100 patients* </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RD</w:t>
            </w:r>
          </w:p>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(95% CI)</w:t>
            </w:r>
          </w:p>
        </w:tc>
      </w:tr>
      <w:tr w:rsidR="004B4968" w:rsidRPr="00CC3825" w:rsidTr="00C21660">
        <w:trPr>
          <w:trHeight w:val="390"/>
        </w:trPr>
        <w:tc>
          <w:tcPr>
            <w:tcW w:w="114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b/>
                <w:color w:val="000000"/>
                <w:sz w:val="20"/>
                <w:szCs w:val="20"/>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p>
        </w:tc>
        <w:tc>
          <w:tcPr>
            <w:tcW w:w="4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p>
        </w:tc>
        <w:tc>
          <w:tcPr>
            <w:tcW w:w="6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Neratinib</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r w:rsidRPr="00CC3825">
              <w:rPr>
                <w:rFonts w:ascii="Arial Narrow" w:hAnsi="Arial Narrow"/>
                <w:b/>
                <w:color w:val="000000"/>
                <w:sz w:val="20"/>
                <w:szCs w:val="20"/>
              </w:rPr>
              <w:t>Placebo</w:t>
            </w: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b/>
                <w:color w:val="000000"/>
                <w:sz w:val="20"/>
                <w:szCs w:val="20"/>
              </w:rPr>
            </w:pP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left"/>
              <w:rPr>
                <w:rFonts w:ascii="Arial Narrow" w:hAnsi="Arial Narrow"/>
                <w:color w:val="000000"/>
                <w:sz w:val="20"/>
                <w:szCs w:val="20"/>
              </w:rPr>
            </w:pPr>
            <w:r w:rsidRPr="00CC3825">
              <w:rPr>
                <w:rFonts w:ascii="Arial Narrow" w:hAnsi="Arial Narrow"/>
                <w:b/>
                <w:color w:val="000000"/>
                <w:sz w:val="20"/>
                <w:szCs w:val="20"/>
              </w:rPr>
              <w:t>Grade ≥3 TEAE</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700/1408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 xml:space="preserve">(49.7) </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184/1408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(13.1)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3.804</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(3.292,4.396)</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49.7</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13.1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36.6%</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(33.5%, 39.8%)</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b/>
                <w:color w:val="000000"/>
                <w:sz w:val="20"/>
                <w:szCs w:val="20"/>
              </w:rPr>
              <w:t>SAE</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103/1408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 xml:space="preserve">(7.3) </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85/1408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(6.0)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1.212</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 xml:space="preserve"> (0.918, 1.599)</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7.3</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6.0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1.3%</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(-0.6%, 3.1%)</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rPr>
                <w:rFonts w:ascii="Arial Narrow" w:hAnsi="Arial Narrow"/>
                <w:color w:val="000000"/>
                <w:sz w:val="20"/>
                <w:szCs w:val="20"/>
              </w:rPr>
            </w:pPr>
            <w:r w:rsidRPr="00CC3825">
              <w:rPr>
                <w:rFonts w:ascii="Arial Narrow" w:hAnsi="Arial Narrow"/>
                <w:b/>
                <w:color w:val="000000"/>
                <w:sz w:val="20"/>
                <w:szCs w:val="20"/>
              </w:rPr>
              <w:t>Any grade diarrhoea</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1343/1408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 xml:space="preserve">(95.4) </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499/1408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(35.4)</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2.691</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(2.506, 2.891)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95.4</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35.4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59.9%</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(57.2%, 62.7%)</w:t>
            </w:r>
          </w:p>
        </w:tc>
      </w:tr>
      <w:tr w:rsidR="004B4968" w:rsidRPr="00CC3825" w:rsidTr="00C21660">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D00BEF">
            <w:pPr>
              <w:keepNext/>
              <w:keepLines/>
              <w:widowControl/>
              <w:jc w:val="left"/>
              <w:rPr>
                <w:rFonts w:ascii="Arial Narrow" w:hAnsi="Arial Narrow"/>
                <w:color w:val="000000"/>
                <w:sz w:val="20"/>
                <w:szCs w:val="20"/>
              </w:rPr>
            </w:pPr>
            <w:r w:rsidRPr="00CC3825">
              <w:rPr>
                <w:rFonts w:ascii="Arial Narrow" w:hAnsi="Arial Narrow"/>
                <w:b/>
                <w:sz w:val="20"/>
                <w:szCs w:val="20"/>
              </w:rPr>
              <w:t>Any Grade 3 or 4 diarrhoea</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562 /408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(39.9)</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sz w:val="20"/>
                <w:szCs w:val="20"/>
              </w:rPr>
            </w:pPr>
            <w:r w:rsidRPr="00CC3825">
              <w:rPr>
                <w:rFonts w:ascii="Arial Narrow" w:hAnsi="Arial Narrow"/>
                <w:sz w:val="20"/>
                <w:szCs w:val="20"/>
              </w:rPr>
              <w:t>23/1408</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(1.6)</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24.435</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(16.210, 36.832)</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39.9</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sz w:val="20"/>
                <w:szCs w:val="20"/>
              </w:rPr>
              <w:t>1.6</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38.3%</w:t>
            </w:r>
          </w:p>
          <w:p w:rsidR="004B4968" w:rsidRPr="00CC3825" w:rsidRDefault="004B4968" w:rsidP="00025B3F">
            <w:pPr>
              <w:keepNext/>
              <w:keepLines/>
              <w:widowControl/>
              <w:jc w:val="center"/>
              <w:rPr>
                <w:rFonts w:ascii="Arial Narrow" w:hAnsi="Arial Narrow"/>
                <w:color w:val="000000"/>
                <w:sz w:val="20"/>
                <w:szCs w:val="20"/>
              </w:rPr>
            </w:pPr>
            <w:r w:rsidRPr="00CC3825">
              <w:rPr>
                <w:rFonts w:ascii="Arial Narrow" w:hAnsi="Arial Narrow"/>
                <w:color w:val="000000"/>
                <w:sz w:val="20"/>
                <w:szCs w:val="20"/>
              </w:rPr>
              <w:t>(35.6%, 40.9%)</w:t>
            </w:r>
          </w:p>
        </w:tc>
      </w:tr>
    </w:tbl>
    <w:p w:rsidR="004B4968" w:rsidRPr="00CC3825" w:rsidRDefault="004B4968" w:rsidP="00025B3F">
      <w:pPr>
        <w:pStyle w:val="Tabletext"/>
        <w:rPr>
          <w:sz w:val="18"/>
          <w:szCs w:val="18"/>
        </w:rPr>
      </w:pPr>
      <w:r w:rsidRPr="00CC3825">
        <w:rPr>
          <w:rFonts w:eastAsia="Calibri"/>
          <w:sz w:val="18"/>
          <w:szCs w:val="18"/>
        </w:rPr>
        <w:t xml:space="preserve">CI = confidence interval; n = number of participants reporting data; N = total participants in group; NR: not relevant; </w:t>
      </w:r>
      <w:r w:rsidRPr="00CC3825">
        <w:rPr>
          <w:sz w:val="18"/>
          <w:szCs w:val="18"/>
        </w:rPr>
        <w:t xml:space="preserve">iDFS: invasive disease-free survival; HR+: hormonal receptor positive; HR-: hormonal receptor negative; HR: relative risk; </w:t>
      </w:r>
    </w:p>
    <w:p w:rsidR="004B4968" w:rsidRPr="001C3E6B" w:rsidRDefault="004B4968" w:rsidP="00025B3F">
      <w:pPr>
        <w:pStyle w:val="TableFooter"/>
        <w:widowControl/>
        <w:rPr>
          <w:szCs w:val="18"/>
        </w:rPr>
      </w:pPr>
      <w:r w:rsidRPr="00CC3825">
        <w:rPr>
          <w:szCs w:val="18"/>
        </w:rPr>
        <w:t xml:space="preserve">Source: Compiled during the evaluation. Table 19, p121 of the CSR; based on Table 19, p121 of the CSR; Figure 34, p137 of the resubmission; </w:t>
      </w:r>
      <w:r w:rsidRPr="00CC3825">
        <w:rPr>
          <w:iCs/>
          <w:szCs w:val="18"/>
        </w:rPr>
        <w:t xml:space="preserve">Table 45, p125 of the resubmission; Table 46, p126 of the submission; Table 47, p127 of the </w:t>
      </w:r>
      <w:r w:rsidR="00C21660" w:rsidRPr="00CC3825">
        <w:rPr>
          <w:iCs/>
          <w:szCs w:val="18"/>
        </w:rPr>
        <w:t>re</w:t>
      </w:r>
      <w:r w:rsidRPr="00CC3825">
        <w:rPr>
          <w:iCs/>
          <w:szCs w:val="18"/>
        </w:rPr>
        <w:t>submission</w:t>
      </w:r>
    </w:p>
    <w:p w:rsidR="004B4968" w:rsidRPr="00BB3215" w:rsidRDefault="004B4968" w:rsidP="00025B3F">
      <w:pPr>
        <w:widowControl/>
      </w:pPr>
    </w:p>
    <w:p w:rsidR="004B4968" w:rsidRPr="00CC3825" w:rsidRDefault="004B4968" w:rsidP="00A84C29">
      <w:pPr>
        <w:pStyle w:val="ListParagraph"/>
        <w:widowControl/>
        <w:numPr>
          <w:ilvl w:val="1"/>
          <w:numId w:val="5"/>
        </w:numPr>
        <w:spacing w:after="0"/>
      </w:pPr>
      <w:r w:rsidRPr="00CC3825">
        <w:t xml:space="preserve">On the </w:t>
      </w:r>
      <w:r w:rsidR="00802654">
        <w:t xml:space="preserve">basis of the </w:t>
      </w:r>
      <w:r w:rsidRPr="00CC3825">
        <w:t>direct evidence presented by the resubmission, for every 100 patients treated with neratinib in comparison to placebo and follow-up of 24 months:</w:t>
      </w:r>
    </w:p>
    <w:p w:rsidR="004B4968" w:rsidRPr="00CC3825" w:rsidRDefault="004B4968" w:rsidP="00A84C29">
      <w:pPr>
        <w:pStyle w:val="ListParagraph"/>
        <w:widowControl/>
        <w:numPr>
          <w:ilvl w:val="0"/>
          <w:numId w:val="3"/>
        </w:numPr>
        <w:spacing w:after="0"/>
        <w:ind w:left="993" w:hanging="284"/>
      </w:pPr>
      <w:r w:rsidRPr="00CC3825">
        <w:t>Approximately 2-4 additional patients would not experience recurrence.</w:t>
      </w:r>
    </w:p>
    <w:p w:rsidR="004B4968" w:rsidRPr="00CC3825" w:rsidRDefault="004B4968" w:rsidP="00A84C29">
      <w:pPr>
        <w:pStyle w:val="ListParagraph"/>
        <w:widowControl/>
        <w:numPr>
          <w:ilvl w:val="0"/>
          <w:numId w:val="3"/>
        </w:numPr>
        <w:spacing w:after="0"/>
        <w:ind w:left="993" w:hanging="284"/>
      </w:pPr>
      <w:r w:rsidRPr="00CC3825">
        <w:t xml:space="preserve">Approximately 4 additional HR+ patients would not experience recurrence. </w:t>
      </w:r>
    </w:p>
    <w:p w:rsidR="004B4968" w:rsidRPr="00CC3825" w:rsidRDefault="004B4968" w:rsidP="00A84C29">
      <w:pPr>
        <w:pStyle w:val="ListParagraph"/>
        <w:widowControl/>
        <w:numPr>
          <w:ilvl w:val="0"/>
          <w:numId w:val="3"/>
        </w:numPr>
        <w:spacing w:after="0"/>
        <w:ind w:left="993" w:hanging="284"/>
      </w:pPr>
      <w:r w:rsidRPr="00CC3825">
        <w:t xml:space="preserve">Approximately 37 additional patients would experience a grade </w:t>
      </w:r>
      <w:r w:rsidRPr="00CC3825">
        <w:rPr>
          <w:rFonts w:cs="Calibri"/>
        </w:rPr>
        <w:t>≥</w:t>
      </w:r>
      <w:r w:rsidRPr="00CC3825">
        <w:t>3 TEAE.</w:t>
      </w:r>
    </w:p>
    <w:p w:rsidR="004B4968" w:rsidRPr="00CC3825" w:rsidRDefault="004B4968" w:rsidP="00A84C29">
      <w:pPr>
        <w:pStyle w:val="ListParagraph"/>
        <w:widowControl/>
        <w:numPr>
          <w:ilvl w:val="0"/>
          <w:numId w:val="3"/>
        </w:numPr>
        <w:spacing w:after="0"/>
        <w:ind w:left="993" w:hanging="284"/>
      </w:pPr>
      <w:r w:rsidRPr="00CC3825">
        <w:t>Approximately 1 additional patient would experience a SAE.</w:t>
      </w:r>
    </w:p>
    <w:p w:rsidR="004B4968" w:rsidRPr="00CC3825" w:rsidRDefault="004B4968" w:rsidP="00A84C29">
      <w:pPr>
        <w:pStyle w:val="ListParagraph"/>
        <w:widowControl/>
        <w:numPr>
          <w:ilvl w:val="0"/>
          <w:numId w:val="3"/>
        </w:numPr>
        <w:spacing w:after="0"/>
        <w:ind w:left="993" w:hanging="284"/>
      </w:pPr>
      <w:r w:rsidRPr="00CC3825">
        <w:t>Approximately 60 additional patients would experience diarrhoea.</w:t>
      </w:r>
    </w:p>
    <w:p w:rsidR="004B4968" w:rsidRPr="00CC3825" w:rsidRDefault="004B4968" w:rsidP="00A84C29">
      <w:pPr>
        <w:pStyle w:val="ListParagraph"/>
        <w:widowControl/>
        <w:numPr>
          <w:ilvl w:val="0"/>
          <w:numId w:val="3"/>
        </w:numPr>
        <w:spacing w:after="0"/>
        <w:ind w:left="993" w:hanging="284"/>
      </w:pPr>
      <w:r w:rsidRPr="00CC3825">
        <w:t>Approximately 38 additional patients would experience grade 3 or 4 diarrhoea</w:t>
      </w:r>
    </w:p>
    <w:p w:rsidR="004B4968" w:rsidRPr="00BB3215" w:rsidRDefault="004B4968" w:rsidP="00025B3F">
      <w:pPr>
        <w:widowControl/>
      </w:pPr>
    </w:p>
    <w:p w:rsidR="004B4968" w:rsidRPr="00BB3215" w:rsidRDefault="004B4968" w:rsidP="00025B3F">
      <w:pPr>
        <w:pStyle w:val="Heading2"/>
        <w:widowControl/>
      </w:pPr>
      <w:bookmarkStart w:id="16" w:name="_Toc18935812"/>
      <w:r w:rsidRPr="00BB3215">
        <w:t>Clinical claim</w:t>
      </w:r>
      <w:bookmarkEnd w:id="16"/>
    </w:p>
    <w:p w:rsidR="004B4968" w:rsidRPr="00BB3215" w:rsidRDefault="004B4968" w:rsidP="00025B3F">
      <w:pPr>
        <w:widowControl/>
        <w:ind w:left="720" w:hanging="720"/>
      </w:pPr>
    </w:p>
    <w:p w:rsidR="004B4968" w:rsidRPr="00EF5B8F" w:rsidRDefault="004B4968" w:rsidP="00A84C29">
      <w:pPr>
        <w:pStyle w:val="ListParagraph"/>
        <w:widowControl/>
        <w:numPr>
          <w:ilvl w:val="1"/>
          <w:numId w:val="5"/>
        </w:numPr>
        <w:rPr>
          <w:iCs/>
        </w:rPr>
      </w:pPr>
      <w:r w:rsidRPr="00EF5B8F">
        <w:t xml:space="preserve">The resubmission described neratinib as superior in terms of effectiveness compared with placebo in patients with HER2+ eBC. The resubmission also described neratinib as inferior in terms of safety compared to placebo. </w:t>
      </w:r>
      <w:r w:rsidRPr="00EF5B8F">
        <w:rPr>
          <w:iCs/>
        </w:rPr>
        <w:t>This is unchanged from the original submission.</w:t>
      </w:r>
    </w:p>
    <w:p w:rsidR="00802654" w:rsidRDefault="004B4968" w:rsidP="00A84C29">
      <w:pPr>
        <w:pStyle w:val="ListParagraph"/>
        <w:widowControl/>
        <w:numPr>
          <w:ilvl w:val="1"/>
          <w:numId w:val="5"/>
        </w:numPr>
      </w:pPr>
      <w:r w:rsidRPr="00EF5B8F">
        <w:lastRenderedPageBreak/>
        <w:t xml:space="preserve">However, the PBAC </w:t>
      </w:r>
      <w:r w:rsidR="00802654">
        <w:t xml:space="preserve">previously </w:t>
      </w:r>
      <w:r w:rsidRPr="00EF5B8F">
        <w:t xml:space="preserve">considered that ‘the magnitude of the disease free survival benefit is small and uncertain due to potential bias in the ExteNET trial and because the study was not powered to detect effects within subgroups. The PBAC noted that the clinical benefit was particularly uncertain in lower risk populations such as stage 1 and node negative patients. The PBAC noted the lack of overall survival data in the evidence presented, and thus the long term benefits of neratinib therapy are unknown’ </w:t>
      </w:r>
      <w:r w:rsidR="0053564E" w:rsidRPr="00EF5B8F">
        <w:t>(</w:t>
      </w:r>
      <w:r w:rsidR="00AE687F">
        <w:t>paragraph 6.39, n</w:t>
      </w:r>
      <w:r w:rsidR="008B3F55" w:rsidRPr="00EF5B8F">
        <w:t>eratinib</w:t>
      </w:r>
      <w:r w:rsidR="008B3F55" w:rsidRPr="00EF5B8F" w:rsidDel="008B3F55">
        <w:t xml:space="preserve"> </w:t>
      </w:r>
      <w:r w:rsidR="0053564E" w:rsidRPr="00EF5B8F">
        <w:t>PSD, March 2019)</w:t>
      </w:r>
      <w:r w:rsidRPr="00EF5B8F">
        <w:t>.</w:t>
      </w:r>
      <w:r w:rsidR="00C4007C" w:rsidRPr="00EF5B8F">
        <w:t xml:space="preserve"> </w:t>
      </w:r>
    </w:p>
    <w:p w:rsidR="004B4968" w:rsidRPr="00EF5B8F" w:rsidRDefault="00C4007C" w:rsidP="00A84C29">
      <w:pPr>
        <w:pStyle w:val="ListParagraph"/>
        <w:widowControl/>
        <w:numPr>
          <w:ilvl w:val="1"/>
          <w:numId w:val="5"/>
        </w:numPr>
      </w:pPr>
      <w:r w:rsidRPr="00EF5B8F">
        <w:t>The PSCR argued that the EMA EPAR states “Nerlynx had been shown to be of benefit in women with HER2-positive early breast cancer, and that this benefit seemed to be mainly in women with hormone-receptor positive disease” (EPAR). Further the NICE appraisal committee concluded that the ExteNET study was “suitable for estimating the clinical effectiveness of neratinib” in the subgroup of patients with hormone receptor positive disease who have received trastuzumab therapy within 12 months.</w:t>
      </w:r>
      <w:r w:rsidR="004B3AC9" w:rsidRPr="00EF5B8F">
        <w:t xml:space="preserve"> The ESC maintained its view from its previous consideration that the clinical meaningfulness of the iDFS benefit was questionable given </w:t>
      </w:r>
      <w:r w:rsidR="00385F2F" w:rsidRPr="00EF5B8F">
        <w:t>the absence of OS data</w:t>
      </w:r>
      <w:r w:rsidR="004B3AC9" w:rsidRPr="00EF5B8F">
        <w:t xml:space="preserve">. Although the 2 year follow up data showed a </w:t>
      </w:r>
      <w:r w:rsidR="00F970DB" w:rsidRPr="00EF5B8F">
        <w:t xml:space="preserve">statistically </w:t>
      </w:r>
      <w:r w:rsidR="004B3AC9" w:rsidRPr="00EF5B8F">
        <w:t>significant improvement in iDFS, the ESC considered the difference to be small in absolute terms, and uncertain given the risk of bias and concerns regarding the applicability of the trial evidence to the PBS population, which was still unclear.</w:t>
      </w:r>
    </w:p>
    <w:p w:rsidR="005C4B44" w:rsidRPr="00EF5B8F" w:rsidRDefault="005C4B44" w:rsidP="00A84C29">
      <w:pPr>
        <w:pStyle w:val="ListParagraph"/>
        <w:widowControl/>
        <w:numPr>
          <w:ilvl w:val="1"/>
          <w:numId w:val="5"/>
        </w:numPr>
      </w:pPr>
      <w:r w:rsidRPr="00EF5B8F">
        <w:rPr>
          <w:iCs/>
        </w:rPr>
        <w:t xml:space="preserve">The proposed place for neratinib in the clinical management algorithm excluded higher risk patients (with residual disease after neoadjuvant therapy), </w:t>
      </w:r>
      <w:r w:rsidR="008B3F55" w:rsidRPr="00EF5B8F">
        <w:rPr>
          <w:iCs/>
        </w:rPr>
        <w:t xml:space="preserve">who would be treated with T-DM1 if PBS listed. The ESC agreed with the commentary that </w:t>
      </w:r>
      <w:r w:rsidR="00E43EC3">
        <w:rPr>
          <w:iCs/>
        </w:rPr>
        <w:t xml:space="preserve">the exclusion of </w:t>
      </w:r>
      <w:r w:rsidRPr="00EF5B8F">
        <w:rPr>
          <w:iCs/>
        </w:rPr>
        <w:t xml:space="preserve">higher risk patients from the </w:t>
      </w:r>
      <w:r w:rsidR="00E43EC3">
        <w:rPr>
          <w:iCs/>
        </w:rPr>
        <w:t xml:space="preserve">likely </w:t>
      </w:r>
      <w:r w:rsidRPr="00EF5B8F">
        <w:rPr>
          <w:iCs/>
        </w:rPr>
        <w:t>treatment population is likely to mean that the clinical benefit in practice is less than that shown in the trial.</w:t>
      </w:r>
    </w:p>
    <w:p w:rsidR="009E332B" w:rsidRPr="00EF5B8F" w:rsidRDefault="004B4968" w:rsidP="00A84C29">
      <w:pPr>
        <w:pStyle w:val="ListParagraph"/>
        <w:widowControl/>
        <w:numPr>
          <w:ilvl w:val="1"/>
          <w:numId w:val="5"/>
        </w:numPr>
      </w:pPr>
      <w:r w:rsidRPr="00EF5B8F">
        <w:t xml:space="preserve">The PBAC </w:t>
      </w:r>
      <w:r w:rsidR="00D00BEF">
        <w:t xml:space="preserve">previously </w:t>
      </w:r>
      <w:r w:rsidRPr="00EF5B8F">
        <w:t xml:space="preserve">considered that ‘the claim of inferior comparative safety was reasonable and consistent with the data. The adverse events experienced with neratinib therapy compared to placebo were significant and may outweigh the benefit for some patients’ </w:t>
      </w:r>
      <w:r w:rsidR="0053564E" w:rsidRPr="00EF5B8F">
        <w:t>(</w:t>
      </w:r>
      <w:r w:rsidR="00AE687F">
        <w:t>paragraph 6.40, n</w:t>
      </w:r>
      <w:r w:rsidR="0053564E" w:rsidRPr="00EF5B8F">
        <w:t>eratinib PSD, March 2019)</w:t>
      </w:r>
      <w:r w:rsidRPr="00EF5B8F">
        <w:t>.</w:t>
      </w:r>
      <w:r w:rsidR="004B3AC9" w:rsidRPr="00EF5B8F">
        <w:t xml:space="preserve"> The ESC</w:t>
      </w:r>
      <w:r w:rsidR="00120337" w:rsidRPr="00EF5B8F">
        <w:t xml:space="preserve"> </w:t>
      </w:r>
      <w:r w:rsidR="008B3F55" w:rsidRPr="00EF5B8F">
        <w:t xml:space="preserve">noted that no additional evidence was provided and </w:t>
      </w:r>
      <w:r w:rsidR="004B3AC9" w:rsidRPr="00EF5B8F">
        <w:t xml:space="preserve">reiterated its view from its previous consideration that </w:t>
      </w:r>
      <w:r w:rsidR="008B3F55" w:rsidRPr="00EF5B8F">
        <w:t xml:space="preserve">for </w:t>
      </w:r>
      <w:r w:rsidR="004B3AC9" w:rsidRPr="00EF5B8F">
        <w:t>patients who have undergone a substantial amount of previous treatment for their cancer, a significant proportion would be unwilling to undertake further treatment that is associated with diarrhoea that may result in hospitalisation (</w:t>
      </w:r>
      <w:r w:rsidR="00AE687F" w:rsidRPr="00EF5B8F">
        <w:t>paragraph 6.35</w:t>
      </w:r>
      <w:r w:rsidR="00AE687F">
        <w:t>, n</w:t>
      </w:r>
      <w:r w:rsidR="004B3AC9" w:rsidRPr="00EF5B8F">
        <w:t>eratinib</w:t>
      </w:r>
      <w:r w:rsidR="008B3F55" w:rsidRPr="00EF5B8F">
        <w:t xml:space="preserve"> PSD</w:t>
      </w:r>
      <w:r w:rsidR="004B3AC9" w:rsidRPr="00EF5B8F">
        <w:t xml:space="preserve">, March 2019). </w:t>
      </w:r>
    </w:p>
    <w:p w:rsidR="009E332B" w:rsidRDefault="004B4968" w:rsidP="00A84C29">
      <w:pPr>
        <w:pStyle w:val="ListParagraph"/>
        <w:widowControl/>
        <w:numPr>
          <w:ilvl w:val="1"/>
          <w:numId w:val="5"/>
        </w:numPr>
      </w:pPr>
      <w:r w:rsidRPr="00EF5B8F">
        <w:t xml:space="preserve">The resubmission also stated that neratinib was more effective than pertuzumab in HR+ patients (HR: 0.576, 95% CI: 0.31, 0.75). </w:t>
      </w:r>
      <w:r w:rsidRPr="00EF5B8F">
        <w:rPr>
          <w:iCs/>
        </w:rPr>
        <w:t>This claim was based on an indirect comparison of neratinib (ExteNET trial) and pertuzumab (APHINITY trial)</w:t>
      </w:r>
      <w:r w:rsidR="00D46BC7" w:rsidRPr="00EF5B8F">
        <w:rPr>
          <w:iCs/>
        </w:rPr>
        <w:t xml:space="preserve">, with </w:t>
      </w:r>
      <w:bookmarkStart w:id="17" w:name="_Hlk18655236"/>
      <w:r w:rsidRPr="00EF5B8F">
        <w:rPr>
          <w:iCs/>
        </w:rPr>
        <w:t xml:space="preserve">T+Chemo as the common comparator. </w:t>
      </w:r>
      <w:bookmarkEnd w:id="17"/>
      <w:r w:rsidRPr="00EF5B8F">
        <w:rPr>
          <w:iCs/>
        </w:rPr>
        <w:t xml:space="preserve">The </w:t>
      </w:r>
      <w:r w:rsidR="00D46BC7" w:rsidRPr="00EF5B8F">
        <w:rPr>
          <w:iCs/>
        </w:rPr>
        <w:t>HR</w:t>
      </w:r>
      <w:r w:rsidRPr="00EF5B8F">
        <w:rPr>
          <w:iCs/>
        </w:rPr>
        <w:t xml:space="preserve"> of the comparative treatment effect was statistically significant for the HR+ subgroup </w:t>
      </w:r>
      <w:r w:rsidR="00D46BC7" w:rsidRPr="00EF5B8F">
        <w:rPr>
          <w:iCs/>
        </w:rPr>
        <w:t>but</w:t>
      </w:r>
      <w:r w:rsidRPr="00EF5B8F">
        <w:rPr>
          <w:iCs/>
        </w:rPr>
        <w:t xml:space="preserve"> not statistically significant for the ITT population or the aITT population.</w:t>
      </w:r>
      <w:r w:rsidR="008B3F55" w:rsidRPr="00EF5B8F">
        <w:rPr>
          <w:iCs/>
        </w:rPr>
        <w:t xml:space="preserve"> </w:t>
      </w:r>
      <w:r w:rsidR="008B3F55" w:rsidRPr="00EF5B8F">
        <w:t xml:space="preserve">The ESC considered that this comparison </w:t>
      </w:r>
      <w:r w:rsidR="002F16D1" w:rsidRPr="00EF5B8F">
        <w:t>was</w:t>
      </w:r>
      <w:r w:rsidR="008B3F55" w:rsidRPr="00EF5B8F">
        <w:t xml:space="preserve"> unreliable</w:t>
      </w:r>
      <w:r w:rsidR="00B35B98" w:rsidRPr="00EF5B8F">
        <w:t xml:space="preserve"> because of the applicability and exchangeability issues across the two trials.</w:t>
      </w:r>
    </w:p>
    <w:p w:rsidR="00A84C29" w:rsidRPr="00CF6BF7" w:rsidRDefault="00A84C29" w:rsidP="00CF6BF7">
      <w:pPr>
        <w:pStyle w:val="ListParagraph"/>
        <w:widowControl/>
        <w:numPr>
          <w:ilvl w:val="1"/>
          <w:numId w:val="5"/>
        </w:numPr>
        <w:rPr>
          <w:rFonts w:asciiTheme="minorHAnsi" w:hAnsiTheme="minorHAnsi"/>
          <w:szCs w:val="20"/>
        </w:rPr>
      </w:pPr>
      <w:r w:rsidRPr="00426E74">
        <w:lastRenderedPageBreak/>
        <w:t xml:space="preserve">The PBAC </w:t>
      </w:r>
      <w:r w:rsidR="00692C5A" w:rsidRPr="00426E74">
        <w:t xml:space="preserve">maintained its view from its previous consideration </w:t>
      </w:r>
      <w:r w:rsidRPr="00426E74">
        <w:t xml:space="preserve">that </w:t>
      </w:r>
      <w:r w:rsidR="00CC3825" w:rsidRPr="00CC3825">
        <w:rPr>
          <w:rFonts w:asciiTheme="minorHAnsi" w:hAnsiTheme="minorHAnsi"/>
          <w:szCs w:val="20"/>
        </w:rPr>
        <w:t xml:space="preserve">the magnitude of the disease free survival benefit is small and uncertain due to potential bias in the ExteNET trial and because the study was not powered to detect effects within subgroups. The PBAC noted that the clinical benefit was particularly uncertain in lower risk populations such as stage 1 and node negative patients. The PBAC noted the lack of overall survival data in the evidence presented, and thus the long term benefits of neratinib therapy </w:t>
      </w:r>
      <w:r w:rsidR="00D00BEF">
        <w:rPr>
          <w:rFonts w:asciiTheme="minorHAnsi" w:hAnsiTheme="minorHAnsi"/>
          <w:szCs w:val="20"/>
        </w:rPr>
        <w:t>are</w:t>
      </w:r>
      <w:r w:rsidR="00CC3825" w:rsidRPr="00CC3825">
        <w:rPr>
          <w:rFonts w:asciiTheme="minorHAnsi" w:hAnsiTheme="minorHAnsi"/>
          <w:szCs w:val="20"/>
        </w:rPr>
        <w:t xml:space="preserve"> unknown.</w:t>
      </w:r>
    </w:p>
    <w:p w:rsidR="00A84C29" w:rsidRPr="00426E74" w:rsidRDefault="00A84C29" w:rsidP="00A84C29">
      <w:pPr>
        <w:pStyle w:val="ListParagraph"/>
        <w:widowControl/>
        <w:numPr>
          <w:ilvl w:val="1"/>
          <w:numId w:val="5"/>
        </w:numPr>
      </w:pPr>
      <w:r w:rsidRPr="00426E74">
        <w:t>The PB</w:t>
      </w:r>
      <w:r w:rsidR="00692C5A" w:rsidRPr="00426E74">
        <w:t xml:space="preserve">AC </w:t>
      </w:r>
      <w:r w:rsidR="00872D01">
        <w:t xml:space="preserve">maintained its </w:t>
      </w:r>
      <w:r w:rsidR="00481141">
        <w:t>view</w:t>
      </w:r>
      <w:r w:rsidR="00872D01" w:rsidRPr="00426E74">
        <w:t xml:space="preserve"> </w:t>
      </w:r>
      <w:r w:rsidR="00692C5A" w:rsidRPr="00426E74">
        <w:t>that the claim of inferior</w:t>
      </w:r>
      <w:r w:rsidRPr="00426E74">
        <w:t xml:space="preserve"> comparative safety</w:t>
      </w:r>
      <w:r w:rsidR="00BB6172">
        <w:t xml:space="preserve"> of neratinib over placebo</w:t>
      </w:r>
      <w:r w:rsidRPr="00426E74">
        <w:t xml:space="preserve"> was reasonable</w:t>
      </w:r>
      <w:r w:rsidR="00692C5A" w:rsidRPr="00426E74">
        <w:t xml:space="preserve"> and consistent with </w:t>
      </w:r>
      <w:r w:rsidRPr="00426E74">
        <w:t>the data.</w:t>
      </w:r>
    </w:p>
    <w:p w:rsidR="009E332B" w:rsidRPr="009E332B" w:rsidRDefault="009E332B" w:rsidP="00025B3F">
      <w:pPr>
        <w:widowControl/>
      </w:pPr>
    </w:p>
    <w:p w:rsidR="004B4968" w:rsidRPr="00BB3215" w:rsidRDefault="004B4968" w:rsidP="00025B3F">
      <w:pPr>
        <w:pStyle w:val="Heading2"/>
        <w:widowControl/>
      </w:pPr>
      <w:bookmarkStart w:id="18" w:name="_Toc18935813"/>
      <w:r w:rsidRPr="00BB3215">
        <w:t>Economic analysis</w:t>
      </w:r>
      <w:bookmarkEnd w:id="18"/>
      <w:r w:rsidRPr="00BB3215">
        <w:t xml:space="preserve"> </w:t>
      </w:r>
    </w:p>
    <w:p w:rsidR="004B4968" w:rsidRPr="00BB3215" w:rsidRDefault="004B4968" w:rsidP="00025B3F">
      <w:pPr>
        <w:widowControl/>
        <w:ind w:left="720" w:hanging="720"/>
      </w:pPr>
    </w:p>
    <w:p w:rsidR="001A18CD" w:rsidRPr="00EF5B8F" w:rsidRDefault="001A18CD" w:rsidP="00A84C29">
      <w:pPr>
        <w:pStyle w:val="ListParagraph"/>
        <w:widowControl/>
        <w:numPr>
          <w:ilvl w:val="1"/>
          <w:numId w:val="5"/>
        </w:numPr>
        <w:rPr>
          <w:rFonts w:cs="Calibri"/>
          <w:iCs/>
          <w:snapToGrid/>
          <w:szCs w:val="24"/>
          <w:lang w:eastAsia="en-AU"/>
        </w:rPr>
      </w:pPr>
      <w:r w:rsidRPr="00EF5B8F">
        <w:rPr>
          <w:rFonts w:cs="Calibri"/>
          <w:snapToGrid/>
          <w:szCs w:val="24"/>
          <w:lang w:eastAsia="en-AU"/>
        </w:rPr>
        <w:t xml:space="preserve">The resubmission presented a cost-utility and cost-effectiveness analysis comparing neratinib to usual care/placebo, based on the ExteNET trial, Australian mortality data and </w:t>
      </w:r>
      <w:r w:rsidR="0088613F" w:rsidRPr="00EF5B8F">
        <w:rPr>
          <w:rFonts w:cs="Calibri"/>
          <w:snapToGrid/>
          <w:szCs w:val="24"/>
          <w:lang w:eastAsia="en-AU"/>
        </w:rPr>
        <w:t xml:space="preserve">data from </w:t>
      </w:r>
      <w:r w:rsidRPr="00EF5B8F">
        <w:rPr>
          <w:rFonts w:cs="Calibri"/>
          <w:snapToGrid/>
          <w:szCs w:val="24"/>
          <w:lang w:eastAsia="en-AU"/>
        </w:rPr>
        <w:t xml:space="preserve">published literature. The resubmission implemented a modelled evaluation. The resubmission did not present a stepped economic evaluation. </w:t>
      </w:r>
      <w:r w:rsidRPr="00EF5B8F">
        <w:rPr>
          <w:rFonts w:cs="Calibri"/>
          <w:iCs/>
          <w:snapToGrid/>
          <w:szCs w:val="24"/>
          <w:lang w:eastAsia="en-AU"/>
        </w:rPr>
        <w:t>This approach is unchanged from the original submission however the model structure, time horizon and input data sources have changed.</w:t>
      </w:r>
      <w:r w:rsidR="007565CE" w:rsidRPr="00EF5B8F">
        <w:t xml:space="preserve"> </w:t>
      </w:r>
      <w:r w:rsidR="007565CE" w:rsidRPr="00EF5B8F">
        <w:rPr>
          <w:rFonts w:cs="Calibri"/>
          <w:iCs/>
          <w:snapToGrid/>
          <w:szCs w:val="24"/>
          <w:lang w:eastAsia="en-AU"/>
        </w:rPr>
        <w:t xml:space="preserve">Although the documentation provided with the model was improved from the original submission and some of the PBAC’s </w:t>
      </w:r>
      <w:r w:rsidR="0099610E">
        <w:rPr>
          <w:rFonts w:cs="Calibri"/>
          <w:iCs/>
          <w:snapToGrid/>
          <w:szCs w:val="24"/>
          <w:lang w:eastAsia="en-AU"/>
        </w:rPr>
        <w:t xml:space="preserve">previous </w:t>
      </w:r>
      <w:r w:rsidR="007565CE" w:rsidRPr="00EF5B8F">
        <w:rPr>
          <w:rFonts w:cs="Calibri"/>
          <w:iCs/>
          <w:snapToGrid/>
          <w:szCs w:val="24"/>
          <w:lang w:eastAsia="en-AU"/>
        </w:rPr>
        <w:t xml:space="preserve">concerns were addressed, </w:t>
      </w:r>
      <w:r w:rsidR="00E3719C" w:rsidRPr="00EF5B8F">
        <w:rPr>
          <w:rFonts w:cs="Calibri"/>
          <w:iCs/>
          <w:snapToGrid/>
          <w:szCs w:val="24"/>
          <w:lang w:eastAsia="en-AU"/>
        </w:rPr>
        <w:t xml:space="preserve">not all issues were </w:t>
      </w:r>
      <w:r w:rsidR="007565CE" w:rsidRPr="00EF5B8F">
        <w:rPr>
          <w:rFonts w:cs="Calibri"/>
          <w:iCs/>
          <w:snapToGrid/>
          <w:szCs w:val="24"/>
          <w:lang w:eastAsia="en-AU"/>
        </w:rPr>
        <w:t>addressed by the resubmission.</w:t>
      </w:r>
      <w:r w:rsidR="00FE3745" w:rsidRPr="00EF5B8F">
        <w:rPr>
          <w:rFonts w:cs="Calibri"/>
          <w:iCs/>
          <w:snapToGrid/>
          <w:szCs w:val="24"/>
          <w:lang w:eastAsia="en-AU"/>
        </w:rPr>
        <w:t xml:space="preserve"> The ESC considered that the</w:t>
      </w:r>
      <w:r w:rsidR="007565CE" w:rsidRPr="00EF5B8F">
        <w:rPr>
          <w:rFonts w:cs="Calibri"/>
          <w:iCs/>
          <w:snapToGrid/>
          <w:szCs w:val="24"/>
          <w:lang w:eastAsia="en-AU"/>
        </w:rPr>
        <w:t xml:space="preserve"> </w:t>
      </w:r>
      <w:r w:rsidR="00FE3745" w:rsidRPr="00EF5B8F">
        <w:rPr>
          <w:rFonts w:cs="Calibri"/>
          <w:iCs/>
          <w:snapToGrid/>
          <w:szCs w:val="24"/>
          <w:lang w:eastAsia="en-AU"/>
        </w:rPr>
        <w:t>c</w:t>
      </w:r>
      <w:r w:rsidR="007565CE" w:rsidRPr="00EF5B8F">
        <w:rPr>
          <w:rFonts w:cs="Calibri"/>
          <w:iCs/>
          <w:snapToGrid/>
          <w:szCs w:val="24"/>
          <w:lang w:eastAsia="en-AU"/>
        </w:rPr>
        <w:t>hanges to the model structure, assumptions and inputs introduced additional uncertainty to the economic evaluation.</w:t>
      </w:r>
      <w:r w:rsidR="00953401" w:rsidRPr="00EF5B8F">
        <w:rPr>
          <w:rFonts w:cs="Calibri"/>
          <w:iCs/>
          <w:snapToGrid/>
          <w:szCs w:val="24"/>
          <w:lang w:eastAsia="en-AU"/>
        </w:rPr>
        <w:t xml:space="preserve"> Overall, the ESC considered the economic base case presented in the resubmission was highly optimistic </w:t>
      </w:r>
      <w:r w:rsidR="008B3F55" w:rsidRPr="00EF5B8F">
        <w:rPr>
          <w:rFonts w:cs="Calibri"/>
          <w:iCs/>
          <w:snapToGrid/>
          <w:szCs w:val="24"/>
          <w:lang w:eastAsia="en-AU"/>
        </w:rPr>
        <w:t xml:space="preserve">due to assumptions and inputs that favoured neratinib </w:t>
      </w:r>
      <w:r w:rsidR="00B861E5" w:rsidRPr="00EF5B8F">
        <w:rPr>
          <w:rFonts w:cs="Calibri"/>
          <w:iCs/>
          <w:snapToGrid/>
          <w:szCs w:val="24"/>
          <w:lang w:eastAsia="en-AU"/>
        </w:rPr>
        <w:t xml:space="preserve">and </w:t>
      </w:r>
      <w:r w:rsidR="008B3F55" w:rsidRPr="00EF5B8F">
        <w:rPr>
          <w:rFonts w:cs="Calibri"/>
          <w:iCs/>
          <w:snapToGrid/>
          <w:szCs w:val="24"/>
          <w:lang w:eastAsia="en-AU"/>
        </w:rPr>
        <w:t xml:space="preserve">was highly </w:t>
      </w:r>
      <w:r w:rsidR="00953401" w:rsidRPr="00EF5B8F">
        <w:rPr>
          <w:rFonts w:cs="Calibri"/>
          <w:iCs/>
          <w:snapToGrid/>
          <w:szCs w:val="24"/>
          <w:lang w:eastAsia="en-AU"/>
        </w:rPr>
        <w:t xml:space="preserve">uncertain given the </w:t>
      </w:r>
      <w:r w:rsidR="00AA3CAC" w:rsidRPr="00EF5B8F">
        <w:rPr>
          <w:rFonts w:cs="Calibri"/>
          <w:iCs/>
          <w:snapToGrid/>
          <w:szCs w:val="24"/>
          <w:lang w:eastAsia="en-AU"/>
        </w:rPr>
        <w:t>lack of clarity</w:t>
      </w:r>
      <w:r w:rsidR="00042FC5" w:rsidRPr="00EF5B8F">
        <w:rPr>
          <w:rFonts w:cs="Calibri"/>
          <w:iCs/>
          <w:snapToGrid/>
          <w:szCs w:val="24"/>
          <w:lang w:eastAsia="en-AU"/>
        </w:rPr>
        <w:t xml:space="preserve"> around the clinical place and target population</w:t>
      </w:r>
      <w:r w:rsidR="008B3F55" w:rsidRPr="00EF5B8F">
        <w:rPr>
          <w:rFonts w:cs="Calibri"/>
          <w:iCs/>
          <w:snapToGrid/>
          <w:szCs w:val="24"/>
          <w:lang w:eastAsia="en-AU"/>
        </w:rPr>
        <w:t>.</w:t>
      </w:r>
    </w:p>
    <w:p w:rsidR="000511C7" w:rsidRPr="00EF5B8F" w:rsidRDefault="000511C7" w:rsidP="00A84C29">
      <w:pPr>
        <w:pStyle w:val="ListParagraph"/>
        <w:widowControl/>
        <w:numPr>
          <w:ilvl w:val="1"/>
          <w:numId w:val="5"/>
        </w:numPr>
        <w:rPr>
          <w:iCs/>
        </w:rPr>
      </w:pPr>
      <w:r w:rsidRPr="00EF5B8F">
        <w:rPr>
          <w:rFonts w:cs="Calibri"/>
          <w:iCs/>
          <w:snapToGrid/>
          <w:szCs w:val="24"/>
          <w:lang w:eastAsia="en-AU"/>
        </w:rPr>
        <w:t xml:space="preserve">The resubmission outlined a changed proposed clinical management algorithm compared to the original submission. This </w:t>
      </w:r>
      <w:r w:rsidR="00184D23" w:rsidRPr="00EF5B8F">
        <w:rPr>
          <w:rFonts w:cs="Calibri"/>
          <w:iCs/>
          <w:snapToGrid/>
          <w:szCs w:val="24"/>
          <w:lang w:eastAsia="en-AU"/>
        </w:rPr>
        <w:t xml:space="preserve">was </w:t>
      </w:r>
      <w:r w:rsidRPr="00EF5B8F">
        <w:rPr>
          <w:rFonts w:cs="Calibri"/>
          <w:iCs/>
          <w:snapToGrid/>
          <w:szCs w:val="24"/>
          <w:lang w:eastAsia="en-AU"/>
        </w:rPr>
        <w:t>not reflected in the economic model</w:t>
      </w:r>
      <w:r w:rsidR="00184D23" w:rsidRPr="00EF5B8F">
        <w:rPr>
          <w:rFonts w:cs="Calibri"/>
          <w:iCs/>
          <w:snapToGrid/>
          <w:szCs w:val="24"/>
          <w:lang w:eastAsia="en-AU"/>
        </w:rPr>
        <w:t xml:space="preserve"> </w:t>
      </w:r>
      <w:r w:rsidRPr="00EF5B8F">
        <w:rPr>
          <w:rFonts w:cs="Calibri"/>
          <w:iCs/>
          <w:snapToGrid/>
          <w:szCs w:val="24"/>
          <w:lang w:eastAsia="en-AU"/>
        </w:rPr>
        <w:t>which does not exclude higher risk patients</w:t>
      </w:r>
      <w:r w:rsidR="008B3F55" w:rsidRPr="00EF5B8F">
        <w:rPr>
          <w:rFonts w:cs="Calibri"/>
          <w:iCs/>
          <w:snapToGrid/>
          <w:szCs w:val="24"/>
          <w:lang w:eastAsia="en-AU"/>
        </w:rPr>
        <w:t xml:space="preserve"> who were included in the ExteNET trial</w:t>
      </w:r>
      <w:r w:rsidRPr="00EF5B8F">
        <w:rPr>
          <w:rFonts w:cs="Calibri"/>
          <w:iCs/>
          <w:snapToGrid/>
          <w:szCs w:val="24"/>
          <w:lang w:eastAsia="en-AU"/>
        </w:rPr>
        <w:t>. Excluding higher risk patients from the economic evaluation would likely reduce the incremental benefit of</w:t>
      </w:r>
      <w:r w:rsidR="00016D52" w:rsidRPr="00EF5B8F">
        <w:rPr>
          <w:rFonts w:cs="Calibri"/>
          <w:iCs/>
          <w:snapToGrid/>
          <w:szCs w:val="24"/>
          <w:lang w:eastAsia="en-AU"/>
        </w:rPr>
        <w:t xml:space="preserve"> neratinib</w:t>
      </w:r>
      <w:r w:rsidRPr="00EF5B8F">
        <w:rPr>
          <w:rFonts w:cs="Calibri"/>
          <w:iCs/>
          <w:snapToGrid/>
          <w:szCs w:val="24"/>
          <w:lang w:eastAsia="en-AU"/>
        </w:rPr>
        <w:t>.</w:t>
      </w:r>
      <w:r w:rsidR="009E07ED" w:rsidRPr="00EF5B8F">
        <w:rPr>
          <w:rFonts w:cs="Calibri"/>
          <w:iCs/>
          <w:snapToGrid/>
          <w:szCs w:val="24"/>
          <w:lang w:eastAsia="en-AU"/>
        </w:rPr>
        <w:t xml:space="preserve"> </w:t>
      </w:r>
      <w:r w:rsidR="009E07ED" w:rsidRPr="00EF5B8F">
        <w:t>The ESC advised that the model need</w:t>
      </w:r>
      <w:r w:rsidR="00A518C5" w:rsidRPr="00EF5B8F">
        <w:t>ed</w:t>
      </w:r>
      <w:r w:rsidR="009E07ED" w:rsidRPr="00EF5B8F">
        <w:t xml:space="preserve"> to accurately reflect the requested patient population and appropriate treatment effect (i</w:t>
      </w:r>
      <w:r w:rsidR="00FD23DE" w:rsidRPr="00EF5B8F">
        <w:t>.</w:t>
      </w:r>
      <w:r w:rsidR="009E07ED" w:rsidRPr="00EF5B8F">
        <w:t>e</w:t>
      </w:r>
      <w:r w:rsidR="00FD23DE" w:rsidRPr="00EF5B8F">
        <w:t>.</w:t>
      </w:r>
      <w:r w:rsidR="009E07ED" w:rsidRPr="00EF5B8F">
        <w:t xml:space="preserve"> a lower risk population if T</w:t>
      </w:r>
      <w:r w:rsidR="00FC1F35" w:rsidRPr="00EF5B8F">
        <w:t>-</w:t>
      </w:r>
      <w:r w:rsidR="009E07ED" w:rsidRPr="00EF5B8F">
        <w:t xml:space="preserve">DM1 </w:t>
      </w:r>
      <w:r w:rsidR="00FC1F35" w:rsidRPr="00EF5B8F">
        <w:t xml:space="preserve">is </w:t>
      </w:r>
      <w:r w:rsidR="009E07ED" w:rsidRPr="00EF5B8F">
        <w:t>preferentially used to treat higher risk patients)</w:t>
      </w:r>
      <w:r w:rsidR="00EE3316" w:rsidRPr="00EF5B8F">
        <w:t>.</w:t>
      </w:r>
      <w:r w:rsidR="008B3F55" w:rsidRPr="00EF5B8F">
        <w:t xml:space="preserve"> The ESC considered that having a clear place in therapy was fundamental to the evaluation of the cost</w:t>
      </w:r>
      <w:r w:rsidR="007E2921">
        <w:t>-</w:t>
      </w:r>
      <w:r w:rsidR="008B3F55" w:rsidRPr="00EF5B8F">
        <w:t>effectiveness of neratinib.</w:t>
      </w:r>
    </w:p>
    <w:p w:rsidR="00A67EE3" w:rsidRDefault="001A18CD" w:rsidP="00A84C29">
      <w:pPr>
        <w:pStyle w:val="ListParagraph"/>
        <w:widowControl/>
        <w:numPr>
          <w:ilvl w:val="1"/>
          <w:numId w:val="5"/>
        </w:numPr>
      </w:pPr>
      <w:r w:rsidRPr="00EF5B8F">
        <w:t xml:space="preserve">Table </w:t>
      </w:r>
      <w:r w:rsidR="00174AA7" w:rsidRPr="00EF5B8F">
        <w:t>1</w:t>
      </w:r>
      <w:r w:rsidR="000D534A" w:rsidRPr="00EF5B8F">
        <w:t>1</w:t>
      </w:r>
      <w:r w:rsidR="00174AA7" w:rsidRPr="00EF5B8F">
        <w:t xml:space="preserve"> </w:t>
      </w:r>
      <w:r w:rsidRPr="00EF5B8F">
        <w:t xml:space="preserve">summarises the key </w:t>
      </w:r>
      <w:r w:rsidR="002A6689" w:rsidRPr="00EF5B8F">
        <w:t>outstanding matters of concern for the</w:t>
      </w:r>
      <w:r w:rsidRPr="00EF5B8F">
        <w:t xml:space="preserve"> economic evaluation</w:t>
      </w:r>
      <w:r w:rsidR="005E62C5" w:rsidRPr="00EF5B8F">
        <w:t xml:space="preserve"> in the original submission and how these have been addressed</w:t>
      </w:r>
      <w:r w:rsidRPr="00EF5B8F">
        <w:t>.</w:t>
      </w:r>
    </w:p>
    <w:p w:rsidR="00A67EE3" w:rsidRDefault="00A67EE3">
      <w:pPr>
        <w:widowControl/>
        <w:jc w:val="left"/>
      </w:pPr>
      <w:r>
        <w:br w:type="page"/>
      </w:r>
    </w:p>
    <w:p w:rsidR="001A18CD" w:rsidRDefault="001A18CD" w:rsidP="00025B3F">
      <w:pPr>
        <w:widowControl/>
        <w:rPr>
          <w:rStyle w:val="CommentReference"/>
        </w:rPr>
      </w:pPr>
      <w:r w:rsidRPr="00BB3215">
        <w:rPr>
          <w:rStyle w:val="CommentReference"/>
        </w:rPr>
        <w:lastRenderedPageBreak/>
        <w:t xml:space="preserve">Table </w:t>
      </w:r>
      <w:r w:rsidR="000D534A">
        <w:rPr>
          <w:rStyle w:val="CommentReference"/>
        </w:rPr>
        <w:t>11</w:t>
      </w:r>
      <w:r w:rsidRPr="00BB3215">
        <w:rPr>
          <w:rStyle w:val="CommentReference"/>
        </w:rPr>
        <w:t xml:space="preserve">: Summary of model </w:t>
      </w:r>
      <w:r w:rsidR="005E62C5">
        <w:rPr>
          <w:rStyle w:val="CommentReference"/>
        </w:rPr>
        <w:t xml:space="preserve">issues in identified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4911"/>
      </w:tblGrid>
      <w:tr w:rsidR="004F2922" w:rsidRPr="00BB3215" w:rsidTr="00031660">
        <w:tc>
          <w:tcPr>
            <w:tcW w:w="705" w:type="pct"/>
          </w:tcPr>
          <w:p w:rsidR="004F2922" w:rsidRPr="004F2922" w:rsidRDefault="004F2922" w:rsidP="004F2922">
            <w:pPr>
              <w:pStyle w:val="Tabletext"/>
              <w:jc w:val="center"/>
              <w:rPr>
                <w:b/>
              </w:rPr>
            </w:pPr>
            <w:r w:rsidRPr="004F2922">
              <w:rPr>
                <w:b/>
              </w:rPr>
              <w:t>Component</w:t>
            </w:r>
          </w:p>
        </w:tc>
        <w:tc>
          <w:tcPr>
            <w:tcW w:w="1572" w:type="pct"/>
          </w:tcPr>
          <w:p w:rsidR="004F2922" w:rsidRPr="004F2922" w:rsidRDefault="004F2922" w:rsidP="004F2922">
            <w:pPr>
              <w:pStyle w:val="Tabletext"/>
              <w:jc w:val="center"/>
              <w:rPr>
                <w:b/>
              </w:rPr>
            </w:pPr>
            <w:r w:rsidRPr="004F2922">
              <w:rPr>
                <w:b/>
              </w:rPr>
              <w:t>Matter of concern</w:t>
            </w:r>
          </w:p>
        </w:tc>
        <w:tc>
          <w:tcPr>
            <w:tcW w:w="2723" w:type="pct"/>
          </w:tcPr>
          <w:p w:rsidR="004F2922" w:rsidRPr="004F2922" w:rsidRDefault="004F2922" w:rsidP="004F2922">
            <w:pPr>
              <w:pStyle w:val="Tabletext"/>
              <w:jc w:val="center"/>
              <w:rPr>
                <w:b/>
              </w:rPr>
            </w:pPr>
            <w:r w:rsidRPr="004F2922">
              <w:rPr>
                <w:b/>
              </w:rPr>
              <w:t>How the resubmission addresses it</w:t>
            </w:r>
          </w:p>
        </w:tc>
      </w:tr>
      <w:tr w:rsidR="005E62C5" w:rsidRPr="00BB3215" w:rsidTr="00031660">
        <w:tc>
          <w:tcPr>
            <w:tcW w:w="705" w:type="pct"/>
          </w:tcPr>
          <w:p w:rsidR="005E62C5" w:rsidRPr="00BB3215" w:rsidRDefault="005E62C5" w:rsidP="00025B3F">
            <w:pPr>
              <w:pStyle w:val="Tabletext"/>
            </w:pPr>
            <w:r w:rsidRPr="00BB3215">
              <w:t>Modelled OS data</w:t>
            </w:r>
          </w:p>
        </w:tc>
        <w:tc>
          <w:tcPr>
            <w:tcW w:w="1572" w:type="pct"/>
          </w:tcPr>
          <w:p w:rsidR="005E62C5" w:rsidRPr="00BB3215" w:rsidRDefault="005E62C5" w:rsidP="00025B3F">
            <w:pPr>
              <w:pStyle w:val="Tabletext"/>
            </w:pPr>
            <w:r w:rsidRPr="00BB3215">
              <w:t>The model incorporated a substantial gain in OS despite no OS data from the ExteNET trial being presented in the submission</w:t>
            </w:r>
            <w:r w:rsidR="00134683">
              <w:t xml:space="preserve"> (para 6.47, 7.15, 7.17)</w:t>
            </w:r>
            <w:r w:rsidRPr="00BB3215">
              <w:t xml:space="preserve">. </w:t>
            </w:r>
          </w:p>
        </w:tc>
        <w:tc>
          <w:tcPr>
            <w:tcW w:w="2723" w:type="pct"/>
          </w:tcPr>
          <w:p w:rsidR="005E62C5" w:rsidRPr="00EF5B8F" w:rsidRDefault="005E62C5" w:rsidP="00025B3F">
            <w:pPr>
              <w:pStyle w:val="Tabletext"/>
              <w:rPr>
                <w:iCs/>
              </w:rPr>
            </w:pPr>
            <w:r w:rsidRPr="00EF5B8F">
              <w:t xml:space="preserve">No OS data are presented in the resubmission or economic evaluation. The economic model uses Australian general population mortality and PDRS to model survival. </w:t>
            </w:r>
            <w:r w:rsidRPr="00EF5B8F">
              <w:rPr>
                <w:iCs/>
              </w:rPr>
              <w:t>The ESC considered the resubmission did not adequately address this issue.</w:t>
            </w:r>
          </w:p>
        </w:tc>
      </w:tr>
      <w:tr w:rsidR="005E62C5" w:rsidRPr="00BB3215" w:rsidTr="00031660">
        <w:tc>
          <w:tcPr>
            <w:tcW w:w="705" w:type="pct"/>
          </w:tcPr>
          <w:p w:rsidR="005E62C5" w:rsidRPr="00BB3215" w:rsidRDefault="005E62C5" w:rsidP="00025B3F">
            <w:pPr>
              <w:pStyle w:val="Tabletext"/>
            </w:pPr>
            <w:r w:rsidRPr="00BB3215">
              <w:t>Data sources used to inform transition probabilities</w:t>
            </w:r>
          </w:p>
        </w:tc>
        <w:tc>
          <w:tcPr>
            <w:tcW w:w="1572" w:type="pct"/>
          </w:tcPr>
          <w:p w:rsidR="005E62C5" w:rsidRPr="00BB3215" w:rsidRDefault="005E62C5" w:rsidP="00025B3F">
            <w:pPr>
              <w:pStyle w:val="Tabletext"/>
            </w:pPr>
            <w:r w:rsidRPr="00BB3215">
              <w:t>Three separate data sources (ExteNET trial, HERA trial, and UK general popula</w:t>
            </w:r>
            <w:r>
              <w:t>tion data) informed iDFS and OS</w:t>
            </w:r>
            <w:r w:rsidR="00134683">
              <w:t xml:space="preserve"> (para 6.48)</w:t>
            </w:r>
            <w:r>
              <w:t>.</w:t>
            </w:r>
          </w:p>
        </w:tc>
        <w:tc>
          <w:tcPr>
            <w:tcW w:w="2723" w:type="pct"/>
          </w:tcPr>
          <w:p w:rsidR="005E62C5" w:rsidRPr="00EF5B8F" w:rsidRDefault="005E62C5" w:rsidP="00025B3F">
            <w:pPr>
              <w:pStyle w:val="Tabletext"/>
              <w:rPr>
                <w:iCs/>
              </w:rPr>
            </w:pPr>
            <w:r w:rsidRPr="00EF5B8F">
              <w:t xml:space="preserve">Two data sources (ExteNET and Australian general population data) inform iDFS and OS. The model structure was changed to include a fifth health state (remission) with two new transitions estimated from external sources. </w:t>
            </w:r>
            <w:r w:rsidRPr="00EF5B8F">
              <w:rPr>
                <w:iCs/>
              </w:rPr>
              <w:t>This attempted to address PBAC’s concern, however OS data from the ExteNET trial would be preferable.</w:t>
            </w:r>
          </w:p>
        </w:tc>
      </w:tr>
      <w:tr w:rsidR="005E62C5" w:rsidRPr="00BB3215" w:rsidTr="00031660">
        <w:tc>
          <w:tcPr>
            <w:tcW w:w="705" w:type="pct"/>
          </w:tcPr>
          <w:p w:rsidR="005E62C5" w:rsidRPr="00BB3215" w:rsidRDefault="005E62C5" w:rsidP="00025B3F">
            <w:pPr>
              <w:pStyle w:val="Tabletext"/>
            </w:pPr>
            <w:r w:rsidRPr="00BB3215">
              <w:t>Extrapolation of iDFS</w:t>
            </w:r>
          </w:p>
        </w:tc>
        <w:tc>
          <w:tcPr>
            <w:tcW w:w="1572" w:type="pct"/>
          </w:tcPr>
          <w:p w:rsidR="005E62C5" w:rsidRPr="00BB3215" w:rsidRDefault="005E62C5" w:rsidP="00025B3F">
            <w:pPr>
              <w:pStyle w:val="Tabletext"/>
            </w:pPr>
            <w:r w:rsidRPr="00BB3215">
              <w:t>The ESC considered that using observed data would likely result in an increased ICER but</w:t>
            </w:r>
            <w:r>
              <w:t xml:space="preserve"> this was difficult to quantify</w:t>
            </w:r>
            <w:r w:rsidR="00134683">
              <w:t xml:space="preserve"> (para 6.49)</w:t>
            </w:r>
            <w:r>
              <w:t>.</w:t>
            </w:r>
          </w:p>
          <w:p w:rsidR="005E62C5" w:rsidRPr="00BB3215" w:rsidRDefault="005E62C5" w:rsidP="00025B3F">
            <w:pPr>
              <w:pStyle w:val="Tabletext"/>
            </w:pPr>
          </w:p>
          <w:p w:rsidR="005E62C5" w:rsidRPr="00BB3215" w:rsidRDefault="005E62C5" w:rsidP="00025B3F">
            <w:pPr>
              <w:pStyle w:val="Tabletext"/>
            </w:pPr>
            <w:r w:rsidRPr="00BB3215">
              <w:t>The base case applied a Gompertz function to extrapolate the data despite the AIC and BIC results suggesting there were better fitting functions</w:t>
            </w:r>
            <w:r w:rsidR="00134683">
              <w:t xml:space="preserve"> (para 6.51)</w:t>
            </w:r>
          </w:p>
        </w:tc>
        <w:tc>
          <w:tcPr>
            <w:tcW w:w="2723" w:type="pct"/>
          </w:tcPr>
          <w:p w:rsidR="005E62C5" w:rsidRPr="00EF5B8F" w:rsidRDefault="005E62C5" w:rsidP="00025B3F">
            <w:pPr>
              <w:pStyle w:val="Tabletext"/>
              <w:rPr>
                <w:iCs/>
              </w:rPr>
            </w:pPr>
            <w:r w:rsidRPr="00EF5B8F">
              <w:t xml:space="preserve">No observed data from the ExteNET trial is included in the economic evaluation. </w:t>
            </w:r>
            <w:r w:rsidRPr="00EF5B8F">
              <w:rPr>
                <w:iCs/>
              </w:rPr>
              <w:t>The ESC noted that the resubmission did not address this concern.</w:t>
            </w:r>
          </w:p>
          <w:p w:rsidR="005E62C5" w:rsidRPr="00EF5B8F" w:rsidRDefault="005E62C5" w:rsidP="00025B3F">
            <w:pPr>
              <w:pStyle w:val="Tabletext"/>
            </w:pPr>
          </w:p>
          <w:p w:rsidR="00031660" w:rsidRDefault="00031660" w:rsidP="00025B3F">
            <w:pPr>
              <w:pStyle w:val="Tabletext"/>
            </w:pPr>
          </w:p>
          <w:p w:rsidR="005E62C5" w:rsidRPr="00EF5B8F" w:rsidRDefault="005E62C5" w:rsidP="007E2921">
            <w:pPr>
              <w:pStyle w:val="Tabletext"/>
              <w:rPr>
                <w:iCs/>
              </w:rPr>
            </w:pPr>
            <w:r w:rsidRPr="00EF5B8F">
              <w:t>The base case applied a flexible spline Weibull (1 knot) function for iDFS which was the best statistical fit</w:t>
            </w:r>
            <w:r w:rsidR="00FD23DE" w:rsidRPr="00EF5B8F">
              <w:t>.</w:t>
            </w:r>
            <w:r w:rsidRPr="00EF5B8F">
              <w:t xml:space="preserve"> T</w:t>
            </w:r>
            <w:r w:rsidRPr="00EF5B8F">
              <w:rPr>
                <w:iCs/>
              </w:rPr>
              <w:t>his addressed ESC’s concern</w:t>
            </w:r>
            <w:r w:rsidR="007E2921">
              <w:rPr>
                <w:iCs/>
              </w:rPr>
              <w:t>, however the ICER is highly sensitive to the iDFS extrapolation function.</w:t>
            </w:r>
          </w:p>
        </w:tc>
      </w:tr>
      <w:tr w:rsidR="005E62C5" w:rsidRPr="00BB3215" w:rsidTr="00031660">
        <w:tc>
          <w:tcPr>
            <w:tcW w:w="705" w:type="pct"/>
          </w:tcPr>
          <w:p w:rsidR="005E62C5" w:rsidRPr="00BB3215" w:rsidRDefault="005E62C5" w:rsidP="00025B3F">
            <w:pPr>
              <w:pStyle w:val="Tabletext"/>
            </w:pPr>
            <w:r w:rsidRPr="00BB3215">
              <w:t>Duration of treatment effect</w:t>
            </w:r>
          </w:p>
        </w:tc>
        <w:tc>
          <w:tcPr>
            <w:tcW w:w="1572" w:type="pct"/>
          </w:tcPr>
          <w:p w:rsidR="005E62C5" w:rsidRPr="00BB3215" w:rsidRDefault="005E62C5" w:rsidP="00025B3F">
            <w:pPr>
              <w:pStyle w:val="Tabletext"/>
            </w:pPr>
            <w:r w:rsidRPr="00BB3215">
              <w:t xml:space="preserve">The iDFS and OS treatment effect tapered to a HR of 1 between 5.25 years and 15.25 years. The ESC </w:t>
            </w:r>
            <w:r>
              <w:t>considered</w:t>
            </w:r>
            <w:r w:rsidRPr="00BB3215">
              <w:t xml:space="preserve"> the duration of treatment effect is highly uncertain</w:t>
            </w:r>
            <w:r w:rsidR="00134683">
              <w:t xml:space="preserve"> (para 6.50)</w:t>
            </w:r>
            <w:r w:rsidRPr="00BB3215">
              <w:t xml:space="preserve">. </w:t>
            </w:r>
          </w:p>
        </w:tc>
        <w:tc>
          <w:tcPr>
            <w:tcW w:w="2723" w:type="pct"/>
          </w:tcPr>
          <w:p w:rsidR="005E62C5" w:rsidRPr="00EF5B8F" w:rsidRDefault="005E62C5" w:rsidP="00025B3F">
            <w:pPr>
              <w:pStyle w:val="Tabletext"/>
              <w:rPr>
                <w:iCs/>
              </w:rPr>
            </w:pPr>
            <w:r w:rsidRPr="00EF5B8F">
              <w:t xml:space="preserve">The iDFS treatment effect is tapered to a HR of 1 between 5.25 years and 13.9 years. PDRS uses blinded data, no tapering is applied. </w:t>
            </w:r>
            <w:r w:rsidRPr="00EF5B8F">
              <w:rPr>
                <w:iCs/>
              </w:rPr>
              <w:t>This attempted to address the ESC’s concern; however, the duration of treatment effect is justified using a different patient population to the rest of the economic model and is therefore uncertain.</w:t>
            </w:r>
          </w:p>
        </w:tc>
      </w:tr>
      <w:tr w:rsidR="005E62C5" w:rsidRPr="00BB3215" w:rsidTr="00031660">
        <w:tc>
          <w:tcPr>
            <w:tcW w:w="705" w:type="pct"/>
          </w:tcPr>
          <w:p w:rsidR="005E62C5" w:rsidRPr="00BB3215" w:rsidRDefault="005E62C5" w:rsidP="00025B3F">
            <w:pPr>
              <w:pStyle w:val="Tabletext"/>
            </w:pPr>
            <w:r w:rsidRPr="00BB3215">
              <w:t>Utility values</w:t>
            </w:r>
          </w:p>
        </w:tc>
        <w:tc>
          <w:tcPr>
            <w:tcW w:w="1572" w:type="pct"/>
          </w:tcPr>
          <w:p w:rsidR="005E62C5" w:rsidRPr="00BB3215" w:rsidRDefault="005E62C5" w:rsidP="00025B3F">
            <w:pPr>
              <w:pStyle w:val="Tabletext"/>
            </w:pPr>
            <w:r w:rsidRPr="00BB3215">
              <w:t>The submission applied utility estimates from the literature rather than applying the utility estimates from the ExteNET t</w:t>
            </w:r>
            <w:r>
              <w:t>rial for the iDFS health state</w:t>
            </w:r>
            <w:r w:rsidR="00134683">
              <w:t xml:space="preserve"> (para 6.52, 6.60)</w:t>
            </w:r>
            <w:r>
              <w:t>.</w:t>
            </w:r>
          </w:p>
          <w:p w:rsidR="005E62C5" w:rsidRDefault="005E62C5" w:rsidP="00025B3F">
            <w:pPr>
              <w:pStyle w:val="Tabletext"/>
            </w:pPr>
          </w:p>
          <w:p w:rsidR="00031660" w:rsidRPr="00BB3215" w:rsidRDefault="00031660" w:rsidP="00025B3F">
            <w:pPr>
              <w:pStyle w:val="Tabletext"/>
            </w:pPr>
          </w:p>
          <w:p w:rsidR="005E62C5" w:rsidRPr="00BB3215" w:rsidRDefault="005E62C5" w:rsidP="00025B3F">
            <w:pPr>
              <w:pStyle w:val="Tabletext"/>
            </w:pPr>
            <w:r w:rsidRPr="00BB3215">
              <w:t>Utility estimates for locoregional recurrence and distant recurrence health states were identical (para 6.53).</w:t>
            </w:r>
          </w:p>
          <w:p w:rsidR="005E62C5" w:rsidRDefault="005E62C5" w:rsidP="00025B3F">
            <w:pPr>
              <w:pStyle w:val="Tabletext"/>
            </w:pPr>
          </w:p>
          <w:p w:rsidR="00031660" w:rsidRPr="00BB3215" w:rsidRDefault="00031660" w:rsidP="00025B3F">
            <w:pPr>
              <w:pStyle w:val="Tabletext"/>
            </w:pPr>
          </w:p>
          <w:p w:rsidR="005E62C5" w:rsidRPr="00BB3215" w:rsidRDefault="005E62C5" w:rsidP="00025B3F">
            <w:pPr>
              <w:pStyle w:val="Tabletext"/>
            </w:pPr>
            <w:r w:rsidRPr="00BB3215">
              <w:t>Disutilities were only applied for diarrhoea, and the duration they were applied for was shorter for neratinib than for placebo for Grade ≤ 2 diarrhoea (para 6.54).</w:t>
            </w:r>
          </w:p>
        </w:tc>
        <w:tc>
          <w:tcPr>
            <w:tcW w:w="2723" w:type="pct"/>
          </w:tcPr>
          <w:p w:rsidR="005E62C5" w:rsidRPr="00EF5B8F" w:rsidRDefault="005E62C5" w:rsidP="00025B3F">
            <w:pPr>
              <w:pStyle w:val="Tabletext"/>
              <w:rPr>
                <w:iCs/>
              </w:rPr>
            </w:pPr>
            <w:r w:rsidRPr="00EF5B8F">
              <w:t xml:space="preserve">ExteNET data is applied for the iDFS and remission health states. </w:t>
            </w:r>
            <w:r w:rsidRPr="00EF5B8F">
              <w:rPr>
                <w:iCs/>
              </w:rPr>
              <w:t>Trial data was not provided and could not be verified. The ESC noted there is a substantial amount of missing data in both treatment arms of ExteNET as patients who discontinue treatment are not included. This may overestimate the utility values, favouring neratinib.</w:t>
            </w:r>
          </w:p>
          <w:p w:rsidR="005E62C5" w:rsidRPr="00EF5B8F" w:rsidRDefault="005E62C5" w:rsidP="00025B3F">
            <w:pPr>
              <w:pStyle w:val="Tabletext"/>
            </w:pPr>
          </w:p>
          <w:p w:rsidR="005E62C5" w:rsidRPr="00EF5B8F" w:rsidRDefault="005E62C5" w:rsidP="00025B3F">
            <w:pPr>
              <w:pStyle w:val="Tabletext"/>
            </w:pPr>
            <w:r w:rsidRPr="00EF5B8F">
              <w:t xml:space="preserve">Different utilities were applied to locoregional recurrence and distant. </w:t>
            </w:r>
            <w:r w:rsidRPr="00EF5B8F">
              <w:rPr>
                <w:iCs/>
              </w:rPr>
              <w:t xml:space="preserve">This attempts to address </w:t>
            </w:r>
            <w:r w:rsidR="00FD23DE" w:rsidRPr="00EF5B8F">
              <w:rPr>
                <w:iCs/>
              </w:rPr>
              <w:t>PBAC'</w:t>
            </w:r>
            <w:r w:rsidRPr="00EF5B8F">
              <w:rPr>
                <w:iCs/>
              </w:rPr>
              <w:t>s concern however there are issues with the accuracy of the estimates applied from the literature and bias in the sources used which may overestimate utility values, favouring neratinib.</w:t>
            </w:r>
          </w:p>
          <w:p w:rsidR="005E62C5" w:rsidRPr="00EF5B8F" w:rsidRDefault="005E62C5" w:rsidP="00025B3F">
            <w:pPr>
              <w:pStyle w:val="Tabletext"/>
            </w:pPr>
          </w:p>
          <w:p w:rsidR="005E62C5" w:rsidRPr="00EF5B8F" w:rsidRDefault="005E62C5" w:rsidP="00025B3F">
            <w:pPr>
              <w:pStyle w:val="Tabletext"/>
              <w:rPr>
                <w:iCs/>
              </w:rPr>
            </w:pPr>
            <w:r w:rsidRPr="00EF5B8F">
              <w:t xml:space="preserve">Disutilities were applied for all frequently reported AE ≥ grade 3. Duration of disutility was drawn from ExteNET. </w:t>
            </w:r>
            <w:r w:rsidRPr="00EF5B8F">
              <w:rPr>
                <w:iCs/>
              </w:rPr>
              <w:t>This addressed PBAC’s concern.</w:t>
            </w:r>
          </w:p>
        </w:tc>
      </w:tr>
      <w:tr w:rsidR="005E62C5" w:rsidRPr="00BB3215" w:rsidTr="00031660">
        <w:tc>
          <w:tcPr>
            <w:tcW w:w="705" w:type="pct"/>
          </w:tcPr>
          <w:p w:rsidR="005E62C5" w:rsidRPr="00BB3215" w:rsidRDefault="005E62C5" w:rsidP="00025B3F">
            <w:pPr>
              <w:pStyle w:val="Tabletext"/>
            </w:pPr>
            <w:r w:rsidRPr="00BB3215">
              <w:t>Neratinib cost</w:t>
            </w:r>
          </w:p>
        </w:tc>
        <w:tc>
          <w:tcPr>
            <w:tcW w:w="1572" w:type="pct"/>
          </w:tcPr>
          <w:p w:rsidR="005E62C5" w:rsidRPr="00BB3215" w:rsidRDefault="005E62C5" w:rsidP="00025B3F">
            <w:pPr>
              <w:pStyle w:val="Tabletext"/>
            </w:pPr>
            <w:r w:rsidRPr="00BB3215">
              <w:t xml:space="preserve">The model calculated the drug cost by multiplying the monthly cost by the proportion disease free for the duration of 8.23 months, however the mean duration (of 8.23) already accounted for discontinuation of patients who have progressed. </w:t>
            </w:r>
            <w:r w:rsidRPr="00BB3215">
              <w:lastRenderedPageBreak/>
              <w:t>Wastage was not included in the base case (para 6.56 &amp; 7.15).</w:t>
            </w:r>
          </w:p>
        </w:tc>
        <w:tc>
          <w:tcPr>
            <w:tcW w:w="2723" w:type="pct"/>
          </w:tcPr>
          <w:p w:rsidR="005E62C5" w:rsidRPr="00EF5B8F" w:rsidRDefault="00134683" w:rsidP="00025B3F">
            <w:pPr>
              <w:pStyle w:val="Tabletext"/>
              <w:rPr>
                <w:iCs/>
              </w:rPr>
            </w:pPr>
            <w:r w:rsidRPr="00EF5B8F">
              <w:rPr>
                <w:iCs/>
              </w:rPr>
              <w:lastRenderedPageBreak/>
              <w:t xml:space="preserve">The resubmission used the </w:t>
            </w:r>
            <w:r w:rsidR="00F54065" w:rsidRPr="00EF5B8F">
              <w:rPr>
                <w:iCs/>
              </w:rPr>
              <w:t>mean</w:t>
            </w:r>
            <w:r w:rsidRPr="00EF5B8F">
              <w:rPr>
                <w:iCs/>
              </w:rPr>
              <w:t xml:space="preserve"> duration of 8.1 months </w:t>
            </w:r>
            <w:r w:rsidR="00F54065" w:rsidRPr="00EF5B8F">
              <w:rPr>
                <w:iCs/>
              </w:rPr>
              <w:t xml:space="preserve">(based on the HR+ population who received neratinib within 12 months of trastuzumab) </w:t>
            </w:r>
            <w:r w:rsidRPr="00EF5B8F">
              <w:rPr>
                <w:iCs/>
              </w:rPr>
              <w:t xml:space="preserve">rather than 8.23 </w:t>
            </w:r>
            <w:r w:rsidR="00F54065" w:rsidRPr="00EF5B8F">
              <w:rPr>
                <w:iCs/>
              </w:rPr>
              <w:t xml:space="preserve">(ITT population) </w:t>
            </w:r>
            <w:r w:rsidRPr="00EF5B8F">
              <w:rPr>
                <w:iCs/>
              </w:rPr>
              <w:t>but</w:t>
            </w:r>
            <w:r w:rsidR="005E62C5" w:rsidRPr="00EF5B8F">
              <w:rPr>
                <w:iCs/>
              </w:rPr>
              <w:t xml:space="preserve"> did not address this issue</w:t>
            </w:r>
            <w:r w:rsidRPr="00EF5B8F">
              <w:rPr>
                <w:iCs/>
              </w:rPr>
              <w:t xml:space="preserve"> or include wastage</w:t>
            </w:r>
            <w:r w:rsidR="00FD23DE" w:rsidRPr="00EF5B8F">
              <w:rPr>
                <w:iCs/>
              </w:rPr>
              <w:t>, which underestimated the costs.</w:t>
            </w:r>
          </w:p>
        </w:tc>
      </w:tr>
      <w:tr w:rsidR="005E62C5" w:rsidRPr="00BB3215" w:rsidTr="00031660">
        <w:tc>
          <w:tcPr>
            <w:tcW w:w="705" w:type="pct"/>
          </w:tcPr>
          <w:p w:rsidR="005E62C5" w:rsidRPr="00BB3215" w:rsidRDefault="005E62C5" w:rsidP="00025B3F">
            <w:pPr>
              <w:pStyle w:val="Tabletext"/>
            </w:pPr>
            <w:r w:rsidRPr="00BB3215">
              <w:t>Health care resource costs</w:t>
            </w:r>
          </w:p>
        </w:tc>
        <w:tc>
          <w:tcPr>
            <w:tcW w:w="1572" w:type="pct"/>
          </w:tcPr>
          <w:p w:rsidR="005E62C5" w:rsidRPr="00BB3215" w:rsidRDefault="005E62C5" w:rsidP="00025B3F">
            <w:pPr>
              <w:pStyle w:val="Tabletext"/>
            </w:pPr>
            <w:r w:rsidRPr="00BB3215">
              <w:t xml:space="preserve">The use of loperamide was underestimated, cost of endocrine therapies were not included, several medical service/diagnostic costs were not included, several treatments for adverse events and subsequent therapy following disease recurrence were </w:t>
            </w:r>
            <w:r w:rsidR="00134683">
              <w:t>inappropriate (para 6.55 &amp; 7.15</w:t>
            </w:r>
            <w:r w:rsidRPr="00BB3215">
              <w:t>).</w:t>
            </w:r>
          </w:p>
        </w:tc>
        <w:tc>
          <w:tcPr>
            <w:tcW w:w="2723" w:type="pct"/>
          </w:tcPr>
          <w:p w:rsidR="005E62C5" w:rsidRPr="00EF5B8F" w:rsidRDefault="005E62C5" w:rsidP="00025B3F">
            <w:pPr>
              <w:pStyle w:val="Tabletext"/>
            </w:pPr>
            <w:r w:rsidRPr="00EF5B8F">
              <w:t>Use of loperamide is</w:t>
            </w:r>
            <w:r w:rsidR="00134683" w:rsidRPr="00EF5B8F">
              <w:t xml:space="preserve"> less than original submission and therefore this issue was not addressed. </w:t>
            </w:r>
          </w:p>
          <w:p w:rsidR="005E62C5" w:rsidRPr="00EF5B8F" w:rsidRDefault="005E62C5" w:rsidP="00025B3F">
            <w:pPr>
              <w:pStyle w:val="Tabletext"/>
            </w:pPr>
          </w:p>
          <w:p w:rsidR="005E62C5" w:rsidRPr="00EF5B8F" w:rsidRDefault="005E62C5" w:rsidP="00025B3F">
            <w:pPr>
              <w:pStyle w:val="Tabletext"/>
              <w:rPr>
                <w:iCs/>
              </w:rPr>
            </w:pPr>
            <w:r w:rsidRPr="00EF5B8F">
              <w:t xml:space="preserve">Endocrine therapy and additional medical service/diagnostic costs are included. </w:t>
            </w:r>
            <w:r w:rsidRPr="00EF5B8F">
              <w:rPr>
                <w:iCs/>
              </w:rPr>
              <w:t>This addressed PBAC’s concern.</w:t>
            </w:r>
          </w:p>
          <w:p w:rsidR="005E62C5" w:rsidRPr="00EF5B8F" w:rsidRDefault="005E62C5" w:rsidP="00025B3F">
            <w:pPr>
              <w:pStyle w:val="Tabletext"/>
            </w:pPr>
          </w:p>
          <w:p w:rsidR="005E62C5" w:rsidRPr="00EF5B8F" w:rsidRDefault="005E62C5" w:rsidP="007A0E56">
            <w:pPr>
              <w:pStyle w:val="Tabletext"/>
            </w:pPr>
            <w:r w:rsidRPr="00EF5B8F">
              <w:t xml:space="preserve">Adverse event treatments and subsequent therapies are updated. </w:t>
            </w:r>
            <w:r w:rsidRPr="00EF5B8F">
              <w:rPr>
                <w:iCs/>
              </w:rPr>
              <w:t xml:space="preserve">This attempted to address PBAC’s concern however some subsequent therapies in the resubmission are inappropriate as they are not consistent with existing PBS listings. The duration of subsequent treatment </w:t>
            </w:r>
            <w:r w:rsidR="007E2921">
              <w:rPr>
                <w:iCs/>
              </w:rPr>
              <w:t>following recurrence is likely overestimated, favouring neratinib</w:t>
            </w:r>
            <w:r w:rsidRPr="00EF5B8F">
              <w:rPr>
                <w:iCs/>
              </w:rPr>
              <w:t xml:space="preserve">. </w:t>
            </w:r>
          </w:p>
        </w:tc>
      </w:tr>
      <w:tr w:rsidR="005E62C5" w:rsidRPr="00BB3215" w:rsidTr="00031660">
        <w:tc>
          <w:tcPr>
            <w:tcW w:w="705" w:type="pct"/>
          </w:tcPr>
          <w:p w:rsidR="005E62C5" w:rsidRPr="00BB3215" w:rsidRDefault="005E62C5" w:rsidP="00025B3F">
            <w:pPr>
              <w:pStyle w:val="Tabletext"/>
            </w:pPr>
            <w:r w:rsidRPr="00BB3215">
              <w:t>Age of modelled cohort</w:t>
            </w:r>
          </w:p>
        </w:tc>
        <w:tc>
          <w:tcPr>
            <w:tcW w:w="1572" w:type="pct"/>
          </w:tcPr>
          <w:p w:rsidR="005E62C5" w:rsidRPr="00BB3215" w:rsidRDefault="005E62C5" w:rsidP="00025B3F">
            <w:pPr>
              <w:pStyle w:val="Tabletext"/>
            </w:pPr>
            <w:r w:rsidRPr="00BB3215">
              <w:t>The age of the cohort in the model was derived from the mean age in the ExteNET trial rather than the mean age of newly diagnosed breast cancer patients in Australia (para 6.55).</w:t>
            </w:r>
          </w:p>
        </w:tc>
        <w:tc>
          <w:tcPr>
            <w:tcW w:w="2723" w:type="pct"/>
          </w:tcPr>
          <w:p w:rsidR="005E62C5" w:rsidRPr="00EF5B8F" w:rsidRDefault="005E62C5" w:rsidP="00025B3F">
            <w:pPr>
              <w:pStyle w:val="Tabletext"/>
              <w:rPr>
                <w:iCs/>
              </w:rPr>
            </w:pPr>
            <w:r w:rsidRPr="00EF5B8F">
              <w:t>The age in the resubmission (51.2 years) is younger than in the original submission (52.3).</w:t>
            </w:r>
            <w:r w:rsidRPr="00EF5B8F">
              <w:rPr>
                <w:iCs/>
              </w:rPr>
              <w:t xml:space="preserve"> The resubmission proposed that this difference is justified as HR+ patients tend to be younger. This justification is uncertain.</w:t>
            </w:r>
            <w:r w:rsidR="00134683" w:rsidRPr="00EF5B8F">
              <w:rPr>
                <w:iCs/>
              </w:rPr>
              <w:t xml:space="preserve"> </w:t>
            </w:r>
            <w:r w:rsidR="00134683" w:rsidRPr="00EF5B8F">
              <w:t>The PSCR argued that the mean age in the modelled population is consistent with the average age in the three most recent clinical trials in eBC and the Australian patients in the NAP. However, the ESC noted that the mean/median age of NAP and the clinical trial patients is consistently below that observed for women with eBC in Australia and therefore not representative of the specific women to whom the requested listing would apply.</w:t>
            </w:r>
          </w:p>
        </w:tc>
      </w:tr>
    </w:tbl>
    <w:p w:rsidR="00C61F77" w:rsidRPr="00BB3215" w:rsidRDefault="00C61F77" w:rsidP="00025B3F">
      <w:pPr>
        <w:pStyle w:val="TableFooter"/>
        <w:widowControl/>
      </w:pPr>
      <w:r w:rsidRPr="00BB3215">
        <w:t xml:space="preserve">AE: adverse event, eBC: early breast cancer, HR: hormone receptor, iDFS: invasive disease free survival, LR: locoregional recurrence, mBC: metastatic breast cancer, </w:t>
      </w:r>
      <w:r>
        <w:t xml:space="preserve">NAP: Nerlynx Access Program, </w:t>
      </w:r>
      <w:r w:rsidRPr="00BB3215">
        <w:t xml:space="preserve">OS: overall survival, PDRS: post distant recurrence survival, </w:t>
      </w:r>
      <w:r>
        <w:t xml:space="preserve">PSCR: pre-sub-committee response, </w:t>
      </w:r>
      <w:r w:rsidRPr="00BB3215">
        <w:t>Ptz: pertuzumab, T: trastuzumab, T-DM1: trastuzumab emtansine</w:t>
      </w:r>
      <w:r w:rsidR="00E45A9B">
        <w:t>.</w:t>
      </w:r>
      <w:r w:rsidRPr="00BB3215">
        <w:t xml:space="preserve"> </w:t>
      </w:r>
    </w:p>
    <w:p w:rsidR="00C61F77" w:rsidRPr="00BB3215" w:rsidRDefault="00C61F77" w:rsidP="00025B3F">
      <w:pPr>
        <w:pStyle w:val="TableFooter"/>
        <w:widowControl/>
      </w:pPr>
      <w:r w:rsidRPr="00BB3215">
        <w:t xml:space="preserve">Source: Neratinib Public Summary Document (PSD), March 2019, Neratinib resubmission for November 2019 PBAC meeting, </w:t>
      </w:r>
      <w:r w:rsidRPr="00BB3215">
        <w:rPr>
          <w:szCs w:val="16"/>
        </w:rPr>
        <w:t>Table 14, p47 of the resubmission, Table 23, p72 of the resubmission.</w:t>
      </w:r>
    </w:p>
    <w:p w:rsidR="001A18CD" w:rsidRPr="00BB3215" w:rsidRDefault="001A18CD" w:rsidP="00025B3F">
      <w:pPr>
        <w:widowControl/>
      </w:pPr>
    </w:p>
    <w:p w:rsidR="001A18CD" w:rsidRPr="00BB3215" w:rsidRDefault="001A18CD" w:rsidP="00A84C29">
      <w:pPr>
        <w:pStyle w:val="ListParagraph"/>
        <w:widowControl/>
        <w:numPr>
          <w:ilvl w:val="1"/>
          <w:numId w:val="5"/>
        </w:numPr>
      </w:pPr>
      <w:r w:rsidRPr="00BB3215">
        <w:t xml:space="preserve">Table </w:t>
      </w:r>
      <w:r w:rsidR="000D534A">
        <w:t>12</w:t>
      </w:r>
      <w:r w:rsidR="00174AA7" w:rsidRPr="00BB3215">
        <w:t xml:space="preserve"> </w:t>
      </w:r>
      <w:r w:rsidRPr="00BB3215">
        <w:t>presents the key drivers of the economic model.</w:t>
      </w:r>
    </w:p>
    <w:p w:rsidR="001A18CD" w:rsidRPr="00BB3215" w:rsidRDefault="001A18CD" w:rsidP="00285496">
      <w:pPr>
        <w:keepNext/>
        <w:widowControl/>
        <w:rPr>
          <w:rStyle w:val="CommentReference"/>
        </w:rPr>
      </w:pPr>
      <w:r w:rsidRPr="00BB3215">
        <w:rPr>
          <w:rStyle w:val="CommentReference"/>
        </w:rPr>
        <w:lastRenderedPageBreak/>
        <w:t xml:space="preserve">Table </w:t>
      </w:r>
      <w:r w:rsidR="000D534A">
        <w:rPr>
          <w:rStyle w:val="CommentReference"/>
        </w:rPr>
        <w:t>12</w:t>
      </w:r>
      <w:r w:rsidRPr="00BB3215">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4619"/>
        <w:gridCol w:w="2685"/>
      </w:tblGrid>
      <w:tr w:rsidR="001A18CD" w:rsidRPr="00BB3215" w:rsidTr="005A36B4">
        <w:trPr>
          <w:tblHeader/>
        </w:trPr>
        <w:tc>
          <w:tcPr>
            <w:tcW w:w="950" w:type="pct"/>
            <w:shd w:val="clear" w:color="auto" w:fill="auto"/>
            <w:vAlign w:val="center"/>
          </w:tcPr>
          <w:p w:rsidR="001A18CD" w:rsidRPr="00BB3215" w:rsidRDefault="001A18CD" w:rsidP="00285496">
            <w:pPr>
              <w:pStyle w:val="Tabletext"/>
              <w:keepNext/>
              <w:rPr>
                <w:b/>
              </w:rPr>
            </w:pPr>
            <w:r w:rsidRPr="00BB3215">
              <w:rPr>
                <w:b/>
              </w:rPr>
              <w:t>Description</w:t>
            </w:r>
          </w:p>
        </w:tc>
        <w:tc>
          <w:tcPr>
            <w:tcW w:w="2561" w:type="pct"/>
            <w:shd w:val="clear" w:color="auto" w:fill="auto"/>
            <w:vAlign w:val="center"/>
          </w:tcPr>
          <w:p w:rsidR="001A18CD" w:rsidRPr="00BB3215" w:rsidRDefault="001A18CD" w:rsidP="00285496">
            <w:pPr>
              <w:pStyle w:val="Tabletext"/>
              <w:keepNext/>
              <w:jc w:val="center"/>
              <w:rPr>
                <w:b/>
              </w:rPr>
            </w:pPr>
            <w:r w:rsidRPr="00BB3215">
              <w:rPr>
                <w:b/>
              </w:rPr>
              <w:t>Method/Value</w:t>
            </w:r>
          </w:p>
        </w:tc>
        <w:tc>
          <w:tcPr>
            <w:tcW w:w="1489" w:type="pct"/>
            <w:shd w:val="clear" w:color="auto" w:fill="auto"/>
            <w:vAlign w:val="center"/>
          </w:tcPr>
          <w:p w:rsidR="001A18CD" w:rsidRPr="00BB3215" w:rsidRDefault="001A18CD" w:rsidP="00285496">
            <w:pPr>
              <w:pStyle w:val="Tabletext"/>
              <w:keepNext/>
              <w:jc w:val="center"/>
              <w:rPr>
                <w:b/>
              </w:rPr>
            </w:pPr>
            <w:r w:rsidRPr="00BB3215">
              <w:rPr>
                <w:b/>
              </w:rPr>
              <w:t>Impact</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Extrapolation function</w:t>
            </w:r>
          </w:p>
        </w:tc>
        <w:tc>
          <w:tcPr>
            <w:tcW w:w="2561" w:type="pct"/>
            <w:shd w:val="clear" w:color="auto" w:fill="auto"/>
            <w:vAlign w:val="center"/>
          </w:tcPr>
          <w:p w:rsidR="001A18CD" w:rsidRPr="00134586" w:rsidRDefault="001A18CD" w:rsidP="00285496">
            <w:pPr>
              <w:pStyle w:val="Tabletext"/>
              <w:keepNext/>
              <w:rPr>
                <w:iCs/>
              </w:rPr>
            </w:pPr>
            <w:r w:rsidRPr="00134586">
              <w:t xml:space="preserve">Base case uses flexible-spline Weibull (1 knot) to extrapolate iDFS for the duration of the trial. </w:t>
            </w:r>
            <w:r w:rsidRPr="00134586">
              <w:rPr>
                <w:iCs/>
              </w:rPr>
              <w:t>Choice of extrapolation function was identified as a driver of uncertainty in the original submission as only selected functions could be tested in the model.</w:t>
            </w:r>
          </w:p>
        </w:tc>
        <w:tc>
          <w:tcPr>
            <w:tcW w:w="1489" w:type="pct"/>
            <w:shd w:val="clear" w:color="auto" w:fill="auto"/>
            <w:vAlign w:val="center"/>
          </w:tcPr>
          <w:p w:rsidR="001A18CD" w:rsidRDefault="001A18CD" w:rsidP="00285496">
            <w:pPr>
              <w:pStyle w:val="Tabletext"/>
              <w:keepNext/>
            </w:pPr>
            <w:r w:rsidRPr="00134586">
              <w:t>High, favours neratinib</w:t>
            </w:r>
          </w:p>
          <w:p w:rsidR="009320B7" w:rsidRPr="00C472F4" w:rsidRDefault="00766D26" w:rsidP="00285496">
            <w:pPr>
              <w:pStyle w:val="Tabletext"/>
              <w:keepNext/>
            </w:pPr>
            <w:r w:rsidRPr="00C472F4">
              <w:t>ICER $</w:t>
            </w:r>
            <w:r w:rsidR="00152B62">
              <w:rPr>
                <w:noProof/>
                <w:color w:val="000000"/>
                <w:highlight w:val="black"/>
              </w:rPr>
              <w:t>'''''''''''''''''''''</w:t>
            </w:r>
            <w:r w:rsidR="009320B7" w:rsidRPr="00C472F4">
              <w:t xml:space="preserve"> with gen</w:t>
            </w:r>
            <w:r w:rsidR="000678BE" w:rsidRPr="00C472F4">
              <w:t>eralised</w:t>
            </w:r>
            <w:r w:rsidR="009320B7" w:rsidRPr="00C472F4">
              <w:t xml:space="preserve"> gamma</w:t>
            </w:r>
            <w:r w:rsidR="00910AC6" w:rsidRPr="00C472F4">
              <w:t xml:space="preserve"> function</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Dosage/wastage</w:t>
            </w:r>
          </w:p>
        </w:tc>
        <w:tc>
          <w:tcPr>
            <w:tcW w:w="2561" w:type="pct"/>
            <w:shd w:val="clear" w:color="auto" w:fill="auto"/>
            <w:vAlign w:val="center"/>
          </w:tcPr>
          <w:p w:rsidR="001A18CD" w:rsidRPr="00134586" w:rsidRDefault="001A18CD" w:rsidP="00285496">
            <w:pPr>
              <w:pStyle w:val="Tabletext"/>
              <w:keepNext/>
              <w:rPr>
                <w:iCs/>
              </w:rPr>
            </w:pPr>
            <w:r w:rsidRPr="00134586">
              <w:t xml:space="preserve">210 mg daily for 8.1 months (7.10 prescriptions) rather than 8.58 prescriptions used to estimate the financial impact. </w:t>
            </w:r>
            <w:r w:rsidRPr="00134586">
              <w:rPr>
                <w:iCs/>
              </w:rPr>
              <w:t>The dosage in the resubmission has changed from the original submission and continues to drive the ICER.</w:t>
            </w:r>
          </w:p>
        </w:tc>
        <w:tc>
          <w:tcPr>
            <w:tcW w:w="1489" w:type="pct"/>
            <w:shd w:val="clear" w:color="auto" w:fill="auto"/>
            <w:vAlign w:val="center"/>
          </w:tcPr>
          <w:p w:rsidR="001A18CD" w:rsidRPr="00EF5B8F" w:rsidRDefault="001A18CD" w:rsidP="00285496">
            <w:pPr>
              <w:pStyle w:val="Tabletext"/>
              <w:keepNext/>
            </w:pPr>
            <w:r w:rsidRPr="00EF5B8F">
              <w:t>High, favours neratinib</w:t>
            </w:r>
          </w:p>
          <w:p w:rsidR="009320B7" w:rsidRPr="00EF5B8F" w:rsidRDefault="00900FB1" w:rsidP="00285496">
            <w:pPr>
              <w:pStyle w:val="Tabletext"/>
              <w:keepNext/>
            </w:pPr>
            <w:r w:rsidRPr="00EF5B8F">
              <w:t>ICER $</w:t>
            </w:r>
            <w:r w:rsidR="00152B62">
              <w:rPr>
                <w:noProof/>
                <w:color w:val="000000"/>
                <w:highlight w:val="black"/>
              </w:rPr>
              <w:t>'''''''''''''''</w:t>
            </w:r>
            <w:r w:rsidR="009320B7" w:rsidRPr="00EF5B8F">
              <w:t xml:space="preserve"> with 12</w:t>
            </w:r>
            <w:r w:rsidR="00960E4E" w:rsidRPr="00EF5B8F">
              <w:t xml:space="preserve"> </w:t>
            </w:r>
            <w:r w:rsidR="009320B7" w:rsidRPr="00EF5B8F">
              <w:t>mo</w:t>
            </w:r>
            <w:r w:rsidRPr="00EF5B8F">
              <w:t>nth treatment duration</w:t>
            </w:r>
            <w:r w:rsidR="009320B7" w:rsidRPr="00EF5B8F">
              <w:t xml:space="preserve"> (vs 8.1</w:t>
            </w:r>
            <w:r w:rsidRPr="00EF5B8F">
              <w:t xml:space="preserve"> months); $</w:t>
            </w:r>
            <w:r w:rsidR="00152B62">
              <w:rPr>
                <w:noProof/>
                <w:color w:val="000000"/>
                <w:highlight w:val="black"/>
              </w:rPr>
              <w:t>''''''''''''''''''</w:t>
            </w:r>
            <w:r w:rsidR="009320B7" w:rsidRPr="00EF5B8F">
              <w:t xml:space="preserve"> with wastage</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Subsequent treatment</w:t>
            </w:r>
          </w:p>
        </w:tc>
        <w:tc>
          <w:tcPr>
            <w:tcW w:w="2561" w:type="pct"/>
            <w:shd w:val="clear" w:color="auto" w:fill="auto"/>
            <w:vAlign w:val="center"/>
          </w:tcPr>
          <w:p w:rsidR="001A18CD" w:rsidRPr="00134586" w:rsidRDefault="001A18CD" w:rsidP="00285496">
            <w:pPr>
              <w:pStyle w:val="Tabletext"/>
              <w:keepNext/>
            </w:pPr>
            <w:r w:rsidRPr="00134586">
              <w:t xml:space="preserve">The duration of subsequent treatment is based on a UK submission for pertuzumab in eBC (NICE TA569) which assumes treatment durations longer than the 2018 DUSC analysis of medicines for the treatment of HER2+ metastatic breast cancer. </w:t>
            </w:r>
            <w:r w:rsidRPr="00134586">
              <w:rPr>
                <w:iCs/>
              </w:rPr>
              <w:t xml:space="preserve">The duration of treatment in the </w:t>
            </w:r>
            <w:r w:rsidR="001A6F37" w:rsidRPr="00134586">
              <w:rPr>
                <w:iCs/>
              </w:rPr>
              <w:t xml:space="preserve">modelled </w:t>
            </w:r>
            <w:r w:rsidRPr="00134586">
              <w:rPr>
                <w:iCs/>
              </w:rPr>
              <w:t>population is uncertain and likely overestimated.</w:t>
            </w:r>
          </w:p>
        </w:tc>
        <w:tc>
          <w:tcPr>
            <w:tcW w:w="1489" w:type="pct"/>
            <w:shd w:val="clear" w:color="auto" w:fill="auto"/>
            <w:vAlign w:val="center"/>
          </w:tcPr>
          <w:p w:rsidR="001A18CD" w:rsidRPr="00EF5B8F" w:rsidRDefault="001A18CD" w:rsidP="00285496">
            <w:pPr>
              <w:pStyle w:val="Tabletext"/>
              <w:keepNext/>
            </w:pPr>
            <w:r w:rsidRPr="00EF5B8F">
              <w:t>High, favours neratinib</w:t>
            </w:r>
          </w:p>
          <w:p w:rsidR="009320B7" w:rsidRPr="00EF5B8F" w:rsidRDefault="009320B7" w:rsidP="00285496">
            <w:pPr>
              <w:pStyle w:val="Tabletext"/>
              <w:keepNext/>
            </w:pPr>
            <w:r w:rsidRPr="00EF5B8F">
              <w:t>ICER $</w:t>
            </w:r>
            <w:r w:rsidR="00152B62">
              <w:rPr>
                <w:noProof/>
                <w:color w:val="000000"/>
                <w:highlight w:val="black"/>
              </w:rPr>
              <w:t xml:space="preserve">''''''''''''''''' </w:t>
            </w:r>
            <w:r w:rsidRPr="00EF5B8F">
              <w:t>-</w:t>
            </w:r>
            <w:r w:rsidR="000E175F" w:rsidRPr="00EF5B8F">
              <w:t xml:space="preserve"> $</w:t>
            </w:r>
            <w:r w:rsidR="00152B62">
              <w:rPr>
                <w:noProof/>
                <w:color w:val="000000"/>
                <w:highlight w:val="black"/>
              </w:rPr>
              <w:t>'''''''''''''''</w:t>
            </w:r>
            <w:r w:rsidRPr="00EF5B8F">
              <w:t xml:space="preserve"> with DUSC dur</w:t>
            </w:r>
            <w:r w:rsidR="003C1659" w:rsidRPr="00EF5B8F">
              <w:t>ation;</w:t>
            </w:r>
          </w:p>
          <w:p w:rsidR="009320B7" w:rsidRPr="00EF5B8F" w:rsidRDefault="007A1890" w:rsidP="00285496">
            <w:pPr>
              <w:pStyle w:val="Tabletext"/>
              <w:keepNext/>
            </w:pPr>
            <w:r w:rsidRPr="00EF5B8F">
              <w:t>ICER $</w:t>
            </w:r>
            <w:r w:rsidR="00152B62">
              <w:rPr>
                <w:noProof/>
                <w:color w:val="000000"/>
                <w:highlight w:val="black"/>
              </w:rPr>
              <w:t>''''''''''''''''</w:t>
            </w:r>
            <w:r w:rsidR="009320B7" w:rsidRPr="00EF5B8F">
              <w:t xml:space="preserve"> with DUSC duration and 12</w:t>
            </w:r>
            <w:r w:rsidR="003D14BB" w:rsidRPr="00EF5B8F">
              <w:t xml:space="preserve"> </w:t>
            </w:r>
            <w:r w:rsidR="009320B7" w:rsidRPr="00EF5B8F">
              <w:t>mo</w:t>
            </w:r>
            <w:r w:rsidR="003D14BB" w:rsidRPr="00EF5B8F">
              <w:t>nth treatment duration</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Treatment effect</w:t>
            </w:r>
          </w:p>
        </w:tc>
        <w:tc>
          <w:tcPr>
            <w:tcW w:w="2561" w:type="pct"/>
            <w:shd w:val="clear" w:color="auto" w:fill="auto"/>
            <w:vAlign w:val="center"/>
          </w:tcPr>
          <w:p w:rsidR="001A18CD" w:rsidRPr="00134586" w:rsidRDefault="001A18CD" w:rsidP="00285496">
            <w:pPr>
              <w:pStyle w:val="Tabletext"/>
              <w:keepNext/>
            </w:pPr>
            <w:r w:rsidRPr="00134586">
              <w:t>Treatment effect continued beyond 5 year ExteNET follow-up period, tapering to a HR=1 13.9 years post follow-up</w:t>
            </w:r>
          </w:p>
        </w:tc>
        <w:tc>
          <w:tcPr>
            <w:tcW w:w="1489" w:type="pct"/>
            <w:shd w:val="clear" w:color="auto" w:fill="auto"/>
            <w:vAlign w:val="center"/>
          </w:tcPr>
          <w:p w:rsidR="001A18CD" w:rsidRPr="00EF5B8F" w:rsidRDefault="001A18CD" w:rsidP="00285496">
            <w:pPr>
              <w:pStyle w:val="Tabletext"/>
              <w:keepNext/>
            </w:pPr>
            <w:r w:rsidRPr="00EF5B8F">
              <w:t>Moderate, favours neratinib</w:t>
            </w:r>
          </w:p>
          <w:p w:rsidR="009320B7" w:rsidRPr="00EF5B8F" w:rsidRDefault="00DE57C4" w:rsidP="00285496">
            <w:pPr>
              <w:pStyle w:val="Tabletext"/>
              <w:keepNext/>
            </w:pPr>
            <w:r w:rsidRPr="00EF5B8F">
              <w:t>ICER $</w:t>
            </w:r>
            <w:r w:rsidR="00152B62">
              <w:rPr>
                <w:noProof/>
                <w:color w:val="000000"/>
                <w:highlight w:val="black"/>
              </w:rPr>
              <w:t>'''''''''''''''</w:t>
            </w:r>
            <w:r w:rsidR="009320B7" w:rsidRPr="00EF5B8F">
              <w:t xml:space="preserve"> tapered to 10.2 yrs</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Overall survival</w:t>
            </w:r>
          </w:p>
        </w:tc>
        <w:tc>
          <w:tcPr>
            <w:tcW w:w="2561" w:type="pct"/>
            <w:shd w:val="clear" w:color="auto" w:fill="auto"/>
            <w:vAlign w:val="center"/>
          </w:tcPr>
          <w:p w:rsidR="001A18CD" w:rsidRPr="00134586" w:rsidRDefault="001A18CD" w:rsidP="00AE687F">
            <w:pPr>
              <w:pStyle w:val="Tabletext"/>
              <w:keepNext/>
              <w:rPr>
                <w:iCs/>
              </w:rPr>
            </w:pPr>
            <w:r w:rsidRPr="00134586">
              <w:t xml:space="preserve">No overall survival data were presented in the resubmission. The PBAC identified that incorporating a substantial gain in OS despite no OS data from the ExteNET trial was an assumption that was uncertain and likely to favour neratinib </w:t>
            </w:r>
            <w:bookmarkStart w:id="19" w:name="_Hlk18623115"/>
            <w:r w:rsidRPr="00134586">
              <w:t>(</w:t>
            </w:r>
            <w:r w:rsidR="005A36B4" w:rsidRPr="00134586">
              <w:t xml:space="preserve">para 7.15, </w:t>
            </w:r>
            <w:r w:rsidR="00AE687F">
              <w:t>n</w:t>
            </w:r>
            <w:r w:rsidRPr="00134586">
              <w:t>eratinib PSD, March 2019)</w:t>
            </w:r>
            <w:bookmarkEnd w:id="19"/>
          </w:p>
        </w:tc>
        <w:tc>
          <w:tcPr>
            <w:tcW w:w="1489" w:type="pct"/>
            <w:shd w:val="clear" w:color="auto" w:fill="auto"/>
            <w:vAlign w:val="center"/>
          </w:tcPr>
          <w:p w:rsidR="001A18CD" w:rsidRPr="00EF5B8F" w:rsidRDefault="001A18CD" w:rsidP="00285496">
            <w:pPr>
              <w:pStyle w:val="Tabletext"/>
              <w:keepNext/>
            </w:pPr>
            <w:r w:rsidRPr="00EF5B8F">
              <w:t xml:space="preserve">Uncertain, </w:t>
            </w:r>
            <w:r w:rsidR="009320B7" w:rsidRPr="00EF5B8F">
              <w:t xml:space="preserve">likely to </w:t>
            </w:r>
            <w:r w:rsidRPr="00EF5B8F">
              <w:t>favour neratinib</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Extrapolation data sources</w:t>
            </w:r>
          </w:p>
        </w:tc>
        <w:tc>
          <w:tcPr>
            <w:tcW w:w="2561" w:type="pct"/>
            <w:shd w:val="clear" w:color="auto" w:fill="auto"/>
            <w:vAlign w:val="center"/>
          </w:tcPr>
          <w:p w:rsidR="001A18CD" w:rsidRPr="00134586" w:rsidRDefault="001A18CD" w:rsidP="00285496">
            <w:pPr>
              <w:pStyle w:val="Tabletext"/>
              <w:keepNext/>
              <w:rPr>
                <w:iCs/>
              </w:rPr>
            </w:pPr>
            <w:r w:rsidRPr="00134586">
              <w:t xml:space="preserve">Transition probabilities were based on fitted extrapolation functions for the entirety of the model. </w:t>
            </w:r>
            <w:r w:rsidRPr="00134586">
              <w:rPr>
                <w:iCs/>
              </w:rPr>
              <w:t>Kaplan Meier data were not included in the model so the visual fit of extrapolated functions could not be verified.</w:t>
            </w:r>
            <w:r w:rsidRPr="00134586">
              <w:t xml:space="preserve"> </w:t>
            </w:r>
            <w:r w:rsidRPr="00134586">
              <w:rPr>
                <w:iCs/>
              </w:rPr>
              <w:t>This is unchanged from the original submission.</w:t>
            </w:r>
          </w:p>
        </w:tc>
        <w:tc>
          <w:tcPr>
            <w:tcW w:w="1489" w:type="pct"/>
            <w:shd w:val="clear" w:color="auto" w:fill="auto"/>
            <w:vAlign w:val="center"/>
          </w:tcPr>
          <w:p w:rsidR="001A18CD" w:rsidRPr="00EF5B8F" w:rsidRDefault="001A18CD" w:rsidP="00285496">
            <w:pPr>
              <w:pStyle w:val="Tabletext"/>
              <w:keepNext/>
            </w:pPr>
            <w:r w:rsidRPr="00EF5B8F">
              <w:t>Uncertain</w:t>
            </w:r>
          </w:p>
        </w:tc>
      </w:tr>
      <w:tr w:rsidR="001A18CD" w:rsidRPr="00BB3215" w:rsidTr="005A36B4">
        <w:tc>
          <w:tcPr>
            <w:tcW w:w="950" w:type="pct"/>
            <w:shd w:val="clear" w:color="auto" w:fill="auto"/>
            <w:vAlign w:val="center"/>
          </w:tcPr>
          <w:p w:rsidR="001A18CD" w:rsidRPr="00BB3215" w:rsidRDefault="001A18CD" w:rsidP="00285496">
            <w:pPr>
              <w:pStyle w:val="Tabletext"/>
              <w:keepNext/>
            </w:pPr>
            <w:r w:rsidRPr="00BB3215">
              <w:t>Cohort age</w:t>
            </w:r>
          </w:p>
        </w:tc>
        <w:tc>
          <w:tcPr>
            <w:tcW w:w="2561" w:type="pct"/>
            <w:shd w:val="clear" w:color="auto" w:fill="auto"/>
            <w:vAlign w:val="center"/>
          </w:tcPr>
          <w:p w:rsidR="001A18CD" w:rsidRPr="00134586" w:rsidRDefault="001A18CD" w:rsidP="00285496">
            <w:pPr>
              <w:pStyle w:val="Tabletext"/>
              <w:keepNext/>
              <w:rPr>
                <w:iCs/>
              </w:rPr>
            </w:pPr>
            <w:r w:rsidRPr="00134586">
              <w:t>The mean age of the modelled population is 51.2 years, compared with 58.5 years reported in a 2004 study of Australian women with eBC</w:t>
            </w:r>
            <w:r w:rsidRPr="00134586">
              <w:rPr>
                <w:rStyle w:val="FootnoteReference"/>
              </w:rPr>
              <w:footnoteReference w:id="3"/>
            </w:r>
            <w:r w:rsidRPr="00134586">
              <w:t xml:space="preserve">. </w:t>
            </w:r>
            <w:r w:rsidRPr="00134586">
              <w:rPr>
                <w:iCs/>
              </w:rPr>
              <w:t>Cohort age was identified as an applicability issue in the original submission. The age of patients in the model is younger than the original submission (52.3 years).</w:t>
            </w:r>
            <w:r w:rsidR="00960E4E">
              <w:rPr>
                <w:iCs/>
              </w:rPr>
              <w:t xml:space="preserve"> </w:t>
            </w:r>
          </w:p>
        </w:tc>
        <w:tc>
          <w:tcPr>
            <w:tcW w:w="1489" w:type="pct"/>
            <w:shd w:val="clear" w:color="auto" w:fill="auto"/>
            <w:vAlign w:val="center"/>
          </w:tcPr>
          <w:p w:rsidR="001A18CD" w:rsidRPr="00EF5B8F" w:rsidRDefault="001A18CD" w:rsidP="00285496">
            <w:pPr>
              <w:pStyle w:val="Tabletext"/>
              <w:keepNext/>
            </w:pPr>
            <w:r w:rsidRPr="00EF5B8F">
              <w:t>Uncertain</w:t>
            </w:r>
            <w:r w:rsidR="00695109" w:rsidRPr="00EF5B8F">
              <w:t>, a</w:t>
            </w:r>
            <w:r w:rsidR="00056FD9" w:rsidRPr="00EF5B8F">
              <w:t xml:space="preserve"> coding error in the model meant</w:t>
            </w:r>
            <w:r w:rsidR="00695109" w:rsidRPr="00EF5B8F">
              <w:t xml:space="preserve"> the impact of this uncertainty could not be assessed</w:t>
            </w:r>
            <w:r w:rsidR="00056FD9" w:rsidRPr="00EF5B8F">
              <w:t xml:space="preserve"> during the evaluation. The PSCR stated that adjusting the patient age to 58.5 years resulted in an ICER of $</w:t>
            </w:r>
            <w:r w:rsidR="00152B62">
              <w:rPr>
                <w:noProof/>
                <w:color w:val="000000"/>
                <w:highlight w:val="black"/>
              </w:rPr>
              <w:t>''''''''''''''''</w:t>
            </w:r>
            <w:r w:rsidR="00056FD9" w:rsidRPr="00EF5B8F">
              <w:t>/QALY, however this could not be verified.</w:t>
            </w:r>
          </w:p>
        </w:tc>
      </w:tr>
    </w:tbl>
    <w:p w:rsidR="001A18CD" w:rsidRPr="00BB3215" w:rsidRDefault="001A18CD" w:rsidP="00025B3F">
      <w:pPr>
        <w:pStyle w:val="TableFooter"/>
        <w:widowControl/>
      </w:pPr>
      <w:r w:rsidRPr="00BB3215">
        <w:t>ICER: incremental cost effectiveness ratio</w:t>
      </w:r>
    </w:p>
    <w:p w:rsidR="001A18CD" w:rsidRPr="00BB3215" w:rsidRDefault="001A18CD" w:rsidP="00025B3F">
      <w:pPr>
        <w:pStyle w:val="TableFooter"/>
        <w:widowControl/>
      </w:pPr>
      <w:r w:rsidRPr="00BB3215">
        <w:t>Source: Compiled during the evaluation</w:t>
      </w:r>
    </w:p>
    <w:p w:rsidR="00960E4E" w:rsidRPr="00BB3215" w:rsidRDefault="00960E4E" w:rsidP="00025B3F">
      <w:pPr>
        <w:widowControl/>
      </w:pPr>
    </w:p>
    <w:p w:rsidR="001A18CD" w:rsidRPr="00BB3215" w:rsidRDefault="001A18CD" w:rsidP="00A84C29">
      <w:pPr>
        <w:pStyle w:val="ListParagraph"/>
        <w:widowControl/>
        <w:numPr>
          <w:ilvl w:val="1"/>
          <w:numId w:val="5"/>
        </w:numPr>
        <w:rPr>
          <w:i/>
        </w:rPr>
      </w:pPr>
      <w:r w:rsidRPr="00BB3215">
        <w:rPr>
          <w:iCs/>
        </w:rPr>
        <w:t xml:space="preserve">Table </w:t>
      </w:r>
      <w:r w:rsidR="000D534A">
        <w:rPr>
          <w:iCs/>
        </w:rPr>
        <w:t>13</w:t>
      </w:r>
      <w:r w:rsidR="00174AA7" w:rsidRPr="00BB3215">
        <w:rPr>
          <w:iCs/>
        </w:rPr>
        <w:t xml:space="preserve"> </w:t>
      </w:r>
      <w:r w:rsidRPr="00BB3215">
        <w:rPr>
          <w:iCs/>
        </w:rPr>
        <w:t>shows the results of the economic evaluation presented in the March 2019 original submission and November 2019 resubmission.</w:t>
      </w:r>
    </w:p>
    <w:p w:rsidR="001A18CD" w:rsidRPr="00BB3215" w:rsidRDefault="001A18CD" w:rsidP="00285496">
      <w:pPr>
        <w:keepNext/>
        <w:widowControl/>
      </w:pPr>
      <w:r w:rsidRPr="00BB3215">
        <w:rPr>
          <w:rStyle w:val="CommentReference"/>
        </w:rPr>
        <w:lastRenderedPageBreak/>
        <w:t xml:space="preserve">Table </w:t>
      </w:r>
      <w:r w:rsidR="00174AA7" w:rsidRPr="00BB3215">
        <w:rPr>
          <w:rStyle w:val="CommentReference"/>
        </w:rPr>
        <w:t>1</w:t>
      </w:r>
      <w:r w:rsidR="000D534A">
        <w:rPr>
          <w:rStyle w:val="CommentReference"/>
        </w:rPr>
        <w:t>3</w:t>
      </w:r>
      <w:r w:rsidRPr="00BB3215">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1A18CD" w:rsidRPr="00BB3215" w:rsidTr="005A36B4">
        <w:trPr>
          <w:tblHeader/>
        </w:trPr>
        <w:tc>
          <w:tcPr>
            <w:tcW w:w="1529" w:type="pct"/>
            <w:vAlign w:val="center"/>
          </w:tcPr>
          <w:p w:rsidR="001A18CD" w:rsidRPr="00BB3215" w:rsidRDefault="001A18CD" w:rsidP="00285496">
            <w:pPr>
              <w:pStyle w:val="Tabletext"/>
              <w:keepNext/>
              <w:rPr>
                <w:b/>
              </w:rPr>
            </w:pPr>
            <w:r w:rsidRPr="00BB3215">
              <w:rPr>
                <w:b/>
              </w:rPr>
              <w:t>Component</w:t>
            </w:r>
          </w:p>
        </w:tc>
        <w:tc>
          <w:tcPr>
            <w:tcW w:w="1359" w:type="pct"/>
            <w:vAlign w:val="center"/>
          </w:tcPr>
          <w:p w:rsidR="001A18CD" w:rsidRPr="00BB3215" w:rsidRDefault="001A18CD" w:rsidP="00285496">
            <w:pPr>
              <w:pStyle w:val="Tabletext"/>
              <w:keepNext/>
              <w:jc w:val="center"/>
              <w:rPr>
                <w:b/>
              </w:rPr>
            </w:pPr>
            <w:r w:rsidRPr="00BB3215">
              <w:rPr>
                <w:b/>
              </w:rPr>
              <w:t>Neratinib</w:t>
            </w:r>
          </w:p>
        </w:tc>
        <w:tc>
          <w:tcPr>
            <w:tcW w:w="1274" w:type="pct"/>
            <w:vAlign w:val="center"/>
          </w:tcPr>
          <w:p w:rsidR="001A18CD" w:rsidRPr="00BB3215" w:rsidRDefault="001A18CD" w:rsidP="00285496">
            <w:pPr>
              <w:pStyle w:val="Tabletext"/>
              <w:keepNext/>
              <w:jc w:val="center"/>
              <w:rPr>
                <w:b/>
              </w:rPr>
            </w:pPr>
            <w:r w:rsidRPr="00BB3215">
              <w:rPr>
                <w:b/>
              </w:rPr>
              <w:t>Placebo</w:t>
            </w:r>
          </w:p>
        </w:tc>
        <w:tc>
          <w:tcPr>
            <w:tcW w:w="838" w:type="pct"/>
            <w:vAlign w:val="center"/>
          </w:tcPr>
          <w:p w:rsidR="001A18CD" w:rsidRPr="00BB3215" w:rsidRDefault="001A18CD" w:rsidP="00285496">
            <w:pPr>
              <w:pStyle w:val="Tabletext"/>
              <w:keepNext/>
              <w:jc w:val="center"/>
              <w:rPr>
                <w:b/>
              </w:rPr>
            </w:pPr>
            <w:r w:rsidRPr="00BB3215">
              <w:rPr>
                <w:b/>
              </w:rPr>
              <w:t>Increment</w:t>
            </w:r>
          </w:p>
        </w:tc>
      </w:tr>
      <w:tr w:rsidR="001A18CD" w:rsidRPr="00BB3215" w:rsidTr="005A36B4">
        <w:tc>
          <w:tcPr>
            <w:tcW w:w="5000" w:type="pct"/>
            <w:gridSpan w:val="4"/>
            <w:vAlign w:val="center"/>
          </w:tcPr>
          <w:p w:rsidR="001A18CD" w:rsidRPr="00BB3215" w:rsidRDefault="001A18CD" w:rsidP="00285496">
            <w:pPr>
              <w:pStyle w:val="Tabletext"/>
              <w:keepNext/>
              <w:rPr>
                <w:b/>
                <w:snapToGrid w:val="0"/>
              </w:rPr>
            </w:pPr>
            <w:r w:rsidRPr="00BB3215">
              <w:rPr>
                <w:b/>
                <w:snapToGrid w:val="0"/>
              </w:rPr>
              <w:t>Original submission</w:t>
            </w:r>
          </w:p>
        </w:tc>
      </w:tr>
      <w:tr w:rsidR="001A18CD" w:rsidRPr="00BB3215" w:rsidTr="005A36B4">
        <w:tc>
          <w:tcPr>
            <w:tcW w:w="1529" w:type="pct"/>
            <w:vAlign w:val="center"/>
          </w:tcPr>
          <w:p w:rsidR="001A18CD" w:rsidRPr="00BB3215" w:rsidRDefault="001A18CD" w:rsidP="00285496">
            <w:pPr>
              <w:pStyle w:val="Tabletext"/>
              <w:keepNext/>
              <w:rPr>
                <w:rFonts w:ascii="Times" w:hAnsi="Times"/>
              </w:rPr>
            </w:pPr>
            <w:r w:rsidRPr="00BB3215">
              <w:t>Costs</w:t>
            </w:r>
          </w:p>
        </w:tc>
        <w:tc>
          <w:tcPr>
            <w:tcW w:w="1359" w:type="pct"/>
            <w:vAlign w:val="center"/>
          </w:tcPr>
          <w:p w:rsidR="001A18CD" w:rsidRPr="00BB3215" w:rsidRDefault="001A18CD" w:rsidP="00285496">
            <w:pPr>
              <w:pStyle w:val="Tabletext"/>
              <w:keepNext/>
              <w:jc w:val="center"/>
              <w:rPr>
                <w:rFonts w:ascii="Times" w:hAnsi="Times"/>
              </w:rPr>
            </w:pPr>
            <w:r w:rsidRPr="00BB3215">
              <w:t>$</w:t>
            </w:r>
            <w:r w:rsidR="00152B62">
              <w:rPr>
                <w:noProof/>
                <w:color w:val="000000"/>
                <w:highlight w:val="black"/>
              </w:rPr>
              <w:t>'''''''''''''''''''</w:t>
            </w:r>
          </w:p>
        </w:tc>
        <w:tc>
          <w:tcPr>
            <w:tcW w:w="1274" w:type="pct"/>
            <w:vAlign w:val="center"/>
          </w:tcPr>
          <w:p w:rsidR="001A18CD" w:rsidRPr="00BB3215" w:rsidRDefault="001A18CD" w:rsidP="00285496">
            <w:pPr>
              <w:pStyle w:val="Tabletext"/>
              <w:keepNext/>
              <w:jc w:val="center"/>
              <w:rPr>
                <w:rFonts w:ascii="Times" w:hAnsi="Times"/>
              </w:rPr>
            </w:pPr>
            <w:r w:rsidRPr="00BB3215">
              <w:t>$</w:t>
            </w:r>
            <w:r w:rsidR="00152B62">
              <w:rPr>
                <w:noProof/>
                <w:color w:val="000000"/>
                <w:highlight w:val="black"/>
              </w:rPr>
              <w:t>''''''''''''''''</w:t>
            </w:r>
          </w:p>
        </w:tc>
        <w:tc>
          <w:tcPr>
            <w:tcW w:w="838" w:type="pct"/>
            <w:vAlign w:val="center"/>
          </w:tcPr>
          <w:p w:rsidR="001A18CD" w:rsidRPr="00BB3215" w:rsidRDefault="001A18CD" w:rsidP="00285496">
            <w:pPr>
              <w:pStyle w:val="Tabletext"/>
              <w:keepNext/>
              <w:jc w:val="center"/>
              <w:rPr>
                <w:rFonts w:ascii="Times" w:hAnsi="Times"/>
              </w:rPr>
            </w:pPr>
            <w:r w:rsidRPr="00BB3215">
              <w:t>$</w:t>
            </w:r>
            <w:r w:rsidR="00152B62">
              <w:rPr>
                <w:noProof/>
                <w:color w:val="000000"/>
                <w:highlight w:val="black"/>
              </w:rPr>
              <w:t>'''''''''''''''''</w:t>
            </w:r>
          </w:p>
        </w:tc>
      </w:tr>
      <w:tr w:rsidR="001A18CD" w:rsidRPr="00BB3215" w:rsidTr="005A36B4">
        <w:tc>
          <w:tcPr>
            <w:tcW w:w="1529" w:type="pct"/>
            <w:vAlign w:val="center"/>
          </w:tcPr>
          <w:p w:rsidR="001A18CD" w:rsidRPr="00BB3215" w:rsidRDefault="001A18CD" w:rsidP="00285496">
            <w:pPr>
              <w:pStyle w:val="Tabletext"/>
              <w:keepNext/>
            </w:pPr>
            <w:r w:rsidRPr="00BB3215">
              <w:t>LYs</w:t>
            </w:r>
          </w:p>
        </w:tc>
        <w:tc>
          <w:tcPr>
            <w:tcW w:w="1359" w:type="pct"/>
            <w:vAlign w:val="bottom"/>
          </w:tcPr>
          <w:p w:rsidR="001A18CD" w:rsidRPr="00BB3215" w:rsidRDefault="001A18CD" w:rsidP="00285496">
            <w:pPr>
              <w:pStyle w:val="Tabletext"/>
              <w:keepNext/>
              <w:jc w:val="center"/>
              <w:rPr>
                <w:rFonts w:ascii="Times" w:hAnsi="Times"/>
              </w:rPr>
            </w:pPr>
            <w:r w:rsidRPr="00BB3215">
              <w:t>14.66</w:t>
            </w:r>
          </w:p>
        </w:tc>
        <w:tc>
          <w:tcPr>
            <w:tcW w:w="1274" w:type="pct"/>
            <w:vAlign w:val="bottom"/>
          </w:tcPr>
          <w:p w:rsidR="001A18CD" w:rsidRPr="00BB3215" w:rsidRDefault="001A18CD" w:rsidP="00285496">
            <w:pPr>
              <w:pStyle w:val="Tabletext"/>
              <w:keepNext/>
              <w:jc w:val="center"/>
              <w:rPr>
                <w:rFonts w:ascii="Times" w:hAnsi="Times"/>
              </w:rPr>
            </w:pPr>
            <w:r w:rsidRPr="00BB3215">
              <w:t>13.89</w:t>
            </w:r>
          </w:p>
        </w:tc>
        <w:tc>
          <w:tcPr>
            <w:tcW w:w="838" w:type="pct"/>
            <w:vAlign w:val="bottom"/>
          </w:tcPr>
          <w:p w:rsidR="001A18CD" w:rsidRPr="00BB3215" w:rsidRDefault="001A18CD" w:rsidP="00285496">
            <w:pPr>
              <w:pStyle w:val="Tabletext"/>
              <w:keepNext/>
              <w:jc w:val="center"/>
            </w:pPr>
            <w:r w:rsidRPr="00BB3215">
              <w:t>0.78</w:t>
            </w:r>
          </w:p>
        </w:tc>
      </w:tr>
      <w:tr w:rsidR="001A18CD" w:rsidRPr="00BB3215" w:rsidTr="005A36B4">
        <w:tc>
          <w:tcPr>
            <w:tcW w:w="1529" w:type="pct"/>
            <w:vAlign w:val="center"/>
          </w:tcPr>
          <w:p w:rsidR="001A18CD" w:rsidRPr="00BB3215" w:rsidRDefault="001A18CD" w:rsidP="00285496">
            <w:pPr>
              <w:pStyle w:val="Tabletext"/>
              <w:keepNext/>
            </w:pPr>
            <w:r w:rsidRPr="00BB3215">
              <w:t>QALYs</w:t>
            </w:r>
          </w:p>
        </w:tc>
        <w:tc>
          <w:tcPr>
            <w:tcW w:w="1359" w:type="pct"/>
            <w:vAlign w:val="bottom"/>
          </w:tcPr>
          <w:p w:rsidR="001A18CD" w:rsidRPr="00BB3215" w:rsidRDefault="001A18CD" w:rsidP="00285496">
            <w:pPr>
              <w:pStyle w:val="Tabletext"/>
              <w:keepNext/>
              <w:jc w:val="center"/>
            </w:pPr>
            <w:r w:rsidRPr="00BB3215">
              <w:t>12.84</w:t>
            </w:r>
          </w:p>
        </w:tc>
        <w:tc>
          <w:tcPr>
            <w:tcW w:w="1274" w:type="pct"/>
            <w:vAlign w:val="bottom"/>
          </w:tcPr>
          <w:p w:rsidR="001A18CD" w:rsidRPr="00BB3215" w:rsidRDefault="001A18CD" w:rsidP="00285496">
            <w:pPr>
              <w:pStyle w:val="Tabletext"/>
              <w:keepNext/>
              <w:jc w:val="center"/>
            </w:pPr>
            <w:r w:rsidRPr="00BB3215">
              <w:t>12.14</w:t>
            </w:r>
          </w:p>
        </w:tc>
        <w:tc>
          <w:tcPr>
            <w:tcW w:w="838" w:type="pct"/>
            <w:vAlign w:val="bottom"/>
          </w:tcPr>
          <w:p w:rsidR="001A18CD" w:rsidRPr="00BB3215" w:rsidRDefault="001A18CD" w:rsidP="00285496">
            <w:pPr>
              <w:pStyle w:val="Tabletext"/>
              <w:keepNext/>
              <w:jc w:val="center"/>
            </w:pPr>
            <w:r w:rsidRPr="00BB3215">
              <w:t>0.70</w:t>
            </w:r>
          </w:p>
        </w:tc>
      </w:tr>
      <w:tr w:rsidR="001A18CD" w:rsidRPr="00BB3215" w:rsidTr="005A36B4">
        <w:tc>
          <w:tcPr>
            <w:tcW w:w="4162" w:type="pct"/>
            <w:gridSpan w:val="3"/>
            <w:vAlign w:val="center"/>
          </w:tcPr>
          <w:p w:rsidR="001A18CD" w:rsidRPr="00BB3215" w:rsidRDefault="001A18CD" w:rsidP="00285496">
            <w:pPr>
              <w:pStyle w:val="Tabletext"/>
              <w:keepNext/>
              <w:rPr>
                <w:rFonts w:ascii="Times" w:hAnsi="Times"/>
              </w:rPr>
            </w:pPr>
            <w:r w:rsidRPr="00BB3215">
              <w:t>Incremental cost/extra QALY gained – March 2019 submission</w:t>
            </w:r>
          </w:p>
        </w:tc>
        <w:tc>
          <w:tcPr>
            <w:tcW w:w="838" w:type="pct"/>
            <w:vAlign w:val="center"/>
          </w:tcPr>
          <w:p w:rsidR="001A18CD" w:rsidRPr="00BB3215" w:rsidRDefault="001A18CD" w:rsidP="00285496">
            <w:pPr>
              <w:pStyle w:val="Tabletext"/>
              <w:keepNext/>
              <w:jc w:val="center"/>
              <w:rPr>
                <w:rFonts w:ascii="Times" w:hAnsi="Times"/>
              </w:rPr>
            </w:pPr>
            <w:r w:rsidRPr="00BB3215">
              <w:t>$</w:t>
            </w:r>
            <w:r w:rsidR="00152B62">
              <w:rPr>
                <w:noProof/>
                <w:color w:val="000000"/>
                <w:highlight w:val="black"/>
              </w:rPr>
              <w:t>''''''''''''''''</w:t>
            </w:r>
          </w:p>
        </w:tc>
      </w:tr>
      <w:tr w:rsidR="001A18CD" w:rsidRPr="00BB3215" w:rsidTr="005A36B4">
        <w:tc>
          <w:tcPr>
            <w:tcW w:w="5000" w:type="pct"/>
            <w:gridSpan w:val="4"/>
            <w:vAlign w:val="center"/>
          </w:tcPr>
          <w:p w:rsidR="001A18CD" w:rsidRPr="00BB3215" w:rsidRDefault="001A18CD" w:rsidP="00285496">
            <w:pPr>
              <w:pStyle w:val="Tabletext"/>
              <w:keepNext/>
              <w:rPr>
                <w:b/>
                <w:snapToGrid w:val="0"/>
              </w:rPr>
            </w:pPr>
            <w:r w:rsidRPr="00BB3215">
              <w:rPr>
                <w:b/>
                <w:snapToGrid w:val="0"/>
              </w:rPr>
              <w:t>Resubmission</w:t>
            </w:r>
          </w:p>
        </w:tc>
      </w:tr>
      <w:tr w:rsidR="001A18CD" w:rsidRPr="00BB3215" w:rsidTr="005A36B4">
        <w:tc>
          <w:tcPr>
            <w:tcW w:w="1529" w:type="pct"/>
            <w:vAlign w:val="center"/>
          </w:tcPr>
          <w:p w:rsidR="001A18CD" w:rsidRPr="00BB3215" w:rsidRDefault="001A18CD" w:rsidP="00285496">
            <w:pPr>
              <w:pStyle w:val="Tabletext"/>
              <w:keepNext/>
              <w:rPr>
                <w:rFonts w:ascii="Times" w:hAnsi="Times"/>
                <w:highlight w:val="cyan"/>
              </w:rPr>
            </w:pPr>
            <w:r w:rsidRPr="00BB3215">
              <w:t>Costs</w:t>
            </w:r>
          </w:p>
        </w:tc>
        <w:tc>
          <w:tcPr>
            <w:tcW w:w="1359" w:type="pct"/>
            <w:vAlign w:val="bottom"/>
          </w:tcPr>
          <w:p w:rsidR="001A18CD" w:rsidRPr="00BB3215" w:rsidRDefault="001A18CD" w:rsidP="00285496">
            <w:pPr>
              <w:pStyle w:val="Tabletext"/>
              <w:keepNext/>
              <w:jc w:val="center"/>
              <w:rPr>
                <w:rFonts w:ascii="Times" w:hAnsi="Times"/>
                <w:highlight w:val="cyan"/>
              </w:rPr>
            </w:pPr>
            <w:r w:rsidRPr="00BB3215">
              <w:rPr>
                <w:szCs w:val="20"/>
              </w:rPr>
              <w:t>$</w:t>
            </w:r>
            <w:r w:rsidR="00152B62">
              <w:rPr>
                <w:noProof/>
                <w:color w:val="000000"/>
                <w:szCs w:val="20"/>
                <w:highlight w:val="black"/>
              </w:rPr>
              <w:t>'''''''''''''''''</w:t>
            </w:r>
          </w:p>
        </w:tc>
        <w:tc>
          <w:tcPr>
            <w:tcW w:w="1274" w:type="pct"/>
            <w:vAlign w:val="bottom"/>
          </w:tcPr>
          <w:p w:rsidR="001A18CD" w:rsidRPr="00BB3215" w:rsidRDefault="001A18CD" w:rsidP="00285496">
            <w:pPr>
              <w:pStyle w:val="Tabletext"/>
              <w:keepNext/>
              <w:jc w:val="center"/>
              <w:rPr>
                <w:rFonts w:ascii="Times" w:hAnsi="Times"/>
                <w:highlight w:val="cyan"/>
              </w:rPr>
            </w:pPr>
            <w:r w:rsidRPr="00BB3215">
              <w:rPr>
                <w:szCs w:val="20"/>
              </w:rPr>
              <w:t>$</w:t>
            </w:r>
            <w:r w:rsidR="00152B62">
              <w:rPr>
                <w:noProof/>
                <w:color w:val="000000"/>
                <w:szCs w:val="20"/>
                <w:highlight w:val="black"/>
              </w:rPr>
              <w:t>'''''''''''''''</w:t>
            </w:r>
          </w:p>
        </w:tc>
        <w:tc>
          <w:tcPr>
            <w:tcW w:w="838" w:type="pct"/>
            <w:vAlign w:val="bottom"/>
          </w:tcPr>
          <w:p w:rsidR="001A18CD" w:rsidRPr="00BB3215" w:rsidRDefault="001A18CD" w:rsidP="00285496">
            <w:pPr>
              <w:pStyle w:val="Tabletext"/>
              <w:keepNext/>
              <w:jc w:val="center"/>
              <w:rPr>
                <w:rFonts w:ascii="Times" w:hAnsi="Times"/>
                <w:highlight w:val="cyan"/>
              </w:rPr>
            </w:pPr>
            <w:r w:rsidRPr="00BB3215">
              <w:rPr>
                <w:szCs w:val="20"/>
              </w:rPr>
              <w:t>$</w:t>
            </w:r>
            <w:r w:rsidR="00152B62">
              <w:rPr>
                <w:noProof/>
                <w:color w:val="000000"/>
                <w:szCs w:val="20"/>
                <w:highlight w:val="black"/>
              </w:rPr>
              <w:t>''''''''''''''''''</w:t>
            </w:r>
          </w:p>
        </w:tc>
      </w:tr>
      <w:tr w:rsidR="001A18CD" w:rsidRPr="00BB3215" w:rsidTr="005A36B4">
        <w:tc>
          <w:tcPr>
            <w:tcW w:w="1529" w:type="pct"/>
            <w:vAlign w:val="center"/>
          </w:tcPr>
          <w:p w:rsidR="001A18CD" w:rsidRPr="00BB3215" w:rsidRDefault="001A18CD" w:rsidP="00285496">
            <w:pPr>
              <w:pStyle w:val="Tabletext"/>
              <w:keepNext/>
              <w:rPr>
                <w:rFonts w:ascii="Times" w:hAnsi="Times"/>
                <w:highlight w:val="cyan"/>
              </w:rPr>
            </w:pPr>
            <w:r w:rsidRPr="00BB3215">
              <w:t>LYs</w:t>
            </w:r>
          </w:p>
        </w:tc>
        <w:tc>
          <w:tcPr>
            <w:tcW w:w="1359" w:type="pct"/>
            <w:vAlign w:val="bottom"/>
          </w:tcPr>
          <w:p w:rsidR="001A18CD" w:rsidRPr="00BB3215" w:rsidRDefault="001A18CD" w:rsidP="00285496">
            <w:pPr>
              <w:pStyle w:val="Tabletext"/>
              <w:keepNext/>
              <w:jc w:val="center"/>
              <w:rPr>
                <w:rFonts w:ascii="Times" w:hAnsi="Times"/>
                <w:highlight w:val="cyan"/>
              </w:rPr>
            </w:pPr>
            <w:r w:rsidRPr="00BB3215">
              <w:rPr>
                <w:szCs w:val="20"/>
              </w:rPr>
              <w:t>15.19</w:t>
            </w:r>
          </w:p>
        </w:tc>
        <w:tc>
          <w:tcPr>
            <w:tcW w:w="1274" w:type="pct"/>
            <w:vAlign w:val="bottom"/>
          </w:tcPr>
          <w:p w:rsidR="001A18CD" w:rsidRPr="00BB3215" w:rsidRDefault="001A18CD" w:rsidP="00285496">
            <w:pPr>
              <w:pStyle w:val="Tabletext"/>
              <w:keepNext/>
              <w:jc w:val="center"/>
              <w:rPr>
                <w:rFonts w:ascii="Times" w:hAnsi="Times"/>
                <w:highlight w:val="cyan"/>
              </w:rPr>
            </w:pPr>
            <w:r w:rsidRPr="00BB3215">
              <w:rPr>
                <w:szCs w:val="20"/>
              </w:rPr>
              <w:t>14.59</w:t>
            </w:r>
          </w:p>
        </w:tc>
        <w:tc>
          <w:tcPr>
            <w:tcW w:w="838" w:type="pct"/>
            <w:vAlign w:val="bottom"/>
          </w:tcPr>
          <w:p w:rsidR="001A18CD" w:rsidRPr="00BB3215" w:rsidRDefault="001A18CD" w:rsidP="00285496">
            <w:pPr>
              <w:pStyle w:val="Tabletext"/>
              <w:keepNext/>
              <w:jc w:val="center"/>
              <w:rPr>
                <w:highlight w:val="cyan"/>
              </w:rPr>
            </w:pPr>
            <w:r w:rsidRPr="00BB3215">
              <w:rPr>
                <w:szCs w:val="20"/>
              </w:rPr>
              <w:t>0.59</w:t>
            </w:r>
          </w:p>
        </w:tc>
      </w:tr>
      <w:tr w:rsidR="001A18CD" w:rsidRPr="00BB3215" w:rsidTr="00670423">
        <w:tc>
          <w:tcPr>
            <w:tcW w:w="1529" w:type="pct"/>
            <w:tcBorders>
              <w:bottom w:val="single" w:sz="4" w:space="0" w:color="auto"/>
            </w:tcBorders>
            <w:vAlign w:val="center"/>
          </w:tcPr>
          <w:p w:rsidR="001A18CD" w:rsidRPr="00BB3215" w:rsidRDefault="001A18CD" w:rsidP="00285496">
            <w:pPr>
              <w:pStyle w:val="Tabletext"/>
              <w:keepNext/>
              <w:rPr>
                <w:highlight w:val="cyan"/>
              </w:rPr>
            </w:pPr>
            <w:r w:rsidRPr="00BB3215">
              <w:t>QALYs</w:t>
            </w:r>
          </w:p>
        </w:tc>
        <w:tc>
          <w:tcPr>
            <w:tcW w:w="1359" w:type="pct"/>
            <w:tcBorders>
              <w:bottom w:val="single" w:sz="4" w:space="0" w:color="auto"/>
            </w:tcBorders>
            <w:vAlign w:val="bottom"/>
          </w:tcPr>
          <w:p w:rsidR="001A18CD" w:rsidRPr="00BB3215" w:rsidRDefault="001A18CD" w:rsidP="00285496">
            <w:pPr>
              <w:pStyle w:val="Tabletext"/>
              <w:keepNext/>
              <w:jc w:val="center"/>
              <w:rPr>
                <w:highlight w:val="cyan"/>
              </w:rPr>
            </w:pPr>
            <w:r w:rsidRPr="00BB3215">
              <w:rPr>
                <w:szCs w:val="20"/>
              </w:rPr>
              <w:t>12.56</w:t>
            </w:r>
          </w:p>
        </w:tc>
        <w:tc>
          <w:tcPr>
            <w:tcW w:w="1274" w:type="pct"/>
            <w:tcBorders>
              <w:bottom w:val="single" w:sz="4" w:space="0" w:color="auto"/>
            </w:tcBorders>
            <w:vAlign w:val="bottom"/>
          </w:tcPr>
          <w:p w:rsidR="001A18CD" w:rsidRPr="00BB3215" w:rsidRDefault="001A18CD" w:rsidP="00285496">
            <w:pPr>
              <w:pStyle w:val="Tabletext"/>
              <w:keepNext/>
              <w:jc w:val="center"/>
              <w:rPr>
                <w:highlight w:val="cyan"/>
              </w:rPr>
            </w:pPr>
            <w:r w:rsidRPr="00BB3215">
              <w:rPr>
                <w:szCs w:val="20"/>
              </w:rPr>
              <w:t>12.02</w:t>
            </w:r>
          </w:p>
        </w:tc>
        <w:tc>
          <w:tcPr>
            <w:tcW w:w="838" w:type="pct"/>
            <w:tcBorders>
              <w:bottom w:val="single" w:sz="4" w:space="0" w:color="auto"/>
            </w:tcBorders>
            <w:vAlign w:val="bottom"/>
          </w:tcPr>
          <w:p w:rsidR="001A18CD" w:rsidRPr="00BB3215" w:rsidRDefault="001A18CD" w:rsidP="00285496">
            <w:pPr>
              <w:pStyle w:val="Tabletext"/>
              <w:keepNext/>
              <w:jc w:val="center"/>
              <w:rPr>
                <w:highlight w:val="cyan"/>
              </w:rPr>
            </w:pPr>
            <w:r w:rsidRPr="00BB3215">
              <w:rPr>
                <w:szCs w:val="20"/>
              </w:rPr>
              <w:t>0.55</w:t>
            </w:r>
          </w:p>
        </w:tc>
      </w:tr>
      <w:tr w:rsidR="001A18CD" w:rsidRPr="00BB3215" w:rsidTr="00670423">
        <w:tc>
          <w:tcPr>
            <w:tcW w:w="4162" w:type="pct"/>
            <w:gridSpan w:val="3"/>
            <w:tcBorders>
              <w:bottom w:val="single" w:sz="4" w:space="0" w:color="auto"/>
            </w:tcBorders>
            <w:vAlign w:val="center"/>
          </w:tcPr>
          <w:p w:rsidR="001A18CD" w:rsidRPr="00BB3215" w:rsidRDefault="001A18CD" w:rsidP="00285496">
            <w:pPr>
              <w:pStyle w:val="Tabletext"/>
              <w:keepNext/>
              <w:rPr>
                <w:rFonts w:ascii="Times" w:hAnsi="Times"/>
                <w:highlight w:val="cyan"/>
              </w:rPr>
            </w:pPr>
            <w:r w:rsidRPr="00BB3215">
              <w:t>Incremental cost/extra QALY gained – November 2019 resubmission</w:t>
            </w:r>
          </w:p>
        </w:tc>
        <w:tc>
          <w:tcPr>
            <w:tcW w:w="838" w:type="pct"/>
            <w:tcBorders>
              <w:bottom w:val="single" w:sz="4" w:space="0" w:color="auto"/>
            </w:tcBorders>
            <w:vAlign w:val="center"/>
          </w:tcPr>
          <w:p w:rsidR="001A18CD" w:rsidRPr="00BB3215" w:rsidRDefault="001A18CD" w:rsidP="00285496">
            <w:pPr>
              <w:pStyle w:val="Tabletext"/>
              <w:keepNext/>
              <w:jc w:val="center"/>
              <w:rPr>
                <w:rFonts w:ascii="Times" w:hAnsi="Times"/>
              </w:rPr>
            </w:pPr>
            <w:r w:rsidRPr="00BB3215">
              <w:t>$</w:t>
            </w:r>
            <w:r w:rsidR="00152B62">
              <w:rPr>
                <w:noProof/>
                <w:color w:val="000000"/>
                <w:highlight w:val="black"/>
              </w:rPr>
              <w:t>'''''''''''''''''</w:t>
            </w:r>
          </w:p>
        </w:tc>
      </w:tr>
    </w:tbl>
    <w:p w:rsidR="001A18CD" w:rsidRPr="00BB3215" w:rsidRDefault="001A18CD" w:rsidP="00025B3F">
      <w:pPr>
        <w:widowControl/>
        <w:rPr>
          <w:rFonts w:ascii="Arial Narrow" w:hAnsi="Arial Narrow"/>
          <w:sz w:val="18"/>
        </w:rPr>
      </w:pPr>
      <w:r w:rsidRPr="00BB3215">
        <w:rPr>
          <w:rFonts w:ascii="Arial Narrow" w:hAnsi="Arial Narrow"/>
          <w:sz w:val="18"/>
        </w:rPr>
        <w:t>ICER: incremental cost-effectiveness ratio, LYs: life years, QALYs: quality adjusted life years</w:t>
      </w:r>
    </w:p>
    <w:p w:rsidR="001A18CD" w:rsidRPr="00BB3215" w:rsidRDefault="001A18CD" w:rsidP="00025B3F">
      <w:pPr>
        <w:widowControl/>
        <w:rPr>
          <w:rFonts w:ascii="Arial Narrow" w:hAnsi="Arial Narrow"/>
          <w:sz w:val="20"/>
        </w:rPr>
      </w:pPr>
      <w:r w:rsidRPr="00BB3215">
        <w:rPr>
          <w:rFonts w:ascii="Arial Narrow" w:hAnsi="Arial Narrow"/>
          <w:sz w:val="18"/>
        </w:rPr>
        <w:t>So</w:t>
      </w:r>
      <w:r w:rsidR="00747717">
        <w:rPr>
          <w:rFonts w:ascii="Arial Narrow" w:hAnsi="Arial Narrow"/>
          <w:sz w:val="18"/>
        </w:rPr>
        <w:t>urce: Neratinib Ratified Public Summary Document</w:t>
      </w:r>
      <w:r w:rsidRPr="00BB3215">
        <w:rPr>
          <w:rFonts w:ascii="Arial Narrow" w:hAnsi="Arial Narrow"/>
          <w:sz w:val="18"/>
        </w:rPr>
        <w:t>, March 2019, Table 11, p27; Table 96, p222 of the resubmission.</w:t>
      </w:r>
    </w:p>
    <w:p w:rsidR="001A18CD" w:rsidRPr="00BB3215" w:rsidRDefault="001A18CD" w:rsidP="00025B3F">
      <w:pPr>
        <w:widowControl/>
      </w:pPr>
    </w:p>
    <w:p w:rsidR="001A18CD" w:rsidRPr="00EF5B8F" w:rsidRDefault="001A18CD" w:rsidP="00A84C29">
      <w:pPr>
        <w:pStyle w:val="ListParagraph"/>
        <w:widowControl/>
        <w:numPr>
          <w:ilvl w:val="1"/>
          <w:numId w:val="5"/>
        </w:numPr>
      </w:pPr>
      <w:r w:rsidRPr="00EF5B8F">
        <w:rPr>
          <w:iCs/>
        </w:rPr>
        <w:t>The</w:t>
      </w:r>
      <w:r w:rsidR="00254A68" w:rsidRPr="00EF5B8F">
        <w:rPr>
          <w:iCs/>
        </w:rPr>
        <w:t xml:space="preserve"> ESC considered the</w:t>
      </w:r>
      <w:r w:rsidRPr="00EF5B8F">
        <w:rPr>
          <w:iCs/>
        </w:rPr>
        <w:t xml:space="preserve"> results presented by the resubmission </w:t>
      </w:r>
      <w:r w:rsidR="00254A68" w:rsidRPr="00EF5B8F">
        <w:rPr>
          <w:iCs/>
        </w:rPr>
        <w:t>remain uncertain</w:t>
      </w:r>
      <w:r w:rsidRPr="00EF5B8F">
        <w:rPr>
          <w:iCs/>
        </w:rPr>
        <w:t xml:space="preserve"> given the lack of OS data, </w:t>
      </w:r>
      <w:r w:rsidR="00254A68" w:rsidRPr="00EF5B8F">
        <w:rPr>
          <w:iCs/>
        </w:rPr>
        <w:t>and model issues identified above.</w:t>
      </w:r>
      <w:r w:rsidRPr="00EF5B8F">
        <w:t xml:space="preserve"> </w:t>
      </w:r>
    </w:p>
    <w:p w:rsidR="00CE00F3" w:rsidRPr="00EF5B8F" w:rsidRDefault="00CE00F3" w:rsidP="00A84C29">
      <w:pPr>
        <w:pStyle w:val="ListParagraph"/>
        <w:widowControl/>
        <w:numPr>
          <w:ilvl w:val="1"/>
          <w:numId w:val="5"/>
        </w:numPr>
      </w:pPr>
      <w:r w:rsidRPr="00EF5B8F">
        <w:t xml:space="preserve">The number of recurrence events over the 63-month trial follow-up period and 40-year model time horizon are compared in Table </w:t>
      </w:r>
      <w:r w:rsidR="000D534A" w:rsidRPr="00EF5B8F">
        <w:t>14</w:t>
      </w:r>
      <w:r w:rsidRPr="00EF5B8F">
        <w:t>. Over the 40-year time horizon each patient treated with neratinib gained 1.59 life years. There were 5 (1.59/0.30</w:t>
      </w:r>
      <w:r w:rsidR="003F4A75" w:rsidRPr="00EF5B8F">
        <w:t xml:space="preserve"> per patient</w:t>
      </w:r>
      <w:r w:rsidRPr="00EF5B8F">
        <w:t xml:space="preserve">) life years gained per distant recurrence avoided. </w:t>
      </w:r>
    </w:p>
    <w:p w:rsidR="00CE00F3" w:rsidRPr="00BB3215" w:rsidRDefault="00CE00F3" w:rsidP="00025B3F">
      <w:pPr>
        <w:keepNext/>
        <w:keepLines/>
        <w:widowControl/>
        <w:rPr>
          <w:snapToGrid/>
        </w:rPr>
      </w:pPr>
      <w:r w:rsidRPr="00BB3215">
        <w:rPr>
          <w:rFonts w:ascii="Arial Narrow" w:hAnsi="Arial Narrow"/>
          <w:b/>
          <w:bCs/>
          <w:sz w:val="20"/>
          <w:szCs w:val="20"/>
        </w:rPr>
        <w:t>Table 1</w:t>
      </w:r>
      <w:r w:rsidR="000D534A">
        <w:rPr>
          <w:rFonts w:ascii="Arial Narrow" w:hAnsi="Arial Narrow"/>
          <w:b/>
          <w:bCs/>
          <w:sz w:val="20"/>
          <w:szCs w:val="20"/>
        </w:rPr>
        <w:t>4</w:t>
      </w:r>
      <w:r w:rsidRPr="00BB3215">
        <w:t xml:space="preserve"> </w:t>
      </w:r>
      <w:r w:rsidRPr="00BB3215">
        <w:rPr>
          <w:rStyle w:val="CommentReference"/>
        </w:rPr>
        <w:t>Disaggregated summary of health outcomes (patients with distant and local recurrence)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61"/>
        <w:gridCol w:w="1982"/>
        <w:gridCol w:w="2087"/>
        <w:gridCol w:w="2087"/>
      </w:tblGrid>
      <w:tr w:rsidR="00CE00F3" w:rsidRPr="00BB3215" w:rsidTr="00D17D59">
        <w:trPr>
          <w:cantSplit/>
          <w:tblHeader/>
        </w:trPr>
        <w:tc>
          <w:tcPr>
            <w:tcW w:w="15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left"/>
              <w:rPr>
                <w:rFonts w:ascii="Arial Narrow" w:hAnsi="Arial Narrow"/>
                <w:b/>
                <w:sz w:val="20"/>
                <w:szCs w:val="20"/>
              </w:rPr>
            </w:pPr>
            <w:r w:rsidRPr="00BB3215">
              <w:rPr>
                <w:rFonts w:ascii="Arial Narrow" w:hAnsi="Arial Narrow"/>
                <w:b/>
                <w:sz w:val="20"/>
                <w:szCs w:val="20"/>
              </w:rPr>
              <w:t>Outcome</w:t>
            </w:r>
          </w:p>
        </w:tc>
        <w:tc>
          <w:tcPr>
            <w:tcW w:w="10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b/>
                <w:sz w:val="20"/>
                <w:szCs w:val="20"/>
              </w:rPr>
            </w:pPr>
            <w:r w:rsidRPr="00BB3215">
              <w:rPr>
                <w:rFonts w:ascii="Arial Narrow" w:hAnsi="Arial Narrow" w:cs="Times New Roman"/>
                <w:b/>
                <w:sz w:val="20"/>
                <w:szCs w:val="20"/>
              </w:rPr>
              <w:t>Neratinib</w:t>
            </w:r>
          </w:p>
        </w:tc>
        <w:tc>
          <w:tcPr>
            <w:tcW w:w="11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b/>
                <w:sz w:val="20"/>
                <w:szCs w:val="20"/>
              </w:rPr>
            </w:pPr>
            <w:r w:rsidRPr="00BB3215">
              <w:rPr>
                <w:rFonts w:ascii="Arial Narrow" w:hAnsi="Arial Narrow"/>
                <w:b/>
                <w:sz w:val="20"/>
                <w:szCs w:val="20"/>
              </w:rPr>
              <w:t>Placebo</w:t>
            </w:r>
          </w:p>
        </w:tc>
        <w:tc>
          <w:tcPr>
            <w:tcW w:w="1157" w:type="pct"/>
            <w:tcBorders>
              <w:top w:val="single" w:sz="4" w:space="0" w:color="auto"/>
              <w:left w:val="single" w:sz="4" w:space="0" w:color="auto"/>
              <w:bottom w:val="single" w:sz="4" w:space="0" w:color="auto"/>
              <w:right w:val="single" w:sz="4" w:space="0" w:color="auto"/>
            </w:tcBorders>
            <w:vAlign w:val="center"/>
            <w:hideMark/>
          </w:tcPr>
          <w:p w:rsidR="00CE00F3" w:rsidRPr="00BB3215" w:rsidRDefault="00CE00F3" w:rsidP="00025B3F">
            <w:pPr>
              <w:keepNext/>
              <w:keepLines/>
              <w:widowControl/>
              <w:spacing w:line="256" w:lineRule="auto"/>
              <w:jc w:val="center"/>
              <w:rPr>
                <w:rFonts w:ascii="Arial Narrow" w:hAnsi="Arial Narrow"/>
                <w:b/>
                <w:sz w:val="20"/>
                <w:szCs w:val="20"/>
              </w:rPr>
            </w:pPr>
            <w:r w:rsidRPr="00BB3215">
              <w:rPr>
                <w:rFonts w:ascii="Arial Narrow" w:hAnsi="Arial Narrow"/>
                <w:b/>
                <w:sz w:val="20"/>
                <w:szCs w:val="20"/>
              </w:rPr>
              <w:t>Incremental outcome (per patient)</w:t>
            </w:r>
          </w:p>
        </w:tc>
      </w:tr>
      <w:tr w:rsidR="00CE00F3" w:rsidRPr="00BB3215" w:rsidTr="00D17D59">
        <w:trPr>
          <w:cantSplit/>
          <w:tblHeader/>
        </w:trPr>
        <w:tc>
          <w:tcPr>
            <w:tcW w:w="15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left"/>
              <w:rPr>
                <w:rFonts w:ascii="Arial Narrow" w:hAnsi="Arial Narrow"/>
                <w:b/>
                <w:sz w:val="20"/>
                <w:szCs w:val="20"/>
              </w:rPr>
            </w:pPr>
            <w:r w:rsidRPr="00BB3215">
              <w:rPr>
                <w:rFonts w:ascii="Arial Narrow" w:hAnsi="Arial Narrow"/>
                <w:b/>
                <w:sz w:val="20"/>
                <w:szCs w:val="20"/>
              </w:rPr>
              <w:t>LY (40 years, undiscounted)</w:t>
            </w:r>
          </w:p>
        </w:tc>
        <w:tc>
          <w:tcPr>
            <w:tcW w:w="10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cs="Times New Roman"/>
                <w:b/>
                <w:sz w:val="20"/>
                <w:szCs w:val="20"/>
              </w:rPr>
            </w:pPr>
            <w:r w:rsidRPr="00BB3215">
              <w:rPr>
                <w:rFonts w:ascii="Arial Narrow" w:hAnsi="Arial Narrow" w:cs="Times New Roman"/>
                <w:b/>
                <w:sz w:val="20"/>
                <w:szCs w:val="20"/>
              </w:rPr>
              <w:t>30.17</w:t>
            </w:r>
          </w:p>
        </w:tc>
        <w:tc>
          <w:tcPr>
            <w:tcW w:w="11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cs="Times New Roman"/>
                <w:b/>
                <w:sz w:val="20"/>
                <w:szCs w:val="20"/>
              </w:rPr>
            </w:pPr>
            <w:r w:rsidRPr="00BB3215">
              <w:rPr>
                <w:rFonts w:ascii="Arial Narrow" w:hAnsi="Arial Narrow" w:cs="Times New Roman"/>
                <w:b/>
                <w:sz w:val="20"/>
                <w:szCs w:val="20"/>
              </w:rPr>
              <w:t>28.58</w:t>
            </w:r>
          </w:p>
        </w:tc>
        <w:tc>
          <w:tcPr>
            <w:tcW w:w="1157" w:type="pct"/>
            <w:tcBorders>
              <w:top w:val="single" w:sz="4" w:space="0" w:color="auto"/>
              <w:left w:val="single" w:sz="4" w:space="0" w:color="auto"/>
              <w:bottom w:val="single" w:sz="4" w:space="0" w:color="auto"/>
              <w:right w:val="single" w:sz="4" w:space="0" w:color="auto"/>
            </w:tcBorders>
            <w:vAlign w:val="center"/>
            <w:hideMark/>
          </w:tcPr>
          <w:p w:rsidR="00CE00F3" w:rsidRPr="00BB3215" w:rsidRDefault="00CE00F3" w:rsidP="00025B3F">
            <w:pPr>
              <w:keepNext/>
              <w:keepLines/>
              <w:widowControl/>
              <w:spacing w:line="256" w:lineRule="auto"/>
              <w:jc w:val="center"/>
              <w:rPr>
                <w:rFonts w:ascii="Arial Narrow" w:hAnsi="Arial Narrow"/>
                <w:b/>
                <w:sz w:val="20"/>
                <w:szCs w:val="20"/>
              </w:rPr>
            </w:pPr>
            <w:r w:rsidRPr="00BB3215">
              <w:rPr>
                <w:rFonts w:ascii="Arial Narrow" w:hAnsi="Arial Narrow"/>
                <w:b/>
                <w:sz w:val="20"/>
                <w:szCs w:val="20"/>
              </w:rPr>
              <w:t>1.59</w:t>
            </w:r>
          </w:p>
        </w:tc>
      </w:tr>
      <w:tr w:rsidR="00CE00F3" w:rsidRPr="00BB3215" w:rsidTr="00D17D59">
        <w:trPr>
          <w:cantSplit/>
          <w:tblHeader/>
        </w:trPr>
        <w:tc>
          <w:tcPr>
            <w:tcW w:w="1586"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left"/>
              <w:rPr>
                <w:rFonts w:ascii="Arial Narrow" w:hAnsi="Arial Narrow"/>
                <w:b/>
                <w:sz w:val="20"/>
                <w:szCs w:val="20"/>
              </w:rPr>
            </w:pPr>
            <w:r w:rsidRPr="00BB3215">
              <w:rPr>
                <w:rFonts w:ascii="Arial Narrow" w:hAnsi="Arial Narrow"/>
                <w:b/>
                <w:sz w:val="20"/>
                <w:szCs w:val="20"/>
              </w:rPr>
              <w:t>Distant recurrence</w:t>
            </w:r>
          </w:p>
        </w:tc>
        <w:tc>
          <w:tcPr>
            <w:tcW w:w="1099" w:type="pct"/>
            <w:tcBorders>
              <w:top w:val="single" w:sz="4" w:space="0" w:color="auto"/>
              <w:left w:val="nil"/>
              <w:bottom w:val="single" w:sz="4" w:space="0" w:color="auto"/>
              <w:right w:val="nil"/>
            </w:tcBorders>
            <w:tcMar>
              <w:top w:w="0" w:type="dxa"/>
              <w:left w:w="57" w:type="dxa"/>
              <w:bottom w:w="0" w:type="dxa"/>
              <w:right w:w="57" w:type="dxa"/>
            </w:tcMar>
            <w:vAlign w:val="center"/>
          </w:tcPr>
          <w:p w:rsidR="00CE00F3" w:rsidRPr="00BB3215" w:rsidRDefault="00CE00F3" w:rsidP="00025B3F">
            <w:pPr>
              <w:keepNext/>
              <w:keepLines/>
              <w:widowControl/>
              <w:spacing w:line="256" w:lineRule="auto"/>
              <w:jc w:val="center"/>
              <w:rPr>
                <w:rFonts w:ascii="Arial Narrow" w:hAnsi="Arial Narrow" w:cs="Times New Roman"/>
                <w:b/>
                <w:sz w:val="20"/>
                <w:szCs w:val="20"/>
              </w:rPr>
            </w:pPr>
          </w:p>
        </w:tc>
        <w:tc>
          <w:tcPr>
            <w:tcW w:w="1157" w:type="pct"/>
            <w:tcBorders>
              <w:top w:val="single" w:sz="4" w:space="0" w:color="auto"/>
              <w:left w:val="nil"/>
              <w:bottom w:val="single" w:sz="4" w:space="0" w:color="auto"/>
              <w:right w:val="nil"/>
            </w:tcBorders>
            <w:tcMar>
              <w:top w:w="0" w:type="dxa"/>
              <w:left w:w="57" w:type="dxa"/>
              <w:bottom w:w="0" w:type="dxa"/>
              <w:right w:w="57" w:type="dxa"/>
            </w:tcMar>
            <w:vAlign w:val="center"/>
          </w:tcPr>
          <w:p w:rsidR="00CE00F3" w:rsidRPr="00BB3215" w:rsidRDefault="00CE00F3" w:rsidP="00025B3F">
            <w:pPr>
              <w:keepNext/>
              <w:keepLines/>
              <w:widowControl/>
              <w:spacing w:line="256" w:lineRule="auto"/>
              <w:jc w:val="center"/>
              <w:rPr>
                <w:rFonts w:ascii="Arial Narrow" w:hAnsi="Arial Narrow" w:cs="Times New Roman"/>
                <w:b/>
                <w:sz w:val="20"/>
                <w:szCs w:val="20"/>
              </w:rPr>
            </w:pPr>
          </w:p>
        </w:tc>
        <w:tc>
          <w:tcPr>
            <w:tcW w:w="1157" w:type="pct"/>
            <w:tcBorders>
              <w:top w:val="single" w:sz="4" w:space="0" w:color="auto"/>
              <w:left w:val="nil"/>
              <w:bottom w:val="single" w:sz="4" w:space="0" w:color="auto"/>
              <w:right w:val="single" w:sz="4" w:space="0" w:color="auto"/>
            </w:tcBorders>
            <w:vAlign w:val="center"/>
          </w:tcPr>
          <w:p w:rsidR="00CE00F3" w:rsidRPr="00BB3215" w:rsidRDefault="00CE00F3" w:rsidP="00025B3F">
            <w:pPr>
              <w:keepNext/>
              <w:keepLines/>
              <w:widowControl/>
              <w:spacing w:line="256" w:lineRule="auto"/>
              <w:jc w:val="center"/>
              <w:rPr>
                <w:rFonts w:ascii="Arial Narrow" w:hAnsi="Arial Narrow"/>
                <w:b/>
                <w:sz w:val="20"/>
                <w:szCs w:val="20"/>
              </w:rPr>
            </w:pPr>
          </w:p>
        </w:tc>
      </w:tr>
      <w:tr w:rsidR="00CE00F3" w:rsidRPr="00BB3215" w:rsidTr="00D17D59">
        <w:trPr>
          <w:cantSplit/>
          <w:tblHeader/>
        </w:trPr>
        <w:tc>
          <w:tcPr>
            <w:tcW w:w="15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left"/>
              <w:rPr>
                <w:rFonts w:ascii="Arial Narrow" w:hAnsi="Arial Narrow"/>
                <w:sz w:val="20"/>
                <w:szCs w:val="20"/>
              </w:rPr>
            </w:pPr>
            <w:r w:rsidRPr="00BB3215">
              <w:rPr>
                <w:rFonts w:ascii="Arial Narrow" w:hAnsi="Arial Narrow"/>
                <w:sz w:val="20"/>
                <w:szCs w:val="20"/>
              </w:rPr>
              <w:t>Trial distant recurrence (63 months)</w:t>
            </w:r>
            <w:r w:rsidRPr="00BB3215">
              <w:rPr>
                <w:rFonts w:ascii="Arial Narrow" w:hAnsi="Arial Narrow"/>
                <w:sz w:val="20"/>
                <w:szCs w:val="20"/>
                <w:vertAlign w:val="superscript"/>
              </w:rPr>
              <w:t>a</w:t>
            </w:r>
          </w:p>
        </w:tc>
        <w:tc>
          <w:tcPr>
            <w:tcW w:w="10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cs="Times New Roman"/>
                <w:sz w:val="20"/>
                <w:szCs w:val="20"/>
              </w:rPr>
            </w:pPr>
            <w:r w:rsidRPr="00BB3215">
              <w:rPr>
                <w:rFonts w:ascii="Arial Narrow" w:hAnsi="Arial Narrow" w:cs="Times New Roman"/>
                <w:sz w:val="20"/>
                <w:szCs w:val="20"/>
              </w:rPr>
              <w:t>0.15</w:t>
            </w:r>
          </w:p>
        </w:tc>
        <w:tc>
          <w:tcPr>
            <w:tcW w:w="11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cs="Times New Roman"/>
                <w:sz w:val="20"/>
                <w:szCs w:val="20"/>
              </w:rPr>
            </w:pPr>
            <w:r w:rsidRPr="00BB3215">
              <w:rPr>
                <w:rFonts w:ascii="Arial Narrow" w:hAnsi="Arial Narrow" w:cs="Times New Roman"/>
                <w:sz w:val="20"/>
                <w:szCs w:val="20"/>
              </w:rPr>
              <w:t>0.23</w:t>
            </w:r>
          </w:p>
        </w:tc>
        <w:tc>
          <w:tcPr>
            <w:tcW w:w="1157" w:type="pct"/>
            <w:tcBorders>
              <w:top w:val="single" w:sz="4" w:space="0" w:color="auto"/>
              <w:left w:val="single" w:sz="4" w:space="0" w:color="auto"/>
              <w:bottom w:val="single" w:sz="4" w:space="0" w:color="auto"/>
              <w:right w:val="single" w:sz="4" w:space="0" w:color="auto"/>
            </w:tcBorders>
            <w:vAlign w:val="center"/>
            <w:hideMark/>
          </w:tcPr>
          <w:p w:rsidR="00CE00F3" w:rsidRPr="00BB3215" w:rsidRDefault="00CE00F3" w:rsidP="00025B3F">
            <w:pPr>
              <w:keepNext/>
              <w:keepLines/>
              <w:widowControl/>
              <w:spacing w:line="256" w:lineRule="auto"/>
              <w:jc w:val="center"/>
              <w:rPr>
                <w:rFonts w:ascii="Arial Narrow" w:hAnsi="Arial Narrow"/>
                <w:sz w:val="20"/>
                <w:szCs w:val="20"/>
              </w:rPr>
            </w:pPr>
            <w:r w:rsidRPr="00BB3215">
              <w:rPr>
                <w:rFonts w:ascii="Arial Narrow" w:hAnsi="Arial Narrow"/>
                <w:sz w:val="20"/>
                <w:szCs w:val="20"/>
              </w:rPr>
              <w:t>-0.08</w:t>
            </w:r>
          </w:p>
        </w:tc>
      </w:tr>
      <w:tr w:rsidR="00CE00F3" w:rsidRPr="00BB3215" w:rsidTr="00D17D59">
        <w:trPr>
          <w:cantSplit/>
          <w:tblHeader/>
        </w:trPr>
        <w:tc>
          <w:tcPr>
            <w:tcW w:w="15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left"/>
              <w:rPr>
                <w:rFonts w:ascii="Arial Narrow" w:hAnsi="Arial Narrow"/>
                <w:sz w:val="20"/>
                <w:szCs w:val="20"/>
              </w:rPr>
            </w:pPr>
            <w:r w:rsidRPr="00BB3215">
              <w:rPr>
                <w:rFonts w:ascii="Arial Narrow" w:hAnsi="Arial Narrow"/>
                <w:sz w:val="20"/>
                <w:szCs w:val="20"/>
              </w:rPr>
              <w:t>Model distant recurrence (40 years)</w:t>
            </w:r>
            <w:r w:rsidRPr="00BB3215">
              <w:rPr>
                <w:rFonts w:ascii="Arial Narrow" w:hAnsi="Arial Narrow"/>
                <w:sz w:val="20"/>
                <w:szCs w:val="20"/>
                <w:vertAlign w:val="superscript"/>
              </w:rPr>
              <w:t>a</w:t>
            </w:r>
          </w:p>
        </w:tc>
        <w:tc>
          <w:tcPr>
            <w:tcW w:w="10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cs="Times New Roman"/>
                <w:sz w:val="20"/>
                <w:szCs w:val="20"/>
              </w:rPr>
            </w:pPr>
            <w:r w:rsidRPr="00BB3215">
              <w:rPr>
                <w:rFonts w:ascii="Arial Narrow" w:hAnsi="Arial Narrow" w:cs="Times New Roman"/>
                <w:sz w:val="20"/>
                <w:szCs w:val="20"/>
              </w:rPr>
              <w:t>0.56</w:t>
            </w:r>
          </w:p>
        </w:tc>
        <w:tc>
          <w:tcPr>
            <w:tcW w:w="11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keepNext/>
              <w:keepLines/>
              <w:widowControl/>
              <w:spacing w:line="256" w:lineRule="auto"/>
              <w:jc w:val="center"/>
              <w:rPr>
                <w:rFonts w:ascii="Arial Narrow" w:hAnsi="Arial Narrow" w:cs="Times New Roman"/>
                <w:sz w:val="20"/>
                <w:szCs w:val="20"/>
              </w:rPr>
            </w:pPr>
            <w:r w:rsidRPr="00BB3215">
              <w:rPr>
                <w:rFonts w:ascii="Arial Narrow" w:hAnsi="Arial Narrow" w:cs="Times New Roman"/>
                <w:sz w:val="20"/>
                <w:szCs w:val="20"/>
              </w:rPr>
              <w:t>0.86</w:t>
            </w:r>
          </w:p>
        </w:tc>
        <w:tc>
          <w:tcPr>
            <w:tcW w:w="1157" w:type="pct"/>
            <w:tcBorders>
              <w:top w:val="single" w:sz="4" w:space="0" w:color="auto"/>
              <w:left w:val="single" w:sz="4" w:space="0" w:color="auto"/>
              <w:bottom w:val="single" w:sz="4" w:space="0" w:color="auto"/>
              <w:right w:val="single" w:sz="4" w:space="0" w:color="auto"/>
            </w:tcBorders>
            <w:vAlign w:val="center"/>
            <w:hideMark/>
          </w:tcPr>
          <w:p w:rsidR="00CE00F3" w:rsidRPr="00BB3215" w:rsidRDefault="00CE00F3" w:rsidP="00025B3F">
            <w:pPr>
              <w:keepNext/>
              <w:keepLines/>
              <w:widowControl/>
              <w:spacing w:line="256" w:lineRule="auto"/>
              <w:jc w:val="center"/>
              <w:rPr>
                <w:rFonts w:ascii="Arial Narrow" w:hAnsi="Arial Narrow"/>
                <w:sz w:val="20"/>
                <w:szCs w:val="20"/>
              </w:rPr>
            </w:pPr>
            <w:r w:rsidRPr="00BB3215">
              <w:rPr>
                <w:rFonts w:ascii="Arial Narrow" w:hAnsi="Arial Narrow"/>
                <w:sz w:val="20"/>
                <w:szCs w:val="20"/>
              </w:rPr>
              <w:t>-0.30</w:t>
            </w:r>
          </w:p>
        </w:tc>
      </w:tr>
      <w:tr w:rsidR="00CE00F3" w:rsidRPr="00BB3215" w:rsidTr="00D17D59">
        <w:trPr>
          <w:cantSplit/>
        </w:trPr>
        <w:tc>
          <w:tcPr>
            <w:tcW w:w="1586"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rPr>
                <w:rFonts w:cs="Calibri"/>
                <w:iCs/>
                <w:szCs w:val="20"/>
              </w:rPr>
            </w:pPr>
            <w:r w:rsidRPr="00BB3215">
              <w:rPr>
                <w:b/>
                <w:szCs w:val="20"/>
              </w:rPr>
              <w:t>Local recurrence</w:t>
            </w:r>
          </w:p>
        </w:tc>
        <w:tc>
          <w:tcPr>
            <w:tcW w:w="1099" w:type="pct"/>
            <w:tcBorders>
              <w:top w:val="single" w:sz="4" w:space="0" w:color="auto"/>
              <w:left w:val="nil"/>
              <w:bottom w:val="single" w:sz="4" w:space="0" w:color="auto"/>
              <w:right w:val="nil"/>
            </w:tcBorders>
            <w:tcMar>
              <w:top w:w="0" w:type="dxa"/>
              <w:left w:w="57" w:type="dxa"/>
              <w:bottom w:w="0" w:type="dxa"/>
              <w:right w:w="57" w:type="dxa"/>
            </w:tcMar>
            <w:vAlign w:val="center"/>
          </w:tcPr>
          <w:p w:rsidR="00CE00F3" w:rsidRPr="00BB3215" w:rsidRDefault="00CE00F3" w:rsidP="00025B3F">
            <w:pPr>
              <w:pStyle w:val="Tabletext"/>
              <w:keepNext/>
              <w:keepLines/>
              <w:spacing w:line="256" w:lineRule="auto"/>
              <w:jc w:val="center"/>
              <w:rPr>
                <w:rFonts w:cs="Calibri"/>
                <w:iCs/>
                <w:szCs w:val="20"/>
              </w:rPr>
            </w:pPr>
          </w:p>
        </w:tc>
        <w:tc>
          <w:tcPr>
            <w:tcW w:w="1157" w:type="pct"/>
            <w:tcBorders>
              <w:top w:val="single" w:sz="4" w:space="0" w:color="auto"/>
              <w:left w:val="nil"/>
              <w:bottom w:val="single" w:sz="4" w:space="0" w:color="auto"/>
              <w:right w:val="nil"/>
            </w:tcBorders>
            <w:tcMar>
              <w:top w:w="0" w:type="dxa"/>
              <w:left w:w="57" w:type="dxa"/>
              <w:bottom w:w="0" w:type="dxa"/>
              <w:right w:w="57" w:type="dxa"/>
            </w:tcMar>
            <w:vAlign w:val="center"/>
          </w:tcPr>
          <w:p w:rsidR="00CE00F3" w:rsidRPr="00BB3215" w:rsidRDefault="00CE00F3" w:rsidP="00025B3F">
            <w:pPr>
              <w:pStyle w:val="Tabletext"/>
              <w:keepNext/>
              <w:keepLines/>
              <w:spacing w:line="256" w:lineRule="auto"/>
              <w:jc w:val="center"/>
              <w:rPr>
                <w:rFonts w:cs="Calibri"/>
                <w:iCs/>
                <w:szCs w:val="20"/>
              </w:rPr>
            </w:pPr>
          </w:p>
        </w:tc>
        <w:tc>
          <w:tcPr>
            <w:tcW w:w="1157" w:type="pct"/>
            <w:tcBorders>
              <w:top w:val="single" w:sz="4" w:space="0" w:color="auto"/>
              <w:left w:val="nil"/>
              <w:bottom w:val="single" w:sz="4" w:space="0" w:color="auto"/>
              <w:right w:val="single" w:sz="4" w:space="0" w:color="auto"/>
            </w:tcBorders>
            <w:vAlign w:val="center"/>
          </w:tcPr>
          <w:p w:rsidR="00CE00F3" w:rsidRPr="00BB3215" w:rsidRDefault="00CE00F3" w:rsidP="00025B3F">
            <w:pPr>
              <w:pStyle w:val="Tabletext"/>
              <w:keepNext/>
              <w:keepLines/>
              <w:spacing w:line="256" w:lineRule="auto"/>
              <w:jc w:val="center"/>
              <w:rPr>
                <w:rFonts w:cs="Calibri"/>
                <w:iCs/>
                <w:szCs w:val="20"/>
              </w:rPr>
            </w:pPr>
          </w:p>
        </w:tc>
      </w:tr>
      <w:tr w:rsidR="00CE00F3" w:rsidRPr="00BB3215" w:rsidTr="00D17D59">
        <w:trPr>
          <w:cantSplit/>
        </w:trPr>
        <w:tc>
          <w:tcPr>
            <w:tcW w:w="15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rPr>
                <w:rFonts w:cs="Calibri"/>
                <w:iCs/>
                <w:szCs w:val="20"/>
              </w:rPr>
            </w:pPr>
            <w:r w:rsidRPr="00BB3215">
              <w:rPr>
                <w:szCs w:val="20"/>
              </w:rPr>
              <w:t>Trial local recurrence (63 months)</w:t>
            </w:r>
            <w:r w:rsidRPr="00BB3215">
              <w:rPr>
                <w:szCs w:val="20"/>
                <w:vertAlign w:val="superscript"/>
              </w:rPr>
              <w:t>b</w:t>
            </w:r>
          </w:p>
        </w:tc>
        <w:tc>
          <w:tcPr>
            <w:tcW w:w="10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jc w:val="center"/>
              <w:rPr>
                <w:rFonts w:cs="Calibri"/>
                <w:iCs/>
                <w:szCs w:val="20"/>
              </w:rPr>
            </w:pPr>
            <w:r w:rsidRPr="00BB3215">
              <w:rPr>
                <w:rFonts w:cs="Calibri"/>
                <w:iCs/>
                <w:szCs w:val="20"/>
              </w:rPr>
              <w:t>0.01</w:t>
            </w:r>
          </w:p>
        </w:tc>
        <w:tc>
          <w:tcPr>
            <w:tcW w:w="11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jc w:val="center"/>
              <w:rPr>
                <w:rFonts w:cs="Calibri"/>
                <w:iCs/>
                <w:szCs w:val="20"/>
              </w:rPr>
            </w:pPr>
            <w:r w:rsidRPr="00BB3215">
              <w:rPr>
                <w:rFonts w:cs="Calibri"/>
                <w:iCs/>
                <w:szCs w:val="20"/>
              </w:rPr>
              <w:t>0.04</w:t>
            </w:r>
          </w:p>
        </w:tc>
        <w:tc>
          <w:tcPr>
            <w:tcW w:w="1157" w:type="pct"/>
            <w:tcBorders>
              <w:top w:val="single" w:sz="4" w:space="0" w:color="auto"/>
              <w:left w:val="single" w:sz="4" w:space="0" w:color="auto"/>
              <w:bottom w:val="single" w:sz="4" w:space="0" w:color="auto"/>
              <w:right w:val="single" w:sz="4" w:space="0" w:color="auto"/>
            </w:tcBorders>
            <w:vAlign w:val="center"/>
            <w:hideMark/>
          </w:tcPr>
          <w:p w:rsidR="00CE00F3" w:rsidRPr="00BB3215" w:rsidRDefault="00CE00F3" w:rsidP="00025B3F">
            <w:pPr>
              <w:pStyle w:val="Tabletext"/>
              <w:keepNext/>
              <w:keepLines/>
              <w:spacing w:line="256" w:lineRule="auto"/>
              <w:jc w:val="center"/>
              <w:rPr>
                <w:rFonts w:cs="Calibri"/>
                <w:iCs/>
                <w:szCs w:val="20"/>
              </w:rPr>
            </w:pPr>
            <w:r w:rsidRPr="00BB3215">
              <w:rPr>
                <w:rFonts w:cs="Calibri"/>
                <w:iCs/>
                <w:szCs w:val="20"/>
              </w:rPr>
              <w:t>-0.03</w:t>
            </w:r>
          </w:p>
        </w:tc>
      </w:tr>
      <w:tr w:rsidR="00CE00F3" w:rsidRPr="00BB3215" w:rsidTr="00D17D59">
        <w:trPr>
          <w:cantSplit/>
        </w:trPr>
        <w:tc>
          <w:tcPr>
            <w:tcW w:w="15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rPr>
                <w:rFonts w:cs="Calibri"/>
                <w:iCs/>
                <w:szCs w:val="20"/>
              </w:rPr>
            </w:pPr>
            <w:r w:rsidRPr="00BB3215">
              <w:rPr>
                <w:szCs w:val="20"/>
              </w:rPr>
              <w:t>Model local recurrence (40 years)</w:t>
            </w:r>
            <w:r w:rsidRPr="00BB3215">
              <w:rPr>
                <w:szCs w:val="20"/>
                <w:vertAlign w:val="superscript"/>
              </w:rPr>
              <w:t>b</w:t>
            </w:r>
          </w:p>
        </w:tc>
        <w:tc>
          <w:tcPr>
            <w:tcW w:w="10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jc w:val="center"/>
              <w:rPr>
                <w:rFonts w:cs="Calibri"/>
                <w:iCs/>
                <w:szCs w:val="20"/>
              </w:rPr>
            </w:pPr>
            <w:r w:rsidRPr="00BB3215">
              <w:rPr>
                <w:rFonts w:cs="Calibri"/>
                <w:iCs/>
                <w:szCs w:val="20"/>
              </w:rPr>
              <w:t>0.03</w:t>
            </w:r>
          </w:p>
        </w:tc>
        <w:tc>
          <w:tcPr>
            <w:tcW w:w="11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E00F3" w:rsidRPr="00BB3215" w:rsidRDefault="00CE00F3" w:rsidP="00025B3F">
            <w:pPr>
              <w:pStyle w:val="Tabletext"/>
              <w:keepNext/>
              <w:keepLines/>
              <w:spacing w:line="256" w:lineRule="auto"/>
              <w:jc w:val="center"/>
              <w:rPr>
                <w:rFonts w:cs="Calibri"/>
                <w:iCs/>
                <w:szCs w:val="20"/>
              </w:rPr>
            </w:pPr>
            <w:r w:rsidRPr="00BB3215">
              <w:rPr>
                <w:rFonts w:cs="Calibri"/>
                <w:iCs/>
                <w:szCs w:val="20"/>
              </w:rPr>
              <w:t>0.09</w:t>
            </w:r>
          </w:p>
        </w:tc>
        <w:tc>
          <w:tcPr>
            <w:tcW w:w="1157" w:type="pct"/>
            <w:tcBorders>
              <w:top w:val="single" w:sz="4" w:space="0" w:color="auto"/>
              <w:left w:val="single" w:sz="4" w:space="0" w:color="auto"/>
              <w:bottom w:val="single" w:sz="4" w:space="0" w:color="auto"/>
              <w:right w:val="single" w:sz="4" w:space="0" w:color="auto"/>
            </w:tcBorders>
            <w:vAlign w:val="center"/>
            <w:hideMark/>
          </w:tcPr>
          <w:p w:rsidR="00CE00F3" w:rsidRPr="00BB3215" w:rsidRDefault="00CE00F3" w:rsidP="00025B3F">
            <w:pPr>
              <w:pStyle w:val="Tabletext"/>
              <w:keepNext/>
              <w:keepLines/>
              <w:spacing w:line="256" w:lineRule="auto"/>
              <w:jc w:val="center"/>
              <w:rPr>
                <w:rFonts w:cs="Calibri"/>
                <w:iCs/>
                <w:szCs w:val="20"/>
              </w:rPr>
            </w:pPr>
            <w:r w:rsidRPr="00BB3215">
              <w:rPr>
                <w:rFonts w:cs="Calibri"/>
                <w:iCs/>
                <w:szCs w:val="20"/>
              </w:rPr>
              <w:t>-0.05</w:t>
            </w:r>
          </w:p>
        </w:tc>
      </w:tr>
    </w:tbl>
    <w:p w:rsidR="00CE00F3" w:rsidRPr="00BB3215" w:rsidRDefault="00CE00F3" w:rsidP="00025B3F">
      <w:pPr>
        <w:keepNext/>
        <w:keepLines/>
        <w:widowControl/>
        <w:rPr>
          <w:rFonts w:ascii="Arial Narrow" w:hAnsi="Arial Narrow"/>
          <w:sz w:val="18"/>
          <w:szCs w:val="18"/>
        </w:rPr>
      </w:pPr>
      <w:r w:rsidRPr="00BB3215">
        <w:rPr>
          <w:rFonts w:ascii="Arial Narrow" w:hAnsi="Arial Narrow"/>
          <w:sz w:val="18"/>
          <w:szCs w:val="18"/>
        </w:rPr>
        <w:t>LY= life years.</w:t>
      </w:r>
    </w:p>
    <w:p w:rsidR="00CE00F3" w:rsidRPr="00BB3215" w:rsidRDefault="00CE00F3" w:rsidP="00025B3F">
      <w:pPr>
        <w:keepNext/>
        <w:keepLines/>
        <w:widowControl/>
        <w:rPr>
          <w:rFonts w:ascii="Arial Narrow" w:hAnsi="Arial Narrow"/>
          <w:sz w:val="18"/>
          <w:szCs w:val="18"/>
        </w:rPr>
      </w:pPr>
      <w:r w:rsidRPr="00BB3215">
        <w:rPr>
          <w:rFonts w:ascii="Arial Narrow" w:hAnsi="Arial Narrow"/>
          <w:sz w:val="18"/>
          <w:szCs w:val="18"/>
        </w:rPr>
        <w:t xml:space="preserve">a sum of columns AU and AV in sheets Markov-Int and Markov-Comp </w:t>
      </w:r>
      <w:r w:rsidR="008314E3" w:rsidRPr="00BB3215">
        <w:rPr>
          <w:rFonts w:ascii="Arial Narrow" w:hAnsi="Arial Narrow"/>
          <w:sz w:val="18"/>
          <w:szCs w:val="18"/>
        </w:rPr>
        <w:t xml:space="preserve">of Nerlynx_PBAC_Section3_July2019 workbook </w:t>
      </w:r>
      <w:r w:rsidRPr="00BB3215">
        <w:rPr>
          <w:rFonts w:ascii="Arial Narrow" w:hAnsi="Arial Narrow"/>
          <w:sz w:val="18"/>
          <w:szCs w:val="18"/>
        </w:rPr>
        <w:t>up to 63 months (trial) and 40 years</w:t>
      </w:r>
    </w:p>
    <w:p w:rsidR="00CE00F3" w:rsidRPr="00BB3215" w:rsidRDefault="00CE00F3" w:rsidP="00025B3F">
      <w:pPr>
        <w:keepNext/>
        <w:keepLines/>
        <w:widowControl/>
        <w:rPr>
          <w:rFonts w:ascii="Arial Narrow" w:hAnsi="Arial Narrow"/>
          <w:sz w:val="18"/>
          <w:szCs w:val="18"/>
        </w:rPr>
      </w:pPr>
      <w:r w:rsidRPr="00BB3215">
        <w:rPr>
          <w:rFonts w:ascii="Arial Narrow" w:hAnsi="Arial Narrow"/>
          <w:sz w:val="18"/>
          <w:szCs w:val="18"/>
        </w:rPr>
        <w:t>b sum of column AS in sheets Markov-Int and Markov-Comp</w:t>
      </w:r>
      <w:r w:rsidR="008314E3" w:rsidRPr="00BB3215">
        <w:t xml:space="preserve"> </w:t>
      </w:r>
      <w:r w:rsidR="008314E3" w:rsidRPr="00BB3215">
        <w:rPr>
          <w:rFonts w:ascii="Arial Narrow" w:hAnsi="Arial Narrow"/>
          <w:sz w:val="18"/>
          <w:szCs w:val="18"/>
        </w:rPr>
        <w:t>of Nerlynx_PBAC_Section3_July2019 workbook</w:t>
      </w:r>
      <w:r w:rsidRPr="00BB3215">
        <w:rPr>
          <w:rFonts w:ascii="Arial Narrow" w:hAnsi="Arial Narrow"/>
          <w:sz w:val="18"/>
          <w:szCs w:val="18"/>
        </w:rPr>
        <w:t xml:space="preserve"> up to 63 months (trial) and 40 years</w:t>
      </w:r>
    </w:p>
    <w:p w:rsidR="00501936" w:rsidRPr="00BB3215" w:rsidRDefault="00501936" w:rsidP="00025B3F">
      <w:pPr>
        <w:widowControl/>
      </w:pPr>
    </w:p>
    <w:p w:rsidR="001A18CD" w:rsidRPr="00134586" w:rsidRDefault="001A18CD" w:rsidP="00A84C29">
      <w:pPr>
        <w:pStyle w:val="ListParagraph"/>
        <w:widowControl/>
        <w:numPr>
          <w:ilvl w:val="1"/>
          <w:numId w:val="5"/>
        </w:numPr>
      </w:pPr>
      <w:r w:rsidRPr="00134586">
        <w:t xml:space="preserve">The resubmission performed univariate scenario analyses. Results are summarised in Table </w:t>
      </w:r>
      <w:r w:rsidR="00174AA7" w:rsidRPr="00134586">
        <w:t>1</w:t>
      </w:r>
      <w:r w:rsidR="000D534A">
        <w:t>5</w:t>
      </w:r>
      <w:r w:rsidRPr="00134586">
        <w:t xml:space="preserve">. The resubmission claimed that the ICER was most sensitive to the duration of treatment effect and duration of metastatic treatment. </w:t>
      </w:r>
      <w:r w:rsidRPr="00134586">
        <w:rPr>
          <w:iCs/>
        </w:rPr>
        <w:t xml:space="preserve">Additional scenario analyses </w:t>
      </w:r>
      <w:r w:rsidR="00F54065" w:rsidRPr="00134586">
        <w:t>performed during the evaluation</w:t>
      </w:r>
      <w:r w:rsidR="00F54065" w:rsidRPr="00134586">
        <w:rPr>
          <w:iCs/>
        </w:rPr>
        <w:t xml:space="preserve"> </w:t>
      </w:r>
      <w:r w:rsidRPr="00134586">
        <w:rPr>
          <w:iCs/>
        </w:rPr>
        <w:t>indicate that the ICER was most sensitive to the extrapolation of iDFS and the duration of treatment with neratinib.</w:t>
      </w:r>
      <w:r w:rsidRPr="00134586">
        <w:t xml:space="preserve"> </w:t>
      </w:r>
    </w:p>
    <w:p w:rsidR="001A18CD" w:rsidRPr="00BB3215" w:rsidRDefault="001A18CD" w:rsidP="00285496">
      <w:pPr>
        <w:keepNext/>
        <w:widowControl/>
        <w:rPr>
          <w:rFonts w:ascii="Arial Narrow" w:hAnsi="Arial Narrow"/>
          <w:b/>
          <w:bCs/>
          <w:sz w:val="20"/>
          <w:szCs w:val="20"/>
        </w:rPr>
      </w:pPr>
      <w:r w:rsidRPr="00BB3215">
        <w:rPr>
          <w:rFonts w:ascii="Arial Narrow" w:hAnsi="Arial Narrow"/>
          <w:b/>
          <w:bCs/>
          <w:sz w:val="20"/>
          <w:szCs w:val="20"/>
        </w:rPr>
        <w:lastRenderedPageBreak/>
        <w:t xml:space="preserve">Table </w:t>
      </w:r>
      <w:r w:rsidR="00174AA7" w:rsidRPr="00BB3215">
        <w:rPr>
          <w:rFonts w:ascii="Arial Narrow" w:hAnsi="Arial Narrow"/>
          <w:b/>
          <w:bCs/>
          <w:sz w:val="20"/>
          <w:szCs w:val="20"/>
        </w:rPr>
        <w:t>1</w:t>
      </w:r>
      <w:r w:rsidR="000D534A">
        <w:rPr>
          <w:rFonts w:ascii="Arial Narrow" w:hAnsi="Arial Narrow"/>
          <w:b/>
          <w:bCs/>
          <w:sz w:val="20"/>
          <w:szCs w:val="20"/>
        </w:rPr>
        <w:t>5</w:t>
      </w:r>
      <w:r w:rsidRPr="00BB3215">
        <w:rPr>
          <w:rFonts w:ascii="Arial Narrow" w:hAnsi="Arial Narrow"/>
          <w:b/>
          <w:bCs/>
          <w:sz w:val="20"/>
          <w:szCs w:val="20"/>
        </w:rPr>
        <w:t>:  Results of scenario analyses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5"/>
        <w:gridCol w:w="1630"/>
        <w:gridCol w:w="1630"/>
        <w:gridCol w:w="1228"/>
      </w:tblGrid>
      <w:tr w:rsidR="001A18CD" w:rsidRPr="00BB3215" w:rsidTr="00AC7A51">
        <w:trPr>
          <w:tblHeader/>
        </w:trPr>
        <w:tc>
          <w:tcPr>
            <w:tcW w:w="4815" w:type="dxa"/>
          </w:tcPr>
          <w:p w:rsidR="001A18CD" w:rsidRPr="00037A46" w:rsidRDefault="001A18CD" w:rsidP="00285496">
            <w:pPr>
              <w:pStyle w:val="Tabletext"/>
              <w:keepNext/>
              <w:tabs>
                <w:tab w:val="left" w:pos="142"/>
              </w:tabs>
              <w:rPr>
                <w:b/>
              </w:rPr>
            </w:pPr>
            <w:r w:rsidRPr="00037A46">
              <w:rPr>
                <w:b/>
              </w:rPr>
              <w:t>Analyses</w:t>
            </w:r>
          </w:p>
        </w:tc>
        <w:tc>
          <w:tcPr>
            <w:tcW w:w="1630" w:type="dxa"/>
          </w:tcPr>
          <w:p w:rsidR="001A18CD" w:rsidRPr="00037A46" w:rsidRDefault="001A18CD" w:rsidP="00285496">
            <w:pPr>
              <w:pStyle w:val="Tabletext"/>
              <w:keepNext/>
              <w:jc w:val="center"/>
              <w:rPr>
                <w:b/>
              </w:rPr>
            </w:pPr>
            <w:r w:rsidRPr="00037A46">
              <w:rPr>
                <w:b/>
              </w:rPr>
              <w:t>Incremental cost</w:t>
            </w:r>
          </w:p>
        </w:tc>
        <w:tc>
          <w:tcPr>
            <w:tcW w:w="1630" w:type="dxa"/>
          </w:tcPr>
          <w:p w:rsidR="001A18CD" w:rsidRPr="00037A46" w:rsidRDefault="001A18CD" w:rsidP="00285496">
            <w:pPr>
              <w:pStyle w:val="Tabletext"/>
              <w:keepNext/>
              <w:jc w:val="center"/>
              <w:rPr>
                <w:b/>
              </w:rPr>
            </w:pPr>
            <w:r w:rsidRPr="00037A46">
              <w:rPr>
                <w:b/>
              </w:rPr>
              <w:t>Incremental QALY</w:t>
            </w:r>
          </w:p>
        </w:tc>
        <w:tc>
          <w:tcPr>
            <w:tcW w:w="1228" w:type="dxa"/>
          </w:tcPr>
          <w:p w:rsidR="001A18CD" w:rsidRPr="00037A46" w:rsidRDefault="001A18CD" w:rsidP="00285496">
            <w:pPr>
              <w:pStyle w:val="Tabletext"/>
              <w:keepNext/>
              <w:jc w:val="center"/>
              <w:rPr>
                <w:b/>
              </w:rPr>
            </w:pPr>
            <w:r w:rsidRPr="00037A46">
              <w:rPr>
                <w:b/>
              </w:rPr>
              <w:t>ICER</w:t>
            </w:r>
          </w:p>
        </w:tc>
      </w:tr>
      <w:tr w:rsidR="001A18CD" w:rsidRPr="00BB3215" w:rsidTr="00AC7A51">
        <w:tc>
          <w:tcPr>
            <w:tcW w:w="4815" w:type="dxa"/>
          </w:tcPr>
          <w:p w:rsidR="001A18CD" w:rsidRPr="00037A46" w:rsidRDefault="001A18CD" w:rsidP="00285496">
            <w:pPr>
              <w:pStyle w:val="Tabletext"/>
              <w:keepNext/>
              <w:tabs>
                <w:tab w:val="left" w:pos="142"/>
              </w:tabs>
              <w:rPr>
                <w:b/>
              </w:rPr>
            </w:pPr>
            <w:r w:rsidRPr="00037A46">
              <w:rPr>
                <w:b/>
              </w:rPr>
              <w:t>Base case</w:t>
            </w:r>
          </w:p>
        </w:tc>
        <w:tc>
          <w:tcPr>
            <w:tcW w:w="1630" w:type="dxa"/>
          </w:tcPr>
          <w:p w:rsidR="001A18CD" w:rsidRPr="00037A46" w:rsidRDefault="001A18CD" w:rsidP="00285496">
            <w:pPr>
              <w:pStyle w:val="Tabletext"/>
              <w:keepNext/>
              <w:jc w:val="center"/>
              <w:rPr>
                <w:b/>
              </w:rPr>
            </w:pPr>
            <w:r w:rsidRPr="00037A46">
              <w:rPr>
                <w:b/>
                <w:bCs/>
              </w:rPr>
              <w:t>$</w:t>
            </w:r>
            <w:r w:rsidR="00152B62">
              <w:rPr>
                <w:b/>
                <w:bCs/>
                <w:noProof/>
                <w:color w:val="000000"/>
                <w:highlight w:val="black"/>
              </w:rPr>
              <w:t>'''''''''''''</w:t>
            </w:r>
          </w:p>
        </w:tc>
        <w:tc>
          <w:tcPr>
            <w:tcW w:w="1630" w:type="dxa"/>
          </w:tcPr>
          <w:p w:rsidR="001A18CD" w:rsidRPr="00037A46" w:rsidRDefault="001A18CD" w:rsidP="00285496">
            <w:pPr>
              <w:pStyle w:val="Tabletext"/>
              <w:keepNext/>
              <w:jc w:val="center"/>
              <w:rPr>
                <w:b/>
              </w:rPr>
            </w:pPr>
            <w:r w:rsidRPr="00037A46">
              <w:rPr>
                <w:b/>
                <w:bCs/>
              </w:rPr>
              <w:t>0.55</w:t>
            </w:r>
          </w:p>
        </w:tc>
        <w:tc>
          <w:tcPr>
            <w:tcW w:w="1228" w:type="dxa"/>
          </w:tcPr>
          <w:p w:rsidR="001A18CD" w:rsidRPr="00037A46" w:rsidRDefault="001A18CD" w:rsidP="00285496">
            <w:pPr>
              <w:pStyle w:val="Tabletext"/>
              <w:keepNext/>
              <w:jc w:val="center"/>
              <w:rPr>
                <w:b/>
              </w:rPr>
            </w:pPr>
            <w:r w:rsidRPr="00037A46">
              <w:rPr>
                <w:b/>
                <w:bCs/>
              </w:rPr>
              <w:t>$</w:t>
            </w:r>
            <w:r w:rsidR="00152B62">
              <w:rPr>
                <w:b/>
                <w:bCs/>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pPr>
            <w:r w:rsidRPr="00037A46">
              <w:t>Extrapolation iDFS (base case flexible spline Weibull, 1 knot)</w:t>
            </w:r>
          </w:p>
          <w:p w:rsidR="001A18CD" w:rsidRPr="00037A46" w:rsidRDefault="001A18CD" w:rsidP="00285496">
            <w:pPr>
              <w:pStyle w:val="Tabletext"/>
              <w:keepNext/>
              <w:tabs>
                <w:tab w:val="left" w:pos="142"/>
              </w:tabs>
            </w:pPr>
            <w:r w:rsidRPr="00037A46">
              <w:tab/>
              <w:t>Gompertz extrapolation</w:t>
            </w:r>
          </w:p>
          <w:p w:rsidR="001A18CD" w:rsidRPr="00037A46" w:rsidRDefault="001A18CD" w:rsidP="00285496">
            <w:pPr>
              <w:pStyle w:val="Tabletext"/>
              <w:keepNext/>
              <w:tabs>
                <w:tab w:val="left" w:pos="142"/>
              </w:tabs>
              <w:rPr>
                <w:iCs/>
              </w:rPr>
            </w:pPr>
            <w:r w:rsidRPr="00037A46">
              <w:rPr>
                <w:iCs/>
              </w:rPr>
              <w:tab/>
              <w:t>Generalised gamma extrapolation</w:t>
            </w:r>
          </w:p>
          <w:p w:rsidR="001A18CD" w:rsidRPr="00037A46" w:rsidRDefault="001A18CD" w:rsidP="00285496">
            <w:pPr>
              <w:pStyle w:val="Tabletext"/>
              <w:keepNext/>
              <w:tabs>
                <w:tab w:val="left" w:pos="142"/>
              </w:tabs>
            </w:pPr>
            <w:r w:rsidRPr="00037A46">
              <w:tab/>
              <w:t>Incorporate HERA data with flexible spline Weibull, 2 knots</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pPr>
            <w:r w:rsidRPr="00037A46">
              <w:t>$</w:t>
            </w:r>
            <w:r w:rsidR="00152B62">
              <w:rPr>
                <w:noProof/>
                <w:color w:val="000000"/>
                <w:highlight w:val="black"/>
              </w:rPr>
              <w:t>''''''''''''''''</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0.55</w:t>
            </w:r>
          </w:p>
          <w:p w:rsidR="001A18CD" w:rsidRPr="00037A46" w:rsidRDefault="001A18CD" w:rsidP="00285496">
            <w:pPr>
              <w:pStyle w:val="Tabletext"/>
              <w:keepNext/>
              <w:jc w:val="center"/>
              <w:rPr>
                <w:iCs/>
              </w:rPr>
            </w:pPr>
            <w:r w:rsidRPr="00037A46">
              <w:rPr>
                <w:iCs/>
              </w:rPr>
              <w:t>0.33</w:t>
            </w:r>
          </w:p>
          <w:p w:rsidR="001A18CD" w:rsidRPr="00037A46" w:rsidRDefault="001A18CD" w:rsidP="00285496">
            <w:pPr>
              <w:pStyle w:val="Tabletext"/>
              <w:keepNext/>
              <w:jc w:val="center"/>
            </w:pPr>
            <w:r w:rsidRPr="00037A46">
              <w:t>0.55</w:t>
            </w:r>
          </w:p>
        </w:tc>
        <w:tc>
          <w:tcPr>
            <w:tcW w:w="1228"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pPr>
            <w:r w:rsidRPr="00037A46">
              <w:t>$</w:t>
            </w:r>
            <w:r w:rsidR="00152B62">
              <w:rPr>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pPr>
            <w:r w:rsidRPr="00037A46">
              <w:t>Treatment effect (base case waning to no effect at 13.9 years)</w:t>
            </w:r>
          </w:p>
          <w:p w:rsidR="001A18CD" w:rsidRPr="00037A46" w:rsidRDefault="001A18CD" w:rsidP="00285496">
            <w:pPr>
              <w:pStyle w:val="Tabletext"/>
              <w:keepNext/>
              <w:tabs>
                <w:tab w:val="left" w:pos="142"/>
              </w:tabs>
            </w:pPr>
            <w:r w:rsidRPr="00037A46">
              <w:tab/>
              <w:t>Treatment effect continues to time horizon</w:t>
            </w:r>
          </w:p>
          <w:p w:rsidR="001A18CD" w:rsidRPr="00037A46" w:rsidRDefault="001A18CD" w:rsidP="00285496">
            <w:pPr>
              <w:pStyle w:val="Tabletext"/>
              <w:keepNext/>
              <w:tabs>
                <w:tab w:val="left" w:pos="142"/>
              </w:tabs>
            </w:pPr>
            <w:r w:rsidRPr="00037A46">
              <w:tab/>
              <w:t>Treatment effect wanes to no effect at 10.2 years</w:t>
            </w:r>
          </w:p>
          <w:p w:rsidR="001A18CD" w:rsidRPr="00037A46" w:rsidRDefault="001A18CD" w:rsidP="00285496">
            <w:pPr>
              <w:pStyle w:val="Tabletext"/>
              <w:keepNext/>
              <w:tabs>
                <w:tab w:val="left" w:pos="142"/>
              </w:tabs>
              <w:rPr>
                <w:iCs/>
              </w:rPr>
            </w:pPr>
            <w:r w:rsidRPr="00037A46">
              <w:rPr>
                <w:iCs/>
              </w:rPr>
              <w:tab/>
              <w:t>Assume no treatment effect after end of trial follow-up</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0.68</w:t>
            </w:r>
          </w:p>
          <w:p w:rsidR="001A18CD" w:rsidRPr="00037A46" w:rsidRDefault="001A18CD" w:rsidP="00285496">
            <w:pPr>
              <w:pStyle w:val="Tabletext"/>
              <w:keepNext/>
              <w:jc w:val="center"/>
            </w:pPr>
            <w:r w:rsidRPr="00037A46">
              <w:t>0.50</w:t>
            </w:r>
          </w:p>
          <w:p w:rsidR="001A18CD" w:rsidRPr="00037A46" w:rsidRDefault="001A18CD" w:rsidP="00285496">
            <w:pPr>
              <w:pStyle w:val="Tabletext"/>
              <w:keepNext/>
              <w:jc w:val="center"/>
              <w:rPr>
                <w:iCs/>
              </w:rPr>
            </w:pPr>
            <w:r w:rsidRPr="00037A46">
              <w:rPr>
                <w:iCs/>
              </w:rPr>
              <w:t>0.41</w:t>
            </w:r>
          </w:p>
        </w:tc>
        <w:tc>
          <w:tcPr>
            <w:tcW w:w="1228"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rPr>
                <w:iCs/>
              </w:rPr>
            </w:pPr>
            <w:r w:rsidRPr="00037A46">
              <w:rPr>
                <w:iCs/>
              </w:rPr>
              <w:t>Health state utilities (base case ExteNET, Lidgren 2007 and Lloyd 2006)</w:t>
            </w:r>
          </w:p>
          <w:p w:rsidR="001A18CD" w:rsidRPr="00037A46" w:rsidRDefault="001A18CD" w:rsidP="00285496">
            <w:pPr>
              <w:pStyle w:val="Tabletext"/>
              <w:keepNext/>
              <w:tabs>
                <w:tab w:val="left" w:pos="142"/>
              </w:tabs>
              <w:rPr>
                <w:iCs/>
              </w:rPr>
            </w:pPr>
            <w:r w:rsidRPr="00037A46">
              <w:rPr>
                <w:iCs/>
              </w:rPr>
              <w:tab/>
              <w:t>Lidgren 2007</w:t>
            </w:r>
          </w:p>
        </w:tc>
        <w:tc>
          <w:tcPr>
            <w:tcW w:w="1630"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c>
          <w:tcPr>
            <w:tcW w:w="1630"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0.47</w:t>
            </w:r>
          </w:p>
        </w:tc>
        <w:tc>
          <w:tcPr>
            <w:tcW w:w="1228"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pPr>
            <w:r w:rsidRPr="00037A46">
              <w:t>Treatment duration – P+T+D and T-DM1 for mBC (base case NICE TA569)</w:t>
            </w:r>
          </w:p>
          <w:p w:rsidR="001A18CD" w:rsidRPr="00037A46" w:rsidRDefault="001A18CD" w:rsidP="00285496">
            <w:pPr>
              <w:pStyle w:val="Tabletext"/>
              <w:keepNext/>
              <w:tabs>
                <w:tab w:val="left" w:pos="142"/>
              </w:tabs>
            </w:pPr>
            <w:r w:rsidRPr="00037A46">
              <w:tab/>
              <w:t>DUSC Analysis (median length of treatment, excl. breaks)</w:t>
            </w:r>
          </w:p>
          <w:p w:rsidR="001A18CD" w:rsidRPr="00037A46" w:rsidRDefault="001A18CD" w:rsidP="00285496">
            <w:pPr>
              <w:pStyle w:val="Tabletext"/>
              <w:keepNext/>
              <w:tabs>
                <w:tab w:val="left" w:pos="142"/>
              </w:tabs>
              <w:rPr>
                <w:iCs/>
              </w:rPr>
            </w:pPr>
            <w:r w:rsidRPr="00037A46">
              <w:rPr>
                <w:iCs/>
              </w:rPr>
              <w:tab/>
              <w:t>DUSC Analysis (median number of scripts per patient)</w:t>
            </w:r>
          </w:p>
          <w:p w:rsidR="00741AA0" w:rsidRDefault="001A18CD" w:rsidP="00741AA0">
            <w:pPr>
              <w:pStyle w:val="Tabletext"/>
              <w:keepNext/>
              <w:tabs>
                <w:tab w:val="left" w:pos="142"/>
              </w:tabs>
              <w:rPr>
                <w:iCs/>
              </w:rPr>
            </w:pPr>
            <w:r w:rsidRPr="00037A46">
              <w:rPr>
                <w:iCs/>
              </w:rPr>
              <w:tab/>
              <w:t>Australian PI (media</w:t>
            </w:r>
            <w:r w:rsidR="00741AA0">
              <w:rPr>
                <w:iCs/>
              </w:rPr>
              <w:t xml:space="preserve">n time to progression for P+T+D, </w:t>
            </w:r>
          </w:p>
          <w:p w:rsidR="001A18CD" w:rsidRPr="00741AA0" w:rsidRDefault="009D3641" w:rsidP="009D3641">
            <w:pPr>
              <w:pStyle w:val="Tabletext"/>
              <w:keepNext/>
              <w:tabs>
                <w:tab w:val="left" w:pos="142"/>
              </w:tabs>
              <w:rPr>
                <w:iCs/>
              </w:rPr>
            </w:pPr>
            <w:r>
              <w:rPr>
                <w:iCs/>
              </w:rPr>
              <w:tab/>
            </w:r>
            <w:r w:rsidR="001A18CD" w:rsidRPr="00037A46">
              <w:rPr>
                <w:iCs/>
              </w:rPr>
              <w:t>T-DM1, T+D, and L+C)</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p>
          <w:p w:rsidR="001A18CD" w:rsidRPr="00152B62"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pPr>
            <w:r w:rsidRPr="00037A46">
              <w:rPr>
                <w:iCs/>
              </w:rPr>
              <w:t>$</w:t>
            </w:r>
            <w:r w:rsidR="00152B62">
              <w:rPr>
                <w:iCs/>
                <w:noProof/>
                <w:color w:val="000000"/>
                <w:highlight w:val="black"/>
              </w:rPr>
              <w:t>'''''''''''''''</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0.55</w:t>
            </w:r>
          </w:p>
          <w:p w:rsidR="001A18CD" w:rsidRPr="00037A46" w:rsidRDefault="001A18CD" w:rsidP="00285496">
            <w:pPr>
              <w:pStyle w:val="Tabletext"/>
              <w:keepNext/>
              <w:jc w:val="center"/>
              <w:rPr>
                <w:iCs/>
              </w:rPr>
            </w:pPr>
            <w:r w:rsidRPr="00037A46">
              <w:rPr>
                <w:iCs/>
              </w:rPr>
              <w:t>0.55</w:t>
            </w:r>
          </w:p>
          <w:p w:rsidR="001A18CD" w:rsidRPr="00037A46" w:rsidRDefault="001A18CD" w:rsidP="00285496">
            <w:pPr>
              <w:pStyle w:val="Tabletext"/>
              <w:keepNext/>
              <w:jc w:val="center"/>
            </w:pPr>
            <w:r w:rsidRPr="00037A46">
              <w:rPr>
                <w:iCs/>
              </w:rPr>
              <w:t>0.55</w:t>
            </w:r>
          </w:p>
        </w:tc>
        <w:tc>
          <w:tcPr>
            <w:tcW w:w="1228" w:type="dxa"/>
          </w:tcPr>
          <w:p w:rsidR="001A18CD" w:rsidRPr="00037A46" w:rsidRDefault="001A18CD" w:rsidP="00285496">
            <w:pPr>
              <w:pStyle w:val="Tabletext"/>
              <w:keepNext/>
              <w:jc w:val="center"/>
            </w:pPr>
          </w:p>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pPr>
            <w:r w:rsidRPr="00037A46">
              <w:rPr>
                <w:iCs/>
              </w:rPr>
              <w:t>$</w:t>
            </w:r>
            <w:r w:rsidR="00152B62">
              <w:rPr>
                <w:iCs/>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rPr>
                <w:iCs/>
              </w:rPr>
            </w:pPr>
            <w:r w:rsidRPr="00037A46">
              <w:rPr>
                <w:iCs/>
              </w:rPr>
              <w:t>Treatment duration – neratinib (base case 8.1 months)</w:t>
            </w:r>
          </w:p>
          <w:p w:rsidR="001A18CD" w:rsidRPr="00037A46" w:rsidRDefault="001A18CD" w:rsidP="00285496">
            <w:pPr>
              <w:pStyle w:val="Tabletext"/>
              <w:keepNext/>
              <w:tabs>
                <w:tab w:val="left" w:pos="142"/>
              </w:tabs>
              <w:rPr>
                <w:iCs/>
              </w:rPr>
            </w:pPr>
            <w:r w:rsidRPr="00037A46">
              <w:rPr>
                <w:iCs/>
              </w:rPr>
              <w:tab/>
              <w:t>12 months</w:t>
            </w:r>
          </w:p>
        </w:tc>
        <w:tc>
          <w:tcPr>
            <w:tcW w:w="1630"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c>
          <w:tcPr>
            <w:tcW w:w="1630"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0.55</w:t>
            </w:r>
          </w:p>
        </w:tc>
        <w:tc>
          <w:tcPr>
            <w:tcW w:w="1228"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pPr>
            <w:r w:rsidRPr="00037A46">
              <w:t>Wastage – neratinib (base case cost per tablet)</w:t>
            </w:r>
          </w:p>
          <w:p w:rsidR="001A18CD" w:rsidRPr="00037A46" w:rsidRDefault="001A18CD" w:rsidP="00285496">
            <w:pPr>
              <w:pStyle w:val="Tabletext"/>
              <w:keepNext/>
              <w:tabs>
                <w:tab w:val="left" w:pos="142"/>
              </w:tabs>
            </w:pPr>
            <w:r w:rsidRPr="00037A46">
              <w:tab/>
              <w:t>Cost per pack</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tc>
        <w:tc>
          <w:tcPr>
            <w:tcW w:w="1630"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0.55</w:t>
            </w:r>
          </w:p>
        </w:tc>
        <w:tc>
          <w:tcPr>
            <w:tcW w:w="1228" w:type="dxa"/>
          </w:tcPr>
          <w:p w:rsidR="001A18CD" w:rsidRPr="00037A46" w:rsidRDefault="001A18CD" w:rsidP="00285496">
            <w:pPr>
              <w:pStyle w:val="Tabletext"/>
              <w:keepNext/>
              <w:jc w:val="center"/>
            </w:pPr>
          </w:p>
          <w:p w:rsidR="001A18CD" w:rsidRPr="00037A46" w:rsidRDefault="001A18CD" w:rsidP="00285496">
            <w:pPr>
              <w:pStyle w:val="Tabletext"/>
              <w:keepNext/>
              <w:jc w:val="center"/>
            </w:pPr>
            <w:r w:rsidRPr="00037A46">
              <w:t>$</w:t>
            </w:r>
            <w:r w:rsidR="00152B62">
              <w:rPr>
                <w:noProof/>
                <w:color w:val="000000"/>
                <w:highlight w:val="black"/>
              </w:rPr>
              <w:t>''''''''''''''''''</w:t>
            </w:r>
          </w:p>
        </w:tc>
      </w:tr>
      <w:tr w:rsidR="001A18CD" w:rsidRPr="00AC7A51" w:rsidTr="00AC7A51">
        <w:tc>
          <w:tcPr>
            <w:tcW w:w="4815" w:type="dxa"/>
          </w:tcPr>
          <w:p w:rsidR="001A18CD" w:rsidRPr="00037A46" w:rsidRDefault="001A18CD" w:rsidP="00285496">
            <w:pPr>
              <w:pStyle w:val="Tabletext"/>
              <w:keepNext/>
              <w:tabs>
                <w:tab w:val="left" w:pos="142"/>
              </w:tabs>
              <w:rPr>
                <w:iCs/>
              </w:rPr>
            </w:pPr>
            <w:r w:rsidRPr="00037A46">
              <w:rPr>
                <w:iCs/>
              </w:rPr>
              <w:t>Time horizon (base case 40 years)</w:t>
            </w:r>
          </w:p>
          <w:p w:rsidR="001A18CD" w:rsidRPr="00037A46" w:rsidRDefault="001A18CD" w:rsidP="00285496">
            <w:pPr>
              <w:pStyle w:val="Tabletext"/>
              <w:keepNext/>
              <w:tabs>
                <w:tab w:val="left" w:pos="142"/>
              </w:tabs>
              <w:rPr>
                <w:iCs/>
              </w:rPr>
            </w:pPr>
            <w:r w:rsidRPr="00037A46">
              <w:rPr>
                <w:iCs/>
              </w:rPr>
              <w:tab/>
              <w:t>10 years</w:t>
            </w:r>
          </w:p>
          <w:p w:rsidR="001A18CD" w:rsidRPr="00037A46" w:rsidRDefault="001A18CD" w:rsidP="00285496">
            <w:pPr>
              <w:pStyle w:val="Tabletext"/>
              <w:keepNext/>
              <w:tabs>
                <w:tab w:val="left" w:pos="142"/>
              </w:tabs>
              <w:rPr>
                <w:iCs/>
              </w:rPr>
            </w:pPr>
            <w:r w:rsidRPr="00037A46">
              <w:rPr>
                <w:iCs/>
              </w:rPr>
              <w:tab/>
              <w:t>20 years</w:t>
            </w:r>
          </w:p>
          <w:p w:rsidR="001A18CD" w:rsidRPr="00037A46" w:rsidRDefault="001A18CD" w:rsidP="00285496">
            <w:pPr>
              <w:pStyle w:val="Tabletext"/>
              <w:keepNext/>
              <w:tabs>
                <w:tab w:val="left" w:pos="142"/>
              </w:tabs>
              <w:rPr>
                <w:iCs/>
              </w:rPr>
            </w:pPr>
            <w:r w:rsidRPr="00037A46">
              <w:rPr>
                <w:iCs/>
              </w:rPr>
              <w:tab/>
              <w:t>30 years</w:t>
            </w:r>
          </w:p>
          <w:p w:rsidR="001A18CD" w:rsidRPr="00037A46" w:rsidRDefault="001A18CD" w:rsidP="00285496">
            <w:pPr>
              <w:pStyle w:val="Tabletext"/>
              <w:keepNext/>
              <w:tabs>
                <w:tab w:val="left" w:pos="142"/>
              </w:tabs>
              <w:rPr>
                <w:iCs/>
              </w:rPr>
            </w:pPr>
            <w:r w:rsidRPr="00037A46">
              <w:rPr>
                <w:iCs/>
              </w:rPr>
              <w:tab/>
              <w:t>35 years</w:t>
            </w:r>
          </w:p>
          <w:p w:rsidR="001A18CD" w:rsidRPr="00037A46" w:rsidRDefault="001A18CD" w:rsidP="00285496">
            <w:pPr>
              <w:pStyle w:val="Tabletext"/>
              <w:keepNext/>
              <w:tabs>
                <w:tab w:val="left" w:pos="142"/>
              </w:tabs>
              <w:rPr>
                <w:iCs/>
              </w:rPr>
            </w:pPr>
            <w:r w:rsidRPr="00037A46">
              <w:rPr>
                <w:iCs/>
              </w:rPr>
              <w:tab/>
              <w:t>45 years</w:t>
            </w:r>
          </w:p>
          <w:p w:rsidR="001A18CD" w:rsidRPr="00037A46" w:rsidRDefault="001A18CD" w:rsidP="00285496">
            <w:pPr>
              <w:pStyle w:val="Tabletext"/>
              <w:keepNext/>
              <w:tabs>
                <w:tab w:val="left" w:pos="142"/>
              </w:tabs>
              <w:rPr>
                <w:iCs/>
              </w:rPr>
            </w:pPr>
            <w:r w:rsidRPr="00037A46">
              <w:rPr>
                <w:iCs/>
              </w:rPr>
              <w:tab/>
              <w:t>50 years</w:t>
            </w:r>
          </w:p>
        </w:tc>
        <w:tc>
          <w:tcPr>
            <w:tcW w:w="1630"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c>
          <w:tcPr>
            <w:tcW w:w="1630"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0.12</w:t>
            </w:r>
          </w:p>
          <w:p w:rsidR="001A18CD" w:rsidRPr="00037A46" w:rsidRDefault="001A18CD" w:rsidP="00285496">
            <w:pPr>
              <w:pStyle w:val="Tabletext"/>
              <w:keepNext/>
              <w:jc w:val="center"/>
              <w:rPr>
                <w:iCs/>
              </w:rPr>
            </w:pPr>
            <w:r w:rsidRPr="00037A46">
              <w:rPr>
                <w:iCs/>
              </w:rPr>
              <w:t>0.34</w:t>
            </w:r>
          </w:p>
          <w:p w:rsidR="001A18CD" w:rsidRPr="00037A46" w:rsidRDefault="001A18CD" w:rsidP="00285496">
            <w:pPr>
              <w:pStyle w:val="Tabletext"/>
              <w:keepNext/>
              <w:jc w:val="center"/>
              <w:rPr>
                <w:iCs/>
              </w:rPr>
            </w:pPr>
            <w:r w:rsidRPr="00037A46">
              <w:rPr>
                <w:iCs/>
              </w:rPr>
              <w:t>0.48</w:t>
            </w:r>
          </w:p>
          <w:p w:rsidR="001A18CD" w:rsidRPr="00037A46" w:rsidRDefault="001A18CD" w:rsidP="00285496">
            <w:pPr>
              <w:pStyle w:val="Tabletext"/>
              <w:keepNext/>
              <w:jc w:val="center"/>
              <w:rPr>
                <w:iCs/>
              </w:rPr>
            </w:pPr>
            <w:r w:rsidRPr="00037A46">
              <w:rPr>
                <w:iCs/>
              </w:rPr>
              <w:t>0.52</w:t>
            </w:r>
          </w:p>
          <w:p w:rsidR="001A18CD" w:rsidRPr="00037A46" w:rsidRDefault="001A18CD" w:rsidP="00285496">
            <w:pPr>
              <w:pStyle w:val="Tabletext"/>
              <w:keepNext/>
              <w:jc w:val="center"/>
              <w:rPr>
                <w:iCs/>
              </w:rPr>
            </w:pPr>
            <w:r w:rsidRPr="00037A46">
              <w:rPr>
                <w:iCs/>
              </w:rPr>
              <w:t>0.55</w:t>
            </w:r>
          </w:p>
          <w:p w:rsidR="001A18CD" w:rsidRPr="00037A46" w:rsidRDefault="001A18CD" w:rsidP="00285496">
            <w:pPr>
              <w:pStyle w:val="Tabletext"/>
              <w:keepNext/>
              <w:jc w:val="center"/>
              <w:rPr>
                <w:iCs/>
              </w:rPr>
            </w:pPr>
            <w:r w:rsidRPr="00037A46">
              <w:rPr>
                <w:iCs/>
              </w:rPr>
              <w:t>0.56</w:t>
            </w:r>
          </w:p>
        </w:tc>
        <w:tc>
          <w:tcPr>
            <w:tcW w:w="1228" w:type="dxa"/>
          </w:tcPr>
          <w:p w:rsidR="001A18CD" w:rsidRPr="00037A46" w:rsidRDefault="001A18CD" w:rsidP="00285496">
            <w:pPr>
              <w:pStyle w:val="Tabletext"/>
              <w:keepNext/>
              <w:jc w:val="center"/>
              <w:rPr>
                <w:iCs/>
              </w:rPr>
            </w:pP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p w:rsidR="001A18CD" w:rsidRPr="00037A46" w:rsidRDefault="001A18CD" w:rsidP="00285496">
            <w:pPr>
              <w:pStyle w:val="Tabletext"/>
              <w:keepNext/>
              <w:jc w:val="center"/>
              <w:rPr>
                <w:iCs/>
              </w:rPr>
            </w:pPr>
            <w:r w:rsidRPr="00037A46">
              <w:rPr>
                <w:iCs/>
              </w:rPr>
              <w:t>$</w:t>
            </w:r>
            <w:r w:rsidR="00152B62">
              <w:rPr>
                <w:iCs/>
                <w:noProof/>
                <w:color w:val="000000"/>
                <w:highlight w:val="black"/>
              </w:rPr>
              <w:t>'''''''''''''''''</w:t>
            </w:r>
          </w:p>
        </w:tc>
      </w:tr>
      <w:tr w:rsidR="000857BD" w:rsidRPr="00AC7A51" w:rsidTr="00AC7A51">
        <w:tc>
          <w:tcPr>
            <w:tcW w:w="9303" w:type="dxa"/>
            <w:gridSpan w:val="4"/>
          </w:tcPr>
          <w:p w:rsidR="000857BD" w:rsidRPr="00037A46" w:rsidRDefault="000857BD" w:rsidP="00285496">
            <w:pPr>
              <w:pStyle w:val="Tabletext"/>
              <w:keepNext/>
              <w:rPr>
                <w:b/>
                <w:iCs/>
              </w:rPr>
            </w:pPr>
            <w:r w:rsidRPr="00037A46">
              <w:rPr>
                <w:b/>
                <w:iCs/>
              </w:rPr>
              <w:t>Multivariate analyses</w:t>
            </w:r>
          </w:p>
        </w:tc>
      </w:tr>
      <w:tr w:rsidR="000857BD" w:rsidRPr="002107C9" w:rsidTr="00AC7A51">
        <w:tc>
          <w:tcPr>
            <w:tcW w:w="4815" w:type="dxa"/>
          </w:tcPr>
          <w:p w:rsidR="000857BD" w:rsidRPr="00037A46" w:rsidRDefault="000857BD" w:rsidP="00285496">
            <w:pPr>
              <w:pStyle w:val="Tabletext"/>
              <w:keepNext/>
              <w:tabs>
                <w:tab w:val="left" w:pos="142"/>
              </w:tabs>
              <w:rPr>
                <w:iCs/>
              </w:rPr>
            </w:pPr>
            <w:r w:rsidRPr="00037A46">
              <w:rPr>
                <w:iCs/>
              </w:rPr>
              <w:t>Treatment duration – neratinib (base case 8.1 months)</w:t>
            </w:r>
            <w:r w:rsidR="00AC7A51" w:rsidRPr="00037A46">
              <w:rPr>
                <w:iCs/>
              </w:rPr>
              <w:t xml:space="preserve"> </w:t>
            </w:r>
            <w:r w:rsidRPr="00037A46">
              <w:rPr>
                <w:iCs/>
              </w:rPr>
              <w:t>12 months AND</w:t>
            </w:r>
          </w:p>
          <w:p w:rsidR="000857BD" w:rsidRPr="00037A46" w:rsidRDefault="000857BD" w:rsidP="00285496">
            <w:pPr>
              <w:pStyle w:val="Tabletext"/>
              <w:keepNext/>
              <w:tabs>
                <w:tab w:val="left" w:pos="142"/>
              </w:tabs>
              <w:rPr>
                <w:iCs/>
              </w:rPr>
            </w:pPr>
            <w:r w:rsidRPr="00037A46">
              <w:rPr>
                <w:iCs/>
              </w:rPr>
              <w:t>Treatment duration – P+T+D and T-DM1 for mBC (base case NICE TA569)</w:t>
            </w:r>
            <w:r w:rsidR="00AC7A51" w:rsidRPr="00037A46">
              <w:rPr>
                <w:iCs/>
              </w:rPr>
              <w:t xml:space="preserve"> </w:t>
            </w:r>
            <w:r w:rsidRPr="00037A46">
              <w:rPr>
                <w:iCs/>
              </w:rPr>
              <w:t>DUSC Analysis (median length of treatment, excl. breaks)</w:t>
            </w:r>
          </w:p>
        </w:tc>
        <w:tc>
          <w:tcPr>
            <w:tcW w:w="1630" w:type="dxa"/>
            <w:vAlign w:val="center"/>
          </w:tcPr>
          <w:p w:rsidR="000857BD" w:rsidRPr="00037A46" w:rsidRDefault="000857BD" w:rsidP="00285496">
            <w:pPr>
              <w:pStyle w:val="Tabletext"/>
              <w:keepNext/>
              <w:jc w:val="center"/>
              <w:rPr>
                <w:iCs/>
              </w:rPr>
            </w:pPr>
            <w:r w:rsidRPr="00037A46">
              <w:rPr>
                <w:iCs/>
              </w:rPr>
              <w:t>$</w:t>
            </w:r>
            <w:r w:rsidR="00152B62">
              <w:rPr>
                <w:iCs/>
                <w:noProof/>
                <w:color w:val="000000"/>
                <w:highlight w:val="black"/>
              </w:rPr>
              <w:t>'''''''''''''''</w:t>
            </w:r>
          </w:p>
        </w:tc>
        <w:tc>
          <w:tcPr>
            <w:tcW w:w="1630" w:type="dxa"/>
            <w:vAlign w:val="center"/>
          </w:tcPr>
          <w:p w:rsidR="000857BD" w:rsidRPr="00037A46" w:rsidRDefault="000857BD" w:rsidP="00285496">
            <w:pPr>
              <w:pStyle w:val="Tabletext"/>
              <w:keepNext/>
              <w:jc w:val="center"/>
              <w:rPr>
                <w:iCs/>
              </w:rPr>
            </w:pPr>
            <w:r w:rsidRPr="00037A46">
              <w:rPr>
                <w:iCs/>
              </w:rPr>
              <w:t>0.55</w:t>
            </w:r>
          </w:p>
        </w:tc>
        <w:tc>
          <w:tcPr>
            <w:tcW w:w="1228" w:type="dxa"/>
            <w:vAlign w:val="center"/>
          </w:tcPr>
          <w:p w:rsidR="000857BD" w:rsidRPr="00037A46" w:rsidRDefault="000857BD" w:rsidP="00285496">
            <w:pPr>
              <w:pStyle w:val="Tabletext"/>
              <w:keepNext/>
              <w:jc w:val="center"/>
              <w:rPr>
                <w:iCs/>
              </w:rPr>
            </w:pPr>
            <w:r w:rsidRPr="00037A46">
              <w:rPr>
                <w:iCs/>
              </w:rPr>
              <w:t>$</w:t>
            </w:r>
            <w:r w:rsidR="00152B62">
              <w:rPr>
                <w:iCs/>
                <w:noProof/>
                <w:color w:val="000000"/>
                <w:highlight w:val="black"/>
              </w:rPr>
              <w:t>''''''''''''''''</w:t>
            </w:r>
          </w:p>
        </w:tc>
      </w:tr>
    </w:tbl>
    <w:p w:rsidR="001A18CD" w:rsidRPr="002107C9" w:rsidRDefault="001A18CD" w:rsidP="00025B3F">
      <w:pPr>
        <w:pStyle w:val="TableFooter"/>
        <w:widowControl/>
        <w:rPr>
          <w:szCs w:val="18"/>
        </w:rPr>
      </w:pPr>
      <w:r w:rsidRPr="002107C9">
        <w:rPr>
          <w:szCs w:val="18"/>
        </w:rPr>
        <w:t xml:space="preserve">Excl.: excluding, L+C: lapatinib + capecitabine, mBC: metastatic breast cancer, P+T+D: pertuzumab + trastuzumab + docetaxel, T+D: trastuzumab + docetaxel, T-DM1: trastuzumab emtansine </w:t>
      </w:r>
    </w:p>
    <w:p w:rsidR="001A18CD" w:rsidRPr="00BB3215" w:rsidRDefault="001A18CD" w:rsidP="00025B3F">
      <w:pPr>
        <w:pStyle w:val="TableFooter"/>
        <w:widowControl/>
        <w:rPr>
          <w:szCs w:val="18"/>
        </w:rPr>
      </w:pPr>
      <w:r w:rsidRPr="002107C9">
        <w:t xml:space="preserve">Source: Table 98, pp224-225 of the resubmission, </w:t>
      </w:r>
      <w:r w:rsidRPr="002107C9">
        <w:rPr>
          <w:szCs w:val="18"/>
        </w:rPr>
        <w:t>Nerlynx_PBAC_Section3_July2019</w:t>
      </w:r>
      <w:r w:rsidRPr="00BB3215">
        <w:rPr>
          <w:szCs w:val="18"/>
        </w:rPr>
        <w:t xml:space="preserve"> workbook</w:t>
      </w:r>
    </w:p>
    <w:p w:rsidR="001A18CD" w:rsidRDefault="001A18CD" w:rsidP="00025B3F">
      <w:pPr>
        <w:widowControl/>
      </w:pPr>
    </w:p>
    <w:p w:rsidR="00374095" w:rsidRDefault="00374095" w:rsidP="00025B3F">
      <w:pPr>
        <w:widowControl/>
      </w:pPr>
      <w:r>
        <w:t xml:space="preserve">The redacted table shows ICERs in the range of $15,000/QALY – more than $200,000/QALY. </w:t>
      </w:r>
    </w:p>
    <w:p w:rsidR="00374095" w:rsidRPr="00BB3215" w:rsidRDefault="00374095" w:rsidP="00025B3F">
      <w:pPr>
        <w:widowControl/>
      </w:pPr>
    </w:p>
    <w:p w:rsidR="004B4968" w:rsidRPr="00BB3215" w:rsidRDefault="004B4968" w:rsidP="00025B3F">
      <w:pPr>
        <w:pStyle w:val="Heading2"/>
        <w:widowControl/>
      </w:pPr>
      <w:bookmarkStart w:id="20" w:name="_Toc18935814"/>
      <w:r w:rsidRPr="00BB3215">
        <w:t>Drug cost/patient/course</w:t>
      </w:r>
      <w:bookmarkEnd w:id="20"/>
    </w:p>
    <w:p w:rsidR="004B4968" w:rsidRPr="00BB3215" w:rsidRDefault="004B4968" w:rsidP="00025B3F">
      <w:pPr>
        <w:keepNext/>
        <w:widowControl/>
      </w:pPr>
    </w:p>
    <w:p w:rsidR="001D61DF" w:rsidRPr="00930C6B" w:rsidRDefault="001D61DF" w:rsidP="00A84C29">
      <w:pPr>
        <w:pStyle w:val="ListParagraph"/>
        <w:widowControl/>
        <w:numPr>
          <w:ilvl w:val="1"/>
          <w:numId w:val="5"/>
        </w:numPr>
      </w:pPr>
      <w:r w:rsidRPr="00930C6B">
        <w:t>The cost per patient per course w</w:t>
      </w:r>
      <w:r w:rsidR="00E07C01">
        <w:t>ould be</w:t>
      </w:r>
      <w:r w:rsidRPr="00930C6B">
        <w:t xml:space="preserve"> $</w:t>
      </w:r>
      <w:r w:rsidR="00152B62">
        <w:rPr>
          <w:noProof/>
          <w:color w:val="000000"/>
          <w:highlight w:val="black"/>
        </w:rPr>
        <w:t>''''''''''''''</w:t>
      </w:r>
      <w:r w:rsidR="00E07C01">
        <w:t xml:space="preserve"> for patients who use a </w:t>
      </w:r>
      <w:r w:rsidRPr="00930C6B">
        <w:t>dose of 240</w:t>
      </w:r>
      <w:r w:rsidR="00F54065">
        <w:t xml:space="preserve"> </w:t>
      </w:r>
      <w:r w:rsidRPr="00930C6B">
        <w:t xml:space="preserve">mg daily for </w:t>
      </w:r>
      <w:r w:rsidR="00E07C01">
        <w:t xml:space="preserve">the full </w:t>
      </w:r>
      <w:r w:rsidRPr="00930C6B">
        <w:t>12 month</w:t>
      </w:r>
      <w:r w:rsidR="00E07C01">
        <w:t xml:space="preserve"> course</w:t>
      </w:r>
      <w:r w:rsidRPr="00930C6B">
        <w:t xml:space="preserve">. The cost per patient per course based on trial data, presented in the economic model, and from the financial estimates is shown in Table </w:t>
      </w:r>
      <w:r w:rsidR="000D534A">
        <w:t>16</w:t>
      </w:r>
      <w:r w:rsidRPr="00930C6B">
        <w:t xml:space="preserve">. </w:t>
      </w:r>
      <w:r w:rsidRPr="00930C6B">
        <w:rPr>
          <w:iCs/>
        </w:rPr>
        <w:t xml:space="preserve">The model calculated the drug cost by multiplying the monthly cost by the proportion disease free for the duration of 8.1 months, however the mean duration </w:t>
      </w:r>
      <w:r w:rsidRPr="00930C6B">
        <w:rPr>
          <w:iCs/>
        </w:rPr>
        <w:lastRenderedPageBreak/>
        <w:t>(of 8.1) already accounts for the discontinuation of patients who have progressed. A corrected model cost is presented below.</w:t>
      </w:r>
    </w:p>
    <w:p w:rsidR="001D61DF" w:rsidRPr="00BB3215" w:rsidRDefault="001D61DF" w:rsidP="00025B3F">
      <w:pPr>
        <w:keepNext/>
        <w:widowControl/>
      </w:pPr>
      <w:r w:rsidRPr="00BB3215">
        <w:rPr>
          <w:rStyle w:val="CommentReference"/>
        </w:rPr>
        <w:t xml:space="preserve">Table </w:t>
      </w:r>
      <w:r w:rsidR="00174AA7" w:rsidRPr="00BB3215">
        <w:rPr>
          <w:rStyle w:val="CommentReference"/>
        </w:rPr>
        <w:t>1</w:t>
      </w:r>
      <w:r w:rsidR="000D534A">
        <w:rPr>
          <w:rStyle w:val="CommentReference"/>
        </w:rPr>
        <w:t>6</w:t>
      </w:r>
      <w:r w:rsidRPr="00BB3215">
        <w:rPr>
          <w:rStyle w:val="CommentReference"/>
        </w:rPr>
        <w:t>: Drug cost per patient for neratinib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70"/>
        <w:gridCol w:w="1955"/>
        <w:gridCol w:w="2750"/>
        <w:gridCol w:w="1942"/>
      </w:tblGrid>
      <w:tr w:rsidR="001D61DF" w:rsidRPr="00BB3215" w:rsidTr="005A36B4">
        <w:trPr>
          <w:jc w:val="center"/>
        </w:trPr>
        <w:tc>
          <w:tcPr>
            <w:tcW w:w="1314" w:type="pct"/>
            <w:shd w:val="clear" w:color="auto" w:fill="auto"/>
            <w:vAlign w:val="center"/>
          </w:tcPr>
          <w:p w:rsidR="001D61DF" w:rsidRPr="00BB3215" w:rsidRDefault="001D61DF" w:rsidP="00025B3F">
            <w:pPr>
              <w:keepNext/>
              <w:widowControl/>
              <w:jc w:val="left"/>
              <w:rPr>
                <w:rFonts w:ascii="Arial Narrow" w:hAnsi="Arial Narrow"/>
                <w:b/>
                <w:sz w:val="20"/>
              </w:rPr>
            </w:pPr>
          </w:p>
        </w:tc>
        <w:tc>
          <w:tcPr>
            <w:tcW w:w="1084" w:type="pct"/>
            <w:shd w:val="clear" w:color="auto" w:fill="auto"/>
            <w:vAlign w:val="center"/>
          </w:tcPr>
          <w:p w:rsidR="001D61DF" w:rsidRPr="00BB3215" w:rsidRDefault="001D61DF" w:rsidP="00025B3F">
            <w:pPr>
              <w:keepNext/>
              <w:widowControl/>
              <w:jc w:val="center"/>
              <w:rPr>
                <w:rFonts w:ascii="Arial Narrow" w:hAnsi="Arial Narrow"/>
                <w:b/>
                <w:sz w:val="20"/>
              </w:rPr>
            </w:pPr>
            <w:r w:rsidRPr="00BB3215">
              <w:rPr>
                <w:rFonts w:ascii="Arial Narrow" w:hAnsi="Arial Narrow"/>
                <w:b/>
                <w:sz w:val="20"/>
              </w:rPr>
              <w:t>Trial dose and duration</w:t>
            </w:r>
          </w:p>
        </w:tc>
        <w:tc>
          <w:tcPr>
            <w:tcW w:w="1525" w:type="pct"/>
            <w:shd w:val="clear" w:color="auto" w:fill="auto"/>
            <w:vAlign w:val="center"/>
          </w:tcPr>
          <w:p w:rsidR="001D61DF" w:rsidRPr="00BB3215" w:rsidRDefault="001D61DF" w:rsidP="00025B3F">
            <w:pPr>
              <w:keepNext/>
              <w:widowControl/>
              <w:jc w:val="center"/>
              <w:rPr>
                <w:rFonts w:ascii="Arial Narrow" w:hAnsi="Arial Narrow"/>
                <w:b/>
                <w:sz w:val="20"/>
              </w:rPr>
            </w:pPr>
            <w:r w:rsidRPr="00BB3215">
              <w:rPr>
                <w:rFonts w:ascii="Arial Narrow" w:hAnsi="Arial Narrow"/>
                <w:b/>
                <w:sz w:val="20"/>
              </w:rPr>
              <w:t>Model</w:t>
            </w:r>
          </w:p>
        </w:tc>
        <w:tc>
          <w:tcPr>
            <w:tcW w:w="1077" w:type="pct"/>
            <w:shd w:val="clear" w:color="auto" w:fill="auto"/>
            <w:vAlign w:val="center"/>
          </w:tcPr>
          <w:p w:rsidR="001D61DF" w:rsidRPr="00BB3215" w:rsidRDefault="001D61DF" w:rsidP="00025B3F">
            <w:pPr>
              <w:keepNext/>
              <w:widowControl/>
              <w:jc w:val="center"/>
              <w:rPr>
                <w:rFonts w:ascii="Arial Narrow" w:hAnsi="Arial Narrow"/>
                <w:b/>
                <w:sz w:val="20"/>
              </w:rPr>
            </w:pPr>
            <w:r w:rsidRPr="00BB3215">
              <w:rPr>
                <w:rFonts w:ascii="Arial Narrow" w:hAnsi="Arial Narrow"/>
                <w:b/>
                <w:sz w:val="20"/>
              </w:rPr>
              <w:t>Financial estimates</w:t>
            </w:r>
          </w:p>
        </w:tc>
      </w:tr>
      <w:tr w:rsidR="001D61DF" w:rsidRPr="00BB3215" w:rsidTr="005A36B4">
        <w:trPr>
          <w:jc w:val="center"/>
        </w:trPr>
        <w:tc>
          <w:tcPr>
            <w:tcW w:w="1314" w:type="pct"/>
            <w:shd w:val="clear" w:color="auto" w:fill="auto"/>
            <w:vAlign w:val="center"/>
          </w:tcPr>
          <w:p w:rsidR="001D61DF" w:rsidRPr="00BB3215" w:rsidRDefault="001D61DF" w:rsidP="00025B3F">
            <w:pPr>
              <w:keepNext/>
              <w:widowControl/>
              <w:jc w:val="left"/>
              <w:rPr>
                <w:rFonts w:ascii="Arial Narrow" w:hAnsi="Arial Narrow"/>
                <w:sz w:val="20"/>
              </w:rPr>
            </w:pPr>
            <w:r w:rsidRPr="00BB3215">
              <w:rPr>
                <w:rFonts w:ascii="Arial Narrow" w:hAnsi="Arial Narrow"/>
                <w:sz w:val="20"/>
              </w:rPr>
              <w:t>Mean dose</w:t>
            </w:r>
          </w:p>
        </w:tc>
        <w:tc>
          <w:tcPr>
            <w:tcW w:w="1084" w:type="pct"/>
            <w:shd w:val="clear" w:color="auto" w:fill="auto"/>
            <w:vAlign w:val="center"/>
          </w:tcPr>
          <w:p w:rsidR="001D61DF" w:rsidRPr="00BB3215" w:rsidRDefault="001D61DF" w:rsidP="00025B3F">
            <w:pPr>
              <w:keepNext/>
              <w:widowControl/>
              <w:jc w:val="center"/>
              <w:rPr>
                <w:rFonts w:ascii="Arial Narrow" w:hAnsi="Arial Narrow"/>
                <w:sz w:val="20"/>
              </w:rPr>
            </w:pPr>
            <w:r w:rsidRPr="00BB3215">
              <w:rPr>
                <w:rFonts w:ascii="Arial Narrow" w:hAnsi="Arial Narrow"/>
                <w:sz w:val="20"/>
              </w:rPr>
              <w:t>210.4 mg/day</w:t>
            </w:r>
            <w:r w:rsidRPr="00BB3215">
              <w:rPr>
                <w:rFonts w:ascii="Arial Narrow" w:hAnsi="Arial Narrow"/>
                <w:sz w:val="20"/>
                <w:vertAlign w:val="superscript"/>
              </w:rPr>
              <w:t>a</w:t>
            </w:r>
          </w:p>
        </w:tc>
        <w:tc>
          <w:tcPr>
            <w:tcW w:w="1525" w:type="pct"/>
            <w:shd w:val="clear" w:color="auto" w:fill="auto"/>
            <w:vAlign w:val="center"/>
          </w:tcPr>
          <w:p w:rsidR="001D61DF" w:rsidRPr="00BB3215" w:rsidRDefault="001D61DF" w:rsidP="00025B3F">
            <w:pPr>
              <w:keepNext/>
              <w:widowControl/>
              <w:jc w:val="center"/>
              <w:rPr>
                <w:rFonts w:ascii="Arial Narrow" w:hAnsi="Arial Narrow"/>
                <w:sz w:val="20"/>
              </w:rPr>
            </w:pPr>
            <w:r w:rsidRPr="00BB3215">
              <w:rPr>
                <w:rFonts w:ascii="Arial Narrow" w:hAnsi="Arial Narrow"/>
                <w:sz w:val="20"/>
              </w:rPr>
              <w:t>210.4 mg/day</w:t>
            </w:r>
            <w:r w:rsidRPr="00BB3215">
              <w:rPr>
                <w:rFonts w:ascii="Arial Narrow" w:hAnsi="Arial Narrow"/>
                <w:sz w:val="20"/>
                <w:vertAlign w:val="superscript"/>
              </w:rPr>
              <w:t>a</w:t>
            </w:r>
          </w:p>
        </w:tc>
        <w:tc>
          <w:tcPr>
            <w:tcW w:w="1077" w:type="pct"/>
            <w:shd w:val="clear" w:color="auto" w:fill="auto"/>
            <w:vAlign w:val="center"/>
          </w:tcPr>
          <w:p w:rsidR="001D61DF" w:rsidRPr="00BB3215" w:rsidRDefault="001D61DF" w:rsidP="00025B3F">
            <w:pPr>
              <w:keepNext/>
              <w:widowControl/>
              <w:jc w:val="center"/>
              <w:rPr>
                <w:rFonts w:ascii="Arial Narrow" w:hAnsi="Arial Narrow"/>
                <w:sz w:val="20"/>
              </w:rPr>
            </w:pPr>
            <w:r w:rsidRPr="00BB3215">
              <w:rPr>
                <w:rFonts w:ascii="Arial Narrow" w:hAnsi="Arial Narrow"/>
                <w:sz w:val="20"/>
              </w:rPr>
              <w:t>240 mg/day</w:t>
            </w:r>
          </w:p>
        </w:tc>
      </w:tr>
      <w:tr w:rsidR="001D61DF" w:rsidRPr="00BB3215" w:rsidTr="005A36B4">
        <w:trPr>
          <w:jc w:val="center"/>
        </w:trPr>
        <w:tc>
          <w:tcPr>
            <w:tcW w:w="1314" w:type="pct"/>
            <w:shd w:val="clear" w:color="auto" w:fill="auto"/>
            <w:vAlign w:val="center"/>
          </w:tcPr>
          <w:p w:rsidR="001D61DF" w:rsidRPr="00BB3215" w:rsidRDefault="001D61DF" w:rsidP="00025B3F">
            <w:pPr>
              <w:keepNext/>
              <w:widowControl/>
              <w:jc w:val="left"/>
              <w:rPr>
                <w:rFonts w:ascii="Arial Narrow" w:hAnsi="Arial Narrow"/>
                <w:sz w:val="20"/>
              </w:rPr>
            </w:pPr>
            <w:r w:rsidRPr="00BB3215">
              <w:rPr>
                <w:rFonts w:ascii="Arial Narrow" w:hAnsi="Arial Narrow"/>
                <w:sz w:val="20"/>
              </w:rPr>
              <w:t>Mean duration</w:t>
            </w:r>
          </w:p>
        </w:tc>
        <w:tc>
          <w:tcPr>
            <w:tcW w:w="1084" w:type="pct"/>
            <w:shd w:val="clear" w:color="auto" w:fill="auto"/>
            <w:vAlign w:val="center"/>
          </w:tcPr>
          <w:p w:rsidR="001D61DF" w:rsidRPr="00BB3215" w:rsidRDefault="001D61DF" w:rsidP="00025B3F">
            <w:pPr>
              <w:keepNext/>
              <w:widowControl/>
              <w:jc w:val="center"/>
              <w:rPr>
                <w:rFonts w:ascii="Arial Narrow" w:hAnsi="Arial Narrow"/>
                <w:sz w:val="20"/>
              </w:rPr>
            </w:pPr>
            <w:r w:rsidRPr="00BB3215">
              <w:rPr>
                <w:rFonts w:ascii="Arial Narrow" w:hAnsi="Arial Narrow"/>
                <w:sz w:val="20"/>
              </w:rPr>
              <w:t>8.23 months</w:t>
            </w:r>
          </w:p>
        </w:tc>
        <w:tc>
          <w:tcPr>
            <w:tcW w:w="1525" w:type="pct"/>
            <w:shd w:val="clear" w:color="auto" w:fill="auto"/>
            <w:vAlign w:val="center"/>
          </w:tcPr>
          <w:p w:rsidR="001D61DF" w:rsidRPr="00BB3215" w:rsidRDefault="001D61DF" w:rsidP="00025B3F">
            <w:pPr>
              <w:keepNext/>
              <w:widowControl/>
              <w:jc w:val="center"/>
              <w:rPr>
                <w:rFonts w:ascii="Arial Narrow" w:hAnsi="Arial Narrow"/>
                <w:sz w:val="20"/>
              </w:rPr>
            </w:pPr>
            <w:r w:rsidRPr="00BB3215">
              <w:rPr>
                <w:rFonts w:ascii="Arial Narrow" w:hAnsi="Arial Narrow"/>
                <w:sz w:val="20"/>
              </w:rPr>
              <w:t>8.10 months</w:t>
            </w:r>
            <w:r w:rsidRPr="00BB3215">
              <w:rPr>
                <w:rFonts w:ascii="Arial Narrow" w:hAnsi="Arial Narrow"/>
                <w:sz w:val="20"/>
                <w:vertAlign w:val="superscript"/>
              </w:rPr>
              <w:t>b</w:t>
            </w:r>
          </w:p>
        </w:tc>
        <w:tc>
          <w:tcPr>
            <w:tcW w:w="1077" w:type="pct"/>
            <w:shd w:val="clear" w:color="auto" w:fill="auto"/>
            <w:vAlign w:val="center"/>
          </w:tcPr>
          <w:p w:rsidR="001D61DF" w:rsidRPr="00BB3215" w:rsidRDefault="001D61DF" w:rsidP="00025B3F">
            <w:pPr>
              <w:keepNext/>
              <w:widowControl/>
              <w:jc w:val="center"/>
              <w:rPr>
                <w:rFonts w:ascii="Arial Narrow" w:hAnsi="Arial Narrow"/>
                <w:sz w:val="20"/>
              </w:rPr>
            </w:pPr>
            <w:r w:rsidRPr="00BB3215">
              <w:rPr>
                <w:rFonts w:ascii="Arial Narrow" w:hAnsi="Arial Narrow"/>
                <w:sz w:val="20"/>
              </w:rPr>
              <w:t>8.58 months</w:t>
            </w:r>
            <w:r w:rsidRPr="00BB3215">
              <w:rPr>
                <w:rFonts w:ascii="Arial Narrow" w:hAnsi="Arial Narrow"/>
                <w:sz w:val="20"/>
                <w:vertAlign w:val="superscript"/>
              </w:rPr>
              <w:t>c</w:t>
            </w:r>
          </w:p>
        </w:tc>
      </w:tr>
      <w:tr w:rsidR="001D61DF" w:rsidRPr="00307821" w:rsidTr="005A36B4">
        <w:trPr>
          <w:jc w:val="center"/>
        </w:trPr>
        <w:tc>
          <w:tcPr>
            <w:tcW w:w="1314" w:type="pct"/>
            <w:shd w:val="clear" w:color="auto" w:fill="auto"/>
            <w:vAlign w:val="center"/>
          </w:tcPr>
          <w:p w:rsidR="001D61DF" w:rsidRPr="00307821" w:rsidRDefault="001D61DF" w:rsidP="00025B3F">
            <w:pPr>
              <w:keepNext/>
              <w:widowControl/>
              <w:jc w:val="left"/>
              <w:rPr>
                <w:rFonts w:ascii="Arial Narrow" w:hAnsi="Arial Narrow"/>
                <w:sz w:val="20"/>
              </w:rPr>
            </w:pPr>
            <w:r w:rsidRPr="00307821">
              <w:rPr>
                <w:rFonts w:ascii="Arial Narrow" w:hAnsi="Arial Narrow"/>
                <w:sz w:val="20"/>
              </w:rPr>
              <w:t>Total mg administered</w:t>
            </w:r>
          </w:p>
        </w:tc>
        <w:tc>
          <w:tcPr>
            <w:tcW w:w="1084"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54,194 mg</w:t>
            </w:r>
            <w:r w:rsidRPr="00307821">
              <w:rPr>
                <w:rFonts w:ascii="Arial Narrow" w:hAnsi="Arial Narrow"/>
                <w:sz w:val="20"/>
                <w:vertAlign w:val="superscript"/>
              </w:rPr>
              <w:t>d</w:t>
            </w:r>
          </w:p>
        </w:tc>
        <w:tc>
          <w:tcPr>
            <w:tcW w:w="1525"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51,117 mg</w:t>
            </w:r>
            <w:r w:rsidRPr="00307821">
              <w:rPr>
                <w:rFonts w:ascii="Arial Narrow" w:hAnsi="Arial Narrow"/>
                <w:sz w:val="20"/>
                <w:vertAlign w:val="superscript"/>
              </w:rPr>
              <w:t>e</w:t>
            </w:r>
            <w:r w:rsidR="0037645C" w:rsidRPr="00307821">
              <w:rPr>
                <w:rFonts w:ascii="Arial Narrow" w:hAnsi="Arial Narrow"/>
                <w:sz w:val="20"/>
                <w:vertAlign w:val="superscript"/>
              </w:rPr>
              <w:t>*</w:t>
            </w:r>
          </w:p>
        </w:tc>
        <w:tc>
          <w:tcPr>
            <w:tcW w:w="1077"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61,776 mg</w:t>
            </w:r>
            <w:r w:rsidRPr="00307821">
              <w:rPr>
                <w:rFonts w:ascii="Arial Narrow" w:hAnsi="Arial Narrow"/>
                <w:sz w:val="20"/>
                <w:vertAlign w:val="superscript"/>
              </w:rPr>
              <w:t>e</w:t>
            </w:r>
            <w:r w:rsidR="0037645C" w:rsidRPr="00307821">
              <w:rPr>
                <w:rFonts w:ascii="Arial Narrow" w:hAnsi="Arial Narrow"/>
                <w:sz w:val="20"/>
                <w:vertAlign w:val="superscript"/>
              </w:rPr>
              <w:t>*</w:t>
            </w:r>
          </w:p>
        </w:tc>
      </w:tr>
      <w:tr w:rsidR="001D61DF" w:rsidRPr="00307821" w:rsidTr="005A36B4">
        <w:trPr>
          <w:jc w:val="center"/>
        </w:trPr>
        <w:tc>
          <w:tcPr>
            <w:tcW w:w="1314" w:type="pct"/>
            <w:shd w:val="clear" w:color="auto" w:fill="auto"/>
            <w:vAlign w:val="center"/>
          </w:tcPr>
          <w:p w:rsidR="001D61DF" w:rsidRPr="00307821" w:rsidRDefault="001D61DF" w:rsidP="00025B3F">
            <w:pPr>
              <w:keepNext/>
              <w:widowControl/>
              <w:jc w:val="left"/>
              <w:rPr>
                <w:rFonts w:ascii="Arial Narrow" w:hAnsi="Arial Narrow"/>
                <w:sz w:val="20"/>
              </w:rPr>
            </w:pPr>
            <w:r w:rsidRPr="00307821">
              <w:rPr>
                <w:rFonts w:ascii="Arial Narrow" w:hAnsi="Arial Narrow"/>
                <w:sz w:val="20"/>
              </w:rPr>
              <w:t>Cost/patient/month</w:t>
            </w:r>
          </w:p>
        </w:tc>
        <w:tc>
          <w:tcPr>
            <w:tcW w:w="1084"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w:t>
            </w:r>
            <w:r w:rsidR="00152B62">
              <w:rPr>
                <w:rFonts w:ascii="Arial Narrow" w:hAnsi="Arial Narrow"/>
                <w:noProof/>
                <w:color w:val="000000"/>
                <w:sz w:val="20"/>
                <w:highlight w:val="black"/>
              </w:rPr>
              <w:t>'''''''''''''''''''''</w:t>
            </w:r>
            <w:r w:rsidRPr="00307821">
              <w:rPr>
                <w:rFonts w:ascii="Arial Narrow" w:hAnsi="Arial Narrow"/>
                <w:sz w:val="20"/>
                <w:vertAlign w:val="superscript"/>
              </w:rPr>
              <w:t>f</w:t>
            </w:r>
            <w:r w:rsidR="0037645C" w:rsidRPr="00307821">
              <w:rPr>
                <w:rFonts w:ascii="Arial Narrow" w:hAnsi="Arial Narrow"/>
                <w:sz w:val="20"/>
                <w:vertAlign w:val="superscript"/>
              </w:rPr>
              <w:t>*</w:t>
            </w:r>
          </w:p>
        </w:tc>
        <w:tc>
          <w:tcPr>
            <w:tcW w:w="1525"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w:t>
            </w:r>
            <w:r w:rsidR="00152B62">
              <w:rPr>
                <w:rFonts w:ascii="Arial Narrow" w:hAnsi="Arial Narrow"/>
                <w:noProof/>
                <w:color w:val="000000"/>
                <w:sz w:val="20"/>
                <w:highlight w:val="black"/>
              </w:rPr>
              <w:t>'''''''''''''''''''</w:t>
            </w:r>
            <w:r w:rsidRPr="00307821">
              <w:rPr>
                <w:rFonts w:ascii="Arial Narrow" w:hAnsi="Arial Narrow"/>
                <w:sz w:val="20"/>
                <w:vertAlign w:val="superscript"/>
              </w:rPr>
              <w:t>f</w:t>
            </w:r>
            <w:r w:rsidR="0037645C" w:rsidRPr="00307821">
              <w:rPr>
                <w:rFonts w:ascii="Arial Narrow" w:hAnsi="Arial Narrow"/>
                <w:sz w:val="20"/>
                <w:vertAlign w:val="superscript"/>
              </w:rPr>
              <w:t>*</w:t>
            </w:r>
          </w:p>
        </w:tc>
        <w:tc>
          <w:tcPr>
            <w:tcW w:w="1077"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w:t>
            </w:r>
            <w:r w:rsidR="00152B62">
              <w:rPr>
                <w:rFonts w:ascii="Arial Narrow" w:hAnsi="Arial Narrow"/>
                <w:noProof/>
                <w:color w:val="000000"/>
                <w:sz w:val="20"/>
                <w:highlight w:val="black"/>
              </w:rPr>
              <w:t>'''''''''''''''''''</w:t>
            </w:r>
            <w:r w:rsidRPr="008472BF">
              <w:rPr>
                <w:rFonts w:ascii="Arial Narrow" w:hAnsi="Arial Narrow"/>
                <w:sz w:val="20"/>
                <w:vertAlign w:val="superscript"/>
              </w:rPr>
              <w:t>f</w:t>
            </w:r>
            <w:r w:rsidR="0037645C" w:rsidRPr="00307821">
              <w:rPr>
                <w:rFonts w:ascii="Arial Narrow" w:hAnsi="Arial Narrow"/>
                <w:sz w:val="20"/>
                <w:vertAlign w:val="superscript"/>
              </w:rPr>
              <w:t>*</w:t>
            </w:r>
          </w:p>
        </w:tc>
      </w:tr>
      <w:tr w:rsidR="001D61DF" w:rsidRPr="00307821" w:rsidTr="005A36B4">
        <w:trPr>
          <w:jc w:val="center"/>
        </w:trPr>
        <w:tc>
          <w:tcPr>
            <w:tcW w:w="1314" w:type="pct"/>
            <w:shd w:val="clear" w:color="auto" w:fill="auto"/>
            <w:vAlign w:val="center"/>
          </w:tcPr>
          <w:p w:rsidR="001D61DF" w:rsidRPr="00307821" w:rsidRDefault="001D61DF" w:rsidP="00025B3F">
            <w:pPr>
              <w:keepNext/>
              <w:widowControl/>
              <w:jc w:val="left"/>
              <w:rPr>
                <w:rFonts w:ascii="Arial Narrow" w:hAnsi="Arial Narrow"/>
                <w:sz w:val="20"/>
              </w:rPr>
            </w:pPr>
            <w:r w:rsidRPr="00307821">
              <w:rPr>
                <w:rFonts w:ascii="Arial Narrow" w:hAnsi="Arial Narrow"/>
                <w:sz w:val="20"/>
              </w:rPr>
              <w:t>Cost/patient/course</w:t>
            </w:r>
          </w:p>
        </w:tc>
        <w:tc>
          <w:tcPr>
            <w:tcW w:w="1084" w:type="pct"/>
            <w:shd w:val="clear" w:color="auto" w:fill="auto"/>
            <w:vAlign w:val="center"/>
          </w:tcPr>
          <w:p w:rsidR="001D61DF" w:rsidRPr="00307821" w:rsidRDefault="001D61DF" w:rsidP="00025B3F">
            <w:pPr>
              <w:keepNext/>
              <w:widowControl/>
              <w:jc w:val="center"/>
              <w:rPr>
                <w:rFonts w:ascii="Arial Narrow" w:hAnsi="Arial Narrow"/>
                <w:iCs/>
                <w:sz w:val="20"/>
              </w:rPr>
            </w:pPr>
            <w:r w:rsidRPr="00307821">
              <w:rPr>
                <w:rFonts w:ascii="Arial Narrow" w:hAnsi="Arial Narrow"/>
                <w:iCs/>
                <w:sz w:val="20"/>
              </w:rPr>
              <w:t>$</w:t>
            </w:r>
            <w:r w:rsidR="00152B62">
              <w:rPr>
                <w:rFonts w:ascii="Arial Narrow" w:hAnsi="Arial Narrow"/>
                <w:iCs/>
                <w:noProof/>
                <w:color w:val="000000"/>
                <w:sz w:val="20"/>
                <w:highlight w:val="black"/>
              </w:rPr>
              <w:t>'''''''''''''''''</w:t>
            </w:r>
            <w:r w:rsidRPr="00307821">
              <w:rPr>
                <w:rFonts w:ascii="Arial Narrow" w:hAnsi="Arial Narrow"/>
                <w:iCs/>
                <w:sz w:val="20"/>
                <w:vertAlign w:val="superscript"/>
              </w:rPr>
              <w:t>g</w:t>
            </w:r>
            <w:r w:rsidR="0037645C" w:rsidRPr="00307821">
              <w:rPr>
                <w:rFonts w:ascii="Arial Narrow" w:hAnsi="Arial Narrow"/>
                <w:iCs/>
                <w:sz w:val="20"/>
                <w:vertAlign w:val="superscript"/>
              </w:rPr>
              <w:t>*</w:t>
            </w:r>
          </w:p>
        </w:tc>
        <w:tc>
          <w:tcPr>
            <w:tcW w:w="1525"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w:t>
            </w:r>
            <w:r w:rsidR="00152B62">
              <w:rPr>
                <w:rFonts w:ascii="Arial Narrow" w:hAnsi="Arial Narrow"/>
                <w:noProof/>
                <w:color w:val="000000"/>
                <w:sz w:val="20"/>
                <w:highlight w:val="black"/>
              </w:rPr>
              <w:t>'''''''''''''''</w:t>
            </w:r>
            <w:r w:rsidRPr="00307821">
              <w:rPr>
                <w:rFonts w:ascii="Arial Narrow" w:hAnsi="Arial Narrow"/>
                <w:sz w:val="20"/>
              </w:rPr>
              <w:t xml:space="preserve"> </w:t>
            </w:r>
          </w:p>
          <w:p w:rsidR="001D61DF" w:rsidRPr="00307821" w:rsidRDefault="001D61DF" w:rsidP="00025B3F">
            <w:pPr>
              <w:keepNext/>
              <w:widowControl/>
              <w:jc w:val="center"/>
              <w:rPr>
                <w:rFonts w:ascii="Arial Narrow" w:hAnsi="Arial Narrow"/>
                <w:sz w:val="20"/>
              </w:rPr>
            </w:pPr>
            <w:r w:rsidRPr="00307821">
              <w:rPr>
                <w:rFonts w:ascii="Arial Narrow" w:hAnsi="Arial Narrow"/>
                <w:iCs/>
                <w:sz w:val="20"/>
              </w:rPr>
              <w:t>$</w:t>
            </w:r>
            <w:r w:rsidR="00152B62">
              <w:rPr>
                <w:rFonts w:ascii="Arial Narrow" w:hAnsi="Arial Narrow"/>
                <w:iCs/>
                <w:noProof/>
                <w:color w:val="000000"/>
                <w:sz w:val="20"/>
                <w:highlight w:val="black"/>
              </w:rPr>
              <w:t>''''''''''''''''</w:t>
            </w:r>
            <w:r w:rsidRPr="00307821">
              <w:rPr>
                <w:rFonts w:ascii="Arial Narrow" w:hAnsi="Arial Narrow"/>
                <w:iCs/>
                <w:sz w:val="20"/>
                <w:vertAlign w:val="superscript"/>
              </w:rPr>
              <w:t>h</w:t>
            </w:r>
            <w:r w:rsidR="0037645C" w:rsidRPr="00307821">
              <w:rPr>
                <w:rFonts w:ascii="Arial Narrow" w:hAnsi="Arial Narrow"/>
                <w:iCs/>
                <w:sz w:val="20"/>
                <w:vertAlign w:val="superscript"/>
              </w:rPr>
              <w:t>*</w:t>
            </w:r>
          </w:p>
        </w:tc>
        <w:tc>
          <w:tcPr>
            <w:tcW w:w="1077" w:type="pct"/>
            <w:shd w:val="clear" w:color="auto" w:fill="auto"/>
            <w:vAlign w:val="center"/>
          </w:tcPr>
          <w:p w:rsidR="001D61DF" w:rsidRPr="00307821" w:rsidRDefault="001D61DF" w:rsidP="00025B3F">
            <w:pPr>
              <w:keepNext/>
              <w:widowControl/>
              <w:jc w:val="center"/>
              <w:rPr>
                <w:rFonts w:ascii="Arial Narrow" w:hAnsi="Arial Narrow"/>
                <w:sz w:val="20"/>
              </w:rPr>
            </w:pPr>
            <w:r w:rsidRPr="00307821">
              <w:rPr>
                <w:rFonts w:ascii="Arial Narrow" w:hAnsi="Arial Narrow"/>
                <w:sz w:val="20"/>
              </w:rPr>
              <w:t>$</w:t>
            </w:r>
            <w:r w:rsidR="00152B62">
              <w:rPr>
                <w:rFonts w:ascii="Arial Narrow" w:hAnsi="Arial Narrow"/>
                <w:noProof/>
                <w:color w:val="000000"/>
                <w:sz w:val="20"/>
                <w:highlight w:val="black"/>
              </w:rPr>
              <w:t>'''''''''''''''''</w:t>
            </w:r>
            <w:r w:rsidRPr="008472BF">
              <w:rPr>
                <w:rFonts w:ascii="Arial Narrow" w:hAnsi="Arial Narrow"/>
                <w:sz w:val="20"/>
                <w:vertAlign w:val="superscript"/>
              </w:rPr>
              <w:t>ij</w:t>
            </w:r>
            <w:r w:rsidR="0037645C" w:rsidRPr="00307821">
              <w:rPr>
                <w:rFonts w:ascii="Arial Narrow" w:hAnsi="Arial Narrow"/>
                <w:sz w:val="20"/>
                <w:vertAlign w:val="superscript"/>
              </w:rPr>
              <w:t>*</w:t>
            </w:r>
          </w:p>
        </w:tc>
      </w:tr>
    </w:tbl>
    <w:p w:rsidR="001D61DF" w:rsidRPr="00307821" w:rsidRDefault="0047359D" w:rsidP="00025B3F">
      <w:pPr>
        <w:pStyle w:val="TableFooter"/>
        <w:keepNext/>
        <w:widowControl/>
      </w:pPr>
      <w:r w:rsidRPr="00307821">
        <w:t xml:space="preserve">* </w:t>
      </w:r>
      <w:r w:rsidR="001D61DF" w:rsidRPr="00EF5B8F">
        <w:t>calculated</w:t>
      </w:r>
      <w:r w:rsidR="0083078E" w:rsidRPr="00EF5B8F">
        <w:t xml:space="preserve"> during the evaluation</w:t>
      </w:r>
      <w:r w:rsidR="001D61DF" w:rsidRPr="00307821">
        <w:t>.</w:t>
      </w:r>
    </w:p>
    <w:p w:rsidR="001D61DF" w:rsidRPr="00BB3215" w:rsidRDefault="001D61DF" w:rsidP="00025B3F">
      <w:pPr>
        <w:pStyle w:val="TableFooter"/>
        <w:keepNext/>
        <w:widowControl/>
      </w:pPr>
      <w:r w:rsidRPr="00307821">
        <w:rPr>
          <w:vertAlign w:val="superscript"/>
        </w:rPr>
        <w:t xml:space="preserve">a </w:t>
      </w:r>
      <w:r w:rsidRPr="00307821">
        <w:t>actual dose intensity in the trial (actual cumulative dose divided by the treatment duration)</w:t>
      </w:r>
    </w:p>
    <w:p w:rsidR="001D61DF" w:rsidRPr="00BB3215" w:rsidRDefault="001D61DF" w:rsidP="00025B3F">
      <w:pPr>
        <w:pStyle w:val="TableFooter"/>
        <w:keepNext/>
        <w:widowControl/>
      </w:pPr>
      <w:r w:rsidRPr="00BB3215">
        <w:rPr>
          <w:vertAlign w:val="superscript"/>
        </w:rPr>
        <w:t>b</w:t>
      </w:r>
      <w:r w:rsidRPr="00BB3215">
        <w:t xml:space="preserve"> mean treatment duration for HR+ patients who have completed trastuzumab within 12 months</w:t>
      </w:r>
    </w:p>
    <w:p w:rsidR="001D61DF" w:rsidRPr="00BB3215" w:rsidRDefault="001D61DF" w:rsidP="00025B3F">
      <w:pPr>
        <w:pStyle w:val="TableFooter"/>
        <w:keepNext/>
        <w:widowControl/>
      </w:pPr>
      <w:r w:rsidRPr="00BB3215">
        <w:rPr>
          <w:vertAlign w:val="superscript"/>
        </w:rPr>
        <w:t>c</w:t>
      </w:r>
      <w:r w:rsidRPr="00BB3215">
        <w:t xml:space="preserve"> assumes 100% of patients receive 2 months treatment. 27% discontinue after 2 months.</w:t>
      </w:r>
      <w:r w:rsidR="00EC143D" w:rsidRPr="00BB3215">
        <w:t xml:space="preserve"> </w:t>
      </w:r>
      <w:r w:rsidRPr="00BB3215">
        <w:t>For patients remaining on therapy, 63.1% remain on 240 mg/day, 18.3% receive 200 mg/day, and 18.5% receive 160 mg/day from month 3 until month 12.</w:t>
      </w:r>
    </w:p>
    <w:p w:rsidR="001D61DF" w:rsidRPr="00BB3215" w:rsidRDefault="001D61DF" w:rsidP="00025B3F">
      <w:pPr>
        <w:pStyle w:val="TableFooter"/>
        <w:keepNext/>
        <w:widowControl/>
      </w:pPr>
      <w:r w:rsidRPr="00BB3215">
        <w:rPr>
          <w:vertAlign w:val="superscript"/>
        </w:rPr>
        <w:t>d</w:t>
      </w:r>
      <w:r w:rsidRPr="00BB3215">
        <w:t xml:space="preserve"> cumulative actual dose in the trial</w:t>
      </w:r>
    </w:p>
    <w:p w:rsidR="001D61DF" w:rsidRPr="00BB3215" w:rsidRDefault="001D61DF" w:rsidP="00025B3F">
      <w:pPr>
        <w:pStyle w:val="TableFooter"/>
        <w:keepNext/>
        <w:widowControl/>
      </w:pPr>
      <w:r w:rsidRPr="00BB3215">
        <w:rPr>
          <w:vertAlign w:val="superscript"/>
        </w:rPr>
        <w:t>e</w:t>
      </w:r>
      <w:r w:rsidRPr="00BB3215">
        <w:t xml:space="preserve"> calculated from mean dose and duration for comparison with trial cumulative actual dose</w:t>
      </w:r>
    </w:p>
    <w:p w:rsidR="001D61DF" w:rsidRPr="00BB3215" w:rsidRDefault="001D61DF" w:rsidP="00025B3F">
      <w:pPr>
        <w:pStyle w:val="TableFooter"/>
        <w:keepNext/>
        <w:widowControl/>
      </w:pPr>
      <w:r w:rsidRPr="00BB3215">
        <w:rPr>
          <w:vertAlign w:val="superscript"/>
        </w:rPr>
        <w:t>f</w:t>
      </w:r>
      <w:r w:rsidRPr="00BB3215">
        <w:t xml:space="preserve"> mean dose x cost per mg x 30 days</w:t>
      </w:r>
    </w:p>
    <w:p w:rsidR="001D61DF" w:rsidRPr="00BB3215" w:rsidRDefault="001D61DF" w:rsidP="00025B3F">
      <w:pPr>
        <w:pStyle w:val="TableFooter"/>
        <w:keepNext/>
        <w:widowControl/>
      </w:pPr>
      <w:r w:rsidRPr="00BB3215">
        <w:rPr>
          <w:vertAlign w:val="superscript"/>
        </w:rPr>
        <w:t>g</w:t>
      </w:r>
      <w:r w:rsidRPr="00BB3215">
        <w:t xml:space="preserve"> cost per mg x total mg administered</w:t>
      </w:r>
    </w:p>
    <w:p w:rsidR="001D61DF" w:rsidRPr="00BB3215" w:rsidRDefault="001D61DF" w:rsidP="00025B3F">
      <w:pPr>
        <w:pStyle w:val="TableFooter"/>
        <w:keepNext/>
        <w:widowControl/>
      </w:pPr>
      <w:r w:rsidRPr="00BB3215">
        <w:rPr>
          <w:vertAlign w:val="superscript"/>
        </w:rPr>
        <w:t>h</w:t>
      </w:r>
      <w:r w:rsidRPr="00BB3215">
        <w:t xml:space="preserve"> correcting the method of drug cost calculations so that the cost per patient per course is the cost per patient per month x mean duration</w:t>
      </w:r>
    </w:p>
    <w:p w:rsidR="001D61DF" w:rsidRPr="00BB3215" w:rsidRDefault="001D61DF" w:rsidP="00025B3F">
      <w:pPr>
        <w:pStyle w:val="TableFooter"/>
        <w:keepNext/>
        <w:widowControl/>
      </w:pPr>
      <w:r w:rsidRPr="00BB3215">
        <w:rPr>
          <w:vertAlign w:val="superscript"/>
        </w:rPr>
        <w:t>i</w:t>
      </w:r>
      <w:r w:rsidRPr="00BB3215">
        <w:t xml:space="preserve"> cost/patient/month x mean duration. </w:t>
      </w:r>
    </w:p>
    <w:p w:rsidR="001D61DF" w:rsidRPr="00BB3215" w:rsidRDefault="001D61DF" w:rsidP="00025B3F">
      <w:pPr>
        <w:pStyle w:val="TableFooter"/>
        <w:keepNext/>
        <w:widowControl/>
      </w:pPr>
      <w:r w:rsidRPr="00BB3215">
        <w:rPr>
          <w:vertAlign w:val="superscript"/>
        </w:rPr>
        <w:t>j</w:t>
      </w:r>
      <w:r w:rsidRPr="00BB3215">
        <w:t xml:space="preserve"> assumes that tablets in the remainder of month are wasted, rather than a cost per tablet</w:t>
      </w:r>
    </w:p>
    <w:p w:rsidR="001D61DF" w:rsidRPr="00BB3215" w:rsidRDefault="001D61DF" w:rsidP="00025B3F">
      <w:pPr>
        <w:keepNext/>
        <w:widowControl/>
      </w:pPr>
    </w:p>
    <w:p w:rsidR="001D61DF" w:rsidRPr="00930C6B" w:rsidRDefault="001D61DF" w:rsidP="00A84C29">
      <w:pPr>
        <w:pStyle w:val="ListParagraph"/>
        <w:keepNext/>
        <w:widowControl/>
        <w:numPr>
          <w:ilvl w:val="1"/>
          <w:numId w:val="5"/>
        </w:numPr>
      </w:pPr>
      <w:r w:rsidRPr="00BB3215">
        <w:t xml:space="preserve">The </w:t>
      </w:r>
      <w:r w:rsidRPr="00930C6B">
        <w:t xml:space="preserve">proposed </w:t>
      </w:r>
      <w:r w:rsidR="007F712A" w:rsidRPr="00930C6B">
        <w:t xml:space="preserve">DPMQ </w:t>
      </w:r>
      <w:r w:rsidRPr="00930C6B">
        <w:t>of neratinib in the resubmission is $</w:t>
      </w:r>
      <w:r w:rsidR="00152B62">
        <w:rPr>
          <w:noProof/>
          <w:color w:val="000000"/>
          <w:highlight w:val="black"/>
        </w:rPr>
        <w:t>''''''''''''''''</w:t>
      </w:r>
      <w:r w:rsidRPr="00930C6B">
        <w:t>. The original submission proposed a price of $</w:t>
      </w:r>
      <w:r w:rsidR="00152B62">
        <w:rPr>
          <w:noProof/>
          <w:color w:val="000000"/>
          <w:highlight w:val="black"/>
        </w:rPr>
        <w:t>'''''''''''''''''</w:t>
      </w:r>
      <w:r w:rsidRPr="00930C6B">
        <w:t xml:space="preserve">. </w:t>
      </w:r>
    </w:p>
    <w:p w:rsidR="001D61DF" w:rsidRPr="00930C6B" w:rsidRDefault="001D61DF" w:rsidP="00A84C29">
      <w:pPr>
        <w:pStyle w:val="ListParagraph"/>
        <w:keepNext/>
        <w:widowControl/>
        <w:numPr>
          <w:ilvl w:val="1"/>
          <w:numId w:val="5"/>
        </w:numPr>
      </w:pPr>
      <w:r w:rsidRPr="00930C6B">
        <w:t>The mean dose in the resubmission model is 210.4mg/day</w:t>
      </w:r>
      <w:r w:rsidR="007F712A" w:rsidRPr="00930C6B">
        <w:t>, which</w:t>
      </w:r>
      <w:r w:rsidRPr="00930C6B">
        <w:t xml:space="preserve"> is consistent with the mean dose observed in the trial. The original submission presented a mean dose of 214.3 mg/day which was the prescribed dose intensity in the trial. </w:t>
      </w:r>
      <w:r w:rsidRPr="00930C6B">
        <w:rPr>
          <w:iCs/>
        </w:rPr>
        <w:t>This change is appropriate however dose intensity observed in the ExteNET trial may differ from clinical practice.</w:t>
      </w:r>
    </w:p>
    <w:p w:rsidR="001D61DF" w:rsidRPr="00930C6B" w:rsidRDefault="001D61DF" w:rsidP="00A84C29">
      <w:pPr>
        <w:pStyle w:val="ListParagraph"/>
        <w:keepNext/>
        <w:widowControl/>
        <w:numPr>
          <w:ilvl w:val="1"/>
          <w:numId w:val="5"/>
        </w:numPr>
      </w:pPr>
      <w:r w:rsidRPr="00930C6B">
        <w:t>The mean duration of treatment in the resubmission financial estimates is 8.58 months, calculated by assuming all patients completed 2 months therapy, then applying discontinuations and dose reductions observed in the ExteNET trial safety population</w:t>
      </w:r>
      <w:r w:rsidR="002559A8">
        <w:t xml:space="preserve">. </w:t>
      </w:r>
      <w:r w:rsidRPr="00930C6B">
        <w:rPr>
          <w:iCs/>
        </w:rPr>
        <w:t xml:space="preserve">This </w:t>
      </w:r>
      <w:r w:rsidR="00E07C01">
        <w:rPr>
          <w:iCs/>
        </w:rPr>
        <w:t>was</w:t>
      </w:r>
      <w:r w:rsidRPr="00930C6B">
        <w:rPr>
          <w:iCs/>
        </w:rPr>
        <w:t xml:space="preserve"> inconsistent with the method used in the economic model.</w:t>
      </w:r>
    </w:p>
    <w:p w:rsidR="004B4968" w:rsidRPr="00BB3215" w:rsidRDefault="004B4968" w:rsidP="00025B3F">
      <w:pPr>
        <w:keepNext/>
        <w:widowControl/>
      </w:pPr>
    </w:p>
    <w:p w:rsidR="004B4968" w:rsidRPr="00BB3215" w:rsidRDefault="004B4968" w:rsidP="00025B3F">
      <w:pPr>
        <w:pStyle w:val="Heading2"/>
        <w:keepNext/>
        <w:widowControl/>
      </w:pPr>
      <w:bookmarkStart w:id="21" w:name="_Toc18935815"/>
      <w:r w:rsidRPr="00BB3215">
        <w:t>Estimated PBS usage &amp; financial implications</w:t>
      </w:r>
      <w:bookmarkEnd w:id="21"/>
    </w:p>
    <w:p w:rsidR="004B4968" w:rsidRPr="00BB3215" w:rsidRDefault="004B4968" w:rsidP="00025B3F">
      <w:pPr>
        <w:widowControl/>
        <w:ind w:left="720" w:hanging="720"/>
        <w:rPr>
          <w:b/>
          <w:i/>
        </w:rPr>
      </w:pPr>
    </w:p>
    <w:p w:rsidR="002F742A" w:rsidRPr="00930C6B" w:rsidRDefault="002F742A" w:rsidP="00A84C29">
      <w:pPr>
        <w:pStyle w:val="ListParagraph"/>
        <w:widowControl/>
        <w:numPr>
          <w:ilvl w:val="1"/>
          <w:numId w:val="5"/>
        </w:numPr>
      </w:pPr>
      <w:r w:rsidRPr="00930C6B">
        <w:t xml:space="preserve">The original </w:t>
      </w:r>
      <w:r w:rsidR="0086012F">
        <w:t xml:space="preserve">March 2019 </w:t>
      </w:r>
      <w:r w:rsidRPr="00930C6B">
        <w:t xml:space="preserve">submission was considered by DUSC. A combined epidemiological and market share approach was used. </w:t>
      </w:r>
      <w:r w:rsidR="0061508B" w:rsidRPr="00DC6C1F">
        <w:t xml:space="preserve">The </w:t>
      </w:r>
      <w:r w:rsidR="009957A1" w:rsidRPr="00DC6C1F">
        <w:t xml:space="preserve">majority of </w:t>
      </w:r>
      <w:r w:rsidR="009957A1" w:rsidRPr="00DC6C1F">
        <w:rPr>
          <w:iCs/>
        </w:rPr>
        <w:t>k</w:t>
      </w:r>
      <w:r w:rsidRPr="00DC6C1F">
        <w:rPr>
          <w:iCs/>
        </w:rPr>
        <w:t>ey so</w:t>
      </w:r>
      <w:r w:rsidRPr="00930C6B">
        <w:rPr>
          <w:iCs/>
        </w:rPr>
        <w:t xml:space="preserve">urces and assumptions </w:t>
      </w:r>
      <w:r w:rsidR="009957A1">
        <w:rPr>
          <w:iCs/>
        </w:rPr>
        <w:t>are un</w:t>
      </w:r>
      <w:r w:rsidRPr="00930C6B">
        <w:rPr>
          <w:iCs/>
        </w:rPr>
        <w:t xml:space="preserve">changed from the original submission. </w:t>
      </w:r>
    </w:p>
    <w:p w:rsidR="002F5B31" w:rsidRPr="00930C6B" w:rsidRDefault="002F5B31" w:rsidP="00A84C29">
      <w:pPr>
        <w:pStyle w:val="ListParagraph"/>
        <w:widowControl/>
        <w:numPr>
          <w:ilvl w:val="1"/>
          <w:numId w:val="5"/>
        </w:numPr>
        <w:rPr>
          <w:iCs/>
        </w:rPr>
      </w:pPr>
      <w:r w:rsidRPr="00930C6B">
        <w:rPr>
          <w:iCs/>
        </w:rPr>
        <w:t>The number of patients treated and scripts dispensed has changed from the original submission due to differences in parameter values. The resubmission outlined a changed proposed clinical management algorithm</w:t>
      </w:r>
      <w:r w:rsidR="008C23DC">
        <w:rPr>
          <w:iCs/>
        </w:rPr>
        <w:t xml:space="preserve"> reflecting a shift to neoadjuvant treatment, which</w:t>
      </w:r>
      <w:r w:rsidRPr="00930C6B">
        <w:rPr>
          <w:iCs/>
        </w:rPr>
        <w:t xml:space="preserve"> </w:t>
      </w:r>
      <w:r w:rsidR="009957A1">
        <w:rPr>
          <w:iCs/>
        </w:rPr>
        <w:t xml:space="preserve">was not </w:t>
      </w:r>
      <w:r w:rsidRPr="00930C6B">
        <w:rPr>
          <w:iCs/>
        </w:rPr>
        <w:t>reflected in the estimated use and financial impacts</w:t>
      </w:r>
      <w:r w:rsidR="008C23DC">
        <w:rPr>
          <w:iCs/>
        </w:rPr>
        <w:t xml:space="preserve">. </w:t>
      </w:r>
      <w:r w:rsidRPr="00930C6B">
        <w:rPr>
          <w:iCs/>
        </w:rPr>
        <w:t xml:space="preserve">This </w:t>
      </w:r>
      <w:r w:rsidR="00DC6C1F" w:rsidRPr="00930C6B">
        <w:rPr>
          <w:iCs/>
        </w:rPr>
        <w:t>ma</w:t>
      </w:r>
      <w:r w:rsidR="00DC6C1F">
        <w:rPr>
          <w:iCs/>
        </w:rPr>
        <w:t>de</w:t>
      </w:r>
      <w:r w:rsidR="00DC6C1F" w:rsidRPr="00930C6B">
        <w:rPr>
          <w:iCs/>
        </w:rPr>
        <w:t xml:space="preserve"> </w:t>
      </w:r>
      <w:r w:rsidRPr="00930C6B">
        <w:rPr>
          <w:iCs/>
        </w:rPr>
        <w:t>the estimated use and financial impacts un</w:t>
      </w:r>
      <w:r w:rsidR="00AC13C2">
        <w:rPr>
          <w:iCs/>
        </w:rPr>
        <w:t>informative</w:t>
      </w:r>
      <w:r w:rsidR="00C535B8">
        <w:rPr>
          <w:iCs/>
        </w:rPr>
        <w:t xml:space="preserve">. The PBAC considered </w:t>
      </w:r>
      <w:r w:rsidR="00C535B8">
        <w:rPr>
          <w:iCs/>
        </w:rPr>
        <w:lastRenderedPageBreak/>
        <w:t>that the changing clinical management algorithm means that the remaining relevant patient populations are diminishing and the estimates are therefore</w:t>
      </w:r>
      <w:r w:rsidR="005E7C49">
        <w:rPr>
          <w:iCs/>
        </w:rPr>
        <w:t xml:space="preserve"> overestimated</w:t>
      </w:r>
      <w:r w:rsidRPr="00930C6B">
        <w:rPr>
          <w:iCs/>
        </w:rPr>
        <w:t>.</w:t>
      </w:r>
    </w:p>
    <w:p w:rsidR="002F5B31" w:rsidRPr="00930C6B" w:rsidRDefault="002F5B31" w:rsidP="00A84C29">
      <w:pPr>
        <w:pStyle w:val="ListParagraph"/>
        <w:widowControl/>
        <w:numPr>
          <w:ilvl w:val="1"/>
          <w:numId w:val="5"/>
        </w:numPr>
      </w:pPr>
      <w:r w:rsidRPr="00930C6B">
        <w:rPr>
          <w:rFonts w:cs="Calibri"/>
          <w:snapToGrid/>
          <w:szCs w:val="24"/>
          <w:lang w:eastAsia="en-AU"/>
        </w:rPr>
        <w:t>The total net financial cost for the Australian</w:t>
      </w:r>
      <w:r w:rsidR="001E7592">
        <w:rPr>
          <w:rFonts w:cs="Calibri"/>
          <w:snapToGrid/>
          <w:szCs w:val="24"/>
          <w:lang w:eastAsia="en-AU"/>
        </w:rPr>
        <w:t xml:space="preserve"> Government was estimated to be</w:t>
      </w:r>
      <w:r w:rsidR="00197675">
        <w:rPr>
          <w:rFonts w:cs="Calibri"/>
          <w:snapToGrid/>
          <w:szCs w:val="24"/>
          <w:lang w:eastAsia="en-AU"/>
        </w:rPr>
        <w:t xml:space="preserve"> more than </w:t>
      </w:r>
      <w:r w:rsidRPr="00930C6B">
        <w:rPr>
          <w:rFonts w:cs="Calibri"/>
          <w:snapToGrid/>
          <w:szCs w:val="24"/>
          <w:lang w:eastAsia="en-AU"/>
        </w:rPr>
        <w:t>$</w:t>
      </w:r>
      <w:r w:rsidR="00197675">
        <w:rPr>
          <w:rFonts w:cs="Calibri"/>
          <w:snapToGrid/>
          <w:szCs w:val="24"/>
          <w:lang w:eastAsia="en-AU"/>
        </w:rPr>
        <w:t>100</w:t>
      </w:r>
      <w:r w:rsidRPr="00930C6B">
        <w:rPr>
          <w:rFonts w:cs="Calibri"/>
          <w:snapToGrid/>
          <w:szCs w:val="24"/>
          <w:lang w:eastAsia="en-AU"/>
        </w:rPr>
        <w:t xml:space="preserve"> million over 6 years. Table </w:t>
      </w:r>
      <w:r w:rsidR="000D534A">
        <w:rPr>
          <w:rFonts w:cs="Calibri"/>
          <w:snapToGrid/>
          <w:szCs w:val="24"/>
          <w:lang w:eastAsia="en-AU"/>
        </w:rPr>
        <w:t>17</w:t>
      </w:r>
      <w:r w:rsidR="00174AA7" w:rsidRPr="00930C6B">
        <w:t xml:space="preserve"> </w:t>
      </w:r>
      <w:r w:rsidRPr="00930C6B">
        <w:t xml:space="preserve">presents the estimated use and financial implications of listing neratinib. </w:t>
      </w:r>
      <w:r w:rsidRPr="00930C6B">
        <w:rPr>
          <w:iCs/>
        </w:rPr>
        <w:t xml:space="preserve">The resubmission incorporates aggregate output from the economic model as ‘modelled costs’ that affect PBS, MBS and hospital budgets. </w:t>
      </w:r>
    </w:p>
    <w:p w:rsidR="002F5B31" w:rsidRPr="00BB3215" w:rsidRDefault="002F5B31" w:rsidP="00025B3F">
      <w:pPr>
        <w:widowControl/>
      </w:pPr>
      <w:r w:rsidRPr="00BB3215">
        <w:rPr>
          <w:rStyle w:val="CommentReference"/>
        </w:rPr>
        <w:t xml:space="preserve">Table </w:t>
      </w:r>
      <w:r w:rsidR="000D534A">
        <w:rPr>
          <w:rStyle w:val="CommentReference"/>
        </w:rPr>
        <w:t>17</w:t>
      </w:r>
      <w:r w:rsidRPr="00BB3215">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57"/>
        <w:gridCol w:w="1157"/>
        <w:gridCol w:w="1157"/>
        <w:gridCol w:w="1157"/>
        <w:gridCol w:w="1155"/>
      </w:tblGrid>
      <w:tr w:rsidR="002F5B31" w:rsidRPr="00285496" w:rsidTr="005A36B4">
        <w:trPr>
          <w:tblHeader/>
        </w:trPr>
        <w:tc>
          <w:tcPr>
            <w:tcW w:w="1119" w:type="pct"/>
            <w:shd w:val="clear" w:color="auto" w:fill="auto"/>
            <w:vAlign w:val="center"/>
          </w:tcPr>
          <w:p w:rsidR="002F5B31" w:rsidRPr="00285496" w:rsidRDefault="002F5B31" w:rsidP="00025B3F">
            <w:pPr>
              <w:pStyle w:val="Tabletext"/>
              <w:rPr>
                <w:szCs w:val="20"/>
              </w:rPr>
            </w:pPr>
          </w:p>
        </w:tc>
        <w:tc>
          <w:tcPr>
            <w:tcW w:w="647" w:type="pct"/>
            <w:shd w:val="clear" w:color="auto" w:fill="auto"/>
            <w:vAlign w:val="center"/>
          </w:tcPr>
          <w:p w:rsidR="002F5B31" w:rsidRPr="00285496" w:rsidRDefault="002F5B31" w:rsidP="00025B3F">
            <w:pPr>
              <w:pStyle w:val="Tabletext"/>
              <w:jc w:val="center"/>
              <w:rPr>
                <w:b/>
                <w:szCs w:val="20"/>
              </w:rPr>
            </w:pPr>
            <w:r w:rsidRPr="00285496">
              <w:rPr>
                <w:b/>
                <w:szCs w:val="20"/>
              </w:rPr>
              <w:t>Year 1</w:t>
            </w:r>
          </w:p>
        </w:tc>
        <w:tc>
          <w:tcPr>
            <w:tcW w:w="647" w:type="pct"/>
            <w:shd w:val="clear" w:color="auto" w:fill="auto"/>
            <w:vAlign w:val="center"/>
          </w:tcPr>
          <w:p w:rsidR="002F5B31" w:rsidRPr="00285496" w:rsidRDefault="002F5B31" w:rsidP="00025B3F">
            <w:pPr>
              <w:pStyle w:val="Tabletext"/>
              <w:jc w:val="center"/>
              <w:rPr>
                <w:b/>
                <w:szCs w:val="20"/>
              </w:rPr>
            </w:pPr>
            <w:r w:rsidRPr="00285496">
              <w:rPr>
                <w:b/>
                <w:szCs w:val="20"/>
              </w:rPr>
              <w:t>Year 2</w:t>
            </w:r>
          </w:p>
        </w:tc>
        <w:tc>
          <w:tcPr>
            <w:tcW w:w="647" w:type="pct"/>
            <w:shd w:val="clear" w:color="auto" w:fill="auto"/>
            <w:vAlign w:val="center"/>
          </w:tcPr>
          <w:p w:rsidR="002F5B31" w:rsidRPr="00285496" w:rsidRDefault="002F5B31" w:rsidP="00025B3F">
            <w:pPr>
              <w:pStyle w:val="Tabletext"/>
              <w:jc w:val="center"/>
              <w:rPr>
                <w:b/>
                <w:szCs w:val="20"/>
              </w:rPr>
            </w:pPr>
            <w:r w:rsidRPr="00285496">
              <w:rPr>
                <w:b/>
                <w:szCs w:val="20"/>
              </w:rPr>
              <w:t>Year 3</w:t>
            </w:r>
          </w:p>
        </w:tc>
        <w:tc>
          <w:tcPr>
            <w:tcW w:w="647" w:type="pct"/>
            <w:shd w:val="clear" w:color="auto" w:fill="auto"/>
            <w:vAlign w:val="center"/>
          </w:tcPr>
          <w:p w:rsidR="002F5B31" w:rsidRPr="00285496" w:rsidRDefault="002F5B31" w:rsidP="00025B3F">
            <w:pPr>
              <w:pStyle w:val="Tabletext"/>
              <w:jc w:val="center"/>
              <w:rPr>
                <w:b/>
                <w:szCs w:val="20"/>
              </w:rPr>
            </w:pPr>
            <w:r w:rsidRPr="00285496">
              <w:rPr>
                <w:b/>
                <w:szCs w:val="20"/>
              </w:rPr>
              <w:t>Year 4</w:t>
            </w:r>
          </w:p>
        </w:tc>
        <w:tc>
          <w:tcPr>
            <w:tcW w:w="647" w:type="pct"/>
            <w:shd w:val="clear" w:color="auto" w:fill="auto"/>
            <w:vAlign w:val="center"/>
          </w:tcPr>
          <w:p w:rsidR="002F5B31" w:rsidRPr="00285496" w:rsidRDefault="002F5B31" w:rsidP="00025B3F">
            <w:pPr>
              <w:pStyle w:val="Tabletext"/>
              <w:jc w:val="center"/>
              <w:rPr>
                <w:b/>
                <w:szCs w:val="20"/>
              </w:rPr>
            </w:pPr>
            <w:r w:rsidRPr="00285496">
              <w:rPr>
                <w:b/>
                <w:szCs w:val="20"/>
              </w:rPr>
              <w:t>Year 5</w:t>
            </w:r>
          </w:p>
        </w:tc>
        <w:tc>
          <w:tcPr>
            <w:tcW w:w="646" w:type="pct"/>
          </w:tcPr>
          <w:p w:rsidR="002F5B31" w:rsidRPr="00285496" w:rsidRDefault="002F5B31" w:rsidP="00025B3F">
            <w:pPr>
              <w:pStyle w:val="Tabletext"/>
              <w:jc w:val="center"/>
              <w:rPr>
                <w:b/>
                <w:szCs w:val="20"/>
              </w:rPr>
            </w:pPr>
            <w:r w:rsidRPr="00285496">
              <w:rPr>
                <w:b/>
                <w:szCs w:val="20"/>
              </w:rPr>
              <w:t>Year 6</w:t>
            </w:r>
          </w:p>
        </w:tc>
      </w:tr>
      <w:tr w:rsidR="002F5B31" w:rsidRPr="00285496" w:rsidTr="005A36B4">
        <w:tc>
          <w:tcPr>
            <w:tcW w:w="5000" w:type="pct"/>
            <w:gridSpan w:val="7"/>
            <w:shd w:val="clear" w:color="auto" w:fill="auto"/>
            <w:vAlign w:val="center"/>
          </w:tcPr>
          <w:p w:rsidR="002F5B31" w:rsidRPr="00285496" w:rsidRDefault="002F5B31" w:rsidP="00025B3F">
            <w:pPr>
              <w:pStyle w:val="Tabletext"/>
              <w:rPr>
                <w:b/>
                <w:bCs/>
                <w:color w:val="000000"/>
                <w:szCs w:val="20"/>
              </w:rPr>
            </w:pPr>
            <w:r w:rsidRPr="00285496">
              <w:rPr>
                <w:b/>
                <w:bCs/>
                <w:color w:val="000000"/>
                <w:szCs w:val="20"/>
              </w:rPr>
              <w:t>Estimated extent of use</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Number of patients treated</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 xml:space="preserve">'''''''''''''' </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 xml:space="preserve">'''''''''''' </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 xml:space="preserve">''''''''''''' </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 xml:space="preserve">'''''''''''''' </w:t>
            </w:r>
          </w:p>
        </w:tc>
        <w:tc>
          <w:tcPr>
            <w:tcW w:w="646"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 xml:space="preserve">'''''''''''''' </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Number of scripts dispensed</w:t>
            </w:r>
            <w:r w:rsidRPr="00285496">
              <w:rPr>
                <w:szCs w:val="20"/>
                <w:vertAlign w:val="superscript"/>
              </w:rPr>
              <w:t>a</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c>
          <w:tcPr>
            <w:tcW w:w="647"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c>
          <w:tcPr>
            <w:tcW w:w="646" w:type="pct"/>
            <w:tcBorders>
              <w:bottom w:val="single" w:sz="4" w:space="0" w:color="auto"/>
            </w:tcBorders>
            <w:shd w:val="clear" w:color="auto" w:fill="auto"/>
            <w:vAlign w:val="center"/>
          </w:tcPr>
          <w:p w:rsidR="002F5B31" w:rsidRPr="00152B62" w:rsidRDefault="00152B62" w:rsidP="00025B3F">
            <w:pPr>
              <w:pStyle w:val="Tabletext"/>
              <w:jc w:val="center"/>
              <w:rPr>
                <w:bCs/>
                <w:color w:val="000000"/>
                <w:szCs w:val="20"/>
                <w:highlight w:val="black"/>
              </w:rPr>
            </w:pPr>
            <w:r>
              <w:rPr>
                <w:noProof/>
                <w:color w:val="000000"/>
                <w:szCs w:val="20"/>
                <w:highlight w:val="black"/>
              </w:rPr>
              <w:t>'''''''''''''''</w:t>
            </w:r>
          </w:p>
        </w:tc>
      </w:tr>
      <w:tr w:rsidR="002F5B31" w:rsidRPr="00285496" w:rsidTr="005A36B4">
        <w:tc>
          <w:tcPr>
            <w:tcW w:w="5000" w:type="pct"/>
            <w:gridSpan w:val="7"/>
            <w:shd w:val="clear" w:color="auto" w:fill="auto"/>
            <w:vAlign w:val="center"/>
          </w:tcPr>
          <w:p w:rsidR="002F5B31" w:rsidRPr="00285496" w:rsidRDefault="002F5B31" w:rsidP="00025B3F">
            <w:pPr>
              <w:pStyle w:val="Tabletext"/>
              <w:rPr>
                <w:b/>
                <w:bCs/>
                <w:color w:val="000000"/>
                <w:szCs w:val="20"/>
              </w:rPr>
            </w:pPr>
            <w:r w:rsidRPr="00285496">
              <w:rPr>
                <w:b/>
                <w:bCs/>
                <w:color w:val="000000"/>
                <w:szCs w:val="20"/>
              </w:rPr>
              <w:t>Estimated financial implications of neratinib</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Cost to PBS/RPBS</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Copayments</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Cost to PBS/RPBS less copayments</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5000" w:type="pct"/>
            <w:gridSpan w:val="7"/>
            <w:shd w:val="clear" w:color="auto" w:fill="auto"/>
            <w:vAlign w:val="center"/>
          </w:tcPr>
          <w:p w:rsidR="002F5B31" w:rsidRPr="00285496" w:rsidRDefault="002F5B31" w:rsidP="00025B3F">
            <w:pPr>
              <w:pStyle w:val="Tabletext"/>
              <w:rPr>
                <w:bCs/>
                <w:color w:val="000000"/>
                <w:szCs w:val="20"/>
              </w:rPr>
            </w:pPr>
            <w:r w:rsidRPr="00285496">
              <w:rPr>
                <w:b/>
                <w:bCs/>
                <w:color w:val="000000"/>
                <w:szCs w:val="20"/>
              </w:rPr>
              <w:t>Estimated financial implications for loperamide</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Cost to PBS/RPBS</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Copayments</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Cost to PBS/RPBS less copayments</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5000" w:type="pct"/>
            <w:gridSpan w:val="7"/>
            <w:shd w:val="clear" w:color="auto" w:fill="auto"/>
            <w:vAlign w:val="center"/>
          </w:tcPr>
          <w:p w:rsidR="002F5B31" w:rsidRPr="00285496" w:rsidRDefault="002F5B31" w:rsidP="00025B3F">
            <w:pPr>
              <w:pStyle w:val="Tabletext"/>
              <w:rPr>
                <w:b/>
                <w:bCs/>
                <w:color w:val="000000"/>
                <w:szCs w:val="20"/>
              </w:rPr>
            </w:pPr>
            <w:r w:rsidRPr="00285496">
              <w:rPr>
                <w:b/>
                <w:bCs/>
                <w:color w:val="000000"/>
                <w:szCs w:val="20"/>
              </w:rPr>
              <w:t>Net financial implications</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Modelled costs</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tcBorders>
              <w:bottom w:val="single" w:sz="4" w:space="0" w:color="auto"/>
            </w:tcBorders>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Net cost to PBS/RPBS</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7"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c>
          <w:tcPr>
            <w:tcW w:w="646" w:type="pct"/>
            <w:shd w:val="clear" w:color="auto" w:fill="auto"/>
            <w:vAlign w:val="bottom"/>
          </w:tcPr>
          <w:p w:rsidR="002F5B31" w:rsidRPr="00285496" w:rsidRDefault="002F5B31" w:rsidP="00025B3F">
            <w:pPr>
              <w:pStyle w:val="Tabletext"/>
              <w:jc w:val="center"/>
              <w:rPr>
                <w:bCs/>
                <w:color w:val="000000"/>
                <w:szCs w:val="20"/>
              </w:rPr>
            </w:pPr>
            <w:r w:rsidRPr="00285496">
              <w:rPr>
                <w:szCs w:val="20"/>
              </w:rPr>
              <w:t>$</w:t>
            </w:r>
            <w:r w:rsidR="00152B62">
              <w:rPr>
                <w:noProof/>
                <w:color w:val="000000"/>
                <w:szCs w:val="20"/>
                <w:highlight w:val="black"/>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Net cost to MBS</w:t>
            </w:r>
          </w:p>
        </w:tc>
        <w:tc>
          <w:tcPr>
            <w:tcW w:w="647" w:type="pct"/>
            <w:tcBorders>
              <w:top w:val="nil"/>
              <w:left w:val="single" w:sz="4" w:space="0" w:color="auto"/>
              <w:bottom w:val="single" w:sz="4" w:space="0" w:color="auto"/>
              <w:right w:val="single" w:sz="4" w:space="0" w:color="auto"/>
            </w:tcBorders>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tcBorders>
              <w:top w:val="nil"/>
              <w:left w:val="nil"/>
              <w:bottom w:val="single" w:sz="4" w:space="0" w:color="auto"/>
              <w:right w:val="single" w:sz="4" w:space="0" w:color="auto"/>
            </w:tcBorders>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tcBorders>
              <w:top w:val="nil"/>
              <w:left w:val="nil"/>
              <w:bottom w:val="single" w:sz="4" w:space="0" w:color="auto"/>
              <w:right w:val="single" w:sz="4" w:space="0" w:color="auto"/>
            </w:tcBorders>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tcBorders>
              <w:top w:val="nil"/>
              <w:left w:val="nil"/>
              <w:bottom w:val="single" w:sz="4" w:space="0" w:color="auto"/>
              <w:right w:val="single" w:sz="4" w:space="0" w:color="auto"/>
            </w:tcBorders>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tcBorders>
              <w:top w:val="nil"/>
              <w:left w:val="nil"/>
              <w:bottom w:val="single" w:sz="4" w:space="0" w:color="auto"/>
              <w:right w:val="single" w:sz="4" w:space="0" w:color="auto"/>
            </w:tcBorders>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6" w:type="pct"/>
            <w:tcBorders>
              <w:top w:val="nil"/>
              <w:left w:val="nil"/>
              <w:bottom w:val="single" w:sz="4" w:space="0" w:color="auto"/>
              <w:right w:val="single" w:sz="4" w:space="0" w:color="auto"/>
            </w:tcBorders>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r>
      <w:tr w:rsidR="002F5B31" w:rsidRPr="00285496" w:rsidTr="005A36B4">
        <w:tc>
          <w:tcPr>
            <w:tcW w:w="1119" w:type="pct"/>
            <w:shd w:val="clear" w:color="auto" w:fill="auto"/>
            <w:vAlign w:val="center"/>
          </w:tcPr>
          <w:p w:rsidR="002F5B31" w:rsidRPr="00285496" w:rsidRDefault="002F5B31" w:rsidP="00025B3F">
            <w:pPr>
              <w:pStyle w:val="Tabletext"/>
              <w:rPr>
                <w:szCs w:val="20"/>
              </w:rPr>
            </w:pPr>
            <w:r w:rsidRPr="00285496">
              <w:rPr>
                <w:szCs w:val="20"/>
              </w:rPr>
              <w:t>Net cost to health budget</w:t>
            </w:r>
          </w:p>
        </w:tc>
        <w:tc>
          <w:tcPr>
            <w:tcW w:w="647" w:type="pct"/>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7" w:type="pct"/>
            <w:shd w:val="clear" w:color="auto" w:fill="auto"/>
            <w:vAlign w:val="center"/>
          </w:tcPr>
          <w:p w:rsidR="002F5B31" w:rsidRPr="00AC13C2" w:rsidRDefault="002F5B31" w:rsidP="00025B3F">
            <w:pPr>
              <w:pStyle w:val="Tabletext"/>
              <w:jc w:val="center"/>
              <w:rPr>
                <w:szCs w:val="20"/>
              </w:rPr>
            </w:pPr>
            <w:r w:rsidRPr="00AC13C2">
              <w:rPr>
                <w:szCs w:val="20"/>
              </w:rPr>
              <w:t>$</w:t>
            </w:r>
            <w:r w:rsidR="00152B62">
              <w:rPr>
                <w:noProof/>
                <w:color w:val="000000"/>
                <w:szCs w:val="20"/>
                <w:highlight w:val="black"/>
              </w:rPr>
              <w:t>''''''''''''''''''''''''''</w:t>
            </w:r>
            <w:r w:rsidR="00AC13C2" w:rsidRPr="00AC13C2">
              <w:rPr>
                <w:szCs w:val="20"/>
              </w:rPr>
              <w:t>*</w:t>
            </w:r>
          </w:p>
        </w:tc>
        <w:tc>
          <w:tcPr>
            <w:tcW w:w="646" w:type="pct"/>
            <w:shd w:val="clear" w:color="auto" w:fill="auto"/>
            <w:vAlign w:val="center"/>
          </w:tcPr>
          <w:p w:rsidR="002F5B31" w:rsidRPr="00AC13C2" w:rsidRDefault="002F5B31" w:rsidP="00AC13C2">
            <w:pPr>
              <w:keepNext/>
              <w:widowControl/>
              <w:jc w:val="center"/>
              <w:rPr>
                <w:rFonts w:ascii="Arial Narrow" w:hAnsi="Arial Narrow" w:cs="Times New Roman"/>
                <w:snapToGrid/>
                <w:sz w:val="20"/>
                <w:szCs w:val="20"/>
              </w:rPr>
            </w:pPr>
            <w:r w:rsidRPr="00AC13C2">
              <w:rPr>
                <w:rFonts w:ascii="Arial Narrow" w:hAnsi="Arial Narrow" w:cs="Times New Roman"/>
                <w:snapToGrid/>
                <w:sz w:val="20"/>
                <w:szCs w:val="20"/>
              </w:rPr>
              <w:t>$</w:t>
            </w:r>
            <w:r w:rsidR="00152B62">
              <w:rPr>
                <w:rFonts w:ascii="Arial Narrow" w:hAnsi="Arial Narrow" w:cs="Times New Roman"/>
                <w:noProof/>
                <w:snapToGrid/>
                <w:color w:val="000000"/>
                <w:sz w:val="20"/>
                <w:szCs w:val="20"/>
                <w:highlight w:val="black"/>
              </w:rPr>
              <w:t>''''''''''''''''''''''''''</w:t>
            </w:r>
            <w:r w:rsidR="00AC13C2" w:rsidRPr="00AC13C2">
              <w:rPr>
                <w:rFonts w:ascii="Arial Narrow" w:hAnsi="Arial Narrow" w:cs="Times New Roman"/>
                <w:snapToGrid/>
                <w:sz w:val="20"/>
                <w:szCs w:val="20"/>
              </w:rPr>
              <w:t>*</w:t>
            </w:r>
          </w:p>
        </w:tc>
      </w:tr>
    </w:tbl>
    <w:p w:rsidR="002F5B31" w:rsidRPr="00BB3215" w:rsidRDefault="002F5B31" w:rsidP="00025B3F">
      <w:pPr>
        <w:pStyle w:val="TableFooter"/>
        <w:widowControl/>
        <w:tabs>
          <w:tab w:val="left" w:pos="142"/>
        </w:tabs>
      </w:pPr>
      <w:r w:rsidRPr="00BB3215">
        <w:rPr>
          <w:vertAlign w:val="superscript"/>
        </w:rPr>
        <w:t>a</w:t>
      </w:r>
      <w:r w:rsidRPr="00BB3215">
        <w:tab/>
        <w:t>Assuming 8.58 scripts per patient per year as estimated by the resubmission.</w:t>
      </w:r>
    </w:p>
    <w:p w:rsidR="002F5B31" w:rsidRPr="002107C9" w:rsidRDefault="002F5B31" w:rsidP="00025B3F">
      <w:pPr>
        <w:pStyle w:val="TableFooter"/>
        <w:widowControl/>
        <w:tabs>
          <w:tab w:val="left" w:pos="142"/>
        </w:tabs>
      </w:pPr>
      <w:r w:rsidRPr="00BB3215">
        <w:rPr>
          <w:vertAlign w:val="superscript"/>
        </w:rPr>
        <w:t>b</w:t>
      </w:r>
      <w:r w:rsidRPr="00BB3215">
        <w:t xml:space="preserve"> Output from the cost utility </w:t>
      </w:r>
      <w:r w:rsidR="00101AC4" w:rsidRPr="00BB3215">
        <w:t>analysis is</w:t>
      </w:r>
      <w:r w:rsidRPr="00BB3215">
        <w:t xml:space="preserve"> included as an aggregated cost offset in the budget impact model. These costs include endocrine treatment, adverse event management, subsequent therapies and disease </w:t>
      </w:r>
      <w:r w:rsidRPr="002107C9">
        <w:t>monitoring and combine PBS, MBS and hospital costs</w:t>
      </w:r>
    </w:p>
    <w:p w:rsidR="002F5B31" w:rsidRPr="002107C9" w:rsidRDefault="002F5B31" w:rsidP="00025B3F">
      <w:pPr>
        <w:widowControl/>
        <w:rPr>
          <w:rFonts w:ascii="Arial Narrow" w:hAnsi="Arial Narrow"/>
          <w:sz w:val="18"/>
        </w:rPr>
      </w:pPr>
      <w:r w:rsidRPr="002107C9">
        <w:rPr>
          <w:rFonts w:ascii="Arial Narrow" w:hAnsi="Arial Narrow"/>
          <w:sz w:val="18"/>
        </w:rPr>
        <w:t xml:space="preserve">*The reported cost of outpatient MBS services was calculated using the May 2019 MBS 85% benefit. </w:t>
      </w:r>
      <w:r w:rsidR="00AC13C2">
        <w:rPr>
          <w:rFonts w:ascii="Arial Narrow" w:hAnsi="Arial Narrow"/>
          <w:sz w:val="18"/>
        </w:rPr>
        <w:t>This was u</w:t>
      </w:r>
      <w:r w:rsidRPr="002107C9">
        <w:rPr>
          <w:rFonts w:ascii="Arial Narrow" w:hAnsi="Arial Narrow"/>
          <w:sz w:val="18"/>
        </w:rPr>
        <w:t>pdate</w:t>
      </w:r>
      <w:r w:rsidR="00AC13C2">
        <w:rPr>
          <w:rFonts w:ascii="Arial Narrow" w:hAnsi="Arial Narrow"/>
          <w:sz w:val="18"/>
        </w:rPr>
        <w:t xml:space="preserve">d during evaluation to reflect the </w:t>
      </w:r>
      <w:r w:rsidRPr="002107C9">
        <w:rPr>
          <w:rFonts w:ascii="Arial Narrow" w:hAnsi="Arial Narrow"/>
          <w:sz w:val="18"/>
        </w:rPr>
        <w:t xml:space="preserve">July 2019 85% benefit </w:t>
      </w:r>
    </w:p>
    <w:p w:rsidR="002F5B31" w:rsidRPr="00BB3215" w:rsidRDefault="002F5B31" w:rsidP="00025B3F">
      <w:pPr>
        <w:pStyle w:val="TableFooter"/>
        <w:widowControl/>
      </w:pPr>
      <w:r w:rsidRPr="002107C9">
        <w:t>Source: Tables 103 &amp; 112, pp 234 &amp; 241 of the resubmission.</w:t>
      </w:r>
    </w:p>
    <w:p w:rsidR="002F5B31" w:rsidRPr="00BB3215" w:rsidRDefault="002F5B31" w:rsidP="00025B3F">
      <w:pPr>
        <w:widowControl/>
      </w:pPr>
    </w:p>
    <w:p w:rsidR="00374095" w:rsidRDefault="00374095" w:rsidP="00374095">
      <w:pPr>
        <w:keepNext/>
        <w:widowControl/>
      </w:pPr>
      <w:r>
        <w:t xml:space="preserve">The redacted table shows that at Year 6, the estimated number of patients was less than 10,000. </w:t>
      </w:r>
    </w:p>
    <w:p w:rsidR="00374095" w:rsidRPr="00374095" w:rsidRDefault="00374095" w:rsidP="00374095">
      <w:pPr>
        <w:keepNext/>
        <w:widowControl/>
      </w:pPr>
    </w:p>
    <w:p w:rsidR="002F5B31" w:rsidRPr="00EF5B8F" w:rsidRDefault="00CF40EB" w:rsidP="00A84C29">
      <w:pPr>
        <w:pStyle w:val="ListParagraph"/>
        <w:keepNext/>
        <w:widowControl/>
        <w:numPr>
          <w:ilvl w:val="1"/>
          <w:numId w:val="5"/>
        </w:numPr>
      </w:pPr>
      <w:r w:rsidRPr="00EF5B8F">
        <w:rPr>
          <w:iCs/>
        </w:rPr>
        <w:t xml:space="preserve">The following key assumptions </w:t>
      </w:r>
      <w:r w:rsidR="00EC5E66" w:rsidRPr="00EF5B8F">
        <w:rPr>
          <w:iCs/>
        </w:rPr>
        <w:t>were not changed from the initial submission</w:t>
      </w:r>
      <w:r w:rsidR="00941545" w:rsidRPr="00EF5B8F">
        <w:rPr>
          <w:iCs/>
        </w:rPr>
        <w:t>:</w:t>
      </w:r>
    </w:p>
    <w:p w:rsidR="002F5B31" w:rsidRPr="005751C6" w:rsidRDefault="002F5B31" w:rsidP="00025B3F">
      <w:pPr>
        <w:pStyle w:val="ListParagraph"/>
        <w:widowControl/>
        <w:numPr>
          <w:ilvl w:val="0"/>
          <w:numId w:val="1"/>
        </w:numPr>
        <w:ind w:left="720"/>
      </w:pPr>
      <w:r w:rsidRPr="00EF5B8F">
        <w:rPr>
          <w:iCs/>
        </w:rPr>
        <w:t xml:space="preserve">The number of patients eligible for treatment is likely overestimated. </w:t>
      </w:r>
      <w:r w:rsidRPr="00EF5B8F">
        <w:t>The resubmission includes the number of patients who initiated trastuzumab in 2018</w:t>
      </w:r>
      <w:r w:rsidRPr="005751C6">
        <w:t xml:space="preserve"> and data from published literature to estimate the number of eligible incident and prevalent patients. The DUSC previously considered this method </w:t>
      </w:r>
      <w:r w:rsidR="00D84F0E" w:rsidRPr="005751C6">
        <w:t xml:space="preserve">was </w:t>
      </w:r>
      <w:r w:rsidRPr="005751C6">
        <w:t>likely to overestimate the number of patients electing treatment with neratinib (</w:t>
      </w:r>
      <w:r w:rsidR="00AE687F">
        <w:t>paragraph 6.65, n</w:t>
      </w:r>
      <w:r w:rsidR="00056FD9" w:rsidRPr="005751C6">
        <w:t>eratinib PSD, March 2019</w:t>
      </w:r>
      <w:r w:rsidRPr="005751C6">
        <w:t xml:space="preserve">). </w:t>
      </w:r>
      <w:r w:rsidRPr="005751C6">
        <w:rPr>
          <w:iCs/>
        </w:rPr>
        <w:t>This issue was not addressed in the resubmission.</w:t>
      </w:r>
    </w:p>
    <w:p w:rsidR="002F5B31" w:rsidRPr="005751C6" w:rsidRDefault="002F5B31" w:rsidP="00025B3F">
      <w:pPr>
        <w:pStyle w:val="ListParagraph"/>
        <w:widowControl/>
        <w:numPr>
          <w:ilvl w:val="0"/>
          <w:numId w:val="1"/>
        </w:numPr>
        <w:ind w:left="720"/>
        <w:rPr>
          <w:iCs/>
        </w:rPr>
      </w:pPr>
      <w:r w:rsidRPr="005751C6">
        <w:rPr>
          <w:iCs/>
        </w:rPr>
        <w:t xml:space="preserve">The number of patients electing treatment is likely </w:t>
      </w:r>
      <w:r w:rsidR="00D84F0E" w:rsidRPr="005751C6">
        <w:rPr>
          <w:iCs/>
        </w:rPr>
        <w:t xml:space="preserve">to be </w:t>
      </w:r>
      <w:r w:rsidRPr="005751C6">
        <w:rPr>
          <w:iCs/>
        </w:rPr>
        <w:t>overestimated.</w:t>
      </w:r>
      <w:r w:rsidRPr="005751C6">
        <w:t xml:space="preserve"> The resubmission assumed an uptake rate of 60% in Year 1 (2020) increasing to 80% in Year 3 and beyond. DUSC previously considered the uptake rate would be 60% across </w:t>
      </w:r>
      <w:r w:rsidRPr="005751C6">
        <w:lastRenderedPageBreak/>
        <w:t>all estimate years (</w:t>
      </w:r>
      <w:r w:rsidR="005A36B4" w:rsidRPr="005751C6">
        <w:t>para</w:t>
      </w:r>
      <w:r w:rsidR="001A4674">
        <w:t>graph</w:t>
      </w:r>
      <w:r w:rsidR="005A36B4" w:rsidRPr="005751C6">
        <w:t xml:space="preserve"> 6.66, </w:t>
      </w:r>
      <w:r w:rsidR="001A4674">
        <w:t xml:space="preserve">neratinib </w:t>
      </w:r>
      <w:r w:rsidR="001A4674" w:rsidRPr="005751C6">
        <w:t>PSD,</w:t>
      </w:r>
      <w:r w:rsidR="001A4674">
        <w:t xml:space="preserve"> March 2019</w:t>
      </w:r>
      <w:r w:rsidRPr="005751C6">
        <w:t xml:space="preserve">). </w:t>
      </w:r>
      <w:r w:rsidRPr="005751C6">
        <w:rPr>
          <w:iCs/>
        </w:rPr>
        <w:t>This issue was not addressed in the resubmission</w:t>
      </w:r>
      <w:r w:rsidR="00D84F0E" w:rsidRPr="005751C6">
        <w:rPr>
          <w:iCs/>
        </w:rPr>
        <w:t>.</w:t>
      </w:r>
    </w:p>
    <w:p w:rsidR="002F5B31" w:rsidRPr="005751C6" w:rsidRDefault="002F5B31" w:rsidP="00A84C29">
      <w:pPr>
        <w:pStyle w:val="ListParagraph"/>
        <w:keepNext/>
        <w:widowControl/>
        <w:numPr>
          <w:ilvl w:val="1"/>
          <w:numId w:val="5"/>
        </w:numPr>
      </w:pPr>
      <w:r w:rsidRPr="005751C6">
        <w:rPr>
          <w:iCs/>
        </w:rPr>
        <w:t>The resubmission estimated the number of neratinib prescriptions using a weighted average treatment course per patient of 8.58 prescriptions This is not</w:t>
      </w:r>
      <w:r w:rsidRPr="005751C6">
        <w:t xml:space="preserve"> consistent with the economic model, which applies a mean treatment duration of 8.1 months and relative dose intensity of 88%, equivalent to 7.10 prescriptions. </w:t>
      </w:r>
    </w:p>
    <w:p w:rsidR="002F5B31" w:rsidRPr="00EF5B8F" w:rsidRDefault="002F5B31" w:rsidP="00A84C29">
      <w:pPr>
        <w:pStyle w:val="ListParagraph"/>
        <w:keepNext/>
        <w:widowControl/>
        <w:numPr>
          <w:ilvl w:val="1"/>
          <w:numId w:val="5"/>
        </w:numPr>
        <w:rPr>
          <w:iCs/>
        </w:rPr>
      </w:pPr>
      <w:r w:rsidRPr="005751C6">
        <w:rPr>
          <w:iCs/>
        </w:rPr>
        <w:t>The resubmission did not consider an alternative scenario in which the near</w:t>
      </w:r>
      <w:r w:rsidR="00D1105E">
        <w:rPr>
          <w:iCs/>
        </w:rPr>
        <w:t xml:space="preserve"> market</w:t>
      </w:r>
      <w:r w:rsidRPr="005751C6">
        <w:rPr>
          <w:iCs/>
        </w:rPr>
        <w:t xml:space="preserve"> comparators pertuzumab and T-DM1 </w:t>
      </w:r>
      <w:r w:rsidRPr="00EF5B8F">
        <w:rPr>
          <w:iCs/>
        </w:rPr>
        <w:t xml:space="preserve">were listed prior to or in parallel with neratinib. </w:t>
      </w:r>
      <w:r w:rsidRPr="00EF5B8F">
        <w:t xml:space="preserve">DUSC </w:t>
      </w:r>
      <w:r w:rsidR="00AC13C2">
        <w:t xml:space="preserve">previously </w:t>
      </w:r>
      <w:r w:rsidRPr="00EF5B8F">
        <w:t>considered that there is evidence that the near market competitor T-DM1 in the post-neoadjuvant setting is more effective than neratinib and that if T-DM1 is listed on the PBS for this indication the uptake of neratinib would be greatly reduced (</w:t>
      </w:r>
      <w:r w:rsidR="0069021E" w:rsidRPr="00EF5B8F">
        <w:t>para</w:t>
      </w:r>
      <w:r w:rsidR="0069021E">
        <w:t>graph</w:t>
      </w:r>
      <w:r w:rsidR="0069021E" w:rsidRPr="00EF5B8F">
        <w:t xml:space="preserve"> 6.68</w:t>
      </w:r>
      <w:r w:rsidR="0069021E">
        <w:t xml:space="preserve"> </w:t>
      </w:r>
      <w:r w:rsidR="001A4674">
        <w:t>n</w:t>
      </w:r>
      <w:r w:rsidR="008C23DC" w:rsidRPr="00EF5B8F">
        <w:t>eratinib PSD, March 2019</w:t>
      </w:r>
      <w:r w:rsidRPr="00EF5B8F">
        <w:t xml:space="preserve">). </w:t>
      </w:r>
      <w:r w:rsidRPr="00EF5B8F">
        <w:rPr>
          <w:iCs/>
        </w:rPr>
        <w:t>The uptake of neratinib in this scenario is uncertain.</w:t>
      </w:r>
      <w:r w:rsidR="007B389A" w:rsidRPr="00EF5B8F">
        <w:t xml:space="preserve"> </w:t>
      </w:r>
      <w:r w:rsidR="006B0C1E" w:rsidRPr="00EF5B8F">
        <w:t>T</w:t>
      </w:r>
      <w:r w:rsidR="00056FD9" w:rsidRPr="00EF5B8F">
        <w:t>he PSCR provided an updated financial model to account for the possible listing of T-DM1 on the PBS, however the ESC noted that the updated financial model contained errors</w:t>
      </w:r>
      <w:r w:rsidR="00884766" w:rsidRPr="00EF5B8F">
        <w:t xml:space="preserve"> that overestimated the number of patients receiving trastuzumab for eBC and overestimated the cost offsets associated with modelled costs. </w:t>
      </w:r>
    </w:p>
    <w:p w:rsidR="002F5B31" w:rsidRPr="00EF5B8F" w:rsidRDefault="002F5B31" w:rsidP="00A84C29">
      <w:pPr>
        <w:pStyle w:val="ListParagraph"/>
        <w:keepNext/>
        <w:widowControl/>
        <w:numPr>
          <w:ilvl w:val="1"/>
          <w:numId w:val="5"/>
        </w:numPr>
        <w:rPr>
          <w:iCs/>
        </w:rPr>
      </w:pPr>
      <w:r w:rsidRPr="00EF5B8F">
        <w:rPr>
          <w:iCs/>
        </w:rPr>
        <w:t>The total cost offset due to ‘modelled costs’ derived from the economic evaluation over six years is $</w:t>
      </w:r>
      <w:r w:rsidR="008245E2">
        <w:rPr>
          <w:iCs/>
        </w:rPr>
        <w:t>60 - $100</w:t>
      </w:r>
      <w:r w:rsidRPr="00EF5B8F">
        <w:rPr>
          <w:iCs/>
        </w:rPr>
        <w:t xml:space="preserve"> million. </w:t>
      </w:r>
      <w:r w:rsidR="00AF6624" w:rsidRPr="00EF5B8F">
        <w:rPr>
          <w:iCs/>
        </w:rPr>
        <w:t>The ESC noted the offsets used in the model were uncertain</w:t>
      </w:r>
      <w:r w:rsidR="0045628B" w:rsidRPr="00EF5B8F">
        <w:rPr>
          <w:iCs/>
        </w:rPr>
        <w:t xml:space="preserve"> given the model issues discussed above</w:t>
      </w:r>
      <w:r w:rsidR="00AF6624" w:rsidRPr="00EF5B8F">
        <w:rPr>
          <w:iCs/>
        </w:rPr>
        <w:t xml:space="preserve"> and therefore introduce</w:t>
      </w:r>
      <w:r w:rsidR="00AE32CC" w:rsidRPr="00EF5B8F">
        <w:rPr>
          <w:iCs/>
        </w:rPr>
        <w:t>d</w:t>
      </w:r>
      <w:r w:rsidR="00AF6624" w:rsidRPr="00EF5B8F">
        <w:rPr>
          <w:iCs/>
        </w:rPr>
        <w:t xml:space="preserve"> </w:t>
      </w:r>
      <w:r w:rsidR="00AE32CC" w:rsidRPr="00EF5B8F">
        <w:rPr>
          <w:iCs/>
        </w:rPr>
        <w:t xml:space="preserve">additional </w:t>
      </w:r>
      <w:r w:rsidR="00AF6624" w:rsidRPr="00EF5B8F">
        <w:rPr>
          <w:iCs/>
        </w:rPr>
        <w:t>uncertaint</w:t>
      </w:r>
      <w:r w:rsidR="00AE32CC" w:rsidRPr="00EF5B8F">
        <w:rPr>
          <w:iCs/>
        </w:rPr>
        <w:t>ies</w:t>
      </w:r>
      <w:r w:rsidR="00AF6624" w:rsidRPr="00EF5B8F">
        <w:rPr>
          <w:iCs/>
        </w:rPr>
        <w:t xml:space="preserve"> </w:t>
      </w:r>
      <w:r w:rsidR="00AE32CC" w:rsidRPr="00EF5B8F">
        <w:rPr>
          <w:iCs/>
        </w:rPr>
        <w:t xml:space="preserve">to </w:t>
      </w:r>
      <w:r w:rsidR="00AF6624" w:rsidRPr="00EF5B8F">
        <w:rPr>
          <w:iCs/>
        </w:rPr>
        <w:t>the financial</w:t>
      </w:r>
      <w:r w:rsidR="009957A1" w:rsidRPr="00EF5B8F">
        <w:rPr>
          <w:iCs/>
        </w:rPr>
        <w:t xml:space="preserve"> estimates</w:t>
      </w:r>
      <w:r w:rsidR="00AF6624" w:rsidRPr="00EF5B8F">
        <w:rPr>
          <w:iCs/>
        </w:rPr>
        <w:t>.</w:t>
      </w:r>
      <w:r w:rsidR="009957A1" w:rsidRPr="00EF5B8F">
        <w:rPr>
          <w:iCs/>
        </w:rPr>
        <w:t xml:space="preserve"> </w:t>
      </w:r>
      <w:r w:rsidR="00B66E33" w:rsidRPr="00EF5B8F">
        <w:rPr>
          <w:iCs/>
        </w:rPr>
        <w:t xml:space="preserve">Additionally, </w:t>
      </w:r>
      <w:r w:rsidR="00993B8E" w:rsidRPr="00EF5B8F">
        <w:rPr>
          <w:iCs/>
        </w:rPr>
        <w:t>c</w:t>
      </w:r>
      <w:r w:rsidRPr="00EF5B8F">
        <w:rPr>
          <w:iCs/>
        </w:rPr>
        <w:t xml:space="preserve">hanges in use and financial impact of individual treatments for adverse events (other than loperamide), endocrine treatments and subsequent treatments for local and distant/metastatic recurrence were not presented and could not be verified. Changes in units and costs of affected MBS items are not presented and could not be verified. </w:t>
      </w:r>
    </w:p>
    <w:p w:rsidR="002F5B31" w:rsidRPr="005751C6" w:rsidRDefault="00B70076" w:rsidP="00A84C29">
      <w:pPr>
        <w:pStyle w:val="ListParagraph"/>
        <w:widowControl/>
        <w:numPr>
          <w:ilvl w:val="1"/>
          <w:numId w:val="5"/>
        </w:numPr>
      </w:pPr>
      <w:r w:rsidRPr="00EF5B8F">
        <w:t xml:space="preserve">The ESC considered </w:t>
      </w:r>
      <w:r w:rsidRPr="00EF5B8F">
        <w:rPr>
          <w:iCs/>
        </w:rPr>
        <w:t>t</w:t>
      </w:r>
      <w:r w:rsidR="002F5B31" w:rsidRPr="00EF5B8F">
        <w:rPr>
          <w:iCs/>
        </w:rPr>
        <w:t xml:space="preserve">he resubmission did not adequately address the PBAC’s concerns </w:t>
      </w:r>
      <w:r w:rsidR="00AF71C8" w:rsidRPr="00EF5B8F">
        <w:rPr>
          <w:iCs/>
        </w:rPr>
        <w:t xml:space="preserve">raised in the original submission </w:t>
      </w:r>
      <w:r w:rsidR="002F5B31" w:rsidRPr="00EF5B8F">
        <w:rPr>
          <w:iCs/>
        </w:rPr>
        <w:t>regarding market size, uptake rate and the change</w:t>
      </w:r>
      <w:r w:rsidR="002F5B31" w:rsidRPr="005751C6">
        <w:rPr>
          <w:iCs/>
        </w:rPr>
        <w:t xml:space="preserve"> in approach to treating high risk HER2+ patients.</w:t>
      </w:r>
    </w:p>
    <w:p w:rsidR="004B4968" w:rsidRPr="00BB3215" w:rsidRDefault="004B4968" w:rsidP="00025B3F">
      <w:pPr>
        <w:widowControl/>
        <w:rPr>
          <w:i/>
          <w:iCs/>
        </w:rPr>
      </w:pPr>
    </w:p>
    <w:p w:rsidR="004B4968" w:rsidRPr="00BB3215" w:rsidRDefault="004B4968" w:rsidP="00025B3F">
      <w:pPr>
        <w:pStyle w:val="Heading2"/>
        <w:widowControl/>
      </w:pPr>
      <w:bookmarkStart w:id="22" w:name="_Toc18935816"/>
      <w:r w:rsidRPr="00BB3215">
        <w:t>Quality Use of Medicines</w:t>
      </w:r>
      <w:bookmarkEnd w:id="22"/>
    </w:p>
    <w:p w:rsidR="004B4968" w:rsidRPr="00BB3215" w:rsidRDefault="004B4968" w:rsidP="00025B3F">
      <w:pPr>
        <w:widowControl/>
      </w:pPr>
    </w:p>
    <w:p w:rsidR="00D3063B" w:rsidRPr="005751C6" w:rsidRDefault="00D3063B" w:rsidP="00A84C29">
      <w:pPr>
        <w:pStyle w:val="ListParagraph"/>
        <w:widowControl/>
        <w:numPr>
          <w:ilvl w:val="1"/>
          <w:numId w:val="5"/>
        </w:numPr>
      </w:pPr>
      <w:r w:rsidRPr="005751C6">
        <w:t xml:space="preserve">The resubmission provided details from the European Union Risk Management Plan (EU RMP) and the Australian Specific Annex (ASA). </w:t>
      </w:r>
      <w:r w:rsidRPr="005751C6">
        <w:rPr>
          <w:iCs/>
        </w:rPr>
        <w:t>The EU RMP and ASA have been updated since the original submission.</w:t>
      </w:r>
      <w:r w:rsidRPr="005751C6">
        <w:t xml:space="preserve"> Neratinib was registered by the TGA on 15 March 2019, subject to conditions described in the EU RMP and ASA. </w:t>
      </w:r>
      <w:r w:rsidRPr="005751C6">
        <w:rPr>
          <w:iCs/>
        </w:rPr>
        <w:t>The updated documents were not provided in the resubmission.</w:t>
      </w:r>
      <w:r w:rsidRPr="005751C6">
        <w:t xml:space="preserve"> </w:t>
      </w:r>
    </w:p>
    <w:p w:rsidR="00D3063B" w:rsidRPr="005751C6" w:rsidRDefault="00D3063B" w:rsidP="00A84C29">
      <w:pPr>
        <w:pStyle w:val="ListParagraph"/>
        <w:widowControl/>
        <w:numPr>
          <w:ilvl w:val="1"/>
          <w:numId w:val="5"/>
        </w:numPr>
      </w:pPr>
      <w:r w:rsidRPr="005751C6">
        <w:t xml:space="preserve">The resubmission describes additional risk-minimisation activities to be undertaken in Australia, including the development and distribution of physician education material and patient information booklets. The materials will be distributed in-person to oncologists, provided as electronic or hard copy upon request by patients and HCPs, </w:t>
      </w:r>
      <w:r w:rsidRPr="005751C6">
        <w:lastRenderedPageBreak/>
        <w:t xml:space="preserve">and available to HCPs on the sponsor's website. </w:t>
      </w:r>
      <w:r w:rsidR="00C535B8">
        <w:rPr>
          <w:iCs/>
        </w:rPr>
        <w:t>The pre-PBAC response noted that the sponsor is committed to maintaining the existing patient support program, which involves intensive weekly calls for the first 5 weeks to mitigate any potential adverse events, followed by monthly calls for the remainder of treatment.</w:t>
      </w:r>
    </w:p>
    <w:p w:rsidR="00D3063B" w:rsidRPr="005751C6" w:rsidRDefault="00D3063B" w:rsidP="00A84C29">
      <w:pPr>
        <w:pStyle w:val="ListParagraph"/>
        <w:widowControl/>
        <w:numPr>
          <w:ilvl w:val="1"/>
          <w:numId w:val="5"/>
        </w:numPr>
      </w:pPr>
      <w:r w:rsidRPr="005751C6">
        <w:t xml:space="preserve">No post-marketing surveillance studies were proposed by the resubmission. </w:t>
      </w:r>
      <w:r w:rsidRPr="005751C6">
        <w:rPr>
          <w:iCs/>
        </w:rPr>
        <w:t>This is unchanged from the original submission. Considering neratinib use is associated with high rates of diarrhoea, a surveillance program monitoring the regimens and management of diarrhoea should have been included.</w:t>
      </w:r>
    </w:p>
    <w:p w:rsidR="004B4968" w:rsidRPr="00BB3215" w:rsidRDefault="004B4968" w:rsidP="00025B3F">
      <w:pPr>
        <w:widowControl/>
      </w:pPr>
    </w:p>
    <w:p w:rsidR="004B4968" w:rsidRPr="00BB3215" w:rsidRDefault="004B4968" w:rsidP="00025B3F">
      <w:pPr>
        <w:pStyle w:val="Heading2"/>
        <w:keepNext/>
        <w:widowControl/>
      </w:pPr>
      <w:bookmarkStart w:id="23" w:name="_Toc18935817"/>
      <w:r w:rsidRPr="00BB3215">
        <w:t>Financial Management – Risk Sharing Arrangements</w:t>
      </w:r>
      <w:bookmarkEnd w:id="23"/>
    </w:p>
    <w:p w:rsidR="0053564E" w:rsidRPr="00BB3215" w:rsidRDefault="0053564E" w:rsidP="00025B3F">
      <w:pPr>
        <w:keepNext/>
        <w:widowControl/>
      </w:pPr>
    </w:p>
    <w:p w:rsidR="00D3063B" w:rsidRPr="00EF5B8F" w:rsidRDefault="00D3063B" w:rsidP="00A84C29">
      <w:pPr>
        <w:pStyle w:val="ListParagraph"/>
        <w:keepNext/>
        <w:widowControl/>
        <w:numPr>
          <w:ilvl w:val="1"/>
          <w:numId w:val="5"/>
        </w:numPr>
        <w:rPr>
          <w:iCs/>
        </w:rPr>
      </w:pPr>
      <w:bookmarkStart w:id="24" w:name="_Hlk18930235"/>
      <w:r w:rsidRPr="00EF5B8F">
        <w:t xml:space="preserve">The resubmission proposed an in-principle risk-sharing arrangement </w:t>
      </w:r>
      <w:r w:rsidR="003A740D" w:rsidRPr="00EF5B8F">
        <w:t xml:space="preserve">(RSA) </w:t>
      </w:r>
      <w:r w:rsidRPr="00EF5B8F">
        <w:t xml:space="preserve">whereby a rebate of </w:t>
      </w:r>
      <w:r w:rsidR="00152B62">
        <w:rPr>
          <w:noProof/>
          <w:color w:val="000000"/>
          <w:highlight w:val="black"/>
        </w:rPr>
        <w:t>'''''</w:t>
      </w:r>
      <w:r w:rsidRPr="00EF5B8F">
        <w:t xml:space="preserve">% of the cost of neratinib would be paid for any usage beyond the eligible patient population (100% uptake). </w:t>
      </w:r>
      <w:r w:rsidRPr="00EF5B8F">
        <w:rPr>
          <w:iCs/>
        </w:rPr>
        <w:t>This is unchanged from the original submission.</w:t>
      </w:r>
      <w:r w:rsidRPr="00EF5B8F">
        <w:t xml:space="preserve"> The DUSC and ESC previously noted that the RSA proposed in the submission was for </w:t>
      </w:r>
      <w:r w:rsidR="00152B62">
        <w:rPr>
          <w:noProof/>
          <w:color w:val="000000"/>
          <w:highlight w:val="black"/>
        </w:rPr>
        <w:t>''''''</w:t>
      </w:r>
      <w:r w:rsidRPr="00EF5B8F">
        <w:t xml:space="preserve">% rebate above the eligible population rather than the estimated population. The ESC </w:t>
      </w:r>
      <w:r w:rsidR="00997D69" w:rsidRPr="00EF5B8F">
        <w:t xml:space="preserve">maintained </w:t>
      </w:r>
      <w:r w:rsidRPr="00EF5B8F">
        <w:t xml:space="preserve">that this would </w:t>
      </w:r>
      <w:r w:rsidR="00997D69" w:rsidRPr="00EF5B8F">
        <w:t>not provide certainty in terms of the financial impact of listing neratinib</w:t>
      </w:r>
      <w:r w:rsidRPr="00EF5B8F">
        <w:t xml:space="preserve"> </w:t>
      </w:r>
      <w:r w:rsidR="00997D69" w:rsidRPr="00EF5B8F">
        <w:rPr>
          <w:rFonts w:asciiTheme="minorHAnsi" w:hAnsiTheme="minorHAnsi" w:cstheme="minorHAnsi"/>
          <w:iCs/>
          <w:szCs w:val="24"/>
        </w:rPr>
        <w:t>given the estimated patient numbers in the resubmission were uncertain</w:t>
      </w:r>
      <w:r w:rsidR="00997D69" w:rsidRPr="00EF5B8F">
        <w:t xml:space="preserve"> </w:t>
      </w:r>
      <w:r w:rsidRPr="00EF5B8F">
        <w:t>(</w:t>
      </w:r>
      <w:r w:rsidR="00AE687F">
        <w:t>paragraph 6.71, n</w:t>
      </w:r>
      <w:r w:rsidRPr="00EF5B8F">
        <w:t xml:space="preserve">eratinib PSD, March 2019). </w:t>
      </w:r>
      <w:r w:rsidRPr="00EF5B8F">
        <w:rPr>
          <w:iCs/>
        </w:rPr>
        <w:t>The resubmission did not address this issue.</w:t>
      </w:r>
      <w:r w:rsidR="00953401" w:rsidRPr="00EF5B8F">
        <w:rPr>
          <w:iCs/>
        </w:rPr>
        <w:t xml:space="preserve"> </w:t>
      </w:r>
      <w:r w:rsidR="00997D69" w:rsidRPr="00EF5B8F">
        <w:rPr>
          <w:rFonts w:asciiTheme="minorHAnsi" w:hAnsiTheme="minorHAnsi" w:cstheme="minorHAnsi"/>
          <w:iCs/>
          <w:szCs w:val="24"/>
        </w:rPr>
        <w:t xml:space="preserve">The ESC considered an RSA with a 100% rebate above agreed caps may mitigate uncertainties around patient numbers and uptake, however this would still require that the clinical place and cost-effectiveness of neratinib be established. </w:t>
      </w:r>
    </w:p>
    <w:bookmarkEnd w:id="24"/>
    <w:p w:rsidR="00A84C29" w:rsidRDefault="00961918" w:rsidP="00961918">
      <w:pPr>
        <w:pStyle w:val="ListParagraph"/>
        <w:widowControl/>
        <w:jc w:val="left"/>
        <w:rPr>
          <w:rFonts w:asciiTheme="minorHAnsi" w:hAnsiTheme="minorHAnsi"/>
          <w:i/>
        </w:rPr>
      </w:pPr>
      <w:r w:rsidRPr="00525B39">
        <w:rPr>
          <w:rFonts w:asciiTheme="minorHAnsi" w:hAnsiTheme="minorHAnsi"/>
          <w:i/>
        </w:rPr>
        <w:t>For more detail on PBAC’s view, see section 7 PBAC outcome.</w:t>
      </w:r>
    </w:p>
    <w:p w:rsidR="00A84C29" w:rsidRPr="008472BF" w:rsidRDefault="00A84C29" w:rsidP="008472BF">
      <w:pPr>
        <w:pStyle w:val="PBACHeading1"/>
        <w:keepNext/>
        <w:numPr>
          <w:ilvl w:val="0"/>
          <w:numId w:val="5"/>
        </w:numPr>
        <w:spacing w:before="240" w:after="120"/>
        <w:outlineLvl w:val="0"/>
      </w:pPr>
      <w:r w:rsidRPr="008472BF">
        <w:t>PBAC Outcome</w:t>
      </w:r>
    </w:p>
    <w:p w:rsidR="00A84C29" w:rsidRPr="008D6FD5" w:rsidRDefault="00A84C29" w:rsidP="00626A01">
      <w:pPr>
        <w:numPr>
          <w:ilvl w:val="1"/>
          <w:numId w:val="5"/>
        </w:numPr>
        <w:spacing w:after="120"/>
        <w:rPr>
          <w:rFonts w:asciiTheme="minorHAnsi" w:hAnsiTheme="minorHAnsi"/>
          <w:bCs/>
          <w:lang w:val="en-GB"/>
        </w:rPr>
      </w:pPr>
      <w:r w:rsidRPr="0044401F">
        <w:rPr>
          <w:rFonts w:asciiTheme="minorHAnsi" w:hAnsiTheme="minorHAnsi"/>
          <w:bCs/>
          <w:lang w:val="en-GB"/>
        </w:rPr>
        <w:t xml:space="preserve">The </w:t>
      </w:r>
      <w:r w:rsidRPr="008746E9">
        <w:rPr>
          <w:rFonts w:asciiTheme="minorHAnsi" w:hAnsiTheme="minorHAnsi"/>
          <w:bCs/>
          <w:lang w:val="en-GB"/>
        </w:rPr>
        <w:t>PBAC did not recommend</w:t>
      </w:r>
      <w:r w:rsidR="00DC4A7C">
        <w:rPr>
          <w:rFonts w:asciiTheme="minorHAnsi" w:hAnsiTheme="minorHAnsi"/>
          <w:bCs/>
          <w:lang w:val="en-GB"/>
        </w:rPr>
        <w:t xml:space="preserve"> </w:t>
      </w:r>
      <w:r w:rsidR="001339F7">
        <w:t>the</w:t>
      </w:r>
      <w:r w:rsidR="00DC4A7C" w:rsidRPr="00BB3215">
        <w:t xml:space="preserve"> listing </w:t>
      </w:r>
      <w:r w:rsidR="001339F7">
        <w:t>o</w:t>
      </w:r>
      <w:r w:rsidR="00DC4A7C" w:rsidRPr="00BB3215">
        <w:t xml:space="preserve">f neratinib for </w:t>
      </w:r>
      <w:r w:rsidR="00A60483">
        <w:t xml:space="preserve">extended adjuvant </w:t>
      </w:r>
      <w:r w:rsidR="00DC4A7C" w:rsidRPr="00BB3215">
        <w:t>treatment of adult patients with HER2+, HR+</w:t>
      </w:r>
      <w:r w:rsidR="00D672E0">
        <w:t xml:space="preserve"> </w:t>
      </w:r>
      <w:r w:rsidR="00DC4A7C" w:rsidRPr="00BB3215">
        <w:t>eBC who have completed prior adjuvant trastuzumab</w:t>
      </w:r>
      <w:r w:rsidR="00DC4A7C">
        <w:t>-</w:t>
      </w:r>
      <w:r w:rsidR="00DC4A7C" w:rsidRPr="00BB3215">
        <w:t>based therapy within the past 12 months.</w:t>
      </w:r>
      <w:r w:rsidR="00600932" w:rsidRPr="00600932">
        <w:t xml:space="preserve"> The PBAC considered </w:t>
      </w:r>
      <w:r w:rsidR="00626A01">
        <w:t>that</w:t>
      </w:r>
      <w:r w:rsidR="00626A01" w:rsidRPr="00600932">
        <w:t xml:space="preserve"> </w:t>
      </w:r>
      <w:r w:rsidR="00600932" w:rsidRPr="00600932">
        <w:t>the clinical place of neratinib was reduced to a limited</w:t>
      </w:r>
      <w:r w:rsidR="00B922A5">
        <w:t xml:space="preserve"> and diminishing</w:t>
      </w:r>
      <w:r w:rsidR="00600932" w:rsidRPr="00600932">
        <w:t xml:space="preserve"> </w:t>
      </w:r>
      <w:r w:rsidR="009B62AD" w:rsidRPr="00600932">
        <w:t>population</w:t>
      </w:r>
      <w:r w:rsidR="00604417">
        <w:t>,</w:t>
      </w:r>
      <w:r w:rsidR="00054826" w:rsidRPr="00054826">
        <w:t xml:space="preserve"> </w:t>
      </w:r>
      <w:r w:rsidR="00054826" w:rsidRPr="00B97C1F">
        <w:t>given</w:t>
      </w:r>
      <w:r w:rsidR="00054826" w:rsidRPr="00600932">
        <w:t xml:space="preserve"> the changing landscape for the treatment of </w:t>
      </w:r>
      <w:r w:rsidR="00447A45">
        <w:t xml:space="preserve">HER2+ </w:t>
      </w:r>
      <w:r w:rsidR="00054826">
        <w:t>eBC</w:t>
      </w:r>
      <w:r w:rsidR="00600932" w:rsidRPr="00600932">
        <w:t xml:space="preserve">. </w:t>
      </w:r>
      <w:r w:rsidR="00626A01">
        <w:t xml:space="preserve">The PBAC noted that </w:t>
      </w:r>
      <w:r w:rsidR="00604417">
        <w:t xml:space="preserve">the resubmission had provided </w:t>
      </w:r>
      <w:r w:rsidR="00626A01" w:rsidRPr="00626A01">
        <w:t xml:space="preserve">limited </w:t>
      </w:r>
      <w:r w:rsidR="00604417">
        <w:t>or no evidence</w:t>
      </w:r>
      <w:r w:rsidR="00626A01">
        <w:t xml:space="preserve"> for </w:t>
      </w:r>
      <w:r w:rsidR="00626A01" w:rsidRPr="00626A01">
        <w:t xml:space="preserve">some </w:t>
      </w:r>
      <w:r w:rsidR="00626A01">
        <w:t>patient groups. F</w:t>
      </w:r>
      <w:r w:rsidR="00626A01" w:rsidRPr="00626A01">
        <w:t xml:space="preserve">or </w:t>
      </w:r>
      <w:r w:rsidR="00626A01">
        <w:t xml:space="preserve">the </w:t>
      </w:r>
      <w:r w:rsidR="00626A01" w:rsidRPr="00626A01">
        <w:t xml:space="preserve">remaining </w:t>
      </w:r>
      <w:r w:rsidR="00626A01">
        <w:t>relevant patient groups</w:t>
      </w:r>
      <w:r w:rsidR="00626A01" w:rsidRPr="00626A01">
        <w:t xml:space="preserve"> </w:t>
      </w:r>
      <w:r w:rsidR="00626A01">
        <w:t>where</w:t>
      </w:r>
      <w:r w:rsidR="00626A01" w:rsidRPr="00626A01">
        <w:t xml:space="preserve"> evidence</w:t>
      </w:r>
      <w:r w:rsidR="00626A01">
        <w:t xml:space="preserve"> was presented, the PBAC considered that the benefit of neratinib was likely to be </w:t>
      </w:r>
      <w:r w:rsidR="00626A01" w:rsidRPr="00626A01">
        <w:t>small</w:t>
      </w:r>
      <w:r w:rsidR="00D93B0A">
        <w:t>,</w:t>
      </w:r>
      <w:r w:rsidR="00626A01" w:rsidRPr="00626A01">
        <w:t xml:space="preserve"> </w:t>
      </w:r>
      <w:r w:rsidR="00626A01">
        <w:t xml:space="preserve">and the economic model had not provided a reliable </w:t>
      </w:r>
      <w:r w:rsidR="00604417">
        <w:t>basis f</w:t>
      </w:r>
      <w:r w:rsidR="00626A01">
        <w:t>o</w:t>
      </w:r>
      <w:r w:rsidR="00604417">
        <w:t>r</w:t>
      </w:r>
      <w:r w:rsidR="00626A01">
        <w:t xml:space="preserve"> estimat</w:t>
      </w:r>
      <w:r w:rsidR="00604417">
        <w:t>ing</w:t>
      </w:r>
      <w:r w:rsidR="00626A01">
        <w:t xml:space="preserve"> the cost-effectiveness</w:t>
      </w:r>
      <w:r w:rsidR="00054826">
        <w:t xml:space="preserve"> of neratinib </w:t>
      </w:r>
      <w:r w:rsidR="00626A01">
        <w:t>in these p</w:t>
      </w:r>
      <w:r w:rsidR="00054826">
        <w:t>atient</w:t>
      </w:r>
      <w:r w:rsidR="00626A01">
        <w:t>s.</w:t>
      </w:r>
    </w:p>
    <w:p w:rsidR="00966A51" w:rsidRPr="00BE23C5" w:rsidRDefault="00966A51" w:rsidP="009A28F9">
      <w:pPr>
        <w:numPr>
          <w:ilvl w:val="1"/>
          <w:numId w:val="5"/>
        </w:numPr>
        <w:spacing w:after="120"/>
      </w:pPr>
      <w:r w:rsidRPr="008625B7">
        <w:rPr>
          <w:rFonts w:asciiTheme="minorHAnsi" w:hAnsiTheme="minorHAnsi"/>
          <w:bCs/>
          <w:lang w:val="en-GB"/>
        </w:rPr>
        <w:t>The</w:t>
      </w:r>
      <w:r w:rsidRPr="00BE23C5">
        <w:t xml:space="preserve"> PBAC noted that </w:t>
      </w:r>
      <w:r w:rsidRPr="00BE23C5">
        <w:rPr>
          <w:rFonts w:asciiTheme="minorHAnsi" w:hAnsiTheme="minorHAnsi"/>
          <w:bCs/>
        </w:rPr>
        <w:t xml:space="preserve">input from </w:t>
      </w:r>
      <w:r>
        <w:rPr>
          <w:rFonts w:asciiTheme="minorHAnsi" w:hAnsiTheme="minorHAnsi"/>
          <w:bCs/>
        </w:rPr>
        <w:t xml:space="preserve">37 </w:t>
      </w:r>
      <w:r w:rsidRPr="00BE23C5">
        <w:rPr>
          <w:rFonts w:asciiTheme="minorHAnsi" w:hAnsiTheme="minorHAnsi"/>
          <w:bCs/>
        </w:rPr>
        <w:t>individuals</w:t>
      </w:r>
      <w:r>
        <w:rPr>
          <w:rFonts w:asciiTheme="minorHAnsi" w:hAnsiTheme="minorHAnsi"/>
          <w:bCs/>
        </w:rPr>
        <w:t xml:space="preserve"> </w:t>
      </w:r>
      <w:r w:rsidRPr="00BE23C5">
        <w:rPr>
          <w:rFonts w:asciiTheme="minorHAnsi" w:hAnsiTheme="minorHAnsi"/>
          <w:bCs/>
        </w:rPr>
        <w:t xml:space="preserve">and two organisations (BCNA and MOGA) was received in support of a PBS listing for neratinib. </w:t>
      </w:r>
      <w:r w:rsidR="009B62AD">
        <w:rPr>
          <w:rFonts w:asciiTheme="minorHAnsi" w:hAnsiTheme="minorHAnsi"/>
          <w:bCs/>
        </w:rPr>
        <w:t xml:space="preserve">The BCNA noted that </w:t>
      </w:r>
      <w:r w:rsidR="009B62AD" w:rsidRPr="009A28F9">
        <w:rPr>
          <w:rFonts w:asciiTheme="minorHAnsi" w:hAnsiTheme="minorHAnsi"/>
          <w:bCs/>
        </w:rPr>
        <w:t>the</w:t>
      </w:r>
      <w:r w:rsidR="009B62AD">
        <w:rPr>
          <w:rFonts w:asciiTheme="minorHAnsi" w:hAnsiTheme="minorHAnsi"/>
          <w:bCs/>
        </w:rPr>
        <w:t>re was</w:t>
      </w:r>
      <w:r w:rsidR="009B62AD" w:rsidRPr="009A28F9">
        <w:rPr>
          <w:rFonts w:asciiTheme="minorHAnsi" w:hAnsiTheme="minorHAnsi"/>
          <w:bCs/>
        </w:rPr>
        <w:t xml:space="preserve"> increasing use of neoadjuvant treatment in eBC however believed that there would be a patient population, albeit a small population, who would benefit from treatment with neratinib in the adjuvant setting following trastuzumab </w:t>
      </w:r>
      <w:r w:rsidR="009B62AD" w:rsidRPr="009A28F9">
        <w:rPr>
          <w:rFonts w:asciiTheme="minorHAnsi" w:hAnsiTheme="minorHAnsi"/>
          <w:bCs/>
        </w:rPr>
        <w:lastRenderedPageBreak/>
        <w:t>treatment.</w:t>
      </w:r>
      <w:r w:rsidR="009B62AD">
        <w:rPr>
          <w:rFonts w:asciiTheme="minorHAnsi" w:hAnsiTheme="minorHAnsi"/>
          <w:bCs/>
        </w:rPr>
        <w:t xml:space="preserve"> </w:t>
      </w:r>
      <w:r>
        <w:rPr>
          <w:rFonts w:asciiTheme="minorHAnsi" w:hAnsiTheme="minorHAnsi"/>
          <w:bCs/>
        </w:rPr>
        <w:t xml:space="preserve">The comments </w:t>
      </w:r>
      <w:r w:rsidR="00EF3D6E">
        <w:rPr>
          <w:rFonts w:asciiTheme="minorHAnsi" w:hAnsiTheme="minorHAnsi"/>
          <w:bCs/>
        </w:rPr>
        <w:t xml:space="preserve">also </w:t>
      </w:r>
      <w:r>
        <w:rPr>
          <w:rFonts w:asciiTheme="minorHAnsi" w:hAnsiTheme="minorHAnsi"/>
          <w:bCs/>
        </w:rPr>
        <w:t xml:space="preserve">noted that </w:t>
      </w:r>
      <w:r w:rsidRPr="008625B7">
        <w:rPr>
          <w:rFonts w:asciiTheme="minorHAnsi" w:hAnsiTheme="minorHAnsi"/>
          <w:bCs/>
        </w:rPr>
        <w:t xml:space="preserve">despite the side effects, being able to prevent the return of cancer was a significant priority for patients and that </w:t>
      </w:r>
      <w:r w:rsidR="00B922A5">
        <w:rPr>
          <w:rFonts w:asciiTheme="minorHAnsi" w:hAnsiTheme="minorHAnsi"/>
          <w:bCs/>
        </w:rPr>
        <w:t>many patients</w:t>
      </w:r>
      <w:r w:rsidRPr="008625B7">
        <w:rPr>
          <w:rFonts w:asciiTheme="minorHAnsi" w:hAnsiTheme="minorHAnsi"/>
          <w:bCs/>
        </w:rPr>
        <w:t xml:space="preserve"> would be prepared to tolerate the side effects in order to gain greater benefit in the long term. </w:t>
      </w:r>
      <w:r>
        <w:rPr>
          <w:rFonts w:asciiTheme="minorHAnsi" w:hAnsiTheme="minorHAnsi"/>
          <w:bCs/>
        </w:rPr>
        <w:t xml:space="preserve">The sponsor hearing </w:t>
      </w:r>
      <w:r w:rsidR="001230A6">
        <w:rPr>
          <w:rFonts w:asciiTheme="minorHAnsi" w:hAnsiTheme="minorHAnsi"/>
          <w:bCs/>
        </w:rPr>
        <w:t xml:space="preserve">stated </w:t>
      </w:r>
      <w:r>
        <w:rPr>
          <w:rFonts w:asciiTheme="minorHAnsi" w:hAnsiTheme="minorHAnsi"/>
          <w:bCs/>
        </w:rPr>
        <w:t xml:space="preserve">that dose escalation together with the patient support program has helped patients and oncologists manage the adverse events associated with neratinib. </w:t>
      </w:r>
      <w:r w:rsidRPr="008625B7">
        <w:rPr>
          <w:rFonts w:asciiTheme="minorHAnsi" w:hAnsiTheme="minorHAnsi"/>
          <w:bCs/>
        </w:rPr>
        <w:t xml:space="preserve">The PBAC considered that the comments indicated that consumers were well-informed about </w:t>
      </w:r>
      <w:r w:rsidR="00AA2F68">
        <w:rPr>
          <w:rFonts w:asciiTheme="minorHAnsi" w:hAnsiTheme="minorHAnsi"/>
          <w:bCs/>
        </w:rPr>
        <w:t>the adverse effects</w:t>
      </w:r>
      <w:r w:rsidRPr="008625B7">
        <w:rPr>
          <w:rFonts w:asciiTheme="minorHAnsi" w:hAnsiTheme="minorHAnsi"/>
          <w:bCs/>
        </w:rPr>
        <w:t xml:space="preserve"> associated with </w:t>
      </w:r>
      <w:r>
        <w:rPr>
          <w:rFonts w:asciiTheme="minorHAnsi" w:hAnsiTheme="minorHAnsi"/>
          <w:bCs/>
        </w:rPr>
        <w:t xml:space="preserve">treatment with </w:t>
      </w:r>
      <w:r w:rsidRPr="008625B7">
        <w:rPr>
          <w:rFonts w:asciiTheme="minorHAnsi" w:hAnsiTheme="minorHAnsi"/>
          <w:bCs/>
        </w:rPr>
        <w:t>neratinib.</w:t>
      </w:r>
      <w:r>
        <w:rPr>
          <w:rFonts w:asciiTheme="minorHAnsi" w:hAnsiTheme="minorHAnsi"/>
          <w:bCs/>
        </w:rPr>
        <w:t xml:space="preserve"> </w:t>
      </w:r>
    </w:p>
    <w:p w:rsidR="00346788" w:rsidRPr="00346788" w:rsidRDefault="00605C9D" w:rsidP="00FF3A02">
      <w:pPr>
        <w:pStyle w:val="ListParagraph"/>
        <w:numPr>
          <w:ilvl w:val="1"/>
          <w:numId w:val="5"/>
        </w:numPr>
        <w:rPr>
          <w:rFonts w:asciiTheme="minorHAnsi" w:hAnsiTheme="minorHAnsi"/>
          <w:bCs/>
          <w:lang w:val="en-GB"/>
        </w:rPr>
      </w:pPr>
      <w:r>
        <w:t xml:space="preserve">The PBAC considered </w:t>
      </w:r>
      <w:r w:rsidR="007A7325">
        <w:t xml:space="preserve">the fundamental issue was </w:t>
      </w:r>
      <w:r w:rsidR="008A08AE">
        <w:t xml:space="preserve">that </w:t>
      </w:r>
      <w:r w:rsidR="007A7325">
        <w:t>the</w:t>
      </w:r>
      <w:r w:rsidR="00604417">
        <w:t xml:space="preserve"> resubmission had not outlined</w:t>
      </w:r>
      <w:r w:rsidR="007A7325">
        <w:t xml:space="preserve"> a clear clinical place for neratinib in </w:t>
      </w:r>
      <w:r w:rsidR="008A08AE">
        <w:t xml:space="preserve">eBC </w:t>
      </w:r>
      <w:r w:rsidR="007A7325">
        <w:t xml:space="preserve">therapy. </w:t>
      </w:r>
      <w:r w:rsidR="00B922A5">
        <w:t>The PBAC noted that the resubmission included a revised clinical management algorithm incorporating the likely clinical place of emerging therapies pertuzumab and T-DM1</w:t>
      </w:r>
      <w:r w:rsidR="00936760">
        <w:t>, but considered</w:t>
      </w:r>
      <w:r w:rsidR="007A7325">
        <w:t xml:space="preserve"> that </w:t>
      </w:r>
      <w:r w:rsidR="00B922A5">
        <w:t xml:space="preserve">the </w:t>
      </w:r>
      <w:r w:rsidRPr="00346788">
        <w:t xml:space="preserve">clinical place for neratinib was inconsistently </w:t>
      </w:r>
      <w:r w:rsidR="009A3C35">
        <w:t>applied across the resubmission</w:t>
      </w:r>
      <w:r w:rsidR="008462C0">
        <w:t xml:space="preserve">. </w:t>
      </w:r>
    </w:p>
    <w:p w:rsidR="00995625" w:rsidRPr="00182570" w:rsidRDefault="003E0ADE" w:rsidP="00AC13C2">
      <w:pPr>
        <w:pStyle w:val="ListParagraph"/>
        <w:numPr>
          <w:ilvl w:val="1"/>
          <w:numId w:val="5"/>
        </w:numPr>
        <w:rPr>
          <w:rFonts w:asciiTheme="minorHAnsi" w:hAnsiTheme="minorHAnsi"/>
          <w:bCs/>
          <w:lang w:val="en-GB"/>
        </w:rPr>
      </w:pPr>
      <w:r>
        <w:t>As outlined in Table 3 (‘Population and disease’ section)</w:t>
      </w:r>
      <w:r w:rsidR="0039023A">
        <w:t xml:space="preserve"> and the paragraphs below</w:t>
      </w:r>
      <w:r>
        <w:t xml:space="preserve">, </w:t>
      </w:r>
      <w:r w:rsidR="0039023A" w:rsidRPr="00182570">
        <w:rPr>
          <w:rFonts w:asciiTheme="minorHAnsi" w:hAnsiTheme="minorHAnsi"/>
          <w:bCs/>
          <w:lang w:val="en-GB"/>
        </w:rPr>
        <w:t>t</w:t>
      </w:r>
      <w:r w:rsidR="00605C9D" w:rsidRPr="00182570">
        <w:rPr>
          <w:rFonts w:asciiTheme="minorHAnsi" w:hAnsiTheme="minorHAnsi"/>
          <w:bCs/>
          <w:lang w:val="en-GB"/>
        </w:rPr>
        <w:t>he PBAC considered that the clinical place for neratinib was highly limited</w:t>
      </w:r>
      <w:r w:rsidR="005968D8" w:rsidRPr="00182570">
        <w:rPr>
          <w:rFonts w:asciiTheme="minorHAnsi" w:hAnsiTheme="minorHAnsi"/>
          <w:bCs/>
          <w:lang w:val="en-GB"/>
        </w:rPr>
        <w:t xml:space="preserve"> and likely to be dimi</w:t>
      </w:r>
      <w:r w:rsidR="00CA7DA7" w:rsidRPr="00182570">
        <w:rPr>
          <w:rFonts w:asciiTheme="minorHAnsi" w:hAnsiTheme="minorHAnsi"/>
          <w:bCs/>
          <w:lang w:val="en-GB"/>
        </w:rPr>
        <w:t>ni</w:t>
      </w:r>
      <w:r w:rsidR="005968D8" w:rsidRPr="00182570">
        <w:rPr>
          <w:rFonts w:asciiTheme="minorHAnsi" w:hAnsiTheme="minorHAnsi"/>
          <w:bCs/>
          <w:lang w:val="en-GB"/>
        </w:rPr>
        <w:t xml:space="preserve">shing due to the changing landscape of </w:t>
      </w:r>
      <w:r w:rsidR="00E534DF">
        <w:rPr>
          <w:rFonts w:asciiTheme="minorHAnsi" w:hAnsiTheme="minorHAnsi"/>
          <w:bCs/>
          <w:lang w:val="en-GB"/>
        </w:rPr>
        <w:t xml:space="preserve">HER2+ </w:t>
      </w:r>
      <w:r w:rsidR="005968D8" w:rsidRPr="00182570">
        <w:rPr>
          <w:rFonts w:asciiTheme="minorHAnsi" w:hAnsiTheme="minorHAnsi"/>
          <w:bCs/>
          <w:lang w:val="en-GB"/>
        </w:rPr>
        <w:t>breast cancer treatment</w:t>
      </w:r>
      <w:r w:rsidR="0039023A" w:rsidRPr="0039023A">
        <w:t xml:space="preserve"> </w:t>
      </w:r>
      <w:r w:rsidR="0039023A" w:rsidRPr="00182570">
        <w:rPr>
          <w:rFonts w:asciiTheme="minorHAnsi" w:hAnsiTheme="minorHAnsi"/>
          <w:bCs/>
          <w:lang w:val="en-GB"/>
        </w:rPr>
        <w:t xml:space="preserve">and the paucity of data in </w:t>
      </w:r>
      <w:r w:rsidR="00182570">
        <w:rPr>
          <w:rFonts w:asciiTheme="minorHAnsi" w:hAnsiTheme="minorHAnsi"/>
          <w:bCs/>
          <w:lang w:val="en-GB"/>
        </w:rPr>
        <w:t xml:space="preserve">many of the remaining </w:t>
      </w:r>
      <w:r w:rsidR="0039023A" w:rsidRPr="00182570">
        <w:rPr>
          <w:rFonts w:asciiTheme="minorHAnsi" w:hAnsiTheme="minorHAnsi"/>
          <w:bCs/>
          <w:lang w:val="en-GB"/>
        </w:rPr>
        <w:t>patient populations</w:t>
      </w:r>
      <w:r w:rsidR="00076206" w:rsidRPr="00182570">
        <w:rPr>
          <w:rFonts w:asciiTheme="minorHAnsi" w:hAnsiTheme="minorHAnsi"/>
          <w:bCs/>
          <w:lang w:val="en-GB"/>
        </w:rPr>
        <w:t>.</w:t>
      </w:r>
      <w:r w:rsidR="0080588D" w:rsidRPr="00182570">
        <w:rPr>
          <w:rFonts w:asciiTheme="minorHAnsi" w:hAnsiTheme="minorHAnsi"/>
          <w:bCs/>
          <w:lang w:val="en-GB"/>
        </w:rPr>
        <w:t xml:space="preserve"> </w:t>
      </w:r>
      <w:r w:rsidR="00182570">
        <w:t>T</w:t>
      </w:r>
      <w:r w:rsidR="00F03AB8" w:rsidRPr="00182570">
        <w:rPr>
          <w:rFonts w:asciiTheme="minorHAnsi" w:hAnsiTheme="minorHAnsi"/>
          <w:bCs/>
          <w:lang w:val="en-GB"/>
        </w:rPr>
        <w:t xml:space="preserve">he </w:t>
      </w:r>
      <w:r w:rsidR="00F03AB8" w:rsidRPr="003E0ADE">
        <w:t>PBAC</w:t>
      </w:r>
      <w:r w:rsidR="00F03AB8" w:rsidRPr="00182570">
        <w:rPr>
          <w:rFonts w:asciiTheme="minorHAnsi" w:hAnsiTheme="minorHAnsi"/>
          <w:bCs/>
          <w:lang w:val="en-GB"/>
        </w:rPr>
        <w:t xml:space="preserve"> considered that </w:t>
      </w:r>
      <w:r w:rsidR="00182570">
        <w:rPr>
          <w:rFonts w:asciiTheme="minorHAnsi" w:hAnsiTheme="minorHAnsi"/>
          <w:bCs/>
          <w:lang w:val="en-GB"/>
        </w:rPr>
        <w:t>the</w:t>
      </w:r>
      <w:r w:rsidR="00182570" w:rsidRPr="00182570">
        <w:rPr>
          <w:rFonts w:asciiTheme="minorHAnsi" w:hAnsiTheme="minorHAnsi"/>
          <w:bCs/>
          <w:lang w:val="en-GB"/>
        </w:rPr>
        <w:t xml:space="preserve"> </w:t>
      </w:r>
      <w:r w:rsidR="00182570">
        <w:rPr>
          <w:rFonts w:asciiTheme="minorHAnsi" w:hAnsiTheme="minorHAnsi"/>
          <w:bCs/>
          <w:lang w:val="en-GB"/>
        </w:rPr>
        <w:t xml:space="preserve">treatment algorithm for early </w:t>
      </w:r>
      <w:r w:rsidR="00182570" w:rsidRPr="00182570">
        <w:rPr>
          <w:rFonts w:asciiTheme="minorHAnsi" w:hAnsiTheme="minorHAnsi"/>
          <w:bCs/>
          <w:lang w:val="en-GB"/>
        </w:rPr>
        <w:t>breast cancer treatment</w:t>
      </w:r>
      <w:r w:rsidR="00182570" w:rsidRPr="0039023A">
        <w:t xml:space="preserve"> </w:t>
      </w:r>
      <w:r w:rsidR="00182570">
        <w:t xml:space="preserve">was changing because </w:t>
      </w:r>
      <w:r w:rsidR="00F03AB8" w:rsidRPr="00182570">
        <w:rPr>
          <w:rFonts w:asciiTheme="minorHAnsi" w:hAnsiTheme="minorHAnsi"/>
          <w:bCs/>
          <w:lang w:val="en-GB"/>
        </w:rPr>
        <w:t>patients with a high risk of disease recurrence</w:t>
      </w:r>
      <w:r w:rsidR="005968D8" w:rsidRPr="00182570">
        <w:rPr>
          <w:rFonts w:asciiTheme="minorHAnsi" w:hAnsiTheme="minorHAnsi"/>
          <w:bCs/>
          <w:lang w:val="en-GB"/>
        </w:rPr>
        <w:t>, such as those with</w:t>
      </w:r>
      <w:r w:rsidR="00F03AB8" w:rsidRPr="00182570">
        <w:rPr>
          <w:rFonts w:asciiTheme="minorHAnsi" w:hAnsiTheme="minorHAnsi"/>
          <w:bCs/>
          <w:lang w:val="en-GB"/>
        </w:rPr>
        <w:t xml:space="preserve"> </w:t>
      </w:r>
      <w:r w:rsidR="005968D8" w:rsidRPr="00182570">
        <w:rPr>
          <w:rFonts w:asciiTheme="minorHAnsi" w:hAnsiTheme="minorHAnsi"/>
          <w:bCs/>
          <w:lang w:val="en-GB"/>
        </w:rPr>
        <w:t xml:space="preserve">≥T1c/N+ tumours </w:t>
      </w:r>
      <w:r w:rsidR="00F03AB8" w:rsidRPr="00182570">
        <w:rPr>
          <w:rFonts w:asciiTheme="minorHAnsi" w:hAnsiTheme="minorHAnsi"/>
          <w:bCs/>
          <w:lang w:val="en-GB"/>
        </w:rPr>
        <w:t>would most likely be treated with neoadjuvant therapy</w:t>
      </w:r>
      <w:r w:rsidR="005968D8" w:rsidRPr="00182570">
        <w:rPr>
          <w:rFonts w:asciiTheme="minorHAnsi" w:hAnsiTheme="minorHAnsi"/>
          <w:bCs/>
          <w:lang w:val="en-GB"/>
        </w:rPr>
        <w:t>. P</w:t>
      </w:r>
      <w:r w:rsidR="00F03AB8" w:rsidRPr="00182570">
        <w:rPr>
          <w:rFonts w:asciiTheme="minorHAnsi" w:hAnsiTheme="minorHAnsi"/>
          <w:bCs/>
          <w:lang w:val="en-GB"/>
        </w:rPr>
        <w:t>atient</w:t>
      </w:r>
      <w:r w:rsidR="00426A5C" w:rsidRPr="00182570">
        <w:rPr>
          <w:rFonts w:asciiTheme="minorHAnsi" w:hAnsiTheme="minorHAnsi"/>
          <w:bCs/>
          <w:lang w:val="en-GB"/>
        </w:rPr>
        <w:t>s</w:t>
      </w:r>
      <w:r w:rsidR="00F03AB8" w:rsidRPr="00182570">
        <w:rPr>
          <w:rFonts w:asciiTheme="minorHAnsi" w:hAnsiTheme="minorHAnsi"/>
          <w:bCs/>
          <w:lang w:val="en-GB"/>
        </w:rPr>
        <w:t xml:space="preserve"> with residual </w:t>
      </w:r>
      <w:r w:rsidR="005968D8" w:rsidRPr="00182570">
        <w:rPr>
          <w:rFonts w:asciiTheme="minorHAnsi" w:hAnsiTheme="minorHAnsi"/>
          <w:bCs/>
          <w:lang w:val="en-GB"/>
        </w:rPr>
        <w:t xml:space="preserve">disease </w:t>
      </w:r>
      <w:r w:rsidR="00CA7DA7" w:rsidRPr="00182570">
        <w:rPr>
          <w:rFonts w:asciiTheme="minorHAnsi" w:hAnsiTheme="minorHAnsi"/>
          <w:bCs/>
          <w:lang w:val="en-GB"/>
        </w:rPr>
        <w:t xml:space="preserve">following neoadjuvant therapy </w:t>
      </w:r>
      <w:r w:rsidR="00F03AB8" w:rsidRPr="00182570">
        <w:rPr>
          <w:rFonts w:asciiTheme="minorHAnsi" w:hAnsiTheme="minorHAnsi"/>
          <w:bCs/>
          <w:lang w:val="en-GB"/>
        </w:rPr>
        <w:t>would most likely be treated with adjuvant T-DM1 given</w:t>
      </w:r>
      <w:r w:rsidR="00426A5C" w:rsidRPr="00182570">
        <w:rPr>
          <w:rFonts w:asciiTheme="minorHAnsi" w:hAnsiTheme="minorHAnsi"/>
          <w:bCs/>
          <w:lang w:val="en-GB"/>
        </w:rPr>
        <w:t xml:space="preserve"> the</w:t>
      </w:r>
      <w:r w:rsidR="00F03AB8" w:rsidRPr="00182570">
        <w:rPr>
          <w:rFonts w:asciiTheme="minorHAnsi" w:hAnsiTheme="minorHAnsi"/>
          <w:bCs/>
          <w:lang w:val="en-GB"/>
        </w:rPr>
        <w:t xml:space="preserve"> higher iDFS benefit across </w:t>
      </w:r>
      <w:r w:rsidR="000C0F84" w:rsidRPr="00182570">
        <w:rPr>
          <w:rFonts w:asciiTheme="minorHAnsi" w:hAnsiTheme="minorHAnsi"/>
          <w:bCs/>
          <w:lang w:val="en-GB"/>
        </w:rPr>
        <w:t xml:space="preserve">the ITT and </w:t>
      </w:r>
      <w:r w:rsidR="00F03AB8" w:rsidRPr="00182570">
        <w:rPr>
          <w:rFonts w:asciiTheme="minorHAnsi" w:hAnsiTheme="minorHAnsi"/>
          <w:bCs/>
          <w:lang w:val="en-GB"/>
        </w:rPr>
        <w:t xml:space="preserve">all subgroups </w:t>
      </w:r>
      <w:r w:rsidR="006656F7" w:rsidRPr="00182570">
        <w:rPr>
          <w:rFonts w:asciiTheme="minorHAnsi" w:hAnsiTheme="minorHAnsi"/>
          <w:bCs/>
          <w:lang w:val="en-GB"/>
        </w:rPr>
        <w:t xml:space="preserve">as demonstrated </w:t>
      </w:r>
      <w:r w:rsidR="0080588D" w:rsidRPr="00182570">
        <w:rPr>
          <w:rFonts w:asciiTheme="minorHAnsi" w:hAnsiTheme="minorHAnsi"/>
          <w:bCs/>
          <w:lang w:val="en-GB"/>
        </w:rPr>
        <w:t>in the KATHERINE trial</w:t>
      </w:r>
      <w:r w:rsidR="005968D8" w:rsidRPr="00182570">
        <w:rPr>
          <w:rFonts w:asciiTheme="minorHAnsi" w:hAnsiTheme="minorHAnsi"/>
          <w:bCs/>
          <w:lang w:val="en-GB"/>
        </w:rPr>
        <w:t>.</w:t>
      </w:r>
      <w:r w:rsidR="00697AE9" w:rsidRPr="00182570">
        <w:rPr>
          <w:rFonts w:asciiTheme="minorHAnsi" w:hAnsiTheme="minorHAnsi"/>
          <w:bCs/>
          <w:lang w:val="en-GB"/>
        </w:rPr>
        <w:t xml:space="preserve"> </w:t>
      </w:r>
    </w:p>
    <w:p w:rsidR="00995625" w:rsidRPr="00995625" w:rsidRDefault="00995625" w:rsidP="00995625">
      <w:pPr>
        <w:pStyle w:val="ListParagraph"/>
        <w:numPr>
          <w:ilvl w:val="1"/>
          <w:numId w:val="5"/>
        </w:numPr>
        <w:rPr>
          <w:rFonts w:asciiTheme="minorHAnsi" w:hAnsiTheme="minorHAnsi"/>
          <w:bCs/>
          <w:lang w:val="en-GB"/>
        </w:rPr>
      </w:pPr>
      <w:r>
        <w:rPr>
          <w:rFonts w:asciiTheme="minorHAnsi" w:hAnsiTheme="minorHAnsi"/>
          <w:bCs/>
          <w:lang w:val="en-GB"/>
        </w:rPr>
        <w:t xml:space="preserve">The PBAC considered that </w:t>
      </w:r>
      <w:r w:rsidR="00463208">
        <w:rPr>
          <w:rFonts w:asciiTheme="minorHAnsi" w:hAnsiTheme="minorHAnsi"/>
          <w:bCs/>
          <w:lang w:val="en-GB"/>
        </w:rPr>
        <w:t xml:space="preserve">limited or no data </w:t>
      </w:r>
      <w:r w:rsidR="00182570">
        <w:rPr>
          <w:rFonts w:asciiTheme="minorHAnsi" w:hAnsiTheme="minorHAnsi"/>
          <w:bCs/>
          <w:lang w:val="en-GB"/>
        </w:rPr>
        <w:t>was</w:t>
      </w:r>
      <w:r w:rsidR="00463208">
        <w:rPr>
          <w:rFonts w:asciiTheme="minorHAnsi" w:hAnsiTheme="minorHAnsi"/>
          <w:bCs/>
          <w:lang w:val="en-GB"/>
        </w:rPr>
        <w:t xml:space="preserve"> presented to </w:t>
      </w:r>
      <w:r w:rsidR="00180106">
        <w:rPr>
          <w:rFonts w:asciiTheme="minorHAnsi" w:hAnsiTheme="minorHAnsi"/>
          <w:bCs/>
          <w:lang w:val="en-GB"/>
        </w:rPr>
        <w:t xml:space="preserve">support use of neratinib in the following </w:t>
      </w:r>
      <w:r w:rsidR="00B7202E">
        <w:rPr>
          <w:rFonts w:asciiTheme="minorHAnsi" w:hAnsiTheme="minorHAnsi"/>
          <w:bCs/>
          <w:lang w:val="en-GB"/>
        </w:rPr>
        <w:t>patient groups/places in therapy</w:t>
      </w:r>
      <w:r w:rsidR="00180106">
        <w:rPr>
          <w:rFonts w:asciiTheme="minorHAnsi" w:hAnsiTheme="minorHAnsi"/>
          <w:bCs/>
          <w:lang w:val="en-GB"/>
        </w:rPr>
        <w:t>:</w:t>
      </w:r>
    </w:p>
    <w:p w:rsidR="00182570" w:rsidRDefault="00182570" w:rsidP="00182570">
      <w:pPr>
        <w:pStyle w:val="ListParagraph"/>
        <w:numPr>
          <w:ilvl w:val="0"/>
          <w:numId w:val="26"/>
        </w:numPr>
        <w:rPr>
          <w:rFonts w:asciiTheme="minorHAnsi" w:hAnsiTheme="minorHAnsi"/>
          <w:bCs/>
          <w:lang w:val="en-GB"/>
        </w:rPr>
      </w:pPr>
      <w:r>
        <w:rPr>
          <w:rFonts w:asciiTheme="minorHAnsi" w:hAnsiTheme="minorHAnsi"/>
          <w:bCs/>
          <w:lang w:val="en-GB"/>
        </w:rPr>
        <w:t>following T-DM1 or in patients who discontinue T-DM1</w:t>
      </w:r>
      <w:r w:rsidR="00B7202E">
        <w:rPr>
          <w:rFonts w:asciiTheme="minorHAnsi" w:hAnsiTheme="minorHAnsi"/>
          <w:bCs/>
          <w:lang w:val="en-GB"/>
        </w:rPr>
        <w:t xml:space="preserve"> (no data </w:t>
      </w:r>
      <w:r w:rsidR="00604417">
        <w:rPr>
          <w:rFonts w:asciiTheme="minorHAnsi" w:hAnsiTheme="minorHAnsi"/>
          <w:bCs/>
          <w:lang w:val="en-GB"/>
        </w:rPr>
        <w:t xml:space="preserve">was </w:t>
      </w:r>
      <w:r w:rsidR="00B7202E">
        <w:rPr>
          <w:rFonts w:asciiTheme="minorHAnsi" w:hAnsiTheme="minorHAnsi"/>
          <w:bCs/>
          <w:lang w:val="en-GB"/>
        </w:rPr>
        <w:t xml:space="preserve">presented </w:t>
      </w:r>
      <w:r w:rsidR="00604417">
        <w:rPr>
          <w:rFonts w:asciiTheme="minorHAnsi" w:hAnsiTheme="minorHAnsi"/>
          <w:bCs/>
          <w:lang w:val="en-GB"/>
        </w:rPr>
        <w:t>for</w:t>
      </w:r>
      <w:r w:rsidR="00B7202E" w:rsidRPr="00182570">
        <w:rPr>
          <w:rFonts w:asciiTheme="minorHAnsi" w:hAnsiTheme="minorHAnsi"/>
          <w:bCs/>
          <w:lang w:val="en-GB"/>
        </w:rPr>
        <w:t xml:space="preserve"> these patients</w:t>
      </w:r>
      <w:r w:rsidR="00B7202E">
        <w:rPr>
          <w:rFonts w:asciiTheme="minorHAnsi" w:hAnsiTheme="minorHAnsi"/>
          <w:bCs/>
          <w:lang w:val="en-GB"/>
        </w:rPr>
        <w:t xml:space="preserve"> as </w:t>
      </w:r>
      <w:r w:rsidR="00B7202E" w:rsidRPr="00182570">
        <w:rPr>
          <w:rFonts w:asciiTheme="minorHAnsi" w:hAnsiTheme="minorHAnsi"/>
          <w:bCs/>
          <w:lang w:val="en-GB"/>
        </w:rPr>
        <w:t>the ExteNET trial</w:t>
      </w:r>
      <w:r w:rsidR="00B7202E">
        <w:rPr>
          <w:rFonts w:asciiTheme="minorHAnsi" w:hAnsiTheme="minorHAnsi"/>
          <w:bCs/>
          <w:lang w:val="en-GB"/>
        </w:rPr>
        <w:t xml:space="preserve"> only included patients who received prior trastuzumab)</w:t>
      </w:r>
      <w:r>
        <w:rPr>
          <w:rFonts w:asciiTheme="minorHAnsi" w:hAnsiTheme="minorHAnsi"/>
          <w:bCs/>
          <w:lang w:val="en-GB"/>
        </w:rPr>
        <w:t xml:space="preserve">. </w:t>
      </w:r>
      <w:r w:rsidR="0052178E">
        <w:rPr>
          <w:rFonts w:asciiTheme="minorHAnsi" w:hAnsiTheme="minorHAnsi"/>
          <w:bCs/>
          <w:lang w:val="en-GB"/>
        </w:rPr>
        <w:t>As noted in the paragraph above, the PBAC considered that, if T-DM1 were to become available, a large proportion of high risk patients w</w:t>
      </w:r>
      <w:r w:rsidR="00604417">
        <w:rPr>
          <w:rFonts w:asciiTheme="minorHAnsi" w:hAnsiTheme="minorHAnsi"/>
          <w:bCs/>
          <w:lang w:val="en-GB"/>
        </w:rPr>
        <w:t>ould</w:t>
      </w:r>
      <w:r w:rsidR="0052178E">
        <w:rPr>
          <w:rFonts w:asciiTheme="minorHAnsi" w:hAnsiTheme="minorHAnsi"/>
          <w:bCs/>
          <w:lang w:val="en-GB"/>
        </w:rPr>
        <w:t xml:space="preserve"> receive T-DM1.</w:t>
      </w:r>
    </w:p>
    <w:p w:rsidR="003E0ADE" w:rsidRDefault="005968D8" w:rsidP="00B7202E">
      <w:pPr>
        <w:pStyle w:val="ListParagraph"/>
        <w:numPr>
          <w:ilvl w:val="0"/>
          <w:numId w:val="26"/>
        </w:numPr>
        <w:rPr>
          <w:rFonts w:asciiTheme="minorHAnsi" w:hAnsiTheme="minorHAnsi"/>
          <w:bCs/>
          <w:lang w:val="en-GB"/>
        </w:rPr>
      </w:pPr>
      <w:r>
        <w:rPr>
          <w:rFonts w:asciiTheme="minorHAnsi" w:hAnsiTheme="minorHAnsi"/>
          <w:bCs/>
          <w:lang w:val="en-GB"/>
        </w:rPr>
        <w:t>patients with pCR following neoadjuvant treatment</w:t>
      </w:r>
      <w:r w:rsidR="00463208">
        <w:rPr>
          <w:rFonts w:asciiTheme="minorHAnsi" w:hAnsiTheme="minorHAnsi"/>
          <w:bCs/>
          <w:lang w:val="en-GB"/>
        </w:rPr>
        <w:t xml:space="preserve"> (limited data presented</w:t>
      </w:r>
      <w:r w:rsidR="00D10AEE">
        <w:rPr>
          <w:rFonts w:asciiTheme="minorHAnsi" w:hAnsiTheme="minorHAnsi"/>
          <w:bCs/>
          <w:lang w:val="en-GB"/>
        </w:rPr>
        <w:t xml:space="preserve"> as</w:t>
      </w:r>
      <w:r w:rsidR="00D10AEE" w:rsidRPr="00D10AEE">
        <w:t xml:space="preserve"> </w:t>
      </w:r>
      <w:r w:rsidR="00B7202E" w:rsidRPr="00B7202E">
        <w:t>these patients were excluded in Amendment 3 of the trial</w:t>
      </w:r>
      <w:r w:rsidR="00B7202E">
        <w:t xml:space="preserve">; </w:t>
      </w:r>
      <w:r w:rsidR="00D10AEE" w:rsidRPr="00D10AEE">
        <w:rPr>
          <w:rFonts w:asciiTheme="minorHAnsi" w:hAnsiTheme="minorHAnsi"/>
          <w:bCs/>
          <w:lang w:val="en-GB"/>
        </w:rPr>
        <w:t xml:space="preserve">only 4.4% of patients in the </w:t>
      </w:r>
      <w:r w:rsidR="00B7202E">
        <w:rPr>
          <w:rFonts w:asciiTheme="minorHAnsi" w:hAnsiTheme="minorHAnsi"/>
          <w:bCs/>
          <w:lang w:val="en-GB"/>
        </w:rPr>
        <w:t xml:space="preserve">ITT population of the </w:t>
      </w:r>
      <w:r w:rsidR="00D10AEE" w:rsidRPr="00D10AEE">
        <w:rPr>
          <w:rFonts w:asciiTheme="minorHAnsi" w:hAnsiTheme="minorHAnsi"/>
          <w:bCs/>
          <w:lang w:val="en-GB"/>
        </w:rPr>
        <w:t>ExteNET trial had pCR following prior neoadjuvant therapy</w:t>
      </w:r>
      <w:r w:rsidR="00463208">
        <w:rPr>
          <w:rFonts w:asciiTheme="minorHAnsi" w:hAnsiTheme="minorHAnsi"/>
          <w:bCs/>
          <w:lang w:val="en-GB"/>
        </w:rPr>
        <w:t>)</w:t>
      </w:r>
      <w:r w:rsidR="00604417">
        <w:rPr>
          <w:rFonts w:asciiTheme="minorHAnsi" w:hAnsiTheme="minorHAnsi"/>
          <w:bCs/>
          <w:lang w:val="en-GB"/>
        </w:rPr>
        <w:t>;</w:t>
      </w:r>
      <w:r>
        <w:rPr>
          <w:rFonts w:asciiTheme="minorHAnsi" w:hAnsiTheme="minorHAnsi"/>
          <w:bCs/>
          <w:lang w:val="en-GB"/>
        </w:rPr>
        <w:t xml:space="preserve"> and </w:t>
      </w:r>
    </w:p>
    <w:p w:rsidR="00FE2294" w:rsidRDefault="003E0ADE" w:rsidP="00182570">
      <w:pPr>
        <w:pStyle w:val="ListParagraph"/>
        <w:numPr>
          <w:ilvl w:val="0"/>
          <w:numId w:val="26"/>
        </w:numPr>
        <w:rPr>
          <w:rFonts w:asciiTheme="minorHAnsi" w:hAnsiTheme="minorHAnsi"/>
          <w:bCs/>
          <w:lang w:val="en-GB"/>
        </w:rPr>
      </w:pPr>
      <w:r>
        <w:rPr>
          <w:rFonts w:asciiTheme="minorHAnsi" w:hAnsiTheme="minorHAnsi"/>
          <w:bCs/>
          <w:lang w:val="en-GB"/>
        </w:rPr>
        <w:t>patients</w:t>
      </w:r>
      <w:r w:rsidR="005968D8">
        <w:rPr>
          <w:rFonts w:asciiTheme="minorHAnsi" w:hAnsiTheme="minorHAnsi"/>
          <w:bCs/>
          <w:lang w:val="en-GB"/>
        </w:rPr>
        <w:t xml:space="preserve"> with </w:t>
      </w:r>
      <w:r w:rsidR="00F20411">
        <w:rPr>
          <w:rFonts w:asciiTheme="minorHAnsi" w:hAnsiTheme="minorHAnsi"/>
          <w:bCs/>
          <w:lang w:val="en-GB"/>
        </w:rPr>
        <w:t>T1</w:t>
      </w:r>
      <w:r w:rsidR="002C7F23">
        <w:rPr>
          <w:rFonts w:asciiTheme="minorHAnsi" w:hAnsiTheme="minorHAnsi"/>
          <w:bCs/>
          <w:lang w:val="en-GB"/>
        </w:rPr>
        <w:t>a/b</w:t>
      </w:r>
      <w:r w:rsidR="00F20411">
        <w:rPr>
          <w:rFonts w:asciiTheme="minorHAnsi" w:hAnsiTheme="minorHAnsi"/>
          <w:bCs/>
          <w:lang w:val="en-GB"/>
        </w:rPr>
        <w:t>N0 tumours</w:t>
      </w:r>
      <w:r w:rsidR="00463208">
        <w:rPr>
          <w:rFonts w:asciiTheme="minorHAnsi" w:hAnsiTheme="minorHAnsi"/>
          <w:bCs/>
          <w:lang w:val="en-GB"/>
        </w:rPr>
        <w:t xml:space="preserve"> following adjuvant treatment (no data presented</w:t>
      </w:r>
      <w:r w:rsidR="00182570">
        <w:rPr>
          <w:rFonts w:asciiTheme="minorHAnsi" w:hAnsiTheme="minorHAnsi"/>
          <w:bCs/>
          <w:lang w:val="en-GB"/>
        </w:rPr>
        <w:t xml:space="preserve"> </w:t>
      </w:r>
      <w:r w:rsidR="00182570" w:rsidRPr="00182570">
        <w:rPr>
          <w:rFonts w:asciiTheme="minorHAnsi" w:hAnsiTheme="minorHAnsi"/>
          <w:bCs/>
          <w:lang w:val="en-GB"/>
        </w:rPr>
        <w:t>as these patients were excluded from the ExteNET trial</w:t>
      </w:r>
      <w:r w:rsidR="00463208">
        <w:rPr>
          <w:rFonts w:asciiTheme="minorHAnsi" w:hAnsiTheme="minorHAnsi"/>
          <w:bCs/>
          <w:lang w:val="en-GB"/>
        </w:rPr>
        <w:t>)</w:t>
      </w:r>
      <w:r w:rsidR="0078518D">
        <w:rPr>
          <w:rFonts w:asciiTheme="minorHAnsi" w:hAnsiTheme="minorHAnsi"/>
          <w:bCs/>
          <w:lang w:val="en-GB"/>
        </w:rPr>
        <w:t xml:space="preserve">. </w:t>
      </w:r>
    </w:p>
    <w:p w:rsidR="00B7202E" w:rsidRPr="00B7202E" w:rsidRDefault="00B7202E" w:rsidP="00B7202E">
      <w:pPr>
        <w:spacing w:after="120"/>
        <w:ind w:left="720"/>
        <w:rPr>
          <w:rFonts w:asciiTheme="minorHAnsi" w:hAnsiTheme="minorHAnsi"/>
          <w:bCs/>
          <w:lang w:val="en-GB"/>
        </w:rPr>
      </w:pPr>
      <w:r w:rsidRPr="00B7202E">
        <w:rPr>
          <w:rFonts w:asciiTheme="minorHAnsi" w:hAnsiTheme="minorHAnsi"/>
          <w:bCs/>
          <w:lang w:val="en-GB"/>
        </w:rPr>
        <w:t>Thus, the PBAC considered that the clinical benefit of neratinib was unknown in these patient groups and considered that</w:t>
      </w:r>
      <w:r w:rsidR="005E343C">
        <w:rPr>
          <w:rFonts w:asciiTheme="minorHAnsi" w:hAnsiTheme="minorHAnsi"/>
          <w:bCs/>
          <w:lang w:val="en-GB"/>
        </w:rPr>
        <w:t>, based on the evidence presented in the resubmission,</w:t>
      </w:r>
      <w:r w:rsidRPr="00B7202E">
        <w:rPr>
          <w:rFonts w:asciiTheme="minorHAnsi" w:hAnsiTheme="minorHAnsi"/>
          <w:bCs/>
          <w:lang w:val="en-GB"/>
        </w:rPr>
        <w:t xml:space="preserve"> neratinib would not be suitable for listing in these patient groups.</w:t>
      </w:r>
      <w:r w:rsidR="00604417">
        <w:rPr>
          <w:rFonts w:asciiTheme="minorHAnsi" w:hAnsiTheme="minorHAnsi"/>
          <w:bCs/>
          <w:lang w:val="en-GB"/>
        </w:rPr>
        <w:t xml:space="preserve"> </w:t>
      </w:r>
    </w:p>
    <w:p w:rsidR="007B71C7" w:rsidRDefault="00697AE9" w:rsidP="00376FEC">
      <w:pPr>
        <w:pStyle w:val="ListParagraph"/>
        <w:numPr>
          <w:ilvl w:val="1"/>
          <w:numId w:val="5"/>
        </w:numPr>
        <w:rPr>
          <w:rFonts w:asciiTheme="minorHAnsi" w:hAnsiTheme="minorHAnsi"/>
          <w:bCs/>
          <w:lang w:val="en-GB"/>
        </w:rPr>
      </w:pPr>
      <w:r w:rsidRPr="00697AE9">
        <w:rPr>
          <w:rFonts w:asciiTheme="minorHAnsi" w:hAnsiTheme="minorHAnsi"/>
          <w:bCs/>
          <w:lang w:val="en-GB"/>
        </w:rPr>
        <w:lastRenderedPageBreak/>
        <w:t>The PBAC consi</w:t>
      </w:r>
      <w:r w:rsidR="00132ADF">
        <w:rPr>
          <w:rFonts w:asciiTheme="minorHAnsi" w:hAnsiTheme="minorHAnsi"/>
          <w:bCs/>
          <w:lang w:val="en-GB"/>
        </w:rPr>
        <w:t>dered that</w:t>
      </w:r>
      <w:r w:rsidR="0080588D">
        <w:rPr>
          <w:rFonts w:asciiTheme="minorHAnsi" w:hAnsiTheme="minorHAnsi"/>
          <w:bCs/>
          <w:lang w:val="en-GB"/>
        </w:rPr>
        <w:t xml:space="preserve"> </w:t>
      </w:r>
      <w:r w:rsidR="00F20411">
        <w:rPr>
          <w:rFonts w:asciiTheme="minorHAnsi" w:hAnsiTheme="minorHAnsi"/>
          <w:bCs/>
          <w:lang w:val="en-GB"/>
        </w:rPr>
        <w:t xml:space="preserve">the remaining </w:t>
      </w:r>
      <w:r w:rsidR="00995625">
        <w:rPr>
          <w:rFonts w:asciiTheme="minorHAnsi" w:hAnsiTheme="minorHAnsi"/>
          <w:bCs/>
          <w:lang w:val="en-GB"/>
        </w:rPr>
        <w:t xml:space="preserve">potentially </w:t>
      </w:r>
      <w:r w:rsidR="00F20411">
        <w:rPr>
          <w:rFonts w:asciiTheme="minorHAnsi" w:hAnsiTheme="minorHAnsi"/>
          <w:bCs/>
          <w:lang w:val="en-GB"/>
        </w:rPr>
        <w:t>relevant</w:t>
      </w:r>
      <w:r w:rsidR="0078518D">
        <w:rPr>
          <w:rFonts w:asciiTheme="minorHAnsi" w:hAnsiTheme="minorHAnsi"/>
          <w:bCs/>
          <w:lang w:val="en-GB"/>
        </w:rPr>
        <w:t xml:space="preserve"> population</w:t>
      </w:r>
      <w:r w:rsidR="00B7615E">
        <w:rPr>
          <w:rFonts w:asciiTheme="minorHAnsi" w:hAnsiTheme="minorHAnsi"/>
          <w:bCs/>
          <w:lang w:val="en-GB"/>
        </w:rPr>
        <w:t>, in whom neratinib may have a clinical place,</w:t>
      </w:r>
      <w:r w:rsidR="0078518D">
        <w:rPr>
          <w:rFonts w:asciiTheme="minorHAnsi" w:hAnsiTheme="minorHAnsi"/>
          <w:bCs/>
          <w:lang w:val="en-GB"/>
        </w:rPr>
        <w:t xml:space="preserve"> </w:t>
      </w:r>
      <w:r w:rsidR="00F20411">
        <w:rPr>
          <w:rFonts w:asciiTheme="minorHAnsi" w:hAnsiTheme="minorHAnsi"/>
          <w:bCs/>
          <w:lang w:val="en-GB"/>
        </w:rPr>
        <w:t xml:space="preserve">was limited to two </w:t>
      </w:r>
      <w:r w:rsidR="003E0ADE">
        <w:rPr>
          <w:rFonts w:asciiTheme="minorHAnsi" w:hAnsiTheme="minorHAnsi"/>
          <w:bCs/>
          <w:lang w:val="en-GB"/>
        </w:rPr>
        <w:t>groups</w:t>
      </w:r>
      <w:r w:rsidR="007B71C7">
        <w:rPr>
          <w:rFonts w:asciiTheme="minorHAnsi" w:hAnsiTheme="minorHAnsi"/>
          <w:bCs/>
          <w:lang w:val="en-GB"/>
        </w:rPr>
        <w:t>:</w:t>
      </w:r>
      <w:r w:rsidR="00F20411">
        <w:rPr>
          <w:rFonts w:asciiTheme="minorHAnsi" w:hAnsiTheme="minorHAnsi"/>
          <w:bCs/>
          <w:lang w:val="en-GB"/>
        </w:rPr>
        <w:t xml:space="preserve"> </w:t>
      </w:r>
    </w:p>
    <w:p w:rsidR="007B71C7" w:rsidRDefault="00CE7815" w:rsidP="00376FEC">
      <w:pPr>
        <w:pStyle w:val="ListParagraph"/>
        <w:numPr>
          <w:ilvl w:val="0"/>
          <w:numId w:val="26"/>
        </w:numPr>
        <w:rPr>
          <w:rFonts w:asciiTheme="minorHAnsi" w:hAnsiTheme="minorHAnsi"/>
          <w:bCs/>
          <w:lang w:val="en-GB"/>
        </w:rPr>
      </w:pPr>
      <w:r>
        <w:rPr>
          <w:rFonts w:asciiTheme="minorHAnsi" w:hAnsiTheme="minorHAnsi"/>
          <w:bCs/>
          <w:lang w:val="en-GB"/>
        </w:rPr>
        <w:t>patients</w:t>
      </w:r>
      <w:r w:rsidR="0078518D">
        <w:rPr>
          <w:rFonts w:asciiTheme="minorHAnsi" w:hAnsiTheme="minorHAnsi"/>
          <w:bCs/>
          <w:lang w:val="en-GB"/>
        </w:rPr>
        <w:t xml:space="preserve"> </w:t>
      </w:r>
      <w:r w:rsidR="00F20411">
        <w:rPr>
          <w:rFonts w:asciiTheme="minorHAnsi" w:hAnsiTheme="minorHAnsi"/>
          <w:bCs/>
          <w:lang w:val="en-GB"/>
        </w:rPr>
        <w:t>with residual disease following neoadjuvant treatment who have already begun adjuvant treatment with trastuzumab</w:t>
      </w:r>
      <w:r w:rsidR="007B71C7">
        <w:rPr>
          <w:rFonts w:asciiTheme="minorHAnsi" w:hAnsiTheme="minorHAnsi"/>
          <w:bCs/>
          <w:lang w:val="en-GB"/>
        </w:rPr>
        <w:t>.</w:t>
      </w:r>
      <w:r w:rsidR="00F20411">
        <w:rPr>
          <w:rFonts w:asciiTheme="minorHAnsi" w:hAnsiTheme="minorHAnsi"/>
          <w:bCs/>
          <w:lang w:val="en-GB"/>
        </w:rPr>
        <w:t xml:space="preserve"> </w:t>
      </w:r>
      <w:r w:rsidR="007B71C7">
        <w:rPr>
          <w:rFonts w:asciiTheme="minorHAnsi" w:hAnsiTheme="minorHAnsi"/>
          <w:bCs/>
          <w:lang w:val="en-GB"/>
        </w:rPr>
        <w:t xml:space="preserve">The PBAC considered </w:t>
      </w:r>
      <w:r w:rsidR="008C22D8">
        <w:rPr>
          <w:rFonts w:asciiTheme="minorHAnsi" w:hAnsiTheme="minorHAnsi"/>
          <w:bCs/>
          <w:lang w:val="en-GB"/>
        </w:rPr>
        <w:t>this</w:t>
      </w:r>
      <w:r w:rsidR="007B71C7">
        <w:rPr>
          <w:rFonts w:asciiTheme="minorHAnsi" w:hAnsiTheme="minorHAnsi"/>
          <w:bCs/>
          <w:lang w:val="en-GB"/>
        </w:rPr>
        <w:t xml:space="preserve"> </w:t>
      </w:r>
      <w:r w:rsidR="003E0ADE">
        <w:rPr>
          <w:rFonts w:asciiTheme="minorHAnsi" w:hAnsiTheme="minorHAnsi"/>
          <w:bCs/>
          <w:lang w:val="en-GB"/>
        </w:rPr>
        <w:t xml:space="preserve">patient group </w:t>
      </w:r>
      <w:r w:rsidR="007B71C7">
        <w:rPr>
          <w:rFonts w:asciiTheme="minorHAnsi" w:hAnsiTheme="minorHAnsi"/>
          <w:bCs/>
          <w:lang w:val="en-GB"/>
        </w:rPr>
        <w:t>is likely to quickly diminish</w:t>
      </w:r>
      <w:r w:rsidR="008C22D8">
        <w:rPr>
          <w:rFonts w:asciiTheme="minorHAnsi" w:hAnsiTheme="minorHAnsi"/>
          <w:bCs/>
          <w:lang w:val="en-GB"/>
        </w:rPr>
        <w:t>, and will be limited to prevalent patients,</w:t>
      </w:r>
      <w:r w:rsidR="007B71C7">
        <w:rPr>
          <w:rFonts w:asciiTheme="minorHAnsi" w:hAnsiTheme="minorHAnsi"/>
          <w:bCs/>
          <w:lang w:val="en-GB"/>
        </w:rPr>
        <w:t xml:space="preserve"> if T-DM1 is listed on the PBS for this indication. </w:t>
      </w:r>
    </w:p>
    <w:p w:rsidR="00666347" w:rsidRDefault="00F20411" w:rsidP="00376FEC">
      <w:pPr>
        <w:pStyle w:val="ListParagraph"/>
        <w:numPr>
          <w:ilvl w:val="0"/>
          <w:numId w:val="26"/>
        </w:numPr>
        <w:rPr>
          <w:rFonts w:asciiTheme="minorHAnsi" w:hAnsiTheme="minorHAnsi"/>
          <w:bCs/>
          <w:lang w:val="en-GB"/>
        </w:rPr>
      </w:pPr>
      <w:r>
        <w:rPr>
          <w:rFonts w:asciiTheme="minorHAnsi" w:hAnsiTheme="minorHAnsi"/>
          <w:bCs/>
          <w:lang w:val="en-GB"/>
        </w:rPr>
        <w:t xml:space="preserve">patients </w:t>
      </w:r>
      <w:r w:rsidR="0078518D">
        <w:rPr>
          <w:rFonts w:asciiTheme="minorHAnsi" w:hAnsiTheme="minorHAnsi"/>
          <w:bCs/>
          <w:lang w:val="en-GB"/>
        </w:rPr>
        <w:t xml:space="preserve">with </w:t>
      </w:r>
      <w:r w:rsidR="0078518D" w:rsidRPr="00A55167">
        <w:rPr>
          <w:rStyle w:val="CommentReference"/>
          <w:rFonts w:ascii="Calibri" w:hAnsi="Calibri"/>
          <w:b w:val="0"/>
          <w:iCs/>
          <w:sz w:val="24"/>
          <w:szCs w:val="22"/>
        </w:rPr>
        <w:t>≥T1cN0-3 tumours</w:t>
      </w:r>
      <w:r>
        <w:rPr>
          <w:rStyle w:val="CommentReference"/>
          <w:rFonts w:ascii="Calibri" w:hAnsi="Calibri"/>
          <w:b w:val="0"/>
          <w:iCs/>
          <w:sz w:val="24"/>
          <w:szCs w:val="22"/>
        </w:rPr>
        <w:t xml:space="preserve"> who do not undergo neoadjuvant treatment</w:t>
      </w:r>
      <w:r>
        <w:rPr>
          <w:rFonts w:asciiTheme="minorHAnsi" w:hAnsiTheme="minorHAnsi"/>
          <w:bCs/>
          <w:lang w:val="en-GB"/>
        </w:rPr>
        <w:t xml:space="preserve">. The </w:t>
      </w:r>
      <w:r w:rsidR="0022543D">
        <w:rPr>
          <w:rFonts w:asciiTheme="minorHAnsi" w:hAnsiTheme="minorHAnsi"/>
          <w:bCs/>
          <w:lang w:val="en-GB"/>
        </w:rPr>
        <w:t xml:space="preserve">PBAC considered that </w:t>
      </w:r>
      <w:r w:rsidR="0069058D">
        <w:rPr>
          <w:rFonts w:asciiTheme="minorHAnsi" w:hAnsiTheme="minorHAnsi"/>
          <w:bCs/>
          <w:lang w:val="en-GB"/>
        </w:rPr>
        <w:t xml:space="preserve">this </w:t>
      </w:r>
      <w:r w:rsidR="003E0ADE">
        <w:rPr>
          <w:rFonts w:asciiTheme="minorHAnsi" w:hAnsiTheme="minorHAnsi"/>
          <w:bCs/>
          <w:lang w:val="en-GB"/>
        </w:rPr>
        <w:t>patient group</w:t>
      </w:r>
      <w:r w:rsidR="0022543D">
        <w:rPr>
          <w:rFonts w:asciiTheme="minorHAnsi" w:hAnsiTheme="minorHAnsi"/>
          <w:bCs/>
          <w:lang w:val="en-GB"/>
        </w:rPr>
        <w:t xml:space="preserve"> is also likely to diminish</w:t>
      </w:r>
      <w:r w:rsidR="00132ADF">
        <w:rPr>
          <w:rFonts w:asciiTheme="minorHAnsi" w:hAnsiTheme="minorHAnsi"/>
          <w:bCs/>
          <w:lang w:val="en-GB"/>
        </w:rPr>
        <w:t xml:space="preserve"> </w:t>
      </w:r>
      <w:r w:rsidR="00697AE9" w:rsidRPr="00697AE9">
        <w:rPr>
          <w:rFonts w:asciiTheme="minorHAnsi" w:hAnsiTheme="minorHAnsi"/>
          <w:bCs/>
          <w:lang w:val="en-GB"/>
        </w:rPr>
        <w:t xml:space="preserve">given </w:t>
      </w:r>
      <w:r w:rsidR="00734BF4">
        <w:rPr>
          <w:rFonts w:asciiTheme="minorHAnsi" w:hAnsiTheme="minorHAnsi"/>
          <w:bCs/>
          <w:lang w:val="en-GB"/>
        </w:rPr>
        <w:t xml:space="preserve">the </w:t>
      </w:r>
      <w:r w:rsidR="00697AE9" w:rsidRPr="00697AE9">
        <w:rPr>
          <w:rFonts w:asciiTheme="minorHAnsi" w:hAnsiTheme="minorHAnsi"/>
          <w:bCs/>
          <w:lang w:val="en-GB"/>
        </w:rPr>
        <w:t xml:space="preserve">shift </w:t>
      </w:r>
      <w:r w:rsidR="00EF65B6">
        <w:rPr>
          <w:rFonts w:asciiTheme="minorHAnsi" w:hAnsiTheme="minorHAnsi"/>
          <w:bCs/>
          <w:lang w:val="en-GB"/>
        </w:rPr>
        <w:t xml:space="preserve">to </w:t>
      </w:r>
      <w:r w:rsidR="00E14882">
        <w:rPr>
          <w:rFonts w:asciiTheme="minorHAnsi" w:hAnsiTheme="minorHAnsi"/>
          <w:bCs/>
          <w:lang w:val="en-GB"/>
        </w:rPr>
        <w:t>neoadjuvant treatment</w:t>
      </w:r>
      <w:r w:rsidR="0022543D">
        <w:rPr>
          <w:rFonts w:asciiTheme="minorHAnsi" w:hAnsiTheme="minorHAnsi"/>
          <w:bCs/>
          <w:lang w:val="en-GB"/>
        </w:rPr>
        <w:t xml:space="preserve">, as also noted by </w:t>
      </w:r>
      <w:r w:rsidR="00581D28">
        <w:rPr>
          <w:rFonts w:asciiTheme="minorHAnsi" w:hAnsiTheme="minorHAnsi"/>
          <w:bCs/>
          <w:lang w:val="en-GB"/>
        </w:rPr>
        <w:t>the</w:t>
      </w:r>
      <w:r w:rsidR="0022543D">
        <w:rPr>
          <w:rFonts w:asciiTheme="minorHAnsi" w:hAnsiTheme="minorHAnsi"/>
          <w:bCs/>
          <w:lang w:val="en-GB"/>
        </w:rPr>
        <w:t xml:space="preserve"> BCNA</w:t>
      </w:r>
      <w:r w:rsidR="00697AE9" w:rsidRPr="00697AE9">
        <w:rPr>
          <w:rFonts w:asciiTheme="minorHAnsi" w:hAnsiTheme="minorHAnsi"/>
          <w:bCs/>
          <w:lang w:val="en-GB"/>
        </w:rPr>
        <w:t>.</w:t>
      </w:r>
      <w:r w:rsidR="00CE7815">
        <w:rPr>
          <w:rFonts w:asciiTheme="minorHAnsi" w:hAnsiTheme="minorHAnsi"/>
          <w:bCs/>
          <w:lang w:val="en-GB"/>
        </w:rPr>
        <w:t xml:space="preserve"> </w:t>
      </w:r>
    </w:p>
    <w:p w:rsidR="00697AE9" w:rsidRPr="00376FEC" w:rsidRDefault="00CE7815" w:rsidP="00376FEC">
      <w:pPr>
        <w:pStyle w:val="ListParagraph"/>
        <w:numPr>
          <w:ilvl w:val="1"/>
          <w:numId w:val="5"/>
        </w:numPr>
        <w:rPr>
          <w:rFonts w:asciiTheme="minorHAnsi" w:hAnsiTheme="minorHAnsi"/>
          <w:bCs/>
          <w:lang w:val="en-GB"/>
        </w:rPr>
      </w:pPr>
      <w:r w:rsidRPr="00376FEC">
        <w:rPr>
          <w:rFonts w:asciiTheme="minorHAnsi" w:hAnsiTheme="minorHAnsi"/>
          <w:bCs/>
          <w:lang w:val="en-GB"/>
        </w:rPr>
        <w:t>Overall, t</w:t>
      </w:r>
      <w:r w:rsidR="00FF3A02" w:rsidRPr="00376FEC">
        <w:rPr>
          <w:rFonts w:asciiTheme="minorHAnsi" w:hAnsiTheme="minorHAnsi"/>
          <w:bCs/>
          <w:lang w:val="en-GB"/>
        </w:rPr>
        <w:t>he PBAC considered that</w:t>
      </w:r>
      <w:r w:rsidRPr="00376FEC">
        <w:rPr>
          <w:rFonts w:asciiTheme="minorHAnsi" w:hAnsiTheme="minorHAnsi"/>
          <w:bCs/>
          <w:lang w:val="en-GB"/>
        </w:rPr>
        <w:t xml:space="preserve"> the </w:t>
      </w:r>
      <w:r w:rsidR="00B7202E">
        <w:rPr>
          <w:rFonts w:asciiTheme="minorHAnsi" w:hAnsiTheme="minorHAnsi"/>
          <w:bCs/>
          <w:lang w:val="en-GB"/>
        </w:rPr>
        <w:t xml:space="preserve">appropriate </w:t>
      </w:r>
      <w:r w:rsidRPr="00376FEC">
        <w:rPr>
          <w:rFonts w:asciiTheme="minorHAnsi" w:hAnsiTheme="minorHAnsi"/>
          <w:bCs/>
          <w:lang w:val="en-GB"/>
        </w:rPr>
        <w:t xml:space="preserve">clinical place </w:t>
      </w:r>
      <w:r w:rsidR="0039023A">
        <w:rPr>
          <w:rFonts w:asciiTheme="minorHAnsi" w:hAnsiTheme="minorHAnsi"/>
          <w:bCs/>
          <w:lang w:val="en-GB"/>
        </w:rPr>
        <w:t>for</w:t>
      </w:r>
      <w:r w:rsidRPr="00376FEC">
        <w:rPr>
          <w:rFonts w:asciiTheme="minorHAnsi" w:hAnsiTheme="minorHAnsi"/>
          <w:bCs/>
          <w:lang w:val="en-GB"/>
        </w:rPr>
        <w:t xml:space="preserve"> neratinib was </w:t>
      </w:r>
      <w:r w:rsidR="0022543D" w:rsidRPr="00376FEC">
        <w:rPr>
          <w:rFonts w:asciiTheme="minorHAnsi" w:hAnsiTheme="minorHAnsi"/>
          <w:bCs/>
          <w:lang w:val="en-GB"/>
        </w:rPr>
        <w:t>limited to a small and diminishing group of patients</w:t>
      </w:r>
      <w:r w:rsidR="0039023A">
        <w:rPr>
          <w:rFonts w:asciiTheme="minorHAnsi" w:hAnsiTheme="minorHAnsi"/>
          <w:bCs/>
          <w:lang w:val="en-GB"/>
        </w:rPr>
        <w:t xml:space="preserve"> (prevalent patients with residual disease following neoadjuvant treatment who have already begun adjuvant trastuzumab, and patients with </w:t>
      </w:r>
      <w:r w:rsidR="0039023A" w:rsidRPr="00A55167">
        <w:rPr>
          <w:rStyle w:val="CommentReference"/>
          <w:rFonts w:ascii="Calibri" w:hAnsi="Calibri"/>
          <w:b w:val="0"/>
          <w:iCs/>
          <w:sz w:val="24"/>
          <w:szCs w:val="22"/>
        </w:rPr>
        <w:t>≥T1cN0-3 tumours</w:t>
      </w:r>
      <w:r w:rsidR="0039023A">
        <w:rPr>
          <w:rStyle w:val="CommentReference"/>
          <w:rFonts w:ascii="Calibri" w:hAnsi="Calibri"/>
          <w:b w:val="0"/>
          <w:iCs/>
          <w:sz w:val="24"/>
          <w:szCs w:val="22"/>
        </w:rPr>
        <w:t xml:space="preserve"> who do not undergo neoadjuvant treatment)</w:t>
      </w:r>
      <w:r w:rsidR="0022543D" w:rsidRPr="00376FEC">
        <w:rPr>
          <w:rFonts w:asciiTheme="minorHAnsi" w:hAnsiTheme="minorHAnsi"/>
          <w:bCs/>
          <w:lang w:val="en-GB"/>
        </w:rPr>
        <w:t xml:space="preserve">. </w:t>
      </w:r>
      <w:r w:rsidR="0022543D" w:rsidRPr="00B65D43">
        <w:rPr>
          <w:rFonts w:asciiTheme="minorHAnsi" w:hAnsiTheme="minorHAnsi"/>
          <w:bCs/>
          <w:lang w:val="en-GB"/>
        </w:rPr>
        <w:t xml:space="preserve">The PBAC expressed concern that, for some patients, availability of neratinib following adjuvant trastuzumab could encourage a treatment pathway </w:t>
      </w:r>
      <w:r w:rsidR="00B65D43">
        <w:rPr>
          <w:rFonts w:asciiTheme="minorHAnsi" w:hAnsiTheme="minorHAnsi"/>
          <w:bCs/>
          <w:lang w:val="en-GB"/>
        </w:rPr>
        <w:t>associa</w:t>
      </w:r>
      <w:r w:rsidR="00C04239">
        <w:rPr>
          <w:rFonts w:asciiTheme="minorHAnsi" w:hAnsiTheme="minorHAnsi"/>
          <w:bCs/>
          <w:lang w:val="en-GB"/>
        </w:rPr>
        <w:t xml:space="preserve">ted with </w:t>
      </w:r>
      <w:r w:rsidR="007E0D29">
        <w:rPr>
          <w:rFonts w:asciiTheme="minorHAnsi" w:hAnsiTheme="minorHAnsi"/>
          <w:bCs/>
          <w:lang w:val="en-GB"/>
        </w:rPr>
        <w:t>minimal or no incremental</w:t>
      </w:r>
      <w:r w:rsidR="00C04239">
        <w:rPr>
          <w:rFonts w:asciiTheme="minorHAnsi" w:hAnsiTheme="minorHAnsi"/>
          <w:bCs/>
          <w:lang w:val="en-GB"/>
        </w:rPr>
        <w:t xml:space="preserve"> benefit and </w:t>
      </w:r>
      <w:r w:rsidR="007E0D29">
        <w:rPr>
          <w:rFonts w:asciiTheme="minorHAnsi" w:hAnsiTheme="minorHAnsi"/>
          <w:bCs/>
          <w:lang w:val="en-GB"/>
        </w:rPr>
        <w:t xml:space="preserve">worse </w:t>
      </w:r>
      <w:r w:rsidR="00C04239">
        <w:rPr>
          <w:rFonts w:asciiTheme="minorHAnsi" w:hAnsiTheme="minorHAnsi"/>
          <w:bCs/>
          <w:lang w:val="en-GB"/>
        </w:rPr>
        <w:t xml:space="preserve">adverse events </w:t>
      </w:r>
      <w:r w:rsidR="008260C7">
        <w:rPr>
          <w:rFonts w:asciiTheme="minorHAnsi" w:hAnsiTheme="minorHAnsi"/>
          <w:bCs/>
          <w:lang w:val="en-GB"/>
        </w:rPr>
        <w:t xml:space="preserve">compared to </w:t>
      </w:r>
      <w:r w:rsidR="00C04239">
        <w:rPr>
          <w:rFonts w:asciiTheme="minorHAnsi" w:hAnsiTheme="minorHAnsi"/>
          <w:bCs/>
          <w:lang w:val="en-GB"/>
        </w:rPr>
        <w:t xml:space="preserve">alternate </w:t>
      </w:r>
      <w:r w:rsidR="008260C7">
        <w:rPr>
          <w:rFonts w:asciiTheme="minorHAnsi" w:hAnsiTheme="minorHAnsi"/>
          <w:bCs/>
          <w:lang w:val="en-GB"/>
        </w:rPr>
        <w:t>treatment pathways</w:t>
      </w:r>
      <w:r w:rsidR="0022543D" w:rsidRPr="00376FEC">
        <w:rPr>
          <w:rFonts w:asciiTheme="minorHAnsi" w:hAnsiTheme="minorHAnsi"/>
          <w:bCs/>
          <w:lang w:val="en-GB"/>
        </w:rPr>
        <w:t>.</w:t>
      </w:r>
    </w:p>
    <w:p w:rsidR="00B8293E" w:rsidRPr="00BE23C5" w:rsidRDefault="00B8293E" w:rsidP="00B8293E">
      <w:pPr>
        <w:numPr>
          <w:ilvl w:val="1"/>
          <w:numId w:val="5"/>
        </w:numPr>
        <w:spacing w:before="120" w:after="120"/>
        <w:rPr>
          <w:rFonts w:asciiTheme="minorHAnsi" w:hAnsiTheme="minorHAnsi"/>
          <w:bCs/>
        </w:rPr>
      </w:pPr>
      <w:r w:rsidRPr="00BE23C5">
        <w:rPr>
          <w:rFonts w:asciiTheme="minorHAnsi" w:hAnsiTheme="minorHAnsi"/>
          <w:bCs/>
        </w:rPr>
        <w:t xml:space="preserve">The PBAC </w:t>
      </w:r>
      <w:r>
        <w:rPr>
          <w:rFonts w:asciiTheme="minorHAnsi" w:hAnsiTheme="minorHAnsi"/>
          <w:bCs/>
        </w:rPr>
        <w:t xml:space="preserve">maintained its views from its previous consideration </w:t>
      </w:r>
      <w:r w:rsidR="0022543D">
        <w:rPr>
          <w:rFonts w:asciiTheme="minorHAnsi" w:hAnsiTheme="minorHAnsi"/>
          <w:bCs/>
        </w:rPr>
        <w:t>that the</w:t>
      </w:r>
      <w:r w:rsidRPr="00BE23C5">
        <w:rPr>
          <w:rFonts w:asciiTheme="minorHAnsi" w:hAnsiTheme="minorHAnsi"/>
          <w:bCs/>
        </w:rPr>
        <w:t xml:space="preserve"> nominated comparator of usual care/placebo was reasonable. </w:t>
      </w:r>
      <w:r w:rsidRPr="00BE23C5">
        <w:rPr>
          <w:rFonts w:cs="Calibri"/>
          <w:snapToGrid/>
          <w:szCs w:val="24"/>
          <w:lang w:eastAsia="en-AU"/>
        </w:rPr>
        <w:t xml:space="preserve">The PBAC </w:t>
      </w:r>
      <w:r>
        <w:rPr>
          <w:rFonts w:cs="Calibri"/>
          <w:snapToGrid/>
          <w:szCs w:val="24"/>
          <w:lang w:eastAsia="en-AU"/>
        </w:rPr>
        <w:t>noted that pertuzumab was presented as a near market comparator</w:t>
      </w:r>
      <w:r w:rsidRPr="00614336">
        <w:rPr>
          <w:rFonts w:cs="Calibri"/>
          <w:snapToGrid/>
          <w:szCs w:val="24"/>
          <w:lang w:eastAsia="en-AU"/>
        </w:rPr>
        <w:t>.</w:t>
      </w:r>
      <w:r w:rsidR="0069058D">
        <w:rPr>
          <w:rFonts w:cs="Calibri"/>
          <w:snapToGrid/>
          <w:szCs w:val="24"/>
          <w:lang w:eastAsia="en-AU"/>
        </w:rPr>
        <w:t xml:space="preserve"> </w:t>
      </w:r>
      <w:r w:rsidR="0069058D" w:rsidRPr="00681002">
        <w:t xml:space="preserve">While the PBAC considered that a comparison against T-DM1 was </w:t>
      </w:r>
      <w:r w:rsidR="0069058D">
        <w:t>unn</w:t>
      </w:r>
      <w:r w:rsidR="0069058D" w:rsidRPr="00681002">
        <w:t>ecessary</w:t>
      </w:r>
      <w:r w:rsidR="0069058D">
        <w:t>,</w:t>
      </w:r>
      <w:r w:rsidR="0069058D" w:rsidRPr="00681002">
        <w:t xml:space="preserve"> given the different clinical places of the two therapies, the PBAC considered that the submission should have better accounted for the clinical place of neratinib if T-DM1 becomes available</w:t>
      </w:r>
      <w:r w:rsidR="0069058D">
        <w:t xml:space="preserve"> (as discussed above).</w:t>
      </w:r>
    </w:p>
    <w:p w:rsidR="00B07F12" w:rsidRDefault="006E063A" w:rsidP="004248E9">
      <w:pPr>
        <w:pStyle w:val="ListParagraph"/>
        <w:numPr>
          <w:ilvl w:val="1"/>
          <w:numId w:val="5"/>
        </w:numPr>
      </w:pPr>
      <w:r w:rsidRPr="004E1DB1">
        <w:t xml:space="preserve">The resubmission was based on the same clinical evidence presented in the original submission: one head-to-head randomised trial comparing neratinib to placebo (N=2,840): ExteNET </w:t>
      </w:r>
      <w:r w:rsidRPr="00B10310">
        <w:t xml:space="preserve">trial. </w:t>
      </w:r>
      <w:r w:rsidR="00C1260E" w:rsidRPr="004E1DB1">
        <w:t>The resubmission</w:t>
      </w:r>
      <w:r w:rsidR="00C1260E">
        <w:t xml:space="preserve"> also</w:t>
      </w:r>
      <w:r w:rsidR="00C1260E" w:rsidRPr="004E1DB1">
        <w:t xml:space="preserve"> conducted an indirect comparison of neratinib (ExteNET trial) and pertuzumab (APHINITY trial), using trastuzumab plus chemotherapy (T+Chemo) as the common comparator. </w:t>
      </w:r>
      <w:r w:rsidR="00B07F12">
        <w:t xml:space="preserve">The PBAC considered that the indirect comparison </w:t>
      </w:r>
      <w:r w:rsidR="00681002">
        <w:t>was</w:t>
      </w:r>
      <w:r w:rsidR="00B07F12" w:rsidRPr="004E1DB1">
        <w:t xml:space="preserve"> unreliable because of the applicability and exchangeability issues across the two trials and noted that the indirect comparison was likely to favour neratinib.</w:t>
      </w:r>
      <w:r w:rsidR="00F77A11" w:rsidRPr="00F77A11">
        <w:t xml:space="preserve"> </w:t>
      </w:r>
    </w:p>
    <w:p w:rsidR="005330E7" w:rsidRDefault="00B10310" w:rsidP="001123BF">
      <w:pPr>
        <w:pStyle w:val="ListParagraph"/>
        <w:numPr>
          <w:ilvl w:val="1"/>
          <w:numId w:val="5"/>
        </w:numPr>
      </w:pPr>
      <w:r w:rsidRPr="00B10310">
        <w:t xml:space="preserve">The resubmission did not present OS data, as </w:t>
      </w:r>
      <w:r w:rsidR="003850A1">
        <w:t xml:space="preserve">previously </w:t>
      </w:r>
      <w:r w:rsidRPr="00B10310">
        <w:t>requested by the PBAC (</w:t>
      </w:r>
      <w:r w:rsidR="00AE687F">
        <w:t>paragraph 7.17, n</w:t>
      </w:r>
      <w:r w:rsidRPr="00B10310">
        <w:t>eratinib PSD, March 2019).</w:t>
      </w:r>
      <w:r>
        <w:t xml:space="preserve"> </w:t>
      </w:r>
      <w:r w:rsidR="003850A1">
        <w:t>T</w:t>
      </w:r>
      <w:r w:rsidR="003850A1" w:rsidRPr="00117D57">
        <w:rPr>
          <w:rFonts w:asciiTheme="minorHAnsi" w:hAnsiTheme="minorHAnsi"/>
          <w:szCs w:val="20"/>
        </w:rPr>
        <w:t xml:space="preserve">he PBAC </w:t>
      </w:r>
      <w:r w:rsidR="003850A1">
        <w:rPr>
          <w:rFonts w:asciiTheme="minorHAnsi" w:hAnsiTheme="minorHAnsi"/>
          <w:szCs w:val="20"/>
        </w:rPr>
        <w:t>considered that</w:t>
      </w:r>
      <w:r w:rsidR="003850A1" w:rsidRPr="00117D57">
        <w:rPr>
          <w:rFonts w:asciiTheme="minorHAnsi" w:hAnsiTheme="minorHAnsi"/>
          <w:szCs w:val="20"/>
        </w:rPr>
        <w:t xml:space="preserve"> without </w:t>
      </w:r>
      <w:r w:rsidR="003850A1">
        <w:rPr>
          <w:rFonts w:asciiTheme="minorHAnsi" w:hAnsiTheme="minorHAnsi"/>
          <w:szCs w:val="20"/>
        </w:rPr>
        <w:t xml:space="preserve">OS </w:t>
      </w:r>
      <w:r w:rsidR="003850A1" w:rsidRPr="00117D57">
        <w:rPr>
          <w:rFonts w:asciiTheme="minorHAnsi" w:hAnsiTheme="minorHAnsi"/>
          <w:szCs w:val="20"/>
        </w:rPr>
        <w:t>data the long term benefits of neratinib therapy are unknown</w:t>
      </w:r>
      <w:r w:rsidR="001123BF">
        <w:rPr>
          <w:rFonts w:asciiTheme="minorHAnsi" w:hAnsiTheme="minorHAnsi"/>
          <w:szCs w:val="20"/>
        </w:rPr>
        <w:t xml:space="preserve">. </w:t>
      </w:r>
      <w:r>
        <w:t xml:space="preserve">The PBAC noted </w:t>
      </w:r>
      <w:r w:rsidRPr="00B8293E">
        <w:rPr>
          <w:rFonts w:asciiTheme="minorHAnsi" w:hAnsiTheme="minorHAnsi"/>
          <w:bCs/>
          <w:lang w:val="en-GB"/>
        </w:rPr>
        <w:t xml:space="preserve">that </w:t>
      </w:r>
      <w:r w:rsidR="003850A1">
        <w:rPr>
          <w:rFonts w:asciiTheme="minorHAnsi" w:hAnsiTheme="minorHAnsi"/>
          <w:bCs/>
          <w:lang w:val="en-GB"/>
        </w:rPr>
        <w:t xml:space="preserve">the resubmission stated that </w:t>
      </w:r>
      <w:r w:rsidRPr="00B8293E">
        <w:rPr>
          <w:rFonts w:asciiTheme="minorHAnsi" w:hAnsiTheme="minorHAnsi"/>
          <w:bCs/>
          <w:lang w:val="en-GB"/>
        </w:rPr>
        <w:t xml:space="preserve">OS data </w:t>
      </w:r>
      <w:r w:rsidR="001123BF">
        <w:rPr>
          <w:rFonts w:asciiTheme="minorHAnsi" w:hAnsiTheme="minorHAnsi"/>
          <w:bCs/>
          <w:lang w:val="en-GB"/>
        </w:rPr>
        <w:t xml:space="preserve">for the ITT population of the </w:t>
      </w:r>
      <w:r w:rsidR="001123BF" w:rsidRPr="004E1DB1">
        <w:t>ExteNET trial</w:t>
      </w:r>
      <w:r w:rsidR="001123BF" w:rsidRPr="00B8293E">
        <w:rPr>
          <w:rFonts w:asciiTheme="minorHAnsi" w:hAnsiTheme="minorHAnsi"/>
          <w:bCs/>
          <w:lang w:val="en-GB"/>
        </w:rPr>
        <w:t xml:space="preserve"> </w:t>
      </w:r>
      <w:r w:rsidRPr="00B8293E">
        <w:rPr>
          <w:rFonts w:asciiTheme="minorHAnsi" w:hAnsiTheme="minorHAnsi"/>
          <w:bCs/>
          <w:lang w:val="en-GB"/>
        </w:rPr>
        <w:t xml:space="preserve">will be available </w:t>
      </w:r>
      <w:r w:rsidR="00AF3A43">
        <w:rPr>
          <w:rFonts w:asciiTheme="minorHAnsi" w:hAnsiTheme="minorHAnsi"/>
          <w:bCs/>
          <w:lang w:val="en-GB"/>
        </w:rPr>
        <w:t>in the first half of 2020</w:t>
      </w:r>
      <w:r w:rsidR="00681002">
        <w:rPr>
          <w:rFonts w:asciiTheme="minorHAnsi" w:hAnsiTheme="minorHAnsi"/>
          <w:bCs/>
          <w:lang w:val="en-GB"/>
        </w:rPr>
        <w:t>,</w:t>
      </w:r>
      <w:r w:rsidR="001123BF">
        <w:rPr>
          <w:rFonts w:asciiTheme="minorHAnsi" w:hAnsiTheme="minorHAnsi"/>
          <w:bCs/>
          <w:lang w:val="en-GB"/>
        </w:rPr>
        <w:t xml:space="preserve"> though </w:t>
      </w:r>
      <w:r w:rsidR="001123BF" w:rsidRPr="001123BF">
        <w:rPr>
          <w:rFonts w:asciiTheme="minorHAnsi" w:hAnsiTheme="minorHAnsi"/>
          <w:bCs/>
          <w:lang w:val="en-GB"/>
        </w:rPr>
        <w:t xml:space="preserve">OS </w:t>
      </w:r>
      <w:r w:rsidR="00681002">
        <w:rPr>
          <w:rFonts w:asciiTheme="minorHAnsi" w:hAnsiTheme="minorHAnsi"/>
          <w:bCs/>
          <w:lang w:val="en-GB"/>
        </w:rPr>
        <w:t xml:space="preserve">data </w:t>
      </w:r>
      <w:r w:rsidR="001123BF" w:rsidRPr="001123BF">
        <w:rPr>
          <w:rFonts w:asciiTheme="minorHAnsi" w:hAnsiTheme="minorHAnsi"/>
          <w:bCs/>
          <w:lang w:val="en-GB"/>
        </w:rPr>
        <w:t xml:space="preserve">for the HR+ subset will not </w:t>
      </w:r>
      <w:r w:rsidR="00681002">
        <w:rPr>
          <w:rFonts w:asciiTheme="minorHAnsi" w:hAnsiTheme="minorHAnsi"/>
          <w:bCs/>
          <w:lang w:val="en-GB"/>
        </w:rPr>
        <w:t>be available</w:t>
      </w:r>
      <w:r w:rsidR="001123BF" w:rsidRPr="001123BF">
        <w:rPr>
          <w:rFonts w:asciiTheme="minorHAnsi" w:hAnsiTheme="minorHAnsi"/>
          <w:bCs/>
          <w:lang w:val="en-GB"/>
        </w:rPr>
        <w:t xml:space="preserve"> until 2024-2027</w:t>
      </w:r>
      <w:r>
        <w:rPr>
          <w:rFonts w:asciiTheme="minorHAnsi" w:hAnsiTheme="minorHAnsi"/>
          <w:bCs/>
          <w:lang w:val="en-GB"/>
        </w:rPr>
        <w:t>.</w:t>
      </w:r>
      <w:r w:rsidRPr="00B10310">
        <w:t xml:space="preserve"> </w:t>
      </w:r>
    </w:p>
    <w:p w:rsidR="0052178E" w:rsidRDefault="00B10310" w:rsidP="0052178E">
      <w:pPr>
        <w:numPr>
          <w:ilvl w:val="1"/>
          <w:numId w:val="5"/>
        </w:numPr>
        <w:spacing w:before="120" w:after="120"/>
        <w:rPr>
          <w:rFonts w:asciiTheme="minorHAnsi" w:hAnsiTheme="minorHAnsi"/>
          <w:szCs w:val="20"/>
        </w:rPr>
      </w:pPr>
      <w:r w:rsidRPr="008622DF">
        <w:rPr>
          <w:rFonts w:asciiTheme="minorHAnsi" w:hAnsiTheme="minorHAnsi"/>
          <w:bCs/>
        </w:rPr>
        <w:t xml:space="preserve">Overall, the PBAC maintained its views from its previous consideration </w:t>
      </w:r>
      <w:r w:rsidR="009959BA" w:rsidRPr="008622DF">
        <w:rPr>
          <w:rFonts w:asciiTheme="minorHAnsi" w:hAnsiTheme="minorHAnsi"/>
          <w:bCs/>
        </w:rPr>
        <w:t>that</w:t>
      </w:r>
      <w:r w:rsidRPr="008622DF">
        <w:rPr>
          <w:rFonts w:asciiTheme="minorHAnsi" w:hAnsiTheme="minorHAnsi"/>
          <w:bCs/>
        </w:rPr>
        <w:t xml:space="preserve"> the </w:t>
      </w:r>
      <w:r w:rsidRPr="00AF06C0">
        <w:rPr>
          <w:rFonts w:asciiTheme="minorHAnsi" w:hAnsiTheme="minorHAnsi"/>
          <w:bCs/>
        </w:rPr>
        <w:t xml:space="preserve">difference in iDFS </w:t>
      </w:r>
      <w:r w:rsidR="009959BA" w:rsidRPr="00AF06C0">
        <w:rPr>
          <w:rFonts w:asciiTheme="minorHAnsi" w:hAnsiTheme="minorHAnsi"/>
          <w:bCs/>
        </w:rPr>
        <w:t>was</w:t>
      </w:r>
      <w:r w:rsidRPr="00AF06C0">
        <w:rPr>
          <w:rFonts w:asciiTheme="minorHAnsi" w:hAnsiTheme="minorHAnsi"/>
          <w:bCs/>
        </w:rPr>
        <w:t xml:space="preserve"> small</w:t>
      </w:r>
      <w:r w:rsidRPr="008622DF">
        <w:rPr>
          <w:rFonts w:asciiTheme="minorHAnsi" w:hAnsiTheme="minorHAnsi"/>
          <w:bCs/>
        </w:rPr>
        <w:t xml:space="preserve"> </w:t>
      </w:r>
      <w:r w:rsidR="00CC50E8">
        <w:rPr>
          <w:rFonts w:asciiTheme="minorHAnsi" w:hAnsiTheme="minorHAnsi"/>
          <w:bCs/>
        </w:rPr>
        <w:t xml:space="preserve">(2.5% risk difference for iDFS at 5 years in the ITT </w:t>
      </w:r>
      <w:r w:rsidR="00CC50E8">
        <w:rPr>
          <w:rFonts w:asciiTheme="minorHAnsi" w:hAnsiTheme="minorHAnsi"/>
          <w:bCs/>
        </w:rPr>
        <w:lastRenderedPageBreak/>
        <w:t xml:space="preserve">population, with 90.2% and 87.7% of patients </w:t>
      </w:r>
      <w:r w:rsidR="00D10AEE">
        <w:rPr>
          <w:rFonts w:asciiTheme="minorHAnsi" w:hAnsiTheme="minorHAnsi"/>
          <w:bCs/>
        </w:rPr>
        <w:t>being invasive disease-free</w:t>
      </w:r>
      <w:r w:rsidR="00CC50E8">
        <w:rPr>
          <w:rFonts w:asciiTheme="minorHAnsi" w:hAnsiTheme="minorHAnsi"/>
          <w:bCs/>
        </w:rPr>
        <w:t xml:space="preserve"> in the neratinib and placebo arms, respectively) </w:t>
      </w:r>
      <w:r w:rsidRPr="008622DF">
        <w:rPr>
          <w:rFonts w:asciiTheme="minorHAnsi" w:hAnsiTheme="minorHAnsi"/>
          <w:bCs/>
        </w:rPr>
        <w:t>and uncertain given the potential for a high risk of bias due to protocol amendments, the reliance on a subgroup of the ExteNET trial, and potential applicability issues with the trial relating to underrepresentation of node negative patients and the prior neoadjuvant and adjuvant treatments used</w:t>
      </w:r>
      <w:r w:rsidRPr="008622DF">
        <w:rPr>
          <w:rFonts w:asciiTheme="minorHAnsi" w:hAnsiTheme="minorHAnsi"/>
          <w:szCs w:val="20"/>
        </w:rPr>
        <w:t xml:space="preserve">. </w:t>
      </w:r>
    </w:p>
    <w:p w:rsidR="005F4E40" w:rsidRPr="005F4E40" w:rsidRDefault="0052178E" w:rsidP="001F2B63">
      <w:pPr>
        <w:numPr>
          <w:ilvl w:val="1"/>
          <w:numId w:val="5"/>
        </w:numPr>
        <w:spacing w:before="120" w:after="120"/>
        <w:rPr>
          <w:rFonts w:asciiTheme="minorHAnsi" w:hAnsiTheme="minorHAnsi"/>
          <w:szCs w:val="20"/>
        </w:rPr>
      </w:pPr>
      <w:r w:rsidRPr="005F4E40">
        <w:rPr>
          <w:rFonts w:asciiTheme="minorHAnsi" w:hAnsiTheme="minorHAnsi"/>
          <w:bCs/>
        </w:rPr>
        <w:t xml:space="preserve">The PBAC considered that in the remaining </w:t>
      </w:r>
      <w:r w:rsidR="005F4E40">
        <w:rPr>
          <w:rFonts w:asciiTheme="minorHAnsi" w:hAnsiTheme="minorHAnsi"/>
          <w:bCs/>
        </w:rPr>
        <w:t>relevant</w:t>
      </w:r>
      <w:r w:rsidRPr="005F4E40">
        <w:rPr>
          <w:rFonts w:asciiTheme="minorHAnsi" w:hAnsiTheme="minorHAnsi"/>
          <w:bCs/>
        </w:rPr>
        <w:t xml:space="preserve"> population (as identified in Paragraph 7.</w:t>
      </w:r>
      <w:r w:rsidRPr="005F4E40">
        <w:rPr>
          <w:rFonts w:asciiTheme="minorHAnsi" w:hAnsiTheme="minorHAnsi"/>
          <w:szCs w:val="20"/>
        </w:rPr>
        <w:t xml:space="preserve">6), the </w:t>
      </w:r>
      <w:r w:rsidR="001F2B63">
        <w:rPr>
          <w:rFonts w:asciiTheme="minorHAnsi" w:hAnsiTheme="minorHAnsi"/>
          <w:szCs w:val="20"/>
        </w:rPr>
        <w:t>treatment effect</w:t>
      </w:r>
      <w:r w:rsidRPr="005F4E40">
        <w:rPr>
          <w:rFonts w:asciiTheme="minorHAnsi" w:hAnsiTheme="minorHAnsi"/>
          <w:szCs w:val="20"/>
        </w:rPr>
        <w:t xml:space="preserve"> was likely to be </w:t>
      </w:r>
      <w:r w:rsidR="001F2B63">
        <w:rPr>
          <w:rFonts w:asciiTheme="minorHAnsi" w:hAnsiTheme="minorHAnsi"/>
          <w:szCs w:val="20"/>
        </w:rPr>
        <w:t xml:space="preserve">lower than </w:t>
      </w:r>
      <w:r w:rsidR="001F2B63">
        <w:rPr>
          <w:rFonts w:asciiTheme="minorHAnsi" w:hAnsiTheme="minorHAnsi"/>
          <w:bCs/>
          <w:szCs w:val="24"/>
        </w:rPr>
        <w:t xml:space="preserve">observed in </w:t>
      </w:r>
      <w:r w:rsidR="00BF6535">
        <w:rPr>
          <w:rFonts w:asciiTheme="minorHAnsi" w:hAnsiTheme="minorHAnsi"/>
          <w:bCs/>
          <w:szCs w:val="24"/>
        </w:rPr>
        <w:t>a</w:t>
      </w:r>
      <w:r w:rsidR="001F2B63">
        <w:rPr>
          <w:rFonts w:asciiTheme="minorHAnsi" w:hAnsiTheme="minorHAnsi"/>
          <w:bCs/>
          <w:szCs w:val="24"/>
        </w:rPr>
        <w:t xml:space="preserve"> broader trial population, as patients treated with neratinib will </w:t>
      </w:r>
      <w:r w:rsidR="00CA32F6">
        <w:rPr>
          <w:rFonts w:asciiTheme="minorHAnsi" w:hAnsiTheme="minorHAnsi"/>
          <w:bCs/>
          <w:szCs w:val="24"/>
        </w:rPr>
        <w:t xml:space="preserve">likely be at lower risk </w:t>
      </w:r>
      <w:r w:rsidR="001F2B63" w:rsidRPr="001F2B63">
        <w:rPr>
          <w:rFonts w:asciiTheme="minorHAnsi" w:hAnsiTheme="minorHAnsi"/>
          <w:bCs/>
          <w:szCs w:val="24"/>
        </w:rPr>
        <w:t>if T-DM1 is preferentially used to treat higher risk patients</w:t>
      </w:r>
      <w:r w:rsidR="001F2B63">
        <w:rPr>
          <w:rFonts w:asciiTheme="minorHAnsi" w:hAnsiTheme="minorHAnsi"/>
          <w:bCs/>
          <w:szCs w:val="24"/>
        </w:rPr>
        <w:t>.</w:t>
      </w:r>
      <w:r w:rsidR="001F2B63" w:rsidRPr="001F2B63">
        <w:rPr>
          <w:rFonts w:asciiTheme="minorHAnsi" w:hAnsiTheme="minorHAnsi"/>
          <w:bCs/>
          <w:szCs w:val="24"/>
        </w:rPr>
        <w:t xml:space="preserve"> </w:t>
      </w:r>
    </w:p>
    <w:p w:rsidR="00B10310" w:rsidRPr="00117D57" w:rsidRDefault="007673AD" w:rsidP="004248E9">
      <w:pPr>
        <w:pStyle w:val="ListParagraph"/>
        <w:numPr>
          <w:ilvl w:val="1"/>
          <w:numId w:val="5"/>
        </w:numPr>
      </w:pPr>
      <w:r w:rsidRPr="00117D57">
        <w:t xml:space="preserve">As noted in the original submission, the PBAC considered that the AE data for neratinib compared to placebo showed a clear pattern of increased risk of serious treatment related TEAE, including those leading to withdrawal of treatment or dose reductions. The PBAC further considered that the diarrhoea will impact on the attrition levels in clinical practice and therefore on treatment effectiveness. As noted above, the PBAC considered that </w:t>
      </w:r>
      <w:r w:rsidR="006832AB" w:rsidRPr="00117D57">
        <w:t xml:space="preserve">the patient support program </w:t>
      </w:r>
      <w:r w:rsidR="009959BA">
        <w:t>appears to have</w:t>
      </w:r>
      <w:r w:rsidR="009959BA" w:rsidRPr="00117D57">
        <w:t xml:space="preserve"> </w:t>
      </w:r>
      <w:r w:rsidR="006832AB" w:rsidRPr="00117D57">
        <w:t xml:space="preserve">helped </w:t>
      </w:r>
      <w:r w:rsidR="006832AB" w:rsidRPr="00117D57">
        <w:rPr>
          <w:rFonts w:asciiTheme="minorHAnsi" w:hAnsiTheme="minorHAnsi"/>
          <w:bCs/>
        </w:rPr>
        <w:t xml:space="preserve">patients and oncologists manage the adverse events associated with neratinib. However, </w:t>
      </w:r>
      <w:r w:rsidRPr="00117D57">
        <w:t xml:space="preserve">the PBAC </w:t>
      </w:r>
      <w:r w:rsidR="006832AB" w:rsidRPr="00117D57">
        <w:t xml:space="preserve">maintained its view that </w:t>
      </w:r>
      <w:r w:rsidRPr="00117D57">
        <w:t>the adverse events experienced with neratinib therapy compared to placebo were significant and may outweigh the small benefit for some patients.</w:t>
      </w:r>
    </w:p>
    <w:p w:rsidR="005F05E8" w:rsidRPr="00A002D5" w:rsidRDefault="005F05E8" w:rsidP="001F2B63">
      <w:pPr>
        <w:pStyle w:val="ListParagraph"/>
        <w:numPr>
          <w:ilvl w:val="1"/>
          <w:numId w:val="5"/>
        </w:numPr>
      </w:pPr>
      <w:r w:rsidRPr="00EF5B8F">
        <w:rPr>
          <w:rFonts w:cs="Calibri"/>
          <w:snapToGrid/>
          <w:szCs w:val="24"/>
          <w:lang w:eastAsia="en-AU"/>
        </w:rPr>
        <w:t xml:space="preserve">The resubmission presented a cost-utility analysis comparing neratinib to usual care based on the ExteNET trial, Australian mortality data and data from published literature. </w:t>
      </w:r>
      <w:r w:rsidRPr="00EF5B8F">
        <w:rPr>
          <w:rFonts w:cs="Calibri"/>
          <w:iCs/>
          <w:snapToGrid/>
          <w:szCs w:val="24"/>
          <w:lang w:eastAsia="en-AU"/>
        </w:rPr>
        <w:t xml:space="preserve">Although some of the PBAC’s </w:t>
      </w:r>
      <w:r w:rsidR="0099610E">
        <w:rPr>
          <w:rFonts w:cs="Calibri"/>
          <w:iCs/>
          <w:snapToGrid/>
          <w:szCs w:val="24"/>
          <w:lang w:eastAsia="en-AU"/>
        </w:rPr>
        <w:t xml:space="preserve">previous </w:t>
      </w:r>
      <w:r w:rsidRPr="00EF5B8F">
        <w:rPr>
          <w:rFonts w:cs="Calibri"/>
          <w:iCs/>
          <w:snapToGrid/>
          <w:szCs w:val="24"/>
          <w:lang w:eastAsia="en-AU"/>
        </w:rPr>
        <w:t xml:space="preserve">concerns were addressed, not all issues were addressed by the </w:t>
      </w:r>
      <w:r w:rsidRPr="00EC19BD">
        <w:rPr>
          <w:rFonts w:asciiTheme="minorHAnsi" w:hAnsiTheme="minorHAnsi" w:cstheme="minorHAnsi"/>
          <w:iCs/>
          <w:snapToGrid/>
          <w:szCs w:val="24"/>
          <w:lang w:eastAsia="en-AU"/>
        </w:rPr>
        <w:t xml:space="preserve">resubmission. Overall, the </w:t>
      </w:r>
      <w:r w:rsidR="00D03D2D" w:rsidRPr="00EC19BD">
        <w:rPr>
          <w:rFonts w:asciiTheme="minorHAnsi" w:hAnsiTheme="minorHAnsi" w:cstheme="minorHAnsi"/>
          <w:iCs/>
          <w:snapToGrid/>
          <w:szCs w:val="24"/>
          <w:lang w:eastAsia="en-AU"/>
        </w:rPr>
        <w:t xml:space="preserve">PBAC </w:t>
      </w:r>
      <w:r w:rsidRPr="00EC19BD">
        <w:rPr>
          <w:rFonts w:asciiTheme="minorHAnsi" w:hAnsiTheme="minorHAnsi" w:cstheme="minorHAnsi"/>
          <w:iCs/>
          <w:snapToGrid/>
          <w:szCs w:val="24"/>
          <w:lang w:eastAsia="en-AU"/>
        </w:rPr>
        <w:t>considered the base case presented in the resubmission was highly optimistic due to assumptions and inputs that favoured neratinib</w:t>
      </w:r>
      <w:r w:rsidR="009959BA">
        <w:rPr>
          <w:rFonts w:asciiTheme="minorHAnsi" w:hAnsiTheme="minorHAnsi" w:cstheme="minorHAnsi"/>
          <w:iCs/>
          <w:snapToGrid/>
          <w:szCs w:val="24"/>
          <w:lang w:eastAsia="en-AU"/>
        </w:rPr>
        <w:t xml:space="preserve">. Further, the PBAC considered that </w:t>
      </w:r>
      <w:r w:rsidR="009B2A9A">
        <w:rPr>
          <w:rFonts w:asciiTheme="minorHAnsi" w:hAnsiTheme="minorHAnsi" w:cstheme="minorHAnsi"/>
          <w:iCs/>
          <w:snapToGrid/>
          <w:szCs w:val="24"/>
          <w:lang w:eastAsia="en-AU"/>
        </w:rPr>
        <w:t xml:space="preserve">a key issue was that </w:t>
      </w:r>
      <w:r w:rsidR="009959BA">
        <w:rPr>
          <w:rFonts w:asciiTheme="minorHAnsi" w:hAnsiTheme="minorHAnsi" w:cstheme="minorHAnsi"/>
          <w:iCs/>
          <w:snapToGrid/>
          <w:szCs w:val="24"/>
          <w:lang w:eastAsia="en-AU"/>
        </w:rPr>
        <w:t>the economic evaluation did not reflect use in the small remaining</w:t>
      </w:r>
      <w:r w:rsidR="00E07C01">
        <w:rPr>
          <w:rFonts w:asciiTheme="minorHAnsi" w:hAnsiTheme="minorHAnsi" w:cstheme="minorHAnsi"/>
          <w:iCs/>
          <w:snapToGrid/>
          <w:szCs w:val="24"/>
          <w:lang w:eastAsia="en-AU"/>
        </w:rPr>
        <w:t xml:space="preserve"> relevant</w:t>
      </w:r>
      <w:r w:rsidR="009959BA">
        <w:rPr>
          <w:rFonts w:asciiTheme="minorHAnsi" w:hAnsiTheme="minorHAnsi" w:cstheme="minorHAnsi"/>
          <w:iCs/>
          <w:snapToGrid/>
          <w:szCs w:val="24"/>
          <w:lang w:eastAsia="en-AU"/>
        </w:rPr>
        <w:t xml:space="preserve"> population likely to use neratinib in clinical practice</w:t>
      </w:r>
      <w:r w:rsidR="00E07C01">
        <w:rPr>
          <w:rFonts w:asciiTheme="minorHAnsi" w:hAnsiTheme="minorHAnsi" w:cstheme="minorHAnsi"/>
          <w:iCs/>
          <w:snapToGrid/>
          <w:szCs w:val="24"/>
          <w:lang w:eastAsia="en-AU"/>
        </w:rPr>
        <w:t xml:space="preserve">. In particular, </w:t>
      </w:r>
      <w:r w:rsidR="00037A46">
        <w:rPr>
          <w:rFonts w:asciiTheme="minorHAnsi" w:hAnsiTheme="minorHAnsi" w:cstheme="minorHAnsi"/>
          <w:iCs/>
          <w:snapToGrid/>
          <w:szCs w:val="24"/>
          <w:lang w:eastAsia="en-AU"/>
        </w:rPr>
        <w:t>the</w:t>
      </w:r>
      <w:r w:rsidR="001F2B63">
        <w:rPr>
          <w:rFonts w:asciiTheme="minorHAnsi" w:hAnsiTheme="minorHAnsi" w:cstheme="minorHAnsi"/>
          <w:iCs/>
          <w:snapToGrid/>
          <w:szCs w:val="24"/>
          <w:lang w:eastAsia="en-AU"/>
        </w:rPr>
        <w:t xml:space="preserve"> </w:t>
      </w:r>
      <w:r w:rsidR="00E07C01">
        <w:rPr>
          <w:rFonts w:asciiTheme="minorHAnsi" w:hAnsiTheme="minorHAnsi" w:cstheme="minorHAnsi"/>
          <w:iCs/>
          <w:snapToGrid/>
          <w:szCs w:val="24"/>
          <w:lang w:eastAsia="en-AU"/>
        </w:rPr>
        <w:t>efficacy</w:t>
      </w:r>
      <w:r w:rsidR="00037A46">
        <w:rPr>
          <w:rFonts w:asciiTheme="minorHAnsi" w:hAnsiTheme="minorHAnsi" w:cstheme="minorHAnsi"/>
          <w:iCs/>
          <w:snapToGrid/>
          <w:szCs w:val="24"/>
          <w:lang w:eastAsia="en-AU"/>
        </w:rPr>
        <w:t xml:space="preserve"> </w:t>
      </w:r>
      <w:r w:rsidR="00E07C01">
        <w:rPr>
          <w:rFonts w:asciiTheme="minorHAnsi" w:hAnsiTheme="minorHAnsi" w:cstheme="minorHAnsi"/>
          <w:iCs/>
          <w:snapToGrid/>
          <w:szCs w:val="24"/>
          <w:lang w:eastAsia="en-AU"/>
        </w:rPr>
        <w:t xml:space="preserve">of neratinib </w:t>
      </w:r>
      <w:r w:rsidR="00037A46">
        <w:rPr>
          <w:rFonts w:asciiTheme="minorHAnsi" w:hAnsiTheme="minorHAnsi" w:cstheme="minorHAnsi"/>
          <w:iCs/>
          <w:snapToGrid/>
          <w:szCs w:val="24"/>
          <w:lang w:eastAsia="en-AU"/>
        </w:rPr>
        <w:t xml:space="preserve">in </w:t>
      </w:r>
      <w:r w:rsidR="00E07C01">
        <w:rPr>
          <w:rFonts w:asciiTheme="minorHAnsi" w:hAnsiTheme="minorHAnsi" w:cstheme="minorHAnsi"/>
          <w:iCs/>
          <w:snapToGrid/>
          <w:szCs w:val="24"/>
          <w:lang w:eastAsia="en-AU"/>
        </w:rPr>
        <w:t xml:space="preserve">the </w:t>
      </w:r>
      <w:r w:rsidR="00E07C01" w:rsidRPr="005F4E40">
        <w:rPr>
          <w:rFonts w:asciiTheme="minorHAnsi" w:hAnsiTheme="minorHAnsi"/>
          <w:bCs/>
        </w:rPr>
        <w:t xml:space="preserve">remaining </w:t>
      </w:r>
      <w:r w:rsidR="00E07C01">
        <w:rPr>
          <w:rFonts w:asciiTheme="minorHAnsi" w:hAnsiTheme="minorHAnsi"/>
          <w:bCs/>
        </w:rPr>
        <w:t>relevant</w:t>
      </w:r>
      <w:r w:rsidR="00E07C01" w:rsidRPr="005F4E40">
        <w:rPr>
          <w:rFonts w:asciiTheme="minorHAnsi" w:hAnsiTheme="minorHAnsi"/>
          <w:bCs/>
        </w:rPr>
        <w:t xml:space="preserve"> population </w:t>
      </w:r>
      <w:r w:rsidR="00037A46">
        <w:rPr>
          <w:rFonts w:asciiTheme="minorHAnsi" w:hAnsiTheme="minorHAnsi" w:cstheme="minorHAnsi"/>
          <w:iCs/>
          <w:snapToGrid/>
          <w:szCs w:val="24"/>
          <w:lang w:eastAsia="en-AU"/>
        </w:rPr>
        <w:t>may be lower than assumed in the</w:t>
      </w:r>
      <w:r w:rsidR="00F357CB">
        <w:rPr>
          <w:rFonts w:asciiTheme="minorHAnsi" w:hAnsiTheme="minorHAnsi" w:cstheme="minorHAnsi"/>
          <w:iCs/>
          <w:snapToGrid/>
          <w:szCs w:val="24"/>
          <w:lang w:eastAsia="en-AU"/>
        </w:rPr>
        <w:t xml:space="preserve"> model. T</w:t>
      </w:r>
      <w:r w:rsidR="00E07C01">
        <w:rPr>
          <w:rFonts w:asciiTheme="minorHAnsi" w:hAnsiTheme="minorHAnsi" w:cstheme="minorHAnsi"/>
          <w:iCs/>
          <w:snapToGrid/>
          <w:szCs w:val="24"/>
          <w:lang w:eastAsia="en-AU"/>
        </w:rPr>
        <w:t xml:space="preserve">he iDFS benefit in the model </w:t>
      </w:r>
      <w:r w:rsidR="00037A46">
        <w:rPr>
          <w:rFonts w:asciiTheme="minorHAnsi" w:hAnsiTheme="minorHAnsi" w:cstheme="minorHAnsi"/>
          <w:iCs/>
          <w:snapToGrid/>
          <w:szCs w:val="24"/>
          <w:lang w:eastAsia="en-AU"/>
        </w:rPr>
        <w:t xml:space="preserve">was based </w:t>
      </w:r>
      <w:r w:rsidR="00E07C01">
        <w:rPr>
          <w:rFonts w:asciiTheme="minorHAnsi" w:hAnsiTheme="minorHAnsi" w:cstheme="minorHAnsi"/>
          <w:iCs/>
          <w:snapToGrid/>
          <w:szCs w:val="24"/>
          <w:lang w:eastAsia="en-AU"/>
        </w:rPr>
        <w:t xml:space="preserve">on the </w:t>
      </w:r>
      <w:r w:rsidR="00037A46">
        <w:rPr>
          <w:rFonts w:asciiTheme="minorHAnsi" w:hAnsiTheme="minorHAnsi" w:cstheme="minorHAnsi"/>
          <w:iCs/>
          <w:snapToGrid/>
          <w:szCs w:val="24"/>
          <w:lang w:eastAsia="en-AU"/>
        </w:rPr>
        <w:t xml:space="preserve">subgroup of patients </w:t>
      </w:r>
      <w:r w:rsidR="00E07C01">
        <w:rPr>
          <w:rFonts w:asciiTheme="minorHAnsi" w:hAnsiTheme="minorHAnsi" w:cstheme="minorHAnsi"/>
          <w:iCs/>
          <w:snapToGrid/>
          <w:szCs w:val="24"/>
          <w:lang w:eastAsia="en-AU"/>
        </w:rPr>
        <w:t xml:space="preserve">in the </w:t>
      </w:r>
      <w:r w:rsidR="00E07C01" w:rsidRPr="00EF5B8F">
        <w:rPr>
          <w:rFonts w:cs="Calibri"/>
          <w:snapToGrid/>
          <w:szCs w:val="24"/>
          <w:lang w:eastAsia="en-AU"/>
        </w:rPr>
        <w:t>ExteNET trial</w:t>
      </w:r>
      <w:r w:rsidR="00E07C01">
        <w:rPr>
          <w:rFonts w:asciiTheme="minorHAnsi" w:hAnsiTheme="minorHAnsi" w:cstheme="minorHAnsi"/>
          <w:iCs/>
          <w:snapToGrid/>
          <w:szCs w:val="24"/>
          <w:lang w:eastAsia="en-AU"/>
        </w:rPr>
        <w:t xml:space="preserve"> </w:t>
      </w:r>
      <w:r w:rsidR="00037A46">
        <w:rPr>
          <w:rFonts w:asciiTheme="minorHAnsi" w:hAnsiTheme="minorHAnsi" w:cstheme="minorHAnsi"/>
          <w:iCs/>
          <w:snapToGrid/>
          <w:szCs w:val="24"/>
          <w:lang w:eastAsia="en-AU"/>
        </w:rPr>
        <w:t>with HER2+</w:t>
      </w:r>
      <w:r w:rsidR="00E07C01">
        <w:rPr>
          <w:rFonts w:asciiTheme="minorHAnsi" w:hAnsiTheme="minorHAnsi" w:cstheme="minorHAnsi"/>
          <w:iCs/>
          <w:snapToGrid/>
          <w:szCs w:val="24"/>
          <w:lang w:eastAsia="en-AU"/>
        </w:rPr>
        <w:t>,</w:t>
      </w:r>
      <w:r w:rsidR="00037A46">
        <w:rPr>
          <w:rFonts w:asciiTheme="minorHAnsi" w:hAnsiTheme="minorHAnsi" w:cstheme="minorHAnsi"/>
          <w:iCs/>
          <w:snapToGrid/>
          <w:szCs w:val="24"/>
          <w:lang w:eastAsia="en-AU"/>
        </w:rPr>
        <w:t xml:space="preserve"> HR+ </w:t>
      </w:r>
      <w:r w:rsidR="00E07C01">
        <w:rPr>
          <w:rFonts w:asciiTheme="minorHAnsi" w:hAnsiTheme="minorHAnsi" w:cstheme="minorHAnsi"/>
          <w:iCs/>
          <w:snapToGrid/>
          <w:szCs w:val="24"/>
          <w:lang w:eastAsia="en-AU"/>
        </w:rPr>
        <w:t xml:space="preserve">disease </w:t>
      </w:r>
      <w:r w:rsidR="00037A46">
        <w:rPr>
          <w:rFonts w:asciiTheme="minorHAnsi" w:hAnsiTheme="minorHAnsi" w:cstheme="minorHAnsi"/>
          <w:iCs/>
          <w:snapToGrid/>
          <w:szCs w:val="24"/>
          <w:lang w:eastAsia="en-AU"/>
        </w:rPr>
        <w:t xml:space="preserve">who </w:t>
      </w:r>
      <w:r w:rsidR="00037A46" w:rsidRPr="00037A46">
        <w:rPr>
          <w:rFonts w:asciiTheme="minorHAnsi" w:hAnsiTheme="minorHAnsi" w:cstheme="minorHAnsi"/>
          <w:iCs/>
          <w:snapToGrid/>
          <w:szCs w:val="24"/>
          <w:lang w:eastAsia="en-AU"/>
        </w:rPr>
        <w:t>completed trastuzumab within 12 months</w:t>
      </w:r>
      <w:r w:rsidR="001F2B63">
        <w:rPr>
          <w:rFonts w:asciiTheme="minorHAnsi" w:hAnsiTheme="minorHAnsi" w:cstheme="minorHAnsi"/>
          <w:iCs/>
          <w:snapToGrid/>
          <w:szCs w:val="24"/>
          <w:lang w:eastAsia="en-AU"/>
        </w:rPr>
        <w:t xml:space="preserve">; however, the </w:t>
      </w:r>
      <w:r w:rsidR="001F2B63" w:rsidRPr="001F2B63">
        <w:rPr>
          <w:rFonts w:asciiTheme="minorHAnsi" w:hAnsiTheme="minorHAnsi" w:cstheme="minorHAnsi"/>
          <w:iCs/>
          <w:snapToGrid/>
          <w:szCs w:val="24"/>
          <w:lang w:eastAsia="en-AU"/>
        </w:rPr>
        <w:t>treatment effect</w:t>
      </w:r>
      <w:r w:rsidR="001F2B63">
        <w:rPr>
          <w:rFonts w:asciiTheme="minorHAnsi" w:hAnsiTheme="minorHAnsi" w:cstheme="minorHAnsi"/>
          <w:iCs/>
          <w:snapToGrid/>
          <w:szCs w:val="24"/>
          <w:lang w:eastAsia="en-AU"/>
        </w:rPr>
        <w:t xml:space="preserve"> in practice will likely be lower</w:t>
      </w:r>
      <w:r w:rsidR="001F2B63" w:rsidRPr="001F2B63">
        <w:rPr>
          <w:rFonts w:asciiTheme="minorHAnsi" w:hAnsiTheme="minorHAnsi" w:cstheme="minorHAnsi"/>
          <w:iCs/>
          <w:snapToGrid/>
          <w:szCs w:val="24"/>
          <w:lang w:eastAsia="en-AU"/>
        </w:rPr>
        <w:t xml:space="preserve"> (i.e. a</w:t>
      </w:r>
      <w:r w:rsidR="001F2B63">
        <w:rPr>
          <w:rFonts w:asciiTheme="minorHAnsi" w:hAnsiTheme="minorHAnsi" w:cstheme="minorHAnsi"/>
          <w:iCs/>
          <w:snapToGrid/>
          <w:szCs w:val="24"/>
          <w:lang w:eastAsia="en-AU"/>
        </w:rPr>
        <w:t>s use over time will be limited to a</w:t>
      </w:r>
      <w:r w:rsidR="001F2B63" w:rsidRPr="001F2B63">
        <w:rPr>
          <w:rFonts w:asciiTheme="minorHAnsi" w:hAnsiTheme="minorHAnsi" w:cstheme="minorHAnsi"/>
          <w:iCs/>
          <w:snapToGrid/>
          <w:szCs w:val="24"/>
          <w:lang w:eastAsia="en-AU"/>
        </w:rPr>
        <w:t xml:space="preserve"> lower risk population if T-DM1 is preferentially used to treat higher risk patients</w:t>
      </w:r>
      <w:r w:rsidR="001F2B63">
        <w:rPr>
          <w:rFonts w:asciiTheme="minorHAnsi" w:hAnsiTheme="minorHAnsi" w:cstheme="minorHAnsi"/>
          <w:iCs/>
          <w:snapToGrid/>
          <w:szCs w:val="24"/>
          <w:lang w:eastAsia="en-AU"/>
        </w:rPr>
        <w:t>)</w:t>
      </w:r>
      <w:r w:rsidR="009959BA">
        <w:rPr>
          <w:rFonts w:asciiTheme="minorHAnsi" w:hAnsiTheme="minorHAnsi" w:cstheme="minorHAnsi"/>
          <w:iCs/>
          <w:snapToGrid/>
          <w:szCs w:val="24"/>
          <w:lang w:eastAsia="en-AU"/>
        </w:rPr>
        <w:t xml:space="preserve">. </w:t>
      </w:r>
      <w:r w:rsidRPr="00EC19BD">
        <w:rPr>
          <w:rFonts w:asciiTheme="minorHAnsi" w:hAnsiTheme="minorHAnsi" w:cstheme="minorHAnsi"/>
          <w:iCs/>
          <w:snapToGrid/>
          <w:szCs w:val="24"/>
          <w:lang w:eastAsia="en-AU"/>
        </w:rPr>
        <w:t xml:space="preserve"> </w:t>
      </w:r>
    </w:p>
    <w:p w:rsidR="009009F3" w:rsidRPr="00551523" w:rsidRDefault="005F05E8" w:rsidP="004C2405">
      <w:pPr>
        <w:pStyle w:val="ListParagraph"/>
        <w:numPr>
          <w:ilvl w:val="1"/>
          <w:numId w:val="5"/>
        </w:numPr>
        <w:rPr>
          <w:rFonts w:asciiTheme="minorHAnsi" w:hAnsiTheme="minorHAnsi"/>
          <w:bCs/>
          <w:lang w:val="en-GB"/>
        </w:rPr>
      </w:pPr>
      <w:r w:rsidRPr="00551523">
        <w:rPr>
          <w:rFonts w:asciiTheme="minorHAnsi" w:hAnsiTheme="minorHAnsi"/>
          <w:bCs/>
          <w:lang w:val="en-GB"/>
        </w:rPr>
        <w:t xml:space="preserve">The PBAC noted and agreed with the other issues regarding the economic model that were identified by the evaluation and the ESC (as outlined in the ‘Economic analysis’ section), particularly the </w:t>
      </w:r>
      <w:r w:rsidR="009009F3" w:rsidRPr="00551523">
        <w:rPr>
          <w:rFonts w:asciiTheme="minorHAnsi" w:hAnsiTheme="minorHAnsi"/>
          <w:bCs/>
          <w:lang w:val="en-GB"/>
        </w:rPr>
        <w:t xml:space="preserve">following </w:t>
      </w:r>
      <w:r w:rsidRPr="00551523">
        <w:rPr>
          <w:rFonts w:asciiTheme="minorHAnsi" w:hAnsiTheme="minorHAnsi"/>
          <w:bCs/>
          <w:lang w:val="en-GB"/>
        </w:rPr>
        <w:t xml:space="preserve">issues: </w:t>
      </w:r>
    </w:p>
    <w:p w:rsidR="009009F3" w:rsidRPr="00551523" w:rsidRDefault="009B2A9A" w:rsidP="009B2A9A">
      <w:pPr>
        <w:pStyle w:val="ListParagraph"/>
        <w:numPr>
          <w:ilvl w:val="0"/>
          <w:numId w:val="25"/>
        </w:numPr>
        <w:ind w:left="1134" w:hanging="425"/>
        <w:rPr>
          <w:rFonts w:asciiTheme="minorHAnsi" w:hAnsiTheme="minorHAnsi"/>
          <w:bCs/>
          <w:lang w:val="en-GB"/>
        </w:rPr>
      </w:pPr>
      <w:r w:rsidRPr="009B2A9A">
        <w:rPr>
          <w:rFonts w:asciiTheme="minorHAnsi" w:hAnsiTheme="minorHAnsi"/>
          <w:bCs/>
          <w:lang w:val="en-GB"/>
        </w:rPr>
        <w:t xml:space="preserve">The model incorporated a substantial gain in OS despite no OS data from the ExteNET trial being </w:t>
      </w:r>
      <w:r w:rsidR="009009F3" w:rsidRPr="00551523">
        <w:rPr>
          <w:rFonts w:asciiTheme="minorHAnsi" w:hAnsiTheme="minorHAnsi"/>
          <w:bCs/>
          <w:lang w:val="en-GB"/>
        </w:rPr>
        <w:t>presented</w:t>
      </w:r>
      <w:r w:rsidR="00E24D97" w:rsidRPr="00551523">
        <w:rPr>
          <w:rFonts w:asciiTheme="minorHAnsi" w:hAnsiTheme="minorHAnsi"/>
          <w:bCs/>
          <w:lang w:val="en-GB"/>
        </w:rPr>
        <w:t>;</w:t>
      </w:r>
      <w:r w:rsidR="009009F3" w:rsidRPr="00551523">
        <w:rPr>
          <w:rFonts w:asciiTheme="minorHAnsi" w:hAnsiTheme="minorHAnsi"/>
          <w:bCs/>
          <w:lang w:val="en-GB"/>
        </w:rPr>
        <w:t xml:space="preserve">  </w:t>
      </w:r>
    </w:p>
    <w:p w:rsidR="009009F3" w:rsidRPr="00551523" w:rsidRDefault="009009F3" w:rsidP="00551523">
      <w:pPr>
        <w:pStyle w:val="ListParagraph"/>
        <w:numPr>
          <w:ilvl w:val="0"/>
          <w:numId w:val="25"/>
        </w:numPr>
        <w:ind w:left="1134" w:hanging="425"/>
        <w:rPr>
          <w:rFonts w:asciiTheme="minorHAnsi" w:hAnsiTheme="minorHAnsi"/>
          <w:bCs/>
          <w:lang w:val="en-GB"/>
        </w:rPr>
      </w:pPr>
      <w:r w:rsidRPr="00551523">
        <w:rPr>
          <w:rFonts w:asciiTheme="minorHAnsi" w:hAnsiTheme="minorHAnsi"/>
          <w:bCs/>
          <w:lang w:val="en-GB"/>
        </w:rPr>
        <w:t xml:space="preserve">Transition probabilities were based on extrapolation functions fitted to Kaplan-Meier data for the entirety of the model. The PBAC previously expressed a preference for the use of observed data </w:t>
      </w:r>
      <w:r w:rsidR="00274169">
        <w:rPr>
          <w:rFonts w:asciiTheme="minorHAnsi" w:hAnsiTheme="minorHAnsi"/>
          <w:bCs/>
          <w:lang w:val="en-GB"/>
        </w:rPr>
        <w:t>where</w:t>
      </w:r>
      <w:r w:rsidR="00274169" w:rsidRPr="00551523">
        <w:rPr>
          <w:rFonts w:asciiTheme="minorHAnsi" w:hAnsiTheme="minorHAnsi"/>
          <w:bCs/>
          <w:lang w:val="en-GB"/>
        </w:rPr>
        <w:t xml:space="preserve"> </w:t>
      </w:r>
      <w:r w:rsidRPr="00551523">
        <w:rPr>
          <w:rFonts w:asciiTheme="minorHAnsi" w:hAnsiTheme="minorHAnsi"/>
          <w:bCs/>
          <w:lang w:val="en-GB"/>
        </w:rPr>
        <w:t>available.</w:t>
      </w:r>
    </w:p>
    <w:p w:rsidR="009009F3" w:rsidRPr="00551523" w:rsidRDefault="009009F3" w:rsidP="00551523">
      <w:pPr>
        <w:pStyle w:val="ListParagraph"/>
        <w:numPr>
          <w:ilvl w:val="0"/>
          <w:numId w:val="25"/>
        </w:numPr>
        <w:ind w:left="1134" w:hanging="425"/>
        <w:rPr>
          <w:rFonts w:asciiTheme="minorHAnsi" w:hAnsiTheme="minorHAnsi"/>
          <w:bCs/>
          <w:lang w:val="en-GB"/>
        </w:rPr>
      </w:pPr>
      <w:r w:rsidRPr="00551523">
        <w:rPr>
          <w:rFonts w:asciiTheme="minorHAnsi" w:hAnsiTheme="minorHAnsi"/>
          <w:bCs/>
          <w:lang w:val="en-GB"/>
        </w:rPr>
        <w:lastRenderedPageBreak/>
        <w:t xml:space="preserve">The ICER </w:t>
      </w:r>
      <w:r w:rsidR="00037A46">
        <w:rPr>
          <w:rFonts w:asciiTheme="minorHAnsi" w:hAnsiTheme="minorHAnsi"/>
          <w:bCs/>
          <w:lang w:val="en-GB"/>
        </w:rPr>
        <w:t>wa</w:t>
      </w:r>
      <w:r w:rsidRPr="00551523">
        <w:rPr>
          <w:rFonts w:asciiTheme="minorHAnsi" w:hAnsiTheme="minorHAnsi"/>
          <w:bCs/>
          <w:lang w:val="en-GB"/>
        </w:rPr>
        <w:t>s highly sensitive to the iDFS extrapolation function and assumed duration of treatment effect. The ICER increased from a base case of $</w:t>
      </w:r>
      <w:r w:rsidR="00374095">
        <w:rPr>
          <w:rFonts w:asciiTheme="minorHAnsi" w:hAnsiTheme="minorHAnsi"/>
          <w:bCs/>
          <w:lang w:val="en-GB"/>
        </w:rPr>
        <w:t>45,000/QALY - $75,000/</w:t>
      </w:r>
      <w:r w:rsidRPr="00551523">
        <w:rPr>
          <w:rFonts w:asciiTheme="minorHAnsi" w:hAnsiTheme="minorHAnsi"/>
          <w:bCs/>
          <w:lang w:val="en-GB"/>
        </w:rPr>
        <w:t>QALY gained to $</w:t>
      </w:r>
      <w:r w:rsidR="00374095">
        <w:rPr>
          <w:rFonts w:asciiTheme="minorHAnsi" w:hAnsiTheme="minorHAnsi"/>
          <w:bCs/>
          <w:lang w:val="en-GB"/>
        </w:rPr>
        <w:t>75,000/QALY - $105,000/QALY</w:t>
      </w:r>
      <w:r w:rsidRPr="00551523">
        <w:rPr>
          <w:rFonts w:asciiTheme="minorHAnsi" w:hAnsiTheme="minorHAnsi"/>
          <w:bCs/>
          <w:lang w:val="en-GB"/>
        </w:rPr>
        <w:t xml:space="preserve"> with a generalised gamma function.</w:t>
      </w:r>
    </w:p>
    <w:p w:rsidR="009009F3" w:rsidRPr="00551523" w:rsidRDefault="009009F3" w:rsidP="00551523">
      <w:pPr>
        <w:pStyle w:val="ListParagraph"/>
        <w:numPr>
          <w:ilvl w:val="0"/>
          <w:numId w:val="25"/>
        </w:numPr>
        <w:ind w:left="1134" w:hanging="425"/>
        <w:rPr>
          <w:rFonts w:asciiTheme="minorHAnsi" w:hAnsiTheme="minorHAnsi"/>
          <w:bCs/>
          <w:lang w:val="en-GB"/>
        </w:rPr>
      </w:pPr>
      <w:r w:rsidRPr="00551523">
        <w:rPr>
          <w:rFonts w:asciiTheme="minorHAnsi" w:hAnsiTheme="minorHAnsi"/>
          <w:bCs/>
          <w:lang w:val="en-GB"/>
        </w:rPr>
        <w:t xml:space="preserve">There </w:t>
      </w:r>
      <w:r w:rsidR="00037A46">
        <w:rPr>
          <w:rFonts w:asciiTheme="minorHAnsi" w:hAnsiTheme="minorHAnsi"/>
          <w:bCs/>
          <w:lang w:val="en-GB"/>
        </w:rPr>
        <w:t>wa</w:t>
      </w:r>
      <w:r w:rsidRPr="00551523">
        <w:rPr>
          <w:rFonts w:asciiTheme="minorHAnsi" w:hAnsiTheme="minorHAnsi"/>
          <w:bCs/>
          <w:lang w:val="en-GB"/>
        </w:rPr>
        <w:t>s substantial missing data for utilities sourced from ExteNET as patients who discontinue treatment are not included. Both trial and literature-based utility sources may have overestimated the utility values, favouring neratinib.</w:t>
      </w:r>
    </w:p>
    <w:p w:rsidR="009009F3" w:rsidRPr="00551523" w:rsidRDefault="009009F3" w:rsidP="00551523">
      <w:pPr>
        <w:pStyle w:val="ListParagraph"/>
        <w:numPr>
          <w:ilvl w:val="0"/>
          <w:numId w:val="25"/>
        </w:numPr>
        <w:ind w:left="1134" w:hanging="425"/>
        <w:rPr>
          <w:rFonts w:asciiTheme="minorHAnsi" w:hAnsiTheme="minorHAnsi"/>
          <w:bCs/>
          <w:lang w:val="en-GB"/>
        </w:rPr>
      </w:pPr>
      <w:r w:rsidRPr="00551523">
        <w:rPr>
          <w:rFonts w:asciiTheme="minorHAnsi" w:hAnsiTheme="minorHAnsi"/>
          <w:bCs/>
          <w:lang w:val="en-GB"/>
        </w:rPr>
        <w:t xml:space="preserve">The cost of neratinib </w:t>
      </w:r>
      <w:r w:rsidR="00037A46">
        <w:rPr>
          <w:rFonts w:asciiTheme="minorHAnsi" w:hAnsiTheme="minorHAnsi"/>
          <w:bCs/>
          <w:lang w:val="en-GB"/>
        </w:rPr>
        <w:t>was</w:t>
      </w:r>
      <w:r w:rsidRPr="00551523">
        <w:rPr>
          <w:rFonts w:asciiTheme="minorHAnsi" w:hAnsiTheme="minorHAnsi"/>
          <w:bCs/>
          <w:lang w:val="en-GB"/>
        </w:rPr>
        <w:t xml:space="preserve"> underestimated.</w:t>
      </w:r>
    </w:p>
    <w:p w:rsidR="009009F3" w:rsidRPr="00551523" w:rsidRDefault="009009F3" w:rsidP="00551523">
      <w:pPr>
        <w:pStyle w:val="ListParagraph"/>
        <w:numPr>
          <w:ilvl w:val="0"/>
          <w:numId w:val="25"/>
        </w:numPr>
        <w:ind w:left="1134" w:hanging="425"/>
        <w:rPr>
          <w:rFonts w:asciiTheme="minorHAnsi" w:hAnsiTheme="minorHAnsi"/>
          <w:bCs/>
          <w:lang w:val="en-GB"/>
        </w:rPr>
      </w:pPr>
      <w:r w:rsidRPr="00551523">
        <w:rPr>
          <w:rFonts w:asciiTheme="minorHAnsi" w:hAnsiTheme="minorHAnsi"/>
          <w:bCs/>
          <w:lang w:val="en-GB"/>
        </w:rPr>
        <w:t xml:space="preserve">The duration of subsequent treatment following recurrence </w:t>
      </w:r>
      <w:r w:rsidR="00037A46">
        <w:rPr>
          <w:rFonts w:asciiTheme="minorHAnsi" w:hAnsiTheme="minorHAnsi"/>
          <w:bCs/>
          <w:lang w:val="en-GB"/>
        </w:rPr>
        <w:t>wa</w:t>
      </w:r>
      <w:r w:rsidRPr="00551523">
        <w:rPr>
          <w:rFonts w:asciiTheme="minorHAnsi" w:hAnsiTheme="minorHAnsi"/>
          <w:bCs/>
          <w:lang w:val="en-GB"/>
        </w:rPr>
        <w:t>s likely overestimated, favouring neratinib.</w:t>
      </w:r>
    </w:p>
    <w:p w:rsidR="009009F3" w:rsidRPr="00551523" w:rsidRDefault="009009F3" w:rsidP="00551523">
      <w:pPr>
        <w:pStyle w:val="ListParagraph"/>
        <w:numPr>
          <w:ilvl w:val="0"/>
          <w:numId w:val="25"/>
        </w:numPr>
        <w:ind w:left="1134" w:hanging="425"/>
        <w:rPr>
          <w:rFonts w:asciiTheme="minorHAnsi" w:hAnsiTheme="minorHAnsi"/>
          <w:bCs/>
          <w:lang w:val="en-GB"/>
        </w:rPr>
      </w:pPr>
      <w:r w:rsidRPr="00551523">
        <w:rPr>
          <w:rFonts w:asciiTheme="minorHAnsi" w:hAnsiTheme="minorHAnsi"/>
          <w:bCs/>
          <w:lang w:val="en-GB"/>
        </w:rPr>
        <w:t>The age of clinical trial patients is consistently below the age observed for women with eBC in Australia and therefore not representative of the specific women to whom the requested listing would apply.</w:t>
      </w:r>
    </w:p>
    <w:p w:rsidR="005330E7" w:rsidRPr="00E13771" w:rsidRDefault="00E24D97" w:rsidP="00E13771">
      <w:pPr>
        <w:numPr>
          <w:ilvl w:val="1"/>
          <w:numId w:val="5"/>
        </w:numPr>
        <w:spacing w:after="120"/>
      </w:pPr>
      <w:r w:rsidRPr="00E13771">
        <w:t>I</w:t>
      </w:r>
      <w:r w:rsidR="005F05E8" w:rsidRPr="00E13771">
        <w:t xml:space="preserve">n light of these uncertainties, along with the small </w:t>
      </w:r>
      <w:r w:rsidRPr="00E13771">
        <w:t xml:space="preserve">iDFS </w:t>
      </w:r>
      <w:r w:rsidR="005F05E8" w:rsidRPr="00E13771">
        <w:t xml:space="preserve">benefit and unclear </w:t>
      </w:r>
      <w:r w:rsidRPr="00E13771">
        <w:t xml:space="preserve">OS </w:t>
      </w:r>
      <w:r w:rsidR="005F05E8" w:rsidRPr="00E13771">
        <w:t xml:space="preserve">benefit, the PBAC considered that </w:t>
      </w:r>
      <w:r w:rsidR="003C1689" w:rsidRPr="00E13771">
        <w:t>the</w:t>
      </w:r>
      <w:r w:rsidR="005F05E8" w:rsidRPr="00E13771">
        <w:t xml:space="preserve"> ICER</w:t>
      </w:r>
      <w:r w:rsidR="003C1689" w:rsidRPr="00E13771">
        <w:t>s presented were unacceptably high and not consistent with</w:t>
      </w:r>
      <w:r w:rsidR="005F05E8" w:rsidRPr="00E13771">
        <w:t xml:space="preserve"> </w:t>
      </w:r>
      <w:r w:rsidRPr="00E13771">
        <w:t>the previously recommended ICERs for other adjuvant breast cancer therapies</w:t>
      </w:r>
      <w:r w:rsidR="009851DB" w:rsidRPr="00E13771">
        <w:t>.</w:t>
      </w:r>
      <w:r w:rsidRPr="00E13771">
        <w:t xml:space="preserve"> </w:t>
      </w:r>
      <w:r w:rsidR="00F6798E" w:rsidRPr="00E13771" w:rsidDel="00F6798E">
        <w:t xml:space="preserve"> </w:t>
      </w:r>
      <w:r w:rsidR="008B49BE" w:rsidRPr="00E13771">
        <w:t xml:space="preserve">The PBAC considered that a clear </w:t>
      </w:r>
      <w:r w:rsidR="009851DB" w:rsidRPr="00E13771">
        <w:t xml:space="preserve">clinical </w:t>
      </w:r>
      <w:r w:rsidR="008B49BE" w:rsidRPr="00E13771">
        <w:t>benefit would need to be demonstrated</w:t>
      </w:r>
      <w:r w:rsidR="009851DB" w:rsidRPr="00E13771">
        <w:t xml:space="preserve"> with neratinib</w:t>
      </w:r>
      <w:r w:rsidR="00DE598E" w:rsidRPr="00E13771">
        <w:t xml:space="preserve"> in the relevant population</w:t>
      </w:r>
      <w:r w:rsidR="003C1689" w:rsidRPr="00E13771">
        <w:t>s</w:t>
      </w:r>
      <w:r w:rsidR="009851DB" w:rsidRPr="00E13771">
        <w:t xml:space="preserve"> for it to </w:t>
      </w:r>
      <w:r w:rsidR="00E07C01" w:rsidRPr="00E13771">
        <w:t xml:space="preserve">be </w:t>
      </w:r>
      <w:r w:rsidR="003C1689" w:rsidRPr="00E13771">
        <w:t xml:space="preserve">evaluated for </w:t>
      </w:r>
      <w:r w:rsidR="009851DB" w:rsidRPr="00E13771">
        <w:t>cost-effective</w:t>
      </w:r>
      <w:r w:rsidR="003C1689" w:rsidRPr="00E13771">
        <w:t>ness</w:t>
      </w:r>
      <w:r w:rsidR="009851DB" w:rsidRPr="00E13771">
        <w:t>.</w:t>
      </w:r>
    </w:p>
    <w:p w:rsidR="004C2405" w:rsidRPr="00E23499" w:rsidRDefault="00A172A9" w:rsidP="00F357CB">
      <w:pPr>
        <w:numPr>
          <w:ilvl w:val="1"/>
          <w:numId w:val="5"/>
        </w:numPr>
        <w:spacing w:after="120"/>
      </w:pPr>
      <w:r w:rsidRPr="00BD0F3F">
        <w:t xml:space="preserve">The PBAC considered that the estimated financial impact of neratinib to the Australian Government was likely </w:t>
      </w:r>
      <w:r w:rsidR="00B151D7">
        <w:t xml:space="preserve">substantially </w:t>
      </w:r>
      <w:r w:rsidRPr="00BD0F3F">
        <w:t>overestimated in the resubmission</w:t>
      </w:r>
      <w:r w:rsidR="00A031BF">
        <w:t xml:space="preserve"> given that the population that is likely to benefit from neratinib would be a </w:t>
      </w:r>
      <w:r w:rsidR="00A031BF" w:rsidRPr="00A031BF">
        <w:t xml:space="preserve">limited and diminishing population given the changing landscape for the treatment of </w:t>
      </w:r>
      <w:r w:rsidR="003C1689">
        <w:t xml:space="preserve">HER2+ </w:t>
      </w:r>
      <w:r w:rsidR="00A031BF" w:rsidRPr="00A031BF">
        <w:t>eBC</w:t>
      </w:r>
      <w:r w:rsidRPr="00BD0F3F">
        <w:t xml:space="preserve">. The PBAC considered </w:t>
      </w:r>
      <w:r w:rsidR="004C2405" w:rsidRPr="00BD0F3F">
        <w:t>the resubmission did not adequately address the PBAC’s concerns raised in the original submission regarding market size, uptake rate and the change in approach to treating high risk HER2+ patients.</w:t>
      </w:r>
      <w:r w:rsidR="002C7F23">
        <w:t xml:space="preserve"> </w:t>
      </w:r>
    </w:p>
    <w:p w:rsidR="00E23499" w:rsidRPr="00E23499" w:rsidRDefault="00E23499" w:rsidP="00E23499">
      <w:pPr>
        <w:numPr>
          <w:ilvl w:val="1"/>
          <w:numId w:val="5"/>
        </w:numPr>
        <w:spacing w:after="120"/>
      </w:pPr>
      <w:r>
        <w:t>The PBAC considered that any potential resubmission would need to be for the patient groups for whom there is both a clinical place and clinical evidence for neratinib. The PBAC considered that this would be a small and diminishing group of patients, who would likely be at lower risk and derive a lower clinical benefit than observed in the broader trial population. The PBAC therefore considered that a resubmission may not be feasible, as it would need to include clear clinical data for the population defined in Paragraph 7.6, with associated changes to the model and financial estimates.</w:t>
      </w:r>
    </w:p>
    <w:p w:rsidR="00B8293E" w:rsidRPr="00AA7D36" w:rsidRDefault="00A36238" w:rsidP="00AA7D36">
      <w:pPr>
        <w:numPr>
          <w:ilvl w:val="1"/>
          <w:numId w:val="5"/>
        </w:numPr>
        <w:spacing w:after="120"/>
        <w:rPr>
          <w:rFonts w:asciiTheme="minorHAnsi" w:hAnsiTheme="minorHAnsi"/>
          <w:bCs/>
          <w:lang w:val="en-GB"/>
        </w:rPr>
      </w:pPr>
      <w:r w:rsidRPr="00525B39">
        <w:rPr>
          <w:rFonts w:asciiTheme="minorHAnsi" w:hAnsiTheme="minorHAnsi"/>
          <w:bCs/>
          <w:lang w:val="en-GB"/>
        </w:rPr>
        <w:t>The PBAC noted that this submission is eligible for an</w:t>
      </w:r>
      <w:r>
        <w:rPr>
          <w:rFonts w:asciiTheme="minorHAnsi" w:hAnsiTheme="minorHAnsi"/>
          <w:bCs/>
          <w:lang w:val="en-GB"/>
        </w:rPr>
        <w:t xml:space="preserve"> Independent Review.</w:t>
      </w:r>
    </w:p>
    <w:p w:rsidR="00A84C29" w:rsidRPr="00525B39" w:rsidRDefault="00A84C29" w:rsidP="00467DC0">
      <w:pPr>
        <w:rPr>
          <w:rFonts w:asciiTheme="minorHAnsi" w:hAnsiTheme="minorHAnsi"/>
          <w:b/>
          <w:bCs/>
          <w:lang w:val="en-GB"/>
        </w:rPr>
      </w:pPr>
      <w:r w:rsidRPr="00525B39">
        <w:rPr>
          <w:rFonts w:asciiTheme="minorHAnsi" w:hAnsiTheme="minorHAnsi"/>
          <w:b/>
          <w:bCs/>
          <w:lang w:val="en-GB"/>
        </w:rPr>
        <w:t>Outcome:</w:t>
      </w:r>
    </w:p>
    <w:p w:rsidR="00A84C29" w:rsidRDefault="00A07D3F" w:rsidP="00467DC0">
      <w:pPr>
        <w:rPr>
          <w:rFonts w:asciiTheme="minorHAnsi" w:hAnsiTheme="minorHAnsi"/>
          <w:bCs/>
          <w:lang w:val="en-GB"/>
        </w:rPr>
      </w:pPr>
      <w:r>
        <w:rPr>
          <w:rFonts w:asciiTheme="minorHAnsi" w:hAnsiTheme="minorHAnsi"/>
          <w:bCs/>
          <w:lang w:val="en-GB"/>
        </w:rPr>
        <w:t>Rejected</w:t>
      </w:r>
      <w:bookmarkEnd w:id="0"/>
      <w:bookmarkEnd w:id="1"/>
      <w:bookmarkEnd w:id="2"/>
      <w:bookmarkEnd w:id="3"/>
      <w:bookmarkEnd w:id="4"/>
    </w:p>
    <w:p w:rsidR="008472BF" w:rsidRPr="008472BF" w:rsidRDefault="008472BF" w:rsidP="008472BF">
      <w:pPr>
        <w:keepNext/>
        <w:numPr>
          <w:ilvl w:val="0"/>
          <w:numId w:val="5"/>
        </w:numPr>
        <w:spacing w:before="240" w:after="120"/>
        <w:outlineLvl w:val="0"/>
        <w:rPr>
          <w:rFonts w:asciiTheme="minorHAnsi" w:hAnsiTheme="minorHAnsi"/>
          <w:b/>
          <w:bCs/>
          <w:sz w:val="32"/>
        </w:rPr>
      </w:pPr>
      <w:r w:rsidRPr="008472BF">
        <w:rPr>
          <w:rFonts w:asciiTheme="minorHAnsi" w:hAnsiTheme="minorHAnsi"/>
          <w:b/>
          <w:bCs/>
          <w:sz w:val="32"/>
        </w:rPr>
        <w:lastRenderedPageBreak/>
        <w:t>Context for Decision</w:t>
      </w:r>
    </w:p>
    <w:p w:rsidR="008472BF" w:rsidRPr="008472BF" w:rsidRDefault="00296426" w:rsidP="008472BF">
      <w:pPr>
        <w:widowControl/>
        <w:spacing w:line="276" w:lineRule="auto"/>
        <w:rPr>
          <w:rFonts w:asciiTheme="minorHAnsi" w:eastAsiaTheme="minorHAnsi" w:hAnsiTheme="minorHAnsi"/>
          <w:snapToGrid/>
        </w:rPr>
      </w:pPr>
      <w:r w:rsidRPr="00296426">
        <w:rPr>
          <w:rFonts w:asciiTheme="minorHAnsi" w:eastAsiaTheme="minorHAnsi" w:hAnsiTheme="minorHAnsi"/>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472BF" w:rsidRPr="008472BF" w:rsidRDefault="008472BF" w:rsidP="008472BF">
      <w:pPr>
        <w:keepNext/>
        <w:numPr>
          <w:ilvl w:val="0"/>
          <w:numId w:val="5"/>
        </w:numPr>
        <w:spacing w:before="240" w:after="120"/>
        <w:outlineLvl w:val="0"/>
        <w:rPr>
          <w:rFonts w:asciiTheme="minorHAnsi" w:hAnsiTheme="minorHAnsi"/>
          <w:b/>
          <w:bCs/>
          <w:sz w:val="32"/>
        </w:rPr>
      </w:pPr>
      <w:r w:rsidRPr="008472BF">
        <w:rPr>
          <w:rFonts w:asciiTheme="minorHAnsi" w:hAnsiTheme="minorHAnsi"/>
          <w:b/>
          <w:bCs/>
          <w:sz w:val="32"/>
        </w:rPr>
        <w:t>Sponsor’s Comment</w:t>
      </w:r>
      <w:bookmarkStart w:id="25" w:name="_GoBack"/>
      <w:bookmarkEnd w:id="25"/>
    </w:p>
    <w:p w:rsidR="008472BF" w:rsidRPr="00ED7D6E" w:rsidRDefault="008472BF" w:rsidP="00ED7D6E">
      <w:pPr>
        <w:widowControl/>
        <w:spacing w:after="120" w:line="276" w:lineRule="auto"/>
        <w:rPr>
          <w:rFonts w:asciiTheme="minorHAnsi" w:eastAsiaTheme="minorHAnsi" w:hAnsiTheme="minorHAnsi"/>
          <w:bCs/>
          <w:snapToGrid/>
        </w:rPr>
      </w:pPr>
      <w:r w:rsidRPr="008472BF">
        <w:rPr>
          <w:rFonts w:asciiTheme="minorHAnsi" w:eastAsiaTheme="minorHAnsi" w:hAnsiTheme="minorHAnsi"/>
          <w:bCs/>
          <w:snapToGrid/>
        </w:rPr>
        <w:t>The sponsor had no comment.</w:t>
      </w:r>
    </w:p>
    <w:sectPr w:rsidR="008472BF" w:rsidRPr="00ED7D6E" w:rsidSect="00B33CDC">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9DD02" w16cid:durableId="219A2E72"/>
  <w16cid:commentId w16cid:paraId="7FA3A8A7" w16cid:durableId="219A31E8"/>
  <w16cid:commentId w16cid:paraId="3AB62F62" w16cid:durableId="219A7065"/>
  <w16cid:commentId w16cid:paraId="347E7051" w16cid:durableId="219B4F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A0" w:rsidRDefault="00741AA0" w:rsidP="00124A51">
      <w:r>
        <w:separator/>
      </w:r>
    </w:p>
    <w:p w:rsidR="00741AA0" w:rsidRDefault="00741AA0"/>
  </w:endnote>
  <w:endnote w:type="continuationSeparator" w:id="0">
    <w:p w:rsidR="00741AA0" w:rsidRDefault="00741AA0" w:rsidP="00124A51">
      <w:r>
        <w:continuationSeparator/>
      </w:r>
    </w:p>
    <w:p w:rsidR="00741AA0" w:rsidRDefault="00741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A0" w:rsidRDefault="00741AA0" w:rsidP="00C21660">
    <w:pPr>
      <w:ind w:right="360"/>
      <w:jc w:val="center"/>
      <w:rPr>
        <w:szCs w:val="24"/>
      </w:rPr>
    </w:pPr>
  </w:p>
  <w:p w:rsidR="00741AA0" w:rsidRPr="00F90A91" w:rsidRDefault="00741AA0" w:rsidP="00E14BE2">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ED7D6E">
      <w:rPr>
        <w:b/>
        <w:noProof/>
      </w:rPr>
      <w:t>38</w:t>
    </w:r>
    <w:r w:rsidRPr="00836F75">
      <w:rPr>
        <w:b/>
        <w:noProof/>
      </w:rPr>
      <w:fldChar w:fldCharType="end"/>
    </w:r>
    <w:r>
      <w:rPr>
        <w:b/>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A0" w:rsidRDefault="00741AA0" w:rsidP="00124A51">
      <w:r>
        <w:separator/>
      </w:r>
    </w:p>
    <w:p w:rsidR="00741AA0" w:rsidRDefault="00741AA0"/>
  </w:footnote>
  <w:footnote w:type="continuationSeparator" w:id="0">
    <w:p w:rsidR="00741AA0" w:rsidRDefault="00741AA0" w:rsidP="00124A51">
      <w:r>
        <w:continuationSeparator/>
      </w:r>
    </w:p>
    <w:p w:rsidR="00741AA0" w:rsidRDefault="00741AA0"/>
  </w:footnote>
  <w:footnote w:id="1">
    <w:p w:rsidR="00741AA0" w:rsidRDefault="00741AA0">
      <w:pPr>
        <w:pStyle w:val="FootnoteText"/>
      </w:pPr>
      <w:r>
        <w:rPr>
          <w:rStyle w:val="FootnoteReference"/>
        </w:rPr>
        <w:footnoteRef/>
      </w:r>
      <w:r>
        <w:t xml:space="preserve"> </w:t>
      </w:r>
      <w:r w:rsidRPr="000F2144">
        <w:rPr>
          <w:i/>
          <w:iCs/>
        </w:rPr>
        <w:t>National Comprehensive Cancer Network Guidelines Version 3.2019 Invasive Breast Cancer</w:t>
      </w:r>
    </w:p>
  </w:footnote>
  <w:footnote w:id="2">
    <w:p w:rsidR="00741AA0" w:rsidRDefault="00741AA0">
      <w:pPr>
        <w:pStyle w:val="FootnoteText"/>
      </w:pPr>
      <w:r>
        <w:rPr>
          <w:rStyle w:val="FootnoteReference"/>
        </w:rPr>
        <w:footnoteRef/>
      </w:r>
      <w:r>
        <w:t xml:space="preserve"> </w:t>
      </w:r>
      <w:r w:rsidRPr="006822ED">
        <w:rPr>
          <w:sz w:val="18"/>
          <w:szCs w:val="18"/>
        </w:rPr>
        <w:t>Cherny NI, Dafni U, Bogaerts J, et al: ESMO-Magnitude of Clinical Benefit Scale version 1.1. Annals of Oncology 28:2340-2366, 2017</w:t>
      </w:r>
    </w:p>
  </w:footnote>
  <w:footnote w:id="3">
    <w:p w:rsidR="00741AA0" w:rsidRPr="00FF114A" w:rsidRDefault="00741AA0" w:rsidP="001A18CD">
      <w:pPr>
        <w:pStyle w:val="FootnoteText"/>
        <w:rPr>
          <w:lang w:val="en-US"/>
        </w:rPr>
      </w:pPr>
      <w:r>
        <w:rPr>
          <w:rStyle w:val="FootnoteReference"/>
        </w:rPr>
        <w:footnoteRef/>
      </w:r>
      <w:r>
        <w:t xml:space="preserve"> </w:t>
      </w:r>
      <w:r>
        <w:rPr>
          <w:lang w:val="en-US"/>
        </w:rPr>
        <w:t>Davis et al (2004). Assessing the Support Needs of Women with Early Breast Cancer in Australia. Cancer Nursing. 27(2) (pp169-174).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A0" w:rsidRPr="00056684" w:rsidRDefault="00741AA0" w:rsidP="00672483">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2019</w:t>
    </w:r>
    <w:r w:rsidRPr="00056684">
      <w:rPr>
        <w:rFonts w:asciiTheme="minorHAnsi" w:hAnsiTheme="minorHAnsi"/>
        <w:i/>
        <w:color w:val="808080"/>
      </w:rPr>
      <w:t xml:space="preserve"> PBAC Meeting</w:t>
    </w:r>
  </w:p>
  <w:p w:rsidR="00741AA0" w:rsidRPr="00672483" w:rsidRDefault="00741AA0" w:rsidP="00672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17" w:rsidRPr="00056684" w:rsidRDefault="00747717" w:rsidP="00747717">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2019</w:t>
    </w:r>
    <w:r w:rsidRPr="00056684">
      <w:rPr>
        <w:rFonts w:asciiTheme="minorHAnsi" w:hAnsiTheme="minorHAnsi"/>
        <w:i/>
        <w:color w:val="808080"/>
      </w:rPr>
      <w:t xml:space="preserve"> PBAC Meeting</w:t>
    </w:r>
  </w:p>
  <w:p w:rsidR="00747717" w:rsidRDefault="007477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685484"/>
    <w:multiLevelType w:val="hybridMultilevel"/>
    <w:tmpl w:val="2B581E7E"/>
    <w:lvl w:ilvl="0" w:tplc="3D289174">
      <w:start w:val="1"/>
      <w:numFmt w:val="bullet"/>
      <w:lvlText w:val="-"/>
      <w:lvlJc w:val="left"/>
      <w:pPr>
        <w:tabs>
          <w:tab w:val="num" w:pos="720"/>
        </w:tabs>
        <w:ind w:left="720" w:hanging="360"/>
      </w:pPr>
      <w:rPr>
        <w:rFonts w:ascii="Arial" w:hAnsi="Arial" w:hint="default"/>
      </w:rPr>
    </w:lvl>
    <w:lvl w:ilvl="1" w:tplc="89226E40" w:tentative="1">
      <w:start w:val="1"/>
      <w:numFmt w:val="bullet"/>
      <w:lvlText w:val="-"/>
      <w:lvlJc w:val="left"/>
      <w:pPr>
        <w:tabs>
          <w:tab w:val="num" w:pos="1440"/>
        </w:tabs>
        <w:ind w:left="1440" w:hanging="360"/>
      </w:pPr>
      <w:rPr>
        <w:rFonts w:ascii="Arial" w:hAnsi="Arial" w:hint="default"/>
      </w:rPr>
    </w:lvl>
    <w:lvl w:ilvl="2" w:tplc="305CBD9E" w:tentative="1">
      <w:start w:val="1"/>
      <w:numFmt w:val="bullet"/>
      <w:lvlText w:val="-"/>
      <w:lvlJc w:val="left"/>
      <w:pPr>
        <w:tabs>
          <w:tab w:val="num" w:pos="2160"/>
        </w:tabs>
        <w:ind w:left="2160" w:hanging="360"/>
      </w:pPr>
      <w:rPr>
        <w:rFonts w:ascii="Arial" w:hAnsi="Arial" w:hint="default"/>
      </w:rPr>
    </w:lvl>
    <w:lvl w:ilvl="3" w:tplc="02E8B64C" w:tentative="1">
      <w:start w:val="1"/>
      <w:numFmt w:val="bullet"/>
      <w:lvlText w:val="-"/>
      <w:lvlJc w:val="left"/>
      <w:pPr>
        <w:tabs>
          <w:tab w:val="num" w:pos="2880"/>
        </w:tabs>
        <w:ind w:left="2880" w:hanging="360"/>
      </w:pPr>
      <w:rPr>
        <w:rFonts w:ascii="Arial" w:hAnsi="Arial" w:hint="default"/>
      </w:rPr>
    </w:lvl>
    <w:lvl w:ilvl="4" w:tplc="351E3336" w:tentative="1">
      <w:start w:val="1"/>
      <w:numFmt w:val="bullet"/>
      <w:lvlText w:val="-"/>
      <w:lvlJc w:val="left"/>
      <w:pPr>
        <w:tabs>
          <w:tab w:val="num" w:pos="3600"/>
        </w:tabs>
        <w:ind w:left="3600" w:hanging="360"/>
      </w:pPr>
      <w:rPr>
        <w:rFonts w:ascii="Arial" w:hAnsi="Arial" w:hint="default"/>
      </w:rPr>
    </w:lvl>
    <w:lvl w:ilvl="5" w:tplc="030A1196" w:tentative="1">
      <w:start w:val="1"/>
      <w:numFmt w:val="bullet"/>
      <w:lvlText w:val="-"/>
      <w:lvlJc w:val="left"/>
      <w:pPr>
        <w:tabs>
          <w:tab w:val="num" w:pos="4320"/>
        </w:tabs>
        <w:ind w:left="4320" w:hanging="360"/>
      </w:pPr>
      <w:rPr>
        <w:rFonts w:ascii="Arial" w:hAnsi="Arial" w:hint="default"/>
      </w:rPr>
    </w:lvl>
    <w:lvl w:ilvl="6" w:tplc="181C3B1A" w:tentative="1">
      <w:start w:val="1"/>
      <w:numFmt w:val="bullet"/>
      <w:lvlText w:val="-"/>
      <w:lvlJc w:val="left"/>
      <w:pPr>
        <w:tabs>
          <w:tab w:val="num" w:pos="5040"/>
        </w:tabs>
        <w:ind w:left="5040" w:hanging="360"/>
      </w:pPr>
      <w:rPr>
        <w:rFonts w:ascii="Arial" w:hAnsi="Arial" w:hint="default"/>
      </w:rPr>
    </w:lvl>
    <w:lvl w:ilvl="7" w:tplc="E876B2D0" w:tentative="1">
      <w:start w:val="1"/>
      <w:numFmt w:val="bullet"/>
      <w:lvlText w:val="-"/>
      <w:lvlJc w:val="left"/>
      <w:pPr>
        <w:tabs>
          <w:tab w:val="num" w:pos="5760"/>
        </w:tabs>
        <w:ind w:left="5760" w:hanging="360"/>
      </w:pPr>
      <w:rPr>
        <w:rFonts w:ascii="Arial" w:hAnsi="Arial" w:hint="default"/>
      </w:rPr>
    </w:lvl>
    <w:lvl w:ilvl="8" w:tplc="60087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96F51"/>
    <w:multiLevelType w:val="hybridMultilevel"/>
    <w:tmpl w:val="67F20AFC"/>
    <w:lvl w:ilvl="0" w:tplc="F488CFD6">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14FCF"/>
    <w:multiLevelType w:val="hybridMultilevel"/>
    <w:tmpl w:val="0E1EEC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D92DFE"/>
    <w:multiLevelType w:val="hybridMultilevel"/>
    <w:tmpl w:val="0694B0A6"/>
    <w:lvl w:ilvl="0" w:tplc="3EB40F9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6324B0"/>
    <w:multiLevelType w:val="hybridMultilevel"/>
    <w:tmpl w:val="6F164182"/>
    <w:lvl w:ilvl="0" w:tplc="7F78B43A">
      <w:start w:val="1"/>
      <w:numFmt w:val="bullet"/>
      <w:lvlText w:val="•"/>
      <w:lvlJc w:val="left"/>
      <w:pPr>
        <w:tabs>
          <w:tab w:val="num" w:pos="720"/>
        </w:tabs>
        <w:ind w:left="720" w:hanging="360"/>
      </w:pPr>
      <w:rPr>
        <w:rFonts w:ascii="Arial" w:hAnsi="Arial" w:hint="default"/>
      </w:rPr>
    </w:lvl>
    <w:lvl w:ilvl="1" w:tplc="BAA82F60">
      <w:start w:val="1"/>
      <w:numFmt w:val="bullet"/>
      <w:lvlText w:val="•"/>
      <w:lvlJc w:val="left"/>
      <w:pPr>
        <w:tabs>
          <w:tab w:val="num" w:pos="1440"/>
        </w:tabs>
        <w:ind w:left="1440" w:hanging="360"/>
      </w:pPr>
      <w:rPr>
        <w:rFonts w:ascii="Arial" w:hAnsi="Arial" w:hint="default"/>
      </w:rPr>
    </w:lvl>
    <w:lvl w:ilvl="2" w:tplc="D9F64154" w:tentative="1">
      <w:start w:val="1"/>
      <w:numFmt w:val="bullet"/>
      <w:lvlText w:val="•"/>
      <w:lvlJc w:val="left"/>
      <w:pPr>
        <w:tabs>
          <w:tab w:val="num" w:pos="2160"/>
        </w:tabs>
        <w:ind w:left="2160" w:hanging="360"/>
      </w:pPr>
      <w:rPr>
        <w:rFonts w:ascii="Arial" w:hAnsi="Arial" w:hint="default"/>
      </w:rPr>
    </w:lvl>
    <w:lvl w:ilvl="3" w:tplc="88B882E0" w:tentative="1">
      <w:start w:val="1"/>
      <w:numFmt w:val="bullet"/>
      <w:lvlText w:val="•"/>
      <w:lvlJc w:val="left"/>
      <w:pPr>
        <w:tabs>
          <w:tab w:val="num" w:pos="2880"/>
        </w:tabs>
        <w:ind w:left="2880" w:hanging="360"/>
      </w:pPr>
      <w:rPr>
        <w:rFonts w:ascii="Arial" w:hAnsi="Arial" w:hint="default"/>
      </w:rPr>
    </w:lvl>
    <w:lvl w:ilvl="4" w:tplc="54849D70" w:tentative="1">
      <w:start w:val="1"/>
      <w:numFmt w:val="bullet"/>
      <w:lvlText w:val="•"/>
      <w:lvlJc w:val="left"/>
      <w:pPr>
        <w:tabs>
          <w:tab w:val="num" w:pos="3600"/>
        </w:tabs>
        <w:ind w:left="3600" w:hanging="360"/>
      </w:pPr>
      <w:rPr>
        <w:rFonts w:ascii="Arial" w:hAnsi="Arial" w:hint="default"/>
      </w:rPr>
    </w:lvl>
    <w:lvl w:ilvl="5" w:tplc="391671CC" w:tentative="1">
      <w:start w:val="1"/>
      <w:numFmt w:val="bullet"/>
      <w:lvlText w:val="•"/>
      <w:lvlJc w:val="left"/>
      <w:pPr>
        <w:tabs>
          <w:tab w:val="num" w:pos="4320"/>
        </w:tabs>
        <w:ind w:left="4320" w:hanging="360"/>
      </w:pPr>
      <w:rPr>
        <w:rFonts w:ascii="Arial" w:hAnsi="Arial" w:hint="default"/>
      </w:rPr>
    </w:lvl>
    <w:lvl w:ilvl="6" w:tplc="3602684A" w:tentative="1">
      <w:start w:val="1"/>
      <w:numFmt w:val="bullet"/>
      <w:lvlText w:val="•"/>
      <w:lvlJc w:val="left"/>
      <w:pPr>
        <w:tabs>
          <w:tab w:val="num" w:pos="5040"/>
        </w:tabs>
        <w:ind w:left="5040" w:hanging="360"/>
      </w:pPr>
      <w:rPr>
        <w:rFonts w:ascii="Arial" w:hAnsi="Arial" w:hint="default"/>
      </w:rPr>
    </w:lvl>
    <w:lvl w:ilvl="7" w:tplc="48A2FCEC" w:tentative="1">
      <w:start w:val="1"/>
      <w:numFmt w:val="bullet"/>
      <w:lvlText w:val="•"/>
      <w:lvlJc w:val="left"/>
      <w:pPr>
        <w:tabs>
          <w:tab w:val="num" w:pos="5760"/>
        </w:tabs>
        <w:ind w:left="5760" w:hanging="360"/>
      </w:pPr>
      <w:rPr>
        <w:rFonts w:ascii="Arial" w:hAnsi="Arial" w:hint="default"/>
      </w:rPr>
    </w:lvl>
    <w:lvl w:ilvl="8" w:tplc="98F462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6E6CE3"/>
    <w:multiLevelType w:val="hybridMultilevel"/>
    <w:tmpl w:val="3A120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67BBD"/>
    <w:multiLevelType w:val="hybridMultilevel"/>
    <w:tmpl w:val="A80A1D76"/>
    <w:lvl w:ilvl="0" w:tplc="A8346D46">
      <w:start w:val="1"/>
      <w:numFmt w:val="bullet"/>
      <w:lvlText w:val=""/>
      <w:lvlJc w:val="left"/>
      <w:pPr>
        <w:ind w:left="502" w:hanging="360"/>
      </w:pPr>
      <w:rPr>
        <w:rFonts w:ascii="Symbol" w:hAnsi="Symbol" w:hint="default"/>
        <w:i w:val="0"/>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C34E2"/>
    <w:multiLevelType w:val="hybridMultilevel"/>
    <w:tmpl w:val="E6445368"/>
    <w:lvl w:ilvl="0" w:tplc="0C090001">
      <w:start w:val="1"/>
      <w:numFmt w:val="bullet"/>
      <w:lvlText w:val=""/>
      <w:lvlJc w:val="left"/>
      <w:pPr>
        <w:ind w:left="106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72942"/>
    <w:multiLevelType w:val="hybridMultilevel"/>
    <w:tmpl w:val="E44A68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F2B18DF"/>
    <w:multiLevelType w:val="hybridMultilevel"/>
    <w:tmpl w:val="7C0655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42297"/>
    <w:multiLevelType w:val="hybridMultilevel"/>
    <w:tmpl w:val="4C9099E8"/>
    <w:lvl w:ilvl="0" w:tplc="ED709186">
      <w:start w:val="1"/>
      <w:numFmt w:val="bullet"/>
      <w:pStyle w:val="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A755F"/>
    <w:multiLevelType w:val="hybridMultilevel"/>
    <w:tmpl w:val="28245332"/>
    <w:lvl w:ilvl="0" w:tplc="28605D4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EF1716"/>
    <w:multiLevelType w:val="multilevel"/>
    <w:tmpl w:val="DA92A66A"/>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5369C"/>
    <w:multiLevelType w:val="hybridMultilevel"/>
    <w:tmpl w:val="8E247E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3A669B4"/>
    <w:multiLevelType w:val="hybridMultilevel"/>
    <w:tmpl w:val="1B4CA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D033C"/>
    <w:multiLevelType w:val="multilevel"/>
    <w:tmpl w:val="7310A2D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994B61"/>
    <w:multiLevelType w:val="hybridMultilevel"/>
    <w:tmpl w:val="F580E382"/>
    <w:lvl w:ilvl="0" w:tplc="0C090001">
      <w:start w:val="1"/>
      <w:numFmt w:val="bullet"/>
      <w:lvlText w:val=""/>
      <w:lvlJc w:val="left"/>
      <w:pPr>
        <w:ind w:left="1068" w:hanging="360"/>
      </w:pPr>
      <w:rPr>
        <w:rFonts w:ascii="Symbol" w:hAnsi="Symbol" w:hint="default"/>
      </w:rPr>
    </w:lvl>
    <w:lvl w:ilvl="1" w:tplc="0C090003">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25" w15:restartNumberingAfterBreak="0">
    <w:nsid w:val="7C37170B"/>
    <w:multiLevelType w:val="hybridMultilevel"/>
    <w:tmpl w:val="67D61C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2"/>
  </w:num>
  <w:num w:numId="4">
    <w:abstractNumId w:val="7"/>
  </w:num>
  <w:num w:numId="5">
    <w:abstractNumId w:val="23"/>
  </w:num>
  <w:num w:numId="6">
    <w:abstractNumId w:val="24"/>
  </w:num>
  <w:num w:numId="7">
    <w:abstractNumId w:val="18"/>
  </w:num>
  <w:num w:numId="8">
    <w:abstractNumId w:val="10"/>
  </w:num>
  <w:num w:numId="9">
    <w:abstractNumId w:val="4"/>
  </w:num>
  <w:num w:numId="10">
    <w:abstractNumId w:val="20"/>
  </w:num>
  <w:num w:numId="11">
    <w:abstractNumId w:val="5"/>
  </w:num>
  <w:num w:numId="12">
    <w:abstractNumId w:val="0"/>
  </w:num>
  <w:num w:numId="13">
    <w:abstractNumId w:val="12"/>
  </w:num>
  <w:num w:numId="14">
    <w:abstractNumId w:val="13"/>
  </w:num>
  <w:num w:numId="15">
    <w:abstractNumId w:val="11"/>
  </w:num>
  <w:num w:numId="16">
    <w:abstractNumId w:val="22"/>
  </w:num>
  <w:num w:numId="17">
    <w:abstractNumId w:val="1"/>
  </w:num>
  <w:num w:numId="18">
    <w:abstractNumId w:val="25"/>
  </w:num>
  <w:num w:numId="19">
    <w:abstractNumId w:val="8"/>
  </w:num>
  <w:num w:numId="20">
    <w:abstractNumId w:val="19"/>
  </w:num>
  <w:num w:numId="21">
    <w:abstractNumId w:val="21"/>
  </w:num>
  <w:num w:numId="22">
    <w:abstractNumId w:val="16"/>
  </w:num>
  <w:num w:numId="23">
    <w:abstractNumId w:val="6"/>
  </w:num>
  <w:num w:numId="24">
    <w:abstractNumId w:val="3"/>
  </w:num>
  <w:num w:numId="25">
    <w:abstractNumId w:val="9"/>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F7A"/>
    <w:rsid w:val="0000110B"/>
    <w:rsid w:val="0000211A"/>
    <w:rsid w:val="00003499"/>
    <w:rsid w:val="000039B7"/>
    <w:rsid w:val="00003C2A"/>
    <w:rsid w:val="00007814"/>
    <w:rsid w:val="000122A6"/>
    <w:rsid w:val="00013247"/>
    <w:rsid w:val="00015886"/>
    <w:rsid w:val="000159CB"/>
    <w:rsid w:val="00015A00"/>
    <w:rsid w:val="000162EF"/>
    <w:rsid w:val="000162F9"/>
    <w:rsid w:val="00016D52"/>
    <w:rsid w:val="00017C51"/>
    <w:rsid w:val="000200F8"/>
    <w:rsid w:val="000202EE"/>
    <w:rsid w:val="00021DFC"/>
    <w:rsid w:val="00022138"/>
    <w:rsid w:val="0002225F"/>
    <w:rsid w:val="00023763"/>
    <w:rsid w:val="00025B3F"/>
    <w:rsid w:val="00025E60"/>
    <w:rsid w:val="00026A2A"/>
    <w:rsid w:val="00027B42"/>
    <w:rsid w:val="00031660"/>
    <w:rsid w:val="00033863"/>
    <w:rsid w:val="00035BE6"/>
    <w:rsid w:val="00035DC0"/>
    <w:rsid w:val="00036386"/>
    <w:rsid w:val="00036829"/>
    <w:rsid w:val="000375A6"/>
    <w:rsid w:val="00037A46"/>
    <w:rsid w:val="00040048"/>
    <w:rsid w:val="00040895"/>
    <w:rsid w:val="0004186E"/>
    <w:rsid w:val="00042E2A"/>
    <w:rsid w:val="00042FC5"/>
    <w:rsid w:val="00043C37"/>
    <w:rsid w:val="0004414A"/>
    <w:rsid w:val="00044C8B"/>
    <w:rsid w:val="00045017"/>
    <w:rsid w:val="00045A2B"/>
    <w:rsid w:val="00046631"/>
    <w:rsid w:val="0004698F"/>
    <w:rsid w:val="00047FA8"/>
    <w:rsid w:val="0005103E"/>
    <w:rsid w:val="000511A0"/>
    <w:rsid w:val="000511C7"/>
    <w:rsid w:val="00051575"/>
    <w:rsid w:val="00051698"/>
    <w:rsid w:val="00052F1E"/>
    <w:rsid w:val="000539D0"/>
    <w:rsid w:val="0005452A"/>
    <w:rsid w:val="00054621"/>
    <w:rsid w:val="000546D7"/>
    <w:rsid w:val="00054826"/>
    <w:rsid w:val="0005561C"/>
    <w:rsid w:val="0005642B"/>
    <w:rsid w:val="00056EB7"/>
    <w:rsid w:val="00056FD9"/>
    <w:rsid w:val="00060184"/>
    <w:rsid w:val="00062E04"/>
    <w:rsid w:val="000638EE"/>
    <w:rsid w:val="000655BF"/>
    <w:rsid w:val="00066360"/>
    <w:rsid w:val="000678BE"/>
    <w:rsid w:val="000701BA"/>
    <w:rsid w:val="00071248"/>
    <w:rsid w:val="00071C91"/>
    <w:rsid w:val="000720B9"/>
    <w:rsid w:val="000737F7"/>
    <w:rsid w:val="00073B94"/>
    <w:rsid w:val="00075144"/>
    <w:rsid w:val="00075D2F"/>
    <w:rsid w:val="00075F59"/>
    <w:rsid w:val="00076206"/>
    <w:rsid w:val="0007672F"/>
    <w:rsid w:val="00076B17"/>
    <w:rsid w:val="000774F0"/>
    <w:rsid w:val="000800E7"/>
    <w:rsid w:val="000802F9"/>
    <w:rsid w:val="00080909"/>
    <w:rsid w:val="000812CA"/>
    <w:rsid w:val="000813B2"/>
    <w:rsid w:val="00081CF8"/>
    <w:rsid w:val="0008258D"/>
    <w:rsid w:val="00083E99"/>
    <w:rsid w:val="00084E15"/>
    <w:rsid w:val="000856C5"/>
    <w:rsid w:val="000857BD"/>
    <w:rsid w:val="00090C7E"/>
    <w:rsid w:val="00092600"/>
    <w:rsid w:val="0009262B"/>
    <w:rsid w:val="00093310"/>
    <w:rsid w:val="000939FD"/>
    <w:rsid w:val="0009445C"/>
    <w:rsid w:val="00095FBE"/>
    <w:rsid w:val="00095FE5"/>
    <w:rsid w:val="000961CF"/>
    <w:rsid w:val="00096284"/>
    <w:rsid w:val="00096F2A"/>
    <w:rsid w:val="00097A49"/>
    <w:rsid w:val="00097EBF"/>
    <w:rsid w:val="000A488A"/>
    <w:rsid w:val="000A68DA"/>
    <w:rsid w:val="000A7920"/>
    <w:rsid w:val="000A7D08"/>
    <w:rsid w:val="000A7D65"/>
    <w:rsid w:val="000B0670"/>
    <w:rsid w:val="000B0E05"/>
    <w:rsid w:val="000B0E75"/>
    <w:rsid w:val="000B1C5A"/>
    <w:rsid w:val="000B2B4D"/>
    <w:rsid w:val="000B31D2"/>
    <w:rsid w:val="000B3B63"/>
    <w:rsid w:val="000B6CAC"/>
    <w:rsid w:val="000B7612"/>
    <w:rsid w:val="000C0F84"/>
    <w:rsid w:val="000C2B80"/>
    <w:rsid w:val="000C2FC9"/>
    <w:rsid w:val="000C3DF9"/>
    <w:rsid w:val="000C6713"/>
    <w:rsid w:val="000D1BFC"/>
    <w:rsid w:val="000D281A"/>
    <w:rsid w:val="000D326A"/>
    <w:rsid w:val="000D4E0D"/>
    <w:rsid w:val="000D51FB"/>
    <w:rsid w:val="000D534A"/>
    <w:rsid w:val="000D638E"/>
    <w:rsid w:val="000D6845"/>
    <w:rsid w:val="000E135D"/>
    <w:rsid w:val="000E175F"/>
    <w:rsid w:val="000E230B"/>
    <w:rsid w:val="000E4D5B"/>
    <w:rsid w:val="000E65F2"/>
    <w:rsid w:val="000F00BA"/>
    <w:rsid w:val="000F2144"/>
    <w:rsid w:val="000F3017"/>
    <w:rsid w:val="000F316A"/>
    <w:rsid w:val="000F3C74"/>
    <w:rsid w:val="000F4BB8"/>
    <w:rsid w:val="000F5311"/>
    <w:rsid w:val="000F6EE4"/>
    <w:rsid w:val="000F7127"/>
    <w:rsid w:val="000F7C27"/>
    <w:rsid w:val="00100F66"/>
    <w:rsid w:val="00100F8A"/>
    <w:rsid w:val="00101AC4"/>
    <w:rsid w:val="0010243E"/>
    <w:rsid w:val="001027A6"/>
    <w:rsid w:val="00102F40"/>
    <w:rsid w:val="001051FD"/>
    <w:rsid w:val="00105AE2"/>
    <w:rsid w:val="00106B80"/>
    <w:rsid w:val="0011032E"/>
    <w:rsid w:val="00111898"/>
    <w:rsid w:val="001123BF"/>
    <w:rsid w:val="00113141"/>
    <w:rsid w:val="0011348B"/>
    <w:rsid w:val="00115982"/>
    <w:rsid w:val="00116C53"/>
    <w:rsid w:val="00116E94"/>
    <w:rsid w:val="00117D57"/>
    <w:rsid w:val="00120337"/>
    <w:rsid w:val="001214BB"/>
    <w:rsid w:val="00121799"/>
    <w:rsid w:val="001222FC"/>
    <w:rsid w:val="001230A6"/>
    <w:rsid w:val="00124A51"/>
    <w:rsid w:val="001251B2"/>
    <w:rsid w:val="00126621"/>
    <w:rsid w:val="001278F5"/>
    <w:rsid w:val="00127C87"/>
    <w:rsid w:val="001301E9"/>
    <w:rsid w:val="00131D82"/>
    <w:rsid w:val="00132ADF"/>
    <w:rsid w:val="001330CD"/>
    <w:rsid w:val="001339F7"/>
    <w:rsid w:val="00133B57"/>
    <w:rsid w:val="00133D36"/>
    <w:rsid w:val="00134241"/>
    <w:rsid w:val="00134586"/>
    <w:rsid w:val="00134683"/>
    <w:rsid w:val="00135CC6"/>
    <w:rsid w:val="00136C43"/>
    <w:rsid w:val="00137645"/>
    <w:rsid w:val="001378D5"/>
    <w:rsid w:val="0014015A"/>
    <w:rsid w:val="00140E99"/>
    <w:rsid w:val="001430E0"/>
    <w:rsid w:val="001445ED"/>
    <w:rsid w:val="00145540"/>
    <w:rsid w:val="001456B0"/>
    <w:rsid w:val="001456FD"/>
    <w:rsid w:val="0014700A"/>
    <w:rsid w:val="001513E1"/>
    <w:rsid w:val="00151FE1"/>
    <w:rsid w:val="00152527"/>
    <w:rsid w:val="00152B62"/>
    <w:rsid w:val="001534E3"/>
    <w:rsid w:val="00157130"/>
    <w:rsid w:val="001575FF"/>
    <w:rsid w:val="001576B1"/>
    <w:rsid w:val="001576CB"/>
    <w:rsid w:val="00160658"/>
    <w:rsid w:val="00160A4C"/>
    <w:rsid w:val="00162913"/>
    <w:rsid w:val="0016375A"/>
    <w:rsid w:val="00163EFF"/>
    <w:rsid w:val="00163FE0"/>
    <w:rsid w:val="001661FB"/>
    <w:rsid w:val="00166F01"/>
    <w:rsid w:val="001675E6"/>
    <w:rsid w:val="00170E08"/>
    <w:rsid w:val="001725D2"/>
    <w:rsid w:val="00173565"/>
    <w:rsid w:val="00173B07"/>
    <w:rsid w:val="00174218"/>
    <w:rsid w:val="0017480F"/>
    <w:rsid w:val="00174AA7"/>
    <w:rsid w:val="00176525"/>
    <w:rsid w:val="001766B9"/>
    <w:rsid w:val="00177A1E"/>
    <w:rsid w:val="00180106"/>
    <w:rsid w:val="00181D9C"/>
    <w:rsid w:val="00182570"/>
    <w:rsid w:val="00184667"/>
    <w:rsid w:val="00184D23"/>
    <w:rsid w:val="00185CE4"/>
    <w:rsid w:val="00186053"/>
    <w:rsid w:val="001874AD"/>
    <w:rsid w:val="0018752F"/>
    <w:rsid w:val="0019296D"/>
    <w:rsid w:val="0019472D"/>
    <w:rsid w:val="00195222"/>
    <w:rsid w:val="00196756"/>
    <w:rsid w:val="001975D8"/>
    <w:rsid w:val="00197675"/>
    <w:rsid w:val="001977A8"/>
    <w:rsid w:val="001A0134"/>
    <w:rsid w:val="001A18CD"/>
    <w:rsid w:val="001A42AB"/>
    <w:rsid w:val="001A43FA"/>
    <w:rsid w:val="001A4674"/>
    <w:rsid w:val="001A56A8"/>
    <w:rsid w:val="001A59FB"/>
    <w:rsid w:val="001A6354"/>
    <w:rsid w:val="001A6F37"/>
    <w:rsid w:val="001A7AE8"/>
    <w:rsid w:val="001A7F6C"/>
    <w:rsid w:val="001B0556"/>
    <w:rsid w:val="001B1760"/>
    <w:rsid w:val="001B204E"/>
    <w:rsid w:val="001B2F8B"/>
    <w:rsid w:val="001B3443"/>
    <w:rsid w:val="001B4889"/>
    <w:rsid w:val="001B4D20"/>
    <w:rsid w:val="001B677B"/>
    <w:rsid w:val="001B6D8E"/>
    <w:rsid w:val="001C2A9B"/>
    <w:rsid w:val="001C3345"/>
    <w:rsid w:val="001C3E6B"/>
    <w:rsid w:val="001C4299"/>
    <w:rsid w:val="001C52D2"/>
    <w:rsid w:val="001C5B4C"/>
    <w:rsid w:val="001C5F94"/>
    <w:rsid w:val="001C6E66"/>
    <w:rsid w:val="001C727B"/>
    <w:rsid w:val="001C74A6"/>
    <w:rsid w:val="001C75EF"/>
    <w:rsid w:val="001D0889"/>
    <w:rsid w:val="001D152B"/>
    <w:rsid w:val="001D5D68"/>
    <w:rsid w:val="001D61DF"/>
    <w:rsid w:val="001E2006"/>
    <w:rsid w:val="001E238E"/>
    <w:rsid w:val="001E2483"/>
    <w:rsid w:val="001E2B1E"/>
    <w:rsid w:val="001E2D7C"/>
    <w:rsid w:val="001E30D4"/>
    <w:rsid w:val="001E52EB"/>
    <w:rsid w:val="001E61D2"/>
    <w:rsid w:val="001E740C"/>
    <w:rsid w:val="001E7592"/>
    <w:rsid w:val="001F1235"/>
    <w:rsid w:val="001F1CB3"/>
    <w:rsid w:val="001F2025"/>
    <w:rsid w:val="001F2B63"/>
    <w:rsid w:val="001F2DC5"/>
    <w:rsid w:val="001F3480"/>
    <w:rsid w:val="001F38B5"/>
    <w:rsid w:val="001F3E02"/>
    <w:rsid w:val="001F43CE"/>
    <w:rsid w:val="001F50BC"/>
    <w:rsid w:val="001F7361"/>
    <w:rsid w:val="002011B0"/>
    <w:rsid w:val="00203181"/>
    <w:rsid w:val="00203783"/>
    <w:rsid w:val="0020385F"/>
    <w:rsid w:val="00204EED"/>
    <w:rsid w:val="00205AF2"/>
    <w:rsid w:val="002063A1"/>
    <w:rsid w:val="00207021"/>
    <w:rsid w:val="0020732F"/>
    <w:rsid w:val="00207778"/>
    <w:rsid w:val="00207BDB"/>
    <w:rsid w:val="00207D00"/>
    <w:rsid w:val="002105C1"/>
    <w:rsid w:val="002107C9"/>
    <w:rsid w:val="00210CD3"/>
    <w:rsid w:val="00213496"/>
    <w:rsid w:val="00216DB5"/>
    <w:rsid w:val="002172B1"/>
    <w:rsid w:val="00221556"/>
    <w:rsid w:val="00221704"/>
    <w:rsid w:val="00223116"/>
    <w:rsid w:val="00223B49"/>
    <w:rsid w:val="00224253"/>
    <w:rsid w:val="00224B67"/>
    <w:rsid w:val="00224DD4"/>
    <w:rsid w:val="0022543D"/>
    <w:rsid w:val="00225941"/>
    <w:rsid w:val="00230733"/>
    <w:rsid w:val="002309CC"/>
    <w:rsid w:val="0023209F"/>
    <w:rsid w:val="0023323F"/>
    <w:rsid w:val="00233579"/>
    <w:rsid w:val="00234539"/>
    <w:rsid w:val="0023629D"/>
    <w:rsid w:val="0023640A"/>
    <w:rsid w:val="00237255"/>
    <w:rsid w:val="00240C7F"/>
    <w:rsid w:val="002424AF"/>
    <w:rsid w:val="0024313F"/>
    <w:rsid w:val="002439DC"/>
    <w:rsid w:val="00244DC8"/>
    <w:rsid w:val="002458BA"/>
    <w:rsid w:val="0024636C"/>
    <w:rsid w:val="002472A2"/>
    <w:rsid w:val="00247925"/>
    <w:rsid w:val="00254301"/>
    <w:rsid w:val="00254A68"/>
    <w:rsid w:val="00254A7C"/>
    <w:rsid w:val="00254DCF"/>
    <w:rsid w:val="0025534B"/>
    <w:rsid w:val="002559A8"/>
    <w:rsid w:val="00255BB7"/>
    <w:rsid w:val="00256560"/>
    <w:rsid w:val="00257541"/>
    <w:rsid w:val="00262A1A"/>
    <w:rsid w:val="00262A87"/>
    <w:rsid w:val="00264868"/>
    <w:rsid w:val="00264D1F"/>
    <w:rsid w:val="00264D26"/>
    <w:rsid w:val="00265824"/>
    <w:rsid w:val="00267642"/>
    <w:rsid w:val="00267AEA"/>
    <w:rsid w:val="002700E6"/>
    <w:rsid w:val="00270EB6"/>
    <w:rsid w:val="0027294B"/>
    <w:rsid w:val="0027348D"/>
    <w:rsid w:val="00274169"/>
    <w:rsid w:val="00275BB9"/>
    <w:rsid w:val="00275C5A"/>
    <w:rsid w:val="0027717E"/>
    <w:rsid w:val="00277735"/>
    <w:rsid w:val="00280777"/>
    <w:rsid w:val="00281014"/>
    <w:rsid w:val="00282453"/>
    <w:rsid w:val="00283443"/>
    <w:rsid w:val="00285496"/>
    <w:rsid w:val="00286F97"/>
    <w:rsid w:val="00286FAB"/>
    <w:rsid w:val="0029041D"/>
    <w:rsid w:val="00292681"/>
    <w:rsid w:val="00296426"/>
    <w:rsid w:val="002964E6"/>
    <w:rsid w:val="002A0024"/>
    <w:rsid w:val="002A11FD"/>
    <w:rsid w:val="002A14AB"/>
    <w:rsid w:val="002A2F50"/>
    <w:rsid w:val="002A60F0"/>
    <w:rsid w:val="002A6689"/>
    <w:rsid w:val="002B09A4"/>
    <w:rsid w:val="002B1248"/>
    <w:rsid w:val="002B1651"/>
    <w:rsid w:val="002B1C1F"/>
    <w:rsid w:val="002B432F"/>
    <w:rsid w:val="002B5B0D"/>
    <w:rsid w:val="002B612C"/>
    <w:rsid w:val="002B62B3"/>
    <w:rsid w:val="002B6754"/>
    <w:rsid w:val="002B6CCE"/>
    <w:rsid w:val="002C1699"/>
    <w:rsid w:val="002C16AE"/>
    <w:rsid w:val="002C243B"/>
    <w:rsid w:val="002C2510"/>
    <w:rsid w:val="002C2775"/>
    <w:rsid w:val="002C27C1"/>
    <w:rsid w:val="002C29BB"/>
    <w:rsid w:val="002C3660"/>
    <w:rsid w:val="002C3D45"/>
    <w:rsid w:val="002C4E75"/>
    <w:rsid w:val="002C5099"/>
    <w:rsid w:val="002C5889"/>
    <w:rsid w:val="002C71CE"/>
    <w:rsid w:val="002C7F23"/>
    <w:rsid w:val="002D0DEC"/>
    <w:rsid w:val="002D1ED8"/>
    <w:rsid w:val="002D2BAB"/>
    <w:rsid w:val="002D3969"/>
    <w:rsid w:val="002D577C"/>
    <w:rsid w:val="002D5987"/>
    <w:rsid w:val="002D7FF7"/>
    <w:rsid w:val="002E15B9"/>
    <w:rsid w:val="002E2158"/>
    <w:rsid w:val="002E23CF"/>
    <w:rsid w:val="002E69FA"/>
    <w:rsid w:val="002E7722"/>
    <w:rsid w:val="002F07BA"/>
    <w:rsid w:val="002F07C4"/>
    <w:rsid w:val="002F0DA9"/>
    <w:rsid w:val="002F16D1"/>
    <w:rsid w:val="002F5B31"/>
    <w:rsid w:val="002F634A"/>
    <w:rsid w:val="002F643C"/>
    <w:rsid w:val="002F64B2"/>
    <w:rsid w:val="002F71C0"/>
    <w:rsid w:val="002F742A"/>
    <w:rsid w:val="00301017"/>
    <w:rsid w:val="0030155F"/>
    <w:rsid w:val="0030183F"/>
    <w:rsid w:val="003026F0"/>
    <w:rsid w:val="003033CC"/>
    <w:rsid w:val="00304970"/>
    <w:rsid w:val="0030587B"/>
    <w:rsid w:val="00306D98"/>
    <w:rsid w:val="00307821"/>
    <w:rsid w:val="0030786C"/>
    <w:rsid w:val="0031031A"/>
    <w:rsid w:val="00310981"/>
    <w:rsid w:val="00310FB3"/>
    <w:rsid w:val="00310FB5"/>
    <w:rsid w:val="00312B90"/>
    <w:rsid w:val="003131C1"/>
    <w:rsid w:val="00313BAC"/>
    <w:rsid w:val="00313FE5"/>
    <w:rsid w:val="00314E9B"/>
    <w:rsid w:val="00315498"/>
    <w:rsid w:val="00322107"/>
    <w:rsid w:val="003226A7"/>
    <w:rsid w:val="00322846"/>
    <w:rsid w:val="0032355E"/>
    <w:rsid w:val="00324A6F"/>
    <w:rsid w:val="00325747"/>
    <w:rsid w:val="003257CC"/>
    <w:rsid w:val="00325B70"/>
    <w:rsid w:val="00326DA7"/>
    <w:rsid w:val="003270E4"/>
    <w:rsid w:val="00330F5C"/>
    <w:rsid w:val="00333AF4"/>
    <w:rsid w:val="003366C9"/>
    <w:rsid w:val="003371B0"/>
    <w:rsid w:val="003404B0"/>
    <w:rsid w:val="00340DF1"/>
    <w:rsid w:val="00341700"/>
    <w:rsid w:val="00342DA5"/>
    <w:rsid w:val="00343EA0"/>
    <w:rsid w:val="00344532"/>
    <w:rsid w:val="003460CE"/>
    <w:rsid w:val="00346788"/>
    <w:rsid w:val="003474A1"/>
    <w:rsid w:val="003517F9"/>
    <w:rsid w:val="00352FE8"/>
    <w:rsid w:val="003544A4"/>
    <w:rsid w:val="0035496E"/>
    <w:rsid w:val="00355CAD"/>
    <w:rsid w:val="0035620E"/>
    <w:rsid w:val="00357A96"/>
    <w:rsid w:val="00357F1C"/>
    <w:rsid w:val="0036156C"/>
    <w:rsid w:val="003624C4"/>
    <w:rsid w:val="003643DB"/>
    <w:rsid w:val="003649B9"/>
    <w:rsid w:val="003654AC"/>
    <w:rsid w:val="003661AA"/>
    <w:rsid w:val="00366564"/>
    <w:rsid w:val="003710CF"/>
    <w:rsid w:val="00371AD1"/>
    <w:rsid w:val="00372F2D"/>
    <w:rsid w:val="0037358A"/>
    <w:rsid w:val="00373D4E"/>
    <w:rsid w:val="00374095"/>
    <w:rsid w:val="00374594"/>
    <w:rsid w:val="00374FE8"/>
    <w:rsid w:val="003750F6"/>
    <w:rsid w:val="003760FC"/>
    <w:rsid w:val="00376372"/>
    <w:rsid w:val="0037645C"/>
    <w:rsid w:val="003768BE"/>
    <w:rsid w:val="0037695E"/>
    <w:rsid w:val="00376FEC"/>
    <w:rsid w:val="00377B9C"/>
    <w:rsid w:val="0038365C"/>
    <w:rsid w:val="0038369B"/>
    <w:rsid w:val="00383B78"/>
    <w:rsid w:val="003847EB"/>
    <w:rsid w:val="003850A1"/>
    <w:rsid w:val="00385A9D"/>
    <w:rsid w:val="00385F2F"/>
    <w:rsid w:val="0039023A"/>
    <w:rsid w:val="003902B1"/>
    <w:rsid w:val="00390473"/>
    <w:rsid w:val="003921D4"/>
    <w:rsid w:val="00393BA3"/>
    <w:rsid w:val="00394FA1"/>
    <w:rsid w:val="00396852"/>
    <w:rsid w:val="00396896"/>
    <w:rsid w:val="00396C09"/>
    <w:rsid w:val="00396FD0"/>
    <w:rsid w:val="003A0895"/>
    <w:rsid w:val="003A0E7F"/>
    <w:rsid w:val="003A1A7A"/>
    <w:rsid w:val="003A2392"/>
    <w:rsid w:val="003A2831"/>
    <w:rsid w:val="003A3A00"/>
    <w:rsid w:val="003A3ED1"/>
    <w:rsid w:val="003A592B"/>
    <w:rsid w:val="003A7092"/>
    <w:rsid w:val="003A740D"/>
    <w:rsid w:val="003B53A4"/>
    <w:rsid w:val="003B568E"/>
    <w:rsid w:val="003B5B61"/>
    <w:rsid w:val="003C0CB9"/>
    <w:rsid w:val="003C1654"/>
    <w:rsid w:val="003C1659"/>
    <w:rsid w:val="003C1689"/>
    <w:rsid w:val="003C3B91"/>
    <w:rsid w:val="003C7D19"/>
    <w:rsid w:val="003C7FC9"/>
    <w:rsid w:val="003D0A23"/>
    <w:rsid w:val="003D14BB"/>
    <w:rsid w:val="003D1828"/>
    <w:rsid w:val="003D1DE4"/>
    <w:rsid w:val="003D2422"/>
    <w:rsid w:val="003D3736"/>
    <w:rsid w:val="003D39A1"/>
    <w:rsid w:val="003D3FBF"/>
    <w:rsid w:val="003D4226"/>
    <w:rsid w:val="003D4A30"/>
    <w:rsid w:val="003D6B0D"/>
    <w:rsid w:val="003D79BB"/>
    <w:rsid w:val="003D7B23"/>
    <w:rsid w:val="003D7C98"/>
    <w:rsid w:val="003D7DE1"/>
    <w:rsid w:val="003E0543"/>
    <w:rsid w:val="003E0ADE"/>
    <w:rsid w:val="003E2642"/>
    <w:rsid w:val="003E321F"/>
    <w:rsid w:val="003E3812"/>
    <w:rsid w:val="003E39B0"/>
    <w:rsid w:val="003E5998"/>
    <w:rsid w:val="003F0BEA"/>
    <w:rsid w:val="003F0D70"/>
    <w:rsid w:val="003F247B"/>
    <w:rsid w:val="003F3BB3"/>
    <w:rsid w:val="003F4029"/>
    <w:rsid w:val="003F4156"/>
    <w:rsid w:val="003F4A75"/>
    <w:rsid w:val="003F4AA0"/>
    <w:rsid w:val="003F4DB0"/>
    <w:rsid w:val="003F5ABF"/>
    <w:rsid w:val="00400B29"/>
    <w:rsid w:val="00403144"/>
    <w:rsid w:val="00403A47"/>
    <w:rsid w:val="0040504B"/>
    <w:rsid w:val="00410708"/>
    <w:rsid w:val="00410EC7"/>
    <w:rsid w:val="0041142B"/>
    <w:rsid w:val="00411B39"/>
    <w:rsid w:val="00413A1E"/>
    <w:rsid w:val="00413A72"/>
    <w:rsid w:val="00414476"/>
    <w:rsid w:val="00414C2E"/>
    <w:rsid w:val="00414C85"/>
    <w:rsid w:val="004151CF"/>
    <w:rsid w:val="00416364"/>
    <w:rsid w:val="00416797"/>
    <w:rsid w:val="004200A0"/>
    <w:rsid w:val="00420AA6"/>
    <w:rsid w:val="00420B9F"/>
    <w:rsid w:val="0042148E"/>
    <w:rsid w:val="0042182A"/>
    <w:rsid w:val="00421D68"/>
    <w:rsid w:val="00422260"/>
    <w:rsid w:val="00422B57"/>
    <w:rsid w:val="0042413F"/>
    <w:rsid w:val="004248E9"/>
    <w:rsid w:val="00426A5C"/>
    <w:rsid w:val="00426C83"/>
    <w:rsid w:val="00426E74"/>
    <w:rsid w:val="0043173C"/>
    <w:rsid w:val="004319F8"/>
    <w:rsid w:val="00431A97"/>
    <w:rsid w:val="00431E55"/>
    <w:rsid w:val="004321F6"/>
    <w:rsid w:val="00433044"/>
    <w:rsid w:val="004338BB"/>
    <w:rsid w:val="00435E6A"/>
    <w:rsid w:val="00435F71"/>
    <w:rsid w:val="004375B9"/>
    <w:rsid w:val="004428D0"/>
    <w:rsid w:val="004440B8"/>
    <w:rsid w:val="004443A7"/>
    <w:rsid w:val="0044442C"/>
    <w:rsid w:val="00445941"/>
    <w:rsid w:val="004464EB"/>
    <w:rsid w:val="00447A45"/>
    <w:rsid w:val="00447D26"/>
    <w:rsid w:val="004504EF"/>
    <w:rsid w:val="00450A37"/>
    <w:rsid w:val="00455D45"/>
    <w:rsid w:val="00455DB9"/>
    <w:rsid w:val="0045628B"/>
    <w:rsid w:val="00460881"/>
    <w:rsid w:val="00460C8E"/>
    <w:rsid w:val="00461646"/>
    <w:rsid w:val="00462340"/>
    <w:rsid w:val="00463208"/>
    <w:rsid w:val="00463783"/>
    <w:rsid w:val="00464595"/>
    <w:rsid w:val="00465799"/>
    <w:rsid w:val="00465C5F"/>
    <w:rsid w:val="00467AF9"/>
    <w:rsid w:val="00467DC0"/>
    <w:rsid w:val="00472356"/>
    <w:rsid w:val="00472A79"/>
    <w:rsid w:val="00472D96"/>
    <w:rsid w:val="0047359D"/>
    <w:rsid w:val="00473F19"/>
    <w:rsid w:val="004759A3"/>
    <w:rsid w:val="00475E22"/>
    <w:rsid w:val="00480410"/>
    <w:rsid w:val="0048088E"/>
    <w:rsid w:val="00480EAE"/>
    <w:rsid w:val="00481141"/>
    <w:rsid w:val="00482720"/>
    <w:rsid w:val="0048305E"/>
    <w:rsid w:val="004835E7"/>
    <w:rsid w:val="0048379A"/>
    <w:rsid w:val="00484948"/>
    <w:rsid w:val="0048632E"/>
    <w:rsid w:val="004867E2"/>
    <w:rsid w:val="004874E6"/>
    <w:rsid w:val="00491B3A"/>
    <w:rsid w:val="00492CFD"/>
    <w:rsid w:val="004933A0"/>
    <w:rsid w:val="00494DD5"/>
    <w:rsid w:val="0049539F"/>
    <w:rsid w:val="00495627"/>
    <w:rsid w:val="00495D7E"/>
    <w:rsid w:val="004962D2"/>
    <w:rsid w:val="00496C7D"/>
    <w:rsid w:val="00496FE5"/>
    <w:rsid w:val="00497320"/>
    <w:rsid w:val="004A0DA1"/>
    <w:rsid w:val="004A1698"/>
    <w:rsid w:val="004A2887"/>
    <w:rsid w:val="004A52E9"/>
    <w:rsid w:val="004A5DF0"/>
    <w:rsid w:val="004A6597"/>
    <w:rsid w:val="004A7044"/>
    <w:rsid w:val="004A7841"/>
    <w:rsid w:val="004A7848"/>
    <w:rsid w:val="004B0657"/>
    <w:rsid w:val="004B1CB4"/>
    <w:rsid w:val="004B2F18"/>
    <w:rsid w:val="004B3AC9"/>
    <w:rsid w:val="004B3DDB"/>
    <w:rsid w:val="004B44FD"/>
    <w:rsid w:val="004B4968"/>
    <w:rsid w:val="004B5CFC"/>
    <w:rsid w:val="004B6333"/>
    <w:rsid w:val="004B7466"/>
    <w:rsid w:val="004B774D"/>
    <w:rsid w:val="004B77F0"/>
    <w:rsid w:val="004C2405"/>
    <w:rsid w:val="004C3111"/>
    <w:rsid w:val="004C49F6"/>
    <w:rsid w:val="004C4AED"/>
    <w:rsid w:val="004C7DD6"/>
    <w:rsid w:val="004D2C2D"/>
    <w:rsid w:val="004D50DC"/>
    <w:rsid w:val="004D6958"/>
    <w:rsid w:val="004D7227"/>
    <w:rsid w:val="004E067A"/>
    <w:rsid w:val="004E0B68"/>
    <w:rsid w:val="004E0E7F"/>
    <w:rsid w:val="004E0EB8"/>
    <w:rsid w:val="004E1DB1"/>
    <w:rsid w:val="004E1EAA"/>
    <w:rsid w:val="004E26F9"/>
    <w:rsid w:val="004E2ADC"/>
    <w:rsid w:val="004E2B32"/>
    <w:rsid w:val="004E43B2"/>
    <w:rsid w:val="004E5709"/>
    <w:rsid w:val="004E7216"/>
    <w:rsid w:val="004F1D02"/>
    <w:rsid w:val="004F22D6"/>
    <w:rsid w:val="004F2679"/>
    <w:rsid w:val="004F2922"/>
    <w:rsid w:val="004F2F21"/>
    <w:rsid w:val="004F317C"/>
    <w:rsid w:val="004F3494"/>
    <w:rsid w:val="004F6913"/>
    <w:rsid w:val="004F7865"/>
    <w:rsid w:val="00501936"/>
    <w:rsid w:val="0050219B"/>
    <w:rsid w:val="00503F17"/>
    <w:rsid w:val="00504908"/>
    <w:rsid w:val="00506171"/>
    <w:rsid w:val="00506928"/>
    <w:rsid w:val="00506C21"/>
    <w:rsid w:val="00506FD9"/>
    <w:rsid w:val="00510AC5"/>
    <w:rsid w:val="00511C59"/>
    <w:rsid w:val="00512AD5"/>
    <w:rsid w:val="005132CC"/>
    <w:rsid w:val="0051465A"/>
    <w:rsid w:val="00514EF3"/>
    <w:rsid w:val="005152B5"/>
    <w:rsid w:val="005167A5"/>
    <w:rsid w:val="00516908"/>
    <w:rsid w:val="005200CD"/>
    <w:rsid w:val="00521319"/>
    <w:rsid w:val="0052178E"/>
    <w:rsid w:val="00522BC8"/>
    <w:rsid w:val="00523C28"/>
    <w:rsid w:val="00526299"/>
    <w:rsid w:val="00527582"/>
    <w:rsid w:val="00527D76"/>
    <w:rsid w:val="00530AD0"/>
    <w:rsid w:val="00531218"/>
    <w:rsid w:val="00531D3C"/>
    <w:rsid w:val="005330E7"/>
    <w:rsid w:val="005331EB"/>
    <w:rsid w:val="00534D39"/>
    <w:rsid w:val="0053564E"/>
    <w:rsid w:val="00536F42"/>
    <w:rsid w:val="00537182"/>
    <w:rsid w:val="00537399"/>
    <w:rsid w:val="00540D66"/>
    <w:rsid w:val="00541AC3"/>
    <w:rsid w:val="00542743"/>
    <w:rsid w:val="005427B5"/>
    <w:rsid w:val="00542C2D"/>
    <w:rsid w:val="00543385"/>
    <w:rsid w:val="005474BA"/>
    <w:rsid w:val="00550270"/>
    <w:rsid w:val="0055111C"/>
    <w:rsid w:val="00551523"/>
    <w:rsid w:val="00551927"/>
    <w:rsid w:val="00551985"/>
    <w:rsid w:val="00552BD3"/>
    <w:rsid w:val="00555109"/>
    <w:rsid w:val="00556F3A"/>
    <w:rsid w:val="00557304"/>
    <w:rsid w:val="00557D26"/>
    <w:rsid w:val="00561A00"/>
    <w:rsid w:val="005623D9"/>
    <w:rsid w:val="00563B76"/>
    <w:rsid w:val="00565425"/>
    <w:rsid w:val="0056696F"/>
    <w:rsid w:val="00572269"/>
    <w:rsid w:val="0057244A"/>
    <w:rsid w:val="005739EF"/>
    <w:rsid w:val="0057411A"/>
    <w:rsid w:val="00574BF3"/>
    <w:rsid w:val="005751C6"/>
    <w:rsid w:val="00575D8D"/>
    <w:rsid w:val="00576972"/>
    <w:rsid w:val="00581D28"/>
    <w:rsid w:val="00583699"/>
    <w:rsid w:val="00583A42"/>
    <w:rsid w:val="00584391"/>
    <w:rsid w:val="0058459B"/>
    <w:rsid w:val="00585A1C"/>
    <w:rsid w:val="00585CDD"/>
    <w:rsid w:val="00585E43"/>
    <w:rsid w:val="00587058"/>
    <w:rsid w:val="00590CAE"/>
    <w:rsid w:val="00591957"/>
    <w:rsid w:val="00592723"/>
    <w:rsid w:val="00593F1C"/>
    <w:rsid w:val="00593FF4"/>
    <w:rsid w:val="005940C5"/>
    <w:rsid w:val="005968D8"/>
    <w:rsid w:val="00596C02"/>
    <w:rsid w:val="00597640"/>
    <w:rsid w:val="00597BF9"/>
    <w:rsid w:val="005A36B4"/>
    <w:rsid w:val="005A373D"/>
    <w:rsid w:val="005A664A"/>
    <w:rsid w:val="005B121D"/>
    <w:rsid w:val="005B1D1D"/>
    <w:rsid w:val="005B2BBE"/>
    <w:rsid w:val="005B3484"/>
    <w:rsid w:val="005B3FC7"/>
    <w:rsid w:val="005B4B8C"/>
    <w:rsid w:val="005B5136"/>
    <w:rsid w:val="005B5857"/>
    <w:rsid w:val="005B66D0"/>
    <w:rsid w:val="005C0449"/>
    <w:rsid w:val="005C1B83"/>
    <w:rsid w:val="005C2D55"/>
    <w:rsid w:val="005C346B"/>
    <w:rsid w:val="005C3A7B"/>
    <w:rsid w:val="005C3B03"/>
    <w:rsid w:val="005C3C3D"/>
    <w:rsid w:val="005C446C"/>
    <w:rsid w:val="005C4B44"/>
    <w:rsid w:val="005C51BB"/>
    <w:rsid w:val="005D044D"/>
    <w:rsid w:val="005D0ABD"/>
    <w:rsid w:val="005D18AD"/>
    <w:rsid w:val="005D26B4"/>
    <w:rsid w:val="005D36D1"/>
    <w:rsid w:val="005D3D83"/>
    <w:rsid w:val="005D463F"/>
    <w:rsid w:val="005D4F13"/>
    <w:rsid w:val="005D669C"/>
    <w:rsid w:val="005D6C72"/>
    <w:rsid w:val="005D75F9"/>
    <w:rsid w:val="005E0DFA"/>
    <w:rsid w:val="005E1349"/>
    <w:rsid w:val="005E343C"/>
    <w:rsid w:val="005E4680"/>
    <w:rsid w:val="005E62C5"/>
    <w:rsid w:val="005E6B67"/>
    <w:rsid w:val="005E6CBC"/>
    <w:rsid w:val="005E6EE9"/>
    <w:rsid w:val="005E6F74"/>
    <w:rsid w:val="005E73C0"/>
    <w:rsid w:val="005E76EA"/>
    <w:rsid w:val="005E7C49"/>
    <w:rsid w:val="005E7FC3"/>
    <w:rsid w:val="005F05E8"/>
    <w:rsid w:val="005F1066"/>
    <w:rsid w:val="005F2706"/>
    <w:rsid w:val="005F4E40"/>
    <w:rsid w:val="005F6A8F"/>
    <w:rsid w:val="005F6CEE"/>
    <w:rsid w:val="005F700D"/>
    <w:rsid w:val="00600188"/>
    <w:rsid w:val="00600932"/>
    <w:rsid w:val="006015B7"/>
    <w:rsid w:val="00601F1E"/>
    <w:rsid w:val="0060314E"/>
    <w:rsid w:val="00603DB9"/>
    <w:rsid w:val="00604417"/>
    <w:rsid w:val="006054C4"/>
    <w:rsid w:val="00605C9D"/>
    <w:rsid w:val="00607669"/>
    <w:rsid w:val="006076CA"/>
    <w:rsid w:val="00607AFD"/>
    <w:rsid w:val="00607DC3"/>
    <w:rsid w:val="0061151C"/>
    <w:rsid w:val="0061276D"/>
    <w:rsid w:val="00612F97"/>
    <w:rsid w:val="0061345D"/>
    <w:rsid w:val="00613B6F"/>
    <w:rsid w:val="006140B1"/>
    <w:rsid w:val="00614336"/>
    <w:rsid w:val="0061508B"/>
    <w:rsid w:val="00616802"/>
    <w:rsid w:val="00617E12"/>
    <w:rsid w:val="00620F15"/>
    <w:rsid w:val="00621477"/>
    <w:rsid w:val="00626A01"/>
    <w:rsid w:val="00626E88"/>
    <w:rsid w:val="0062752D"/>
    <w:rsid w:val="0063070C"/>
    <w:rsid w:val="0063158F"/>
    <w:rsid w:val="00631D6B"/>
    <w:rsid w:val="006330A1"/>
    <w:rsid w:val="0063479F"/>
    <w:rsid w:val="006353F0"/>
    <w:rsid w:val="00635E7E"/>
    <w:rsid w:val="00635F94"/>
    <w:rsid w:val="006364A1"/>
    <w:rsid w:val="00637BFD"/>
    <w:rsid w:val="00637E9E"/>
    <w:rsid w:val="00641C4E"/>
    <w:rsid w:val="006425D5"/>
    <w:rsid w:val="006428DE"/>
    <w:rsid w:val="00642AAD"/>
    <w:rsid w:val="006471CC"/>
    <w:rsid w:val="0065079F"/>
    <w:rsid w:val="00651DEF"/>
    <w:rsid w:val="00652606"/>
    <w:rsid w:val="0065379F"/>
    <w:rsid w:val="00654079"/>
    <w:rsid w:val="0065789A"/>
    <w:rsid w:val="00660FF9"/>
    <w:rsid w:val="00661C6B"/>
    <w:rsid w:val="006656F7"/>
    <w:rsid w:val="006659A1"/>
    <w:rsid w:val="00666347"/>
    <w:rsid w:val="00670423"/>
    <w:rsid w:val="0067044A"/>
    <w:rsid w:val="00671BAD"/>
    <w:rsid w:val="00672483"/>
    <w:rsid w:val="00672908"/>
    <w:rsid w:val="0067346A"/>
    <w:rsid w:val="00674346"/>
    <w:rsid w:val="00674E42"/>
    <w:rsid w:val="006751AE"/>
    <w:rsid w:val="0067695F"/>
    <w:rsid w:val="006803CB"/>
    <w:rsid w:val="006809A2"/>
    <w:rsid w:val="00681002"/>
    <w:rsid w:val="00682112"/>
    <w:rsid w:val="006832AB"/>
    <w:rsid w:val="006834C9"/>
    <w:rsid w:val="00684AA2"/>
    <w:rsid w:val="00684C44"/>
    <w:rsid w:val="00684FA4"/>
    <w:rsid w:val="00685290"/>
    <w:rsid w:val="00686957"/>
    <w:rsid w:val="006872BA"/>
    <w:rsid w:val="0069021E"/>
    <w:rsid w:val="0069058D"/>
    <w:rsid w:val="00691606"/>
    <w:rsid w:val="00691648"/>
    <w:rsid w:val="006917D7"/>
    <w:rsid w:val="00692C5A"/>
    <w:rsid w:val="00693849"/>
    <w:rsid w:val="0069456E"/>
    <w:rsid w:val="00694F44"/>
    <w:rsid w:val="00695109"/>
    <w:rsid w:val="00696E2F"/>
    <w:rsid w:val="00697AE9"/>
    <w:rsid w:val="006A0232"/>
    <w:rsid w:val="006A0428"/>
    <w:rsid w:val="006A293F"/>
    <w:rsid w:val="006A50E4"/>
    <w:rsid w:val="006A6368"/>
    <w:rsid w:val="006A65BB"/>
    <w:rsid w:val="006A7E5F"/>
    <w:rsid w:val="006B0C1E"/>
    <w:rsid w:val="006B0D21"/>
    <w:rsid w:val="006B2337"/>
    <w:rsid w:val="006B261B"/>
    <w:rsid w:val="006B2857"/>
    <w:rsid w:val="006B2C90"/>
    <w:rsid w:val="006B3EF2"/>
    <w:rsid w:val="006B6DD0"/>
    <w:rsid w:val="006C1B01"/>
    <w:rsid w:val="006C2A8E"/>
    <w:rsid w:val="006C317B"/>
    <w:rsid w:val="006C6F70"/>
    <w:rsid w:val="006D1E05"/>
    <w:rsid w:val="006D1F3D"/>
    <w:rsid w:val="006D3453"/>
    <w:rsid w:val="006D3C7D"/>
    <w:rsid w:val="006D4D2F"/>
    <w:rsid w:val="006D5D5F"/>
    <w:rsid w:val="006E063A"/>
    <w:rsid w:val="006E1734"/>
    <w:rsid w:val="006E23F3"/>
    <w:rsid w:val="006E2E8F"/>
    <w:rsid w:val="006E3725"/>
    <w:rsid w:val="006E51A0"/>
    <w:rsid w:val="006E5C78"/>
    <w:rsid w:val="006E5EA7"/>
    <w:rsid w:val="006F0CD0"/>
    <w:rsid w:val="006F3061"/>
    <w:rsid w:val="006F306C"/>
    <w:rsid w:val="006F58B9"/>
    <w:rsid w:val="006F63A5"/>
    <w:rsid w:val="006F66D1"/>
    <w:rsid w:val="006F6C15"/>
    <w:rsid w:val="006F7F80"/>
    <w:rsid w:val="0070142B"/>
    <w:rsid w:val="0070276E"/>
    <w:rsid w:val="00702F8F"/>
    <w:rsid w:val="007075C6"/>
    <w:rsid w:val="007100F1"/>
    <w:rsid w:val="00711A36"/>
    <w:rsid w:val="00711A40"/>
    <w:rsid w:val="00713206"/>
    <w:rsid w:val="007133AC"/>
    <w:rsid w:val="0071529C"/>
    <w:rsid w:val="0071587A"/>
    <w:rsid w:val="00715B5A"/>
    <w:rsid w:val="00715D6E"/>
    <w:rsid w:val="007172AD"/>
    <w:rsid w:val="00721E01"/>
    <w:rsid w:val="00722392"/>
    <w:rsid w:val="00722B1B"/>
    <w:rsid w:val="00723BD4"/>
    <w:rsid w:val="00723CE8"/>
    <w:rsid w:val="0072416F"/>
    <w:rsid w:val="0072612C"/>
    <w:rsid w:val="00727541"/>
    <w:rsid w:val="00727C94"/>
    <w:rsid w:val="00731437"/>
    <w:rsid w:val="0073166E"/>
    <w:rsid w:val="00731A53"/>
    <w:rsid w:val="00731EAE"/>
    <w:rsid w:val="00734BF4"/>
    <w:rsid w:val="00735033"/>
    <w:rsid w:val="00735328"/>
    <w:rsid w:val="00735ED9"/>
    <w:rsid w:val="0073685B"/>
    <w:rsid w:val="00741AA0"/>
    <w:rsid w:val="00741DB4"/>
    <w:rsid w:val="00742A1E"/>
    <w:rsid w:val="00743188"/>
    <w:rsid w:val="007445CD"/>
    <w:rsid w:val="00746758"/>
    <w:rsid w:val="00747046"/>
    <w:rsid w:val="007473CB"/>
    <w:rsid w:val="00747717"/>
    <w:rsid w:val="00750F39"/>
    <w:rsid w:val="00752142"/>
    <w:rsid w:val="007522EB"/>
    <w:rsid w:val="007523F9"/>
    <w:rsid w:val="007532CA"/>
    <w:rsid w:val="00754D03"/>
    <w:rsid w:val="00754FF2"/>
    <w:rsid w:val="00755053"/>
    <w:rsid w:val="007565CE"/>
    <w:rsid w:val="007573E8"/>
    <w:rsid w:val="00760C4E"/>
    <w:rsid w:val="00760D0D"/>
    <w:rsid w:val="00763753"/>
    <w:rsid w:val="00763D5B"/>
    <w:rsid w:val="00765B1A"/>
    <w:rsid w:val="00766D26"/>
    <w:rsid w:val="007673AD"/>
    <w:rsid w:val="007676FF"/>
    <w:rsid w:val="00770C44"/>
    <w:rsid w:val="007723F8"/>
    <w:rsid w:val="00774C22"/>
    <w:rsid w:val="007754D9"/>
    <w:rsid w:val="00782A7E"/>
    <w:rsid w:val="00783447"/>
    <w:rsid w:val="0078389A"/>
    <w:rsid w:val="0078408B"/>
    <w:rsid w:val="007843F2"/>
    <w:rsid w:val="0078518D"/>
    <w:rsid w:val="00791450"/>
    <w:rsid w:val="00791B29"/>
    <w:rsid w:val="007920B9"/>
    <w:rsid w:val="00795D1E"/>
    <w:rsid w:val="00797FE2"/>
    <w:rsid w:val="007A0A12"/>
    <w:rsid w:val="007A0BC0"/>
    <w:rsid w:val="007A0E56"/>
    <w:rsid w:val="007A132D"/>
    <w:rsid w:val="007A1890"/>
    <w:rsid w:val="007A4BD4"/>
    <w:rsid w:val="007A7325"/>
    <w:rsid w:val="007A7465"/>
    <w:rsid w:val="007B0D68"/>
    <w:rsid w:val="007B121B"/>
    <w:rsid w:val="007B251D"/>
    <w:rsid w:val="007B389A"/>
    <w:rsid w:val="007B4531"/>
    <w:rsid w:val="007B4F58"/>
    <w:rsid w:val="007B528D"/>
    <w:rsid w:val="007B5962"/>
    <w:rsid w:val="007B71C7"/>
    <w:rsid w:val="007B77D1"/>
    <w:rsid w:val="007C16CD"/>
    <w:rsid w:val="007C1CD9"/>
    <w:rsid w:val="007C2E25"/>
    <w:rsid w:val="007C32CC"/>
    <w:rsid w:val="007C361D"/>
    <w:rsid w:val="007C4B84"/>
    <w:rsid w:val="007C57DB"/>
    <w:rsid w:val="007C7A09"/>
    <w:rsid w:val="007D004F"/>
    <w:rsid w:val="007D0B38"/>
    <w:rsid w:val="007D35AA"/>
    <w:rsid w:val="007D4BCA"/>
    <w:rsid w:val="007D5440"/>
    <w:rsid w:val="007D5EB6"/>
    <w:rsid w:val="007E0D29"/>
    <w:rsid w:val="007E186C"/>
    <w:rsid w:val="007E1B76"/>
    <w:rsid w:val="007E2921"/>
    <w:rsid w:val="007E611C"/>
    <w:rsid w:val="007E67A4"/>
    <w:rsid w:val="007F1017"/>
    <w:rsid w:val="007F429A"/>
    <w:rsid w:val="007F49D2"/>
    <w:rsid w:val="007F4A3F"/>
    <w:rsid w:val="007F4A61"/>
    <w:rsid w:val="007F61C2"/>
    <w:rsid w:val="007F6B12"/>
    <w:rsid w:val="007F6E7A"/>
    <w:rsid w:val="007F712A"/>
    <w:rsid w:val="007F7561"/>
    <w:rsid w:val="00800138"/>
    <w:rsid w:val="008019EE"/>
    <w:rsid w:val="00801FEF"/>
    <w:rsid w:val="00802377"/>
    <w:rsid w:val="00802654"/>
    <w:rsid w:val="00803ABE"/>
    <w:rsid w:val="00805142"/>
    <w:rsid w:val="0080569B"/>
    <w:rsid w:val="0080588D"/>
    <w:rsid w:val="00805A1A"/>
    <w:rsid w:val="00807A8B"/>
    <w:rsid w:val="00811383"/>
    <w:rsid w:val="00812149"/>
    <w:rsid w:val="00812CAC"/>
    <w:rsid w:val="0081347C"/>
    <w:rsid w:val="00815401"/>
    <w:rsid w:val="00815454"/>
    <w:rsid w:val="00816281"/>
    <w:rsid w:val="008166EF"/>
    <w:rsid w:val="008166F5"/>
    <w:rsid w:val="00816BD5"/>
    <w:rsid w:val="008217CE"/>
    <w:rsid w:val="00822426"/>
    <w:rsid w:val="0082398E"/>
    <w:rsid w:val="008245E2"/>
    <w:rsid w:val="00825751"/>
    <w:rsid w:val="00825F19"/>
    <w:rsid w:val="008260C7"/>
    <w:rsid w:val="008264EB"/>
    <w:rsid w:val="008273C4"/>
    <w:rsid w:val="00827D19"/>
    <w:rsid w:val="0083006B"/>
    <w:rsid w:val="0083078E"/>
    <w:rsid w:val="008314E3"/>
    <w:rsid w:val="00832EA2"/>
    <w:rsid w:val="00833B05"/>
    <w:rsid w:val="008352EE"/>
    <w:rsid w:val="008362B4"/>
    <w:rsid w:val="00840CA2"/>
    <w:rsid w:val="00840E28"/>
    <w:rsid w:val="0084374F"/>
    <w:rsid w:val="008462C0"/>
    <w:rsid w:val="00846313"/>
    <w:rsid w:val="008472BF"/>
    <w:rsid w:val="00847DF5"/>
    <w:rsid w:val="00853004"/>
    <w:rsid w:val="0085309D"/>
    <w:rsid w:val="00854BC9"/>
    <w:rsid w:val="008552E3"/>
    <w:rsid w:val="00856897"/>
    <w:rsid w:val="00856DF1"/>
    <w:rsid w:val="00856E9A"/>
    <w:rsid w:val="00857842"/>
    <w:rsid w:val="0086012F"/>
    <w:rsid w:val="0086075D"/>
    <w:rsid w:val="008622DF"/>
    <w:rsid w:val="00862502"/>
    <w:rsid w:val="008625B7"/>
    <w:rsid w:val="008632D6"/>
    <w:rsid w:val="008635EF"/>
    <w:rsid w:val="00865BEF"/>
    <w:rsid w:val="008660D4"/>
    <w:rsid w:val="008670A2"/>
    <w:rsid w:val="00867A1F"/>
    <w:rsid w:val="00870AEB"/>
    <w:rsid w:val="00870DEB"/>
    <w:rsid w:val="00871A76"/>
    <w:rsid w:val="00871FA9"/>
    <w:rsid w:val="008728E9"/>
    <w:rsid w:val="00872D01"/>
    <w:rsid w:val="008747BE"/>
    <w:rsid w:val="00874ED2"/>
    <w:rsid w:val="00875585"/>
    <w:rsid w:val="00877B16"/>
    <w:rsid w:val="00881CD8"/>
    <w:rsid w:val="00882874"/>
    <w:rsid w:val="00883787"/>
    <w:rsid w:val="008842BC"/>
    <w:rsid w:val="00884766"/>
    <w:rsid w:val="00884EE7"/>
    <w:rsid w:val="00885ADA"/>
    <w:rsid w:val="0088613F"/>
    <w:rsid w:val="00886CD2"/>
    <w:rsid w:val="00886EF6"/>
    <w:rsid w:val="008903ED"/>
    <w:rsid w:val="008912A6"/>
    <w:rsid w:val="00892204"/>
    <w:rsid w:val="00892A36"/>
    <w:rsid w:val="00893239"/>
    <w:rsid w:val="00893947"/>
    <w:rsid w:val="0089403F"/>
    <w:rsid w:val="00894489"/>
    <w:rsid w:val="00894DE2"/>
    <w:rsid w:val="008963A5"/>
    <w:rsid w:val="008967A6"/>
    <w:rsid w:val="00897A1E"/>
    <w:rsid w:val="008A08AE"/>
    <w:rsid w:val="008A1832"/>
    <w:rsid w:val="008A201E"/>
    <w:rsid w:val="008A32B1"/>
    <w:rsid w:val="008A3363"/>
    <w:rsid w:val="008A3371"/>
    <w:rsid w:val="008A3C3E"/>
    <w:rsid w:val="008A4B31"/>
    <w:rsid w:val="008A510F"/>
    <w:rsid w:val="008A5B68"/>
    <w:rsid w:val="008A6309"/>
    <w:rsid w:val="008A79DE"/>
    <w:rsid w:val="008B023B"/>
    <w:rsid w:val="008B1757"/>
    <w:rsid w:val="008B1AA5"/>
    <w:rsid w:val="008B30FF"/>
    <w:rsid w:val="008B3786"/>
    <w:rsid w:val="008B3F55"/>
    <w:rsid w:val="008B42BC"/>
    <w:rsid w:val="008B49BE"/>
    <w:rsid w:val="008B49F0"/>
    <w:rsid w:val="008B59A5"/>
    <w:rsid w:val="008B6196"/>
    <w:rsid w:val="008B6812"/>
    <w:rsid w:val="008B7512"/>
    <w:rsid w:val="008B7D7E"/>
    <w:rsid w:val="008C05FD"/>
    <w:rsid w:val="008C22D8"/>
    <w:rsid w:val="008C23DC"/>
    <w:rsid w:val="008C2DA3"/>
    <w:rsid w:val="008C70BA"/>
    <w:rsid w:val="008C7ECB"/>
    <w:rsid w:val="008D21B4"/>
    <w:rsid w:val="008D24F2"/>
    <w:rsid w:val="008D256B"/>
    <w:rsid w:val="008D4755"/>
    <w:rsid w:val="008D4C3D"/>
    <w:rsid w:val="008D6483"/>
    <w:rsid w:val="008D7898"/>
    <w:rsid w:val="008E0D3C"/>
    <w:rsid w:val="008E1B9E"/>
    <w:rsid w:val="008E26FC"/>
    <w:rsid w:val="008E3515"/>
    <w:rsid w:val="008E55AB"/>
    <w:rsid w:val="008E5A88"/>
    <w:rsid w:val="008E73D2"/>
    <w:rsid w:val="008F120A"/>
    <w:rsid w:val="008F1DF9"/>
    <w:rsid w:val="008F27E0"/>
    <w:rsid w:val="008F48EB"/>
    <w:rsid w:val="008F4F0B"/>
    <w:rsid w:val="008F5321"/>
    <w:rsid w:val="008F695A"/>
    <w:rsid w:val="008F6B68"/>
    <w:rsid w:val="008F6B6E"/>
    <w:rsid w:val="009009F3"/>
    <w:rsid w:val="00900FB1"/>
    <w:rsid w:val="00902577"/>
    <w:rsid w:val="009046C4"/>
    <w:rsid w:val="00904D96"/>
    <w:rsid w:val="009062A5"/>
    <w:rsid w:val="00906920"/>
    <w:rsid w:val="0091072A"/>
    <w:rsid w:val="00910AC6"/>
    <w:rsid w:val="00910C08"/>
    <w:rsid w:val="00911272"/>
    <w:rsid w:val="009135D6"/>
    <w:rsid w:val="00914B07"/>
    <w:rsid w:val="00914B8F"/>
    <w:rsid w:val="00914C77"/>
    <w:rsid w:val="00915062"/>
    <w:rsid w:val="0092055F"/>
    <w:rsid w:val="00920DCA"/>
    <w:rsid w:val="00921DE7"/>
    <w:rsid w:val="0092369B"/>
    <w:rsid w:val="00925195"/>
    <w:rsid w:val="00927C26"/>
    <w:rsid w:val="00930C6B"/>
    <w:rsid w:val="00931C60"/>
    <w:rsid w:val="00931F1F"/>
    <w:rsid w:val="009320B7"/>
    <w:rsid w:val="00932684"/>
    <w:rsid w:val="009364D7"/>
    <w:rsid w:val="00936760"/>
    <w:rsid w:val="00941545"/>
    <w:rsid w:val="00943B37"/>
    <w:rsid w:val="00944C6B"/>
    <w:rsid w:val="0094503D"/>
    <w:rsid w:val="009450B0"/>
    <w:rsid w:val="00945A7C"/>
    <w:rsid w:val="00945BA8"/>
    <w:rsid w:val="00945DB2"/>
    <w:rsid w:val="009510A2"/>
    <w:rsid w:val="00953257"/>
    <w:rsid w:val="00953401"/>
    <w:rsid w:val="0095425D"/>
    <w:rsid w:val="00954A1B"/>
    <w:rsid w:val="00955516"/>
    <w:rsid w:val="00955D2C"/>
    <w:rsid w:val="009565E6"/>
    <w:rsid w:val="0096002F"/>
    <w:rsid w:val="00960E4E"/>
    <w:rsid w:val="00961692"/>
    <w:rsid w:val="00961918"/>
    <w:rsid w:val="00962CB9"/>
    <w:rsid w:val="00962EA0"/>
    <w:rsid w:val="009638EB"/>
    <w:rsid w:val="00964312"/>
    <w:rsid w:val="0096460E"/>
    <w:rsid w:val="009648DF"/>
    <w:rsid w:val="00965B8A"/>
    <w:rsid w:val="00966A51"/>
    <w:rsid w:val="00966E57"/>
    <w:rsid w:val="0097076C"/>
    <w:rsid w:val="009717AC"/>
    <w:rsid w:val="00972066"/>
    <w:rsid w:val="00972ACE"/>
    <w:rsid w:val="00973176"/>
    <w:rsid w:val="00974DEF"/>
    <w:rsid w:val="009759BB"/>
    <w:rsid w:val="00980861"/>
    <w:rsid w:val="00982397"/>
    <w:rsid w:val="00982804"/>
    <w:rsid w:val="00982987"/>
    <w:rsid w:val="00983E57"/>
    <w:rsid w:val="0098429E"/>
    <w:rsid w:val="009851DB"/>
    <w:rsid w:val="0098675D"/>
    <w:rsid w:val="00986FFA"/>
    <w:rsid w:val="009872CF"/>
    <w:rsid w:val="00991462"/>
    <w:rsid w:val="009925D3"/>
    <w:rsid w:val="00992756"/>
    <w:rsid w:val="009927FE"/>
    <w:rsid w:val="00992B86"/>
    <w:rsid w:val="0099349D"/>
    <w:rsid w:val="00993B8E"/>
    <w:rsid w:val="009955AD"/>
    <w:rsid w:val="00995625"/>
    <w:rsid w:val="009957A1"/>
    <w:rsid w:val="009959BA"/>
    <w:rsid w:val="0099610E"/>
    <w:rsid w:val="00996B1A"/>
    <w:rsid w:val="00997D69"/>
    <w:rsid w:val="009A045F"/>
    <w:rsid w:val="009A06B5"/>
    <w:rsid w:val="009A28F9"/>
    <w:rsid w:val="009A3C35"/>
    <w:rsid w:val="009A7F10"/>
    <w:rsid w:val="009B09FA"/>
    <w:rsid w:val="009B2600"/>
    <w:rsid w:val="009B2A9A"/>
    <w:rsid w:val="009B3E26"/>
    <w:rsid w:val="009B4B31"/>
    <w:rsid w:val="009B62AD"/>
    <w:rsid w:val="009C0876"/>
    <w:rsid w:val="009C62BF"/>
    <w:rsid w:val="009C6CEA"/>
    <w:rsid w:val="009C7B85"/>
    <w:rsid w:val="009D1399"/>
    <w:rsid w:val="009D14EC"/>
    <w:rsid w:val="009D2DBD"/>
    <w:rsid w:val="009D3641"/>
    <w:rsid w:val="009D5B91"/>
    <w:rsid w:val="009D792E"/>
    <w:rsid w:val="009E07ED"/>
    <w:rsid w:val="009E0DFE"/>
    <w:rsid w:val="009E1032"/>
    <w:rsid w:val="009E12B5"/>
    <w:rsid w:val="009E13DA"/>
    <w:rsid w:val="009E248B"/>
    <w:rsid w:val="009E332B"/>
    <w:rsid w:val="009E363C"/>
    <w:rsid w:val="009E4BDB"/>
    <w:rsid w:val="009E4C07"/>
    <w:rsid w:val="009F0968"/>
    <w:rsid w:val="009F466C"/>
    <w:rsid w:val="009F5B8D"/>
    <w:rsid w:val="009F678C"/>
    <w:rsid w:val="009F719A"/>
    <w:rsid w:val="009F729F"/>
    <w:rsid w:val="009F7C99"/>
    <w:rsid w:val="00A002D5"/>
    <w:rsid w:val="00A01184"/>
    <w:rsid w:val="00A031BF"/>
    <w:rsid w:val="00A03D43"/>
    <w:rsid w:val="00A040A3"/>
    <w:rsid w:val="00A04380"/>
    <w:rsid w:val="00A04EBC"/>
    <w:rsid w:val="00A07D3F"/>
    <w:rsid w:val="00A119A8"/>
    <w:rsid w:val="00A11CD0"/>
    <w:rsid w:val="00A13948"/>
    <w:rsid w:val="00A14238"/>
    <w:rsid w:val="00A1555B"/>
    <w:rsid w:val="00A155A5"/>
    <w:rsid w:val="00A155C5"/>
    <w:rsid w:val="00A16033"/>
    <w:rsid w:val="00A16AD8"/>
    <w:rsid w:val="00A172A9"/>
    <w:rsid w:val="00A20C4C"/>
    <w:rsid w:val="00A21CF3"/>
    <w:rsid w:val="00A27AEC"/>
    <w:rsid w:val="00A305B3"/>
    <w:rsid w:val="00A320DB"/>
    <w:rsid w:val="00A34BC9"/>
    <w:rsid w:val="00A34DF6"/>
    <w:rsid w:val="00A35D16"/>
    <w:rsid w:val="00A36238"/>
    <w:rsid w:val="00A37751"/>
    <w:rsid w:val="00A37BCD"/>
    <w:rsid w:val="00A40AE3"/>
    <w:rsid w:val="00A40F10"/>
    <w:rsid w:val="00A43C59"/>
    <w:rsid w:val="00A4743A"/>
    <w:rsid w:val="00A47694"/>
    <w:rsid w:val="00A47B7E"/>
    <w:rsid w:val="00A47CB4"/>
    <w:rsid w:val="00A50359"/>
    <w:rsid w:val="00A50827"/>
    <w:rsid w:val="00A50C15"/>
    <w:rsid w:val="00A50ECD"/>
    <w:rsid w:val="00A518C5"/>
    <w:rsid w:val="00A518F3"/>
    <w:rsid w:val="00A52729"/>
    <w:rsid w:val="00A52FA4"/>
    <w:rsid w:val="00A532AA"/>
    <w:rsid w:val="00A53675"/>
    <w:rsid w:val="00A55167"/>
    <w:rsid w:val="00A564D7"/>
    <w:rsid w:val="00A56909"/>
    <w:rsid w:val="00A56B6A"/>
    <w:rsid w:val="00A578DC"/>
    <w:rsid w:val="00A60483"/>
    <w:rsid w:val="00A60A92"/>
    <w:rsid w:val="00A63E89"/>
    <w:rsid w:val="00A65A39"/>
    <w:rsid w:val="00A665B1"/>
    <w:rsid w:val="00A6725B"/>
    <w:rsid w:val="00A6756C"/>
    <w:rsid w:val="00A67A22"/>
    <w:rsid w:val="00A67EE3"/>
    <w:rsid w:val="00A70605"/>
    <w:rsid w:val="00A70A3D"/>
    <w:rsid w:val="00A710D7"/>
    <w:rsid w:val="00A71D49"/>
    <w:rsid w:val="00A73134"/>
    <w:rsid w:val="00A74AB1"/>
    <w:rsid w:val="00A75F8C"/>
    <w:rsid w:val="00A777B2"/>
    <w:rsid w:val="00A81093"/>
    <w:rsid w:val="00A81A5F"/>
    <w:rsid w:val="00A822B0"/>
    <w:rsid w:val="00A84C29"/>
    <w:rsid w:val="00A855BA"/>
    <w:rsid w:val="00A86E8B"/>
    <w:rsid w:val="00A87164"/>
    <w:rsid w:val="00A872A6"/>
    <w:rsid w:val="00A904B2"/>
    <w:rsid w:val="00A93072"/>
    <w:rsid w:val="00A93953"/>
    <w:rsid w:val="00A959D8"/>
    <w:rsid w:val="00AA113D"/>
    <w:rsid w:val="00AA230A"/>
    <w:rsid w:val="00AA2F68"/>
    <w:rsid w:val="00AA3CAC"/>
    <w:rsid w:val="00AA6C7D"/>
    <w:rsid w:val="00AA6CE1"/>
    <w:rsid w:val="00AA72BE"/>
    <w:rsid w:val="00AA7D36"/>
    <w:rsid w:val="00AA7FD6"/>
    <w:rsid w:val="00AB042A"/>
    <w:rsid w:val="00AB0B93"/>
    <w:rsid w:val="00AB2D34"/>
    <w:rsid w:val="00AB3430"/>
    <w:rsid w:val="00AB4616"/>
    <w:rsid w:val="00AB4AD1"/>
    <w:rsid w:val="00AB4E9D"/>
    <w:rsid w:val="00AB5B7F"/>
    <w:rsid w:val="00AB66EF"/>
    <w:rsid w:val="00AB6B5C"/>
    <w:rsid w:val="00AB7CFA"/>
    <w:rsid w:val="00AC0656"/>
    <w:rsid w:val="00AC0DA0"/>
    <w:rsid w:val="00AC0E94"/>
    <w:rsid w:val="00AC13C2"/>
    <w:rsid w:val="00AC20B0"/>
    <w:rsid w:val="00AC2D51"/>
    <w:rsid w:val="00AC348B"/>
    <w:rsid w:val="00AC34E7"/>
    <w:rsid w:val="00AC38AF"/>
    <w:rsid w:val="00AC5B48"/>
    <w:rsid w:val="00AC7486"/>
    <w:rsid w:val="00AC7796"/>
    <w:rsid w:val="00AC7A51"/>
    <w:rsid w:val="00AC7CD0"/>
    <w:rsid w:val="00AD19FA"/>
    <w:rsid w:val="00AD635B"/>
    <w:rsid w:val="00AD63D4"/>
    <w:rsid w:val="00AD6502"/>
    <w:rsid w:val="00AE04A8"/>
    <w:rsid w:val="00AE1D65"/>
    <w:rsid w:val="00AE3196"/>
    <w:rsid w:val="00AE32CC"/>
    <w:rsid w:val="00AE3B8F"/>
    <w:rsid w:val="00AE414D"/>
    <w:rsid w:val="00AE687F"/>
    <w:rsid w:val="00AE6A0C"/>
    <w:rsid w:val="00AE7AB4"/>
    <w:rsid w:val="00AF06C0"/>
    <w:rsid w:val="00AF0D79"/>
    <w:rsid w:val="00AF1299"/>
    <w:rsid w:val="00AF1315"/>
    <w:rsid w:val="00AF19BF"/>
    <w:rsid w:val="00AF20DE"/>
    <w:rsid w:val="00AF23B6"/>
    <w:rsid w:val="00AF2DC3"/>
    <w:rsid w:val="00AF355F"/>
    <w:rsid w:val="00AF3A43"/>
    <w:rsid w:val="00AF6624"/>
    <w:rsid w:val="00AF71C8"/>
    <w:rsid w:val="00AF7860"/>
    <w:rsid w:val="00B013A6"/>
    <w:rsid w:val="00B01A0F"/>
    <w:rsid w:val="00B01B33"/>
    <w:rsid w:val="00B030E0"/>
    <w:rsid w:val="00B033E5"/>
    <w:rsid w:val="00B034AD"/>
    <w:rsid w:val="00B038C1"/>
    <w:rsid w:val="00B03A63"/>
    <w:rsid w:val="00B0783C"/>
    <w:rsid w:val="00B07F12"/>
    <w:rsid w:val="00B10310"/>
    <w:rsid w:val="00B1210B"/>
    <w:rsid w:val="00B1476F"/>
    <w:rsid w:val="00B151D7"/>
    <w:rsid w:val="00B15714"/>
    <w:rsid w:val="00B1693D"/>
    <w:rsid w:val="00B17847"/>
    <w:rsid w:val="00B17A40"/>
    <w:rsid w:val="00B17C6E"/>
    <w:rsid w:val="00B201A4"/>
    <w:rsid w:val="00B213A6"/>
    <w:rsid w:val="00B22AD5"/>
    <w:rsid w:val="00B24DF6"/>
    <w:rsid w:val="00B25C35"/>
    <w:rsid w:val="00B31718"/>
    <w:rsid w:val="00B33CDC"/>
    <w:rsid w:val="00B34CCE"/>
    <w:rsid w:val="00B34FE2"/>
    <w:rsid w:val="00B3503A"/>
    <w:rsid w:val="00B357D8"/>
    <w:rsid w:val="00B35B98"/>
    <w:rsid w:val="00B36172"/>
    <w:rsid w:val="00B37A70"/>
    <w:rsid w:val="00B37BFC"/>
    <w:rsid w:val="00B40358"/>
    <w:rsid w:val="00B40E70"/>
    <w:rsid w:val="00B41614"/>
    <w:rsid w:val="00B42851"/>
    <w:rsid w:val="00B42F80"/>
    <w:rsid w:val="00B435CB"/>
    <w:rsid w:val="00B45B6C"/>
    <w:rsid w:val="00B46428"/>
    <w:rsid w:val="00B472F5"/>
    <w:rsid w:val="00B47423"/>
    <w:rsid w:val="00B50DB8"/>
    <w:rsid w:val="00B51605"/>
    <w:rsid w:val="00B53654"/>
    <w:rsid w:val="00B53905"/>
    <w:rsid w:val="00B54B5B"/>
    <w:rsid w:val="00B5562E"/>
    <w:rsid w:val="00B57000"/>
    <w:rsid w:val="00B57422"/>
    <w:rsid w:val="00B6083C"/>
    <w:rsid w:val="00B60939"/>
    <w:rsid w:val="00B60AFD"/>
    <w:rsid w:val="00B60D0B"/>
    <w:rsid w:val="00B62715"/>
    <w:rsid w:val="00B63396"/>
    <w:rsid w:val="00B659A3"/>
    <w:rsid w:val="00B65D43"/>
    <w:rsid w:val="00B66E33"/>
    <w:rsid w:val="00B67D87"/>
    <w:rsid w:val="00B70076"/>
    <w:rsid w:val="00B70D5B"/>
    <w:rsid w:val="00B7202E"/>
    <w:rsid w:val="00B72688"/>
    <w:rsid w:val="00B7476B"/>
    <w:rsid w:val="00B74975"/>
    <w:rsid w:val="00B75EB7"/>
    <w:rsid w:val="00B7615E"/>
    <w:rsid w:val="00B80FC2"/>
    <w:rsid w:val="00B818A4"/>
    <w:rsid w:val="00B8293E"/>
    <w:rsid w:val="00B83ED3"/>
    <w:rsid w:val="00B83F7B"/>
    <w:rsid w:val="00B84117"/>
    <w:rsid w:val="00B84D71"/>
    <w:rsid w:val="00B8549C"/>
    <w:rsid w:val="00B856A1"/>
    <w:rsid w:val="00B85AA2"/>
    <w:rsid w:val="00B861E5"/>
    <w:rsid w:val="00B8649C"/>
    <w:rsid w:val="00B86F35"/>
    <w:rsid w:val="00B873AF"/>
    <w:rsid w:val="00B87F0A"/>
    <w:rsid w:val="00B9032E"/>
    <w:rsid w:val="00B915F2"/>
    <w:rsid w:val="00B91C88"/>
    <w:rsid w:val="00B922A5"/>
    <w:rsid w:val="00B92D0B"/>
    <w:rsid w:val="00B94945"/>
    <w:rsid w:val="00B96771"/>
    <w:rsid w:val="00B96963"/>
    <w:rsid w:val="00B97C1F"/>
    <w:rsid w:val="00BA0BA3"/>
    <w:rsid w:val="00BA1FEE"/>
    <w:rsid w:val="00BA322D"/>
    <w:rsid w:val="00BA5740"/>
    <w:rsid w:val="00BB07E1"/>
    <w:rsid w:val="00BB0BDD"/>
    <w:rsid w:val="00BB1900"/>
    <w:rsid w:val="00BB1D48"/>
    <w:rsid w:val="00BB2A73"/>
    <w:rsid w:val="00BB2C2B"/>
    <w:rsid w:val="00BB3215"/>
    <w:rsid w:val="00BB3482"/>
    <w:rsid w:val="00BB4ACC"/>
    <w:rsid w:val="00BB6172"/>
    <w:rsid w:val="00BB703E"/>
    <w:rsid w:val="00BB7405"/>
    <w:rsid w:val="00BB741E"/>
    <w:rsid w:val="00BB79AD"/>
    <w:rsid w:val="00BC1358"/>
    <w:rsid w:val="00BC26B4"/>
    <w:rsid w:val="00BC2DA0"/>
    <w:rsid w:val="00BC3072"/>
    <w:rsid w:val="00BC356D"/>
    <w:rsid w:val="00BC3631"/>
    <w:rsid w:val="00BC37F9"/>
    <w:rsid w:val="00BC7583"/>
    <w:rsid w:val="00BD0ECD"/>
    <w:rsid w:val="00BD0F3F"/>
    <w:rsid w:val="00BD1A56"/>
    <w:rsid w:val="00BD3B6B"/>
    <w:rsid w:val="00BD68A3"/>
    <w:rsid w:val="00BD6938"/>
    <w:rsid w:val="00BD6CF3"/>
    <w:rsid w:val="00BD7965"/>
    <w:rsid w:val="00BE2180"/>
    <w:rsid w:val="00BE21F2"/>
    <w:rsid w:val="00BE3F46"/>
    <w:rsid w:val="00BE4275"/>
    <w:rsid w:val="00BE4C5A"/>
    <w:rsid w:val="00BE76D4"/>
    <w:rsid w:val="00BF0F95"/>
    <w:rsid w:val="00BF1FC7"/>
    <w:rsid w:val="00BF2433"/>
    <w:rsid w:val="00BF53E8"/>
    <w:rsid w:val="00BF5EEB"/>
    <w:rsid w:val="00BF61C9"/>
    <w:rsid w:val="00BF6535"/>
    <w:rsid w:val="00BF6C94"/>
    <w:rsid w:val="00BF6E3F"/>
    <w:rsid w:val="00C00424"/>
    <w:rsid w:val="00C00556"/>
    <w:rsid w:val="00C01090"/>
    <w:rsid w:val="00C01B15"/>
    <w:rsid w:val="00C01B70"/>
    <w:rsid w:val="00C02497"/>
    <w:rsid w:val="00C04239"/>
    <w:rsid w:val="00C05B77"/>
    <w:rsid w:val="00C116FA"/>
    <w:rsid w:val="00C11FD6"/>
    <w:rsid w:val="00C1260E"/>
    <w:rsid w:val="00C12C14"/>
    <w:rsid w:val="00C155C8"/>
    <w:rsid w:val="00C200AA"/>
    <w:rsid w:val="00C21523"/>
    <w:rsid w:val="00C21660"/>
    <w:rsid w:val="00C237ED"/>
    <w:rsid w:val="00C24632"/>
    <w:rsid w:val="00C2539B"/>
    <w:rsid w:val="00C25418"/>
    <w:rsid w:val="00C25D9C"/>
    <w:rsid w:val="00C2778B"/>
    <w:rsid w:val="00C31649"/>
    <w:rsid w:val="00C32592"/>
    <w:rsid w:val="00C35B8C"/>
    <w:rsid w:val="00C35DD1"/>
    <w:rsid w:val="00C36706"/>
    <w:rsid w:val="00C374EE"/>
    <w:rsid w:val="00C4007C"/>
    <w:rsid w:val="00C4029B"/>
    <w:rsid w:val="00C40385"/>
    <w:rsid w:val="00C41079"/>
    <w:rsid w:val="00C44EB0"/>
    <w:rsid w:val="00C45036"/>
    <w:rsid w:val="00C45D70"/>
    <w:rsid w:val="00C46CA0"/>
    <w:rsid w:val="00C4714A"/>
    <w:rsid w:val="00C472F4"/>
    <w:rsid w:val="00C475AA"/>
    <w:rsid w:val="00C478E7"/>
    <w:rsid w:val="00C535B8"/>
    <w:rsid w:val="00C61F77"/>
    <w:rsid w:val="00C62172"/>
    <w:rsid w:val="00C6291D"/>
    <w:rsid w:val="00C62A4E"/>
    <w:rsid w:val="00C62F0F"/>
    <w:rsid w:val="00C65576"/>
    <w:rsid w:val="00C65622"/>
    <w:rsid w:val="00C66165"/>
    <w:rsid w:val="00C6679C"/>
    <w:rsid w:val="00C67021"/>
    <w:rsid w:val="00C70441"/>
    <w:rsid w:val="00C7151A"/>
    <w:rsid w:val="00C7174B"/>
    <w:rsid w:val="00C71F60"/>
    <w:rsid w:val="00C72241"/>
    <w:rsid w:val="00C74216"/>
    <w:rsid w:val="00C750C8"/>
    <w:rsid w:val="00C7560F"/>
    <w:rsid w:val="00C80A0E"/>
    <w:rsid w:val="00C81FAC"/>
    <w:rsid w:val="00C8213F"/>
    <w:rsid w:val="00C8217E"/>
    <w:rsid w:val="00C833D7"/>
    <w:rsid w:val="00C85808"/>
    <w:rsid w:val="00C87195"/>
    <w:rsid w:val="00C8797A"/>
    <w:rsid w:val="00C87B9A"/>
    <w:rsid w:val="00C900B8"/>
    <w:rsid w:val="00C900C9"/>
    <w:rsid w:val="00C90C71"/>
    <w:rsid w:val="00C9135E"/>
    <w:rsid w:val="00C931CF"/>
    <w:rsid w:val="00C938CF"/>
    <w:rsid w:val="00C9624D"/>
    <w:rsid w:val="00C969DA"/>
    <w:rsid w:val="00CA0F67"/>
    <w:rsid w:val="00CA2C77"/>
    <w:rsid w:val="00CA2FEC"/>
    <w:rsid w:val="00CA32F6"/>
    <w:rsid w:val="00CA3C39"/>
    <w:rsid w:val="00CA4397"/>
    <w:rsid w:val="00CA444F"/>
    <w:rsid w:val="00CA5245"/>
    <w:rsid w:val="00CA5551"/>
    <w:rsid w:val="00CA5972"/>
    <w:rsid w:val="00CA67B3"/>
    <w:rsid w:val="00CA6EEB"/>
    <w:rsid w:val="00CA70E4"/>
    <w:rsid w:val="00CA71F4"/>
    <w:rsid w:val="00CA7B09"/>
    <w:rsid w:val="00CA7DA7"/>
    <w:rsid w:val="00CB2F2A"/>
    <w:rsid w:val="00CB5B1A"/>
    <w:rsid w:val="00CB648D"/>
    <w:rsid w:val="00CB6B22"/>
    <w:rsid w:val="00CB72B7"/>
    <w:rsid w:val="00CB7F5F"/>
    <w:rsid w:val="00CC1397"/>
    <w:rsid w:val="00CC1B39"/>
    <w:rsid w:val="00CC3825"/>
    <w:rsid w:val="00CC417F"/>
    <w:rsid w:val="00CC50E8"/>
    <w:rsid w:val="00CC6989"/>
    <w:rsid w:val="00CD0044"/>
    <w:rsid w:val="00CD31BE"/>
    <w:rsid w:val="00CD58C3"/>
    <w:rsid w:val="00CD5B62"/>
    <w:rsid w:val="00CD64E3"/>
    <w:rsid w:val="00CD6ADC"/>
    <w:rsid w:val="00CE00DF"/>
    <w:rsid w:val="00CE00F3"/>
    <w:rsid w:val="00CE06C4"/>
    <w:rsid w:val="00CE1297"/>
    <w:rsid w:val="00CE2202"/>
    <w:rsid w:val="00CE2BC5"/>
    <w:rsid w:val="00CE2E48"/>
    <w:rsid w:val="00CE3644"/>
    <w:rsid w:val="00CE4004"/>
    <w:rsid w:val="00CE6274"/>
    <w:rsid w:val="00CE6312"/>
    <w:rsid w:val="00CE7815"/>
    <w:rsid w:val="00CE7EFA"/>
    <w:rsid w:val="00CF15D1"/>
    <w:rsid w:val="00CF1E35"/>
    <w:rsid w:val="00CF2B8D"/>
    <w:rsid w:val="00CF321A"/>
    <w:rsid w:val="00CF40EB"/>
    <w:rsid w:val="00CF456B"/>
    <w:rsid w:val="00CF5193"/>
    <w:rsid w:val="00CF5A22"/>
    <w:rsid w:val="00CF6BF7"/>
    <w:rsid w:val="00D00615"/>
    <w:rsid w:val="00D00BEF"/>
    <w:rsid w:val="00D0262E"/>
    <w:rsid w:val="00D03D2D"/>
    <w:rsid w:val="00D04AE3"/>
    <w:rsid w:val="00D04BCE"/>
    <w:rsid w:val="00D05BE4"/>
    <w:rsid w:val="00D0710B"/>
    <w:rsid w:val="00D072FB"/>
    <w:rsid w:val="00D1044C"/>
    <w:rsid w:val="00D1054A"/>
    <w:rsid w:val="00D10709"/>
    <w:rsid w:val="00D10AEE"/>
    <w:rsid w:val="00D1105E"/>
    <w:rsid w:val="00D110BD"/>
    <w:rsid w:val="00D117BB"/>
    <w:rsid w:val="00D13675"/>
    <w:rsid w:val="00D13C6D"/>
    <w:rsid w:val="00D141E1"/>
    <w:rsid w:val="00D14B81"/>
    <w:rsid w:val="00D15135"/>
    <w:rsid w:val="00D17276"/>
    <w:rsid w:val="00D173D2"/>
    <w:rsid w:val="00D17676"/>
    <w:rsid w:val="00D17D59"/>
    <w:rsid w:val="00D17D6C"/>
    <w:rsid w:val="00D20432"/>
    <w:rsid w:val="00D21F8F"/>
    <w:rsid w:val="00D26543"/>
    <w:rsid w:val="00D26FAC"/>
    <w:rsid w:val="00D2754D"/>
    <w:rsid w:val="00D27B27"/>
    <w:rsid w:val="00D3063B"/>
    <w:rsid w:val="00D33BE9"/>
    <w:rsid w:val="00D357FF"/>
    <w:rsid w:val="00D42202"/>
    <w:rsid w:val="00D424C7"/>
    <w:rsid w:val="00D43B2A"/>
    <w:rsid w:val="00D46B51"/>
    <w:rsid w:val="00D46BC7"/>
    <w:rsid w:val="00D47575"/>
    <w:rsid w:val="00D50C35"/>
    <w:rsid w:val="00D51D55"/>
    <w:rsid w:val="00D539F0"/>
    <w:rsid w:val="00D53B1F"/>
    <w:rsid w:val="00D53FC4"/>
    <w:rsid w:val="00D606A6"/>
    <w:rsid w:val="00D65567"/>
    <w:rsid w:val="00D672E0"/>
    <w:rsid w:val="00D67B48"/>
    <w:rsid w:val="00D7013A"/>
    <w:rsid w:val="00D70F16"/>
    <w:rsid w:val="00D73C3C"/>
    <w:rsid w:val="00D74C47"/>
    <w:rsid w:val="00D7539C"/>
    <w:rsid w:val="00D76A44"/>
    <w:rsid w:val="00D815EF"/>
    <w:rsid w:val="00D827CE"/>
    <w:rsid w:val="00D84F0E"/>
    <w:rsid w:val="00D86548"/>
    <w:rsid w:val="00D901E6"/>
    <w:rsid w:val="00D91923"/>
    <w:rsid w:val="00D93753"/>
    <w:rsid w:val="00D93A43"/>
    <w:rsid w:val="00D93B0A"/>
    <w:rsid w:val="00D94022"/>
    <w:rsid w:val="00D95B44"/>
    <w:rsid w:val="00D95BA4"/>
    <w:rsid w:val="00D97F48"/>
    <w:rsid w:val="00DA0043"/>
    <w:rsid w:val="00DA1536"/>
    <w:rsid w:val="00DA1823"/>
    <w:rsid w:val="00DA1DCF"/>
    <w:rsid w:val="00DA3167"/>
    <w:rsid w:val="00DA452A"/>
    <w:rsid w:val="00DA4DC3"/>
    <w:rsid w:val="00DA4F62"/>
    <w:rsid w:val="00DA5760"/>
    <w:rsid w:val="00DA5DA6"/>
    <w:rsid w:val="00DA716B"/>
    <w:rsid w:val="00DA77A5"/>
    <w:rsid w:val="00DB10EB"/>
    <w:rsid w:val="00DB41EB"/>
    <w:rsid w:val="00DB484F"/>
    <w:rsid w:val="00DB4B0C"/>
    <w:rsid w:val="00DB64BC"/>
    <w:rsid w:val="00DB794F"/>
    <w:rsid w:val="00DC04F6"/>
    <w:rsid w:val="00DC20F0"/>
    <w:rsid w:val="00DC3C57"/>
    <w:rsid w:val="00DC3CC6"/>
    <w:rsid w:val="00DC46F9"/>
    <w:rsid w:val="00DC4A7C"/>
    <w:rsid w:val="00DC5501"/>
    <w:rsid w:val="00DC6C1F"/>
    <w:rsid w:val="00DC7984"/>
    <w:rsid w:val="00DD0AFE"/>
    <w:rsid w:val="00DD273C"/>
    <w:rsid w:val="00DD3F28"/>
    <w:rsid w:val="00DD4537"/>
    <w:rsid w:val="00DD4E15"/>
    <w:rsid w:val="00DD7F10"/>
    <w:rsid w:val="00DE0A13"/>
    <w:rsid w:val="00DE3138"/>
    <w:rsid w:val="00DE37F8"/>
    <w:rsid w:val="00DE4227"/>
    <w:rsid w:val="00DE4F4E"/>
    <w:rsid w:val="00DE4FCB"/>
    <w:rsid w:val="00DE57C4"/>
    <w:rsid w:val="00DE598E"/>
    <w:rsid w:val="00DE6DA0"/>
    <w:rsid w:val="00DE6E0B"/>
    <w:rsid w:val="00DE6F51"/>
    <w:rsid w:val="00DE7832"/>
    <w:rsid w:val="00DF15F8"/>
    <w:rsid w:val="00DF18FC"/>
    <w:rsid w:val="00DF33F7"/>
    <w:rsid w:val="00DF4013"/>
    <w:rsid w:val="00DF4791"/>
    <w:rsid w:val="00DF4E05"/>
    <w:rsid w:val="00DF5D2B"/>
    <w:rsid w:val="00E00537"/>
    <w:rsid w:val="00E00E8E"/>
    <w:rsid w:val="00E01F67"/>
    <w:rsid w:val="00E05630"/>
    <w:rsid w:val="00E0625F"/>
    <w:rsid w:val="00E06C46"/>
    <w:rsid w:val="00E06DBB"/>
    <w:rsid w:val="00E0700C"/>
    <w:rsid w:val="00E07C01"/>
    <w:rsid w:val="00E10149"/>
    <w:rsid w:val="00E11895"/>
    <w:rsid w:val="00E11FBD"/>
    <w:rsid w:val="00E13742"/>
    <w:rsid w:val="00E13771"/>
    <w:rsid w:val="00E14882"/>
    <w:rsid w:val="00E14BE2"/>
    <w:rsid w:val="00E152B8"/>
    <w:rsid w:val="00E16372"/>
    <w:rsid w:val="00E164DE"/>
    <w:rsid w:val="00E20E4D"/>
    <w:rsid w:val="00E20ED6"/>
    <w:rsid w:val="00E21358"/>
    <w:rsid w:val="00E2249B"/>
    <w:rsid w:val="00E22A0D"/>
    <w:rsid w:val="00E22F09"/>
    <w:rsid w:val="00E23499"/>
    <w:rsid w:val="00E23631"/>
    <w:rsid w:val="00E23926"/>
    <w:rsid w:val="00E23DB1"/>
    <w:rsid w:val="00E2402B"/>
    <w:rsid w:val="00E24D97"/>
    <w:rsid w:val="00E27522"/>
    <w:rsid w:val="00E2771E"/>
    <w:rsid w:val="00E30B8D"/>
    <w:rsid w:val="00E31B7B"/>
    <w:rsid w:val="00E34334"/>
    <w:rsid w:val="00E34948"/>
    <w:rsid w:val="00E3698C"/>
    <w:rsid w:val="00E3719C"/>
    <w:rsid w:val="00E374F0"/>
    <w:rsid w:val="00E37569"/>
    <w:rsid w:val="00E41063"/>
    <w:rsid w:val="00E414B5"/>
    <w:rsid w:val="00E41E30"/>
    <w:rsid w:val="00E42A39"/>
    <w:rsid w:val="00E43D70"/>
    <w:rsid w:val="00E43EC3"/>
    <w:rsid w:val="00E44366"/>
    <w:rsid w:val="00E45A96"/>
    <w:rsid w:val="00E45A9B"/>
    <w:rsid w:val="00E466F3"/>
    <w:rsid w:val="00E46B88"/>
    <w:rsid w:val="00E47B2C"/>
    <w:rsid w:val="00E51560"/>
    <w:rsid w:val="00E52764"/>
    <w:rsid w:val="00E52D3B"/>
    <w:rsid w:val="00E534DF"/>
    <w:rsid w:val="00E53C08"/>
    <w:rsid w:val="00E54347"/>
    <w:rsid w:val="00E546BB"/>
    <w:rsid w:val="00E55424"/>
    <w:rsid w:val="00E55BB5"/>
    <w:rsid w:val="00E5724E"/>
    <w:rsid w:val="00E60F87"/>
    <w:rsid w:val="00E6239D"/>
    <w:rsid w:val="00E62655"/>
    <w:rsid w:val="00E65E79"/>
    <w:rsid w:val="00E66BA2"/>
    <w:rsid w:val="00E66D16"/>
    <w:rsid w:val="00E67416"/>
    <w:rsid w:val="00E70C1A"/>
    <w:rsid w:val="00E70EFB"/>
    <w:rsid w:val="00E7184E"/>
    <w:rsid w:val="00E718B6"/>
    <w:rsid w:val="00E721CC"/>
    <w:rsid w:val="00E723BA"/>
    <w:rsid w:val="00E73581"/>
    <w:rsid w:val="00E76C26"/>
    <w:rsid w:val="00E7795A"/>
    <w:rsid w:val="00E833F7"/>
    <w:rsid w:val="00E83BDF"/>
    <w:rsid w:val="00E857CB"/>
    <w:rsid w:val="00E86E8F"/>
    <w:rsid w:val="00E87A1D"/>
    <w:rsid w:val="00E915F2"/>
    <w:rsid w:val="00E91739"/>
    <w:rsid w:val="00E918CB"/>
    <w:rsid w:val="00E926A5"/>
    <w:rsid w:val="00E94271"/>
    <w:rsid w:val="00E95D11"/>
    <w:rsid w:val="00E97A48"/>
    <w:rsid w:val="00E97EE5"/>
    <w:rsid w:val="00EA1437"/>
    <w:rsid w:val="00EA17C3"/>
    <w:rsid w:val="00EA254A"/>
    <w:rsid w:val="00EA2CAA"/>
    <w:rsid w:val="00EA3864"/>
    <w:rsid w:val="00EA5456"/>
    <w:rsid w:val="00EA5849"/>
    <w:rsid w:val="00EA5EA4"/>
    <w:rsid w:val="00EA771A"/>
    <w:rsid w:val="00EB15B6"/>
    <w:rsid w:val="00EB46A2"/>
    <w:rsid w:val="00EB4876"/>
    <w:rsid w:val="00EB4916"/>
    <w:rsid w:val="00EB5944"/>
    <w:rsid w:val="00EC00C9"/>
    <w:rsid w:val="00EC143D"/>
    <w:rsid w:val="00EC19BD"/>
    <w:rsid w:val="00EC2649"/>
    <w:rsid w:val="00EC5E66"/>
    <w:rsid w:val="00EC6B93"/>
    <w:rsid w:val="00EC7C12"/>
    <w:rsid w:val="00ED1F1F"/>
    <w:rsid w:val="00ED52A3"/>
    <w:rsid w:val="00ED57EA"/>
    <w:rsid w:val="00ED7D2C"/>
    <w:rsid w:val="00ED7D6E"/>
    <w:rsid w:val="00EE07D3"/>
    <w:rsid w:val="00EE22AF"/>
    <w:rsid w:val="00EE24C2"/>
    <w:rsid w:val="00EE3316"/>
    <w:rsid w:val="00EE4A2A"/>
    <w:rsid w:val="00EF0171"/>
    <w:rsid w:val="00EF0E0F"/>
    <w:rsid w:val="00EF0FEE"/>
    <w:rsid w:val="00EF1B25"/>
    <w:rsid w:val="00EF3C56"/>
    <w:rsid w:val="00EF3D6E"/>
    <w:rsid w:val="00EF4747"/>
    <w:rsid w:val="00EF4BF8"/>
    <w:rsid w:val="00EF4F70"/>
    <w:rsid w:val="00EF5353"/>
    <w:rsid w:val="00EF5974"/>
    <w:rsid w:val="00EF5B8F"/>
    <w:rsid w:val="00EF65B6"/>
    <w:rsid w:val="00F00E6F"/>
    <w:rsid w:val="00F02253"/>
    <w:rsid w:val="00F02316"/>
    <w:rsid w:val="00F02C16"/>
    <w:rsid w:val="00F03AB8"/>
    <w:rsid w:val="00F03C2E"/>
    <w:rsid w:val="00F04A66"/>
    <w:rsid w:val="00F05122"/>
    <w:rsid w:val="00F0516C"/>
    <w:rsid w:val="00F067A2"/>
    <w:rsid w:val="00F10F35"/>
    <w:rsid w:val="00F114AF"/>
    <w:rsid w:val="00F1263A"/>
    <w:rsid w:val="00F13340"/>
    <w:rsid w:val="00F14E6E"/>
    <w:rsid w:val="00F15BE8"/>
    <w:rsid w:val="00F20411"/>
    <w:rsid w:val="00F23FB1"/>
    <w:rsid w:val="00F24837"/>
    <w:rsid w:val="00F2575F"/>
    <w:rsid w:val="00F26235"/>
    <w:rsid w:val="00F2655E"/>
    <w:rsid w:val="00F26A1A"/>
    <w:rsid w:val="00F271CB"/>
    <w:rsid w:val="00F27565"/>
    <w:rsid w:val="00F310D4"/>
    <w:rsid w:val="00F31668"/>
    <w:rsid w:val="00F31D5A"/>
    <w:rsid w:val="00F33DE9"/>
    <w:rsid w:val="00F344EB"/>
    <w:rsid w:val="00F357CB"/>
    <w:rsid w:val="00F35A21"/>
    <w:rsid w:val="00F3619A"/>
    <w:rsid w:val="00F40206"/>
    <w:rsid w:val="00F402B7"/>
    <w:rsid w:val="00F40AAA"/>
    <w:rsid w:val="00F40BA7"/>
    <w:rsid w:val="00F415A3"/>
    <w:rsid w:val="00F43103"/>
    <w:rsid w:val="00F440FC"/>
    <w:rsid w:val="00F46CB6"/>
    <w:rsid w:val="00F47DE8"/>
    <w:rsid w:val="00F54065"/>
    <w:rsid w:val="00F542C1"/>
    <w:rsid w:val="00F55E73"/>
    <w:rsid w:val="00F55EDA"/>
    <w:rsid w:val="00F563B7"/>
    <w:rsid w:val="00F60092"/>
    <w:rsid w:val="00F6314E"/>
    <w:rsid w:val="00F6315C"/>
    <w:rsid w:val="00F63F39"/>
    <w:rsid w:val="00F659F4"/>
    <w:rsid w:val="00F65F4B"/>
    <w:rsid w:val="00F669A4"/>
    <w:rsid w:val="00F6798E"/>
    <w:rsid w:val="00F704B0"/>
    <w:rsid w:val="00F70741"/>
    <w:rsid w:val="00F70C9D"/>
    <w:rsid w:val="00F714DD"/>
    <w:rsid w:val="00F74005"/>
    <w:rsid w:val="00F74CD9"/>
    <w:rsid w:val="00F76A2C"/>
    <w:rsid w:val="00F77A11"/>
    <w:rsid w:val="00F80A7B"/>
    <w:rsid w:val="00F80E5D"/>
    <w:rsid w:val="00F825C3"/>
    <w:rsid w:val="00F82734"/>
    <w:rsid w:val="00F8464F"/>
    <w:rsid w:val="00F851CE"/>
    <w:rsid w:val="00F85CC0"/>
    <w:rsid w:val="00F860FB"/>
    <w:rsid w:val="00F87E61"/>
    <w:rsid w:val="00F91219"/>
    <w:rsid w:val="00F9204F"/>
    <w:rsid w:val="00F923BB"/>
    <w:rsid w:val="00F970DB"/>
    <w:rsid w:val="00F97A78"/>
    <w:rsid w:val="00FA0B20"/>
    <w:rsid w:val="00FA24E7"/>
    <w:rsid w:val="00FA263F"/>
    <w:rsid w:val="00FA48B8"/>
    <w:rsid w:val="00FA49BC"/>
    <w:rsid w:val="00FA562D"/>
    <w:rsid w:val="00FA5807"/>
    <w:rsid w:val="00FA5EA1"/>
    <w:rsid w:val="00FA6E54"/>
    <w:rsid w:val="00FA6F12"/>
    <w:rsid w:val="00FB2FCB"/>
    <w:rsid w:val="00FB354F"/>
    <w:rsid w:val="00FB60F7"/>
    <w:rsid w:val="00FB7393"/>
    <w:rsid w:val="00FB7C9F"/>
    <w:rsid w:val="00FB7EA8"/>
    <w:rsid w:val="00FC0544"/>
    <w:rsid w:val="00FC1074"/>
    <w:rsid w:val="00FC1884"/>
    <w:rsid w:val="00FC1F35"/>
    <w:rsid w:val="00FC1FBD"/>
    <w:rsid w:val="00FC371D"/>
    <w:rsid w:val="00FC3CE7"/>
    <w:rsid w:val="00FC4F6D"/>
    <w:rsid w:val="00FC5F0B"/>
    <w:rsid w:val="00FC6839"/>
    <w:rsid w:val="00FD2100"/>
    <w:rsid w:val="00FD23DE"/>
    <w:rsid w:val="00FD2FA3"/>
    <w:rsid w:val="00FD436C"/>
    <w:rsid w:val="00FD446D"/>
    <w:rsid w:val="00FD4AD5"/>
    <w:rsid w:val="00FD4FF4"/>
    <w:rsid w:val="00FD5C0F"/>
    <w:rsid w:val="00FD6394"/>
    <w:rsid w:val="00FD653D"/>
    <w:rsid w:val="00FE08D1"/>
    <w:rsid w:val="00FE0E6C"/>
    <w:rsid w:val="00FE1A26"/>
    <w:rsid w:val="00FE2294"/>
    <w:rsid w:val="00FE2319"/>
    <w:rsid w:val="00FE3745"/>
    <w:rsid w:val="00FE4B09"/>
    <w:rsid w:val="00FE5C4C"/>
    <w:rsid w:val="00FE70C3"/>
    <w:rsid w:val="00FE73C2"/>
    <w:rsid w:val="00FF2A38"/>
    <w:rsid w:val="00FF2D69"/>
    <w:rsid w:val="00FF31E3"/>
    <w:rsid w:val="00FF3A02"/>
    <w:rsid w:val="00FF3DCF"/>
    <w:rsid w:val="00FF492C"/>
    <w:rsid w:val="00FF4A21"/>
    <w:rsid w:val="00FF4E62"/>
    <w:rsid w:val="00FF5779"/>
    <w:rsid w:val="00FF5AA3"/>
    <w:rsid w:val="00FF5AD8"/>
    <w:rsid w:val="00FF69C7"/>
    <w:rsid w:val="00FF6A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CA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Lengende,figure,caption,Caption-FUSA,Caption Char Char Char Char,Caption Char Char Char Char Char Char,Caption Char1 Char Char,Caption Char1 Char Char Char Char,Char,12,Caption 12pt+,Caption 12pt,1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Lengende Char,figure Char,caption Char,Caption-FUSA Char,Caption Char Char Char Char Char,Caption Char Char Char Char Char Char Char,Caption Char1 Char Char Char,Char Char,12 Char,Caption 12pt+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Footnote,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Footnote Char,ES Paragraph Char,PBAC ES Paragraph Char,PBAC normal points Char,Bullet List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Dossier table,Summary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nhideWhenUsed/>
    <w:rsid w:val="00C62A4E"/>
    <w:pPr>
      <w:snapToGrid w:val="0"/>
    </w:pPr>
    <w:rPr>
      <w:snapToGrid/>
      <w:sz w:val="20"/>
      <w:szCs w:val="20"/>
    </w:rPr>
  </w:style>
  <w:style w:type="character" w:customStyle="1" w:styleId="FootnoteTextChar">
    <w:name w:val="Footnote Text Char"/>
    <w:basedOn w:val="DefaultParagraphFont"/>
    <w:link w:val="FootnoteText"/>
    <w:rsid w:val="00C62A4E"/>
    <w:rPr>
      <w:rFonts w:ascii="Calibri" w:hAnsi="Calibri" w:cs="Arial"/>
      <w:lang w:eastAsia="en-US"/>
    </w:rPr>
  </w:style>
  <w:style w:type="character" w:styleId="FootnoteReference">
    <w:name w:val="footnote reference"/>
    <w:basedOn w:val="DefaultParagraphFont"/>
    <w:unhideWhenUsed/>
    <w:rsid w:val="00C62A4E"/>
    <w:rPr>
      <w:vertAlign w:val="superscript"/>
    </w:rPr>
  </w:style>
  <w:style w:type="paragraph" w:customStyle="1" w:styleId="TableText0">
    <w:name w:val="Table Text"/>
    <w:basedOn w:val="Normal"/>
    <w:link w:val="TableTextChar0"/>
    <w:qFormat/>
    <w:rsid w:val="00003C2A"/>
    <w:pPr>
      <w:widowControl/>
      <w:spacing w:before="40" w:after="40"/>
      <w:jc w:val="left"/>
    </w:pPr>
    <w:rPr>
      <w:rFonts w:asciiTheme="minorHAnsi" w:eastAsiaTheme="minorEastAsia" w:hAnsiTheme="minorHAnsi" w:cstheme="minorHAnsi"/>
      <w:snapToGrid/>
      <w:sz w:val="20"/>
      <w:lang w:eastAsia="zh-CN"/>
    </w:rPr>
  </w:style>
  <w:style w:type="paragraph" w:customStyle="1" w:styleId="ESTableText">
    <w:name w:val="ESTableText"/>
    <w:basedOn w:val="Normal"/>
    <w:link w:val="ESTableTextChar"/>
    <w:uiPriority w:val="1"/>
    <w:qFormat/>
    <w:rsid w:val="006A6368"/>
    <w:pPr>
      <w:widowControl/>
      <w:spacing w:before="20" w:after="20"/>
      <w:jc w:val="left"/>
    </w:pPr>
    <w:rPr>
      <w:rFonts w:cstheme="minorHAnsi"/>
      <w:bCs/>
      <w:snapToGrid/>
      <w:sz w:val="20"/>
      <w:szCs w:val="20"/>
    </w:rPr>
  </w:style>
  <w:style w:type="character" w:customStyle="1" w:styleId="ESTableTextChar">
    <w:name w:val="ESTableText Char"/>
    <w:basedOn w:val="DefaultParagraphFont"/>
    <w:link w:val="ESTableText"/>
    <w:uiPriority w:val="1"/>
    <w:rsid w:val="006A6368"/>
    <w:rPr>
      <w:rFonts w:ascii="Calibri" w:hAnsi="Calibri" w:cstheme="minorHAnsi"/>
      <w:bCs/>
      <w:lang w:eastAsia="en-US"/>
    </w:rPr>
  </w:style>
  <w:style w:type="paragraph" w:customStyle="1" w:styleId="TableTextCA">
    <w:name w:val="Table Text CA"/>
    <w:basedOn w:val="Normal"/>
    <w:qFormat/>
    <w:rsid w:val="0005452A"/>
    <w:pPr>
      <w:widowControl/>
      <w:spacing w:before="40" w:after="40"/>
      <w:jc w:val="center"/>
    </w:pPr>
    <w:rPr>
      <w:rFonts w:ascii="Arial Narrow" w:eastAsiaTheme="minorHAnsi" w:hAnsi="Arial Narrow" w:cstheme="minorBidi"/>
      <w:snapToGrid/>
      <w:sz w:val="20"/>
    </w:rPr>
  </w:style>
  <w:style w:type="paragraph" w:customStyle="1" w:styleId="Default">
    <w:name w:val="Default"/>
    <w:rsid w:val="0005452A"/>
    <w:pPr>
      <w:autoSpaceDE w:val="0"/>
      <w:autoSpaceDN w:val="0"/>
      <w:adjustRightInd w:val="0"/>
    </w:pPr>
    <w:rPr>
      <w:color w:val="000000"/>
      <w:sz w:val="24"/>
      <w:szCs w:val="24"/>
      <w:lang w:val="en-US" w:eastAsia="en-US"/>
    </w:rPr>
  </w:style>
  <w:style w:type="character" w:styleId="PlaceholderText">
    <w:name w:val="Placeholder Text"/>
    <w:basedOn w:val="DefaultParagraphFont"/>
    <w:uiPriority w:val="99"/>
    <w:semiHidden/>
    <w:rsid w:val="0005452A"/>
    <w:rPr>
      <w:color w:val="808080"/>
    </w:rPr>
  </w:style>
  <w:style w:type="paragraph" w:styleId="HTMLPreformatted">
    <w:name w:val="HTML Preformatted"/>
    <w:basedOn w:val="Normal"/>
    <w:link w:val="HTMLPreformattedChar"/>
    <w:uiPriority w:val="99"/>
    <w:unhideWhenUsed/>
    <w:rsid w:val="00054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szCs w:val="20"/>
      <w:lang w:eastAsia="en-AU"/>
    </w:rPr>
  </w:style>
  <w:style w:type="character" w:customStyle="1" w:styleId="HTMLPreformattedChar">
    <w:name w:val="HTML Preformatted Char"/>
    <w:basedOn w:val="DefaultParagraphFont"/>
    <w:link w:val="HTMLPreformatted"/>
    <w:uiPriority w:val="99"/>
    <w:rsid w:val="0005452A"/>
    <w:rPr>
      <w:rFonts w:ascii="Courier New" w:hAnsi="Courier New" w:cs="Courier New"/>
    </w:rPr>
  </w:style>
  <w:style w:type="paragraph" w:styleId="EndnoteText">
    <w:name w:val="endnote text"/>
    <w:basedOn w:val="Normal"/>
    <w:link w:val="EndnoteTextChar"/>
    <w:semiHidden/>
    <w:unhideWhenUsed/>
    <w:rsid w:val="0005452A"/>
    <w:rPr>
      <w:sz w:val="20"/>
      <w:szCs w:val="20"/>
    </w:rPr>
  </w:style>
  <w:style w:type="character" w:customStyle="1" w:styleId="EndnoteTextChar">
    <w:name w:val="Endnote Text Char"/>
    <w:basedOn w:val="DefaultParagraphFont"/>
    <w:link w:val="EndnoteText"/>
    <w:semiHidden/>
    <w:rsid w:val="0005452A"/>
    <w:rPr>
      <w:rFonts w:ascii="Calibri" w:hAnsi="Calibri" w:cs="Arial"/>
      <w:snapToGrid w:val="0"/>
      <w:lang w:eastAsia="en-US"/>
    </w:rPr>
  </w:style>
  <w:style w:type="character" w:styleId="EndnoteReference">
    <w:name w:val="endnote reference"/>
    <w:basedOn w:val="DefaultParagraphFont"/>
    <w:semiHidden/>
    <w:unhideWhenUsed/>
    <w:rsid w:val="0005452A"/>
    <w:rPr>
      <w:vertAlign w:val="superscript"/>
    </w:rPr>
  </w:style>
  <w:style w:type="paragraph" w:customStyle="1" w:styleId="Table">
    <w:name w:val="Table"/>
    <w:basedOn w:val="Normal"/>
    <w:qFormat/>
    <w:rsid w:val="006E2E8F"/>
    <w:pPr>
      <w:widowControl/>
      <w:jc w:val="left"/>
    </w:pPr>
    <w:rPr>
      <w:rFonts w:ascii="Arial Narrow" w:eastAsiaTheme="minorHAnsi" w:hAnsi="Arial Narrow" w:cstheme="minorBidi"/>
      <w:snapToGrid/>
      <w:sz w:val="20"/>
    </w:rPr>
  </w:style>
  <w:style w:type="character" w:styleId="Emphasis">
    <w:name w:val="Emphasis"/>
    <w:basedOn w:val="DefaultParagraphFont"/>
    <w:uiPriority w:val="20"/>
    <w:qFormat/>
    <w:rsid w:val="006E2E8F"/>
    <w:rPr>
      <w:i/>
      <w:iCs/>
    </w:rPr>
  </w:style>
  <w:style w:type="character" w:customStyle="1" w:styleId="ilfuvd">
    <w:name w:val="ilfuvd"/>
    <w:basedOn w:val="DefaultParagraphFont"/>
    <w:rsid w:val="006E2E8F"/>
  </w:style>
  <w:style w:type="character" w:customStyle="1" w:styleId="TableTextChar0">
    <w:name w:val="Table Text Char"/>
    <w:basedOn w:val="DefaultParagraphFont"/>
    <w:link w:val="TableText0"/>
    <w:rsid w:val="006E2E8F"/>
    <w:rPr>
      <w:rFonts w:asciiTheme="minorHAnsi" w:eastAsiaTheme="minorEastAsia" w:hAnsiTheme="minorHAnsi" w:cstheme="minorHAnsi"/>
      <w:szCs w:val="22"/>
      <w:lang w:eastAsia="zh-CN"/>
    </w:rPr>
  </w:style>
  <w:style w:type="paragraph" w:customStyle="1" w:styleId="TableHeadingRow">
    <w:name w:val="TableHeadingRow"/>
    <w:basedOn w:val="Normal"/>
    <w:uiPriority w:val="3"/>
    <w:qFormat/>
    <w:rsid w:val="006E2E8F"/>
    <w:pPr>
      <w:keepNext/>
      <w:widowControl/>
      <w:spacing w:before="20" w:after="20"/>
    </w:pPr>
    <w:rPr>
      <w:rFonts w:cstheme="minorHAnsi"/>
      <w:b/>
      <w:snapToGrid/>
      <w:sz w:val="20"/>
      <w:szCs w:val="20"/>
    </w:rPr>
  </w:style>
  <w:style w:type="paragraph" w:customStyle="1" w:styleId="TableText1">
    <w:name w:val="TableText"/>
    <w:basedOn w:val="Normal"/>
    <w:link w:val="TableTextChar1"/>
    <w:qFormat/>
    <w:rsid w:val="006E2E8F"/>
    <w:pPr>
      <w:keepNext/>
      <w:widowControl/>
      <w:spacing w:before="40" w:after="40" w:line="360" w:lineRule="auto"/>
      <w:jc w:val="left"/>
    </w:pPr>
    <w:rPr>
      <w:rFonts w:ascii="Arial Narrow" w:hAnsi="Arial Narrow" w:cs="Arial Narrow"/>
      <w:snapToGrid/>
      <w:sz w:val="20"/>
      <w:szCs w:val="20"/>
    </w:rPr>
  </w:style>
  <w:style w:type="character" w:customStyle="1" w:styleId="TableTextChar1">
    <w:name w:val="TableText Char"/>
    <w:basedOn w:val="DefaultParagraphFont"/>
    <w:link w:val="TableText1"/>
    <w:rsid w:val="006E2E8F"/>
    <w:rPr>
      <w:rFonts w:ascii="Arial Narrow" w:hAnsi="Arial Narrow" w:cs="Arial Narrow"/>
      <w:lang w:eastAsia="en-US"/>
    </w:rPr>
  </w:style>
  <w:style w:type="paragraph" w:customStyle="1" w:styleId="Tablefootnotes">
    <w:name w:val="Table footnotes"/>
    <w:basedOn w:val="BodyText"/>
    <w:qFormat/>
    <w:rsid w:val="006E2E8F"/>
    <w:pPr>
      <w:keepLines/>
      <w:widowControl/>
      <w:spacing w:after="240"/>
      <w:contextualSpacing/>
    </w:pPr>
    <w:rPr>
      <w:snapToGrid/>
      <w:sz w:val="16"/>
      <w:szCs w:val="24"/>
    </w:rPr>
  </w:style>
  <w:style w:type="character" w:customStyle="1" w:styleId="UnresolvedMention1">
    <w:name w:val="Unresolved Mention1"/>
    <w:basedOn w:val="DefaultParagraphFont"/>
    <w:uiPriority w:val="99"/>
    <w:semiHidden/>
    <w:unhideWhenUsed/>
    <w:rsid w:val="0037695E"/>
    <w:rPr>
      <w:color w:val="605E5C"/>
      <w:shd w:val="clear" w:color="auto" w:fill="E1DFDD"/>
    </w:rPr>
  </w:style>
  <w:style w:type="paragraph" w:styleId="TableofFigures">
    <w:name w:val="table of figures"/>
    <w:basedOn w:val="Normal"/>
    <w:next w:val="Normal"/>
    <w:uiPriority w:val="99"/>
    <w:rsid w:val="0037695E"/>
    <w:pPr>
      <w:widowControl/>
      <w:spacing w:after="120"/>
      <w:ind w:left="1202" w:hanging="1202"/>
      <w:jc w:val="left"/>
    </w:pPr>
    <w:rPr>
      <w:rFonts w:ascii="Cambria" w:hAnsi="Cambria" w:cs="Times New Roman"/>
      <w:snapToGrid/>
      <w:sz w:val="22"/>
      <w:szCs w:val="24"/>
    </w:rPr>
  </w:style>
  <w:style w:type="character" w:customStyle="1" w:styleId="UnresolvedMention10">
    <w:name w:val="Unresolved Mention1"/>
    <w:basedOn w:val="DefaultParagraphFont"/>
    <w:uiPriority w:val="99"/>
    <w:semiHidden/>
    <w:unhideWhenUsed/>
    <w:rsid w:val="0037695E"/>
    <w:rPr>
      <w:color w:val="605E5C"/>
      <w:shd w:val="clear" w:color="auto" w:fill="E1DFDD"/>
    </w:rPr>
  </w:style>
  <w:style w:type="character" w:customStyle="1" w:styleId="Heading1Char">
    <w:name w:val="Heading 1 Char"/>
    <w:basedOn w:val="DefaultParagraphFont"/>
    <w:link w:val="Heading1"/>
    <w:uiPriority w:val="1"/>
    <w:rsid w:val="00FA49BC"/>
    <w:rPr>
      <w:rFonts w:ascii="Calibri" w:hAnsi="Calibri" w:cs="Arial"/>
      <w:b/>
      <w:caps/>
      <w:snapToGrid w:val="0"/>
      <w:sz w:val="32"/>
      <w:szCs w:val="22"/>
      <w:lang w:eastAsia="en-US"/>
    </w:rPr>
  </w:style>
  <w:style w:type="character" w:customStyle="1" w:styleId="e24kjd">
    <w:name w:val="e24kjd"/>
    <w:basedOn w:val="DefaultParagraphFont"/>
    <w:rsid w:val="000B3B63"/>
  </w:style>
  <w:style w:type="paragraph" w:styleId="ListBullet">
    <w:name w:val="List Bullet"/>
    <w:basedOn w:val="Normal"/>
    <w:autoRedefine/>
    <w:rsid w:val="003A0895"/>
    <w:pPr>
      <w:widowControl/>
      <w:jc w:val="left"/>
    </w:pPr>
    <w:rPr>
      <w:rFonts w:ascii="Arial" w:hAnsi="Arial"/>
      <w:sz w:val="20"/>
      <w:szCs w:val="20"/>
    </w:rPr>
  </w:style>
  <w:style w:type="character" w:customStyle="1" w:styleId="apple-converted-space">
    <w:name w:val="apple-converted-space"/>
    <w:basedOn w:val="DefaultParagraphFont"/>
    <w:rsid w:val="00AC20B0"/>
  </w:style>
  <w:style w:type="paragraph" w:customStyle="1" w:styleId="1MainTitle">
    <w:name w:val="1. Main Title"/>
    <w:basedOn w:val="Title"/>
    <w:link w:val="1MainTitleChar"/>
    <w:qFormat/>
    <w:rsid w:val="00791450"/>
    <w:pPr>
      <w:widowControl/>
      <w:spacing w:before="120" w:after="160"/>
      <w:ind w:left="720" w:hanging="720"/>
      <w:contextualSpacing/>
      <w:jc w:val="left"/>
    </w:pPr>
    <w:rPr>
      <w:rFonts w:asciiTheme="minorHAnsi" w:eastAsiaTheme="majorEastAsia" w:hAnsiTheme="minorHAnsi" w:cstheme="majorBidi"/>
      <w:bCs w:val="0"/>
      <w:snapToGrid/>
      <w:spacing w:val="5"/>
      <w:sz w:val="36"/>
      <w:szCs w:val="36"/>
    </w:rPr>
  </w:style>
  <w:style w:type="character" w:customStyle="1" w:styleId="1MainTitleChar">
    <w:name w:val="1. Main Title Char"/>
    <w:basedOn w:val="TitleChar"/>
    <w:link w:val="1MainTitle"/>
    <w:rsid w:val="00791450"/>
    <w:rPr>
      <w:rFonts w:asciiTheme="minorHAnsi" w:eastAsiaTheme="majorEastAsia" w:hAnsiTheme="minorHAnsi" w:cstheme="majorBidi"/>
      <w:b/>
      <w:bCs w:val="0"/>
      <w:snapToGrid/>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3020">
      <w:bodyDiv w:val="1"/>
      <w:marLeft w:val="0"/>
      <w:marRight w:val="0"/>
      <w:marTop w:val="0"/>
      <w:marBottom w:val="0"/>
      <w:divBdr>
        <w:top w:val="none" w:sz="0" w:space="0" w:color="auto"/>
        <w:left w:val="none" w:sz="0" w:space="0" w:color="auto"/>
        <w:bottom w:val="none" w:sz="0" w:space="0" w:color="auto"/>
        <w:right w:val="none" w:sz="0" w:space="0" w:color="auto"/>
      </w:divBdr>
      <w:divsChild>
        <w:div w:id="815223357">
          <w:marLeft w:val="1080"/>
          <w:marRight w:val="0"/>
          <w:marTop w:val="100"/>
          <w:marBottom w:val="0"/>
          <w:divBdr>
            <w:top w:val="none" w:sz="0" w:space="0" w:color="auto"/>
            <w:left w:val="none" w:sz="0" w:space="0" w:color="auto"/>
            <w:bottom w:val="none" w:sz="0" w:space="0" w:color="auto"/>
            <w:right w:val="none" w:sz="0" w:space="0" w:color="auto"/>
          </w:divBdr>
        </w:div>
        <w:div w:id="1839728124">
          <w:marLeft w:val="1080"/>
          <w:marRight w:val="0"/>
          <w:marTop w:val="100"/>
          <w:marBottom w:val="0"/>
          <w:divBdr>
            <w:top w:val="none" w:sz="0" w:space="0" w:color="auto"/>
            <w:left w:val="none" w:sz="0" w:space="0" w:color="auto"/>
            <w:bottom w:val="none" w:sz="0" w:space="0" w:color="auto"/>
            <w:right w:val="none" w:sz="0" w:space="0" w:color="auto"/>
          </w:divBdr>
        </w:div>
        <w:div w:id="1670523716">
          <w:marLeft w:val="1080"/>
          <w:marRight w:val="0"/>
          <w:marTop w:val="100"/>
          <w:marBottom w:val="0"/>
          <w:divBdr>
            <w:top w:val="none" w:sz="0" w:space="0" w:color="auto"/>
            <w:left w:val="none" w:sz="0" w:space="0" w:color="auto"/>
            <w:bottom w:val="none" w:sz="0" w:space="0" w:color="auto"/>
            <w:right w:val="none" w:sz="0" w:space="0" w:color="auto"/>
          </w:divBdr>
        </w:div>
        <w:div w:id="2120754569">
          <w:marLeft w:val="1080"/>
          <w:marRight w:val="0"/>
          <w:marTop w:val="100"/>
          <w:marBottom w:val="0"/>
          <w:divBdr>
            <w:top w:val="none" w:sz="0" w:space="0" w:color="auto"/>
            <w:left w:val="none" w:sz="0" w:space="0" w:color="auto"/>
            <w:bottom w:val="none" w:sz="0" w:space="0" w:color="auto"/>
            <w:right w:val="none" w:sz="0" w:space="0" w:color="auto"/>
          </w:divBdr>
        </w:div>
      </w:divsChild>
    </w:div>
    <w:div w:id="188296670">
      <w:bodyDiv w:val="1"/>
      <w:marLeft w:val="0"/>
      <w:marRight w:val="0"/>
      <w:marTop w:val="0"/>
      <w:marBottom w:val="0"/>
      <w:divBdr>
        <w:top w:val="none" w:sz="0" w:space="0" w:color="auto"/>
        <w:left w:val="none" w:sz="0" w:space="0" w:color="auto"/>
        <w:bottom w:val="none" w:sz="0" w:space="0" w:color="auto"/>
        <w:right w:val="none" w:sz="0" w:space="0" w:color="auto"/>
      </w:divBdr>
    </w:div>
    <w:div w:id="403072092">
      <w:bodyDiv w:val="1"/>
      <w:marLeft w:val="0"/>
      <w:marRight w:val="0"/>
      <w:marTop w:val="0"/>
      <w:marBottom w:val="0"/>
      <w:divBdr>
        <w:top w:val="none" w:sz="0" w:space="0" w:color="auto"/>
        <w:left w:val="none" w:sz="0" w:space="0" w:color="auto"/>
        <w:bottom w:val="none" w:sz="0" w:space="0" w:color="auto"/>
        <w:right w:val="none" w:sz="0" w:space="0" w:color="auto"/>
      </w:divBdr>
    </w:div>
    <w:div w:id="551386406">
      <w:bodyDiv w:val="1"/>
      <w:marLeft w:val="0"/>
      <w:marRight w:val="0"/>
      <w:marTop w:val="0"/>
      <w:marBottom w:val="0"/>
      <w:divBdr>
        <w:top w:val="none" w:sz="0" w:space="0" w:color="auto"/>
        <w:left w:val="none" w:sz="0" w:space="0" w:color="auto"/>
        <w:bottom w:val="none" w:sz="0" w:space="0" w:color="auto"/>
        <w:right w:val="none" w:sz="0" w:space="0" w:color="auto"/>
      </w:divBdr>
      <w:divsChild>
        <w:div w:id="580987437">
          <w:marLeft w:val="1166"/>
          <w:marRight w:val="0"/>
          <w:marTop w:val="96"/>
          <w:marBottom w:val="0"/>
          <w:divBdr>
            <w:top w:val="none" w:sz="0" w:space="0" w:color="auto"/>
            <w:left w:val="none" w:sz="0" w:space="0" w:color="auto"/>
            <w:bottom w:val="none" w:sz="0" w:space="0" w:color="auto"/>
            <w:right w:val="none" w:sz="0" w:space="0" w:color="auto"/>
          </w:divBdr>
        </w:div>
      </w:divsChild>
    </w:div>
    <w:div w:id="630601592">
      <w:bodyDiv w:val="1"/>
      <w:marLeft w:val="0"/>
      <w:marRight w:val="0"/>
      <w:marTop w:val="0"/>
      <w:marBottom w:val="0"/>
      <w:divBdr>
        <w:top w:val="none" w:sz="0" w:space="0" w:color="auto"/>
        <w:left w:val="none" w:sz="0" w:space="0" w:color="auto"/>
        <w:bottom w:val="none" w:sz="0" w:space="0" w:color="auto"/>
        <w:right w:val="none" w:sz="0" w:space="0" w:color="auto"/>
      </w:divBdr>
    </w:div>
    <w:div w:id="694381747">
      <w:bodyDiv w:val="1"/>
      <w:marLeft w:val="0"/>
      <w:marRight w:val="0"/>
      <w:marTop w:val="0"/>
      <w:marBottom w:val="0"/>
      <w:divBdr>
        <w:top w:val="none" w:sz="0" w:space="0" w:color="auto"/>
        <w:left w:val="none" w:sz="0" w:space="0" w:color="auto"/>
        <w:bottom w:val="none" w:sz="0" w:space="0" w:color="auto"/>
        <w:right w:val="none" w:sz="0" w:space="0" w:color="auto"/>
      </w:divBdr>
    </w:div>
    <w:div w:id="814687871">
      <w:bodyDiv w:val="1"/>
      <w:marLeft w:val="0"/>
      <w:marRight w:val="0"/>
      <w:marTop w:val="0"/>
      <w:marBottom w:val="0"/>
      <w:divBdr>
        <w:top w:val="none" w:sz="0" w:space="0" w:color="auto"/>
        <w:left w:val="none" w:sz="0" w:space="0" w:color="auto"/>
        <w:bottom w:val="none" w:sz="0" w:space="0" w:color="auto"/>
        <w:right w:val="none" w:sz="0" w:space="0" w:color="auto"/>
      </w:divBdr>
    </w:div>
    <w:div w:id="817695600">
      <w:bodyDiv w:val="1"/>
      <w:marLeft w:val="0"/>
      <w:marRight w:val="0"/>
      <w:marTop w:val="0"/>
      <w:marBottom w:val="0"/>
      <w:divBdr>
        <w:top w:val="none" w:sz="0" w:space="0" w:color="auto"/>
        <w:left w:val="none" w:sz="0" w:space="0" w:color="auto"/>
        <w:bottom w:val="none" w:sz="0" w:space="0" w:color="auto"/>
        <w:right w:val="none" w:sz="0" w:space="0" w:color="auto"/>
      </w:divBdr>
    </w:div>
    <w:div w:id="854223145">
      <w:bodyDiv w:val="1"/>
      <w:marLeft w:val="0"/>
      <w:marRight w:val="0"/>
      <w:marTop w:val="0"/>
      <w:marBottom w:val="0"/>
      <w:divBdr>
        <w:top w:val="none" w:sz="0" w:space="0" w:color="auto"/>
        <w:left w:val="none" w:sz="0" w:space="0" w:color="auto"/>
        <w:bottom w:val="none" w:sz="0" w:space="0" w:color="auto"/>
        <w:right w:val="none" w:sz="0" w:space="0" w:color="auto"/>
      </w:divBdr>
      <w:divsChild>
        <w:div w:id="1759448506">
          <w:marLeft w:val="547"/>
          <w:marRight w:val="0"/>
          <w:marTop w:val="154"/>
          <w:marBottom w:val="0"/>
          <w:divBdr>
            <w:top w:val="none" w:sz="0" w:space="0" w:color="auto"/>
            <w:left w:val="none" w:sz="0" w:space="0" w:color="auto"/>
            <w:bottom w:val="none" w:sz="0" w:space="0" w:color="auto"/>
            <w:right w:val="none" w:sz="0" w:space="0" w:color="auto"/>
          </w:divBdr>
        </w:div>
      </w:divsChild>
    </w:div>
    <w:div w:id="858197183">
      <w:bodyDiv w:val="1"/>
      <w:marLeft w:val="0"/>
      <w:marRight w:val="0"/>
      <w:marTop w:val="0"/>
      <w:marBottom w:val="0"/>
      <w:divBdr>
        <w:top w:val="none" w:sz="0" w:space="0" w:color="auto"/>
        <w:left w:val="none" w:sz="0" w:space="0" w:color="auto"/>
        <w:bottom w:val="none" w:sz="0" w:space="0" w:color="auto"/>
        <w:right w:val="none" w:sz="0" w:space="0" w:color="auto"/>
      </w:divBdr>
    </w:div>
    <w:div w:id="862134325">
      <w:bodyDiv w:val="1"/>
      <w:marLeft w:val="0"/>
      <w:marRight w:val="0"/>
      <w:marTop w:val="0"/>
      <w:marBottom w:val="0"/>
      <w:divBdr>
        <w:top w:val="none" w:sz="0" w:space="0" w:color="auto"/>
        <w:left w:val="none" w:sz="0" w:space="0" w:color="auto"/>
        <w:bottom w:val="none" w:sz="0" w:space="0" w:color="auto"/>
        <w:right w:val="none" w:sz="0" w:space="0" w:color="auto"/>
      </w:divBdr>
    </w:div>
    <w:div w:id="873926414">
      <w:bodyDiv w:val="1"/>
      <w:marLeft w:val="0"/>
      <w:marRight w:val="0"/>
      <w:marTop w:val="0"/>
      <w:marBottom w:val="0"/>
      <w:divBdr>
        <w:top w:val="none" w:sz="0" w:space="0" w:color="auto"/>
        <w:left w:val="none" w:sz="0" w:space="0" w:color="auto"/>
        <w:bottom w:val="none" w:sz="0" w:space="0" w:color="auto"/>
        <w:right w:val="none" w:sz="0" w:space="0" w:color="auto"/>
      </w:divBdr>
    </w:div>
    <w:div w:id="879127862">
      <w:bodyDiv w:val="1"/>
      <w:marLeft w:val="0"/>
      <w:marRight w:val="0"/>
      <w:marTop w:val="0"/>
      <w:marBottom w:val="0"/>
      <w:divBdr>
        <w:top w:val="none" w:sz="0" w:space="0" w:color="auto"/>
        <w:left w:val="none" w:sz="0" w:space="0" w:color="auto"/>
        <w:bottom w:val="none" w:sz="0" w:space="0" w:color="auto"/>
        <w:right w:val="none" w:sz="0" w:space="0" w:color="auto"/>
      </w:divBdr>
    </w:div>
    <w:div w:id="897277617">
      <w:bodyDiv w:val="1"/>
      <w:marLeft w:val="0"/>
      <w:marRight w:val="0"/>
      <w:marTop w:val="0"/>
      <w:marBottom w:val="0"/>
      <w:divBdr>
        <w:top w:val="none" w:sz="0" w:space="0" w:color="auto"/>
        <w:left w:val="none" w:sz="0" w:space="0" w:color="auto"/>
        <w:bottom w:val="none" w:sz="0" w:space="0" w:color="auto"/>
        <w:right w:val="none" w:sz="0" w:space="0" w:color="auto"/>
      </w:divBdr>
    </w:div>
    <w:div w:id="930742389">
      <w:bodyDiv w:val="1"/>
      <w:marLeft w:val="0"/>
      <w:marRight w:val="0"/>
      <w:marTop w:val="0"/>
      <w:marBottom w:val="0"/>
      <w:divBdr>
        <w:top w:val="none" w:sz="0" w:space="0" w:color="auto"/>
        <w:left w:val="none" w:sz="0" w:space="0" w:color="auto"/>
        <w:bottom w:val="none" w:sz="0" w:space="0" w:color="auto"/>
        <w:right w:val="none" w:sz="0" w:space="0" w:color="auto"/>
      </w:divBdr>
    </w:div>
    <w:div w:id="1010911827">
      <w:bodyDiv w:val="1"/>
      <w:marLeft w:val="0"/>
      <w:marRight w:val="0"/>
      <w:marTop w:val="0"/>
      <w:marBottom w:val="0"/>
      <w:divBdr>
        <w:top w:val="none" w:sz="0" w:space="0" w:color="auto"/>
        <w:left w:val="none" w:sz="0" w:space="0" w:color="auto"/>
        <w:bottom w:val="none" w:sz="0" w:space="0" w:color="auto"/>
        <w:right w:val="none" w:sz="0" w:space="0" w:color="auto"/>
      </w:divBdr>
    </w:div>
    <w:div w:id="1137457832">
      <w:bodyDiv w:val="1"/>
      <w:marLeft w:val="0"/>
      <w:marRight w:val="0"/>
      <w:marTop w:val="0"/>
      <w:marBottom w:val="0"/>
      <w:divBdr>
        <w:top w:val="none" w:sz="0" w:space="0" w:color="auto"/>
        <w:left w:val="none" w:sz="0" w:space="0" w:color="auto"/>
        <w:bottom w:val="none" w:sz="0" w:space="0" w:color="auto"/>
        <w:right w:val="none" w:sz="0" w:space="0" w:color="auto"/>
      </w:divBdr>
    </w:div>
    <w:div w:id="1360816835">
      <w:bodyDiv w:val="1"/>
      <w:marLeft w:val="0"/>
      <w:marRight w:val="0"/>
      <w:marTop w:val="0"/>
      <w:marBottom w:val="0"/>
      <w:divBdr>
        <w:top w:val="none" w:sz="0" w:space="0" w:color="auto"/>
        <w:left w:val="none" w:sz="0" w:space="0" w:color="auto"/>
        <w:bottom w:val="none" w:sz="0" w:space="0" w:color="auto"/>
        <w:right w:val="none" w:sz="0" w:space="0" w:color="auto"/>
      </w:divBdr>
      <w:divsChild>
        <w:div w:id="427697156">
          <w:marLeft w:val="0"/>
          <w:marRight w:val="0"/>
          <w:marTop w:val="0"/>
          <w:marBottom w:val="0"/>
          <w:divBdr>
            <w:top w:val="none" w:sz="0" w:space="0" w:color="auto"/>
            <w:left w:val="none" w:sz="0" w:space="0" w:color="auto"/>
            <w:bottom w:val="none" w:sz="0" w:space="0" w:color="auto"/>
            <w:right w:val="none" w:sz="0" w:space="0" w:color="auto"/>
          </w:divBdr>
        </w:div>
      </w:divsChild>
    </w:div>
    <w:div w:id="1397893766">
      <w:bodyDiv w:val="1"/>
      <w:marLeft w:val="0"/>
      <w:marRight w:val="0"/>
      <w:marTop w:val="0"/>
      <w:marBottom w:val="0"/>
      <w:divBdr>
        <w:top w:val="none" w:sz="0" w:space="0" w:color="auto"/>
        <w:left w:val="none" w:sz="0" w:space="0" w:color="auto"/>
        <w:bottom w:val="none" w:sz="0" w:space="0" w:color="auto"/>
        <w:right w:val="none" w:sz="0" w:space="0" w:color="auto"/>
      </w:divBdr>
      <w:divsChild>
        <w:div w:id="939801816">
          <w:marLeft w:val="0"/>
          <w:marRight w:val="0"/>
          <w:marTop w:val="0"/>
          <w:marBottom w:val="0"/>
          <w:divBdr>
            <w:top w:val="none" w:sz="0" w:space="0" w:color="auto"/>
            <w:left w:val="none" w:sz="0" w:space="0" w:color="auto"/>
            <w:bottom w:val="none" w:sz="0" w:space="0" w:color="auto"/>
            <w:right w:val="none" w:sz="0" w:space="0" w:color="auto"/>
          </w:divBdr>
        </w:div>
      </w:divsChild>
    </w:div>
    <w:div w:id="1405951731">
      <w:bodyDiv w:val="1"/>
      <w:marLeft w:val="0"/>
      <w:marRight w:val="0"/>
      <w:marTop w:val="0"/>
      <w:marBottom w:val="0"/>
      <w:divBdr>
        <w:top w:val="none" w:sz="0" w:space="0" w:color="auto"/>
        <w:left w:val="none" w:sz="0" w:space="0" w:color="auto"/>
        <w:bottom w:val="none" w:sz="0" w:space="0" w:color="auto"/>
        <w:right w:val="none" w:sz="0" w:space="0" w:color="auto"/>
      </w:divBdr>
    </w:div>
    <w:div w:id="1411807069">
      <w:bodyDiv w:val="1"/>
      <w:marLeft w:val="0"/>
      <w:marRight w:val="0"/>
      <w:marTop w:val="0"/>
      <w:marBottom w:val="0"/>
      <w:divBdr>
        <w:top w:val="none" w:sz="0" w:space="0" w:color="auto"/>
        <w:left w:val="none" w:sz="0" w:space="0" w:color="auto"/>
        <w:bottom w:val="none" w:sz="0" w:space="0" w:color="auto"/>
        <w:right w:val="none" w:sz="0" w:space="0" w:color="auto"/>
      </w:divBdr>
    </w:div>
    <w:div w:id="1574002486">
      <w:bodyDiv w:val="1"/>
      <w:marLeft w:val="0"/>
      <w:marRight w:val="0"/>
      <w:marTop w:val="0"/>
      <w:marBottom w:val="0"/>
      <w:divBdr>
        <w:top w:val="none" w:sz="0" w:space="0" w:color="auto"/>
        <w:left w:val="none" w:sz="0" w:space="0" w:color="auto"/>
        <w:bottom w:val="none" w:sz="0" w:space="0" w:color="auto"/>
        <w:right w:val="none" w:sz="0" w:space="0" w:color="auto"/>
      </w:divBdr>
    </w:div>
    <w:div w:id="1622804656">
      <w:bodyDiv w:val="1"/>
      <w:marLeft w:val="0"/>
      <w:marRight w:val="0"/>
      <w:marTop w:val="0"/>
      <w:marBottom w:val="0"/>
      <w:divBdr>
        <w:top w:val="none" w:sz="0" w:space="0" w:color="auto"/>
        <w:left w:val="none" w:sz="0" w:space="0" w:color="auto"/>
        <w:bottom w:val="none" w:sz="0" w:space="0" w:color="auto"/>
        <w:right w:val="none" w:sz="0" w:space="0" w:color="auto"/>
      </w:divBdr>
    </w:div>
    <w:div w:id="1884319271">
      <w:bodyDiv w:val="1"/>
      <w:marLeft w:val="0"/>
      <w:marRight w:val="0"/>
      <w:marTop w:val="0"/>
      <w:marBottom w:val="0"/>
      <w:divBdr>
        <w:top w:val="none" w:sz="0" w:space="0" w:color="auto"/>
        <w:left w:val="none" w:sz="0" w:space="0" w:color="auto"/>
        <w:bottom w:val="none" w:sz="0" w:space="0" w:color="auto"/>
        <w:right w:val="none" w:sz="0" w:space="0" w:color="auto"/>
      </w:divBdr>
    </w:div>
    <w:div w:id="1926454740">
      <w:bodyDiv w:val="1"/>
      <w:marLeft w:val="0"/>
      <w:marRight w:val="0"/>
      <w:marTop w:val="0"/>
      <w:marBottom w:val="0"/>
      <w:divBdr>
        <w:top w:val="none" w:sz="0" w:space="0" w:color="auto"/>
        <w:left w:val="none" w:sz="0" w:space="0" w:color="auto"/>
        <w:bottom w:val="none" w:sz="0" w:space="0" w:color="auto"/>
        <w:right w:val="none" w:sz="0" w:space="0" w:color="auto"/>
      </w:divBdr>
      <w:divsChild>
        <w:div w:id="1425766941">
          <w:marLeft w:val="446"/>
          <w:marRight w:val="0"/>
          <w:marTop w:val="0"/>
          <w:marBottom w:val="0"/>
          <w:divBdr>
            <w:top w:val="none" w:sz="0" w:space="0" w:color="auto"/>
            <w:left w:val="none" w:sz="0" w:space="0" w:color="auto"/>
            <w:bottom w:val="none" w:sz="0" w:space="0" w:color="auto"/>
            <w:right w:val="none" w:sz="0" w:space="0" w:color="auto"/>
          </w:divBdr>
        </w:div>
        <w:div w:id="223838032">
          <w:marLeft w:val="446"/>
          <w:marRight w:val="0"/>
          <w:marTop w:val="0"/>
          <w:marBottom w:val="0"/>
          <w:divBdr>
            <w:top w:val="none" w:sz="0" w:space="0" w:color="auto"/>
            <w:left w:val="none" w:sz="0" w:space="0" w:color="auto"/>
            <w:bottom w:val="none" w:sz="0" w:space="0" w:color="auto"/>
            <w:right w:val="none" w:sz="0" w:space="0" w:color="auto"/>
          </w:divBdr>
        </w:div>
        <w:div w:id="1811090746">
          <w:marLeft w:val="446"/>
          <w:marRight w:val="0"/>
          <w:marTop w:val="0"/>
          <w:marBottom w:val="0"/>
          <w:divBdr>
            <w:top w:val="none" w:sz="0" w:space="0" w:color="auto"/>
            <w:left w:val="none" w:sz="0" w:space="0" w:color="auto"/>
            <w:bottom w:val="none" w:sz="0" w:space="0" w:color="auto"/>
            <w:right w:val="none" w:sz="0" w:space="0" w:color="auto"/>
          </w:divBdr>
        </w:div>
      </w:divsChild>
    </w:div>
    <w:div w:id="2023585940">
      <w:bodyDiv w:val="1"/>
      <w:marLeft w:val="0"/>
      <w:marRight w:val="0"/>
      <w:marTop w:val="0"/>
      <w:marBottom w:val="0"/>
      <w:divBdr>
        <w:top w:val="none" w:sz="0" w:space="0" w:color="auto"/>
        <w:left w:val="none" w:sz="0" w:space="0" w:color="auto"/>
        <w:bottom w:val="none" w:sz="0" w:space="0" w:color="auto"/>
        <w:right w:val="none" w:sz="0" w:space="0" w:color="auto"/>
      </w:divBdr>
    </w:div>
    <w:div w:id="2086295987">
      <w:bodyDiv w:val="1"/>
      <w:marLeft w:val="0"/>
      <w:marRight w:val="0"/>
      <w:marTop w:val="0"/>
      <w:marBottom w:val="0"/>
      <w:divBdr>
        <w:top w:val="none" w:sz="0" w:space="0" w:color="auto"/>
        <w:left w:val="none" w:sz="0" w:space="0" w:color="auto"/>
        <w:bottom w:val="none" w:sz="0" w:space="0" w:color="auto"/>
        <w:right w:val="none" w:sz="0" w:space="0" w:color="auto"/>
      </w:divBdr>
      <w:divsChild>
        <w:div w:id="8143419">
          <w:marLeft w:val="446"/>
          <w:marRight w:val="0"/>
          <w:marTop w:val="0"/>
          <w:marBottom w:val="0"/>
          <w:divBdr>
            <w:top w:val="none" w:sz="0" w:space="0" w:color="auto"/>
            <w:left w:val="none" w:sz="0" w:space="0" w:color="auto"/>
            <w:bottom w:val="none" w:sz="0" w:space="0" w:color="auto"/>
            <w:right w:val="none" w:sz="0" w:space="0" w:color="auto"/>
          </w:divBdr>
        </w:div>
        <w:div w:id="1189875306">
          <w:marLeft w:val="446"/>
          <w:marRight w:val="0"/>
          <w:marTop w:val="0"/>
          <w:marBottom w:val="0"/>
          <w:divBdr>
            <w:top w:val="none" w:sz="0" w:space="0" w:color="auto"/>
            <w:left w:val="none" w:sz="0" w:space="0" w:color="auto"/>
            <w:bottom w:val="none" w:sz="0" w:space="0" w:color="auto"/>
            <w:right w:val="none" w:sz="0" w:space="0" w:color="auto"/>
          </w:divBdr>
        </w:div>
        <w:div w:id="586965349">
          <w:marLeft w:val="446"/>
          <w:marRight w:val="0"/>
          <w:marTop w:val="0"/>
          <w:marBottom w:val="0"/>
          <w:divBdr>
            <w:top w:val="none" w:sz="0" w:space="0" w:color="auto"/>
            <w:left w:val="none" w:sz="0" w:space="0" w:color="auto"/>
            <w:bottom w:val="none" w:sz="0" w:space="0" w:color="auto"/>
            <w:right w:val="none" w:sz="0" w:space="0" w:color="auto"/>
          </w:divBdr>
        </w:div>
        <w:div w:id="2039041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A8A0-35EC-4291-A8AF-9802732F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14182</Words>
  <Characters>81786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2020-02-27T00:17:00Z</dcterms:created>
  <dcterms:modified xsi:type="dcterms:W3CDTF">2020-02-27T03:32:00Z</dcterms:modified>
</cp:coreProperties>
</file>