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07" w:rsidRPr="007E5071" w:rsidRDefault="00483707" w:rsidP="005834FA">
      <w:pPr>
        <w:pStyle w:val="1MainTitle"/>
        <w:spacing w:before="0" w:after="0"/>
        <w:rPr>
          <w:b w:val="0"/>
        </w:rPr>
      </w:pPr>
      <w:bookmarkStart w:id="0" w:name="_GoBack"/>
      <w:bookmarkEnd w:id="0"/>
      <w:r w:rsidRPr="007E5071">
        <w:t>7.07</w:t>
      </w:r>
      <w:r w:rsidR="00B60939" w:rsidRPr="007E5071">
        <w:tab/>
      </w:r>
      <w:r w:rsidR="002F3B4B" w:rsidRPr="007E5071">
        <w:t>NIVOLUMAB, Injection concentrate for I.V. infusion</w:t>
      </w:r>
      <w:r w:rsidRPr="007E5071">
        <w:t>,</w:t>
      </w:r>
      <w:r w:rsidR="002F3B4B" w:rsidRPr="007E5071">
        <w:t xml:space="preserve"> 40 mg in 4 mL, 100 mg in 10 mL, Opdivo®, </w:t>
      </w:r>
      <w:r w:rsidRPr="007E5071">
        <w:br/>
      </w:r>
      <w:r w:rsidR="002F3B4B" w:rsidRPr="007E5071">
        <w:t xml:space="preserve">as monotherapy, or in combination with </w:t>
      </w:r>
      <w:r w:rsidR="002F3B4B" w:rsidRPr="007E5071">
        <w:br/>
        <w:t>IPILIMUMAB, Injection concentrate for I.V. infusion</w:t>
      </w:r>
      <w:r w:rsidRPr="007E5071">
        <w:t>,</w:t>
      </w:r>
      <w:r w:rsidR="002F3B4B" w:rsidRPr="007E5071">
        <w:t xml:space="preserve"> 50 mg in 10 mL, 200 mg in 40 mL, Yervoy®, </w:t>
      </w:r>
    </w:p>
    <w:p w:rsidR="00F82369" w:rsidRPr="000375EB" w:rsidRDefault="002F3B4B" w:rsidP="005834FA">
      <w:pPr>
        <w:ind w:left="567" w:firstLine="153"/>
        <w:jc w:val="left"/>
        <w:rPr>
          <w:rFonts w:asciiTheme="minorHAnsi" w:hAnsiTheme="minorHAnsi"/>
          <w:b/>
          <w:sz w:val="36"/>
          <w:szCs w:val="36"/>
        </w:rPr>
      </w:pPr>
      <w:r w:rsidRPr="007E5071">
        <w:rPr>
          <w:rFonts w:asciiTheme="minorHAnsi" w:hAnsiTheme="minorHAnsi"/>
          <w:b/>
          <w:sz w:val="36"/>
          <w:szCs w:val="36"/>
        </w:rPr>
        <w:t>Bristol</w:t>
      </w:r>
      <w:r w:rsidR="00DB440D" w:rsidRPr="007E5071">
        <w:rPr>
          <w:rFonts w:asciiTheme="minorHAnsi" w:hAnsiTheme="minorHAnsi"/>
          <w:b/>
          <w:sz w:val="36"/>
          <w:szCs w:val="36"/>
        </w:rPr>
        <w:t>-</w:t>
      </w:r>
      <w:r w:rsidRPr="007E5071">
        <w:rPr>
          <w:rFonts w:asciiTheme="minorHAnsi" w:hAnsiTheme="minorHAnsi"/>
          <w:b/>
          <w:sz w:val="36"/>
          <w:szCs w:val="36"/>
        </w:rPr>
        <w:t>Myers Squ</w:t>
      </w:r>
      <w:r w:rsidR="00F82369" w:rsidRPr="007E5071">
        <w:rPr>
          <w:rFonts w:asciiTheme="minorHAnsi" w:hAnsiTheme="minorHAnsi"/>
          <w:b/>
          <w:sz w:val="36"/>
          <w:szCs w:val="36"/>
        </w:rPr>
        <w:t>ibb</w:t>
      </w:r>
    </w:p>
    <w:p w:rsidR="00B50DB8" w:rsidRPr="007E5071" w:rsidRDefault="00B50DB8" w:rsidP="000375EB">
      <w:pPr>
        <w:pStyle w:val="PBACHeading1"/>
        <w:spacing w:before="240" w:after="120"/>
        <w:rPr>
          <w:b/>
          <w:caps w:val="0"/>
        </w:rPr>
      </w:pPr>
      <w:bookmarkStart w:id="1" w:name="_Toc17115999"/>
      <w:r w:rsidRPr="007E5071">
        <w:rPr>
          <w:b/>
          <w:caps w:val="0"/>
        </w:rPr>
        <w:t>Purpose of Application</w:t>
      </w:r>
      <w:bookmarkEnd w:id="1"/>
    </w:p>
    <w:p w:rsidR="00C021FC" w:rsidRPr="007E5071" w:rsidRDefault="00AA684F" w:rsidP="00983502">
      <w:pPr>
        <w:pStyle w:val="ListParagraph"/>
        <w:widowControl/>
        <w:numPr>
          <w:ilvl w:val="1"/>
          <w:numId w:val="1"/>
        </w:numPr>
      </w:pPr>
      <w:r w:rsidRPr="007E5071">
        <w:t>The submission requested expansion of the existing PBS listing for nivolumab as monotherapy</w:t>
      </w:r>
      <w:r w:rsidR="00313953" w:rsidRPr="007E5071">
        <w:t xml:space="preserve"> (NIVO)</w:t>
      </w:r>
      <w:r w:rsidRPr="007E5071">
        <w:t>, and the listings for nivolumab and ipilimumab as combination therapy (NIVO+IPI)</w:t>
      </w:r>
      <w:r w:rsidR="00F55C5B" w:rsidRPr="007E5071">
        <w:t>,</w:t>
      </w:r>
      <w:r w:rsidRPr="007E5071">
        <w:t xml:space="preserve"> for the treatment of unresectable Stage III or Stage IV malignant melanoma, to allow use as first-line therapy in patients whose condition is p</w:t>
      </w:r>
      <w:r w:rsidR="00C00E82" w:rsidRPr="007E5071">
        <w:t>ositive for a BRAF V600 mutation.</w:t>
      </w:r>
      <w:r w:rsidRPr="007E5071">
        <w:t xml:space="preserve"> </w:t>
      </w:r>
    </w:p>
    <w:p w:rsidR="00AA684F" w:rsidRPr="007E5071" w:rsidRDefault="00AA684F" w:rsidP="00983502">
      <w:pPr>
        <w:pStyle w:val="ListParagraph"/>
        <w:widowControl/>
        <w:numPr>
          <w:ilvl w:val="1"/>
          <w:numId w:val="1"/>
        </w:numPr>
        <w:spacing w:after="120"/>
      </w:pPr>
      <w:r w:rsidRPr="007E5071">
        <w:t>The submission also</w:t>
      </w:r>
      <w:r w:rsidR="00F55C5B" w:rsidRPr="007E5071">
        <w:t xml:space="preserve"> </w:t>
      </w:r>
      <w:r w:rsidR="00BE1EAB" w:rsidRPr="007E5071">
        <w:t>suggested</w:t>
      </w:r>
      <w:r w:rsidRPr="007E5071">
        <w:t xml:space="preserve"> </w:t>
      </w:r>
      <w:r w:rsidR="00AC6222" w:rsidRPr="007E5071">
        <w:t>flow-</w:t>
      </w:r>
      <w:r w:rsidRPr="007E5071">
        <w:t xml:space="preserve">on changes to the current restrictions for BRAF inhibitors </w:t>
      </w:r>
      <w:r w:rsidR="00AC6222" w:rsidRPr="007E5071">
        <w:t xml:space="preserve">to </w:t>
      </w:r>
      <w:r w:rsidRPr="007E5071">
        <w:t xml:space="preserve">allow their use as second-line therapy following progression on an immunotherapy, </w:t>
      </w:r>
      <w:r w:rsidR="00C021FC" w:rsidRPr="007E5071">
        <w:t>permitting</w:t>
      </w:r>
      <w:r w:rsidRPr="007E5071">
        <w:t xml:space="preserve"> treating doctors to </w:t>
      </w:r>
      <w:r w:rsidR="00F55C5B" w:rsidRPr="007E5071">
        <w:t xml:space="preserve">determine </w:t>
      </w:r>
      <w:r w:rsidRPr="007E5071">
        <w:t>the</w:t>
      </w:r>
      <w:r w:rsidR="00F55C5B" w:rsidRPr="007E5071">
        <w:t xml:space="preserve"> most appropriate</w:t>
      </w:r>
      <w:r w:rsidRPr="007E5071">
        <w:t xml:space="preserve"> treatment sequence</w:t>
      </w:r>
      <w:r w:rsidR="00F55C5B" w:rsidRPr="007E5071">
        <w:t>.</w:t>
      </w:r>
    </w:p>
    <w:p w:rsidR="00AA684F" w:rsidRPr="007E5071" w:rsidRDefault="00AA684F" w:rsidP="00983502">
      <w:pPr>
        <w:pStyle w:val="ListParagraph"/>
        <w:widowControl/>
        <w:numPr>
          <w:ilvl w:val="1"/>
          <w:numId w:val="1"/>
        </w:numPr>
        <w:spacing w:after="120"/>
      </w:pPr>
      <w:r w:rsidRPr="007E5071">
        <w:t xml:space="preserve">The submission was based on </w:t>
      </w:r>
      <w:r w:rsidR="00F55C5B" w:rsidRPr="007E5071">
        <w:t xml:space="preserve">a </w:t>
      </w:r>
      <w:r w:rsidRPr="007E5071">
        <w:t>cost-</w:t>
      </w:r>
      <w:r w:rsidR="00F55C5B" w:rsidRPr="007E5071">
        <w:t>analysis</w:t>
      </w:r>
      <w:r w:rsidR="0095757E" w:rsidRPr="007E5071">
        <w:t xml:space="preserve"> </w:t>
      </w:r>
      <w:r w:rsidR="001309EB" w:rsidRPr="007E5071">
        <w:t xml:space="preserve">in which the first-line costs of treating a patient with </w:t>
      </w:r>
      <w:r w:rsidR="0095757E" w:rsidRPr="007E5071">
        <w:t>NIVO monotherapy</w:t>
      </w:r>
      <w:r w:rsidR="001309EB" w:rsidRPr="007E5071">
        <w:t xml:space="preserve">, </w:t>
      </w:r>
      <w:r w:rsidR="0095757E" w:rsidRPr="007E5071">
        <w:t>NIVO+IPI</w:t>
      </w:r>
      <w:r w:rsidRPr="007E5071">
        <w:t xml:space="preserve"> </w:t>
      </w:r>
      <w:r w:rsidR="001309EB" w:rsidRPr="007E5071">
        <w:t>and</w:t>
      </w:r>
      <w:r w:rsidR="00F55C5B" w:rsidRPr="007E5071">
        <w:t xml:space="preserve"> </w:t>
      </w:r>
      <w:r w:rsidRPr="007E5071">
        <w:t>dabrafenib+trametinib (DAB+TRAM)</w:t>
      </w:r>
      <w:r w:rsidR="001309EB" w:rsidRPr="007E5071">
        <w:t xml:space="preserve"> were </w:t>
      </w:r>
      <w:r w:rsidR="00F55C5B" w:rsidRPr="007E5071">
        <w:t>the same</w:t>
      </w:r>
      <w:r w:rsidRPr="007E5071">
        <w:t>. The key components of the clinical issue addressed by the submission are presented below.</w:t>
      </w:r>
    </w:p>
    <w:p w:rsidR="00AA684F" w:rsidRPr="007E5071" w:rsidRDefault="00AA684F" w:rsidP="00AA684F">
      <w:pPr>
        <w:pStyle w:val="Caption"/>
        <w:keepNext/>
        <w:rPr>
          <w:rStyle w:val="CommentReference"/>
          <w:b/>
        </w:rPr>
      </w:pPr>
      <w:r w:rsidRPr="007E5071">
        <w:rPr>
          <w:rStyle w:val="CommentReference"/>
          <w:b/>
        </w:rPr>
        <w:t xml:space="preserve">Table </w:t>
      </w:r>
      <w:r w:rsidR="00CD3ABA">
        <w:rPr>
          <w:rStyle w:val="CommentReference"/>
          <w:b/>
          <w:noProof/>
        </w:rPr>
        <w:t>1</w:t>
      </w:r>
      <w:r w:rsidRPr="007E5071">
        <w:rPr>
          <w:rStyle w:val="CommentReference"/>
          <w:b/>
        </w:rPr>
        <w:t>: Key components of the clinical issue addressed by the submission</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71"/>
        <w:gridCol w:w="7460"/>
      </w:tblGrid>
      <w:tr w:rsidR="00AA684F" w:rsidRPr="007E5071" w:rsidTr="00D062FF">
        <w:trPr>
          <w:tblHeader/>
        </w:trPr>
        <w:tc>
          <w:tcPr>
            <w:tcW w:w="1671" w:type="dxa"/>
            <w:vAlign w:val="center"/>
          </w:tcPr>
          <w:p w:rsidR="00AA684F" w:rsidRPr="007E5071" w:rsidRDefault="00AA684F" w:rsidP="00807296">
            <w:pPr>
              <w:pStyle w:val="Tabletext"/>
              <w:rPr>
                <w:b/>
              </w:rPr>
            </w:pPr>
            <w:r w:rsidRPr="007E5071">
              <w:rPr>
                <w:b/>
              </w:rPr>
              <w:t>Component</w:t>
            </w:r>
          </w:p>
        </w:tc>
        <w:tc>
          <w:tcPr>
            <w:tcW w:w="7459" w:type="dxa"/>
            <w:vAlign w:val="center"/>
          </w:tcPr>
          <w:p w:rsidR="00AA684F" w:rsidRPr="007E5071" w:rsidRDefault="00AA684F" w:rsidP="00807296">
            <w:pPr>
              <w:pStyle w:val="Tabletext"/>
              <w:jc w:val="center"/>
              <w:rPr>
                <w:b/>
              </w:rPr>
            </w:pPr>
            <w:r w:rsidRPr="007E5071">
              <w:rPr>
                <w:b/>
              </w:rPr>
              <w:t>Description</w:t>
            </w:r>
          </w:p>
        </w:tc>
      </w:tr>
      <w:tr w:rsidR="00AA684F" w:rsidRPr="007E5071" w:rsidTr="00D062FF">
        <w:trPr>
          <w:tblHeader/>
        </w:trPr>
        <w:tc>
          <w:tcPr>
            <w:tcW w:w="1671" w:type="dxa"/>
            <w:vAlign w:val="center"/>
          </w:tcPr>
          <w:p w:rsidR="00AA684F" w:rsidRPr="007E5071" w:rsidRDefault="00AA684F" w:rsidP="00807296">
            <w:pPr>
              <w:pStyle w:val="Tabletext"/>
            </w:pPr>
            <w:r w:rsidRPr="007E5071">
              <w:t>Population</w:t>
            </w:r>
          </w:p>
        </w:tc>
        <w:tc>
          <w:tcPr>
            <w:tcW w:w="7459" w:type="dxa"/>
            <w:vAlign w:val="center"/>
          </w:tcPr>
          <w:p w:rsidR="00AA684F" w:rsidRPr="007E5071" w:rsidRDefault="00AA684F" w:rsidP="00807296">
            <w:pPr>
              <w:pStyle w:val="Tabletext"/>
            </w:pPr>
            <w:r w:rsidRPr="007E5071">
              <w:t>Patients with unresectable Stage III or IV malignant melanoma with a BRAF V600 mutation, previously untreated with PBS listed medicine for this indication</w:t>
            </w:r>
          </w:p>
        </w:tc>
      </w:tr>
      <w:tr w:rsidR="00AA684F" w:rsidRPr="007E5071" w:rsidTr="00D062FF">
        <w:trPr>
          <w:tblHeader/>
        </w:trPr>
        <w:tc>
          <w:tcPr>
            <w:tcW w:w="1671" w:type="dxa"/>
            <w:vAlign w:val="center"/>
          </w:tcPr>
          <w:p w:rsidR="00AA684F" w:rsidRPr="007E5071" w:rsidRDefault="00AA684F" w:rsidP="00807296">
            <w:pPr>
              <w:pStyle w:val="Tabletext"/>
            </w:pPr>
            <w:r w:rsidRPr="007E5071">
              <w:t>Intervention</w:t>
            </w:r>
          </w:p>
        </w:tc>
        <w:tc>
          <w:tcPr>
            <w:tcW w:w="7459" w:type="dxa"/>
            <w:vAlign w:val="center"/>
          </w:tcPr>
          <w:p w:rsidR="00AA684F" w:rsidRPr="007E5071" w:rsidRDefault="00AA684F" w:rsidP="00807296">
            <w:pPr>
              <w:pStyle w:val="Tabletext"/>
            </w:pPr>
            <w:r w:rsidRPr="007E5071">
              <w:t>NIVO monotherapy, or NIVO in combination with IPI</w:t>
            </w:r>
          </w:p>
        </w:tc>
      </w:tr>
      <w:tr w:rsidR="00AA684F" w:rsidRPr="007E5071" w:rsidTr="00D062FF">
        <w:trPr>
          <w:tblHeader/>
        </w:trPr>
        <w:tc>
          <w:tcPr>
            <w:tcW w:w="1671" w:type="dxa"/>
            <w:vAlign w:val="center"/>
          </w:tcPr>
          <w:p w:rsidR="00AA684F" w:rsidRPr="007E5071" w:rsidRDefault="00AA684F" w:rsidP="00807296">
            <w:pPr>
              <w:pStyle w:val="Tabletext"/>
            </w:pPr>
            <w:r w:rsidRPr="007E5071">
              <w:t>Comparator</w:t>
            </w:r>
          </w:p>
        </w:tc>
        <w:tc>
          <w:tcPr>
            <w:tcW w:w="7459" w:type="dxa"/>
            <w:vAlign w:val="center"/>
          </w:tcPr>
          <w:p w:rsidR="00AA684F" w:rsidRPr="007E5071" w:rsidRDefault="00AA684F" w:rsidP="00807296">
            <w:pPr>
              <w:pStyle w:val="Tabletext"/>
            </w:pPr>
            <w:r w:rsidRPr="007E5071">
              <w:t xml:space="preserve">PBS listed BRAF inhibitor/MEK inhibitor combinations (Main: DAB+TRAM, secondary: VEM+COBI, ENCO+BINI) </w:t>
            </w:r>
          </w:p>
        </w:tc>
      </w:tr>
      <w:tr w:rsidR="00AA684F" w:rsidRPr="007E5071" w:rsidTr="00D062FF">
        <w:trPr>
          <w:tblHeader/>
        </w:trPr>
        <w:tc>
          <w:tcPr>
            <w:tcW w:w="1671" w:type="dxa"/>
            <w:vAlign w:val="center"/>
          </w:tcPr>
          <w:p w:rsidR="00AA684F" w:rsidRPr="007E5071" w:rsidRDefault="00AA684F" w:rsidP="00807296">
            <w:pPr>
              <w:pStyle w:val="Tabletext"/>
            </w:pPr>
            <w:r w:rsidRPr="007E5071">
              <w:t>Outcomes</w:t>
            </w:r>
          </w:p>
        </w:tc>
        <w:tc>
          <w:tcPr>
            <w:tcW w:w="7459" w:type="dxa"/>
            <w:vAlign w:val="center"/>
          </w:tcPr>
          <w:p w:rsidR="00AA684F" w:rsidRPr="007E5071" w:rsidRDefault="00AA684F" w:rsidP="00807296">
            <w:pPr>
              <w:pStyle w:val="Tabletext"/>
            </w:pPr>
            <w:r w:rsidRPr="007E5071">
              <w:t>OS, PFS, ORR, adverse events, HRQoL</w:t>
            </w:r>
          </w:p>
        </w:tc>
      </w:tr>
      <w:tr w:rsidR="00AA684F" w:rsidRPr="007E5071" w:rsidTr="00D062FF">
        <w:trPr>
          <w:tblHeader/>
        </w:trPr>
        <w:tc>
          <w:tcPr>
            <w:tcW w:w="1671" w:type="dxa"/>
            <w:vAlign w:val="center"/>
          </w:tcPr>
          <w:p w:rsidR="00AA684F" w:rsidRPr="007E5071" w:rsidRDefault="00AA684F" w:rsidP="00807296">
            <w:pPr>
              <w:pStyle w:val="Tabletext"/>
            </w:pPr>
            <w:r w:rsidRPr="007E5071">
              <w:t>Clinical claim</w:t>
            </w:r>
          </w:p>
        </w:tc>
        <w:tc>
          <w:tcPr>
            <w:tcW w:w="7459" w:type="dxa"/>
            <w:vAlign w:val="center"/>
          </w:tcPr>
          <w:p w:rsidR="00AA684F" w:rsidRPr="007E5071" w:rsidRDefault="00AA684F" w:rsidP="00807296">
            <w:pPr>
              <w:pStyle w:val="Tabletext"/>
            </w:pPr>
            <w:r w:rsidRPr="007E5071">
              <w:t>NIVO and NIVO+IPI are no worse than DAB+TRAM in terms of efficacy outcomes.</w:t>
            </w:r>
          </w:p>
          <w:p w:rsidR="00AA684F" w:rsidRPr="007E5071" w:rsidRDefault="00AA684F" w:rsidP="00807296">
            <w:pPr>
              <w:pStyle w:val="Tabletext"/>
            </w:pPr>
            <w:r w:rsidRPr="007E5071">
              <w:t>NIVO is no worse than DAB+TRAM in terms of safety outcomes.</w:t>
            </w:r>
          </w:p>
          <w:p w:rsidR="00AA684F" w:rsidRPr="007E5071" w:rsidRDefault="00AA684F" w:rsidP="00BB24A0">
            <w:pPr>
              <w:pStyle w:val="Tabletext"/>
            </w:pPr>
            <w:r w:rsidRPr="007E5071">
              <w:t xml:space="preserve">NIVO+IPI has an inferior profile </w:t>
            </w:r>
            <w:r w:rsidR="00BB24A0" w:rsidRPr="007E5071">
              <w:t xml:space="preserve">compared with </w:t>
            </w:r>
            <w:r w:rsidRPr="007E5071">
              <w:t>DAB+TRAM in terms of safety outcomes.</w:t>
            </w:r>
          </w:p>
        </w:tc>
      </w:tr>
    </w:tbl>
    <w:p w:rsidR="00AA684F" w:rsidRPr="007E5071" w:rsidRDefault="009C086A" w:rsidP="00AA684F">
      <w:pPr>
        <w:pStyle w:val="TableFooter"/>
      </w:pPr>
      <w:r w:rsidRPr="007E5071">
        <w:t xml:space="preserve">BINI = binimetinib; </w:t>
      </w:r>
      <w:r w:rsidR="00AA684F" w:rsidRPr="007E5071">
        <w:t>COBI = cobimetinib; DAB = dabrafenib; ENCO = encorafenib; HRQoL = health related quality of life; IPI = ipilimumab; NIVO = nivolumab; ORR = overall response rate; OS = overall survival; PFS = progression free survival; TRAM = trametinib; VEM = vemurafenib</w:t>
      </w:r>
    </w:p>
    <w:p w:rsidR="00AA684F" w:rsidRPr="007E5071" w:rsidRDefault="00AA684F" w:rsidP="000375EB">
      <w:pPr>
        <w:pStyle w:val="TableFooter"/>
        <w:rPr>
          <w:rStyle w:val="CommentReference"/>
        </w:rPr>
      </w:pPr>
      <w:r w:rsidRPr="007E5071">
        <w:t>Source: Table 1, p14 of the submission.</w:t>
      </w:r>
    </w:p>
    <w:p w:rsidR="0059556E" w:rsidRPr="007E5071" w:rsidRDefault="0059556E" w:rsidP="000375EB">
      <w:pPr>
        <w:pStyle w:val="PBACHeading1"/>
        <w:spacing w:before="240" w:after="120"/>
        <w:rPr>
          <w:b/>
          <w:caps w:val="0"/>
        </w:rPr>
      </w:pPr>
      <w:r w:rsidRPr="007E5071">
        <w:rPr>
          <w:b/>
          <w:caps w:val="0"/>
        </w:rPr>
        <w:t>Background</w:t>
      </w:r>
    </w:p>
    <w:p w:rsidR="0059556E" w:rsidRPr="00727D2D" w:rsidRDefault="0059556E" w:rsidP="00727D2D">
      <w:pPr>
        <w:pStyle w:val="Heading2"/>
      </w:pPr>
      <w:r w:rsidRPr="00727D2D">
        <w:t>Registration status</w:t>
      </w:r>
    </w:p>
    <w:p w:rsidR="0059556E" w:rsidRPr="007E5071" w:rsidRDefault="0059556E" w:rsidP="0059556E"/>
    <w:p w:rsidR="0059556E" w:rsidRPr="007E5071" w:rsidRDefault="0059556E" w:rsidP="00983502">
      <w:pPr>
        <w:pStyle w:val="ListParagraph"/>
        <w:widowControl/>
        <w:numPr>
          <w:ilvl w:val="1"/>
          <w:numId w:val="1"/>
        </w:numPr>
      </w:pPr>
      <w:r w:rsidRPr="007E5071">
        <w:lastRenderedPageBreak/>
        <w:t xml:space="preserve">Nivolumab is listed on the Australian Register of Therapeutic Goods (ARTG) for the following indications relevant to the current submission: </w:t>
      </w:r>
    </w:p>
    <w:p w:rsidR="0059556E" w:rsidRPr="007E5071" w:rsidRDefault="0059556E" w:rsidP="00983502">
      <w:pPr>
        <w:pStyle w:val="ListParagraph"/>
        <w:numPr>
          <w:ilvl w:val="0"/>
          <w:numId w:val="3"/>
        </w:numPr>
        <w:ind w:left="1080"/>
      </w:pPr>
      <w:r w:rsidRPr="007E5071">
        <w:t>As monotherapy, for the treatment of patients with unresectable (Stage III) or metastatic (Stage IV) melanoma;</w:t>
      </w:r>
    </w:p>
    <w:p w:rsidR="0059556E" w:rsidRPr="007E5071" w:rsidRDefault="0059556E" w:rsidP="00983502">
      <w:pPr>
        <w:pStyle w:val="ListParagraph"/>
        <w:numPr>
          <w:ilvl w:val="0"/>
          <w:numId w:val="3"/>
        </w:numPr>
        <w:ind w:left="1080"/>
      </w:pPr>
      <w:r w:rsidRPr="007E5071">
        <w:t xml:space="preserve">In combination with ipilimumab for the treatment of patients with unresectable or metastatic melanoma. </w:t>
      </w:r>
    </w:p>
    <w:p w:rsidR="0059556E" w:rsidRPr="007E5071" w:rsidRDefault="0059556E" w:rsidP="00983502">
      <w:pPr>
        <w:pStyle w:val="ListParagraph"/>
        <w:widowControl/>
        <w:numPr>
          <w:ilvl w:val="1"/>
          <w:numId w:val="1"/>
        </w:numPr>
      </w:pPr>
      <w:r w:rsidRPr="007E5071">
        <w:t xml:space="preserve">Ipilimumab is listed on the ARTG for the following indications: </w:t>
      </w:r>
    </w:p>
    <w:p w:rsidR="0059556E" w:rsidRPr="007E5071" w:rsidRDefault="0059556E" w:rsidP="00983502">
      <w:pPr>
        <w:pStyle w:val="ListParagraph"/>
        <w:numPr>
          <w:ilvl w:val="0"/>
          <w:numId w:val="3"/>
        </w:numPr>
        <w:ind w:left="1080"/>
      </w:pPr>
      <w:r w:rsidRPr="007E5071">
        <w:t>As monotherapy, for the treatment of patients with unresectable (Stage III) or metastatic (Stage IV) melanoma;</w:t>
      </w:r>
    </w:p>
    <w:p w:rsidR="0059556E" w:rsidRPr="007E5071" w:rsidRDefault="0059556E" w:rsidP="00983502">
      <w:pPr>
        <w:pStyle w:val="ListParagraph"/>
        <w:numPr>
          <w:ilvl w:val="0"/>
          <w:numId w:val="3"/>
        </w:numPr>
        <w:ind w:left="1080"/>
      </w:pPr>
      <w:r w:rsidRPr="007E5071">
        <w:t>In combination with nivolumab for the treatment of patients with unresectable or metastatic melanoma.</w:t>
      </w:r>
    </w:p>
    <w:p w:rsidR="0059556E" w:rsidRPr="007E5071" w:rsidRDefault="0059556E" w:rsidP="00505E10">
      <w:pPr>
        <w:keepNext/>
        <w:widowControl/>
        <w:rPr>
          <w:b/>
          <w:i/>
          <w:sz w:val="28"/>
          <w:szCs w:val="28"/>
        </w:rPr>
      </w:pPr>
      <w:r w:rsidRPr="007E5071">
        <w:rPr>
          <w:b/>
          <w:i/>
          <w:sz w:val="28"/>
          <w:szCs w:val="28"/>
        </w:rPr>
        <w:t>Previous PBAC consideration</w:t>
      </w:r>
    </w:p>
    <w:p w:rsidR="0059556E" w:rsidRPr="007E5071" w:rsidRDefault="0059556E" w:rsidP="00505E10">
      <w:pPr>
        <w:keepNext/>
        <w:widowControl/>
      </w:pPr>
    </w:p>
    <w:p w:rsidR="0059556E" w:rsidRPr="007E5071" w:rsidRDefault="0059556E" w:rsidP="00983502">
      <w:pPr>
        <w:pStyle w:val="ListParagraph"/>
        <w:keepNext/>
        <w:widowControl/>
        <w:numPr>
          <w:ilvl w:val="1"/>
          <w:numId w:val="1"/>
        </w:numPr>
      </w:pPr>
      <w:r w:rsidRPr="007E5071">
        <w:t xml:space="preserve">Both NIVO monotherapy and NIVO+IPI have previously been considered by PBAC for treatment of Stage III or Stage IV malignant melanoma, irrespective of BRAF mutation status. NIVO monotherapy was recommended for first-line therapy in patients with BRAF mutation negative melanoma, and subsequent to BRAF+MEK inhibitor therapy in patients with BRAF V600 mutation positive melanoma in November 2015. NIVO+IPI was considered three times for the treatment of unresectable Stage III or Stage IV </w:t>
      </w:r>
      <w:r w:rsidR="00505E10" w:rsidRPr="007E5071">
        <w:t>melanoma and</w:t>
      </w:r>
      <w:r w:rsidRPr="007E5071">
        <w:t xml:space="preserve"> recommended for listing at the July 2018 PBAC meeting</w:t>
      </w:r>
      <w:r w:rsidR="00505E10" w:rsidRPr="007E5071">
        <w:t>. The submission presented a cost-analysis in which the total cost of treating a patient with NIVO+IPI (including subsequent therapies) was equal to the cost of treating a patient with NIVO monotherapy (including subsequent therapies)</w:t>
      </w:r>
      <w:r w:rsidR="009C086A" w:rsidRPr="007E5071">
        <w:t>. NIVO+IPI was recommended on the basis of cost neutrality to the PBS</w:t>
      </w:r>
      <w:r w:rsidRPr="007E5071">
        <w:t>, with the restriction being aligned with that for NIVO monotherapy.</w:t>
      </w:r>
      <w:r w:rsidR="00505E10" w:rsidRPr="007E5071">
        <w:t xml:space="preserve"> </w:t>
      </w:r>
    </w:p>
    <w:p w:rsidR="0059556E" w:rsidRPr="007E5071" w:rsidRDefault="0059556E" w:rsidP="00983502">
      <w:pPr>
        <w:pStyle w:val="ListParagraph"/>
        <w:widowControl/>
        <w:numPr>
          <w:ilvl w:val="1"/>
          <w:numId w:val="1"/>
        </w:numPr>
      </w:pPr>
      <w:r w:rsidRPr="007E5071">
        <w:t xml:space="preserve">None of the previous submissions for NIVO monotherapy or NIVO+IPI for unresectable Stage III or Stage IV malignant melanoma, presented a comparison with BRAF+MEK inhibitors as first-line treatment in the subgroup of patients with BRAF mutation positive melanoma. </w:t>
      </w:r>
    </w:p>
    <w:p w:rsidR="009C086A" w:rsidRPr="007E5071" w:rsidRDefault="0059556E" w:rsidP="00983502">
      <w:pPr>
        <w:pStyle w:val="ListParagraph"/>
        <w:widowControl/>
        <w:numPr>
          <w:ilvl w:val="1"/>
          <w:numId w:val="1"/>
        </w:numPr>
      </w:pPr>
      <w:r w:rsidRPr="007E5071">
        <w:t>Both NIVO monotherapy and NIVO+IPI are currently listed on the PBS for:</w:t>
      </w:r>
    </w:p>
    <w:p w:rsidR="009C086A" w:rsidRPr="007E5071" w:rsidRDefault="009C086A" w:rsidP="00983502">
      <w:pPr>
        <w:pStyle w:val="ListParagraph"/>
        <w:numPr>
          <w:ilvl w:val="0"/>
          <w:numId w:val="9"/>
        </w:numPr>
      </w:pPr>
      <w:r w:rsidRPr="007E5071">
        <w:t>First-line immunotherapy in patients with unresectable Stage III or Stage IV malignant melanoma that is negative for a BRAF V600 mutation, and</w:t>
      </w:r>
    </w:p>
    <w:p w:rsidR="009C086A" w:rsidRPr="007E5071" w:rsidRDefault="009C086A" w:rsidP="00983502">
      <w:pPr>
        <w:pStyle w:val="ListParagraph"/>
        <w:widowControl/>
        <w:numPr>
          <w:ilvl w:val="0"/>
          <w:numId w:val="8"/>
        </w:numPr>
        <w:ind w:left="1077" w:hanging="357"/>
      </w:pPr>
      <w:r w:rsidRPr="007E5071">
        <w:t>Later-line therapy in patients who have progressed following treatment with a BRAF inhibitor (with or without a MEK inhibitor), unless contraindicated or not tolerated, in patients with unresectable Stage III or Stage IV malignant melanoma that is positive for a BRAF V600 mutation.</w:t>
      </w:r>
    </w:p>
    <w:p w:rsidR="00847AD7" w:rsidRPr="007E5071" w:rsidRDefault="00847AD7" w:rsidP="00983502">
      <w:pPr>
        <w:pStyle w:val="ListParagraph"/>
        <w:widowControl/>
        <w:numPr>
          <w:ilvl w:val="1"/>
          <w:numId w:val="1"/>
        </w:numPr>
      </w:pPr>
      <w:r w:rsidRPr="007E5071">
        <w:lastRenderedPageBreak/>
        <w:t xml:space="preserve">The PBAC noted that </w:t>
      </w:r>
      <w:r w:rsidR="008F5B9E" w:rsidRPr="007E5071">
        <w:t>BRAF</w:t>
      </w:r>
      <w:r w:rsidR="008F5B9E" w:rsidRPr="007E5071">
        <w:rPr>
          <w:rFonts w:cs="Calibri"/>
        </w:rPr>
        <w:t>±</w:t>
      </w:r>
      <w:r w:rsidR="008F5B9E" w:rsidRPr="007E5071">
        <w:t>MEK inhibitors were recommended as first-line treatment for patients with BRAF mutant unresectable or metastatic melanoma in March 2015 as “A comparison across the available trials suggested greater response rates and prolonged median progression-free survival for these cheaper targeted therapies (i.e. BRAF</w:t>
      </w:r>
      <w:r w:rsidR="008F5B9E" w:rsidRPr="007E5071">
        <w:rPr>
          <w:rFonts w:cs="Calibri"/>
        </w:rPr>
        <w:t>±</w:t>
      </w:r>
      <w:r w:rsidR="008F5B9E" w:rsidRPr="007E5071">
        <w:t>MEK inhibitors) over the immune therapies”</w:t>
      </w:r>
      <w:r w:rsidR="00B50E5D" w:rsidRPr="007E5071">
        <w:t xml:space="preserve"> (paragraph 7.3, Pembrolizumab </w:t>
      </w:r>
      <w:r w:rsidR="009C7F5F">
        <w:t>Public Summary Document (</w:t>
      </w:r>
      <w:r w:rsidR="00B50E5D" w:rsidRPr="007E5071">
        <w:t>PSD</w:t>
      </w:r>
      <w:r w:rsidR="009C7F5F">
        <w:t>)</w:t>
      </w:r>
      <w:r w:rsidR="00B50E5D" w:rsidRPr="007E5071">
        <w:t>, March 2015).</w:t>
      </w:r>
    </w:p>
    <w:p w:rsidR="00CC7563" w:rsidRPr="007E5071" w:rsidRDefault="009C086A" w:rsidP="00983502">
      <w:pPr>
        <w:pStyle w:val="ListParagraph"/>
        <w:widowControl/>
        <w:numPr>
          <w:ilvl w:val="1"/>
          <w:numId w:val="1"/>
        </w:numPr>
      </w:pPr>
      <w:r w:rsidRPr="007E5071">
        <w:t>In addition, DAB+TRAM was recommended as adjuvant treatment for patients with Stage IIIB, IIIC or IIID BRAF positive melanoma at the July 2019 PBAC meeting</w:t>
      </w:r>
      <w:r w:rsidR="00593619" w:rsidRPr="007E5071">
        <w:t xml:space="preserve"> and listed on the PBS for this indication as of 1 November 2019</w:t>
      </w:r>
      <w:r w:rsidRPr="007E5071">
        <w:t>. Nivolumab as adjuvant treatment was deferred at the July 2019 meeting</w:t>
      </w:r>
      <w:r w:rsidR="007510F9" w:rsidRPr="007E5071">
        <w:t xml:space="preserve">, with </w:t>
      </w:r>
      <w:r w:rsidR="00170DE3" w:rsidRPr="007E5071">
        <w:t>a</w:t>
      </w:r>
      <w:r w:rsidR="007510F9" w:rsidRPr="007E5071">
        <w:t xml:space="preserve"> deferral </w:t>
      </w:r>
      <w:r w:rsidR="00170DE3" w:rsidRPr="007E5071">
        <w:t xml:space="preserve">proposal </w:t>
      </w:r>
      <w:r w:rsidR="007510F9" w:rsidRPr="007E5071">
        <w:t>reconsidered at the November 2019 PBAC meeting</w:t>
      </w:r>
      <w:r w:rsidR="00170DE3" w:rsidRPr="007E5071">
        <w:t>. Pem</w:t>
      </w:r>
      <w:r w:rsidRPr="007E5071">
        <w:t xml:space="preserve">brolizumab </w:t>
      </w:r>
      <w:r w:rsidR="00170DE3" w:rsidRPr="007E5071">
        <w:t xml:space="preserve">as adjuvant treatment </w:t>
      </w:r>
      <w:r w:rsidRPr="007E5071">
        <w:t>was rejected</w:t>
      </w:r>
      <w:r w:rsidR="007510F9" w:rsidRPr="007E5071">
        <w:t xml:space="preserve"> in July 2019</w:t>
      </w:r>
      <w:r w:rsidR="00170DE3" w:rsidRPr="007E5071">
        <w:t xml:space="preserve">, with </w:t>
      </w:r>
      <w:r w:rsidR="007510F9" w:rsidRPr="007E5071">
        <w:t>a minor resubmission reconsidered at the November 2019 meeting</w:t>
      </w:r>
      <w:r w:rsidRPr="007E5071">
        <w:t>.</w:t>
      </w:r>
      <w:r w:rsidR="00EA687E" w:rsidRPr="007E5071">
        <w:t xml:space="preserve"> The availability of DAB+TRAM and/or </w:t>
      </w:r>
      <w:r w:rsidR="00593619" w:rsidRPr="007E5071">
        <w:t>programmed cell death-1 (</w:t>
      </w:r>
      <w:r w:rsidR="00EA687E" w:rsidRPr="007E5071">
        <w:t>P</w:t>
      </w:r>
      <w:r w:rsidR="00593619" w:rsidRPr="007E5071">
        <w:t>D-1) inhibitor</w:t>
      </w:r>
      <w:r w:rsidR="00EA687E" w:rsidRPr="007E5071">
        <w:t>s in the adjuvant setting will impact on the treatments used in unresectable setting</w:t>
      </w:r>
      <w:r w:rsidR="007E5071" w:rsidRPr="007E5071">
        <w:t xml:space="preserve">. </w:t>
      </w:r>
    </w:p>
    <w:p w:rsidR="00F25571" w:rsidRPr="007E5071" w:rsidRDefault="00442972" w:rsidP="00F25571">
      <w:pPr>
        <w:pStyle w:val="ListParagraph"/>
        <w:widowControl/>
        <w:rPr>
          <w:i/>
        </w:rPr>
      </w:pPr>
      <w:r w:rsidRPr="007E5071">
        <w:rPr>
          <w:i/>
        </w:rPr>
        <w:t>For more detail on PBAC’s view, see section 7 PBAC outcome.</w:t>
      </w:r>
    </w:p>
    <w:p w:rsidR="00AA684F" w:rsidRPr="000375EB" w:rsidRDefault="00AA684F" w:rsidP="000375EB">
      <w:pPr>
        <w:pStyle w:val="PBACHeading1"/>
        <w:spacing w:before="240" w:after="120"/>
        <w:rPr>
          <w:rStyle w:val="CommentReference"/>
          <w:rFonts w:ascii="Calibri" w:hAnsi="Calibri"/>
          <w:caps w:val="0"/>
          <w:sz w:val="32"/>
          <w:szCs w:val="22"/>
        </w:rPr>
      </w:pPr>
      <w:bookmarkStart w:id="2" w:name="_Toc17116000"/>
      <w:r w:rsidRPr="007E5071">
        <w:rPr>
          <w:b/>
          <w:caps w:val="0"/>
        </w:rPr>
        <w:t>Requested listing</w:t>
      </w:r>
      <w:bookmarkEnd w:id="2"/>
    </w:p>
    <w:p w:rsidR="00AA684F" w:rsidRPr="007E5071" w:rsidRDefault="00AA684F" w:rsidP="00DE4CB1">
      <w:pPr>
        <w:keepNext/>
        <w:keepLines/>
        <w:rPr>
          <w:rStyle w:val="CommentReference"/>
        </w:rPr>
      </w:pPr>
      <w:r w:rsidRPr="007E5071">
        <w:rPr>
          <w:rStyle w:val="CommentReference"/>
        </w:rPr>
        <w:t>Essential elements of the requested listing for nivolumab monotherapy (including maintenance therapy after combination with ipilimumab)</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20"/>
        <w:gridCol w:w="991"/>
        <w:gridCol w:w="1276"/>
        <w:gridCol w:w="1997"/>
        <w:gridCol w:w="1643"/>
      </w:tblGrid>
      <w:tr w:rsidR="00AA684F" w:rsidRPr="007E5071" w:rsidTr="00B91EBF">
        <w:trPr>
          <w:tblHeader/>
        </w:trPr>
        <w:tc>
          <w:tcPr>
            <w:tcW w:w="1728" w:type="pct"/>
          </w:tcPr>
          <w:p w:rsidR="00AA684F" w:rsidRPr="007E5071" w:rsidRDefault="00AA684F" w:rsidP="00625B93">
            <w:pPr>
              <w:keepNext/>
              <w:keepLines/>
              <w:jc w:val="left"/>
              <w:rPr>
                <w:rFonts w:ascii="Arial Narrow" w:hAnsi="Arial Narrow"/>
                <w:b/>
                <w:sz w:val="20"/>
                <w:szCs w:val="20"/>
              </w:rPr>
            </w:pPr>
            <w:r w:rsidRPr="007E5071">
              <w:rPr>
                <w:rFonts w:ascii="Arial Narrow" w:hAnsi="Arial Narrow"/>
                <w:b/>
                <w:sz w:val="20"/>
                <w:szCs w:val="20"/>
              </w:rPr>
              <w:t>Name, restriction, manner of administration, form</w:t>
            </w:r>
          </w:p>
        </w:tc>
        <w:tc>
          <w:tcPr>
            <w:tcW w:w="549" w:type="pct"/>
          </w:tcPr>
          <w:p w:rsidR="00AA684F" w:rsidRPr="007E5071" w:rsidRDefault="00AA684F" w:rsidP="00625B93">
            <w:pPr>
              <w:keepNext/>
              <w:keepLines/>
              <w:jc w:val="center"/>
              <w:rPr>
                <w:rFonts w:ascii="Arial Narrow" w:hAnsi="Arial Narrow"/>
                <w:b/>
                <w:sz w:val="20"/>
                <w:szCs w:val="20"/>
              </w:rPr>
            </w:pPr>
            <w:r w:rsidRPr="007E5071">
              <w:rPr>
                <w:rFonts w:ascii="Arial Narrow" w:hAnsi="Arial Narrow"/>
                <w:b/>
                <w:sz w:val="20"/>
                <w:szCs w:val="20"/>
              </w:rPr>
              <w:t>Maximum amount</w:t>
            </w:r>
          </w:p>
        </w:tc>
        <w:tc>
          <w:tcPr>
            <w:tcW w:w="707" w:type="pct"/>
          </w:tcPr>
          <w:p w:rsidR="00AA684F" w:rsidRPr="007E5071" w:rsidRDefault="00AA684F" w:rsidP="00625B93">
            <w:pPr>
              <w:keepNext/>
              <w:keepLines/>
              <w:jc w:val="center"/>
              <w:rPr>
                <w:rFonts w:ascii="Arial Narrow" w:hAnsi="Arial Narrow"/>
                <w:b/>
                <w:sz w:val="20"/>
                <w:szCs w:val="20"/>
              </w:rPr>
            </w:pPr>
            <w:r w:rsidRPr="007E5071">
              <w:rPr>
                <w:rFonts w:ascii="Arial Narrow" w:hAnsi="Arial Narrow"/>
                <w:b/>
                <w:sz w:val="20"/>
                <w:szCs w:val="20"/>
              </w:rPr>
              <w:t>No. of repeats</w:t>
            </w:r>
          </w:p>
        </w:tc>
        <w:tc>
          <w:tcPr>
            <w:tcW w:w="1106" w:type="pct"/>
          </w:tcPr>
          <w:p w:rsidR="00AA684F" w:rsidRPr="007E5071" w:rsidRDefault="00AA684F" w:rsidP="00625B93">
            <w:pPr>
              <w:keepNext/>
              <w:keepLines/>
              <w:jc w:val="left"/>
              <w:rPr>
                <w:rFonts w:ascii="Arial Narrow" w:hAnsi="Arial Narrow"/>
                <w:b/>
                <w:sz w:val="20"/>
                <w:szCs w:val="20"/>
              </w:rPr>
            </w:pPr>
            <w:r w:rsidRPr="007E5071">
              <w:rPr>
                <w:rFonts w:ascii="Arial Narrow" w:hAnsi="Arial Narrow"/>
                <w:b/>
                <w:sz w:val="20"/>
                <w:szCs w:val="20"/>
              </w:rPr>
              <w:t>Dispensed price for maximum amount</w:t>
            </w:r>
          </w:p>
        </w:tc>
        <w:tc>
          <w:tcPr>
            <w:tcW w:w="910" w:type="pct"/>
          </w:tcPr>
          <w:p w:rsidR="00AA684F" w:rsidRPr="007E5071" w:rsidRDefault="00AA684F" w:rsidP="00625B93">
            <w:pPr>
              <w:keepNext/>
              <w:keepLines/>
              <w:rPr>
                <w:rFonts w:ascii="Arial Narrow" w:hAnsi="Arial Narrow"/>
                <w:b/>
                <w:sz w:val="20"/>
                <w:szCs w:val="20"/>
              </w:rPr>
            </w:pPr>
            <w:r w:rsidRPr="007E5071">
              <w:rPr>
                <w:rFonts w:ascii="Arial Narrow" w:hAnsi="Arial Narrow"/>
                <w:b/>
                <w:sz w:val="20"/>
                <w:szCs w:val="20"/>
              </w:rPr>
              <w:t>Proprietary name and manufacturer</w:t>
            </w:r>
          </w:p>
        </w:tc>
      </w:tr>
      <w:tr w:rsidR="00AA684F" w:rsidRPr="007E5071" w:rsidTr="00B91EBF">
        <w:tc>
          <w:tcPr>
            <w:tcW w:w="1728" w:type="pct"/>
          </w:tcPr>
          <w:p w:rsidR="00AA684F" w:rsidRPr="007E5071" w:rsidRDefault="00AA684F" w:rsidP="00625B93">
            <w:pPr>
              <w:pStyle w:val="Tabletext"/>
              <w:keepNext/>
              <w:keepLines/>
            </w:pPr>
            <w:r w:rsidRPr="007E5071">
              <w:t>NIVOLUMAB</w:t>
            </w:r>
          </w:p>
          <w:p w:rsidR="00AA684F" w:rsidRPr="007E5071" w:rsidRDefault="00AA684F" w:rsidP="00625B93">
            <w:pPr>
              <w:keepNext/>
              <w:keepLines/>
              <w:jc w:val="left"/>
              <w:rPr>
                <w:rFonts w:ascii="Arial Narrow" w:hAnsi="Arial Narrow"/>
                <w:sz w:val="20"/>
              </w:rPr>
            </w:pPr>
            <w:r w:rsidRPr="007E5071">
              <w:rPr>
                <w:rFonts w:ascii="Arial Narrow" w:hAnsi="Arial Narrow"/>
                <w:sz w:val="20"/>
              </w:rPr>
              <w:t>100 mg/10 mL injection, 1 x 10 mL vial</w:t>
            </w:r>
          </w:p>
          <w:p w:rsidR="00AA684F" w:rsidRPr="007E5071" w:rsidRDefault="00AA684F" w:rsidP="00625B93">
            <w:pPr>
              <w:keepNext/>
              <w:keepLines/>
              <w:jc w:val="left"/>
            </w:pPr>
            <w:r w:rsidRPr="007E5071">
              <w:rPr>
                <w:rFonts w:ascii="Arial Narrow" w:hAnsi="Arial Narrow"/>
                <w:sz w:val="20"/>
              </w:rPr>
              <w:t>40 mg/4 mL injection, 1 x 4 mL vial</w:t>
            </w:r>
          </w:p>
        </w:tc>
        <w:tc>
          <w:tcPr>
            <w:tcW w:w="549" w:type="pct"/>
          </w:tcPr>
          <w:p w:rsidR="00AA684F" w:rsidRPr="007E5071" w:rsidRDefault="00AA684F" w:rsidP="00625B93">
            <w:pPr>
              <w:pStyle w:val="Tabletext"/>
              <w:keepNext/>
              <w:keepLines/>
              <w:jc w:val="center"/>
            </w:pPr>
          </w:p>
          <w:p w:rsidR="00AA684F" w:rsidRPr="007E5071" w:rsidRDefault="00AA684F" w:rsidP="00625B93">
            <w:pPr>
              <w:pStyle w:val="Tabletext"/>
              <w:keepNext/>
              <w:keepLines/>
              <w:jc w:val="center"/>
            </w:pPr>
            <w:r w:rsidRPr="007E5071">
              <w:t>480 mg</w:t>
            </w:r>
          </w:p>
        </w:tc>
        <w:tc>
          <w:tcPr>
            <w:tcW w:w="707" w:type="pct"/>
          </w:tcPr>
          <w:p w:rsidR="00AA684F" w:rsidRPr="007E5071" w:rsidRDefault="00AA684F" w:rsidP="00625B93">
            <w:pPr>
              <w:pStyle w:val="Tabletext"/>
              <w:keepNext/>
              <w:keepLines/>
              <w:jc w:val="center"/>
            </w:pPr>
          </w:p>
          <w:p w:rsidR="00AA684F" w:rsidRPr="007E5071" w:rsidRDefault="00B91EBF" w:rsidP="00625B93">
            <w:pPr>
              <w:pStyle w:val="Tabletext"/>
              <w:keepNext/>
              <w:keepLines/>
              <w:jc w:val="center"/>
            </w:pPr>
            <w:r w:rsidRPr="007E5071">
              <w:t xml:space="preserve">Initial: 8 </w:t>
            </w:r>
          </w:p>
          <w:p w:rsidR="00AA684F" w:rsidRPr="007E5071" w:rsidRDefault="00B91EBF" w:rsidP="00625B93">
            <w:pPr>
              <w:pStyle w:val="Tabletext"/>
              <w:keepNext/>
              <w:keepLines/>
              <w:jc w:val="center"/>
            </w:pPr>
            <w:r w:rsidRPr="007E5071">
              <w:t>Continuing: 11</w:t>
            </w:r>
          </w:p>
        </w:tc>
        <w:tc>
          <w:tcPr>
            <w:tcW w:w="1106" w:type="pct"/>
          </w:tcPr>
          <w:p w:rsidR="00AA684F" w:rsidRPr="007E5071" w:rsidRDefault="00AA684F" w:rsidP="00625B93">
            <w:pPr>
              <w:keepNext/>
              <w:keepLines/>
              <w:jc w:val="left"/>
              <w:rPr>
                <w:rFonts w:ascii="Arial Narrow" w:hAnsi="Arial Narrow"/>
                <w:caps/>
                <w:sz w:val="20"/>
                <w:szCs w:val="20"/>
                <w:u w:val="single"/>
              </w:rPr>
            </w:pPr>
            <w:r w:rsidRPr="007E5071">
              <w:rPr>
                <w:rFonts w:ascii="Arial Narrow" w:hAnsi="Arial Narrow"/>
                <w:sz w:val="20"/>
                <w:szCs w:val="20"/>
                <w:u w:val="single"/>
              </w:rPr>
              <w:t>Published price</w:t>
            </w:r>
          </w:p>
          <w:p w:rsidR="00AA684F" w:rsidRPr="007E5071" w:rsidRDefault="00AA684F" w:rsidP="00625B93">
            <w:pPr>
              <w:pStyle w:val="Tabletext"/>
              <w:keepNext/>
              <w:keepLines/>
            </w:pPr>
            <w:r w:rsidRPr="007E5071">
              <w:t>$7,561.36 (public)</w:t>
            </w:r>
          </w:p>
          <w:p w:rsidR="00AA684F" w:rsidRPr="007E5071" w:rsidRDefault="00AA684F" w:rsidP="00625B93">
            <w:pPr>
              <w:pStyle w:val="Tabletext"/>
              <w:keepNext/>
              <w:keepLines/>
            </w:pPr>
            <w:r w:rsidRPr="007E5071">
              <w:t>$7,705.78 (private)</w:t>
            </w:r>
          </w:p>
          <w:p w:rsidR="00AA684F" w:rsidRPr="007E5071" w:rsidRDefault="00AA684F" w:rsidP="00625B93">
            <w:pPr>
              <w:pStyle w:val="Tabletext"/>
              <w:keepNext/>
              <w:keepLines/>
              <w:rPr>
                <w:u w:val="single"/>
              </w:rPr>
            </w:pPr>
            <w:r w:rsidRPr="007E5071">
              <w:rPr>
                <w:u w:val="single"/>
              </w:rPr>
              <w:t>Effective price</w:t>
            </w:r>
          </w:p>
          <w:p w:rsidR="00AA684F" w:rsidRPr="007E5071" w:rsidRDefault="002A6E0E" w:rsidP="00625B93">
            <w:pPr>
              <w:pStyle w:val="Tabletext"/>
              <w:keepNext/>
              <w:keepLines/>
            </w:pPr>
            <w:r w:rsidRPr="007E5071">
              <w:t>To be determined</w:t>
            </w:r>
            <w:r w:rsidRPr="007E5071">
              <w:rPr>
                <w:vertAlign w:val="superscript"/>
              </w:rPr>
              <w:t>a</w:t>
            </w:r>
          </w:p>
        </w:tc>
        <w:tc>
          <w:tcPr>
            <w:tcW w:w="910" w:type="pct"/>
          </w:tcPr>
          <w:p w:rsidR="00AA684F" w:rsidRPr="007E5071" w:rsidRDefault="00AA684F" w:rsidP="00625B93">
            <w:pPr>
              <w:pStyle w:val="Tabletext"/>
              <w:keepNext/>
              <w:keepLines/>
              <w:rPr>
                <w:vertAlign w:val="superscript"/>
              </w:rPr>
            </w:pPr>
            <w:r w:rsidRPr="007E5071">
              <w:t>Opdivo</w:t>
            </w:r>
            <w:r w:rsidRPr="007E5071">
              <w:rPr>
                <w:vertAlign w:val="superscript"/>
              </w:rPr>
              <w:t>®</w:t>
            </w:r>
          </w:p>
          <w:p w:rsidR="00AA684F" w:rsidRPr="007E5071" w:rsidRDefault="00AA684F" w:rsidP="00625B93">
            <w:pPr>
              <w:pStyle w:val="Tabletext"/>
              <w:keepNext/>
              <w:keepLines/>
            </w:pPr>
            <w:r w:rsidRPr="007E5071">
              <w:t>Bristol-Myers Squibb Australia</w:t>
            </w:r>
          </w:p>
        </w:tc>
      </w:tr>
    </w:tbl>
    <w:p w:rsidR="002A6E0E" w:rsidRPr="007E5071" w:rsidRDefault="002A6E0E" w:rsidP="002A6E0E">
      <w:pPr>
        <w:pStyle w:val="TableFooter"/>
      </w:pPr>
      <w:r w:rsidRPr="007E5071">
        <w:rPr>
          <w:vertAlign w:val="superscript"/>
        </w:rPr>
        <w:t>a</w:t>
      </w:r>
      <w:r w:rsidRPr="007E5071">
        <w:t xml:space="preserve"> The submission proposed listing on a cost-minimisation basis against the effective price of DAB+TRAM</w:t>
      </w:r>
    </w:p>
    <w:p w:rsidR="00AA684F" w:rsidRPr="007E5071" w:rsidRDefault="00AA684F" w:rsidP="00AA684F"/>
    <w:p w:rsidR="00AA684F" w:rsidRPr="007E5071" w:rsidRDefault="00AA684F" w:rsidP="0013650B">
      <w:pPr>
        <w:keepNext/>
        <w:rPr>
          <w:rStyle w:val="CommentReference"/>
        </w:rPr>
      </w:pPr>
      <w:r w:rsidRPr="007E5071">
        <w:rPr>
          <w:rStyle w:val="CommentReference"/>
        </w:rPr>
        <w:t>Essential elements of the requested listing – NIVO+IPI induction treatment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992"/>
        <w:gridCol w:w="1099"/>
        <w:gridCol w:w="1296"/>
        <w:gridCol w:w="1995"/>
        <w:gridCol w:w="1645"/>
      </w:tblGrid>
      <w:tr w:rsidR="00AA684F" w:rsidRPr="007E5071" w:rsidTr="00B91EBF">
        <w:trPr>
          <w:tblHeader/>
        </w:trPr>
        <w:tc>
          <w:tcPr>
            <w:tcW w:w="1657" w:type="pct"/>
            <w:tcBorders>
              <w:bottom w:val="single" w:sz="4" w:space="0" w:color="auto"/>
            </w:tcBorders>
          </w:tcPr>
          <w:p w:rsidR="00AA684F" w:rsidRPr="007E5071" w:rsidRDefault="00AA684F" w:rsidP="00807296">
            <w:pPr>
              <w:jc w:val="left"/>
              <w:rPr>
                <w:rFonts w:ascii="Arial Narrow" w:hAnsi="Arial Narrow"/>
                <w:b/>
                <w:sz w:val="20"/>
                <w:szCs w:val="20"/>
              </w:rPr>
            </w:pPr>
            <w:r w:rsidRPr="007E5071">
              <w:rPr>
                <w:rFonts w:ascii="Arial Narrow" w:hAnsi="Arial Narrow"/>
                <w:b/>
                <w:sz w:val="20"/>
                <w:szCs w:val="20"/>
              </w:rPr>
              <w:t>Name, restriction, manner of administration, form</w:t>
            </w:r>
          </w:p>
        </w:tc>
        <w:tc>
          <w:tcPr>
            <w:tcW w:w="609" w:type="pct"/>
            <w:tcBorders>
              <w:bottom w:val="single" w:sz="4" w:space="0" w:color="auto"/>
            </w:tcBorders>
          </w:tcPr>
          <w:p w:rsidR="00AA684F" w:rsidRPr="007E5071" w:rsidRDefault="00AA684F" w:rsidP="00807296">
            <w:pPr>
              <w:jc w:val="center"/>
              <w:rPr>
                <w:rFonts w:ascii="Arial Narrow" w:hAnsi="Arial Narrow"/>
                <w:b/>
                <w:sz w:val="20"/>
                <w:szCs w:val="20"/>
              </w:rPr>
            </w:pPr>
            <w:r w:rsidRPr="007E5071">
              <w:rPr>
                <w:rFonts w:ascii="Arial Narrow" w:hAnsi="Arial Narrow"/>
                <w:b/>
                <w:sz w:val="20"/>
                <w:szCs w:val="20"/>
              </w:rPr>
              <w:t>Maximum amount</w:t>
            </w:r>
          </w:p>
        </w:tc>
        <w:tc>
          <w:tcPr>
            <w:tcW w:w="718" w:type="pct"/>
            <w:tcBorders>
              <w:bottom w:val="single" w:sz="4" w:space="0" w:color="auto"/>
            </w:tcBorders>
          </w:tcPr>
          <w:p w:rsidR="00AA684F" w:rsidRPr="007E5071" w:rsidRDefault="00AA684F" w:rsidP="00807296">
            <w:pPr>
              <w:jc w:val="center"/>
              <w:rPr>
                <w:rFonts w:ascii="Arial Narrow" w:hAnsi="Arial Narrow"/>
                <w:b/>
                <w:sz w:val="20"/>
                <w:szCs w:val="20"/>
              </w:rPr>
            </w:pPr>
            <w:r w:rsidRPr="007E5071">
              <w:rPr>
                <w:rFonts w:ascii="Arial Narrow" w:hAnsi="Arial Narrow"/>
                <w:b/>
                <w:sz w:val="20"/>
                <w:szCs w:val="20"/>
              </w:rPr>
              <w:t>No. of repeats</w:t>
            </w:r>
          </w:p>
        </w:tc>
        <w:tc>
          <w:tcPr>
            <w:tcW w:w="1105" w:type="pct"/>
            <w:tcBorders>
              <w:bottom w:val="single" w:sz="4" w:space="0" w:color="auto"/>
            </w:tcBorders>
          </w:tcPr>
          <w:p w:rsidR="00AA684F" w:rsidRPr="007E5071" w:rsidRDefault="00AA684F" w:rsidP="00807296">
            <w:pPr>
              <w:jc w:val="left"/>
              <w:rPr>
                <w:rFonts w:ascii="Arial Narrow" w:hAnsi="Arial Narrow"/>
                <w:b/>
                <w:sz w:val="20"/>
                <w:szCs w:val="20"/>
              </w:rPr>
            </w:pPr>
            <w:r w:rsidRPr="007E5071">
              <w:rPr>
                <w:rFonts w:ascii="Arial Narrow" w:hAnsi="Arial Narrow"/>
                <w:b/>
                <w:sz w:val="20"/>
                <w:szCs w:val="20"/>
              </w:rPr>
              <w:t>Dispensed price for maximum amount</w:t>
            </w:r>
          </w:p>
        </w:tc>
        <w:tc>
          <w:tcPr>
            <w:tcW w:w="911" w:type="pct"/>
            <w:tcBorders>
              <w:bottom w:val="single" w:sz="4" w:space="0" w:color="auto"/>
            </w:tcBorders>
          </w:tcPr>
          <w:p w:rsidR="00AA684F" w:rsidRPr="007E5071" w:rsidRDefault="00AA684F" w:rsidP="00807296">
            <w:pPr>
              <w:rPr>
                <w:rFonts w:ascii="Arial Narrow" w:hAnsi="Arial Narrow"/>
                <w:b/>
                <w:sz w:val="20"/>
                <w:szCs w:val="20"/>
              </w:rPr>
            </w:pPr>
            <w:r w:rsidRPr="007E5071">
              <w:rPr>
                <w:rFonts w:ascii="Arial Narrow" w:hAnsi="Arial Narrow"/>
                <w:b/>
                <w:sz w:val="20"/>
                <w:szCs w:val="20"/>
              </w:rPr>
              <w:t>Proprietary name and manufacturer</w:t>
            </w:r>
          </w:p>
        </w:tc>
      </w:tr>
      <w:tr w:rsidR="00AA684F" w:rsidRPr="007E5071" w:rsidTr="00B91EBF">
        <w:trPr>
          <w:trHeight w:val="964"/>
          <w:tblHeader/>
        </w:trPr>
        <w:tc>
          <w:tcPr>
            <w:tcW w:w="1657" w:type="pct"/>
          </w:tcPr>
          <w:p w:rsidR="00AA684F" w:rsidRPr="007E5071" w:rsidRDefault="00AA684F" w:rsidP="00807296">
            <w:pPr>
              <w:keepNext/>
              <w:rPr>
                <w:rFonts w:ascii="Arial Narrow" w:hAnsi="Arial Narrow"/>
                <w:sz w:val="20"/>
                <w:szCs w:val="20"/>
              </w:rPr>
            </w:pPr>
            <w:r w:rsidRPr="007E5071">
              <w:rPr>
                <w:rFonts w:ascii="Arial Narrow" w:hAnsi="Arial Narrow"/>
                <w:smallCaps/>
                <w:sz w:val="20"/>
              </w:rPr>
              <w:t>Nivolumab</w:t>
            </w:r>
          </w:p>
          <w:p w:rsidR="00AA684F" w:rsidRPr="007E5071" w:rsidRDefault="00AA684F" w:rsidP="00807296">
            <w:pPr>
              <w:keepNext/>
              <w:rPr>
                <w:rFonts w:ascii="Arial Narrow" w:hAnsi="Arial Narrow"/>
                <w:sz w:val="20"/>
              </w:rPr>
            </w:pPr>
            <w:r w:rsidRPr="007E5071">
              <w:rPr>
                <w:rFonts w:ascii="Arial Narrow" w:hAnsi="Arial Narrow"/>
                <w:sz w:val="20"/>
              </w:rPr>
              <w:t>100 mg/10 mL injection, 1 x 10 mL vial</w:t>
            </w:r>
          </w:p>
          <w:p w:rsidR="00AA684F" w:rsidRPr="007E5071" w:rsidRDefault="00AA684F" w:rsidP="00807296">
            <w:pPr>
              <w:keepNext/>
              <w:rPr>
                <w:rFonts w:ascii="Arial Narrow" w:hAnsi="Arial Narrow"/>
                <w:sz w:val="20"/>
                <w:vertAlign w:val="superscript"/>
              </w:rPr>
            </w:pPr>
            <w:r w:rsidRPr="007E5071">
              <w:rPr>
                <w:rFonts w:ascii="Arial Narrow" w:hAnsi="Arial Narrow"/>
                <w:sz w:val="20"/>
              </w:rPr>
              <w:t>40 mg/4 mL injection, 1 x 4 mL vial</w:t>
            </w:r>
          </w:p>
          <w:p w:rsidR="00AA684F" w:rsidRPr="007E5071" w:rsidRDefault="00AA684F" w:rsidP="00807296">
            <w:pPr>
              <w:pStyle w:val="Tabletext"/>
              <w:rPr>
                <w:szCs w:val="20"/>
              </w:rPr>
            </w:pPr>
          </w:p>
        </w:tc>
        <w:tc>
          <w:tcPr>
            <w:tcW w:w="609" w:type="pct"/>
          </w:tcPr>
          <w:p w:rsidR="00AA684F" w:rsidRPr="007E5071" w:rsidRDefault="00AA684F" w:rsidP="00807296">
            <w:pPr>
              <w:pStyle w:val="Tabletext"/>
              <w:jc w:val="center"/>
            </w:pPr>
          </w:p>
          <w:p w:rsidR="00AA684F" w:rsidRPr="007E5071" w:rsidRDefault="00AA684F" w:rsidP="00807296">
            <w:pPr>
              <w:pStyle w:val="Tabletext"/>
              <w:jc w:val="center"/>
              <w:rPr>
                <w:szCs w:val="20"/>
              </w:rPr>
            </w:pPr>
            <w:r w:rsidRPr="007E5071">
              <w:t>120 mg</w:t>
            </w:r>
          </w:p>
        </w:tc>
        <w:tc>
          <w:tcPr>
            <w:tcW w:w="718" w:type="pct"/>
          </w:tcPr>
          <w:p w:rsidR="00AA684F" w:rsidRPr="007E5071" w:rsidRDefault="00AA684F" w:rsidP="00807296">
            <w:pPr>
              <w:pStyle w:val="Tabletext"/>
              <w:jc w:val="center"/>
            </w:pPr>
          </w:p>
          <w:p w:rsidR="00AA684F" w:rsidRPr="007E5071" w:rsidRDefault="00AA684F" w:rsidP="00807296">
            <w:pPr>
              <w:pStyle w:val="Tabletext"/>
              <w:jc w:val="center"/>
              <w:rPr>
                <w:szCs w:val="20"/>
              </w:rPr>
            </w:pPr>
            <w:r w:rsidRPr="007E5071">
              <w:t>3</w:t>
            </w:r>
          </w:p>
        </w:tc>
        <w:tc>
          <w:tcPr>
            <w:tcW w:w="1105" w:type="pct"/>
          </w:tcPr>
          <w:p w:rsidR="00AA684F" w:rsidRPr="007E5071" w:rsidRDefault="00AA684F" w:rsidP="00807296">
            <w:pPr>
              <w:jc w:val="left"/>
              <w:rPr>
                <w:rFonts w:ascii="Arial Narrow" w:hAnsi="Arial Narrow"/>
                <w:sz w:val="20"/>
                <w:szCs w:val="20"/>
                <w:u w:val="single"/>
              </w:rPr>
            </w:pPr>
            <w:r w:rsidRPr="007E5071">
              <w:rPr>
                <w:rFonts w:ascii="Arial Narrow" w:hAnsi="Arial Narrow"/>
                <w:sz w:val="20"/>
                <w:szCs w:val="20"/>
                <w:u w:val="single"/>
              </w:rPr>
              <w:t>Published price</w:t>
            </w:r>
          </w:p>
          <w:p w:rsidR="00AA684F" w:rsidRPr="007E5071" w:rsidRDefault="00AA684F" w:rsidP="00807296">
            <w:pPr>
              <w:pStyle w:val="Tabletext"/>
            </w:pPr>
            <w:r w:rsidRPr="007E5071">
              <w:t>$2,577.16 (public)</w:t>
            </w:r>
          </w:p>
          <w:p w:rsidR="00AA684F" w:rsidRPr="007E5071" w:rsidRDefault="00AA684F" w:rsidP="00807296">
            <w:pPr>
              <w:pStyle w:val="Tabletext"/>
            </w:pPr>
            <w:r w:rsidRPr="007E5071">
              <w:t>$2,651.81 (private)</w:t>
            </w:r>
          </w:p>
          <w:p w:rsidR="00AA684F" w:rsidRPr="007E5071" w:rsidRDefault="00AA684F" w:rsidP="00807296">
            <w:pPr>
              <w:pStyle w:val="Tabletext"/>
              <w:rPr>
                <w:u w:val="single"/>
              </w:rPr>
            </w:pPr>
            <w:r w:rsidRPr="007E5071">
              <w:rPr>
                <w:u w:val="single"/>
              </w:rPr>
              <w:t>Effective price</w:t>
            </w:r>
          </w:p>
          <w:p w:rsidR="00AA684F" w:rsidRPr="007E5071" w:rsidRDefault="002A6E0E" w:rsidP="00807296">
            <w:pPr>
              <w:pStyle w:val="Tabletext"/>
              <w:rPr>
                <w:szCs w:val="20"/>
              </w:rPr>
            </w:pPr>
            <w:r w:rsidRPr="007E5071">
              <w:t>To be determined</w:t>
            </w:r>
            <w:r w:rsidRPr="007E5071">
              <w:rPr>
                <w:vertAlign w:val="superscript"/>
              </w:rPr>
              <w:t>a</w:t>
            </w:r>
          </w:p>
        </w:tc>
        <w:tc>
          <w:tcPr>
            <w:tcW w:w="911" w:type="pct"/>
          </w:tcPr>
          <w:p w:rsidR="00AA684F" w:rsidRPr="007E5071" w:rsidRDefault="00AA684F" w:rsidP="00807296">
            <w:pPr>
              <w:pStyle w:val="Tabletext"/>
              <w:rPr>
                <w:vertAlign w:val="superscript"/>
              </w:rPr>
            </w:pPr>
            <w:r w:rsidRPr="007E5071">
              <w:t>Opdivo</w:t>
            </w:r>
            <w:r w:rsidRPr="007E5071">
              <w:rPr>
                <w:vertAlign w:val="superscript"/>
              </w:rPr>
              <w:t>®</w:t>
            </w:r>
          </w:p>
          <w:p w:rsidR="00AA684F" w:rsidRPr="007E5071" w:rsidRDefault="00AA684F" w:rsidP="00807296">
            <w:pPr>
              <w:pStyle w:val="Tabletext"/>
              <w:rPr>
                <w:szCs w:val="20"/>
                <w:vertAlign w:val="superscript"/>
              </w:rPr>
            </w:pPr>
            <w:r w:rsidRPr="007E5071">
              <w:t>Bristol-Myers Squibb Australia</w:t>
            </w:r>
          </w:p>
        </w:tc>
      </w:tr>
      <w:tr w:rsidR="00AA684F" w:rsidRPr="007E5071" w:rsidTr="00B91EBF">
        <w:tc>
          <w:tcPr>
            <w:tcW w:w="1657" w:type="pct"/>
          </w:tcPr>
          <w:p w:rsidR="00AA684F" w:rsidRPr="007E5071" w:rsidRDefault="00AA684F" w:rsidP="00807296">
            <w:pPr>
              <w:keepNext/>
              <w:rPr>
                <w:rFonts w:ascii="Arial Narrow" w:hAnsi="Arial Narrow"/>
                <w:sz w:val="20"/>
              </w:rPr>
            </w:pPr>
            <w:r w:rsidRPr="007E5071">
              <w:rPr>
                <w:rFonts w:ascii="Arial Narrow" w:hAnsi="Arial Narrow"/>
                <w:smallCaps/>
                <w:sz w:val="20"/>
              </w:rPr>
              <w:t>Ipilimumab</w:t>
            </w:r>
          </w:p>
          <w:p w:rsidR="00AA684F" w:rsidRPr="007E5071" w:rsidRDefault="00AA684F" w:rsidP="00807296">
            <w:pPr>
              <w:keepNext/>
              <w:rPr>
                <w:rFonts w:ascii="Arial Narrow" w:hAnsi="Arial Narrow"/>
                <w:sz w:val="20"/>
                <w:vertAlign w:val="superscript"/>
              </w:rPr>
            </w:pPr>
            <w:r w:rsidRPr="007E5071">
              <w:rPr>
                <w:rFonts w:ascii="Arial Narrow" w:hAnsi="Arial Narrow"/>
                <w:sz w:val="20"/>
              </w:rPr>
              <w:t>200 mg/40 mL injection, 1 x 40 mL</w:t>
            </w:r>
            <w:r w:rsidRPr="007E5071">
              <w:rPr>
                <w:rFonts w:ascii="Arial Narrow" w:hAnsi="Arial Narrow"/>
                <w:i/>
                <w:sz w:val="20"/>
              </w:rPr>
              <w:t xml:space="preserve"> </w:t>
            </w:r>
            <w:r w:rsidRPr="007E5071">
              <w:rPr>
                <w:rFonts w:ascii="Arial Narrow" w:hAnsi="Arial Narrow"/>
                <w:sz w:val="20"/>
              </w:rPr>
              <w:t>vial</w:t>
            </w:r>
          </w:p>
          <w:p w:rsidR="00AA684F" w:rsidRPr="007E5071" w:rsidRDefault="00AA684F" w:rsidP="00807296">
            <w:pPr>
              <w:pStyle w:val="Tabletext"/>
            </w:pPr>
            <w:r w:rsidRPr="007E5071">
              <w:t>50 mg/10 mL injection, 1 x 10 mL vial</w:t>
            </w:r>
          </w:p>
        </w:tc>
        <w:tc>
          <w:tcPr>
            <w:tcW w:w="609" w:type="pct"/>
          </w:tcPr>
          <w:p w:rsidR="00AA684F" w:rsidRPr="007E5071" w:rsidRDefault="00AA684F" w:rsidP="00807296">
            <w:pPr>
              <w:pStyle w:val="Tabletext"/>
              <w:jc w:val="center"/>
            </w:pPr>
          </w:p>
          <w:p w:rsidR="00AA684F" w:rsidRPr="007E5071" w:rsidRDefault="00AA684F" w:rsidP="00807296">
            <w:pPr>
              <w:pStyle w:val="Tabletext"/>
              <w:jc w:val="center"/>
            </w:pPr>
            <w:r w:rsidRPr="007E5071">
              <w:t>360 mg</w:t>
            </w:r>
          </w:p>
        </w:tc>
        <w:tc>
          <w:tcPr>
            <w:tcW w:w="718" w:type="pct"/>
          </w:tcPr>
          <w:p w:rsidR="00AA684F" w:rsidRPr="007E5071" w:rsidRDefault="00AA684F" w:rsidP="00807296">
            <w:pPr>
              <w:pStyle w:val="Tabletext"/>
              <w:jc w:val="center"/>
            </w:pPr>
          </w:p>
          <w:p w:rsidR="00AA684F" w:rsidRPr="007E5071" w:rsidRDefault="00AA684F" w:rsidP="00807296">
            <w:pPr>
              <w:pStyle w:val="Tabletext"/>
              <w:jc w:val="center"/>
            </w:pPr>
            <w:r w:rsidRPr="007E5071">
              <w:t>3</w:t>
            </w:r>
          </w:p>
        </w:tc>
        <w:tc>
          <w:tcPr>
            <w:tcW w:w="1105" w:type="pct"/>
          </w:tcPr>
          <w:p w:rsidR="00AA684F" w:rsidRPr="007E5071" w:rsidRDefault="00AA684F" w:rsidP="00807296">
            <w:pPr>
              <w:jc w:val="left"/>
              <w:rPr>
                <w:rFonts w:ascii="Arial Narrow" w:hAnsi="Arial Narrow"/>
                <w:sz w:val="20"/>
                <w:szCs w:val="20"/>
                <w:u w:val="single"/>
              </w:rPr>
            </w:pPr>
            <w:r w:rsidRPr="007E5071">
              <w:rPr>
                <w:rFonts w:ascii="Arial Narrow" w:hAnsi="Arial Narrow"/>
                <w:sz w:val="20"/>
                <w:szCs w:val="20"/>
                <w:u w:val="single"/>
              </w:rPr>
              <w:t>Published price</w:t>
            </w:r>
          </w:p>
          <w:p w:rsidR="00AA684F" w:rsidRPr="007E5071" w:rsidRDefault="00AA684F" w:rsidP="00807296">
            <w:pPr>
              <w:pStyle w:val="Tabletext"/>
            </w:pPr>
            <w:r w:rsidRPr="007E5071">
              <w:t>$45,092.42 (public)</w:t>
            </w:r>
          </w:p>
          <w:p w:rsidR="00AA684F" w:rsidRPr="007E5071" w:rsidRDefault="00AA684F" w:rsidP="00807296">
            <w:pPr>
              <w:pStyle w:val="Tabletext"/>
            </w:pPr>
            <w:r w:rsidRPr="007E5071">
              <w:t>$45,762.26 (private)</w:t>
            </w:r>
          </w:p>
          <w:p w:rsidR="00AA684F" w:rsidRPr="007E5071" w:rsidRDefault="00AA684F" w:rsidP="00807296">
            <w:pPr>
              <w:pStyle w:val="Tabletext"/>
              <w:rPr>
                <w:u w:val="single"/>
              </w:rPr>
            </w:pPr>
            <w:r w:rsidRPr="007E5071">
              <w:rPr>
                <w:u w:val="single"/>
              </w:rPr>
              <w:t>Effective price</w:t>
            </w:r>
          </w:p>
          <w:p w:rsidR="00AA684F" w:rsidRPr="007E5071" w:rsidRDefault="002A6E0E" w:rsidP="00807296">
            <w:pPr>
              <w:pStyle w:val="Tabletext"/>
            </w:pPr>
            <w:r w:rsidRPr="007E5071">
              <w:t>To be determined</w:t>
            </w:r>
            <w:r w:rsidRPr="007E5071">
              <w:rPr>
                <w:vertAlign w:val="superscript"/>
              </w:rPr>
              <w:t>a</w:t>
            </w:r>
          </w:p>
        </w:tc>
        <w:tc>
          <w:tcPr>
            <w:tcW w:w="911" w:type="pct"/>
          </w:tcPr>
          <w:p w:rsidR="00AA684F" w:rsidRPr="007E5071" w:rsidRDefault="00AA684F" w:rsidP="00807296">
            <w:pPr>
              <w:pStyle w:val="Tabletext"/>
              <w:rPr>
                <w:vertAlign w:val="superscript"/>
              </w:rPr>
            </w:pPr>
            <w:r w:rsidRPr="007E5071">
              <w:t>Yervoy</w:t>
            </w:r>
            <w:r w:rsidRPr="007E5071">
              <w:rPr>
                <w:vertAlign w:val="superscript"/>
              </w:rPr>
              <w:t>®</w:t>
            </w:r>
          </w:p>
          <w:p w:rsidR="00AA684F" w:rsidRPr="007E5071" w:rsidRDefault="00AA684F" w:rsidP="00807296">
            <w:pPr>
              <w:pStyle w:val="Tabletext"/>
            </w:pPr>
            <w:r w:rsidRPr="007E5071">
              <w:t>Bristol-Myers Squibb Australia</w:t>
            </w:r>
          </w:p>
        </w:tc>
      </w:tr>
    </w:tbl>
    <w:p w:rsidR="002A6E0E" w:rsidRPr="007E5071" w:rsidRDefault="002A6E0E" w:rsidP="002A6E0E">
      <w:pPr>
        <w:pStyle w:val="TableFooter"/>
      </w:pPr>
      <w:r w:rsidRPr="007E5071">
        <w:rPr>
          <w:vertAlign w:val="superscript"/>
        </w:rPr>
        <w:t>a</w:t>
      </w:r>
      <w:r w:rsidRPr="007E5071">
        <w:t xml:space="preserve"> The submission proposed listing on a cost-minimisation basis against the effective price of DAB+TRAM</w:t>
      </w:r>
    </w:p>
    <w:p w:rsidR="00AA684F" w:rsidRPr="007E5071" w:rsidRDefault="00AA684F" w:rsidP="00AA684F"/>
    <w:p w:rsidR="00AA684F" w:rsidRPr="007E5071" w:rsidRDefault="00AA684F" w:rsidP="009D02C5">
      <w:pPr>
        <w:keepNext/>
        <w:keepLines/>
        <w:widowControl/>
        <w:rPr>
          <w:rStyle w:val="CommentReference"/>
        </w:rPr>
      </w:pPr>
      <w:r w:rsidRPr="007E5071">
        <w:rPr>
          <w:rStyle w:val="CommentReference"/>
        </w:rPr>
        <w:lastRenderedPageBreak/>
        <w:t>Requested restriction – nivolumab monotherapy</w:t>
      </w:r>
    </w:p>
    <w:tbl>
      <w:tblPr>
        <w:tblW w:w="5063" w:type="pct"/>
        <w:tblInd w:w="-5" w:type="dxa"/>
        <w:tblLayout w:type="fixed"/>
        <w:tblLook w:val="0000" w:firstRow="0" w:lastRow="0" w:firstColumn="0" w:lastColumn="0" w:noHBand="0" w:noVBand="0"/>
      </w:tblPr>
      <w:tblGrid>
        <w:gridCol w:w="1701"/>
        <w:gridCol w:w="7430"/>
      </w:tblGrid>
      <w:tr w:rsidR="00AA684F" w:rsidRPr="007E5071" w:rsidTr="009C086A">
        <w:tc>
          <w:tcPr>
            <w:tcW w:w="9131" w:type="dxa"/>
            <w:gridSpan w:val="2"/>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i/>
              </w:rPr>
            </w:pPr>
            <w:r w:rsidRPr="007E5071">
              <w:rPr>
                <w:b/>
                <w:i/>
              </w:rPr>
              <w:t>Initial treatment (Authority code 6070)</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Category/Program</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Section 100 – Efficient Funding of Chemotherapy</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Prescriber type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fldChar w:fldCharType="begin">
                <w:ffData>
                  <w:name w:val=""/>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 xml:space="preserve">Medical Practitioners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Severity:</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Unresectable Stage III or Stage IV</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Condition: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PBS Indication: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Unresectable Stage III or Stage IV 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Treatment phase: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Initial treatment</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i/>
              </w:rPr>
            </w:pPr>
            <w:r w:rsidRPr="007E5071">
              <w:rPr>
                <w:b/>
              </w:rPr>
              <w:t>Restriction: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fldChar w:fldCharType="begin">
                <w:ffData>
                  <w:name w:val="Check5"/>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Streamlined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Clinical criteria:</w:t>
            </w:r>
          </w:p>
          <w:p w:rsidR="00AA684F" w:rsidRPr="007E5071" w:rsidRDefault="00AA684F" w:rsidP="009D02C5">
            <w:pPr>
              <w:pStyle w:val="Tabletext"/>
              <w:keepNext/>
              <w:keepLines/>
              <w:rPr>
                <w:i/>
              </w:rPr>
            </w:pP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Patient must not have received prior treatment with ipilimumab or a PD-1 (programmed cell death-1) inhibitor for this condition,</w:t>
            </w:r>
          </w:p>
          <w:p w:rsidR="00AA684F" w:rsidRPr="007E5071" w:rsidRDefault="00AA684F" w:rsidP="009D02C5">
            <w:pPr>
              <w:pStyle w:val="Tabletext"/>
              <w:keepNext/>
              <w:keepLines/>
            </w:pPr>
            <w:r w:rsidRPr="007E5071">
              <w:t>AND</w:t>
            </w:r>
          </w:p>
          <w:p w:rsidR="00AA684F" w:rsidRPr="007E5071" w:rsidRDefault="00AA684F" w:rsidP="009D02C5">
            <w:pPr>
              <w:pStyle w:val="Tabletext"/>
              <w:keepNext/>
              <w:keepLines/>
            </w:pPr>
            <w:r w:rsidRPr="007E5071">
              <w:t>The treatment must be the sole PBS-subsidised therapy for this condition,</w:t>
            </w:r>
          </w:p>
          <w:p w:rsidR="00AA684F" w:rsidRPr="007E5071" w:rsidRDefault="00AA684F" w:rsidP="009D02C5">
            <w:pPr>
              <w:pStyle w:val="Tabletext"/>
              <w:keepNext/>
              <w:keepLines/>
            </w:pPr>
            <w:r w:rsidRPr="007E5071">
              <w:t>AND</w:t>
            </w:r>
          </w:p>
          <w:p w:rsidR="00AA684F" w:rsidRPr="007E5071" w:rsidRDefault="00AA684F" w:rsidP="009D02C5">
            <w:pPr>
              <w:pStyle w:val="Tabletext"/>
              <w:keepNext/>
              <w:keepLines/>
              <w:rPr>
                <w:rFonts w:cs="Arial"/>
              </w:rPr>
            </w:pPr>
            <w:r w:rsidRPr="007E5071">
              <w:t>The treatment must not exceed a total of 9 doses at a maximum dose of 3 mg per kg every 2 weeks</w:t>
            </w:r>
            <w:r w:rsidR="007E5071" w:rsidRPr="007E5071">
              <w:t xml:space="preserve">.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Prescriber Instructions:</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The patient’s body weight must be documented in the patient’s medical records at the time treatment is initiated.</w:t>
            </w:r>
          </w:p>
          <w:p w:rsidR="00AA684F" w:rsidRPr="007E5071" w:rsidRDefault="00AA684F" w:rsidP="009D02C5">
            <w:pPr>
              <w:pStyle w:val="Tabletext"/>
              <w:keepNext/>
              <w:keepLines/>
            </w:pPr>
            <w:r w:rsidRPr="007E5071">
              <w:t>In the first few months after start of immunotherapy, some patients can have a transient tumour flare with subsequent disease response</w:t>
            </w:r>
            <w:r w:rsidR="007E5071" w:rsidRPr="007E5071">
              <w:t xml:space="preserve">. </w:t>
            </w:r>
            <w:r w:rsidRPr="007E5071">
              <w:t>When progression is suspected, this should be confirmed through a confirmatory scan, taken at least 4 weeks later</w:t>
            </w:r>
            <w:r w:rsidR="007E5071" w:rsidRPr="007E5071">
              <w:t xml:space="preserve">.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rPr>
                <w:b/>
              </w:rPr>
            </w:pPr>
            <w:r w:rsidRPr="007E5071">
              <w:rPr>
                <w:b/>
              </w:rPr>
              <w:t>Administrative Advice: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9D02C5">
            <w:pPr>
              <w:pStyle w:val="Tabletext"/>
              <w:keepNext/>
              <w:keepLines/>
            </w:pPr>
            <w:r w:rsidRPr="007E5071">
              <w:t>No increase in the maximum number of repeats may be authorised.</w:t>
            </w:r>
          </w:p>
          <w:p w:rsidR="00AA684F" w:rsidRPr="007E5071" w:rsidRDefault="00AA684F" w:rsidP="009D02C5">
            <w:pPr>
              <w:pStyle w:val="Tabletext"/>
              <w:keepNext/>
              <w:keepLines/>
            </w:pPr>
            <w:r w:rsidRPr="007E5071">
              <w:t>Special Pricing Arrangements apply.</w:t>
            </w:r>
          </w:p>
        </w:tc>
      </w:tr>
    </w:tbl>
    <w:p w:rsidR="00AA684F" w:rsidRPr="007E5071" w:rsidRDefault="00AA684F" w:rsidP="00AA684F"/>
    <w:p w:rsidR="00AA684F" w:rsidRPr="007E5071" w:rsidRDefault="00AA684F" w:rsidP="00625B93">
      <w:pPr>
        <w:keepNext/>
        <w:rPr>
          <w:rStyle w:val="CommentReference"/>
        </w:rPr>
      </w:pPr>
      <w:r w:rsidRPr="007E5071">
        <w:rPr>
          <w:rStyle w:val="CommentReference"/>
        </w:rPr>
        <w:t>Requested restriction – nivolumab in combination with ipilimumab</w:t>
      </w:r>
    </w:p>
    <w:tbl>
      <w:tblPr>
        <w:tblW w:w="5063" w:type="pct"/>
        <w:tblInd w:w="-5" w:type="dxa"/>
        <w:tblLayout w:type="fixed"/>
        <w:tblLook w:val="0000" w:firstRow="0" w:lastRow="0" w:firstColumn="0" w:lastColumn="0" w:noHBand="0" w:noVBand="0"/>
      </w:tblPr>
      <w:tblGrid>
        <w:gridCol w:w="1701"/>
        <w:gridCol w:w="7430"/>
      </w:tblGrid>
      <w:tr w:rsidR="00AA684F" w:rsidRPr="007E5071" w:rsidTr="009C086A">
        <w:tc>
          <w:tcPr>
            <w:tcW w:w="9131" w:type="dxa"/>
            <w:gridSpan w:val="2"/>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i/>
              </w:rPr>
            </w:pPr>
            <w:r w:rsidRPr="007E5071">
              <w:rPr>
                <w:b/>
                <w:i/>
              </w:rPr>
              <w:t>Induction therapy (Authority code 8182)</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b/>
              </w:rPr>
            </w:pPr>
            <w:r w:rsidRPr="007E5071">
              <w:rPr>
                <w:b/>
              </w:rPr>
              <w:t>Category/Program</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t>Section 100 – Efficient Funding of Chemotherapy</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b/>
              </w:rPr>
            </w:pPr>
            <w:r w:rsidRPr="007E5071">
              <w:rPr>
                <w:b/>
              </w:rPr>
              <w:t>Prescriber type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fldChar w:fldCharType="begin">
                <w:ffData>
                  <w:name w:val=""/>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 xml:space="preserve">Medical Practitioners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b/>
              </w:rPr>
            </w:pPr>
            <w:r w:rsidRPr="007E5071">
              <w:rPr>
                <w:b/>
              </w:rPr>
              <w:t>Severity:</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t>Unresectable Stage III or Stage IV</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b/>
              </w:rPr>
            </w:pPr>
            <w:r w:rsidRPr="007E5071">
              <w:rPr>
                <w:b/>
              </w:rPr>
              <w:t>Condition: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t>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b/>
              </w:rPr>
            </w:pPr>
            <w:r w:rsidRPr="007E5071">
              <w:rPr>
                <w:b/>
              </w:rPr>
              <w:t>PBS Indication: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t>Unresectable Stage III or Stage IV 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b/>
              </w:rPr>
            </w:pPr>
            <w:r w:rsidRPr="007E5071">
              <w:rPr>
                <w:b/>
              </w:rPr>
              <w:t>Treatment phase: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t>Induction treatment</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rPr>
                <w:i/>
              </w:rPr>
            </w:pPr>
            <w:r w:rsidRPr="007E5071">
              <w:rPr>
                <w:b/>
              </w:rPr>
              <w:t>Restriction: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625B93">
            <w:pPr>
              <w:pStyle w:val="Tabletext"/>
              <w:keepNext/>
            </w:pPr>
            <w:r w:rsidRPr="007E5071">
              <w:fldChar w:fldCharType="begin">
                <w:ffData>
                  <w:name w:val="Check5"/>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Streamlined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Clinical criteria:</w:t>
            </w:r>
          </w:p>
          <w:p w:rsidR="00AA684F" w:rsidRPr="007E5071" w:rsidRDefault="00AA684F" w:rsidP="00807296">
            <w:pPr>
              <w:pStyle w:val="Tabletext"/>
              <w:rPr>
                <w:i/>
              </w:rPr>
            </w:pP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Patient must not have received prior treatment with ipilimumab or a PD-1 (programmed cell death-1) inhibitor for this condition,</w:t>
            </w:r>
          </w:p>
          <w:p w:rsidR="00AA684F" w:rsidRPr="007E5071" w:rsidRDefault="00AA684F" w:rsidP="00807296">
            <w:pPr>
              <w:pStyle w:val="Tabletext"/>
            </w:pPr>
            <w:r w:rsidRPr="007E5071">
              <w:t>AND</w:t>
            </w:r>
          </w:p>
          <w:p w:rsidR="00AA684F" w:rsidRPr="007E5071" w:rsidRDefault="00AA684F" w:rsidP="00807296">
            <w:pPr>
              <w:pStyle w:val="Tabletext"/>
            </w:pPr>
            <w:r w:rsidRPr="007E5071">
              <w:t>Patient must have an Eastern Cooperative Oncology Group (ECOG) performance status of 0 or 1,</w:t>
            </w:r>
          </w:p>
          <w:p w:rsidR="00AA684F" w:rsidRPr="007E5071" w:rsidRDefault="00AA684F" w:rsidP="00807296">
            <w:pPr>
              <w:pStyle w:val="Tabletext"/>
            </w:pPr>
            <w:r w:rsidRPr="007E5071">
              <w:t>AND</w:t>
            </w:r>
          </w:p>
          <w:p w:rsidR="00AA684F" w:rsidRPr="007E5071" w:rsidRDefault="00AA684F" w:rsidP="00807296">
            <w:pPr>
              <w:pStyle w:val="Tabletext"/>
            </w:pPr>
            <w:r w:rsidRPr="007E5071">
              <w:t xml:space="preserve">The condition must not be ocular or uveal melanoma, </w:t>
            </w:r>
          </w:p>
          <w:p w:rsidR="00AA684F" w:rsidRPr="007E5071" w:rsidRDefault="00AA684F" w:rsidP="00807296">
            <w:pPr>
              <w:pStyle w:val="Tabletext"/>
            </w:pPr>
            <w:r w:rsidRPr="007E5071">
              <w:t>AND</w:t>
            </w:r>
          </w:p>
          <w:p w:rsidR="00AA684F" w:rsidRPr="007E5071" w:rsidRDefault="00AA684F" w:rsidP="00807296">
            <w:pPr>
              <w:pStyle w:val="Tabletext"/>
            </w:pPr>
            <w:r w:rsidRPr="007E5071">
              <w:t>The treatment must be in combination with PBS-subsidised treatment with ipilimumab as induction for this condition.</w:t>
            </w:r>
          </w:p>
          <w:p w:rsidR="00AA684F" w:rsidRPr="007E5071" w:rsidRDefault="00AA684F" w:rsidP="00807296">
            <w:pPr>
              <w:pStyle w:val="Tabletext"/>
            </w:pPr>
          </w:p>
          <w:p w:rsidR="00AA684F" w:rsidRPr="007E5071" w:rsidRDefault="00AA684F" w:rsidP="00807296">
            <w:pPr>
              <w:pStyle w:val="Tabletext"/>
            </w:pPr>
            <w:r w:rsidRPr="007E5071">
              <w:t>Induction treatment with nivolumab must not exceed a total of 4 doses at a maximum dose of 1 mg per kg every 3 weeks</w:t>
            </w:r>
            <w:r w:rsidR="007E5071" w:rsidRPr="007E5071">
              <w:t xml:space="preserve">. </w:t>
            </w:r>
          </w:p>
          <w:p w:rsidR="00AA684F" w:rsidRPr="007E5071" w:rsidRDefault="00AA684F" w:rsidP="00807296">
            <w:pPr>
              <w:pStyle w:val="Tabletext"/>
            </w:pPr>
          </w:p>
          <w:p w:rsidR="00AA684F" w:rsidRPr="007E5071" w:rsidRDefault="00AA684F" w:rsidP="00807296">
            <w:pPr>
              <w:pStyle w:val="Tabletext"/>
              <w:rPr>
                <w:rFonts w:cs="Arial"/>
              </w:rPr>
            </w:pPr>
            <w:r w:rsidRPr="007E5071">
              <w:t>Induction treatment with ipilimumab must not exceed a total of 4 doses at a maximum dose of 3 mg per kg every 3 weeks</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Prescriber Instructions:</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The patient’s body weight must be documented in the patient’s medical records at the time treatment is initiated.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Caution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Combination treatment with ipilimumab and nivolumab is associated with an increase incidence and severity of immune-related adverse reactions compared with monotherapy with these agents</w:t>
            </w:r>
            <w:r w:rsidR="007E5071" w:rsidRPr="007E5071">
              <w:t xml:space="preserve">. </w:t>
            </w:r>
            <w:r w:rsidRPr="007E5071">
              <w:t>Monitoring at least prior to each dose is recommended</w:t>
            </w:r>
            <w:r w:rsidR="007E5071" w:rsidRPr="007E5071">
              <w:t xml:space="preserve">. </w:t>
            </w:r>
          </w:p>
        </w:tc>
      </w:tr>
      <w:tr w:rsidR="00AA684F" w:rsidRPr="007E5071" w:rsidTr="009C086A">
        <w:tc>
          <w:tcPr>
            <w:tcW w:w="1701" w:type="dxa"/>
            <w:tcBorders>
              <w:top w:val="single" w:sz="4" w:space="0" w:color="auto"/>
              <w:left w:val="single" w:sz="4" w:space="0" w:color="auto"/>
              <w:bottom w:val="double" w:sz="4" w:space="0" w:color="auto"/>
              <w:right w:val="single" w:sz="4" w:space="0" w:color="auto"/>
            </w:tcBorders>
          </w:tcPr>
          <w:p w:rsidR="00AA684F" w:rsidRPr="007E5071" w:rsidRDefault="00AA684F" w:rsidP="00807296">
            <w:pPr>
              <w:pStyle w:val="Tabletext"/>
              <w:rPr>
                <w:b/>
              </w:rPr>
            </w:pPr>
            <w:r w:rsidRPr="007E5071">
              <w:rPr>
                <w:b/>
              </w:rPr>
              <w:lastRenderedPageBreak/>
              <w:t>Administrative Advice:</w:t>
            </w:r>
          </w:p>
        </w:tc>
        <w:tc>
          <w:tcPr>
            <w:tcW w:w="7430" w:type="dxa"/>
            <w:tcBorders>
              <w:top w:val="single" w:sz="4" w:space="0" w:color="auto"/>
              <w:left w:val="single" w:sz="4" w:space="0" w:color="auto"/>
              <w:bottom w:val="double" w:sz="4" w:space="0" w:color="auto"/>
              <w:right w:val="single" w:sz="4" w:space="0" w:color="auto"/>
            </w:tcBorders>
          </w:tcPr>
          <w:p w:rsidR="00AA684F" w:rsidRPr="007E5071" w:rsidRDefault="00AA684F" w:rsidP="00807296">
            <w:pPr>
              <w:pStyle w:val="Tabletext"/>
            </w:pPr>
            <w:r w:rsidRPr="007E5071">
              <w:t>No increase in the maximum number of repeats may be authorised.</w:t>
            </w:r>
          </w:p>
          <w:p w:rsidR="00AA684F" w:rsidRPr="007E5071" w:rsidRDefault="00AA684F" w:rsidP="00807296">
            <w:pPr>
              <w:pStyle w:val="Tabletext"/>
            </w:pPr>
            <w:r w:rsidRPr="007E5071">
              <w:t>Special Pricing Arrangements apply.</w:t>
            </w:r>
          </w:p>
        </w:tc>
      </w:tr>
      <w:tr w:rsidR="00AA684F" w:rsidRPr="007E5071" w:rsidTr="009C086A">
        <w:tc>
          <w:tcPr>
            <w:tcW w:w="9131" w:type="dxa"/>
            <w:gridSpan w:val="2"/>
            <w:tcBorders>
              <w:top w:val="double" w:sz="4" w:space="0" w:color="auto"/>
              <w:left w:val="single" w:sz="4" w:space="0" w:color="auto"/>
              <w:bottom w:val="single" w:sz="4" w:space="0" w:color="auto"/>
              <w:right w:val="single" w:sz="4" w:space="0" w:color="auto"/>
            </w:tcBorders>
          </w:tcPr>
          <w:p w:rsidR="00AA684F" w:rsidRPr="007E5071" w:rsidRDefault="00AA684F" w:rsidP="00807296">
            <w:pPr>
              <w:pStyle w:val="Tabletext"/>
              <w:rPr>
                <w:i/>
              </w:rPr>
            </w:pPr>
            <w:r w:rsidRPr="007E5071">
              <w:rPr>
                <w:b/>
                <w:i/>
              </w:rPr>
              <w:t>Induction therapy - grandfather patients (Authority code 8146)</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Category/Program</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Section 100 – Efficient Funding of Chemotherapy</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Prescriber type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F04B45">
            <w:pPr>
              <w:pStyle w:val="Tabletext"/>
            </w:pPr>
            <w:r w:rsidRPr="007E5071">
              <w:fldChar w:fldCharType="begin">
                <w:ffData>
                  <w:name w:val=""/>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 xml:space="preserve">Medical Practitioners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Severity:</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Unresectable Stage III or Stage IV</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Condition: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PBS Indication: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Unresectable Stage III or Stage IV 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Treatment phase: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Induction treatment – Grandfather patients</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950C0">
            <w:pPr>
              <w:pStyle w:val="Tabletext"/>
              <w:rPr>
                <w:i/>
              </w:rPr>
            </w:pPr>
            <w:r w:rsidRPr="007E5071">
              <w:rPr>
                <w:b/>
              </w:rPr>
              <w:t>Restriction: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fldChar w:fldCharType="begin">
                <w:ffData>
                  <w:name w:val="Check5"/>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Streamlined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Clinical criteria:</w:t>
            </w:r>
          </w:p>
          <w:p w:rsidR="00AA684F" w:rsidRPr="007E5071" w:rsidRDefault="00AA684F" w:rsidP="00807296">
            <w:pPr>
              <w:pStyle w:val="Tabletext"/>
              <w:rPr>
                <w:i/>
              </w:rPr>
            </w:pP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Patient must have received combined therapy with ipilimumab and nivolumab as induction for this condition prior to 1 December 2018; OR</w:t>
            </w:r>
          </w:p>
          <w:p w:rsidR="00AA684F" w:rsidRPr="007E5071" w:rsidRDefault="00AA684F" w:rsidP="00807296">
            <w:pPr>
              <w:pStyle w:val="Tabletext"/>
            </w:pPr>
            <w:r w:rsidRPr="007E5071">
              <w:t>Patient must have received monotherapy with nivolumab as maintenance for this condition prior to 1 December 2018,</w:t>
            </w:r>
          </w:p>
          <w:p w:rsidR="00AA684F" w:rsidRPr="007E5071" w:rsidRDefault="00AA684F" w:rsidP="00807296">
            <w:pPr>
              <w:pStyle w:val="Tabletext"/>
            </w:pPr>
            <w:r w:rsidRPr="007E5071">
              <w:t>AND</w:t>
            </w:r>
          </w:p>
          <w:p w:rsidR="00AA684F" w:rsidRPr="007E5071" w:rsidRDefault="00AA684F" w:rsidP="00807296">
            <w:pPr>
              <w:pStyle w:val="Tabletext"/>
            </w:pPr>
            <w:r w:rsidRPr="007E5071">
              <w:t>Patient must not have received prior treatment with ipilimumab or a PD-1 (programmed cell death-1) inhibitor prior to initiating combined therapy with ipilimumab and nivolumab as induction for this condition,</w:t>
            </w:r>
          </w:p>
          <w:p w:rsidR="00AA684F" w:rsidRPr="007E5071" w:rsidRDefault="00AA684F" w:rsidP="00807296">
            <w:pPr>
              <w:pStyle w:val="Tabletext"/>
            </w:pPr>
            <w:r w:rsidRPr="007E5071">
              <w:t>AND</w:t>
            </w:r>
          </w:p>
          <w:p w:rsidR="00AA684F" w:rsidRPr="007E5071" w:rsidRDefault="00AA684F" w:rsidP="00807296">
            <w:pPr>
              <w:pStyle w:val="Tabletext"/>
            </w:pPr>
            <w:r w:rsidRPr="007E5071">
              <w:t>Patient must not have developed disease progression while being treated with combined therapy with ipilimumab and nivolumab as induction for this condition; OR</w:t>
            </w:r>
          </w:p>
          <w:p w:rsidR="00AA684F" w:rsidRPr="007E5071" w:rsidRDefault="00AA684F" w:rsidP="00807296">
            <w:pPr>
              <w:pStyle w:val="Tabletext"/>
            </w:pPr>
            <w:r w:rsidRPr="007E5071">
              <w:t xml:space="preserve">Patient must not have developed disease progression while being treated with monotherapy with nivolumab as maintenance for this condition, </w:t>
            </w:r>
          </w:p>
          <w:p w:rsidR="00AA684F" w:rsidRPr="007E5071" w:rsidRDefault="00AA684F" w:rsidP="00807296">
            <w:pPr>
              <w:pStyle w:val="Tabletext"/>
            </w:pPr>
            <w:r w:rsidRPr="007E5071">
              <w:t>AND</w:t>
            </w:r>
          </w:p>
          <w:p w:rsidR="00AA684F" w:rsidRPr="007E5071" w:rsidRDefault="00AA684F" w:rsidP="00807296">
            <w:pPr>
              <w:pStyle w:val="Tabletext"/>
            </w:pPr>
            <w:r w:rsidRPr="007E5071">
              <w:t>Patient must have an Eastern Cooperative Oncology Group (ECOG) performance status of 0 or 1,</w:t>
            </w:r>
          </w:p>
          <w:p w:rsidR="00AA684F" w:rsidRPr="007E5071" w:rsidRDefault="00AA684F" w:rsidP="00807296">
            <w:pPr>
              <w:pStyle w:val="Tabletext"/>
            </w:pPr>
            <w:r w:rsidRPr="007E5071">
              <w:t>AND</w:t>
            </w:r>
          </w:p>
          <w:p w:rsidR="00AA684F" w:rsidRPr="007E5071" w:rsidRDefault="00AA684F" w:rsidP="00807296">
            <w:pPr>
              <w:pStyle w:val="Tabletext"/>
            </w:pPr>
            <w:r w:rsidRPr="007E5071">
              <w:t xml:space="preserve">The condition must not be ocular or uveal melanoma, </w:t>
            </w:r>
          </w:p>
          <w:p w:rsidR="00AA684F" w:rsidRPr="007E5071" w:rsidRDefault="00AA684F" w:rsidP="00807296">
            <w:pPr>
              <w:pStyle w:val="Tabletext"/>
            </w:pPr>
            <w:r w:rsidRPr="007E5071">
              <w:t>AND</w:t>
            </w:r>
          </w:p>
          <w:p w:rsidR="00AA684F" w:rsidRPr="007E5071" w:rsidRDefault="00AA684F" w:rsidP="00807296">
            <w:pPr>
              <w:pStyle w:val="Tabletext"/>
            </w:pPr>
            <w:r w:rsidRPr="007E5071">
              <w:t>The treatment must be in combination with PBS-subsidised treatment with ipilimumab as induction for this condition; OR</w:t>
            </w:r>
          </w:p>
          <w:p w:rsidR="00AA684F" w:rsidRPr="007E5071" w:rsidRDefault="00AA684F" w:rsidP="00807296">
            <w:pPr>
              <w:pStyle w:val="Tabletext"/>
            </w:pPr>
            <w:r w:rsidRPr="007E5071">
              <w:t>The treatment must be as monotherapy as maintenance for this condition.</w:t>
            </w:r>
          </w:p>
          <w:p w:rsidR="00AA684F" w:rsidRPr="007E5071" w:rsidRDefault="00AA684F" w:rsidP="00807296">
            <w:pPr>
              <w:pStyle w:val="Tabletext"/>
            </w:pPr>
          </w:p>
          <w:p w:rsidR="00AA684F" w:rsidRPr="007E5071" w:rsidRDefault="00AA684F" w:rsidP="00807296">
            <w:pPr>
              <w:pStyle w:val="Tabletext"/>
            </w:pPr>
            <w:r w:rsidRPr="007E5071">
              <w:t>Induction treatment with nivolumab must not exceed a total of 4 doses at a maximum dose of 1 mg per kg every 3 weeks</w:t>
            </w:r>
            <w:r w:rsidR="007E5071" w:rsidRPr="007E5071">
              <w:t xml:space="preserve">. </w:t>
            </w:r>
          </w:p>
          <w:p w:rsidR="00AA684F" w:rsidRPr="007E5071" w:rsidRDefault="00AA684F" w:rsidP="00807296">
            <w:pPr>
              <w:pStyle w:val="Tabletext"/>
            </w:pPr>
          </w:p>
          <w:p w:rsidR="00AA684F" w:rsidRPr="007E5071" w:rsidRDefault="00AA684F" w:rsidP="00807296">
            <w:pPr>
              <w:pStyle w:val="Tabletext"/>
            </w:pPr>
            <w:r w:rsidRPr="007E5071">
              <w:t>Induction treatment with ipilimumab must not exceed a total of 4 doses at a maximum dose of 3 mg per kg every 3 weeks.</w:t>
            </w:r>
          </w:p>
          <w:p w:rsidR="00AA684F" w:rsidRPr="007E5071" w:rsidRDefault="00AA684F" w:rsidP="00807296">
            <w:pPr>
              <w:pStyle w:val="Tabletext"/>
            </w:pPr>
          </w:p>
          <w:p w:rsidR="00AA684F" w:rsidRPr="007E5071" w:rsidRDefault="00AA684F" w:rsidP="00807296">
            <w:pPr>
              <w:pStyle w:val="Tabletext"/>
            </w:pPr>
            <w:r w:rsidRPr="007E5071">
              <w:t>Maintenance treatment with nivolumab must not exceed a maximum dose of 3 mg per kg every 2 weeks</w:t>
            </w:r>
            <w:r w:rsidR="007E5071" w:rsidRPr="007E5071">
              <w:t xml:space="preserve">. </w:t>
            </w:r>
          </w:p>
          <w:p w:rsidR="00AA684F" w:rsidRPr="007E5071" w:rsidRDefault="00AA684F" w:rsidP="00807296">
            <w:pPr>
              <w:pStyle w:val="Tabletext"/>
            </w:pPr>
          </w:p>
          <w:p w:rsidR="00AA684F" w:rsidRPr="007E5071" w:rsidRDefault="00AA684F" w:rsidP="00807296">
            <w:pPr>
              <w:pStyle w:val="Tabletext"/>
              <w:rPr>
                <w:rFonts w:cs="Arial"/>
              </w:rPr>
            </w:pPr>
            <w:r w:rsidRPr="007E5071">
              <w:t>A patient may qualify for PBS-subsidised treatment under this restriction once only</w:t>
            </w:r>
            <w:r w:rsidR="007E5071" w:rsidRPr="007E5071">
              <w:t xml:space="preserve">. </w:t>
            </w:r>
            <w:r w:rsidRPr="007E5071">
              <w:t>For continuing PBS-subsidised treatment, a Grandfathered patient must qualify under the Continuing treatment criteria.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Prescriber Instructions:</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The patient’s body weight must be documented in the patient’s medical records at the time treatment is initiated.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Caution</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Combination treatment with ipilimumab and nivolumab is associated with an increase incidence and severity of immune-related adverse reactions compared with monotherapy with these agents</w:t>
            </w:r>
            <w:r w:rsidR="007E5071" w:rsidRPr="007E5071">
              <w:t xml:space="preserve">. </w:t>
            </w:r>
            <w:r w:rsidRPr="007E5071">
              <w:t>Monitoring at least prior to each dose is recommended</w:t>
            </w:r>
            <w:r w:rsidR="007E5071" w:rsidRPr="007E5071">
              <w:t xml:space="preserve">.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Administrative Advice:</w:t>
            </w:r>
          </w:p>
        </w:tc>
        <w:tc>
          <w:tcPr>
            <w:tcW w:w="7430"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No increase in the maximum number of repeats may be authorised.</w:t>
            </w:r>
          </w:p>
          <w:p w:rsidR="00AA684F" w:rsidRPr="007E5071" w:rsidRDefault="00AA684F" w:rsidP="00807296">
            <w:pPr>
              <w:pStyle w:val="Tabletext"/>
            </w:pPr>
            <w:r w:rsidRPr="007E5071">
              <w:t>Special Pricing Arrangements apply.</w:t>
            </w:r>
          </w:p>
        </w:tc>
      </w:tr>
    </w:tbl>
    <w:p w:rsidR="00AA684F" w:rsidRPr="007E5071" w:rsidRDefault="00AA684F" w:rsidP="00AA684F">
      <w:pPr>
        <w:rPr>
          <w:rStyle w:val="CommentReference"/>
        </w:rPr>
      </w:pPr>
    </w:p>
    <w:p w:rsidR="00AA684F" w:rsidRPr="007E5071" w:rsidRDefault="00AA684F" w:rsidP="00215CBF">
      <w:pPr>
        <w:keepNext/>
        <w:rPr>
          <w:rStyle w:val="CommentReference"/>
        </w:rPr>
      </w:pPr>
      <w:r w:rsidRPr="007E5071">
        <w:rPr>
          <w:rStyle w:val="CommentReference"/>
        </w:rPr>
        <w:t>Requested restriction – ipilimumab in combination with nivolumab</w:t>
      </w:r>
    </w:p>
    <w:tbl>
      <w:tblPr>
        <w:tblW w:w="9185" w:type="dxa"/>
        <w:tblInd w:w="-5" w:type="dxa"/>
        <w:tblLayout w:type="fixed"/>
        <w:tblLook w:val="0000" w:firstRow="0" w:lastRow="0" w:firstColumn="0" w:lastColumn="0" w:noHBand="0" w:noVBand="0"/>
      </w:tblPr>
      <w:tblGrid>
        <w:gridCol w:w="1701"/>
        <w:gridCol w:w="7484"/>
      </w:tblGrid>
      <w:tr w:rsidR="00AA684F" w:rsidRPr="007E5071" w:rsidTr="009C086A">
        <w:tc>
          <w:tcPr>
            <w:tcW w:w="9185" w:type="dxa"/>
            <w:gridSpan w:val="2"/>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i/>
              </w:rPr>
            </w:pPr>
            <w:r w:rsidRPr="007E5071">
              <w:rPr>
                <w:b/>
                <w:i/>
              </w:rPr>
              <w:t>Induction treatment (Authority code 8206)</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Category/Program</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Section 100 – Efficient Funding of Chemotherapy</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Prescriber type</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F04B45">
            <w:pPr>
              <w:pStyle w:val="Tabletext"/>
            </w:pPr>
            <w:r w:rsidRPr="007E5071">
              <w:fldChar w:fldCharType="begin">
                <w:ffData>
                  <w:name w:val=""/>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 xml:space="preserve">Medical Practitioners  </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Severity:</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Unresectable Stage III or Stage IV</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Condition:</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PBS Indication:</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Unresectable Stage III or Stage IV malignant melanoma</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Treatment phase:</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Induction treatment</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6950C0">
            <w:pPr>
              <w:pStyle w:val="Tabletext"/>
              <w:rPr>
                <w:i/>
              </w:rPr>
            </w:pPr>
            <w:r w:rsidRPr="007E5071">
              <w:rPr>
                <w:b/>
              </w:rPr>
              <w:t>Restriction:</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6950C0">
            <w:pPr>
              <w:pStyle w:val="Tabletext"/>
            </w:pPr>
            <w:r w:rsidRPr="007E5071">
              <w:fldChar w:fldCharType="begin">
                <w:ffData>
                  <w:name w:val="Check5"/>
                  <w:enabled/>
                  <w:calcOnExit w:val="0"/>
                  <w:checkBox>
                    <w:sizeAuto/>
                    <w:default w:val="1"/>
                  </w:checkBox>
                </w:ffData>
              </w:fldChar>
            </w:r>
            <w:r w:rsidRPr="007E5071">
              <w:instrText xml:space="preserve"> FORMCHECKBOX </w:instrText>
            </w:r>
            <w:r w:rsidR="00BF12D4">
              <w:fldChar w:fldCharType="separate"/>
            </w:r>
            <w:r w:rsidRPr="007E5071">
              <w:fldChar w:fldCharType="end"/>
            </w:r>
            <w:r w:rsidRPr="007E5071">
              <w:t>Streamlined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Clinical criteria:</w:t>
            </w:r>
          </w:p>
          <w:p w:rsidR="00AA684F" w:rsidRPr="007E5071" w:rsidRDefault="00AA684F" w:rsidP="00807296">
            <w:pPr>
              <w:pStyle w:val="Tabletext"/>
              <w:rPr>
                <w:i/>
              </w:rPr>
            </w:pP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Patient must not have received prior treatment with ipilimumab or a PD-1 (programmed cell death-1) inhibitor for this condition,</w:t>
            </w:r>
          </w:p>
          <w:p w:rsidR="00AA684F" w:rsidRPr="007E5071" w:rsidRDefault="00AA684F" w:rsidP="00807296">
            <w:pPr>
              <w:pStyle w:val="Tabletext"/>
            </w:pPr>
            <w:r w:rsidRPr="007E5071">
              <w:t>AND</w:t>
            </w:r>
          </w:p>
          <w:p w:rsidR="00AA684F" w:rsidRPr="007E5071" w:rsidRDefault="00AA684F" w:rsidP="00807296">
            <w:pPr>
              <w:pStyle w:val="Tabletext"/>
            </w:pPr>
            <w:r w:rsidRPr="007E5071">
              <w:t>Patient must have an Eastern Cooperative Oncology Group (ECOG) performance status of 0 or 1,</w:t>
            </w:r>
          </w:p>
          <w:p w:rsidR="00AA684F" w:rsidRPr="007E5071" w:rsidRDefault="00AA684F" w:rsidP="00807296">
            <w:pPr>
              <w:pStyle w:val="Tabletext"/>
            </w:pPr>
            <w:r w:rsidRPr="007E5071">
              <w:t>AND</w:t>
            </w:r>
          </w:p>
          <w:p w:rsidR="00AA684F" w:rsidRPr="007E5071" w:rsidRDefault="00AA684F" w:rsidP="00807296">
            <w:pPr>
              <w:pStyle w:val="Tabletext"/>
            </w:pPr>
            <w:r w:rsidRPr="007E5071">
              <w:t xml:space="preserve">The condition must not be ocular or uveal melanoma, </w:t>
            </w:r>
          </w:p>
          <w:p w:rsidR="00AA684F" w:rsidRPr="007E5071" w:rsidRDefault="00AA684F" w:rsidP="00807296">
            <w:pPr>
              <w:pStyle w:val="Tabletext"/>
            </w:pPr>
            <w:r w:rsidRPr="007E5071">
              <w:t>AND</w:t>
            </w:r>
          </w:p>
          <w:p w:rsidR="00AA684F" w:rsidRPr="007E5071" w:rsidRDefault="00AA684F" w:rsidP="00807296">
            <w:pPr>
              <w:pStyle w:val="Tabletext"/>
            </w:pPr>
            <w:r w:rsidRPr="007E5071">
              <w:t>The treatment must be in combination with PBS-subsidised treatment with nivolumab as induction for this condition.</w:t>
            </w:r>
          </w:p>
          <w:p w:rsidR="00AA684F" w:rsidRPr="007E5071" w:rsidRDefault="00AA684F" w:rsidP="00807296">
            <w:pPr>
              <w:pStyle w:val="Tabletext"/>
            </w:pPr>
          </w:p>
          <w:p w:rsidR="00AA684F" w:rsidRPr="007E5071" w:rsidRDefault="00AA684F" w:rsidP="00807296">
            <w:pPr>
              <w:pStyle w:val="Tabletext"/>
            </w:pPr>
            <w:r w:rsidRPr="007E5071">
              <w:t>Induction treatment with nivolumab must not exceed a total of 4 doses at a maximum dose of 1 mg per kg every 3 weeks</w:t>
            </w:r>
            <w:r w:rsidR="007E5071" w:rsidRPr="007E5071">
              <w:t xml:space="preserve">. </w:t>
            </w:r>
          </w:p>
          <w:p w:rsidR="00AA684F" w:rsidRPr="007E5071" w:rsidRDefault="00AA684F" w:rsidP="00807296">
            <w:pPr>
              <w:pStyle w:val="Tabletext"/>
            </w:pPr>
          </w:p>
          <w:p w:rsidR="00AA684F" w:rsidRPr="007E5071" w:rsidRDefault="00AA684F" w:rsidP="00807296">
            <w:pPr>
              <w:pStyle w:val="Tabletext"/>
              <w:rPr>
                <w:rFonts w:cs="Arial"/>
              </w:rPr>
            </w:pPr>
            <w:r w:rsidRPr="007E5071">
              <w:t>Induction treatment with ipilimumab must not exceed a total of 4 doses at a maximum dose of 3 mg per kg every 3 weeks</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Prescriber Instructions:</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The patient’s body weight must be documented in the patient’s medical records at the time treatment is initiated.</w:t>
            </w:r>
          </w:p>
        </w:tc>
      </w:tr>
      <w:tr w:rsidR="00AA684F" w:rsidRPr="007E5071" w:rsidTr="009C086A">
        <w:tc>
          <w:tcPr>
            <w:tcW w:w="1701"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rPr>
                <w:b/>
              </w:rPr>
            </w:pPr>
            <w:r w:rsidRPr="007E5071">
              <w:rPr>
                <w:b/>
              </w:rPr>
              <w:t>Administrative Advice:</w:t>
            </w:r>
          </w:p>
        </w:tc>
        <w:tc>
          <w:tcPr>
            <w:tcW w:w="7484" w:type="dxa"/>
            <w:tcBorders>
              <w:top w:val="single" w:sz="4" w:space="0" w:color="auto"/>
              <w:left w:val="single" w:sz="4" w:space="0" w:color="auto"/>
              <w:bottom w:val="single" w:sz="4" w:space="0" w:color="auto"/>
              <w:right w:val="single" w:sz="4" w:space="0" w:color="auto"/>
            </w:tcBorders>
          </w:tcPr>
          <w:p w:rsidR="00AA684F" w:rsidRPr="007E5071" w:rsidRDefault="00AA684F" w:rsidP="00807296">
            <w:pPr>
              <w:pStyle w:val="Tabletext"/>
            </w:pPr>
            <w:r w:rsidRPr="007E5071">
              <w:t>No increase in the maximum number of repeats may be authorised.</w:t>
            </w:r>
          </w:p>
          <w:p w:rsidR="00AA684F" w:rsidRPr="007E5071" w:rsidRDefault="00AA684F" w:rsidP="00807296">
            <w:pPr>
              <w:pStyle w:val="Tabletext"/>
            </w:pPr>
            <w:r w:rsidRPr="007E5071">
              <w:t>Special Pricing Arrangements apply.</w:t>
            </w:r>
          </w:p>
        </w:tc>
      </w:tr>
    </w:tbl>
    <w:p w:rsidR="00AA684F" w:rsidRPr="007E5071" w:rsidRDefault="00AA684F" w:rsidP="00AA684F">
      <w:pPr>
        <w:rPr>
          <w:rStyle w:val="CommentReference"/>
        </w:rPr>
      </w:pPr>
    </w:p>
    <w:p w:rsidR="004B3B9F" w:rsidRPr="007E5071" w:rsidRDefault="004B3B9F" w:rsidP="00983502">
      <w:pPr>
        <w:pStyle w:val="ListParagraph"/>
        <w:widowControl/>
        <w:numPr>
          <w:ilvl w:val="1"/>
          <w:numId w:val="1"/>
        </w:numPr>
      </w:pPr>
      <w:r w:rsidRPr="007E5071">
        <w:t>The restriction</w:t>
      </w:r>
      <w:r w:rsidR="00C3588A" w:rsidRPr="007E5071">
        <w:t>s</w:t>
      </w:r>
      <w:r w:rsidRPr="007E5071">
        <w:t xml:space="preserve"> for continuing treatment with </w:t>
      </w:r>
      <w:r w:rsidR="00F25A5B" w:rsidRPr="007E5071">
        <w:t xml:space="preserve">NIVO </w:t>
      </w:r>
      <w:r w:rsidRPr="007E5071">
        <w:t>monotherapy</w:t>
      </w:r>
      <w:r w:rsidR="003C29DE" w:rsidRPr="007E5071">
        <w:t xml:space="preserve"> (Authority code 9298</w:t>
      </w:r>
      <w:r w:rsidR="00C3588A" w:rsidRPr="007E5071">
        <w:t>)</w:t>
      </w:r>
      <w:r w:rsidRPr="007E5071">
        <w:t xml:space="preserve">, and </w:t>
      </w:r>
      <w:r w:rsidR="00C3588A" w:rsidRPr="007E5071">
        <w:t xml:space="preserve">for the maintenance </w:t>
      </w:r>
      <w:r w:rsidR="00094677" w:rsidRPr="007E5071">
        <w:t xml:space="preserve">treatment </w:t>
      </w:r>
      <w:r w:rsidR="00C3588A" w:rsidRPr="007E5071">
        <w:t xml:space="preserve">phase (single agent phase) </w:t>
      </w:r>
      <w:r w:rsidR="006F2ED0" w:rsidRPr="007E5071">
        <w:t>of</w:t>
      </w:r>
      <w:r w:rsidR="00C3588A" w:rsidRPr="007E5071">
        <w:t xml:space="preserve"> combination NIVO+IPI (Authority code </w:t>
      </w:r>
      <w:r w:rsidR="003C29DE" w:rsidRPr="007E5071">
        <w:t>9214</w:t>
      </w:r>
      <w:r w:rsidR="00C3588A" w:rsidRPr="007E5071">
        <w:t>) were unchanged from the current restrictions.</w:t>
      </w:r>
    </w:p>
    <w:p w:rsidR="00AA684F" w:rsidRPr="007E5071" w:rsidRDefault="00AA684F" w:rsidP="00983502">
      <w:pPr>
        <w:pStyle w:val="ListParagraph"/>
        <w:widowControl/>
        <w:numPr>
          <w:ilvl w:val="1"/>
          <w:numId w:val="1"/>
        </w:numPr>
      </w:pPr>
      <w:r w:rsidRPr="007E5071">
        <w:t>The submission proposed a Special Pricing Arrangement (SPA)</w:t>
      </w:r>
      <w:r w:rsidR="00F25A5B" w:rsidRPr="007E5071">
        <w:t>, with the final effective price of NIVO monotherapy and NIVO+IPI to be determined based on the effective approved ex-manufacturer prices (AEMP) of dabrafenib and trametinib</w:t>
      </w:r>
      <w:r w:rsidRPr="007E5071">
        <w:t>.</w:t>
      </w:r>
    </w:p>
    <w:p w:rsidR="00F25A5B" w:rsidRPr="007E5071" w:rsidRDefault="00AA684F" w:rsidP="00983502">
      <w:pPr>
        <w:pStyle w:val="ListParagraph"/>
        <w:widowControl/>
        <w:numPr>
          <w:ilvl w:val="1"/>
          <w:numId w:val="1"/>
        </w:numPr>
      </w:pPr>
      <w:r w:rsidRPr="007E5071">
        <w:t xml:space="preserve">The current PBS listings for initial treatment with </w:t>
      </w:r>
      <w:r w:rsidR="00F25A5B" w:rsidRPr="007E5071">
        <w:t>NIVO monotherapy</w:t>
      </w:r>
      <w:r w:rsidR="0095757E" w:rsidRPr="007E5071">
        <w:t>,</w:t>
      </w:r>
      <w:r w:rsidRPr="007E5071">
        <w:t xml:space="preserve"> and for induction treatment with NIVO+IPI</w:t>
      </w:r>
      <w:r w:rsidR="0095757E" w:rsidRPr="007E5071">
        <w:t>,</w:t>
      </w:r>
      <w:r w:rsidRPr="007E5071">
        <w:t xml:space="preserve"> are stratified by BRAF mutation status. The submission proposed deleting the initial/induction treatment listings relevant to BRAF V600 mutation positive melanoma, and modifying the current initial treatment listings for BRAF V600 mutation negative melanoma by removing the clinical criterion ‘The condition must be negative for a BRAF V600 mutation’. </w:t>
      </w:r>
      <w:r w:rsidR="00F25A5B" w:rsidRPr="007E5071">
        <w:t>The requested amendments to the current listings for NIVO and NIVO+IPI are consistent with their respective TGA indications for unresectable Stage III or Stage IV melanoma, which do not restrict use by line of therapy or BRAF mutation status.</w:t>
      </w:r>
    </w:p>
    <w:p w:rsidR="00AA684F" w:rsidRPr="007E5071" w:rsidRDefault="00AA684F" w:rsidP="00983502">
      <w:pPr>
        <w:pStyle w:val="ListParagraph"/>
        <w:widowControl/>
        <w:numPr>
          <w:ilvl w:val="1"/>
          <w:numId w:val="1"/>
        </w:numPr>
      </w:pPr>
      <w:r w:rsidRPr="007E5071">
        <w:t xml:space="preserve">The restrictions for continuing treatment with </w:t>
      </w:r>
      <w:r w:rsidR="00F25A5B" w:rsidRPr="007E5071">
        <w:t xml:space="preserve">NIVO </w:t>
      </w:r>
      <w:r w:rsidRPr="007E5071">
        <w:t>monotherapy (including when used as maintenance therapy following induction with NIVO+IPI) remain unchanged.</w:t>
      </w:r>
    </w:p>
    <w:p w:rsidR="00ED048D" w:rsidRPr="007E5071" w:rsidRDefault="00ED048D" w:rsidP="00983502">
      <w:pPr>
        <w:pStyle w:val="ListParagraph"/>
        <w:widowControl/>
        <w:numPr>
          <w:ilvl w:val="1"/>
          <w:numId w:val="1"/>
        </w:numPr>
      </w:pPr>
      <w:r w:rsidRPr="007E5071">
        <w:t>The submission did not present any proposed changes to the restrictions for</w:t>
      </w:r>
      <w:r w:rsidRPr="007E5071">
        <w:rPr>
          <w:i/>
        </w:rPr>
        <w:t xml:space="preserve"> </w:t>
      </w:r>
      <w:r w:rsidR="00F25A5B" w:rsidRPr="007E5071">
        <w:t xml:space="preserve">ipilimumab </w:t>
      </w:r>
      <w:r w:rsidRPr="007E5071">
        <w:t xml:space="preserve">grandfathered patients (Authority codes 8178 and 8180). The submission indicated that there were 25 patients receiving NIVO in the NIVO+IPI patient access program, who may be ‘grandfathered’ to PBS-subsidised </w:t>
      </w:r>
      <w:r w:rsidR="007541B3" w:rsidRPr="007E5071">
        <w:t>NIVO maintenance therapy</w:t>
      </w:r>
      <w:r w:rsidRPr="007E5071">
        <w:t xml:space="preserve">. </w:t>
      </w:r>
    </w:p>
    <w:p w:rsidR="00AA684F" w:rsidRPr="007E5071" w:rsidRDefault="00AA684F" w:rsidP="00983502">
      <w:pPr>
        <w:pStyle w:val="ListParagraph"/>
        <w:widowControl/>
        <w:numPr>
          <w:ilvl w:val="1"/>
          <w:numId w:val="1"/>
        </w:numPr>
      </w:pPr>
      <w:r w:rsidRPr="007E5071">
        <w:t>The requested restriction was consistent with the eligibility criteria for the key trial for NIVO monotherapy and NIVO+IPI (CA209-067), which included patients who had not previously received systemic therapy for unresectable or metastatic melanoma. Patients with active brain metastases and ocular melanoma were excluded from the trial.</w:t>
      </w:r>
    </w:p>
    <w:p w:rsidR="009C086A" w:rsidRPr="007E5071" w:rsidRDefault="00AA684F" w:rsidP="00983502">
      <w:pPr>
        <w:pStyle w:val="ListParagraph"/>
        <w:widowControl/>
        <w:numPr>
          <w:ilvl w:val="1"/>
          <w:numId w:val="1"/>
        </w:numPr>
      </w:pPr>
      <w:r w:rsidRPr="007E5071">
        <w:t>While the main body of the submission noted that the sponsor is not in a position to directly apply for a change in the PBS listing of BRAF</w:t>
      </w:r>
      <w:r w:rsidR="00677000">
        <w:t>-targeted therapy</w:t>
      </w:r>
      <w:r w:rsidRPr="007E5071">
        <w:t xml:space="preserve">, </w:t>
      </w:r>
      <w:r w:rsidR="00CA61E0" w:rsidRPr="007E5071">
        <w:t xml:space="preserve">the </w:t>
      </w:r>
      <w:r w:rsidR="00677B0F">
        <w:t>Pre-Sub-Committee Response (</w:t>
      </w:r>
      <w:r w:rsidR="00CA61E0" w:rsidRPr="007E5071">
        <w:t xml:space="preserve">PSCR) </w:t>
      </w:r>
      <w:r w:rsidR="00443798" w:rsidRPr="007E5071">
        <w:t>requested</w:t>
      </w:r>
      <w:r w:rsidR="00CA61E0" w:rsidRPr="007E5071">
        <w:t xml:space="preserve"> flow on changes to the </w:t>
      </w:r>
      <w:r w:rsidRPr="007E5071">
        <w:t xml:space="preserve">existing PBS restrictions for </w:t>
      </w:r>
      <w:r w:rsidR="00EA05AA" w:rsidRPr="007E5071">
        <w:t xml:space="preserve">dabrafenib </w:t>
      </w:r>
      <w:r w:rsidRPr="007E5071">
        <w:t xml:space="preserve">and vemurafenib to allow their use as second-line treatment. In CA209-067, of patients with BRAF mutation positive melanoma </w:t>
      </w:r>
      <w:r w:rsidR="00F65899" w:rsidRPr="007E5071">
        <w:t xml:space="preserve">who received any subsequent systemic therapy, 39/43 (91%) in the NIVO+IPI arm and 54/60 (90%) in the NIVO monotherapy arm received a BRAF inhibitor </w:t>
      </w:r>
      <w:r w:rsidRPr="007E5071">
        <w:t>(±MEK inhibitor), although the line of therapy at which this was received was not reported</w:t>
      </w:r>
      <w:r w:rsidR="007E5071" w:rsidRPr="007E5071">
        <w:t xml:space="preserve">. </w:t>
      </w:r>
      <w:r w:rsidR="009C086A" w:rsidRPr="007E5071">
        <w:t xml:space="preserve">The </w:t>
      </w:r>
      <w:r w:rsidR="00930A91" w:rsidRPr="00167BA5">
        <w:rPr>
          <w:rFonts w:asciiTheme="minorHAnsi" w:hAnsiTheme="minorHAnsi" w:cstheme="minorHAnsi"/>
        </w:rPr>
        <w:t>Economics Sub-Committee</w:t>
      </w:r>
      <w:r w:rsidR="00930A91" w:rsidRPr="007E5071">
        <w:t xml:space="preserve"> </w:t>
      </w:r>
      <w:r w:rsidR="00930A91">
        <w:t>(</w:t>
      </w:r>
      <w:r w:rsidR="009C086A" w:rsidRPr="007E5071">
        <w:t>ESC</w:t>
      </w:r>
      <w:r w:rsidR="00930A91">
        <w:t>)</w:t>
      </w:r>
      <w:r w:rsidR="009C086A" w:rsidRPr="007E5071">
        <w:t xml:space="preserve"> agreed that amended PBS restrictions to allow second-line use of BRAF-targeted therapy would be required if first-line NIVO and NIVO+IPI were listed for BRAF positive melanoma.</w:t>
      </w:r>
      <w:r w:rsidR="00490B8C" w:rsidRPr="007E5071">
        <w:t xml:space="preserve"> The PBAC considered that this was appropriate.</w:t>
      </w:r>
    </w:p>
    <w:p w:rsidR="00662AFF" w:rsidRPr="007E5071" w:rsidRDefault="009C086A" w:rsidP="00983502">
      <w:pPr>
        <w:pStyle w:val="ListParagraph"/>
        <w:widowControl/>
        <w:numPr>
          <w:ilvl w:val="1"/>
          <w:numId w:val="1"/>
        </w:numPr>
      </w:pPr>
      <w:r w:rsidRPr="007E5071">
        <w:t>The ESC noted that current Australian and international guidelines</w:t>
      </w:r>
      <w:r w:rsidR="00EE409E" w:rsidRPr="007E5071">
        <w:rPr>
          <w:rStyle w:val="FootnoteReference"/>
        </w:rPr>
        <w:footnoteReference w:id="1"/>
      </w:r>
      <w:r w:rsidRPr="007E5071">
        <w:t xml:space="preserve"> state that first-line systemic therapy be individualised, with BRAF-targeted therapy preferred for symptomatic or rapidly progressing disease given the potential for more rapid and reliable responses, immunotherapy preferred for asymptomatic disease given the potential for more durable responses, and consideration of susceptibility to particular toxicities such as autoimmune disease.</w:t>
      </w:r>
      <w:r w:rsidR="00B50E5D" w:rsidRPr="007E5071">
        <w:t xml:space="preserve"> The pre-PBAC response noted that</w:t>
      </w:r>
      <w:r w:rsidR="00662AFF" w:rsidRPr="007E5071">
        <w:t>:</w:t>
      </w:r>
    </w:p>
    <w:p w:rsidR="00662AFF" w:rsidRPr="007E5071" w:rsidRDefault="00BE1EAB" w:rsidP="00983502">
      <w:pPr>
        <w:pStyle w:val="ListParagraph"/>
        <w:widowControl/>
        <w:numPr>
          <w:ilvl w:val="1"/>
          <w:numId w:val="11"/>
        </w:numPr>
        <w:ind w:left="1077" w:hanging="357"/>
      </w:pPr>
      <w:r w:rsidRPr="007E5071">
        <w:t xml:space="preserve">The </w:t>
      </w:r>
      <w:r w:rsidR="00B50E5D" w:rsidRPr="007E5071">
        <w:t xml:space="preserve">European Society for Medical Oncology (ESMO) Clinical Practice Guidelines for cutaneous melanoma were updated on 30 September, 2019 and state that “No direct randomised comparison </w:t>
      </w:r>
      <w:r w:rsidR="00065A35" w:rsidRPr="007E5071">
        <w:t>exists between the two approaches [i.e. targeted therapy (BRAF inhibitors) and immunotherapy], but meta-analyses suggest that, despite better outcomes within the first 12 months for targeted therapies, immunotherapy patients may have a better survival after one year”</w:t>
      </w:r>
      <w:r w:rsidR="00662AFF" w:rsidRPr="007E5071">
        <w:t>; and</w:t>
      </w:r>
    </w:p>
    <w:p w:rsidR="009C086A" w:rsidRPr="007E5071" w:rsidRDefault="00662AFF" w:rsidP="00983502">
      <w:pPr>
        <w:pStyle w:val="ListParagraph"/>
        <w:widowControl/>
        <w:numPr>
          <w:ilvl w:val="1"/>
          <w:numId w:val="11"/>
        </w:numPr>
        <w:ind w:left="1077" w:hanging="357"/>
      </w:pPr>
      <w:r w:rsidRPr="007E5071">
        <w:t xml:space="preserve">The National Comprehensive Cancer Network (NCCN) cutaneous melanoma guidelines were updated on 22 </w:t>
      </w:r>
      <w:r w:rsidR="00082457" w:rsidRPr="007E5071">
        <w:t>October</w:t>
      </w:r>
      <w:r w:rsidRPr="007E5071">
        <w:t xml:space="preserve"> 2019 to list NIVO+IPI combination therapy as a “preferred regimen”</w:t>
      </w:r>
      <w:r w:rsidR="009F5E91" w:rsidRPr="007E5071">
        <w:t xml:space="preserve">, upgraded from “useful in circumstances”. </w:t>
      </w:r>
      <w:r w:rsidR="00722AC2" w:rsidRPr="007E5071">
        <w:t>PD-1 inhibitor monotherapy and BRAF+MEK remain as “preferred regimens”.</w:t>
      </w:r>
      <w:r w:rsidRPr="007E5071">
        <w:t xml:space="preserve"> </w:t>
      </w:r>
    </w:p>
    <w:p w:rsidR="00442972" w:rsidRPr="007E5071" w:rsidRDefault="00442972" w:rsidP="001847DE">
      <w:pPr>
        <w:pStyle w:val="ListParagraph"/>
        <w:widowControl/>
        <w:rPr>
          <w:i/>
        </w:rPr>
      </w:pPr>
      <w:r w:rsidRPr="007E5071">
        <w:rPr>
          <w:i/>
        </w:rPr>
        <w:t>For more detail on PBAC’s view, see section 7 PBAC outcome.</w:t>
      </w:r>
    </w:p>
    <w:p w:rsidR="00AA684F" w:rsidRPr="007E5071" w:rsidRDefault="00AA684F" w:rsidP="000375EB">
      <w:pPr>
        <w:pStyle w:val="PBACHeading1"/>
        <w:spacing w:before="240" w:after="120"/>
        <w:rPr>
          <w:b/>
          <w:caps w:val="0"/>
        </w:rPr>
      </w:pPr>
      <w:bookmarkStart w:id="3" w:name="_Toc17116002"/>
      <w:r w:rsidRPr="007E5071">
        <w:rPr>
          <w:b/>
          <w:caps w:val="0"/>
        </w:rPr>
        <w:t>Population and disease</w:t>
      </w:r>
      <w:bookmarkEnd w:id="3"/>
    </w:p>
    <w:p w:rsidR="00AA684F" w:rsidRPr="007E5071" w:rsidRDefault="00AA684F" w:rsidP="00983502">
      <w:pPr>
        <w:pStyle w:val="ListParagraph"/>
        <w:widowControl/>
        <w:numPr>
          <w:ilvl w:val="1"/>
          <w:numId w:val="1"/>
        </w:numPr>
      </w:pPr>
      <w:r w:rsidRPr="007E5071">
        <w:t>Australia and New Zealand have the highest rates of melanoma in the world. The target population was patients with BRAF muta</w:t>
      </w:r>
      <w:r w:rsidR="00E324C8" w:rsidRPr="007E5071">
        <w:t>tion positive</w:t>
      </w:r>
      <w:r w:rsidRPr="007E5071">
        <w:t xml:space="preserve"> unresectable Stage III or Stage IV melanoma.</w:t>
      </w:r>
    </w:p>
    <w:p w:rsidR="00AA684F" w:rsidRPr="007E5071" w:rsidRDefault="00AA684F" w:rsidP="00983502">
      <w:pPr>
        <w:pStyle w:val="ListParagraph"/>
        <w:widowControl/>
        <w:numPr>
          <w:ilvl w:val="1"/>
          <w:numId w:val="1"/>
        </w:numPr>
      </w:pPr>
      <w:r w:rsidRPr="007E5071">
        <w:t xml:space="preserve">BRAF±MEK inhibitors are currently PBS listed </w:t>
      </w:r>
      <w:r w:rsidR="00EA610C" w:rsidRPr="007E5071">
        <w:t xml:space="preserve">for </w:t>
      </w:r>
      <w:r w:rsidRPr="007E5071">
        <w:t>first</w:t>
      </w:r>
      <w:r w:rsidR="00522212" w:rsidRPr="007E5071">
        <w:t>-</w:t>
      </w:r>
      <w:r w:rsidRPr="007E5071">
        <w:t xml:space="preserve">line therapy </w:t>
      </w:r>
      <w:r w:rsidR="00EA610C" w:rsidRPr="007E5071">
        <w:t xml:space="preserve">in </w:t>
      </w:r>
      <w:r w:rsidRPr="007E5071">
        <w:t xml:space="preserve">the target population. The submission proposed nivolumab monotherapy and NIVO+IPI combination therapies </w:t>
      </w:r>
      <w:r w:rsidR="00EA610C" w:rsidRPr="007E5071">
        <w:t xml:space="preserve">as </w:t>
      </w:r>
      <w:r w:rsidRPr="007E5071">
        <w:t>alternative first-line therapies for these patients</w:t>
      </w:r>
      <w:r w:rsidR="00EE409E" w:rsidRPr="007E5071">
        <w:t>, as recommended in current Australian and international guidelines</w:t>
      </w:r>
      <w:r w:rsidRPr="007E5071">
        <w:t xml:space="preserve">. </w:t>
      </w:r>
    </w:p>
    <w:p w:rsidR="00442972" w:rsidRPr="007E5071" w:rsidRDefault="00442972" w:rsidP="00442972">
      <w:pPr>
        <w:pStyle w:val="ListParagraph"/>
        <w:widowControl/>
        <w:rPr>
          <w:i/>
        </w:rPr>
      </w:pPr>
      <w:r w:rsidRPr="007E5071">
        <w:rPr>
          <w:i/>
        </w:rPr>
        <w:t>For more detail on PBAC’s view, see section 7 PBAC outcome.</w:t>
      </w:r>
    </w:p>
    <w:p w:rsidR="00AA684F" w:rsidRPr="007E5071" w:rsidRDefault="00AA684F" w:rsidP="000375EB">
      <w:pPr>
        <w:pStyle w:val="PBACHeading1"/>
        <w:spacing w:before="240" w:after="120"/>
        <w:rPr>
          <w:b/>
          <w:caps w:val="0"/>
        </w:rPr>
      </w:pPr>
      <w:bookmarkStart w:id="4" w:name="_Toc17116003"/>
      <w:r w:rsidRPr="007E5071">
        <w:rPr>
          <w:b/>
          <w:caps w:val="0"/>
        </w:rPr>
        <w:t>Comparator</w:t>
      </w:r>
      <w:bookmarkEnd w:id="4"/>
    </w:p>
    <w:p w:rsidR="00AA684F" w:rsidRPr="007E5071" w:rsidRDefault="00AA684F" w:rsidP="00983502">
      <w:pPr>
        <w:pStyle w:val="ListParagraph"/>
        <w:keepNext/>
        <w:widowControl/>
        <w:numPr>
          <w:ilvl w:val="1"/>
          <w:numId w:val="1"/>
        </w:numPr>
      </w:pPr>
      <w:r w:rsidRPr="007E5071">
        <w:t>The submission nominated DAB+TRAM as the main comparator. Th</w:t>
      </w:r>
      <w:r w:rsidR="00443798" w:rsidRPr="007E5071">
        <w:t>e ESC considered that th</w:t>
      </w:r>
      <w:r w:rsidRPr="007E5071">
        <w:t xml:space="preserve">is </w:t>
      </w:r>
      <w:r w:rsidR="00443798" w:rsidRPr="007E5071">
        <w:t>was</w:t>
      </w:r>
      <w:r w:rsidRPr="007E5071">
        <w:t xml:space="preserve"> </w:t>
      </w:r>
      <w:r w:rsidR="00A02588" w:rsidRPr="007E5071">
        <w:t xml:space="preserve">the </w:t>
      </w:r>
      <w:r w:rsidRPr="007E5071">
        <w:t>appropriate comparator for first</w:t>
      </w:r>
      <w:r w:rsidR="00F75726" w:rsidRPr="007E5071">
        <w:t>-</w:t>
      </w:r>
      <w:r w:rsidRPr="007E5071">
        <w:t xml:space="preserve">line treatment. However, the </w:t>
      </w:r>
      <w:r w:rsidR="00792A15" w:rsidRPr="007E5071">
        <w:t xml:space="preserve">proposed </w:t>
      </w:r>
      <w:r w:rsidRPr="007E5071">
        <w:t xml:space="preserve">listing </w:t>
      </w:r>
      <w:r w:rsidR="00792A15" w:rsidRPr="007E5071">
        <w:t xml:space="preserve">of </w:t>
      </w:r>
      <w:r w:rsidRPr="007E5071">
        <w:t>NIVO monotherapy and NIVO+IPI as first-line therapy w</w:t>
      </w:r>
      <w:r w:rsidR="00792A15" w:rsidRPr="007E5071">
        <w:t>ould</w:t>
      </w:r>
      <w:r w:rsidRPr="007E5071">
        <w:t xml:space="preserve"> have an impact on subsequent lines of therapy, which will affect </w:t>
      </w:r>
      <w:r w:rsidR="00A02588" w:rsidRPr="007E5071">
        <w:t xml:space="preserve">both </w:t>
      </w:r>
      <w:r w:rsidRPr="007E5071">
        <w:t xml:space="preserve">treatment outcomes and the costs. </w:t>
      </w:r>
    </w:p>
    <w:p w:rsidR="00AA684F" w:rsidRPr="007E5071" w:rsidRDefault="00AA684F" w:rsidP="00983502">
      <w:pPr>
        <w:pStyle w:val="ListParagraph"/>
        <w:widowControl/>
        <w:numPr>
          <w:ilvl w:val="1"/>
          <w:numId w:val="1"/>
        </w:numPr>
      </w:pPr>
      <w:r w:rsidRPr="007E5071">
        <w:t>Currently</w:t>
      </w:r>
      <w:r w:rsidR="00EE0465" w:rsidRPr="007E5071">
        <w:t>,</w:t>
      </w:r>
      <w:r w:rsidRPr="007E5071">
        <w:t xml:space="preserve"> the most commonly used treatment sequence in the target population is first-line BRAF+MEK inhibitors, followed by second-line immunotherapy (pembrolizumab, NIVO monotherapy or NIVO+IPI).</w:t>
      </w:r>
      <w:r w:rsidR="00710510" w:rsidRPr="007E5071">
        <w:t xml:space="preserve"> </w:t>
      </w:r>
      <w:r w:rsidRPr="007E5071">
        <w:t>There are two possible treatment sequence</w:t>
      </w:r>
      <w:r w:rsidR="00710510" w:rsidRPr="007E5071">
        <w:t>s</w:t>
      </w:r>
      <w:r w:rsidRPr="007E5071">
        <w:t xml:space="preserve"> </w:t>
      </w:r>
      <w:r w:rsidR="00EE0465" w:rsidRPr="007E5071">
        <w:t>resulting from the</w:t>
      </w:r>
      <w:r w:rsidRPr="007E5071">
        <w:t xml:space="preserve"> proposed first-line </w:t>
      </w:r>
      <w:r w:rsidR="00710510" w:rsidRPr="007E5071">
        <w:t xml:space="preserve">listing of </w:t>
      </w:r>
      <w:r w:rsidRPr="007E5071">
        <w:t xml:space="preserve">NIVO monotherapy </w:t>
      </w:r>
      <w:r w:rsidR="00710510" w:rsidRPr="007E5071">
        <w:t xml:space="preserve">and </w:t>
      </w:r>
      <w:r w:rsidRPr="007E5071">
        <w:t xml:space="preserve">NIVO+IPI combination therapy, depending on whether </w:t>
      </w:r>
      <w:r w:rsidR="00EE0465" w:rsidRPr="007E5071">
        <w:t xml:space="preserve">or not </w:t>
      </w:r>
      <w:r w:rsidRPr="007E5071">
        <w:t xml:space="preserve">BRAF+MEK inhibitors are available post-progression </w:t>
      </w:r>
      <w:r w:rsidR="00EE0465" w:rsidRPr="007E5071">
        <w:t xml:space="preserve">following </w:t>
      </w:r>
      <w:r w:rsidRPr="007E5071">
        <w:t>first-line immunotherapy. T</w:t>
      </w:r>
      <w:r w:rsidR="00710510" w:rsidRPr="007E5071">
        <w:t xml:space="preserve">he possible treatment sequences, </w:t>
      </w:r>
      <w:r w:rsidRPr="007E5071">
        <w:t>and the comparisons relevant to the submission</w:t>
      </w:r>
      <w:r w:rsidR="00710510" w:rsidRPr="007E5071">
        <w:t>,</w:t>
      </w:r>
      <w:r w:rsidRPr="007E5071">
        <w:t xml:space="preserve"> are summarised below.</w:t>
      </w:r>
      <w:r w:rsidR="00F75726" w:rsidRPr="007E5071">
        <w:t xml:space="preserve"> The PBAC recommended that BRAF+MEK inhibitors be available post-progression following first-line immunotherapy (i.e. Scenario 2).</w:t>
      </w:r>
    </w:p>
    <w:p w:rsidR="00AA684F" w:rsidRPr="007E5071" w:rsidRDefault="00AA684F" w:rsidP="009D02C5">
      <w:pPr>
        <w:pStyle w:val="Caption"/>
        <w:keepNext/>
        <w:keepLines/>
        <w:widowControl/>
      </w:pPr>
      <w:r w:rsidRPr="007E5071">
        <w:t xml:space="preserve">Table </w:t>
      </w:r>
      <w:r w:rsidR="00E966F6" w:rsidRPr="007E5071">
        <w:t>2</w:t>
      </w:r>
      <w:r w:rsidRPr="007E5071">
        <w:t>: Comparisons relevant to the submission</w:t>
      </w:r>
    </w:p>
    <w:tbl>
      <w:tblPr>
        <w:tblStyle w:val="TableGrid"/>
        <w:tblW w:w="5063" w:type="pct"/>
        <w:tblInd w:w="-5" w:type="dxa"/>
        <w:tblLook w:val="04A0" w:firstRow="1" w:lastRow="0" w:firstColumn="1" w:lastColumn="0" w:noHBand="0" w:noVBand="1"/>
        <w:tblCaption w:val="Table 2: Comparisons relevant to the submission"/>
      </w:tblPr>
      <w:tblGrid>
        <w:gridCol w:w="1819"/>
        <w:gridCol w:w="2436"/>
        <w:gridCol w:w="2440"/>
        <w:gridCol w:w="2436"/>
      </w:tblGrid>
      <w:tr w:rsidR="00AA684F" w:rsidRPr="007E5071" w:rsidTr="00D062FF">
        <w:trPr>
          <w:tblHeader/>
        </w:trPr>
        <w:tc>
          <w:tcPr>
            <w:tcW w:w="996" w:type="pct"/>
            <w:vMerge w:val="restart"/>
            <w:vAlign w:val="center"/>
          </w:tcPr>
          <w:p w:rsidR="00AA684F" w:rsidRPr="007E5071" w:rsidRDefault="00AA684F" w:rsidP="009D02C5">
            <w:pPr>
              <w:pStyle w:val="Tabletext"/>
              <w:keepNext/>
              <w:keepLines/>
              <w:rPr>
                <w:b/>
              </w:rPr>
            </w:pPr>
            <w:r w:rsidRPr="007E5071">
              <w:rPr>
                <w:b/>
              </w:rPr>
              <w:t>Line of therapy</w:t>
            </w:r>
          </w:p>
        </w:tc>
        <w:tc>
          <w:tcPr>
            <w:tcW w:w="2670" w:type="pct"/>
            <w:gridSpan w:val="2"/>
            <w:vAlign w:val="center"/>
          </w:tcPr>
          <w:p w:rsidR="00AA684F" w:rsidRPr="007E5071" w:rsidRDefault="00AA684F" w:rsidP="009D02C5">
            <w:pPr>
              <w:pStyle w:val="Tabletext"/>
              <w:keepNext/>
              <w:keepLines/>
              <w:jc w:val="center"/>
              <w:rPr>
                <w:b/>
              </w:rPr>
            </w:pPr>
            <w:r w:rsidRPr="007E5071">
              <w:rPr>
                <w:b/>
              </w:rPr>
              <w:t>Intervention</w:t>
            </w:r>
          </w:p>
        </w:tc>
        <w:tc>
          <w:tcPr>
            <w:tcW w:w="1334" w:type="pct"/>
            <w:vAlign w:val="center"/>
          </w:tcPr>
          <w:p w:rsidR="00AA684F" w:rsidRPr="007E5071" w:rsidRDefault="00AA684F" w:rsidP="009D02C5">
            <w:pPr>
              <w:pStyle w:val="Tabletext"/>
              <w:keepNext/>
              <w:keepLines/>
              <w:jc w:val="center"/>
              <w:rPr>
                <w:b/>
              </w:rPr>
            </w:pPr>
            <w:r w:rsidRPr="007E5071">
              <w:rPr>
                <w:b/>
              </w:rPr>
              <w:t>Comparator</w:t>
            </w:r>
          </w:p>
        </w:tc>
      </w:tr>
      <w:tr w:rsidR="00AA684F" w:rsidRPr="007E5071" w:rsidTr="00D062FF">
        <w:trPr>
          <w:tblHeader/>
        </w:trPr>
        <w:tc>
          <w:tcPr>
            <w:tcW w:w="996" w:type="pct"/>
            <w:vMerge/>
            <w:vAlign w:val="center"/>
          </w:tcPr>
          <w:p w:rsidR="00AA684F" w:rsidRPr="007E5071" w:rsidRDefault="00AA684F" w:rsidP="009D02C5">
            <w:pPr>
              <w:pStyle w:val="Tabletext"/>
              <w:keepNext/>
              <w:keepLines/>
              <w:rPr>
                <w:b/>
              </w:rPr>
            </w:pPr>
          </w:p>
        </w:tc>
        <w:tc>
          <w:tcPr>
            <w:tcW w:w="1334" w:type="pct"/>
            <w:vAlign w:val="center"/>
          </w:tcPr>
          <w:p w:rsidR="00AA684F" w:rsidRPr="007E5071" w:rsidRDefault="00AA684F" w:rsidP="009D02C5">
            <w:pPr>
              <w:pStyle w:val="Tabletext"/>
              <w:keepNext/>
              <w:keepLines/>
              <w:jc w:val="center"/>
              <w:rPr>
                <w:b/>
              </w:rPr>
            </w:pPr>
            <w:r w:rsidRPr="007E5071">
              <w:rPr>
                <w:b/>
              </w:rPr>
              <w:t>Scenario 1</w:t>
            </w:r>
          </w:p>
          <w:p w:rsidR="00AA684F" w:rsidRPr="007E5071" w:rsidRDefault="00AA684F" w:rsidP="009D02C5">
            <w:pPr>
              <w:pStyle w:val="Tabletext"/>
              <w:keepNext/>
              <w:keepLines/>
              <w:jc w:val="center"/>
              <w:rPr>
                <w:b/>
              </w:rPr>
            </w:pPr>
            <w:r w:rsidRPr="007E5071">
              <w:rPr>
                <w:b/>
              </w:rPr>
              <w:t>BRAFi restricted to 1L</w:t>
            </w:r>
            <w:r w:rsidRPr="007E5071">
              <w:rPr>
                <w:b/>
              </w:rPr>
              <w:br/>
              <w:t>(current PBS listing)</w:t>
            </w:r>
          </w:p>
        </w:tc>
        <w:tc>
          <w:tcPr>
            <w:tcW w:w="1336" w:type="pct"/>
            <w:vAlign w:val="center"/>
          </w:tcPr>
          <w:p w:rsidR="00AA684F" w:rsidRPr="007E5071" w:rsidRDefault="00AA684F" w:rsidP="009D02C5">
            <w:pPr>
              <w:pStyle w:val="Tabletext"/>
              <w:keepNext/>
              <w:keepLines/>
              <w:jc w:val="center"/>
              <w:rPr>
                <w:b/>
              </w:rPr>
            </w:pPr>
            <w:r w:rsidRPr="007E5071">
              <w:rPr>
                <w:b/>
              </w:rPr>
              <w:t>Scenario 2</w:t>
            </w:r>
          </w:p>
          <w:p w:rsidR="00AA684F" w:rsidRPr="007E5071" w:rsidRDefault="00AA684F" w:rsidP="009D02C5">
            <w:pPr>
              <w:pStyle w:val="Tabletext"/>
              <w:keepNext/>
              <w:keepLines/>
              <w:jc w:val="center"/>
              <w:rPr>
                <w:b/>
              </w:rPr>
            </w:pPr>
            <w:r w:rsidRPr="007E5071">
              <w:rPr>
                <w:b/>
              </w:rPr>
              <w:t>BRAFi available 2L</w:t>
            </w:r>
          </w:p>
        </w:tc>
        <w:tc>
          <w:tcPr>
            <w:tcW w:w="1334" w:type="pct"/>
            <w:vAlign w:val="center"/>
          </w:tcPr>
          <w:p w:rsidR="00AA684F" w:rsidRPr="007E5071" w:rsidRDefault="00AA684F" w:rsidP="009D02C5">
            <w:pPr>
              <w:pStyle w:val="Tabletext"/>
              <w:keepNext/>
              <w:keepLines/>
              <w:jc w:val="center"/>
              <w:rPr>
                <w:b/>
              </w:rPr>
            </w:pPr>
            <w:r w:rsidRPr="007E5071">
              <w:rPr>
                <w:b/>
              </w:rPr>
              <w:t>Current PBS listings</w:t>
            </w:r>
          </w:p>
        </w:tc>
      </w:tr>
      <w:tr w:rsidR="00AA684F" w:rsidRPr="007E5071" w:rsidTr="00D062FF">
        <w:trPr>
          <w:tblHeader/>
        </w:trPr>
        <w:tc>
          <w:tcPr>
            <w:tcW w:w="996" w:type="pct"/>
            <w:vAlign w:val="center"/>
          </w:tcPr>
          <w:p w:rsidR="00AA684F" w:rsidRPr="007E5071" w:rsidRDefault="00AA684F" w:rsidP="009D02C5">
            <w:pPr>
              <w:pStyle w:val="Tabletext"/>
              <w:keepNext/>
              <w:keepLines/>
            </w:pPr>
            <w:r w:rsidRPr="007E5071">
              <w:t>First-line</w:t>
            </w:r>
          </w:p>
        </w:tc>
        <w:tc>
          <w:tcPr>
            <w:tcW w:w="1334" w:type="pct"/>
            <w:vAlign w:val="center"/>
          </w:tcPr>
          <w:p w:rsidR="00AA684F" w:rsidRPr="007E5071" w:rsidRDefault="00AA684F" w:rsidP="009D02C5">
            <w:pPr>
              <w:pStyle w:val="Tabletext"/>
              <w:keepNext/>
              <w:keepLines/>
              <w:jc w:val="center"/>
            </w:pPr>
            <w:r w:rsidRPr="007E5071">
              <w:t>NIVO or NIVO+IPI</w:t>
            </w:r>
          </w:p>
        </w:tc>
        <w:tc>
          <w:tcPr>
            <w:tcW w:w="1336" w:type="pct"/>
            <w:vAlign w:val="center"/>
          </w:tcPr>
          <w:p w:rsidR="00AA684F" w:rsidRPr="007E5071" w:rsidRDefault="00AA684F" w:rsidP="009D02C5">
            <w:pPr>
              <w:pStyle w:val="Tabletext"/>
              <w:keepNext/>
              <w:keepLines/>
              <w:jc w:val="center"/>
            </w:pPr>
            <w:r w:rsidRPr="007E5071">
              <w:t>NIVO or NIVO+IPI</w:t>
            </w:r>
          </w:p>
        </w:tc>
        <w:tc>
          <w:tcPr>
            <w:tcW w:w="1334" w:type="pct"/>
            <w:vAlign w:val="center"/>
          </w:tcPr>
          <w:p w:rsidR="00AA684F" w:rsidRPr="007E5071" w:rsidRDefault="00AA684F" w:rsidP="009D02C5">
            <w:pPr>
              <w:pStyle w:val="Tabletext"/>
              <w:keepNext/>
              <w:keepLines/>
              <w:jc w:val="center"/>
            </w:pPr>
            <w:r w:rsidRPr="007E5071">
              <w:t>BRAF±MEK inhibitors</w:t>
            </w:r>
          </w:p>
        </w:tc>
      </w:tr>
      <w:tr w:rsidR="00AA684F" w:rsidRPr="007E5071" w:rsidTr="00D062FF">
        <w:trPr>
          <w:tblHeader/>
        </w:trPr>
        <w:tc>
          <w:tcPr>
            <w:tcW w:w="996" w:type="pct"/>
            <w:vAlign w:val="center"/>
          </w:tcPr>
          <w:p w:rsidR="00AA684F" w:rsidRPr="007E5071" w:rsidRDefault="00AA684F" w:rsidP="009D02C5">
            <w:pPr>
              <w:pStyle w:val="Tabletext"/>
              <w:keepNext/>
              <w:keepLines/>
            </w:pPr>
            <w:r w:rsidRPr="007E5071">
              <w:t>Second-line</w:t>
            </w:r>
          </w:p>
        </w:tc>
        <w:tc>
          <w:tcPr>
            <w:tcW w:w="1334" w:type="pct"/>
            <w:vAlign w:val="center"/>
          </w:tcPr>
          <w:p w:rsidR="00AA684F" w:rsidRPr="007E5071" w:rsidRDefault="00AA684F" w:rsidP="009D02C5">
            <w:pPr>
              <w:pStyle w:val="Tabletext"/>
              <w:keepNext/>
              <w:keepLines/>
              <w:jc w:val="center"/>
            </w:pPr>
            <w:r w:rsidRPr="007E5071">
              <w:t>IPI</w:t>
            </w:r>
            <w:r w:rsidRPr="007E5071">
              <w:rPr>
                <w:vertAlign w:val="superscript"/>
              </w:rPr>
              <w:t>a</w:t>
            </w:r>
            <w:r w:rsidRPr="007E5071">
              <w:t>/chemotherapy/BSC</w:t>
            </w:r>
          </w:p>
        </w:tc>
        <w:tc>
          <w:tcPr>
            <w:tcW w:w="1336" w:type="pct"/>
            <w:vAlign w:val="center"/>
          </w:tcPr>
          <w:p w:rsidR="00AA684F" w:rsidRPr="007E5071" w:rsidRDefault="00AA684F" w:rsidP="009D02C5">
            <w:pPr>
              <w:pStyle w:val="Tabletext"/>
              <w:keepNext/>
              <w:keepLines/>
              <w:jc w:val="center"/>
            </w:pPr>
            <w:r w:rsidRPr="007E5071">
              <w:t>BRAF±MEK inhibitors</w:t>
            </w:r>
          </w:p>
        </w:tc>
        <w:tc>
          <w:tcPr>
            <w:tcW w:w="1334" w:type="pct"/>
            <w:vAlign w:val="center"/>
          </w:tcPr>
          <w:p w:rsidR="00AA684F" w:rsidRPr="007E5071" w:rsidRDefault="00AA684F" w:rsidP="009D02C5">
            <w:pPr>
              <w:pStyle w:val="Tabletext"/>
              <w:keepNext/>
              <w:keepLines/>
              <w:jc w:val="center"/>
              <w:rPr>
                <w:vertAlign w:val="superscript"/>
              </w:rPr>
            </w:pPr>
            <w:r w:rsidRPr="007E5071">
              <w:t>Immunotherapy</w:t>
            </w:r>
            <w:r w:rsidRPr="007E5071">
              <w:rPr>
                <w:vertAlign w:val="superscript"/>
              </w:rPr>
              <w:t>b</w:t>
            </w:r>
          </w:p>
        </w:tc>
      </w:tr>
      <w:tr w:rsidR="00AA684F" w:rsidRPr="007E5071" w:rsidTr="00D062FF">
        <w:trPr>
          <w:tblHeader/>
        </w:trPr>
        <w:tc>
          <w:tcPr>
            <w:tcW w:w="996" w:type="pct"/>
            <w:vAlign w:val="center"/>
          </w:tcPr>
          <w:p w:rsidR="00AA684F" w:rsidRPr="007E5071" w:rsidRDefault="00AA684F" w:rsidP="009D02C5">
            <w:pPr>
              <w:pStyle w:val="Tabletext"/>
              <w:keepNext/>
              <w:keepLines/>
            </w:pPr>
            <w:r w:rsidRPr="007E5071">
              <w:t>Third-line+</w:t>
            </w:r>
          </w:p>
        </w:tc>
        <w:tc>
          <w:tcPr>
            <w:tcW w:w="1334" w:type="pct"/>
            <w:vAlign w:val="center"/>
          </w:tcPr>
          <w:p w:rsidR="00AA684F" w:rsidRPr="007E5071" w:rsidRDefault="00AA684F" w:rsidP="009D02C5">
            <w:pPr>
              <w:pStyle w:val="Tabletext"/>
              <w:keepNext/>
              <w:keepLines/>
              <w:jc w:val="center"/>
            </w:pPr>
            <w:r w:rsidRPr="007E5071">
              <w:t>BSC</w:t>
            </w:r>
          </w:p>
        </w:tc>
        <w:tc>
          <w:tcPr>
            <w:tcW w:w="1336" w:type="pct"/>
            <w:vAlign w:val="center"/>
          </w:tcPr>
          <w:p w:rsidR="00AA684F" w:rsidRPr="007E5071" w:rsidRDefault="00AA684F" w:rsidP="009D02C5">
            <w:pPr>
              <w:pStyle w:val="Tabletext"/>
              <w:keepNext/>
              <w:keepLines/>
              <w:jc w:val="center"/>
            </w:pPr>
            <w:r w:rsidRPr="007E5071">
              <w:t>IPI</w:t>
            </w:r>
            <w:r w:rsidRPr="007E5071">
              <w:rPr>
                <w:vertAlign w:val="superscript"/>
              </w:rPr>
              <w:t>a/</w:t>
            </w:r>
            <w:r w:rsidRPr="007E5071">
              <w:t>chemotherapy/BSC</w:t>
            </w:r>
          </w:p>
        </w:tc>
        <w:tc>
          <w:tcPr>
            <w:tcW w:w="1334" w:type="pct"/>
            <w:vAlign w:val="center"/>
          </w:tcPr>
          <w:p w:rsidR="00AA684F" w:rsidRPr="007E5071" w:rsidRDefault="00AA684F" w:rsidP="009D02C5">
            <w:pPr>
              <w:pStyle w:val="Tabletext"/>
              <w:keepNext/>
              <w:keepLines/>
              <w:jc w:val="center"/>
            </w:pPr>
            <w:r w:rsidRPr="007E5071">
              <w:t>IPI</w:t>
            </w:r>
            <w:r w:rsidRPr="007E5071">
              <w:rPr>
                <w:vertAlign w:val="superscript"/>
              </w:rPr>
              <w:t>c</w:t>
            </w:r>
            <w:r w:rsidRPr="007E5071">
              <w:t>/chemotherapy/BSC</w:t>
            </w:r>
          </w:p>
        </w:tc>
      </w:tr>
    </w:tbl>
    <w:p w:rsidR="00AA684F" w:rsidRPr="007E5071" w:rsidRDefault="00AA684F" w:rsidP="009D02C5">
      <w:pPr>
        <w:pStyle w:val="TableFooter"/>
        <w:keepNext/>
        <w:keepLines/>
        <w:widowControl/>
      </w:pPr>
      <w:r w:rsidRPr="007E5071">
        <w:t>1L = first-line; 2L = second line; BSC = best supportive care; BRAFi = BRAF inhibitor; IPI = ipilimumab; NIVO = nivolumab</w:t>
      </w:r>
    </w:p>
    <w:p w:rsidR="00AA684F" w:rsidRPr="007E5071" w:rsidRDefault="00AA684F" w:rsidP="009D02C5">
      <w:pPr>
        <w:pStyle w:val="TableFooter"/>
        <w:keepNext/>
        <w:keepLines/>
        <w:widowControl/>
      </w:pPr>
      <w:r w:rsidRPr="007E5071">
        <w:rPr>
          <w:vertAlign w:val="superscript"/>
        </w:rPr>
        <w:t>a</w:t>
      </w:r>
      <w:r w:rsidRPr="007E5071">
        <w:t xml:space="preserve"> In patients who received first-line nivolumab monotherapy </w:t>
      </w:r>
    </w:p>
    <w:p w:rsidR="00AA684F" w:rsidRPr="007E5071" w:rsidRDefault="00AA684F" w:rsidP="009D02C5">
      <w:pPr>
        <w:pStyle w:val="TableFooter"/>
        <w:keepNext/>
        <w:keepLines/>
        <w:widowControl/>
      </w:pPr>
      <w:r w:rsidRPr="007E5071">
        <w:rPr>
          <w:vertAlign w:val="superscript"/>
        </w:rPr>
        <w:t xml:space="preserve">b </w:t>
      </w:r>
      <w:r w:rsidRPr="007E5071">
        <w:t>Pembrolizumab monotherapy, nivolumab monotherapy, or NIVO+IPI</w:t>
      </w:r>
    </w:p>
    <w:p w:rsidR="00AA684F" w:rsidRPr="007E5071" w:rsidRDefault="00AA684F" w:rsidP="009D02C5">
      <w:pPr>
        <w:pStyle w:val="TableFooter"/>
        <w:keepNext/>
        <w:keepLines/>
        <w:widowControl/>
      </w:pPr>
      <w:r w:rsidRPr="007E5071">
        <w:rPr>
          <w:vertAlign w:val="superscript"/>
        </w:rPr>
        <w:t>c</w:t>
      </w:r>
      <w:r w:rsidRPr="007E5071">
        <w:t xml:space="preserve"> In patients who received second-line </w:t>
      </w:r>
      <w:r w:rsidR="00593619" w:rsidRPr="007E5071">
        <w:t>P</w:t>
      </w:r>
      <w:r w:rsidRPr="007E5071">
        <w:t xml:space="preserve">D-1 </w:t>
      </w:r>
      <w:r w:rsidR="00593619" w:rsidRPr="007E5071">
        <w:t xml:space="preserve">inhibitor </w:t>
      </w:r>
      <w:r w:rsidRPr="007E5071">
        <w:t>monotherapy</w:t>
      </w:r>
    </w:p>
    <w:p w:rsidR="00AA684F" w:rsidRPr="007E5071" w:rsidRDefault="00AA684F" w:rsidP="009D02C5">
      <w:pPr>
        <w:pStyle w:val="TableFooter"/>
        <w:keepNext/>
        <w:keepLines/>
        <w:widowControl/>
      </w:pPr>
      <w:r w:rsidRPr="007E5071">
        <w:t>Source: Table compiled during the evaluation based on current and proposed PBS restrictions, and Australian and international treatment guidelines</w:t>
      </w:r>
      <w:r w:rsidR="00C10DA9" w:rsidRPr="007E5071">
        <w:t>.</w:t>
      </w:r>
    </w:p>
    <w:p w:rsidR="00AA684F" w:rsidRPr="007E5071" w:rsidRDefault="00AA684F" w:rsidP="00AA684F"/>
    <w:p w:rsidR="00442972" w:rsidRPr="000375EB" w:rsidRDefault="00442972" w:rsidP="00AA684F">
      <w:pPr>
        <w:rPr>
          <w:i/>
        </w:rPr>
      </w:pPr>
      <w:r w:rsidRPr="007E5071">
        <w:tab/>
      </w:r>
      <w:r w:rsidRPr="007E5071">
        <w:rPr>
          <w:i/>
        </w:rPr>
        <w:t>For more detail on PBAC’s view, see section 7 PBAC outcome.</w:t>
      </w:r>
    </w:p>
    <w:p w:rsidR="00AA684F" w:rsidRPr="007E5071" w:rsidRDefault="00AA684F" w:rsidP="000375EB">
      <w:pPr>
        <w:pStyle w:val="PBACHeading1"/>
        <w:spacing w:before="240" w:after="120"/>
        <w:rPr>
          <w:b/>
          <w:caps w:val="0"/>
        </w:rPr>
      </w:pPr>
      <w:bookmarkStart w:id="5" w:name="_Toc17116004"/>
      <w:r w:rsidRPr="007E5071">
        <w:rPr>
          <w:b/>
          <w:caps w:val="0"/>
        </w:rPr>
        <w:t>Consideration of the evidence</w:t>
      </w:r>
      <w:bookmarkEnd w:id="5"/>
    </w:p>
    <w:p w:rsidR="00442972" w:rsidRPr="007E5071" w:rsidRDefault="00442972" w:rsidP="00442972">
      <w:pPr>
        <w:pStyle w:val="Heading2"/>
      </w:pPr>
      <w:bookmarkStart w:id="6" w:name="_Toc17116005"/>
      <w:r w:rsidRPr="007E5071">
        <w:t>Sponsor hearing</w:t>
      </w:r>
    </w:p>
    <w:p w:rsidR="00442972" w:rsidRPr="007E5071" w:rsidRDefault="00442972" w:rsidP="00442972"/>
    <w:p w:rsidR="00442972" w:rsidRPr="007E5071" w:rsidRDefault="00442972" w:rsidP="00983502">
      <w:pPr>
        <w:numPr>
          <w:ilvl w:val="1"/>
          <w:numId w:val="1"/>
        </w:numPr>
        <w:spacing w:after="120"/>
        <w:rPr>
          <w:rFonts w:asciiTheme="minorHAnsi" w:hAnsiTheme="minorHAnsi"/>
          <w:bCs/>
        </w:rPr>
      </w:pPr>
      <w:r w:rsidRPr="007E5071">
        <w:rPr>
          <w:rFonts w:asciiTheme="minorHAnsi" w:hAnsiTheme="minorHAnsi"/>
          <w:bCs/>
        </w:rPr>
        <w:t>The sponsor requested a hearing for this item</w:t>
      </w:r>
      <w:r w:rsidR="007E5071" w:rsidRPr="007E5071">
        <w:rPr>
          <w:rFonts w:asciiTheme="minorHAnsi" w:hAnsiTheme="minorHAnsi"/>
          <w:bCs/>
        </w:rPr>
        <w:t xml:space="preserve">. </w:t>
      </w:r>
      <w:r w:rsidRPr="007E5071">
        <w:rPr>
          <w:rFonts w:asciiTheme="minorHAnsi" w:hAnsiTheme="minorHAnsi"/>
          <w:bCs/>
        </w:rPr>
        <w:t xml:space="preserve">The clinician presented </w:t>
      </w:r>
      <w:r w:rsidR="00404672" w:rsidRPr="007E5071">
        <w:rPr>
          <w:rFonts w:asciiTheme="minorHAnsi" w:hAnsiTheme="minorHAnsi"/>
          <w:bCs/>
        </w:rPr>
        <w:t>the practical considerations that clinicians consider when determining</w:t>
      </w:r>
      <w:r w:rsidR="00B85FE4" w:rsidRPr="007E5071">
        <w:rPr>
          <w:rFonts w:asciiTheme="minorHAnsi" w:hAnsiTheme="minorHAnsi"/>
          <w:bCs/>
        </w:rPr>
        <w:t xml:space="preserve"> the</w:t>
      </w:r>
      <w:r w:rsidR="00404672" w:rsidRPr="007E5071">
        <w:rPr>
          <w:rFonts w:asciiTheme="minorHAnsi" w:hAnsiTheme="minorHAnsi"/>
          <w:bCs/>
        </w:rPr>
        <w:t xml:space="preserve"> treatment sequence for patients with BRAF mutant unresectable or metastatic melanoma, discussed when NIVO monotherapy or NIVO+IPI </w:t>
      </w:r>
      <w:r w:rsidRPr="007E5071">
        <w:rPr>
          <w:rFonts w:asciiTheme="minorHAnsi" w:hAnsiTheme="minorHAnsi"/>
          <w:bCs/>
        </w:rPr>
        <w:t>would be used in practice, and addressed other matters in response to the Committee’s questions.</w:t>
      </w:r>
      <w:r w:rsidR="00404672" w:rsidRPr="007E5071">
        <w:rPr>
          <w:rFonts w:asciiTheme="minorHAnsi" w:hAnsiTheme="minorHAnsi"/>
          <w:bCs/>
        </w:rPr>
        <w:t xml:space="preserve"> </w:t>
      </w:r>
      <w:r w:rsidRPr="007E5071">
        <w:rPr>
          <w:rFonts w:asciiTheme="minorHAnsi" w:hAnsiTheme="minorHAnsi"/>
          <w:bCs/>
        </w:rPr>
        <w:t>The PBAC considered that the hearing was informative.</w:t>
      </w:r>
    </w:p>
    <w:p w:rsidR="00442972" w:rsidRPr="007E5071" w:rsidRDefault="00442972" w:rsidP="00442972">
      <w:pPr>
        <w:pStyle w:val="Heading2"/>
      </w:pPr>
      <w:r w:rsidRPr="007E5071">
        <w:t>Consumer comments</w:t>
      </w:r>
    </w:p>
    <w:p w:rsidR="00442972" w:rsidRPr="007E5071" w:rsidRDefault="00442972" w:rsidP="00442972"/>
    <w:p w:rsidR="00442972" w:rsidRPr="007E5071" w:rsidRDefault="00442972" w:rsidP="00983502">
      <w:pPr>
        <w:numPr>
          <w:ilvl w:val="1"/>
          <w:numId w:val="1"/>
        </w:numPr>
        <w:spacing w:after="120"/>
        <w:rPr>
          <w:rFonts w:asciiTheme="minorHAnsi" w:hAnsiTheme="minorHAnsi"/>
          <w:bCs/>
        </w:rPr>
      </w:pPr>
      <w:r w:rsidRPr="007E5071">
        <w:rPr>
          <w:rFonts w:asciiTheme="minorHAnsi" w:hAnsiTheme="minorHAnsi"/>
          <w:bCs/>
        </w:rPr>
        <w:t>The PBAC noted and welcom</w:t>
      </w:r>
      <w:r w:rsidR="00972C80" w:rsidRPr="007E5071">
        <w:rPr>
          <w:rFonts w:asciiTheme="minorHAnsi" w:hAnsiTheme="minorHAnsi"/>
          <w:bCs/>
        </w:rPr>
        <w:t>ed the input from individuals (21), health care professionals (1) and organisations (3</w:t>
      </w:r>
      <w:r w:rsidRPr="007E5071">
        <w:rPr>
          <w:rFonts w:asciiTheme="minorHAnsi" w:hAnsiTheme="minorHAnsi"/>
          <w:bCs/>
        </w:rPr>
        <w:t>) via the Consumer Comments facility on the PBS website</w:t>
      </w:r>
      <w:r w:rsidR="007E5071" w:rsidRPr="007E5071">
        <w:rPr>
          <w:rFonts w:asciiTheme="minorHAnsi" w:hAnsiTheme="minorHAnsi"/>
          <w:bCs/>
        </w:rPr>
        <w:t xml:space="preserve">. </w:t>
      </w:r>
      <w:r w:rsidRPr="007E5071">
        <w:rPr>
          <w:rFonts w:asciiTheme="minorHAnsi" w:hAnsiTheme="minorHAnsi"/>
          <w:bCs/>
        </w:rPr>
        <w:t xml:space="preserve">The comments described a range of benefits of treatment with </w:t>
      </w:r>
      <w:r w:rsidR="00972C80" w:rsidRPr="007E5071">
        <w:rPr>
          <w:rFonts w:asciiTheme="minorHAnsi" w:hAnsiTheme="minorHAnsi"/>
          <w:bCs/>
        </w:rPr>
        <w:t xml:space="preserve">first-line NIVO monotherapy and NIVO+IPI </w:t>
      </w:r>
      <w:r w:rsidRPr="007E5071">
        <w:rPr>
          <w:rFonts w:asciiTheme="minorHAnsi" w:hAnsiTheme="minorHAnsi"/>
          <w:bCs/>
        </w:rPr>
        <w:t xml:space="preserve">including </w:t>
      </w:r>
      <w:r w:rsidR="00972C80" w:rsidRPr="007E5071">
        <w:rPr>
          <w:rFonts w:asciiTheme="minorHAnsi" w:hAnsiTheme="minorHAnsi"/>
          <w:bCs/>
        </w:rPr>
        <w:t>improved response rates, fewer side effects and the peace of mind that comes with being able to choos</w:t>
      </w:r>
      <w:r w:rsidR="001847DE" w:rsidRPr="007E5071">
        <w:rPr>
          <w:rFonts w:asciiTheme="minorHAnsi" w:hAnsiTheme="minorHAnsi"/>
          <w:bCs/>
        </w:rPr>
        <w:t>e the</w:t>
      </w:r>
      <w:r w:rsidR="00972C80" w:rsidRPr="007E5071">
        <w:rPr>
          <w:rFonts w:asciiTheme="minorHAnsi" w:hAnsiTheme="minorHAnsi"/>
          <w:bCs/>
        </w:rPr>
        <w:t xml:space="preserve"> sequence of therapy. </w:t>
      </w:r>
    </w:p>
    <w:p w:rsidR="00972C80" w:rsidRPr="007E5071" w:rsidRDefault="00972C80" w:rsidP="00983502">
      <w:pPr>
        <w:numPr>
          <w:ilvl w:val="1"/>
          <w:numId w:val="1"/>
        </w:numPr>
        <w:spacing w:after="120"/>
        <w:rPr>
          <w:rFonts w:asciiTheme="minorHAnsi" w:hAnsiTheme="minorHAnsi"/>
          <w:bCs/>
        </w:rPr>
      </w:pPr>
      <w:r w:rsidRPr="007E5071">
        <w:rPr>
          <w:rFonts w:asciiTheme="minorHAnsi" w:hAnsiTheme="minorHAnsi"/>
          <w:bCs/>
        </w:rPr>
        <w:t xml:space="preserve">The PBAC noted the correspondence received from </w:t>
      </w:r>
      <w:r w:rsidR="00A83752" w:rsidRPr="007E5071">
        <w:rPr>
          <w:rFonts w:asciiTheme="minorHAnsi" w:hAnsiTheme="minorHAnsi"/>
          <w:bCs/>
        </w:rPr>
        <w:t xml:space="preserve">(i) </w:t>
      </w:r>
      <w:r w:rsidRPr="007E5071">
        <w:rPr>
          <w:rFonts w:asciiTheme="minorHAnsi" w:hAnsiTheme="minorHAnsi"/>
          <w:bCs/>
        </w:rPr>
        <w:t xml:space="preserve">Melanoma Patients Australia and </w:t>
      </w:r>
      <w:r w:rsidR="00A83752" w:rsidRPr="007E5071">
        <w:rPr>
          <w:rFonts w:asciiTheme="minorHAnsi" w:hAnsiTheme="minorHAnsi"/>
          <w:bCs/>
        </w:rPr>
        <w:t xml:space="preserve">(ii) </w:t>
      </w:r>
      <w:r w:rsidRPr="007E5071">
        <w:rPr>
          <w:rFonts w:asciiTheme="minorHAnsi" w:hAnsiTheme="minorHAnsi"/>
          <w:bCs/>
        </w:rPr>
        <w:t xml:space="preserve">Australian Melanoma Consumer Alliance and the Melanoma Research Victoria Consumer Reference Group. These organisations expressed their support for the PBS listing of NIVO monotherapy and NIVO+IPI as a first-line treatment option in patients with BRAF positive unresectable melanoma, citing the lack of clinical data supporting the current PBS restriction. </w:t>
      </w:r>
    </w:p>
    <w:p w:rsidR="00442972" w:rsidRPr="007E5071" w:rsidRDefault="00972C80" w:rsidP="00983502">
      <w:pPr>
        <w:numPr>
          <w:ilvl w:val="1"/>
          <w:numId w:val="1"/>
        </w:numPr>
        <w:spacing w:after="120"/>
        <w:rPr>
          <w:rFonts w:asciiTheme="minorHAnsi" w:hAnsiTheme="minorHAnsi"/>
          <w:bCs/>
        </w:rPr>
      </w:pPr>
      <w:r w:rsidRPr="007E5071">
        <w:rPr>
          <w:rFonts w:asciiTheme="minorHAnsi" w:hAnsiTheme="minorHAnsi"/>
          <w:bCs/>
        </w:rPr>
        <w:t xml:space="preserve">The Medical Oncology Group of Australia (MOGA) also expressed its </w:t>
      </w:r>
      <w:r w:rsidR="00511AC5" w:rsidRPr="007E5071">
        <w:rPr>
          <w:rFonts w:asciiTheme="minorHAnsi" w:hAnsiTheme="minorHAnsi"/>
          <w:bCs/>
        </w:rPr>
        <w:t xml:space="preserve">strong </w:t>
      </w:r>
      <w:r w:rsidRPr="007E5071">
        <w:rPr>
          <w:rFonts w:asciiTheme="minorHAnsi" w:hAnsiTheme="minorHAnsi"/>
          <w:bCs/>
        </w:rPr>
        <w:t xml:space="preserve">support for </w:t>
      </w:r>
      <w:r w:rsidR="00511AC5" w:rsidRPr="007E5071">
        <w:rPr>
          <w:rFonts w:asciiTheme="minorHAnsi" w:hAnsiTheme="minorHAnsi"/>
          <w:bCs/>
        </w:rPr>
        <w:t xml:space="preserve">first-line NIVO monotherapy or NIVO+IPI in the </w:t>
      </w:r>
      <w:r w:rsidRPr="007E5071">
        <w:rPr>
          <w:rFonts w:asciiTheme="minorHAnsi" w:hAnsiTheme="minorHAnsi"/>
          <w:bCs/>
        </w:rPr>
        <w:t xml:space="preserve">treatment </w:t>
      </w:r>
      <w:r w:rsidR="00511AC5" w:rsidRPr="007E5071">
        <w:rPr>
          <w:rFonts w:asciiTheme="minorHAnsi" w:hAnsiTheme="minorHAnsi"/>
          <w:bCs/>
        </w:rPr>
        <w:t>of BRAF positive patients with unresectable Stage III or IV melanoma,</w:t>
      </w:r>
      <w:r w:rsidRPr="007E5071">
        <w:rPr>
          <w:rFonts w:asciiTheme="minorHAnsi" w:hAnsiTheme="minorHAnsi"/>
          <w:bCs/>
        </w:rPr>
        <w:t xml:space="preserve"> categorising it as one of the therapies of ‘highest priority for PBS listing’ on the basis of the </w:t>
      </w:r>
      <w:r w:rsidR="00511AC5" w:rsidRPr="007E5071">
        <w:rPr>
          <w:rFonts w:asciiTheme="minorHAnsi" w:hAnsiTheme="minorHAnsi"/>
          <w:bCs/>
        </w:rPr>
        <w:t>Checkmate 067</w:t>
      </w:r>
      <w:r w:rsidRPr="007E5071">
        <w:rPr>
          <w:rFonts w:asciiTheme="minorHAnsi" w:hAnsiTheme="minorHAnsi"/>
          <w:bCs/>
        </w:rPr>
        <w:t xml:space="preserve"> trial. The PBAC noted that </w:t>
      </w:r>
      <w:r w:rsidR="00511AC5" w:rsidRPr="007E5071">
        <w:rPr>
          <w:rFonts w:asciiTheme="minorHAnsi" w:hAnsiTheme="minorHAnsi"/>
          <w:bCs/>
        </w:rPr>
        <w:t>NIVO monotherapy and NIVO+IPI were unable to be scored on the E</w:t>
      </w:r>
      <w:r w:rsidR="00593619" w:rsidRPr="007E5071">
        <w:rPr>
          <w:rFonts w:asciiTheme="minorHAnsi" w:hAnsiTheme="minorHAnsi"/>
          <w:bCs/>
        </w:rPr>
        <w:t xml:space="preserve">SMO </w:t>
      </w:r>
      <w:r w:rsidRPr="007E5071">
        <w:rPr>
          <w:rFonts w:asciiTheme="minorHAnsi" w:hAnsiTheme="minorHAnsi"/>
          <w:bCs/>
        </w:rPr>
        <w:t xml:space="preserve">Magnitude of Clinical Benefit Scale (ESMO-MCBS) </w:t>
      </w:r>
      <w:r w:rsidR="00511AC5" w:rsidRPr="007E5071">
        <w:rPr>
          <w:rFonts w:asciiTheme="minorHAnsi" w:hAnsiTheme="minorHAnsi"/>
          <w:bCs/>
        </w:rPr>
        <w:t>as there are no direct comparisons of NIVO monotherapy or NIVO+IPI versus BRAF</w:t>
      </w:r>
      <w:r w:rsidR="00511AC5" w:rsidRPr="007E5071">
        <w:rPr>
          <w:rFonts w:asciiTheme="minorHAnsi" w:hAnsiTheme="minorHAnsi" w:cstheme="minorHAnsi"/>
          <w:bCs/>
        </w:rPr>
        <w:t>±</w:t>
      </w:r>
      <w:r w:rsidR="00511AC5" w:rsidRPr="007E5071">
        <w:rPr>
          <w:rFonts w:asciiTheme="minorHAnsi" w:hAnsiTheme="minorHAnsi"/>
          <w:bCs/>
        </w:rPr>
        <w:t>MEK inhibitors as first-line treatments in the BRAF positive population</w:t>
      </w:r>
      <w:r w:rsidRPr="007E5071">
        <w:rPr>
          <w:rFonts w:asciiTheme="minorHAnsi" w:hAnsiTheme="minorHAnsi"/>
          <w:bCs/>
        </w:rPr>
        <w:t>.</w:t>
      </w:r>
    </w:p>
    <w:p w:rsidR="00AA684F" w:rsidRPr="007E5071" w:rsidRDefault="00AA684F" w:rsidP="00EA05AA">
      <w:pPr>
        <w:pStyle w:val="Heading2"/>
        <w:keepNext/>
      </w:pPr>
      <w:r w:rsidRPr="007E5071">
        <w:t>Clinical trials</w:t>
      </w:r>
      <w:bookmarkEnd w:id="6"/>
    </w:p>
    <w:p w:rsidR="00AA684F" w:rsidRPr="007E5071" w:rsidRDefault="00AA684F" w:rsidP="00EA05AA">
      <w:pPr>
        <w:keepNext/>
      </w:pPr>
    </w:p>
    <w:p w:rsidR="00AA684F" w:rsidRPr="007E5071" w:rsidRDefault="00AA684F" w:rsidP="00983502">
      <w:pPr>
        <w:pStyle w:val="ListParagraph"/>
        <w:keepNext/>
        <w:widowControl/>
        <w:numPr>
          <w:ilvl w:val="1"/>
          <w:numId w:val="1"/>
        </w:numPr>
      </w:pPr>
      <w:r w:rsidRPr="007E5071">
        <w:t xml:space="preserve">The submission </w:t>
      </w:r>
      <w:r w:rsidR="00FD3320" w:rsidRPr="007E5071">
        <w:t>presented</w:t>
      </w:r>
      <w:r w:rsidRPr="007E5071">
        <w:t xml:space="preserve"> a </w:t>
      </w:r>
      <w:r w:rsidR="00792A15" w:rsidRPr="007E5071">
        <w:t>naïve side-by-side comparison</w:t>
      </w:r>
      <w:r w:rsidR="00FD3320" w:rsidRPr="007E5071">
        <w:t>, based on</w:t>
      </w:r>
      <w:r w:rsidR="00710510" w:rsidRPr="007E5071">
        <w:t xml:space="preserve"> </w:t>
      </w:r>
      <w:r w:rsidR="00F5311D" w:rsidRPr="007E5071">
        <w:t xml:space="preserve">subgroup analyses </w:t>
      </w:r>
      <w:r w:rsidR="00FD3320" w:rsidRPr="007E5071">
        <w:t xml:space="preserve">of </w:t>
      </w:r>
      <w:r w:rsidR="00F5311D" w:rsidRPr="007E5071">
        <w:t xml:space="preserve">patients with BRAF mutation positive melanoma in the relevant treatment arms from a three-arm </w:t>
      </w:r>
      <w:r w:rsidR="004001A0" w:rsidRPr="007E5071">
        <w:t>randomised controlled trial (RC</w:t>
      </w:r>
      <w:r w:rsidR="00F5311D" w:rsidRPr="007E5071">
        <w:t>T</w:t>
      </w:r>
      <w:r w:rsidR="004001A0" w:rsidRPr="007E5071">
        <w:t>)</w:t>
      </w:r>
      <w:r w:rsidR="00F5311D" w:rsidRPr="007E5071">
        <w:t xml:space="preserve"> comparing NIVO monotherapy and NIVO+IPI with IPI monotherapy (CA209-067), </w:t>
      </w:r>
      <w:r w:rsidR="00FD3320" w:rsidRPr="007E5071">
        <w:t xml:space="preserve">and </w:t>
      </w:r>
      <w:r w:rsidR="00F5311D" w:rsidRPr="007E5071">
        <w:t xml:space="preserve">the results for the intention to treat (ITT) population in the relevant treatment arms from an RCT comparing DAB+TRAM with vemurafenib monotherapy (COMBI-V) and an RCT comparing DAB+TRAM with DAB monotherapy (COMBI-D), both of which only included patients with BRAF mutation positive melanoma. </w:t>
      </w:r>
      <w:r w:rsidRPr="007E5071">
        <w:t xml:space="preserve">These </w:t>
      </w:r>
      <w:r w:rsidR="00A65C8D" w:rsidRPr="007E5071">
        <w:t xml:space="preserve">were the key trials </w:t>
      </w:r>
      <w:r w:rsidRPr="007E5071">
        <w:t xml:space="preserve">considered by </w:t>
      </w:r>
      <w:r w:rsidR="00A65C8D" w:rsidRPr="007E5071">
        <w:t xml:space="preserve">the </w:t>
      </w:r>
      <w:r w:rsidRPr="007E5071">
        <w:t xml:space="preserve">PBAC when </w:t>
      </w:r>
      <w:r w:rsidR="00710510" w:rsidRPr="007E5071">
        <w:t>they</w:t>
      </w:r>
      <w:r w:rsidR="00A65C8D" w:rsidRPr="007E5071">
        <w:t xml:space="preserve"> recommended</w:t>
      </w:r>
      <w:r w:rsidRPr="007E5071">
        <w:t xml:space="preserve"> listing of NIVO monotherapy, NIVO+IPI and DAB+TRAM for the treatment of unresectable Stage III or Stage IV melanoma.</w:t>
      </w:r>
    </w:p>
    <w:p w:rsidR="00AA684F" w:rsidRPr="007E5071" w:rsidRDefault="00AA684F" w:rsidP="00983502">
      <w:pPr>
        <w:pStyle w:val="ListParagraph"/>
        <w:numPr>
          <w:ilvl w:val="0"/>
          <w:numId w:val="3"/>
        </w:numPr>
        <w:ind w:left="1080"/>
      </w:pPr>
      <w:r w:rsidRPr="007E5071">
        <w:t xml:space="preserve">CA209-067 was a randomised, double-blind, three-arm </w:t>
      </w:r>
      <w:r w:rsidR="00593619" w:rsidRPr="007E5071">
        <w:t>t</w:t>
      </w:r>
      <w:r w:rsidRPr="007E5071">
        <w:t>rial comparing NIVO monotherapy (N=313) and NIVO+IPI (N=313) with IPI monotherapy (N=311) in previously untreated, unresectable</w:t>
      </w:r>
      <w:r w:rsidR="00F5311D" w:rsidRPr="007E5071">
        <w:t xml:space="preserve"> Stage III</w:t>
      </w:r>
      <w:r w:rsidRPr="007E5071">
        <w:t xml:space="preserve"> or </w:t>
      </w:r>
      <w:r w:rsidR="00F5311D" w:rsidRPr="007E5071">
        <w:t>Stage IV</w:t>
      </w:r>
      <w:r w:rsidRPr="007E5071">
        <w:t xml:space="preserve"> melanoma. Randomisation was stratified by tumour BRAF sta</w:t>
      </w:r>
      <w:r w:rsidR="00F5311D" w:rsidRPr="007E5071">
        <w:t xml:space="preserve">tus (V600 </w:t>
      </w:r>
      <w:r w:rsidR="00E82DC6" w:rsidRPr="007E5071">
        <w:t>mutation negative</w:t>
      </w:r>
      <w:r w:rsidR="00F5311D" w:rsidRPr="007E5071">
        <w:t xml:space="preserve"> vs mutation </w:t>
      </w:r>
      <w:r w:rsidRPr="007E5071">
        <w:t>positive)</w:t>
      </w:r>
      <w:r w:rsidR="00F5311D" w:rsidRPr="007E5071">
        <w:t>.</w:t>
      </w:r>
    </w:p>
    <w:p w:rsidR="00AA684F" w:rsidRPr="007E5071" w:rsidRDefault="00AA684F" w:rsidP="00983502">
      <w:pPr>
        <w:pStyle w:val="ListParagraph"/>
        <w:numPr>
          <w:ilvl w:val="0"/>
          <w:numId w:val="3"/>
        </w:numPr>
        <w:ind w:left="1080"/>
      </w:pPr>
      <w:r w:rsidRPr="007E5071">
        <w:t xml:space="preserve">COMBI-D was a double-blind randomised trial comparing DAB+TRAM (N=211) with </w:t>
      </w:r>
      <w:r w:rsidR="00593619" w:rsidRPr="007E5071">
        <w:t>dabrafenib</w:t>
      </w:r>
      <w:r w:rsidRPr="007E5071">
        <w:t xml:space="preserve"> monotherapy (N=212) in patients with previously untreated, unresectable Stage IIIC or Stage IV melanoma with </w:t>
      </w:r>
      <w:r w:rsidR="00E82DC6" w:rsidRPr="007E5071">
        <w:t>a BRAF V600E or V600K mutation.</w:t>
      </w:r>
    </w:p>
    <w:p w:rsidR="00AA684F" w:rsidRPr="007E5071" w:rsidRDefault="00AA684F" w:rsidP="00983502">
      <w:pPr>
        <w:pStyle w:val="ListParagraph"/>
        <w:numPr>
          <w:ilvl w:val="0"/>
          <w:numId w:val="3"/>
        </w:numPr>
        <w:ind w:left="1080"/>
      </w:pPr>
      <w:r w:rsidRPr="007E5071">
        <w:t xml:space="preserve">COMBI-V was an open-label, randomised trial comparing DAB+TRAM (N=352) with vemurafenib monotherapy (N=352) as first-line therapy in patients with unresectable Stage IIIC or Stage IV melanoma with </w:t>
      </w:r>
      <w:r w:rsidR="00F5311D" w:rsidRPr="007E5071">
        <w:t>a BRAF V600E or V600K mutation.</w:t>
      </w:r>
    </w:p>
    <w:p w:rsidR="00AA684F" w:rsidRPr="007E5071" w:rsidRDefault="00AA684F" w:rsidP="00983502">
      <w:pPr>
        <w:pStyle w:val="ListParagraph"/>
        <w:widowControl/>
        <w:numPr>
          <w:ilvl w:val="1"/>
          <w:numId w:val="1"/>
        </w:numPr>
      </w:pPr>
      <w:r w:rsidRPr="007E5071">
        <w:rPr>
          <w:rFonts w:cs="Calibri"/>
          <w:snapToGrid/>
          <w:szCs w:val="24"/>
          <w:lang w:eastAsia="en-AU"/>
        </w:rPr>
        <w:t>Details of the trials presented in the submission are provided in the table below</w:t>
      </w:r>
      <w:r w:rsidR="007E5071" w:rsidRPr="007E5071">
        <w:rPr>
          <w:rFonts w:cs="Calibri"/>
          <w:snapToGrid/>
          <w:szCs w:val="24"/>
          <w:lang w:eastAsia="en-AU"/>
        </w:rPr>
        <w:t xml:space="preserve">. </w:t>
      </w:r>
    </w:p>
    <w:p w:rsidR="00AA684F" w:rsidRPr="007E5071" w:rsidRDefault="00AA684F" w:rsidP="009D02C5">
      <w:pPr>
        <w:pStyle w:val="Caption"/>
        <w:keepNext/>
        <w:keepLines/>
        <w:widowControl/>
        <w:rPr>
          <w:rStyle w:val="CommentReference"/>
          <w:b/>
          <w:szCs w:val="18"/>
        </w:rPr>
      </w:pPr>
      <w:r w:rsidRPr="007E5071">
        <w:t xml:space="preserve">Table </w:t>
      </w:r>
      <w:r w:rsidR="00E966F6" w:rsidRPr="007E5071">
        <w:t>3</w:t>
      </w:r>
      <w:r w:rsidRPr="007E5071">
        <w:t xml:space="preserve">: </w:t>
      </w:r>
      <w:r w:rsidRPr="007E5071">
        <w:rPr>
          <w:rStyle w:val="CommentReference"/>
          <w:b/>
          <w:szCs w:val="18"/>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AA684F" w:rsidRPr="007E5071" w:rsidTr="00D062FF">
        <w:trPr>
          <w:tblHeader/>
        </w:trPr>
        <w:tc>
          <w:tcPr>
            <w:tcW w:w="796" w:type="pct"/>
            <w:vAlign w:val="center"/>
          </w:tcPr>
          <w:p w:rsidR="00AA684F" w:rsidRPr="007E5071" w:rsidRDefault="00AA684F" w:rsidP="009D02C5">
            <w:pPr>
              <w:pStyle w:val="Tabletext"/>
              <w:keepNext/>
              <w:keepLines/>
              <w:rPr>
                <w:b/>
              </w:rPr>
            </w:pPr>
            <w:r w:rsidRPr="007E5071">
              <w:rPr>
                <w:b/>
              </w:rPr>
              <w:t>Trial ID</w:t>
            </w:r>
          </w:p>
        </w:tc>
        <w:tc>
          <w:tcPr>
            <w:tcW w:w="3027" w:type="pct"/>
            <w:vAlign w:val="center"/>
          </w:tcPr>
          <w:p w:rsidR="00AA684F" w:rsidRPr="007E5071" w:rsidRDefault="00AA684F" w:rsidP="009D02C5">
            <w:pPr>
              <w:pStyle w:val="Tabletext"/>
              <w:keepNext/>
              <w:keepLines/>
              <w:jc w:val="center"/>
              <w:rPr>
                <w:b/>
              </w:rPr>
            </w:pPr>
            <w:r w:rsidRPr="007E5071">
              <w:rPr>
                <w:b/>
              </w:rPr>
              <w:t>Protocol title/ Publication title</w:t>
            </w:r>
          </w:p>
        </w:tc>
        <w:tc>
          <w:tcPr>
            <w:tcW w:w="1177" w:type="pct"/>
            <w:vAlign w:val="center"/>
          </w:tcPr>
          <w:p w:rsidR="00AA684F" w:rsidRPr="007E5071" w:rsidRDefault="00AA684F" w:rsidP="009D02C5">
            <w:pPr>
              <w:pStyle w:val="Tabletext"/>
              <w:keepNext/>
              <w:keepLines/>
              <w:jc w:val="center"/>
              <w:rPr>
                <w:b/>
              </w:rPr>
            </w:pPr>
            <w:r w:rsidRPr="007E5071">
              <w:rPr>
                <w:b/>
              </w:rPr>
              <w:t>Publication citation</w:t>
            </w:r>
          </w:p>
        </w:tc>
      </w:tr>
      <w:tr w:rsidR="00AA684F" w:rsidRPr="007E5071" w:rsidTr="00D062FF">
        <w:trPr>
          <w:trHeight w:val="271"/>
          <w:tblHeader/>
        </w:trPr>
        <w:tc>
          <w:tcPr>
            <w:tcW w:w="796" w:type="pct"/>
            <w:vMerge w:val="restart"/>
            <w:vAlign w:val="center"/>
          </w:tcPr>
          <w:p w:rsidR="00AA684F" w:rsidRPr="007E5071" w:rsidRDefault="00AA684F" w:rsidP="009D02C5">
            <w:pPr>
              <w:pStyle w:val="Tabletext"/>
              <w:keepNext/>
              <w:keepLines/>
              <w:rPr>
                <w:rFonts w:ascii="Times" w:hAnsi="Times"/>
              </w:rPr>
            </w:pPr>
            <w:r w:rsidRPr="007E5071">
              <w:t>CA209-067</w:t>
            </w:r>
          </w:p>
        </w:tc>
        <w:tc>
          <w:tcPr>
            <w:tcW w:w="3027" w:type="pct"/>
            <w:tcBorders>
              <w:bottom w:val="nil"/>
            </w:tcBorders>
            <w:vAlign w:val="center"/>
          </w:tcPr>
          <w:p w:rsidR="00AA684F" w:rsidRPr="007E5071" w:rsidRDefault="00AA684F" w:rsidP="009D02C5">
            <w:pPr>
              <w:pStyle w:val="Tabletext"/>
              <w:keepNext/>
              <w:keepLines/>
              <w:spacing w:after="60"/>
              <w:rPr>
                <w:szCs w:val="20"/>
              </w:rPr>
            </w:pPr>
            <w:r w:rsidRPr="007E5071">
              <w:rPr>
                <w:rStyle w:val="Small"/>
                <w:rFonts w:ascii="Arial Narrow" w:hAnsi="Arial Narrow"/>
                <w:sz w:val="20"/>
                <w:szCs w:val="20"/>
              </w:rPr>
              <w:t>A phase 3, randomised, double-blind study of nivolumab monotherapy or nivolumab combined with ipilimumab versus ipilimumab monotherapy in subjects with previously untreated unresectable or metastatic melanoma</w:t>
            </w:r>
            <w:r w:rsidR="007E5071" w:rsidRPr="007E5071">
              <w:rPr>
                <w:rStyle w:val="Small"/>
                <w:rFonts w:ascii="Arial Narrow" w:hAnsi="Arial Narrow"/>
                <w:sz w:val="20"/>
                <w:szCs w:val="20"/>
              </w:rPr>
              <w:t xml:space="preserve">. </w:t>
            </w:r>
          </w:p>
        </w:tc>
        <w:tc>
          <w:tcPr>
            <w:tcW w:w="1177" w:type="pct"/>
            <w:tcBorders>
              <w:bottom w:val="nil"/>
            </w:tcBorders>
            <w:vAlign w:val="center"/>
          </w:tcPr>
          <w:p w:rsidR="00AA684F" w:rsidRPr="007E5071" w:rsidRDefault="00AA684F" w:rsidP="009D02C5">
            <w:pPr>
              <w:pStyle w:val="Tabletext"/>
              <w:keepNext/>
              <w:keepLines/>
              <w:rPr>
                <w:szCs w:val="18"/>
              </w:rPr>
            </w:pPr>
            <w:r w:rsidRPr="007E5071">
              <w:rPr>
                <w:szCs w:val="18"/>
              </w:rPr>
              <w:t xml:space="preserve"> </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20"/>
              </w:rPr>
            </w:pPr>
            <w:r w:rsidRPr="007E5071">
              <w:rPr>
                <w:szCs w:val="20"/>
              </w:rPr>
              <w:t>Interim Clinical Study Report: database lock February 2015.</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szCs w:val="18"/>
              </w:rPr>
              <w:t>June 2015</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20"/>
              </w:rPr>
            </w:pPr>
            <w:r w:rsidRPr="007E5071">
              <w:rPr>
                <w:szCs w:val="20"/>
              </w:rPr>
              <w:t>Final Clinical Study Report: database lock September 2016.</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szCs w:val="18"/>
              </w:rPr>
              <w:t>December 2016</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20"/>
                <w:vertAlign w:val="superscript"/>
              </w:rPr>
            </w:pPr>
            <w:r w:rsidRPr="007E5071">
              <w:rPr>
                <w:szCs w:val="20"/>
              </w:rPr>
              <w:t>Ad hoc report_3 year: database lock May 2017</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szCs w:val="18"/>
              </w:rPr>
              <w:t>-</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20"/>
              </w:rPr>
            </w:pPr>
            <w:r w:rsidRPr="007E5071">
              <w:rPr>
                <w:szCs w:val="20"/>
              </w:rPr>
              <w:t>Binder3_AE by BRAF status: database lock May 2017</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szCs w:val="18"/>
              </w:rPr>
              <w:t>June 2019</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20"/>
              </w:rPr>
            </w:pPr>
            <w:r w:rsidRPr="007E5071">
              <w:rPr>
                <w:szCs w:val="20"/>
              </w:rPr>
              <w:t>Addendum 02 Clinical Study Report: database lock May 2018</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szCs w:val="18"/>
              </w:rPr>
              <w:t>August 2018</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20"/>
              </w:rPr>
            </w:pPr>
            <w:r w:rsidRPr="007E5071">
              <w:rPr>
                <w:szCs w:val="20"/>
              </w:rPr>
              <w:t>Larkin J, Chiarion-Sileni V, Gonzalez R et al. Combined nivolumab and ipilimumab or monotherapy in untreated melanoma.</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rFonts w:eastAsia="SimSun" w:cs="Arial Narrow"/>
                <w:i/>
              </w:rPr>
              <w:t>NEJM</w:t>
            </w:r>
            <w:r w:rsidRPr="007E5071">
              <w:rPr>
                <w:rFonts w:eastAsia="SimSun" w:cs="Arial Narrow"/>
              </w:rPr>
              <w:t xml:space="preserve"> 2015; 373 (1): 23-34.</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pPr>
            <w:r w:rsidRPr="007E5071">
              <w:t>Hodi FS, Chiarion-Sileni V, Gonzalez R et al</w:t>
            </w:r>
            <w:r w:rsidR="007E5071" w:rsidRPr="007E5071">
              <w:t xml:space="preserve">. </w:t>
            </w:r>
            <w:r w:rsidRPr="007E5071">
              <w:t xml:space="preserve">Nivolumab plus ipilimumab or nivolumab alone versus ipilimumab alone in advanced melanoma (CheckMate 067): 4-year outcomes of a multicentre, randomised, phase 3 trial. </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i/>
              </w:rPr>
              <w:t>Lancet Oncology</w:t>
            </w:r>
            <w:r w:rsidRPr="007E5071">
              <w:t xml:space="preserve"> 2018; 19: 1480-92.</w:t>
            </w:r>
          </w:p>
        </w:tc>
      </w:tr>
      <w:tr w:rsidR="00AA684F" w:rsidRPr="007E5071" w:rsidTr="00D062FF">
        <w:trPr>
          <w:tblHeader/>
        </w:trPr>
        <w:tc>
          <w:tcPr>
            <w:tcW w:w="796" w:type="pct"/>
            <w:vMerge/>
            <w:tcBorders>
              <w:bottom w:val="single" w:sz="4" w:space="0" w:color="auto"/>
            </w:tcBorders>
            <w:vAlign w:val="center"/>
          </w:tcPr>
          <w:p w:rsidR="00AA684F" w:rsidRPr="007E5071" w:rsidRDefault="00AA684F" w:rsidP="009D02C5">
            <w:pPr>
              <w:pStyle w:val="Tabletext"/>
              <w:keepNext/>
              <w:keepLines/>
            </w:pPr>
          </w:p>
        </w:tc>
        <w:tc>
          <w:tcPr>
            <w:tcW w:w="3027" w:type="pct"/>
            <w:tcBorders>
              <w:top w:val="nil"/>
              <w:bottom w:val="single" w:sz="4" w:space="0" w:color="auto"/>
            </w:tcBorders>
            <w:vAlign w:val="center"/>
          </w:tcPr>
          <w:p w:rsidR="00AA684F" w:rsidRPr="007E5071" w:rsidRDefault="00AA684F" w:rsidP="009D02C5">
            <w:pPr>
              <w:pStyle w:val="Tabletext"/>
              <w:keepNext/>
              <w:keepLines/>
            </w:pPr>
            <w:r w:rsidRPr="007E5071">
              <w:t>Schadendorf D, Larkin J, Wolchok J et al</w:t>
            </w:r>
            <w:r w:rsidR="007E5071" w:rsidRPr="007E5071">
              <w:t xml:space="preserve">. </w:t>
            </w:r>
            <w:r w:rsidRPr="007E5071">
              <w:t>Health-related quality of life results from the phase III CheckMate 067 study.</w:t>
            </w:r>
          </w:p>
        </w:tc>
        <w:tc>
          <w:tcPr>
            <w:tcW w:w="1177" w:type="pct"/>
            <w:tcBorders>
              <w:top w:val="nil"/>
              <w:bottom w:val="single" w:sz="4" w:space="0" w:color="auto"/>
            </w:tcBorders>
            <w:vAlign w:val="center"/>
          </w:tcPr>
          <w:p w:rsidR="00AA684F" w:rsidRPr="007E5071" w:rsidRDefault="00AA684F" w:rsidP="009D02C5">
            <w:pPr>
              <w:pStyle w:val="Tabletext"/>
              <w:keepNext/>
              <w:keepLines/>
            </w:pPr>
            <w:r w:rsidRPr="007E5071">
              <w:rPr>
                <w:i/>
              </w:rPr>
              <w:t>Eur J Cancer</w:t>
            </w:r>
            <w:r w:rsidRPr="007E5071">
              <w:t xml:space="preserve"> 2017; 82: 80-91.</w:t>
            </w:r>
          </w:p>
        </w:tc>
      </w:tr>
      <w:tr w:rsidR="00AA684F" w:rsidRPr="007E5071" w:rsidTr="00D062FF">
        <w:trPr>
          <w:tblHeader/>
        </w:trPr>
        <w:tc>
          <w:tcPr>
            <w:tcW w:w="796" w:type="pct"/>
            <w:vMerge w:val="restart"/>
            <w:vAlign w:val="center"/>
          </w:tcPr>
          <w:p w:rsidR="00AA684F" w:rsidRPr="007E5071" w:rsidRDefault="00AA684F" w:rsidP="009D02C5">
            <w:pPr>
              <w:pStyle w:val="Tabletext"/>
              <w:keepNext/>
              <w:keepLines/>
            </w:pPr>
            <w:r w:rsidRPr="007E5071">
              <w:t>COMBI-D</w:t>
            </w:r>
          </w:p>
        </w:tc>
        <w:tc>
          <w:tcPr>
            <w:tcW w:w="3027" w:type="pct"/>
            <w:tcBorders>
              <w:bottom w:val="nil"/>
            </w:tcBorders>
            <w:vAlign w:val="center"/>
          </w:tcPr>
          <w:p w:rsidR="00AA684F" w:rsidRPr="007E5071" w:rsidRDefault="00AA684F" w:rsidP="009D02C5">
            <w:pPr>
              <w:pStyle w:val="Tabletext"/>
              <w:keepNext/>
              <w:keepLines/>
              <w:spacing w:after="60"/>
              <w:rPr>
                <w:szCs w:val="18"/>
              </w:rPr>
            </w:pPr>
            <w:r w:rsidRPr="007E5071">
              <w:rPr>
                <w:szCs w:val="18"/>
              </w:rPr>
              <w:t>Long GV, Stroyakovskiy D, Gogas H, et al. Combined BRAF and MEK inhibition versus BRAF inhibition alone in melanoma.</w:t>
            </w:r>
          </w:p>
        </w:tc>
        <w:tc>
          <w:tcPr>
            <w:tcW w:w="1177" w:type="pct"/>
            <w:tcBorders>
              <w:bottom w:val="nil"/>
            </w:tcBorders>
            <w:vAlign w:val="center"/>
          </w:tcPr>
          <w:p w:rsidR="00AA684F" w:rsidRPr="007E5071" w:rsidRDefault="00AA684F" w:rsidP="009D02C5">
            <w:pPr>
              <w:pStyle w:val="Tabletext"/>
              <w:keepNext/>
              <w:keepLines/>
              <w:rPr>
                <w:szCs w:val="18"/>
              </w:rPr>
            </w:pPr>
            <w:r w:rsidRPr="007E5071">
              <w:rPr>
                <w:i/>
                <w:szCs w:val="18"/>
              </w:rPr>
              <w:t>NEJM</w:t>
            </w:r>
            <w:r w:rsidRPr="007E5071">
              <w:rPr>
                <w:szCs w:val="18"/>
              </w:rPr>
              <w:t xml:space="preserve"> 2014; 371(20): 1877-1888</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18"/>
              </w:rPr>
            </w:pPr>
            <w:r w:rsidRPr="007E5071">
              <w:rPr>
                <w:szCs w:val="18"/>
              </w:rPr>
              <w:t>Long GV, Stroyakovskiy D, Gogas H, et al. Dabrafenib and trametinib versus dabrafenib and placebo for Val600 BRAF-mutant melanoma: a multicentre, double-blind, phase 3 randomised controlled trial.</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i/>
                <w:szCs w:val="18"/>
              </w:rPr>
              <w:t>Lancet</w:t>
            </w:r>
            <w:r w:rsidRPr="007E5071">
              <w:rPr>
                <w:szCs w:val="18"/>
              </w:rPr>
              <w:t xml:space="preserve"> 2015; 386 (9992): 444-451</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18"/>
              </w:rPr>
            </w:pPr>
            <w:r w:rsidRPr="007E5071">
              <w:rPr>
                <w:szCs w:val="18"/>
              </w:rPr>
              <w:t>Schadendorf D, Amonkar MM, Stroyakovskiy D, et al. Health-related quality of life impact in a randomised phase III study of the combination of dabrafenib and trametinib versus dabrafenib monotherapy in patients with BRAF V600 metastatic melanoma.</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i/>
                <w:szCs w:val="18"/>
              </w:rPr>
              <w:t>Eur J Cancer</w:t>
            </w:r>
            <w:r w:rsidRPr="007E5071">
              <w:rPr>
                <w:szCs w:val="18"/>
              </w:rPr>
              <w:t xml:space="preserve"> 2015; 51 (7): 833-840 </w:t>
            </w:r>
          </w:p>
        </w:tc>
      </w:tr>
      <w:tr w:rsidR="00AA684F" w:rsidRPr="007E5071" w:rsidTr="00D062FF">
        <w:trPr>
          <w:tblHeader/>
        </w:trPr>
        <w:tc>
          <w:tcPr>
            <w:tcW w:w="796" w:type="pct"/>
            <w:vMerge/>
            <w:tcBorders>
              <w:bottom w:val="nil"/>
            </w:tcBorders>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rPr>
                <w:szCs w:val="18"/>
              </w:rPr>
            </w:pPr>
            <w:r w:rsidRPr="007E5071">
              <w:rPr>
                <w:szCs w:val="18"/>
              </w:rPr>
              <w:t xml:space="preserve">Long GV, Flaherty KT, Stroyakovskiy D, et al. Dabrafenib plus trametinib versus dabrafenib monotherapy in patients with metastatic BRAF V600E/K-mutant melanoma: long-term survival and safety analysis of a phase 3 study </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i/>
                <w:szCs w:val="18"/>
              </w:rPr>
              <w:t>Ann Oncol</w:t>
            </w:r>
            <w:r w:rsidRPr="007E5071">
              <w:rPr>
                <w:szCs w:val="18"/>
              </w:rPr>
              <w:t xml:space="preserve"> 2017; 28(7): 1631-1639</w:t>
            </w:r>
          </w:p>
        </w:tc>
      </w:tr>
      <w:tr w:rsidR="00AA684F" w:rsidRPr="007E5071" w:rsidTr="00D062FF">
        <w:trPr>
          <w:tblHeader/>
        </w:trPr>
        <w:tc>
          <w:tcPr>
            <w:tcW w:w="796" w:type="pct"/>
            <w:vMerge w:val="restart"/>
            <w:vAlign w:val="center"/>
          </w:tcPr>
          <w:p w:rsidR="00AA684F" w:rsidRPr="007E5071" w:rsidRDefault="00AA684F" w:rsidP="009D02C5">
            <w:pPr>
              <w:pStyle w:val="Tabletext"/>
              <w:keepNext/>
              <w:keepLines/>
              <w:rPr>
                <w:rFonts w:ascii="Times" w:hAnsi="Times"/>
              </w:rPr>
            </w:pPr>
            <w:r w:rsidRPr="007E5071">
              <w:t>COMBI-V</w:t>
            </w:r>
          </w:p>
        </w:tc>
        <w:tc>
          <w:tcPr>
            <w:tcW w:w="3027" w:type="pct"/>
            <w:tcBorders>
              <w:bottom w:val="nil"/>
            </w:tcBorders>
            <w:vAlign w:val="center"/>
          </w:tcPr>
          <w:p w:rsidR="00AA684F" w:rsidRPr="007E5071" w:rsidRDefault="00AA684F" w:rsidP="009D02C5">
            <w:pPr>
              <w:pStyle w:val="Tabletext"/>
              <w:keepNext/>
              <w:keepLines/>
              <w:spacing w:after="60"/>
              <w:rPr>
                <w:szCs w:val="18"/>
              </w:rPr>
            </w:pPr>
            <w:r w:rsidRPr="007E5071">
              <w:rPr>
                <w:szCs w:val="18"/>
              </w:rPr>
              <w:t>Robert C, Karaszewska B, Schachter J, et al. Improved overall survival in melanoma with combined dabrafenib and trametinib.</w:t>
            </w:r>
          </w:p>
        </w:tc>
        <w:tc>
          <w:tcPr>
            <w:tcW w:w="1177" w:type="pct"/>
            <w:tcBorders>
              <w:bottom w:val="nil"/>
            </w:tcBorders>
            <w:vAlign w:val="center"/>
          </w:tcPr>
          <w:p w:rsidR="00AA684F" w:rsidRPr="007E5071" w:rsidRDefault="00AA684F" w:rsidP="009D02C5">
            <w:pPr>
              <w:pStyle w:val="Tabletext"/>
              <w:keepNext/>
              <w:keepLines/>
              <w:rPr>
                <w:szCs w:val="18"/>
              </w:rPr>
            </w:pPr>
            <w:r w:rsidRPr="007E5071">
              <w:rPr>
                <w:i/>
                <w:szCs w:val="18"/>
              </w:rPr>
              <w:t xml:space="preserve">NEJM </w:t>
            </w:r>
            <w:r w:rsidRPr="007E5071">
              <w:rPr>
                <w:szCs w:val="18"/>
              </w:rPr>
              <w:t>2015; 372(1): 30-39</w:t>
            </w:r>
          </w:p>
        </w:tc>
      </w:tr>
      <w:tr w:rsidR="00AA684F" w:rsidRPr="007E5071" w:rsidTr="00D062FF">
        <w:trPr>
          <w:tblHeader/>
        </w:trPr>
        <w:tc>
          <w:tcPr>
            <w:tcW w:w="796" w:type="pct"/>
            <w:vMerge/>
            <w:tcBorders>
              <w:bottom w:val="nil"/>
            </w:tcBorders>
            <w:vAlign w:val="center"/>
          </w:tcPr>
          <w:p w:rsidR="00AA684F" w:rsidRPr="007E5071" w:rsidRDefault="00AA684F" w:rsidP="009D02C5">
            <w:pPr>
              <w:pStyle w:val="Tabletext"/>
              <w:keepNext/>
              <w:keepLines/>
              <w:rPr>
                <w:rFonts w:ascii="Times" w:hAnsi="Times"/>
              </w:rPr>
            </w:pPr>
          </w:p>
        </w:tc>
        <w:tc>
          <w:tcPr>
            <w:tcW w:w="3027" w:type="pct"/>
            <w:tcBorders>
              <w:top w:val="nil"/>
              <w:bottom w:val="nil"/>
            </w:tcBorders>
            <w:vAlign w:val="center"/>
          </w:tcPr>
          <w:p w:rsidR="00AA684F" w:rsidRPr="007E5071" w:rsidRDefault="00AA684F" w:rsidP="009D02C5">
            <w:pPr>
              <w:pStyle w:val="Tabletext"/>
              <w:keepNext/>
              <w:keepLines/>
              <w:spacing w:after="60"/>
              <w:rPr>
                <w:szCs w:val="18"/>
              </w:rPr>
            </w:pPr>
            <w:r w:rsidRPr="007E5071">
              <w:rPr>
                <w:szCs w:val="18"/>
              </w:rPr>
              <w:t>Grob JJ, Amonkar MM, Karaszewska B, et al. Comparison of dabrafenib and trametinib combination therapy with vemurafenib monotherapy on health-related quality of life in patients with unresectable or metastatic cutaneous BRAF Val600-mutation-positive melanoma (COMBI-v): results of a phase 3, open-label, randomised trial</w:t>
            </w:r>
          </w:p>
        </w:tc>
        <w:tc>
          <w:tcPr>
            <w:tcW w:w="1177" w:type="pct"/>
            <w:tcBorders>
              <w:top w:val="nil"/>
              <w:bottom w:val="nil"/>
            </w:tcBorders>
            <w:vAlign w:val="center"/>
          </w:tcPr>
          <w:p w:rsidR="00AA684F" w:rsidRPr="007E5071" w:rsidRDefault="00AA684F" w:rsidP="009D02C5">
            <w:pPr>
              <w:pStyle w:val="Tabletext"/>
              <w:keepNext/>
              <w:keepLines/>
              <w:rPr>
                <w:szCs w:val="18"/>
              </w:rPr>
            </w:pPr>
            <w:r w:rsidRPr="007E5071">
              <w:rPr>
                <w:i/>
                <w:szCs w:val="18"/>
              </w:rPr>
              <w:t>Lancet Oncol</w:t>
            </w:r>
            <w:r w:rsidRPr="007E5071">
              <w:rPr>
                <w:szCs w:val="18"/>
              </w:rPr>
              <w:t xml:space="preserve"> 2015; 16(13): 1389-1398</w:t>
            </w:r>
          </w:p>
        </w:tc>
      </w:tr>
      <w:tr w:rsidR="00AA684F" w:rsidRPr="007E5071" w:rsidTr="00D062FF">
        <w:trPr>
          <w:tblHeader/>
        </w:trPr>
        <w:tc>
          <w:tcPr>
            <w:tcW w:w="796" w:type="pct"/>
            <w:vMerge w:val="restart"/>
            <w:tcBorders>
              <w:top w:val="single" w:sz="4" w:space="0" w:color="auto"/>
            </w:tcBorders>
            <w:vAlign w:val="center"/>
          </w:tcPr>
          <w:p w:rsidR="00AA684F" w:rsidRPr="007E5071" w:rsidRDefault="00AA684F" w:rsidP="009D02C5">
            <w:pPr>
              <w:pStyle w:val="Tabletext"/>
              <w:keepNext/>
              <w:keepLines/>
            </w:pPr>
            <w:r w:rsidRPr="007E5071">
              <w:t>COMBI-D and COMBI-V pooled analyses</w:t>
            </w:r>
          </w:p>
        </w:tc>
        <w:tc>
          <w:tcPr>
            <w:tcW w:w="3027" w:type="pct"/>
            <w:tcBorders>
              <w:top w:val="single" w:sz="4" w:space="0" w:color="auto"/>
              <w:bottom w:val="nil"/>
            </w:tcBorders>
            <w:vAlign w:val="center"/>
          </w:tcPr>
          <w:p w:rsidR="00AA684F" w:rsidRPr="007E5071" w:rsidRDefault="00AA684F" w:rsidP="009D02C5">
            <w:pPr>
              <w:pStyle w:val="Tabletext"/>
              <w:keepNext/>
              <w:keepLines/>
              <w:spacing w:after="60"/>
              <w:rPr>
                <w:szCs w:val="18"/>
              </w:rPr>
            </w:pPr>
            <w:r w:rsidRPr="007E5071">
              <w:rPr>
                <w:szCs w:val="18"/>
              </w:rPr>
              <w:t>Schadendorf D, Long GV, Stroiakovski D et al</w:t>
            </w:r>
            <w:r w:rsidR="007E5071" w:rsidRPr="007E5071">
              <w:rPr>
                <w:szCs w:val="18"/>
              </w:rPr>
              <w:t xml:space="preserve">. </w:t>
            </w:r>
            <w:r w:rsidRPr="007E5071">
              <w:rPr>
                <w:szCs w:val="18"/>
              </w:rPr>
              <w:t>Three-year pooled analysis of factors associated with clinical outcomes across dabrafenib and trametinib combination therapy phase 3 randomised trials</w:t>
            </w:r>
            <w:r w:rsidR="007E5071" w:rsidRPr="007E5071">
              <w:rPr>
                <w:szCs w:val="18"/>
              </w:rPr>
              <w:t xml:space="preserve">. </w:t>
            </w:r>
          </w:p>
        </w:tc>
        <w:tc>
          <w:tcPr>
            <w:tcW w:w="1177" w:type="pct"/>
            <w:tcBorders>
              <w:top w:val="single" w:sz="4" w:space="0" w:color="auto"/>
              <w:bottom w:val="nil"/>
            </w:tcBorders>
            <w:vAlign w:val="center"/>
          </w:tcPr>
          <w:p w:rsidR="00AA684F" w:rsidRPr="007E5071" w:rsidRDefault="00AA684F" w:rsidP="009D02C5">
            <w:pPr>
              <w:pStyle w:val="Tabletext"/>
              <w:keepNext/>
              <w:keepLines/>
              <w:rPr>
                <w:rStyle w:val="Small"/>
                <w:rFonts w:asciiTheme="majorHAnsi" w:hAnsiTheme="majorHAnsi" w:cstheme="majorHAnsi"/>
                <w:sz w:val="16"/>
                <w:szCs w:val="16"/>
              </w:rPr>
            </w:pPr>
            <w:r w:rsidRPr="007E5071">
              <w:rPr>
                <w:i/>
                <w:szCs w:val="18"/>
              </w:rPr>
              <w:t xml:space="preserve">Eur J Cancer </w:t>
            </w:r>
            <w:r w:rsidRPr="007E5071">
              <w:rPr>
                <w:szCs w:val="18"/>
              </w:rPr>
              <w:t>2017; 82: 45-55</w:t>
            </w:r>
          </w:p>
        </w:tc>
      </w:tr>
      <w:tr w:rsidR="00AA684F" w:rsidRPr="007E5071" w:rsidTr="00D062FF">
        <w:trPr>
          <w:tblHeader/>
        </w:trPr>
        <w:tc>
          <w:tcPr>
            <w:tcW w:w="796" w:type="pct"/>
            <w:vMerge/>
            <w:vAlign w:val="center"/>
          </w:tcPr>
          <w:p w:rsidR="00AA684F" w:rsidRPr="007E5071" w:rsidRDefault="00AA684F" w:rsidP="009D02C5">
            <w:pPr>
              <w:pStyle w:val="Tabletext"/>
              <w:keepNext/>
              <w:keepLines/>
            </w:pPr>
          </w:p>
        </w:tc>
        <w:tc>
          <w:tcPr>
            <w:tcW w:w="3027" w:type="pct"/>
            <w:tcBorders>
              <w:top w:val="nil"/>
              <w:bottom w:val="nil"/>
            </w:tcBorders>
            <w:vAlign w:val="center"/>
          </w:tcPr>
          <w:p w:rsidR="00AA684F" w:rsidRPr="007E5071" w:rsidRDefault="00AA684F" w:rsidP="009D02C5">
            <w:pPr>
              <w:pStyle w:val="Tabletext"/>
              <w:keepNext/>
              <w:keepLines/>
              <w:spacing w:after="60"/>
              <w:rPr>
                <w:szCs w:val="18"/>
              </w:rPr>
            </w:pPr>
            <w:r w:rsidRPr="007E5071">
              <w:rPr>
                <w:szCs w:val="18"/>
              </w:rPr>
              <w:t>Robert C, Grob JJ, Stroyakovskiy D et al</w:t>
            </w:r>
            <w:r w:rsidR="007E5071" w:rsidRPr="007E5071">
              <w:rPr>
                <w:szCs w:val="18"/>
              </w:rPr>
              <w:t xml:space="preserve">. </w:t>
            </w:r>
            <w:r w:rsidRPr="007E5071">
              <w:rPr>
                <w:szCs w:val="18"/>
              </w:rPr>
              <w:t>Five-year outcomes with dabrafenib plus trametinib in metastatic melanoma</w:t>
            </w:r>
            <w:r w:rsidR="007E5071" w:rsidRPr="007E5071">
              <w:rPr>
                <w:szCs w:val="18"/>
              </w:rPr>
              <w:t xml:space="preserve">. </w:t>
            </w:r>
          </w:p>
        </w:tc>
        <w:tc>
          <w:tcPr>
            <w:tcW w:w="1177" w:type="pct"/>
            <w:tcBorders>
              <w:top w:val="nil"/>
              <w:bottom w:val="nil"/>
            </w:tcBorders>
            <w:vAlign w:val="center"/>
          </w:tcPr>
          <w:p w:rsidR="00AA684F" w:rsidRPr="007E5071" w:rsidRDefault="00AA684F" w:rsidP="009D02C5">
            <w:pPr>
              <w:pStyle w:val="Tabletext"/>
              <w:keepNext/>
              <w:keepLines/>
              <w:rPr>
                <w:rStyle w:val="Small"/>
                <w:rFonts w:asciiTheme="majorHAnsi" w:hAnsiTheme="majorHAnsi" w:cstheme="majorHAnsi"/>
                <w:sz w:val="16"/>
                <w:szCs w:val="16"/>
              </w:rPr>
            </w:pPr>
            <w:r w:rsidRPr="007E5071">
              <w:rPr>
                <w:i/>
                <w:szCs w:val="18"/>
              </w:rPr>
              <w:t>NEJM</w:t>
            </w:r>
            <w:r w:rsidRPr="007E5071">
              <w:rPr>
                <w:szCs w:val="18"/>
              </w:rPr>
              <w:t xml:space="preserve"> 2019; </w:t>
            </w:r>
            <w:r w:rsidR="00D72E29" w:rsidRPr="007E5071">
              <w:rPr>
                <w:szCs w:val="18"/>
              </w:rPr>
              <w:t>381</w:t>
            </w:r>
            <w:r w:rsidRPr="007E5071">
              <w:rPr>
                <w:szCs w:val="18"/>
              </w:rPr>
              <w:t xml:space="preserve">: </w:t>
            </w:r>
            <w:r w:rsidR="00D72E29" w:rsidRPr="007E5071">
              <w:rPr>
                <w:szCs w:val="18"/>
              </w:rPr>
              <w:t>626-36</w:t>
            </w:r>
          </w:p>
        </w:tc>
      </w:tr>
      <w:tr w:rsidR="00AA684F" w:rsidRPr="007E5071" w:rsidTr="00D062FF">
        <w:trPr>
          <w:tblHeader/>
        </w:trPr>
        <w:tc>
          <w:tcPr>
            <w:tcW w:w="796" w:type="pct"/>
            <w:vMerge/>
            <w:tcBorders>
              <w:bottom w:val="single" w:sz="4" w:space="0" w:color="auto"/>
            </w:tcBorders>
            <w:vAlign w:val="center"/>
          </w:tcPr>
          <w:p w:rsidR="00AA684F" w:rsidRPr="007E5071" w:rsidRDefault="00AA684F" w:rsidP="009D02C5">
            <w:pPr>
              <w:pStyle w:val="Tabletext"/>
              <w:keepNext/>
              <w:keepLines/>
              <w:rPr>
                <w:rFonts w:ascii="Times" w:hAnsi="Times"/>
              </w:rPr>
            </w:pPr>
          </w:p>
        </w:tc>
        <w:tc>
          <w:tcPr>
            <w:tcW w:w="3027" w:type="pct"/>
            <w:tcBorders>
              <w:top w:val="nil"/>
              <w:bottom w:val="single" w:sz="4" w:space="0" w:color="auto"/>
            </w:tcBorders>
            <w:vAlign w:val="center"/>
          </w:tcPr>
          <w:p w:rsidR="00AA684F" w:rsidRPr="007E5071" w:rsidRDefault="00AA684F" w:rsidP="009D02C5">
            <w:pPr>
              <w:pStyle w:val="Tabletext"/>
              <w:keepNext/>
              <w:keepLines/>
              <w:rPr>
                <w:szCs w:val="18"/>
              </w:rPr>
            </w:pPr>
            <w:r w:rsidRPr="007E5071">
              <w:rPr>
                <w:szCs w:val="18"/>
              </w:rPr>
              <w:t>Long GV, Grob JJ, Nathan P, et al. Factors predictive of response, disease progression, and overall survival after dabrafenib and trametinib combination treatment: a pooled analysis of individual patient data from randomised trials.</w:t>
            </w:r>
          </w:p>
        </w:tc>
        <w:tc>
          <w:tcPr>
            <w:tcW w:w="1177" w:type="pct"/>
            <w:tcBorders>
              <w:top w:val="nil"/>
              <w:bottom w:val="single" w:sz="4" w:space="0" w:color="auto"/>
            </w:tcBorders>
            <w:vAlign w:val="center"/>
          </w:tcPr>
          <w:p w:rsidR="00AA684F" w:rsidRPr="007E5071" w:rsidRDefault="00AA684F" w:rsidP="009D02C5">
            <w:pPr>
              <w:pStyle w:val="Tabletext"/>
              <w:keepNext/>
              <w:keepLines/>
              <w:rPr>
                <w:szCs w:val="18"/>
              </w:rPr>
            </w:pPr>
            <w:r w:rsidRPr="007E5071">
              <w:rPr>
                <w:i/>
                <w:szCs w:val="18"/>
              </w:rPr>
              <w:t>Lancet Oncol</w:t>
            </w:r>
            <w:r w:rsidRPr="007E5071">
              <w:rPr>
                <w:szCs w:val="18"/>
              </w:rPr>
              <w:t xml:space="preserve"> 2016; 17(12): 1743-1754</w:t>
            </w:r>
          </w:p>
        </w:tc>
      </w:tr>
    </w:tbl>
    <w:p w:rsidR="00AA684F" w:rsidRPr="007E5071" w:rsidRDefault="00AA684F" w:rsidP="009D02C5">
      <w:pPr>
        <w:pStyle w:val="TableFooter"/>
        <w:keepNext/>
        <w:keepLines/>
        <w:widowControl/>
      </w:pPr>
      <w:r w:rsidRPr="007E5071">
        <w:t>Source: Table 18, pp48-49 of the submission</w:t>
      </w:r>
    </w:p>
    <w:p w:rsidR="00AA684F" w:rsidRPr="007E5071" w:rsidRDefault="00AA684F" w:rsidP="00AA684F"/>
    <w:p w:rsidR="003D246E" w:rsidRPr="007E5071" w:rsidRDefault="00662AFF" w:rsidP="00983502">
      <w:pPr>
        <w:pStyle w:val="ListParagraph"/>
        <w:widowControl/>
        <w:numPr>
          <w:ilvl w:val="1"/>
          <w:numId w:val="1"/>
        </w:numPr>
      </w:pPr>
      <w:r w:rsidRPr="007E5071">
        <w:t>T</w:t>
      </w:r>
      <w:r w:rsidR="003D246E" w:rsidRPr="007E5071">
        <w:t>he ESC identified a recent network meta-analysis</w:t>
      </w:r>
      <w:r w:rsidR="003A150D" w:rsidRPr="007E5071">
        <w:t xml:space="preserve"> by An and Lui, 2019 which compared the efficacy and safety of combination therapies for advanced melanoma.</w:t>
      </w:r>
      <w:r w:rsidR="003A150D" w:rsidRPr="007E5071">
        <w:rPr>
          <w:rStyle w:val="FootnoteReference"/>
        </w:rPr>
        <w:footnoteReference w:id="2"/>
      </w:r>
      <w:r w:rsidR="003D246E" w:rsidRPr="007E5071">
        <w:t xml:space="preserve"> </w:t>
      </w:r>
      <w:r w:rsidRPr="007E5071">
        <w:t>The pre-PBAC response identified a</w:t>
      </w:r>
      <w:r w:rsidR="005710D9" w:rsidRPr="007E5071">
        <w:t>n additional</w:t>
      </w:r>
      <w:r w:rsidRPr="007E5071">
        <w:t xml:space="preserve"> network meta-analysis (Zoratti 2019) which compared therapies for previously untreated BRAF mutant melanoma.</w:t>
      </w:r>
      <w:r w:rsidRPr="007E5071">
        <w:rPr>
          <w:rStyle w:val="FootnoteReference"/>
        </w:rPr>
        <w:footnoteReference w:id="3"/>
      </w:r>
    </w:p>
    <w:p w:rsidR="00AA684F" w:rsidRPr="007E5071" w:rsidRDefault="00AA684F" w:rsidP="00983502">
      <w:pPr>
        <w:pStyle w:val="ListParagraph"/>
        <w:widowControl/>
        <w:numPr>
          <w:ilvl w:val="1"/>
          <w:numId w:val="1"/>
        </w:numPr>
      </w:pPr>
      <w:r w:rsidRPr="007E5071">
        <w:t xml:space="preserve">The submission </w:t>
      </w:r>
      <w:r w:rsidR="00CC7563" w:rsidRPr="007E5071">
        <w:t xml:space="preserve">also </w:t>
      </w:r>
      <w:r w:rsidRPr="007E5071">
        <w:t>identified two RCTs that are currently being conducted to determine the optimal seq</w:t>
      </w:r>
      <w:r w:rsidR="00EE409E" w:rsidRPr="007E5071">
        <w:t>uence of immunotherapy and BRAF+</w:t>
      </w:r>
      <w:r w:rsidRPr="007E5071">
        <w:t>MEK targeted therapy in patients with Stage III or Stage IV BRAF mutation positive melanoma (NCT02631447 and NCT02224781). The SECOMBIT trial (N</w:t>
      </w:r>
      <w:r w:rsidR="00E82DC6" w:rsidRPr="007E5071">
        <w:t>CT026314</w:t>
      </w:r>
      <w:r w:rsidRPr="007E5071">
        <w:t xml:space="preserve">47) is a three armed RCT evaluating the best sequential approach to combination therapy with NIVO+IPI and encorafenib+binimetinib in patients with </w:t>
      </w:r>
      <w:r w:rsidR="00E82DC6" w:rsidRPr="007E5071">
        <w:t>unresectable Stage III or Stage IV BRAF mutation positive melanoma</w:t>
      </w:r>
      <w:r w:rsidR="00E82DC6" w:rsidRPr="007E5071">
        <w:rPr>
          <w:rStyle w:val="FootnoteReference"/>
        </w:rPr>
        <w:footnoteReference w:id="4"/>
      </w:r>
      <w:r w:rsidRPr="007E5071">
        <w:t>; the estimated study completion date is December 2021. NCT02224781 is a RCT comparing NIVO+IPI followed by DAB+TRAM versus DAB+TRAM followed by NIVO+IPI in patients with Stage III-IV BRAF mutation positive melanoma; the estimated primary completion date is October 2022.</w:t>
      </w:r>
      <w:r w:rsidR="00A73947" w:rsidRPr="007E5071">
        <w:t xml:space="preserve"> The ESC considered that these ongoing trials reflected clinical equipoise regarding optimal first-line therapy, and considered that the results of these trials may provide critical information for future PBAC decision making</w:t>
      </w:r>
      <w:r w:rsidR="00B50E5D" w:rsidRPr="007E5071">
        <w:t>.</w:t>
      </w:r>
    </w:p>
    <w:p w:rsidR="00AA684F" w:rsidRPr="007E5071" w:rsidRDefault="00AA684F" w:rsidP="00983502">
      <w:pPr>
        <w:pStyle w:val="ListParagraph"/>
        <w:widowControl/>
        <w:numPr>
          <w:ilvl w:val="1"/>
          <w:numId w:val="1"/>
        </w:numPr>
      </w:pPr>
      <w:r w:rsidRPr="007E5071">
        <w:t>The key features of the randomised trials are summarised in the table below</w:t>
      </w:r>
      <w:r w:rsidR="007E5071" w:rsidRPr="007E5071">
        <w:t xml:space="preserve">. </w:t>
      </w:r>
    </w:p>
    <w:p w:rsidR="00AA684F" w:rsidRPr="007E5071" w:rsidRDefault="00AA684F" w:rsidP="00AA684F">
      <w:pPr>
        <w:pStyle w:val="Caption"/>
        <w:keepNext/>
        <w:rPr>
          <w:rStyle w:val="CommentReference"/>
          <w:b/>
          <w:szCs w:val="18"/>
        </w:rPr>
      </w:pPr>
      <w:r w:rsidRPr="007E5071">
        <w:t xml:space="preserve">Table </w:t>
      </w:r>
      <w:r w:rsidR="00E966F6" w:rsidRPr="007E5071">
        <w:t>4</w:t>
      </w:r>
      <w:r w:rsidRPr="007E5071">
        <w:t xml:space="preserve">: </w:t>
      </w:r>
      <w:r w:rsidRPr="007E5071">
        <w:rPr>
          <w:rStyle w:val="CommentReference"/>
          <w:b/>
          <w:szCs w:val="18"/>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 indirect comparison"/>
      </w:tblPr>
      <w:tblGrid>
        <w:gridCol w:w="1287"/>
        <w:gridCol w:w="1225"/>
        <w:gridCol w:w="1594"/>
        <w:gridCol w:w="1084"/>
        <w:gridCol w:w="2801"/>
        <w:gridCol w:w="1026"/>
      </w:tblGrid>
      <w:tr w:rsidR="00AA684F" w:rsidRPr="007E5071" w:rsidTr="00D062FF">
        <w:trPr>
          <w:tblHeader/>
        </w:trPr>
        <w:tc>
          <w:tcPr>
            <w:tcW w:w="714" w:type="pct"/>
            <w:shd w:val="clear" w:color="auto" w:fill="auto"/>
            <w:vAlign w:val="center"/>
          </w:tcPr>
          <w:p w:rsidR="00AA684F" w:rsidRPr="007E5071" w:rsidRDefault="00AA684F" w:rsidP="00807296">
            <w:pPr>
              <w:pStyle w:val="Tabletext"/>
              <w:rPr>
                <w:b/>
              </w:rPr>
            </w:pPr>
            <w:r w:rsidRPr="007E5071">
              <w:rPr>
                <w:b/>
              </w:rPr>
              <w:t>Trial</w:t>
            </w:r>
          </w:p>
        </w:tc>
        <w:tc>
          <w:tcPr>
            <w:tcW w:w="679" w:type="pct"/>
            <w:shd w:val="clear" w:color="auto" w:fill="auto"/>
            <w:vAlign w:val="center"/>
          </w:tcPr>
          <w:p w:rsidR="00AA684F" w:rsidRPr="007E5071" w:rsidRDefault="00AA684F" w:rsidP="00807296">
            <w:pPr>
              <w:pStyle w:val="Tabletext"/>
              <w:jc w:val="center"/>
              <w:rPr>
                <w:b/>
              </w:rPr>
            </w:pPr>
            <w:r w:rsidRPr="007E5071">
              <w:rPr>
                <w:b/>
              </w:rPr>
              <w:t>N</w:t>
            </w:r>
          </w:p>
        </w:tc>
        <w:tc>
          <w:tcPr>
            <w:tcW w:w="884" w:type="pct"/>
            <w:shd w:val="clear" w:color="auto" w:fill="auto"/>
            <w:vAlign w:val="center"/>
          </w:tcPr>
          <w:p w:rsidR="00AA684F" w:rsidRPr="007E5071" w:rsidRDefault="00AA684F" w:rsidP="005710D9">
            <w:pPr>
              <w:pStyle w:val="Tabletext"/>
              <w:jc w:val="center"/>
              <w:rPr>
                <w:b/>
              </w:rPr>
            </w:pPr>
            <w:r w:rsidRPr="007E5071">
              <w:rPr>
                <w:b/>
              </w:rPr>
              <w:t>Design/duration</w:t>
            </w:r>
          </w:p>
        </w:tc>
        <w:tc>
          <w:tcPr>
            <w:tcW w:w="601" w:type="pct"/>
            <w:shd w:val="clear" w:color="auto" w:fill="auto"/>
            <w:vAlign w:val="center"/>
          </w:tcPr>
          <w:p w:rsidR="00AA684F" w:rsidRPr="007E5071" w:rsidRDefault="00AA684F" w:rsidP="00807296">
            <w:pPr>
              <w:pStyle w:val="Tabletext"/>
              <w:jc w:val="center"/>
              <w:rPr>
                <w:b/>
              </w:rPr>
            </w:pPr>
            <w:r w:rsidRPr="007E5071">
              <w:rPr>
                <w:b/>
              </w:rPr>
              <w:t>Risk of bias</w:t>
            </w:r>
          </w:p>
        </w:tc>
        <w:tc>
          <w:tcPr>
            <w:tcW w:w="1553" w:type="pct"/>
            <w:shd w:val="clear" w:color="auto" w:fill="auto"/>
            <w:vAlign w:val="center"/>
          </w:tcPr>
          <w:p w:rsidR="00AA684F" w:rsidRPr="007E5071" w:rsidRDefault="00AA684F" w:rsidP="00807296">
            <w:pPr>
              <w:pStyle w:val="Tabletext"/>
              <w:jc w:val="center"/>
              <w:rPr>
                <w:b/>
              </w:rPr>
            </w:pPr>
            <w:r w:rsidRPr="007E5071">
              <w:rPr>
                <w:b/>
              </w:rPr>
              <w:t>Patient population</w:t>
            </w:r>
          </w:p>
        </w:tc>
        <w:tc>
          <w:tcPr>
            <w:tcW w:w="569" w:type="pct"/>
            <w:shd w:val="clear" w:color="auto" w:fill="auto"/>
            <w:vAlign w:val="center"/>
          </w:tcPr>
          <w:p w:rsidR="00AA684F" w:rsidRPr="007E5071" w:rsidRDefault="00AA684F" w:rsidP="00807296">
            <w:pPr>
              <w:pStyle w:val="Tabletext"/>
              <w:jc w:val="center"/>
              <w:rPr>
                <w:b/>
              </w:rPr>
            </w:pPr>
            <w:r w:rsidRPr="007E5071">
              <w:rPr>
                <w:b/>
              </w:rPr>
              <w:t>Outcomes</w:t>
            </w:r>
          </w:p>
        </w:tc>
      </w:tr>
      <w:tr w:rsidR="00AA684F" w:rsidRPr="007E5071" w:rsidTr="00D062FF">
        <w:trPr>
          <w:tblHeader/>
        </w:trPr>
        <w:tc>
          <w:tcPr>
            <w:tcW w:w="5000" w:type="pct"/>
            <w:gridSpan w:val="6"/>
            <w:shd w:val="clear" w:color="auto" w:fill="auto"/>
            <w:vAlign w:val="center"/>
          </w:tcPr>
          <w:p w:rsidR="00AA684F" w:rsidRPr="007E5071" w:rsidRDefault="00AA684F" w:rsidP="00807296">
            <w:pPr>
              <w:pStyle w:val="Tabletext"/>
              <w:rPr>
                <w:b/>
              </w:rPr>
            </w:pPr>
            <w:r w:rsidRPr="007E5071">
              <w:rPr>
                <w:b/>
              </w:rPr>
              <w:t>NIVO±IPI vs IPI</w:t>
            </w:r>
          </w:p>
        </w:tc>
      </w:tr>
      <w:tr w:rsidR="00AA684F" w:rsidRPr="007E5071" w:rsidTr="00D062FF">
        <w:trPr>
          <w:tblHeader/>
        </w:trPr>
        <w:tc>
          <w:tcPr>
            <w:tcW w:w="714" w:type="pct"/>
            <w:shd w:val="clear" w:color="auto" w:fill="auto"/>
            <w:vAlign w:val="center"/>
          </w:tcPr>
          <w:p w:rsidR="00AA684F" w:rsidRPr="007E5071" w:rsidRDefault="00AA684F" w:rsidP="00807296">
            <w:pPr>
              <w:pStyle w:val="Tabletext"/>
            </w:pPr>
            <w:r w:rsidRPr="007E5071">
              <w:t>CA 209-067</w:t>
            </w:r>
          </w:p>
        </w:tc>
        <w:tc>
          <w:tcPr>
            <w:tcW w:w="679" w:type="pct"/>
            <w:shd w:val="clear" w:color="auto" w:fill="auto"/>
            <w:vAlign w:val="center"/>
          </w:tcPr>
          <w:p w:rsidR="00AA684F" w:rsidRPr="007E5071" w:rsidRDefault="00AA684F" w:rsidP="00807296">
            <w:pPr>
              <w:pStyle w:val="Tabletext"/>
              <w:jc w:val="center"/>
            </w:pPr>
            <w:r w:rsidRPr="007E5071">
              <w:t>NIVO: 98</w:t>
            </w:r>
            <w:r w:rsidR="009B3379" w:rsidRPr="007E5071">
              <w:rPr>
                <w:vertAlign w:val="superscript"/>
              </w:rPr>
              <w:t>a</w:t>
            </w:r>
          </w:p>
          <w:p w:rsidR="00AA684F" w:rsidRPr="007E5071" w:rsidRDefault="00AA684F" w:rsidP="00B03078">
            <w:pPr>
              <w:pStyle w:val="Tabletext"/>
              <w:jc w:val="center"/>
              <w:rPr>
                <w:vertAlign w:val="superscript"/>
              </w:rPr>
            </w:pPr>
            <w:r w:rsidRPr="007E5071">
              <w:t>NIVO+IPI: 103</w:t>
            </w:r>
            <w:r w:rsidR="00B03078" w:rsidRPr="007E5071">
              <w:rPr>
                <w:vertAlign w:val="superscript"/>
              </w:rPr>
              <w:t>a</w:t>
            </w:r>
          </w:p>
        </w:tc>
        <w:tc>
          <w:tcPr>
            <w:tcW w:w="884" w:type="pct"/>
            <w:shd w:val="clear" w:color="auto" w:fill="auto"/>
            <w:vAlign w:val="center"/>
          </w:tcPr>
          <w:p w:rsidR="00AA684F" w:rsidRPr="007E5071" w:rsidRDefault="00AA684F" w:rsidP="005710D9">
            <w:pPr>
              <w:pStyle w:val="Tabletext"/>
              <w:jc w:val="center"/>
            </w:pPr>
            <w:r w:rsidRPr="007E5071">
              <w:t>R, DB</w:t>
            </w:r>
            <w:r w:rsidRPr="007E5071">
              <w:br/>
              <w:t xml:space="preserve">minimum </w:t>
            </w:r>
            <w:r w:rsidR="003B18AE" w:rsidRPr="007E5071">
              <w:t>48</w:t>
            </w:r>
            <w:r w:rsidRPr="007E5071">
              <w:t xml:space="preserve"> m</w:t>
            </w:r>
            <w:r w:rsidR="005710D9" w:rsidRPr="007E5071">
              <w:t>on</w:t>
            </w:r>
            <w:r w:rsidRPr="007E5071">
              <w:t>ths</w:t>
            </w:r>
            <w:r w:rsidR="009B3379" w:rsidRPr="007E5071">
              <w:rPr>
                <w:vertAlign w:val="superscript"/>
              </w:rPr>
              <w:t>c</w:t>
            </w:r>
          </w:p>
        </w:tc>
        <w:tc>
          <w:tcPr>
            <w:tcW w:w="601" w:type="pct"/>
            <w:shd w:val="clear" w:color="auto" w:fill="auto"/>
            <w:vAlign w:val="center"/>
          </w:tcPr>
          <w:p w:rsidR="00AA684F" w:rsidRPr="007E5071" w:rsidRDefault="00AA684F" w:rsidP="00807296">
            <w:pPr>
              <w:pStyle w:val="Tabletext"/>
              <w:jc w:val="center"/>
            </w:pPr>
            <w:r w:rsidRPr="007E5071">
              <w:t>Low</w:t>
            </w:r>
          </w:p>
        </w:tc>
        <w:tc>
          <w:tcPr>
            <w:tcW w:w="1553" w:type="pct"/>
            <w:shd w:val="clear" w:color="auto" w:fill="auto"/>
            <w:vAlign w:val="center"/>
          </w:tcPr>
          <w:p w:rsidR="00AA684F" w:rsidRPr="007E5071" w:rsidRDefault="00AA684F" w:rsidP="00807296">
            <w:pPr>
              <w:pStyle w:val="Tabletext"/>
              <w:jc w:val="center"/>
            </w:pPr>
            <w:r w:rsidRPr="007E5071">
              <w:t>Unresectable Stage III or Stage IV melanoma who have not been previously treated</w:t>
            </w:r>
          </w:p>
        </w:tc>
        <w:tc>
          <w:tcPr>
            <w:tcW w:w="569" w:type="pct"/>
            <w:shd w:val="clear" w:color="auto" w:fill="auto"/>
            <w:vAlign w:val="center"/>
          </w:tcPr>
          <w:p w:rsidR="00AA684F" w:rsidRPr="007E5071" w:rsidRDefault="00AA684F" w:rsidP="00807296">
            <w:pPr>
              <w:pStyle w:val="Tabletext"/>
              <w:jc w:val="center"/>
            </w:pPr>
            <w:r w:rsidRPr="007E5071">
              <w:t>PFS, OS</w:t>
            </w:r>
          </w:p>
        </w:tc>
      </w:tr>
      <w:tr w:rsidR="00AA684F" w:rsidRPr="007E5071" w:rsidTr="00D062FF">
        <w:trPr>
          <w:tblHeader/>
        </w:trPr>
        <w:tc>
          <w:tcPr>
            <w:tcW w:w="5000" w:type="pct"/>
            <w:gridSpan w:val="6"/>
            <w:shd w:val="clear" w:color="auto" w:fill="auto"/>
            <w:vAlign w:val="center"/>
          </w:tcPr>
          <w:p w:rsidR="00AA684F" w:rsidRPr="007E5071" w:rsidRDefault="00AA684F" w:rsidP="00807296">
            <w:pPr>
              <w:pStyle w:val="Tabletext"/>
              <w:rPr>
                <w:b/>
              </w:rPr>
            </w:pPr>
            <w:r w:rsidRPr="007E5071">
              <w:rPr>
                <w:b/>
              </w:rPr>
              <w:t>DAB+TRAM vs BRAF inhibitor monotherapy</w:t>
            </w:r>
          </w:p>
        </w:tc>
      </w:tr>
      <w:tr w:rsidR="00AA684F" w:rsidRPr="007E5071" w:rsidTr="00D062FF">
        <w:trPr>
          <w:tblHeader/>
        </w:trPr>
        <w:tc>
          <w:tcPr>
            <w:tcW w:w="714" w:type="pct"/>
            <w:shd w:val="clear" w:color="auto" w:fill="auto"/>
            <w:vAlign w:val="center"/>
          </w:tcPr>
          <w:p w:rsidR="00AA684F" w:rsidRPr="007E5071" w:rsidRDefault="00AA684F" w:rsidP="00807296">
            <w:pPr>
              <w:pStyle w:val="Tabletext"/>
            </w:pPr>
            <w:r w:rsidRPr="007E5071">
              <w:t>COMBI-D</w:t>
            </w:r>
          </w:p>
        </w:tc>
        <w:tc>
          <w:tcPr>
            <w:tcW w:w="679" w:type="pct"/>
            <w:shd w:val="clear" w:color="auto" w:fill="auto"/>
            <w:vAlign w:val="center"/>
          </w:tcPr>
          <w:p w:rsidR="00AA684F" w:rsidRPr="007E5071" w:rsidRDefault="00AA684F" w:rsidP="00807296">
            <w:pPr>
              <w:pStyle w:val="Tabletext"/>
              <w:jc w:val="center"/>
            </w:pPr>
            <w:r w:rsidRPr="007E5071">
              <w:t>211</w:t>
            </w:r>
          </w:p>
        </w:tc>
        <w:tc>
          <w:tcPr>
            <w:tcW w:w="884" w:type="pct"/>
            <w:shd w:val="clear" w:color="auto" w:fill="auto"/>
            <w:vAlign w:val="center"/>
          </w:tcPr>
          <w:p w:rsidR="00AA684F" w:rsidRPr="007E5071" w:rsidRDefault="00AA684F" w:rsidP="009B3379">
            <w:pPr>
              <w:pStyle w:val="Tabletext"/>
              <w:jc w:val="center"/>
            </w:pPr>
            <w:r w:rsidRPr="007E5071">
              <w:t>R, DB</w:t>
            </w:r>
            <w:r w:rsidRPr="007E5071">
              <w:br/>
              <w:t xml:space="preserve">minimum </w:t>
            </w:r>
            <w:r w:rsidR="003B18AE" w:rsidRPr="007E5071">
              <w:t>5 year</w:t>
            </w:r>
            <w:r w:rsidR="005E25D6" w:rsidRPr="007E5071">
              <w:t>s</w:t>
            </w:r>
            <w:r w:rsidR="009B3379" w:rsidRPr="007E5071">
              <w:rPr>
                <w:vertAlign w:val="superscript"/>
              </w:rPr>
              <w:t>c</w:t>
            </w:r>
          </w:p>
        </w:tc>
        <w:tc>
          <w:tcPr>
            <w:tcW w:w="601" w:type="pct"/>
            <w:shd w:val="clear" w:color="auto" w:fill="auto"/>
            <w:vAlign w:val="center"/>
          </w:tcPr>
          <w:p w:rsidR="00AA684F" w:rsidRPr="007E5071" w:rsidRDefault="00AA684F" w:rsidP="00807296">
            <w:pPr>
              <w:pStyle w:val="Tabletext"/>
              <w:jc w:val="center"/>
            </w:pPr>
            <w:r w:rsidRPr="007E5071">
              <w:t>Low</w:t>
            </w:r>
          </w:p>
        </w:tc>
        <w:tc>
          <w:tcPr>
            <w:tcW w:w="1553" w:type="pct"/>
            <w:shd w:val="clear" w:color="auto" w:fill="auto"/>
            <w:vAlign w:val="center"/>
          </w:tcPr>
          <w:p w:rsidR="00AA684F" w:rsidRPr="007E5071" w:rsidRDefault="00AA684F" w:rsidP="00807296">
            <w:pPr>
              <w:pStyle w:val="Tabletext"/>
              <w:jc w:val="center"/>
            </w:pPr>
            <w:r w:rsidRPr="007E5071">
              <w:t>BRAF mutant unresectable Stage III or Stage IV melanoma who have not been previously treated.</w:t>
            </w:r>
          </w:p>
        </w:tc>
        <w:tc>
          <w:tcPr>
            <w:tcW w:w="569" w:type="pct"/>
            <w:shd w:val="clear" w:color="auto" w:fill="auto"/>
            <w:vAlign w:val="center"/>
          </w:tcPr>
          <w:p w:rsidR="00AA684F" w:rsidRPr="007E5071" w:rsidRDefault="00AA684F" w:rsidP="00807296">
            <w:pPr>
              <w:pStyle w:val="Tabletext"/>
              <w:jc w:val="center"/>
            </w:pPr>
            <w:r w:rsidRPr="007E5071">
              <w:t>PFS, OS</w:t>
            </w:r>
          </w:p>
        </w:tc>
      </w:tr>
      <w:tr w:rsidR="00AA684F" w:rsidRPr="007E5071" w:rsidTr="00D062FF">
        <w:trPr>
          <w:tblHeader/>
        </w:trPr>
        <w:tc>
          <w:tcPr>
            <w:tcW w:w="714" w:type="pct"/>
            <w:shd w:val="clear" w:color="auto" w:fill="auto"/>
            <w:vAlign w:val="center"/>
          </w:tcPr>
          <w:p w:rsidR="00AA684F" w:rsidRPr="007E5071" w:rsidRDefault="00AA684F" w:rsidP="00807296">
            <w:pPr>
              <w:pStyle w:val="Tabletext"/>
            </w:pPr>
            <w:r w:rsidRPr="007E5071">
              <w:t>COMBI-V</w:t>
            </w:r>
          </w:p>
        </w:tc>
        <w:tc>
          <w:tcPr>
            <w:tcW w:w="679" w:type="pct"/>
            <w:shd w:val="clear" w:color="auto" w:fill="auto"/>
            <w:vAlign w:val="center"/>
          </w:tcPr>
          <w:p w:rsidR="00AA684F" w:rsidRPr="007E5071" w:rsidRDefault="00AA684F" w:rsidP="00807296">
            <w:pPr>
              <w:pStyle w:val="Tabletext"/>
              <w:jc w:val="center"/>
            </w:pPr>
            <w:r w:rsidRPr="007E5071">
              <w:t>352</w:t>
            </w:r>
          </w:p>
        </w:tc>
        <w:tc>
          <w:tcPr>
            <w:tcW w:w="884" w:type="pct"/>
            <w:shd w:val="clear" w:color="auto" w:fill="auto"/>
            <w:vAlign w:val="center"/>
          </w:tcPr>
          <w:p w:rsidR="00AA684F" w:rsidRPr="007E5071" w:rsidRDefault="00AA684F" w:rsidP="009B3379">
            <w:pPr>
              <w:pStyle w:val="Tabletext"/>
              <w:jc w:val="center"/>
            </w:pPr>
            <w:r w:rsidRPr="007E5071">
              <w:t>R, OL</w:t>
            </w:r>
            <w:r w:rsidRPr="007E5071">
              <w:br/>
            </w:r>
            <w:r w:rsidR="003B18AE" w:rsidRPr="007E5071">
              <w:t>minimum 5 years</w:t>
            </w:r>
            <w:r w:rsidR="009B3379" w:rsidRPr="007E5071">
              <w:rPr>
                <w:vertAlign w:val="superscript"/>
              </w:rPr>
              <w:t>c</w:t>
            </w:r>
          </w:p>
        </w:tc>
        <w:tc>
          <w:tcPr>
            <w:tcW w:w="601" w:type="pct"/>
            <w:shd w:val="clear" w:color="auto" w:fill="auto"/>
            <w:vAlign w:val="center"/>
          </w:tcPr>
          <w:p w:rsidR="00AA684F" w:rsidRPr="007E5071" w:rsidRDefault="00AA684F" w:rsidP="009B3379">
            <w:pPr>
              <w:pStyle w:val="Tabletext"/>
              <w:jc w:val="center"/>
            </w:pPr>
            <w:r w:rsidRPr="007E5071">
              <w:t>Low</w:t>
            </w:r>
            <w:r w:rsidR="009B3379" w:rsidRPr="007E5071">
              <w:rPr>
                <w:vertAlign w:val="superscript"/>
              </w:rPr>
              <w:t>b</w:t>
            </w:r>
          </w:p>
        </w:tc>
        <w:tc>
          <w:tcPr>
            <w:tcW w:w="1553" w:type="pct"/>
            <w:shd w:val="clear" w:color="auto" w:fill="auto"/>
            <w:vAlign w:val="center"/>
          </w:tcPr>
          <w:p w:rsidR="00AA684F" w:rsidRPr="007E5071" w:rsidRDefault="00AA684F" w:rsidP="00807296">
            <w:pPr>
              <w:pStyle w:val="Tabletext"/>
              <w:jc w:val="center"/>
            </w:pPr>
            <w:r w:rsidRPr="007E5071">
              <w:t>As above</w:t>
            </w:r>
          </w:p>
        </w:tc>
        <w:tc>
          <w:tcPr>
            <w:tcW w:w="569" w:type="pct"/>
            <w:shd w:val="clear" w:color="auto" w:fill="auto"/>
            <w:vAlign w:val="center"/>
          </w:tcPr>
          <w:p w:rsidR="00AA684F" w:rsidRPr="007E5071" w:rsidRDefault="00AA684F" w:rsidP="00807296">
            <w:pPr>
              <w:pStyle w:val="Tabletext"/>
              <w:jc w:val="center"/>
            </w:pPr>
            <w:r w:rsidRPr="007E5071">
              <w:t>PFS, OS</w:t>
            </w:r>
          </w:p>
        </w:tc>
      </w:tr>
    </w:tbl>
    <w:p w:rsidR="00AA684F" w:rsidRPr="007E5071" w:rsidRDefault="00AA684F" w:rsidP="00AA684F">
      <w:pPr>
        <w:pStyle w:val="TableFooter"/>
      </w:pPr>
      <w:r w:rsidRPr="007E5071">
        <w:t>DB</w:t>
      </w:r>
      <w:r w:rsidR="00F555AA" w:rsidRPr="007E5071">
        <w:t xml:space="preserve"> </w:t>
      </w:r>
      <w:r w:rsidRPr="007E5071">
        <w:t>=</w:t>
      </w:r>
      <w:r w:rsidR="00F555AA" w:rsidRPr="007E5071">
        <w:t xml:space="preserve"> </w:t>
      </w:r>
      <w:r w:rsidRPr="007E5071">
        <w:t>double blind; OL</w:t>
      </w:r>
      <w:r w:rsidR="00F555AA" w:rsidRPr="007E5071">
        <w:t xml:space="preserve"> </w:t>
      </w:r>
      <w:r w:rsidRPr="007E5071">
        <w:t>=</w:t>
      </w:r>
      <w:r w:rsidR="00F555AA" w:rsidRPr="007E5071">
        <w:t xml:space="preserve"> </w:t>
      </w:r>
      <w:r w:rsidRPr="007E5071">
        <w:t>open label; OS</w:t>
      </w:r>
      <w:r w:rsidR="00F555AA" w:rsidRPr="007E5071">
        <w:t xml:space="preserve"> </w:t>
      </w:r>
      <w:r w:rsidRPr="007E5071">
        <w:t>=</w:t>
      </w:r>
      <w:r w:rsidR="00F555AA" w:rsidRPr="007E5071">
        <w:t xml:space="preserve"> </w:t>
      </w:r>
      <w:r w:rsidRPr="007E5071">
        <w:t>overall survival; PFS</w:t>
      </w:r>
      <w:r w:rsidR="00F555AA" w:rsidRPr="007E5071">
        <w:t xml:space="preserve"> </w:t>
      </w:r>
      <w:r w:rsidRPr="007E5071">
        <w:t>=</w:t>
      </w:r>
      <w:r w:rsidR="00F555AA" w:rsidRPr="007E5071">
        <w:t xml:space="preserve"> </w:t>
      </w:r>
      <w:r w:rsidRPr="007E5071">
        <w:t>progression-free survival; R</w:t>
      </w:r>
      <w:r w:rsidR="00F555AA" w:rsidRPr="007E5071">
        <w:t xml:space="preserve"> </w:t>
      </w:r>
      <w:r w:rsidRPr="007E5071">
        <w:t>=</w:t>
      </w:r>
      <w:r w:rsidR="00F555AA" w:rsidRPr="007E5071">
        <w:t xml:space="preserve"> </w:t>
      </w:r>
      <w:r w:rsidRPr="007E5071">
        <w:t>randomised; NIVO = nivolumab; IPI = ipilimumab; DAB = dabrafenib; TRAM = trametinib.</w:t>
      </w:r>
    </w:p>
    <w:p w:rsidR="00AA684F" w:rsidRPr="007E5071" w:rsidRDefault="009B3379" w:rsidP="00AA684F">
      <w:pPr>
        <w:pStyle w:val="TableFooter"/>
      </w:pPr>
      <w:r w:rsidRPr="007E5071">
        <w:rPr>
          <w:vertAlign w:val="superscript"/>
        </w:rPr>
        <w:t xml:space="preserve">a </w:t>
      </w:r>
      <w:r w:rsidR="00AA684F" w:rsidRPr="007E5071">
        <w:t>BRAF mutation positive subgroup</w:t>
      </w:r>
      <w:r w:rsidR="005710D9" w:rsidRPr="007E5071">
        <w:t xml:space="preserve">s of </w:t>
      </w:r>
      <w:r w:rsidR="00B03078" w:rsidRPr="007E5071">
        <w:t xml:space="preserve">the relevant treatment </w:t>
      </w:r>
      <w:r w:rsidR="00AA684F" w:rsidRPr="007E5071">
        <w:t>arm</w:t>
      </w:r>
      <w:r w:rsidR="00B03078" w:rsidRPr="007E5071">
        <w:t>s</w:t>
      </w:r>
      <w:r w:rsidR="00AA684F" w:rsidRPr="007E5071">
        <w:t>.</w:t>
      </w:r>
    </w:p>
    <w:p w:rsidR="00AA684F" w:rsidRPr="007E5071" w:rsidRDefault="009B3379" w:rsidP="00710510">
      <w:pPr>
        <w:pStyle w:val="TableFooter"/>
        <w:ind w:left="142" w:hanging="142"/>
      </w:pPr>
      <w:r w:rsidRPr="007E5071">
        <w:rPr>
          <w:vertAlign w:val="superscript"/>
        </w:rPr>
        <w:t xml:space="preserve">b </w:t>
      </w:r>
      <w:r w:rsidR="005710D9" w:rsidRPr="007E5071">
        <w:t>D</w:t>
      </w:r>
      <w:r w:rsidR="00AA684F" w:rsidRPr="007E5071">
        <w:t xml:space="preserve">ue to the open label design of the study, </w:t>
      </w:r>
      <w:r w:rsidR="00A65C8D" w:rsidRPr="007E5071">
        <w:t>there</w:t>
      </w:r>
      <w:r w:rsidR="002A6F1D" w:rsidRPr="007E5071">
        <w:t xml:space="preserve"> wa</w:t>
      </w:r>
      <w:r w:rsidR="00A65C8D" w:rsidRPr="007E5071">
        <w:t xml:space="preserve">s a high risk of bias </w:t>
      </w:r>
      <w:r w:rsidR="002A6F1D" w:rsidRPr="007E5071">
        <w:t>for</w:t>
      </w:r>
      <w:r w:rsidR="00A65C8D" w:rsidRPr="007E5071">
        <w:t xml:space="preserve"> subjective</w:t>
      </w:r>
      <w:r w:rsidR="00AA684F" w:rsidRPr="007E5071">
        <w:t xml:space="preserve"> outcomes</w:t>
      </w:r>
      <w:r w:rsidR="00A65C8D" w:rsidRPr="007E5071">
        <w:t>, such as patient-reported outcomes and adverse events</w:t>
      </w:r>
      <w:r w:rsidR="00AA684F" w:rsidRPr="007E5071">
        <w:t>.</w:t>
      </w:r>
    </w:p>
    <w:p w:rsidR="00AA684F" w:rsidRPr="007E5071" w:rsidRDefault="009B3379" w:rsidP="00AA684F">
      <w:pPr>
        <w:pStyle w:val="TableFooter"/>
      </w:pPr>
      <w:r w:rsidRPr="007E5071">
        <w:rPr>
          <w:vertAlign w:val="superscript"/>
        </w:rPr>
        <w:t>c</w:t>
      </w:r>
      <w:r w:rsidR="00AA684F" w:rsidRPr="007E5071">
        <w:t xml:space="preserve"> Minimum follow-up in all patients alive at the time of analysis</w:t>
      </w:r>
    </w:p>
    <w:p w:rsidR="006F097F" w:rsidRPr="007E5071" w:rsidRDefault="008B1EE4" w:rsidP="00AA684F">
      <w:pPr>
        <w:pStyle w:val="TableFooter"/>
      </w:pPr>
      <w:r w:rsidRPr="007E5071">
        <w:t xml:space="preserve">Note: </w:t>
      </w:r>
      <w:r w:rsidR="006F097F" w:rsidRPr="007E5071">
        <w:t>Comparison of the majority of the efficacy outcomes were not confounded by differences in duration of follow-up</w:t>
      </w:r>
      <w:r w:rsidR="00D916FF" w:rsidRPr="007E5071">
        <w:t xml:space="preserve"> (e.g. </w:t>
      </w:r>
      <w:r w:rsidR="0044123C" w:rsidRPr="007E5071">
        <w:t xml:space="preserve">median survival and </w:t>
      </w:r>
      <w:r w:rsidR="00D916FF" w:rsidRPr="007E5071">
        <w:t>landmark survival analyses)</w:t>
      </w:r>
      <w:r w:rsidR="006F097F" w:rsidRPr="007E5071">
        <w:t>; safety data for both the BRAF mutation positive subgroup in CA209-067 and in COMBI-D were compared at a minimum follow-up of 36 months.</w:t>
      </w:r>
    </w:p>
    <w:p w:rsidR="00AA684F" w:rsidRPr="007E5071" w:rsidRDefault="00AA684F" w:rsidP="00AA684F">
      <w:pPr>
        <w:pStyle w:val="TableFooter"/>
        <w:rPr>
          <w:szCs w:val="18"/>
        </w:rPr>
      </w:pPr>
      <w:r w:rsidRPr="007E5071">
        <w:t>Source: Compiled during the evaluation based on information presented in Sections 2.3 and 2.4 of the submission.</w:t>
      </w:r>
    </w:p>
    <w:p w:rsidR="00AA684F" w:rsidRPr="007E5071" w:rsidRDefault="00AA684F" w:rsidP="00AA684F"/>
    <w:p w:rsidR="00AA684F" w:rsidRPr="007E5071" w:rsidRDefault="003D246E" w:rsidP="00983502">
      <w:pPr>
        <w:pStyle w:val="ListParagraph"/>
        <w:widowControl/>
        <w:numPr>
          <w:ilvl w:val="1"/>
          <w:numId w:val="1"/>
        </w:numPr>
      </w:pPr>
      <w:r w:rsidRPr="007E5071">
        <w:t>The ESC considered that a</w:t>
      </w:r>
      <w:r w:rsidR="00AA684F" w:rsidRPr="007E5071">
        <w:t>lthough the risk of bias in each individual trial was low, the risk of bias in the naïve indirect comparison presented in the submission was high.</w:t>
      </w:r>
    </w:p>
    <w:p w:rsidR="00AA684F" w:rsidRPr="007E5071" w:rsidRDefault="00EB6258" w:rsidP="00983502">
      <w:pPr>
        <w:pStyle w:val="ListParagraph"/>
        <w:widowControl/>
        <w:numPr>
          <w:ilvl w:val="1"/>
          <w:numId w:val="1"/>
        </w:numPr>
      </w:pPr>
      <w:r w:rsidRPr="007E5071">
        <w:t xml:space="preserve">All patients in the COMBI trials were BRAF positive, whereas the CA209-067 trial recruited patients who were BRAF positive and negative. Therefore, </w:t>
      </w:r>
      <w:r w:rsidR="00AA684F" w:rsidRPr="007E5071">
        <w:t xml:space="preserve">the indirect </w:t>
      </w:r>
      <w:r w:rsidR="00733305">
        <w:t>analysis</w:t>
      </w:r>
      <w:r w:rsidR="00AA684F" w:rsidRPr="007E5071">
        <w:t xml:space="preserve"> </w:t>
      </w:r>
      <w:r w:rsidR="00971C5F" w:rsidRPr="007E5071">
        <w:t>compared the total population of the COMBI trials with the BRAF mutation positive subgroup</w:t>
      </w:r>
      <w:r w:rsidR="005710D9" w:rsidRPr="007E5071">
        <w:t>s</w:t>
      </w:r>
      <w:r w:rsidR="00971C5F" w:rsidRPr="007E5071">
        <w:t xml:space="preserve"> from CA209-067 </w:t>
      </w:r>
      <w:r w:rsidR="00B03078" w:rsidRPr="007E5071">
        <w:t>(N=98 in the NIVO monotherapy arm and N=103 in the NIVO+IPI arm)</w:t>
      </w:r>
      <w:r w:rsidR="00AA684F" w:rsidRPr="007E5071">
        <w:t>.</w:t>
      </w:r>
    </w:p>
    <w:p w:rsidR="00AA684F" w:rsidRPr="007E5071" w:rsidRDefault="00C574DB" w:rsidP="00983502">
      <w:pPr>
        <w:pStyle w:val="ListParagraph"/>
        <w:widowControl/>
        <w:numPr>
          <w:ilvl w:val="1"/>
          <w:numId w:val="1"/>
        </w:numPr>
      </w:pPr>
      <w:r w:rsidRPr="007E5071">
        <w:t>Although the three key trials required eligible patients to have an Eastern Cooperative Oncology Group (ECOG) performance status (PS) of 0 or 1, a</w:t>
      </w:r>
      <w:r w:rsidR="00EB6258" w:rsidRPr="007E5071">
        <w:t xml:space="preserve">t baseline, a greater proportion of patients in the COMBI trials had an </w:t>
      </w:r>
      <w:r w:rsidR="00AA684F" w:rsidRPr="007E5071">
        <w:t xml:space="preserve">ECOG PS </w:t>
      </w:r>
      <w:r w:rsidR="00EB6258" w:rsidRPr="007E5071">
        <w:t xml:space="preserve">of </w:t>
      </w:r>
      <w:r w:rsidR="00AA684F" w:rsidRPr="007E5071">
        <w:t>1</w:t>
      </w:r>
      <w:r w:rsidR="00EB6258" w:rsidRPr="007E5071">
        <w:t xml:space="preserve"> compared with CA209-067</w:t>
      </w:r>
      <w:r w:rsidRPr="007E5071">
        <w:t xml:space="preserve">. This </w:t>
      </w:r>
      <w:r w:rsidR="00AA684F" w:rsidRPr="007E5071">
        <w:t>suggest</w:t>
      </w:r>
      <w:r w:rsidRPr="007E5071">
        <w:t>ed</w:t>
      </w:r>
      <w:r w:rsidR="00AA684F" w:rsidRPr="007E5071">
        <w:t xml:space="preserve"> that patients in the COMBI trials may</w:t>
      </w:r>
      <w:r w:rsidR="00EB6258" w:rsidRPr="007E5071">
        <w:t xml:space="preserve"> </w:t>
      </w:r>
      <w:r w:rsidR="00AA684F" w:rsidRPr="007E5071">
        <w:t>have had more advanced disease.</w:t>
      </w:r>
    </w:p>
    <w:p w:rsidR="00AA684F" w:rsidRPr="007E5071" w:rsidRDefault="00AA684F" w:rsidP="00983502">
      <w:pPr>
        <w:pStyle w:val="ListParagraph"/>
        <w:widowControl/>
        <w:numPr>
          <w:ilvl w:val="1"/>
          <w:numId w:val="1"/>
        </w:numPr>
      </w:pPr>
      <w:r w:rsidRPr="007E5071">
        <w:t xml:space="preserve">In CA209-067, at a minimum follow-up of 36 months, of those patients with BRAF mutation positive melanoma who received any subsequent systemic therapy, 39/43 (91%) in the NIVO+IPI arm and 54/60 (90%) in the NIVO monotherapy arm received a BRAF inhibitor, although the proportion receiving a MEK inhibitor was considerably lower (51-55%). </w:t>
      </w:r>
      <w:r w:rsidR="002A6F1D" w:rsidRPr="007E5071">
        <w:t xml:space="preserve">This </w:t>
      </w:r>
      <w:r w:rsidRPr="007E5071">
        <w:t xml:space="preserve">use of BRAF inhibitors as subsequent therapy following progression on first-line immunotherapy was consistent with current </w:t>
      </w:r>
      <w:r w:rsidR="004359DE" w:rsidRPr="007E5071">
        <w:t xml:space="preserve">Australian and international </w:t>
      </w:r>
      <w:r w:rsidRPr="007E5071">
        <w:t xml:space="preserve">clinical guidelines and the </w:t>
      </w:r>
      <w:r w:rsidR="007905D9" w:rsidRPr="007E5071">
        <w:t xml:space="preserve">proposed </w:t>
      </w:r>
      <w:r w:rsidRPr="007E5071">
        <w:t>treatment algorithm in the submission</w:t>
      </w:r>
      <w:r w:rsidR="00BA227A" w:rsidRPr="007E5071">
        <w:t>.</w:t>
      </w:r>
      <w:r w:rsidRPr="007E5071">
        <w:t xml:space="preserve"> </w:t>
      </w:r>
    </w:p>
    <w:p w:rsidR="00AA684F" w:rsidRPr="007E5071" w:rsidRDefault="00AA684F" w:rsidP="00983502">
      <w:pPr>
        <w:pStyle w:val="ListParagraph"/>
        <w:widowControl/>
        <w:numPr>
          <w:ilvl w:val="1"/>
          <w:numId w:val="1"/>
        </w:numPr>
      </w:pPr>
      <w:r w:rsidRPr="007E5071">
        <w:t xml:space="preserve">In COMBI-D, at a minimum follow-up of 36 months, 57/101 (56%) of patients who received any subsequent anti-cancer therapy received immunotherapy, with the </w:t>
      </w:r>
      <w:r w:rsidR="00EB6258" w:rsidRPr="007E5071">
        <w:t>remainder,</w:t>
      </w:r>
      <w:r w:rsidRPr="007E5071">
        <w:t xml:space="preserve"> 41/101</w:t>
      </w:r>
      <w:r w:rsidR="00EB6258" w:rsidRPr="007E5071">
        <w:t xml:space="preserve"> (41%</w:t>
      </w:r>
      <w:r w:rsidRPr="007E5071">
        <w:t>)</w:t>
      </w:r>
      <w:r w:rsidR="00EB6258" w:rsidRPr="007E5071">
        <w:t>,</w:t>
      </w:r>
      <w:r w:rsidRPr="007E5071">
        <w:t xml:space="preserve"> receiving ipilimumab. Only 20/101 (20%) received NIVO or pembrolizumab. Similarly, in COMBI-V, at a minimum follow-up of </w:t>
      </w:r>
      <w:r w:rsidR="005710D9" w:rsidRPr="007E5071">
        <w:t>five</w:t>
      </w:r>
      <w:r w:rsidRPr="007E5071">
        <w:t xml:space="preserve"> years, while 129/186 (69%) of patients who received any subsequent anti-cancer therapy received immunotherapy at some later-line of treatment, only 70/186 (38%) received a PD-1 inhibitor. The submission noted that, in the current treatment environment, a greater proportion of patients would receive PD-1 </w:t>
      </w:r>
      <w:r w:rsidR="00593619" w:rsidRPr="007E5071">
        <w:t xml:space="preserve">inhibitors </w:t>
      </w:r>
      <w:r w:rsidRPr="007E5071">
        <w:t xml:space="preserve">based treatment following progression on a BRAF inhibitor, and that the low proportion of patients receiving PD-1 </w:t>
      </w:r>
      <w:r w:rsidR="00593619" w:rsidRPr="007E5071">
        <w:t xml:space="preserve">inhibitor </w:t>
      </w:r>
      <w:r w:rsidRPr="007E5071">
        <w:t xml:space="preserve">treatments for subsequent therapy in the COMBI trials may have resulted in poorer survival outcomes than </w:t>
      </w:r>
      <w:r w:rsidR="002A6F1D" w:rsidRPr="007E5071">
        <w:t>would</w:t>
      </w:r>
      <w:r w:rsidRPr="007E5071">
        <w:t xml:space="preserve"> be expected in current clinical practice. The lower use of subsequent PD-1 inhibitors in the COMBI trials and the high use of subsequent BRAF inhibitors in the CA209-067 trials may have biased the result of indirect comparison </w:t>
      </w:r>
      <w:r w:rsidR="002A6F1D" w:rsidRPr="007E5071">
        <w:t xml:space="preserve">in favour of </w:t>
      </w:r>
      <w:r w:rsidRPr="007E5071">
        <w:t>NIVO±IPI.</w:t>
      </w:r>
      <w:r w:rsidR="00CA61E0" w:rsidRPr="007E5071">
        <w:t xml:space="preserve"> </w:t>
      </w:r>
    </w:p>
    <w:p w:rsidR="00402283" w:rsidRPr="007E5071" w:rsidRDefault="00AA684F" w:rsidP="00983502">
      <w:pPr>
        <w:pStyle w:val="ListParagraph"/>
        <w:widowControl/>
        <w:numPr>
          <w:ilvl w:val="1"/>
          <w:numId w:val="1"/>
        </w:numPr>
      </w:pPr>
      <w:r w:rsidRPr="007E5071">
        <w:t xml:space="preserve">Despite claiming that NIVO monotherapy </w:t>
      </w:r>
      <w:r w:rsidR="00593619" w:rsidRPr="007E5071">
        <w:t>and NIVO+</w:t>
      </w:r>
      <w:r w:rsidR="005710D9" w:rsidRPr="007E5071">
        <w:t xml:space="preserve">IPI </w:t>
      </w:r>
      <w:r w:rsidRPr="007E5071">
        <w:t xml:space="preserve">are no worse than DAB+TRAM in terms of efficacy outcomes, </w:t>
      </w:r>
      <w:r w:rsidR="00EA2911" w:rsidRPr="007E5071">
        <w:t xml:space="preserve">the submission did not present a formal assessment of non-inferiority using a well-reasoned non-inferiority margin. </w:t>
      </w:r>
    </w:p>
    <w:p w:rsidR="00AA684F" w:rsidRPr="007E5071" w:rsidRDefault="00AA684F" w:rsidP="00AA684F">
      <w:pPr>
        <w:pStyle w:val="Heading2"/>
      </w:pPr>
      <w:bookmarkStart w:id="7" w:name="_Toc17116006"/>
      <w:r w:rsidRPr="007E5071">
        <w:t>Comparative effectiveness</w:t>
      </w:r>
      <w:bookmarkEnd w:id="7"/>
    </w:p>
    <w:p w:rsidR="00AA684F" w:rsidRPr="007E5071" w:rsidRDefault="00AA684F" w:rsidP="00AA684F"/>
    <w:p w:rsidR="00AA684F" w:rsidRPr="007E5071" w:rsidRDefault="00AA684F" w:rsidP="00983502">
      <w:pPr>
        <w:pStyle w:val="ListParagraph"/>
        <w:widowControl/>
        <w:numPr>
          <w:ilvl w:val="1"/>
          <w:numId w:val="1"/>
        </w:numPr>
        <w:rPr>
          <w:i/>
        </w:rPr>
      </w:pPr>
      <w:r w:rsidRPr="007E5071">
        <w:t>The overall survival (OS) and progression free survival (PFS) results for the BRAF mutation positive subgroups in the NIVO monotherapy and NIVO+IPI arms of CA209-067, and for the DAB+TRAM treatment arms in COMBI-D and COMBI-V, are summarised below.</w:t>
      </w:r>
    </w:p>
    <w:p w:rsidR="003A150D" w:rsidRPr="007E5071" w:rsidRDefault="003A150D" w:rsidP="00983502">
      <w:pPr>
        <w:pStyle w:val="ListParagraph"/>
        <w:widowControl/>
        <w:numPr>
          <w:ilvl w:val="1"/>
          <w:numId w:val="1"/>
        </w:numPr>
      </w:pPr>
      <w:r w:rsidRPr="007E5071">
        <w:t xml:space="preserve">The ESC noted that the PSCR provided updated data from the CA209-067 trial that was presented at the </w:t>
      </w:r>
      <w:r w:rsidR="00593619" w:rsidRPr="007E5071">
        <w:t>ESMO</w:t>
      </w:r>
      <w:r w:rsidRPr="007E5071">
        <w:t xml:space="preserve"> Congress, Barcelona, in September 2019. This indicated that the </w:t>
      </w:r>
      <w:r w:rsidR="00593619" w:rsidRPr="007E5071">
        <w:t>five</w:t>
      </w:r>
      <w:r w:rsidRPr="007E5071">
        <w:t xml:space="preserve">-year survival rate for BRAF positive patients treated with NIVO+IPI or NIVO monotherapy were 60% and 46% respectively. The PSCR also referenced recently published data from the COMBI-D and COMBI-V trials which reported that the </w:t>
      </w:r>
      <w:r w:rsidR="00593619" w:rsidRPr="007E5071">
        <w:t>five</w:t>
      </w:r>
      <w:r w:rsidRPr="007E5071">
        <w:t>-year survival rate for patients treated with DAB+TRAM was approximately 34%.</w:t>
      </w:r>
      <w:r w:rsidRPr="007E5071">
        <w:rPr>
          <w:rStyle w:val="FootnoteReference"/>
        </w:rPr>
        <w:footnoteReference w:id="5"/>
      </w:r>
    </w:p>
    <w:p w:rsidR="00AA684F" w:rsidRPr="007E5071" w:rsidRDefault="00AA684F" w:rsidP="00764435">
      <w:pPr>
        <w:pStyle w:val="Caption"/>
        <w:keepNext/>
        <w:keepLines/>
        <w:widowControl/>
        <w:suppressLineNumbers/>
        <w:suppressAutoHyphens/>
      </w:pPr>
      <w:r w:rsidRPr="007E5071">
        <w:t xml:space="preserve">Table </w:t>
      </w:r>
      <w:r w:rsidR="00E966F6" w:rsidRPr="007E5071">
        <w:t>5</w:t>
      </w:r>
      <w:r w:rsidRPr="007E5071">
        <w:t>: Overall survival and progression free survival across the relevant treatment arms in the randomised trials</w:t>
      </w:r>
    </w:p>
    <w:tbl>
      <w:tblPr>
        <w:tblStyle w:val="TableGrid"/>
        <w:tblW w:w="5063" w:type="pct"/>
        <w:tblInd w:w="-5" w:type="dxa"/>
        <w:tblLook w:val="04A0" w:firstRow="1" w:lastRow="0" w:firstColumn="1" w:lastColumn="0" w:noHBand="0" w:noVBand="1"/>
        <w:tblCaption w:val="Table 5: Overall survival and progression free survival across the relevant treatment arms in the randomised trials"/>
      </w:tblPr>
      <w:tblGrid>
        <w:gridCol w:w="2649"/>
        <w:gridCol w:w="1693"/>
        <w:gridCol w:w="1693"/>
        <w:gridCol w:w="1549"/>
        <w:gridCol w:w="1547"/>
      </w:tblGrid>
      <w:tr w:rsidR="00AA684F" w:rsidRPr="007E5071" w:rsidTr="00D062FF">
        <w:trPr>
          <w:tblHeader/>
        </w:trPr>
        <w:tc>
          <w:tcPr>
            <w:tcW w:w="1451" w:type="pct"/>
            <w:vMerge w:val="restart"/>
            <w:vAlign w:val="center"/>
          </w:tcPr>
          <w:p w:rsidR="00AA684F" w:rsidRPr="007E5071" w:rsidRDefault="00AA684F" w:rsidP="00764435">
            <w:pPr>
              <w:pStyle w:val="Tabletext"/>
              <w:keepNext/>
              <w:keepLines/>
              <w:suppressLineNumbers/>
              <w:suppressAutoHyphens/>
              <w:rPr>
                <w:b/>
              </w:rPr>
            </w:pPr>
          </w:p>
        </w:tc>
        <w:tc>
          <w:tcPr>
            <w:tcW w:w="1853" w:type="pct"/>
            <w:gridSpan w:val="2"/>
            <w:vAlign w:val="center"/>
          </w:tcPr>
          <w:p w:rsidR="00AA684F" w:rsidRPr="007E5071" w:rsidRDefault="00AA684F" w:rsidP="00764435">
            <w:pPr>
              <w:pStyle w:val="Tabletext"/>
              <w:keepNext/>
              <w:keepLines/>
              <w:suppressLineNumbers/>
              <w:suppressAutoHyphens/>
              <w:jc w:val="center"/>
              <w:rPr>
                <w:b/>
              </w:rPr>
            </w:pPr>
            <w:r w:rsidRPr="007E5071">
              <w:rPr>
                <w:b/>
              </w:rPr>
              <w:t xml:space="preserve">CA209-067 </w:t>
            </w:r>
          </w:p>
          <w:p w:rsidR="00AA684F" w:rsidRPr="007E5071" w:rsidRDefault="00AA684F" w:rsidP="00764435">
            <w:pPr>
              <w:pStyle w:val="Tabletext"/>
              <w:keepNext/>
              <w:keepLines/>
              <w:suppressLineNumbers/>
              <w:suppressAutoHyphens/>
              <w:jc w:val="center"/>
              <w:rPr>
                <w:b/>
              </w:rPr>
            </w:pPr>
            <w:r w:rsidRPr="007E5071">
              <w:rPr>
                <w:b/>
              </w:rPr>
              <w:t>BRAF positive subgroup</w:t>
            </w:r>
          </w:p>
        </w:tc>
        <w:tc>
          <w:tcPr>
            <w:tcW w:w="848" w:type="pct"/>
            <w:vAlign w:val="center"/>
          </w:tcPr>
          <w:p w:rsidR="00AA684F" w:rsidRPr="007E5071" w:rsidRDefault="00AA684F" w:rsidP="00764435">
            <w:pPr>
              <w:pStyle w:val="Tabletext"/>
              <w:keepNext/>
              <w:keepLines/>
              <w:suppressLineNumbers/>
              <w:suppressAutoHyphens/>
              <w:jc w:val="center"/>
              <w:rPr>
                <w:b/>
              </w:rPr>
            </w:pPr>
            <w:r w:rsidRPr="007E5071">
              <w:rPr>
                <w:b/>
              </w:rPr>
              <w:t>COMBI-D</w:t>
            </w:r>
          </w:p>
        </w:tc>
        <w:tc>
          <w:tcPr>
            <w:tcW w:w="847" w:type="pct"/>
            <w:vAlign w:val="center"/>
          </w:tcPr>
          <w:p w:rsidR="00AA684F" w:rsidRPr="007E5071" w:rsidRDefault="00AA684F" w:rsidP="00764435">
            <w:pPr>
              <w:pStyle w:val="Tabletext"/>
              <w:keepNext/>
              <w:keepLines/>
              <w:suppressLineNumbers/>
              <w:suppressAutoHyphens/>
              <w:jc w:val="center"/>
              <w:rPr>
                <w:b/>
              </w:rPr>
            </w:pPr>
            <w:r w:rsidRPr="007E5071">
              <w:rPr>
                <w:b/>
              </w:rPr>
              <w:t>COMBI-V</w:t>
            </w:r>
          </w:p>
        </w:tc>
      </w:tr>
      <w:tr w:rsidR="00AA684F" w:rsidRPr="007E5071" w:rsidTr="00D062FF">
        <w:trPr>
          <w:tblHeader/>
        </w:trPr>
        <w:tc>
          <w:tcPr>
            <w:tcW w:w="1451" w:type="pct"/>
            <w:vMerge/>
            <w:vAlign w:val="center"/>
          </w:tcPr>
          <w:p w:rsidR="00AA684F" w:rsidRPr="007E5071" w:rsidRDefault="00AA684F" w:rsidP="00764435">
            <w:pPr>
              <w:pStyle w:val="Tabletext"/>
              <w:keepNext/>
              <w:keepLines/>
              <w:suppressLineNumbers/>
              <w:suppressAutoHyphens/>
              <w:rPr>
                <w:b/>
              </w:rPr>
            </w:pPr>
          </w:p>
        </w:tc>
        <w:tc>
          <w:tcPr>
            <w:tcW w:w="927" w:type="pct"/>
            <w:vAlign w:val="center"/>
          </w:tcPr>
          <w:p w:rsidR="00AA684F" w:rsidRPr="007E5071" w:rsidRDefault="00AA684F" w:rsidP="00764435">
            <w:pPr>
              <w:pStyle w:val="Tabletext"/>
              <w:keepNext/>
              <w:keepLines/>
              <w:suppressLineNumbers/>
              <w:suppressAutoHyphens/>
              <w:jc w:val="center"/>
              <w:rPr>
                <w:b/>
                <w:vertAlign w:val="superscript"/>
              </w:rPr>
            </w:pPr>
            <w:r w:rsidRPr="007E5071">
              <w:rPr>
                <w:b/>
              </w:rPr>
              <w:t>NIVO+IPI</w:t>
            </w:r>
            <w:r w:rsidRPr="007E5071">
              <w:rPr>
                <w:b/>
                <w:vertAlign w:val="superscript"/>
              </w:rPr>
              <w:t>a</w:t>
            </w:r>
          </w:p>
          <w:p w:rsidR="00AA684F" w:rsidRPr="007E5071" w:rsidRDefault="00AA684F" w:rsidP="00764435">
            <w:pPr>
              <w:pStyle w:val="Tabletext"/>
              <w:keepNext/>
              <w:keepLines/>
              <w:suppressLineNumbers/>
              <w:suppressAutoHyphens/>
              <w:jc w:val="center"/>
              <w:rPr>
                <w:b/>
              </w:rPr>
            </w:pPr>
            <w:r w:rsidRPr="007E5071">
              <w:rPr>
                <w:b/>
              </w:rPr>
              <w:t>N=103</w:t>
            </w:r>
            <w:r w:rsidR="00096B6A" w:rsidRPr="007E5071">
              <w:rPr>
                <w:b/>
              </w:rPr>
              <w:t>*</w:t>
            </w:r>
          </w:p>
        </w:tc>
        <w:tc>
          <w:tcPr>
            <w:tcW w:w="927" w:type="pct"/>
            <w:vAlign w:val="center"/>
          </w:tcPr>
          <w:p w:rsidR="00AA684F" w:rsidRPr="007E5071" w:rsidRDefault="00AA684F" w:rsidP="00764435">
            <w:pPr>
              <w:pStyle w:val="Tabletext"/>
              <w:keepNext/>
              <w:keepLines/>
              <w:suppressLineNumbers/>
              <w:suppressAutoHyphens/>
              <w:jc w:val="center"/>
              <w:rPr>
                <w:b/>
                <w:vertAlign w:val="superscript"/>
              </w:rPr>
            </w:pPr>
            <w:r w:rsidRPr="007E5071">
              <w:rPr>
                <w:b/>
              </w:rPr>
              <w:t>NIVO mono</w:t>
            </w:r>
            <w:r w:rsidRPr="007E5071">
              <w:rPr>
                <w:b/>
                <w:vertAlign w:val="superscript"/>
              </w:rPr>
              <w:t>a</w:t>
            </w:r>
          </w:p>
          <w:p w:rsidR="00AA684F" w:rsidRPr="007E5071" w:rsidRDefault="00AA684F" w:rsidP="00764435">
            <w:pPr>
              <w:pStyle w:val="Tabletext"/>
              <w:keepNext/>
              <w:keepLines/>
              <w:suppressLineNumbers/>
              <w:suppressAutoHyphens/>
              <w:jc w:val="center"/>
              <w:rPr>
                <w:b/>
              </w:rPr>
            </w:pPr>
            <w:r w:rsidRPr="007E5071">
              <w:rPr>
                <w:b/>
              </w:rPr>
              <w:t>N=98</w:t>
            </w:r>
          </w:p>
        </w:tc>
        <w:tc>
          <w:tcPr>
            <w:tcW w:w="848" w:type="pct"/>
            <w:vAlign w:val="center"/>
          </w:tcPr>
          <w:p w:rsidR="00AA684F" w:rsidRPr="007E5071" w:rsidRDefault="00AA684F" w:rsidP="00764435">
            <w:pPr>
              <w:pStyle w:val="Tabletext"/>
              <w:keepNext/>
              <w:keepLines/>
              <w:suppressLineNumbers/>
              <w:suppressAutoHyphens/>
              <w:jc w:val="center"/>
              <w:rPr>
                <w:b/>
              </w:rPr>
            </w:pPr>
            <w:r w:rsidRPr="007E5071">
              <w:rPr>
                <w:b/>
              </w:rPr>
              <w:t>DAB+TRAM</w:t>
            </w:r>
          </w:p>
          <w:p w:rsidR="00AA684F" w:rsidRPr="007E5071" w:rsidRDefault="00AA684F" w:rsidP="00764435">
            <w:pPr>
              <w:pStyle w:val="Tabletext"/>
              <w:keepNext/>
              <w:keepLines/>
              <w:suppressLineNumbers/>
              <w:suppressAutoHyphens/>
              <w:jc w:val="center"/>
              <w:rPr>
                <w:b/>
              </w:rPr>
            </w:pPr>
            <w:r w:rsidRPr="007E5071">
              <w:rPr>
                <w:b/>
              </w:rPr>
              <w:t>N=211</w:t>
            </w:r>
          </w:p>
        </w:tc>
        <w:tc>
          <w:tcPr>
            <w:tcW w:w="847" w:type="pct"/>
            <w:vAlign w:val="center"/>
          </w:tcPr>
          <w:p w:rsidR="00AA684F" w:rsidRPr="007E5071" w:rsidRDefault="00AA684F" w:rsidP="00764435">
            <w:pPr>
              <w:pStyle w:val="Tabletext"/>
              <w:keepNext/>
              <w:keepLines/>
              <w:suppressLineNumbers/>
              <w:suppressAutoHyphens/>
              <w:jc w:val="center"/>
              <w:rPr>
                <w:b/>
              </w:rPr>
            </w:pPr>
            <w:r w:rsidRPr="007E5071">
              <w:rPr>
                <w:b/>
              </w:rPr>
              <w:t>DAB+TRAM</w:t>
            </w:r>
          </w:p>
          <w:p w:rsidR="00AA684F" w:rsidRPr="007E5071" w:rsidRDefault="00AA684F" w:rsidP="00764435">
            <w:pPr>
              <w:pStyle w:val="Tabletext"/>
              <w:keepNext/>
              <w:keepLines/>
              <w:suppressLineNumbers/>
              <w:suppressAutoHyphens/>
              <w:jc w:val="center"/>
              <w:rPr>
                <w:b/>
              </w:rPr>
            </w:pPr>
            <w:r w:rsidRPr="007E5071">
              <w:rPr>
                <w:b/>
              </w:rPr>
              <w:t>N=352</w:t>
            </w:r>
          </w:p>
        </w:tc>
      </w:tr>
      <w:tr w:rsidR="00AA684F" w:rsidRPr="007E5071" w:rsidTr="00D062FF">
        <w:trPr>
          <w:tblHeader/>
        </w:trPr>
        <w:tc>
          <w:tcPr>
            <w:tcW w:w="5000" w:type="pct"/>
            <w:gridSpan w:val="5"/>
            <w:vAlign w:val="center"/>
          </w:tcPr>
          <w:p w:rsidR="00AA684F" w:rsidRPr="007E5071" w:rsidRDefault="00AA684F" w:rsidP="00764435">
            <w:pPr>
              <w:pStyle w:val="Tabletext"/>
              <w:keepNext/>
              <w:keepLines/>
              <w:suppressLineNumbers/>
              <w:suppressAutoHyphens/>
            </w:pPr>
            <w:r w:rsidRPr="007E5071">
              <w:rPr>
                <w:b/>
              </w:rPr>
              <w:t>Overall survival</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pPr>
            <w:r w:rsidRPr="007E5071">
              <w:t>Events, n (%)</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40 (38.8</w:t>
            </w:r>
            <w:r w:rsidR="005E25D6" w:rsidRPr="007E5071">
              <w:t>%</w:t>
            </w:r>
            <w:r w:rsidRPr="007E5071">
              <w:t>)</w:t>
            </w:r>
            <w:r w:rsidRPr="007E5071">
              <w:rPr>
                <w:vertAlign w:val="superscript"/>
              </w:rPr>
              <w:t>a</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48 (49.0</w:t>
            </w:r>
            <w:r w:rsidR="005E25D6" w:rsidRPr="007E5071">
              <w:t>%</w:t>
            </w:r>
            <w:r w:rsidRPr="007E5071">
              <w:t>)</w:t>
            </w:r>
            <w:r w:rsidRPr="007E5071">
              <w:rPr>
                <w:vertAlign w:val="superscript"/>
              </w:rPr>
              <w:t>a</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114 (54.0</w:t>
            </w:r>
            <w:r w:rsidR="005E25D6" w:rsidRPr="007E5071">
              <w:t>%</w:t>
            </w:r>
            <w:r w:rsidRPr="007E5071">
              <w:t>)</w:t>
            </w:r>
            <w:r w:rsidRPr="007E5071">
              <w:rPr>
                <w:vertAlign w:val="superscript"/>
              </w:rPr>
              <w:t>b</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190 (54.0</w:t>
            </w:r>
            <w:r w:rsidR="005E25D6" w:rsidRPr="007E5071">
              <w:t>%</w:t>
            </w:r>
            <w:r w:rsidRPr="007E5071">
              <w:t>)</w:t>
            </w:r>
            <w:r w:rsidRPr="007E5071">
              <w:rPr>
                <w:vertAlign w:val="superscript"/>
              </w:rPr>
              <w:t>b</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pPr>
            <w:r w:rsidRPr="007E5071">
              <w:t>Median OS, months (95% CI)</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NR</w:t>
            </w:r>
            <w:r w:rsidRPr="007E5071">
              <w:rPr>
                <w:vertAlign w:val="superscript"/>
              </w:rPr>
              <w:t>a</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45.5 (26.4, NR)</w:t>
            </w:r>
            <w:r w:rsidRPr="007E5071">
              <w:rPr>
                <w:vertAlign w:val="superscript"/>
              </w:rPr>
              <w:t>a</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26.7 (19.0, 38.2)</w:t>
            </w:r>
            <w:r w:rsidRPr="007E5071">
              <w:rPr>
                <w:vertAlign w:val="superscript"/>
              </w:rPr>
              <w:t>b</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26.1 (22.6, 35.1)</w:t>
            </w:r>
            <w:r w:rsidRPr="007E5071">
              <w:rPr>
                <w:vertAlign w:val="superscript"/>
              </w:rPr>
              <w:t>b</w:t>
            </w:r>
          </w:p>
        </w:tc>
      </w:tr>
      <w:tr w:rsidR="00AA684F" w:rsidRPr="007E5071" w:rsidTr="00D062FF">
        <w:trPr>
          <w:tblHeader/>
        </w:trPr>
        <w:tc>
          <w:tcPr>
            <w:tcW w:w="5000" w:type="pct"/>
            <w:gridSpan w:val="5"/>
            <w:vAlign w:val="center"/>
          </w:tcPr>
          <w:p w:rsidR="00AA684F" w:rsidRPr="007E5071" w:rsidRDefault="00AA684F" w:rsidP="00764435">
            <w:pPr>
              <w:pStyle w:val="Tabletext"/>
              <w:keepNext/>
              <w:keepLines/>
              <w:suppressLineNumbers/>
              <w:suppressAutoHyphens/>
            </w:pPr>
            <w:r w:rsidRPr="007E5071">
              <w:t>Landmark OS, KM% (95% CI)</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12 months</w:t>
            </w:r>
          </w:p>
        </w:tc>
        <w:tc>
          <w:tcPr>
            <w:tcW w:w="927" w:type="pct"/>
            <w:vAlign w:val="center"/>
          </w:tcPr>
          <w:p w:rsidR="00AA684F" w:rsidRPr="007E5071" w:rsidRDefault="00AA684F" w:rsidP="00764435">
            <w:pPr>
              <w:pStyle w:val="Tabletext"/>
              <w:keepNext/>
              <w:keepLines/>
              <w:suppressLineNumbers/>
              <w:suppressAutoHyphens/>
              <w:jc w:val="center"/>
            </w:pPr>
            <w:r w:rsidRPr="007E5071">
              <w:t>81</w:t>
            </w:r>
            <w:r w:rsidR="005E25D6" w:rsidRPr="007E5071">
              <w:t>%</w:t>
            </w:r>
            <w:r w:rsidRPr="007E5071">
              <w:t xml:space="preserve"> (72, 87)</w:t>
            </w:r>
          </w:p>
        </w:tc>
        <w:tc>
          <w:tcPr>
            <w:tcW w:w="927" w:type="pct"/>
            <w:vAlign w:val="center"/>
          </w:tcPr>
          <w:p w:rsidR="00AA684F" w:rsidRPr="007E5071" w:rsidRDefault="00AA684F" w:rsidP="00764435">
            <w:pPr>
              <w:pStyle w:val="Tabletext"/>
              <w:keepNext/>
              <w:keepLines/>
              <w:suppressLineNumbers/>
              <w:suppressAutoHyphens/>
              <w:jc w:val="center"/>
            </w:pPr>
            <w:r w:rsidRPr="007E5071">
              <w:t>80</w:t>
            </w:r>
            <w:r w:rsidR="005E25D6" w:rsidRPr="007E5071">
              <w:t>%</w:t>
            </w:r>
            <w:r w:rsidRPr="007E5071">
              <w:t xml:space="preserve"> (70, 87)</w:t>
            </w:r>
          </w:p>
        </w:tc>
        <w:tc>
          <w:tcPr>
            <w:tcW w:w="848" w:type="pct"/>
            <w:vAlign w:val="center"/>
          </w:tcPr>
          <w:p w:rsidR="00AA684F" w:rsidRPr="007E5071" w:rsidRDefault="00AA684F" w:rsidP="00764435">
            <w:pPr>
              <w:pStyle w:val="Tabletext"/>
              <w:keepNext/>
              <w:keepLines/>
              <w:suppressLineNumbers/>
              <w:suppressAutoHyphens/>
              <w:jc w:val="center"/>
            </w:pPr>
            <w:r w:rsidRPr="007E5071">
              <w:t>74</w:t>
            </w:r>
            <w:r w:rsidR="005E25D6" w:rsidRPr="007E5071">
              <w:t>%</w:t>
            </w:r>
            <w:r w:rsidRPr="007E5071">
              <w:t xml:space="preserve"> (67, 79)</w:t>
            </w:r>
            <w:r w:rsidRPr="007E5071">
              <w:rPr>
                <w:vertAlign w:val="superscript"/>
              </w:rPr>
              <w:t>c</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72</w:t>
            </w:r>
            <w:r w:rsidR="005E25D6" w:rsidRPr="007E5071">
              <w:t>%</w:t>
            </w:r>
            <w:r w:rsidRPr="007E5071">
              <w:t xml:space="preserve"> (67, 77)</w:t>
            </w:r>
            <w:r w:rsidRPr="007E5071">
              <w:rPr>
                <w:vertAlign w:val="superscript"/>
              </w:rPr>
              <w:t>f</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24 months</w:t>
            </w:r>
          </w:p>
        </w:tc>
        <w:tc>
          <w:tcPr>
            <w:tcW w:w="927" w:type="pct"/>
            <w:vAlign w:val="center"/>
          </w:tcPr>
          <w:p w:rsidR="00AA684F" w:rsidRPr="007E5071" w:rsidRDefault="00AA684F" w:rsidP="00764435">
            <w:pPr>
              <w:pStyle w:val="Tabletext"/>
              <w:keepNext/>
              <w:keepLines/>
              <w:suppressLineNumbers/>
              <w:suppressAutoHyphens/>
              <w:jc w:val="center"/>
            </w:pPr>
            <w:r w:rsidRPr="007E5071">
              <w:t>71</w:t>
            </w:r>
            <w:r w:rsidR="005E25D6" w:rsidRPr="007E5071">
              <w:t>%</w:t>
            </w:r>
            <w:r w:rsidRPr="007E5071">
              <w:t xml:space="preserve"> (61, 79)</w:t>
            </w:r>
          </w:p>
        </w:tc>
        <w:tc>
          <w:tcPr>
            <w:tcW w:w="927" w:type="pct"/>
            <w:vAlign w:val="center"/>
          </w:tcPr>
          <w:p w:rsidR="00AA684F" w:rsidRPr="007E5071" w:rsidRDefault="00AA684F" w:rsidP="00764435">
            <w:pPr>
              <w:pStyle w:val="Tabletext"/>
              <w:keepNext/>
              <w:keepLines/>
              <w:suppressLineNumbers/>
              <w:suppressAutoHyphens/>
              <w:jc w:val="center"/>
            </w:pPr>
            <w:r w:rsidRPr="007E5071">
              <w:t>62</w:t>
            </w:r>
            <w:r w:rsidR="005E25D6" w:rsidRPr="007E5071">
              <w:t xml:space="preserve">% </w:t>
            </w:r>
            <w:r w:rsidRPr="007E5071">
              <w:t>(51, 71)</w:t>
            </w:r>
          </w:p>
        </w:tc>
        <w:tc>
          <w:tcPr>
            <w:tcW w:w="848" w:type="pct"/>
            <w:vAlign w:val="center"/>
          </w:tcPr>
          <w:p w:rsidR="00AA684F" w:rsidRPr="007E5071" w:rsidRDefault="00AA684F" w:rsidP="00764435">
            <w:pPr>
              <w:pStyle w:val="Tabletext"/>
              <w:keepNext/>
              <w:keepLines/>
              <w:suppressLineNumbers/>
              <w:suppressAutoHyphens/>
              <w:jc w:val="center"/>
            </w:pPr>
            <w:r w:rsidRPr="007E5071">
              <w:t>52</w:t>
            </w:r>
            <w:r w:rsidR="005E25D6" w:rsidRPr="007E5071">
              <w:t>%</w:t>
            </w:r>
            <w:r w:rsidRPr="007E5071">
              <w:t xml:space="preserve"> (45, 59)</w:t>
            </w:r>
            <w:r w:rsidRPr="007E5071">
              <w:rPr>
                <w:vertAlign w:val="superscript"/>
              </w:rPr>
              <w:t>b</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53</w:t>
            </w:r>
            <w:r w:rsidR="005E25D6" w:rsidRPr="007E5071">
              <w:t>%</w:t>
            </w:r>
            <w:r w:rsidRPr="007E5071">
              <w:t xml:space="preserve"> (48, 58)</w:t>
            </w:r>
            <w:r w:rsidRPr="007E5071">
              <w:rPr>
                <w:vertAlign w:val="superscript"/>
              </w:rPr>
              <w:t>b</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36 months</w:t>
            </w:r>
          </w:p>
        </w:tc>
        <w:tc>
          <w:tcPr>
            <w:tcW w:w="927" w:type="pct"/>
            <w:vAlign w:val="center"/>
          </w:tcPr>
          <w:p w:rsidR="00AA684F" w:rsidRPr="007E5071" w:rsidRDefault="00AA684F" w:rsidP="00764435">
            <w:pPr>
              <w:pStyle w:val="Tabletext"/>
              <w:keepNext/>
              <w:keepLines/>
              <w:suppressLineNumbers/>
              <w:suppressAutoHyphens/>
              <w:jc w:val="center"/>
            </w:pPr>
            <w:r w:rsidRPr="007E5071">
              <w:t>68</w:t>
            </w:r>
            <w:r w:rsidR="005E25D6" w:rsidRPr="007E5071">
              <w:t>%</w:t>
            </w:r>
            <w:r w:rsidRPr="007E5071">
              <w:t xml:space="preserve"> (58, 76)</w:t>
            </w:r>
          </w:p>
        </w:tc>
        <w:tc>
          <w:tcPr>
            <w:tcW w:w="927" w:type="pct"/>
            <w:vAlign w:val="center"/>
          </w:tcPr>
          <w:p w:rsidR="00AA684F" w:rsidRPr="007E5071" w:rsidRDefault="00AA684F" w:rsidP="00764435">
            <w:pPr>
              <w:pStyle w:val="Tabletext"/>
              <w:keepNext/>
              <w:keepLines/>
              <w:suppressLineNumbers/>
              <w:suppressAutoHyphens/>
              <w:jc w:val="center"/>
            </w:pPr>
            <w:r w:rsidRPr="007E5071">
              <w:t>56</w:t>
            </w:r>
            <w:r w:rsidR="005E25D6" w:rsidRPr="007E5071">
              <w:t>%</w:t>
            </w:r>
            <w:r w:rsidRPr="007E5071">
              <w:t xml:space="preserve"> (46, 66)</w:t>
            </w:r>
          </w:p>
        </w:tc>
        <w:tc>
          <w:tcPr>
            <w:tcW w:w="848" w:type="pct"/>
            <w:vAlign w:val="center"/>
          </w:tcPr>
          <w:p w:rsidR="00AA684F" w:rsidRPr="007E5071" w:rsidRDefault="00AA684F" w:rsidP="00764435">
            <w:pPr>
              <w:pStyle w:val="Tabletext"/>
              <w:keepNext/>
              <w:keepLines/>
              <w:suppressLineNumbers/>
              <w:suppressAutoHyphens/>
              <w:jc w:val="center"/>
            </w:pPr>
            <w:r w:rsidRPr="007E5071">
              <w:t>44</w:t>
            </w:r>
            <w:r w:rsidR="005E25D6" w:rsidRPr="007E5071">
              <w:t xml:space="preserve">% </w:t>
            </w:r>
            <w:r w:rsidRPr="007E5071">
              <w:t>(37, 51)</w:t>
            </w:r>
            <w:r w:rsidRPr="007E5071">
              <w:rPr>
                <w:vertAlign w:val="superscript"/>
              </w:rPr>
              <w:t>b</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45</w:t>
            </w:r>
            <w:r w:rsidR="005E25D6" w:rsidRPr="007E5071">
              <w:t>%</w:t>
            </w:r>
            <w:r w:rsidRPr="007E5071">
              <w:t xml:space="preserve"> (39, 50)</w:t>
            </w:r>
            <w:r w:rsidRPr="007E5071">
              <w:rPr>
                <w:vertAlign w:val="superscript"/>
              </w:rPr>
              <w:t>b</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48 months</w:t>
            </w:r>
          </w:p>
        </w:tc>
        <w:tc>
          <w:tcPr>
            <w:tcW w:w="927" w:type="pct"/>
            <w:vAlign w:val="center"/>
          </w:tcPr>
          <w:p w:rsidR="00AA684F" w:rsidRPr="007E5071" w:rsidRDefault="00AA684F" w:rsidP="00764435">
            <w:pPr>
              <w:pStyle w:val="Tabletext"/>
              <w:keepNext/>
              <w:keepLines/>
              <w:suppressLineNumbers/>
              <w:suppressAutoHyphens/>
              <w:jc w:val="center"/>
            </w:pPr>
            <w:r w:rsidRPr="007E5071">
              <w:t>62</w:t>
            </w:r>
            <w:r w:rsidR="005E25D6" w:rsidRPr="007E5071">
              <w:t>%</w:t>
            </w:r>
            <w:r w:rsidRPr="007E5071">
              <w:t xml:space="preserve"> (52, 71)</w:t>
            </w:r>
          </w:p>
        </w:tc>
        <w:tc>
          <w:tcPr>
            <w:tcW w:w="927" w:type="pct"/>
            <w:vAlign w:val="center"/>
          </w:tcPr>
          <w:p w:rsidR="00AA684F" w:rsidRPr="007E5071" w:rsidRDefault="00AA684F" w:rsidP="00764435">
            <w:pPr>
              <w:pStyle w:val="Tabletext"/>
              <w:keepNext/>
              <w:keepLines/>
              <w:suppressLineNumbers/>
              <w:suppressAutoHyphens/>
              <w:jc w:val="center"/>
            </w:pPr>
            <w:r w:rsidRPr="007E5071">
              <w:t>50</w:t>
            </w:r>
            <w:r w:rsidR="005E25D6" w:rsidRPr="007E5071">
              <w:t>%</w:t>
            </w:r>
            <w:r w:rsidRPr="007E5071">
              <w:t xml:space="preserve"> (39, 59)</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35</w:t>
            </w:r>
            <w:r w:rsidR="005E25D6" w:rsidRPr="007E5071">
              <w:t>%</w:t>
            </w:r>
            <w:r w:rsidRPr="007E5071">
              <w:rPr>
                <w:vertAlign w:val="superscript"/>
              </w:rPr>
              <w:t>d</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39</w:t>
            </w:r>
            <w:r w:rsidR="005E25D6" w:rsidRPr="007E5071">
              <w:t>%</w:t>
            </w:r>
            <w:r w:rsidRPr="007E5071">
              <w:rPr>
                <w:vertAlign w:val="superscript"/>
              </w:rPr>
              <w:t>d</w:t>
            </w:r>
          </w:p>
        </w:tc>
      </w:tr>
      <w:tr w:rsidR="00CA61E0" w:rsidRPr="007E5071" w:rsidTr="00D062FF">
        <w:trPr>
          <w:tblHeader/>
        </w:trPr>
        <w:tc>
          <w:tcPr>
            <w:tcW w:w="1451" w:type="pct"/>
            <w:vAlign w:val="center"/>
          </w:tcPr>
          <w:p w:rsidR="00CA61E0" w:rsidRPr="007E5071" w:rsidRDefault="00CA61E0" w:rsidP="00764435">
            <w:pPr>
              <w:pStyle w:val="Tabletext"/>
              <w:keepNext/>
              <w:keepLines/>
              <w:suppressLineNumbers/>
              <w:suppressAutoHyphens/>
              <w:ind w:left="142"/>
            </w:pPr>
            <w:r w:rsidRPr="007E5071">
              <w:t>60 months</w:t>
            </w:r>
            <w:r w:rsidRPr="007E5071">
              <w:rPr>
                <w:vertAlign w:val="superscript"/>
              </w:rPr>
              <w:t>#</w:t>
            </w:r>
          </w:p>
        </w:tc>
        <w:tc>
          <w:tcPr>
            <w:tcW w:w="927" w:type="pct"/>
            <w:vAlign w:val="center"/>
          </w:tcPr>
          <w:p w:rsidR="00CA61E0" w:rsidRPr="007E5071" w:rsidRDefault="00CA61E0" w:rsidP="00764435">
            <w:pPr>
              <w:pStyle w:val="Tabletext"/>
              <w:keepNext/>
              <w:keepLines/>
              <w:suppressLineNumbers/>
              <w:suppressAutoHyphens/>
              <w:jc w:val="center"/>
            </w:pPr>
            <w:r w:rsidRPr="007E5071">
              <w:t>60%</w:t>
            </w:r>
          </w:p>
        </w:tc>
        <w:tc>
          <w:tcPr>
            <w:tcW w:w="927" w:type="pct"/>
            <w:vAlign w:val="center"/>
          </w:tcPr>
          <w:p w:rsidR="00CA61E0" w:rsidRPr="007E5071" w:rsidRDefault="00CA61E0" w:rsidP="00764435">
            <w:pPr>
              <w:pStyle w:val="Tabletext"/>
              <w:keepNext/>
              <w:keepLines/>
              <w:suppressLineNumbers/>
              <w:suppressAutoHyphens/>
              <w:jc w:val="center"/>
            </w:pPr>
            <w:r w:rsidRPr="007E5071">
              <w:t>46%</w:t>
            </w:r>
          </w:p>
        </w:tc>
        <w:tc>
          <w:tcPr>
            <w:tcW w:w="848" w:type="pct"/>
            <w:vAlign w:val="center"/>
          </w:tcPr>
          <w:p w:rsidR="00CA61E0" w:rsidRPr="007E5071" w:rsidRDefault="00CA61E0" w:rsidP="00764435">
            <w:pPr>
              <w:pStyle w:val="Tabletext"/>
              <w:keepNext/>
              <w:keepLines/>
              <w:suppressLineNumbers/>
              <w:suppressAutoHyphens/>
              <w:jc w:val="center"/>
            </w:pPr>
            <w:r w:rsidRPr="007E5071">
              <w:t>32%</w:t>
            </w:r>
          </w:p>
        </w:tc>
        <w:tc>
          <w:tcPr>
            <w:tcW w:w="847" w:type="pct"/>
            <w:vAlign w:val="center"/>
          </w:tcPr>
          <w:p w:rsidR="00CA61E0" w:rsidRPr="007E5071" w:rsidRDefault="00CA61E0" w:rsidP="00764435">
            <w:pPr>
              <w:pStyle w:val="Tabletext"/>
              <w:keepNext/>
              <w:keepLines/>
              <w:suppressLineNumbers/>
              <w:suppressAutoHyphens/>
              <w:jc w:val="center"/>
            </w:pPr>
            <w:r w:rsidRPr="007E5071">
              <w:t>36%</w:t>
            </w:r>
          </w:p>
        </w:tc>
      </w:tr>
      <w:tr w:rsidR="00AA684F" w:rsidRPr="007E5071" w:rsidTr="00D062FF">
        <w:trPr>
          <w:tblHeader/>
        </w:trPr>
        <w:tc>
          <w:tcPr>
            <w:tcW w:w="5000" w:type="pct"/>
            <w:gridSpan w:val="5"/>
            <w:vAlign w:val="center"/>
          </w:tcPr>
          <w:p w:rsidR="00AA684F" w:rsidRPr="007E5071" w:rsidRDefault="00AA684F" w:rsidP="00764435">
            <w:pPr>
              <w:pStyle w:val="Tabletext"/>
              <w:keepNext/>
              <w:keepLines/>
              <w:suppressLineNumbers/>
              <w:suppressAutoHyphens/>
            </w:pPr>
            <w:r w:rsidRPr="007E5071">
              <w:rPr>
                <w:b/>
              </w:rPr>
              <w:t>Progression free survival</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pPr>
            <w:r w:rsidRPr="007E5071">
              <w:t>Events, n (%)</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59 (57.3</w:t>
            </w:r>
            <w:r w:rsidR="005E25D6" w:rsidRPr="007E5071">
              <w:t>%</w:t>
            </w:r>
            <w:r w:rsidRPr="007E5071">
              <w:t>)</w:t>
            </w:r>
            <w:r w:rsidRPr="007E5071">
              <w:rPr>
                <w:vertAlign w:val="superscript"/>
              </w:rPr>
              <w:t>a</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67 (68.4</w:t>
            </w:r>
            <w:r w:rsidR="005E25D6" w:rsidRPr="007E5071">
              <w:t>%</w:t>
            </w:r>
            <w:r w:rsidRPr="007E5071">
              <w:t>)</w:t>
            </w:r>
            <w:r w:rsidRPr="007E5071">
              <w:rPr>
                <w:vertAlign w:val="superscript"/>
              </w:rPr>
              <w:t>a</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151 (71.6</w:t>
            </w:r>
            <w:r w:rsidR="005E25D6" w:rsidRPr="007E5071">
              <w:t>%</w:t>
            </w:r>
            <w:r w:rsidRPr="007E5071">
              <w:t>)</w:t>
            </w:r>
            <w:r w:rsidRPr="007E5071">
              <w:rPr>
                <w:vertAlign w:val="superscript"/>
              </w:rPr>
              <w:t>b</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249 (70.7</w:t>
            </w:r>
            <w:r w:rsidR="005E25D6" w:rsidRPr="007E5071">
              <w:t>%</w:t>
            </w:r>
            <w:r w:rsidRPr="007E5071">
              <w:t>)</w:t>
            </w:r>
            <w:r w:rsidRPr="007E5071">
              <w:rPr>
                <w:vertAlign w:val="superscript"/>
              </w:rPr>
              <w:t>b</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pPr>
            <w:r w:rsidRPr="007E5071">
              <w:t>Median PFS, months (95% CI)</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16.5 (8.3, 32.0)</w:t>
            </w:r>
            <w:r w:rsidRPr="007E5071">
              <w:rPr>
                <w:vertAlign w:val="superscript"/>
              </w:rPr>
              <w:t>a</w:t>
            </w:r>
          </w:p>
        </w:tc>
        <w:tc>
          <w:tcPr>
            <w:tcW w:w="927" w:type="pct"/>
            <w:vAlign w:val="center"/>
          </w:tcPr>
          <w:p w:rsidR="00AA684F" w:rsidRPr="007E5071" w:rsidRDefault="00AA684F" w:rsidP="00764435">
            <w:pPr>
              <w:pStyle w:val="Tabletext"/>
              <w:keepNext/>
              <w:keepLines/>
              <w:suppressLineNumbers/>
              <w:suppressAutoHyphens/>
              <w:jc w:val="center"/>
              <w:rPr>
                <w:vertAlign w:val="superscript"/>
              </w:rPr>
            </w:pPr>
            <w:r w:rsidRPr="007E5071">
              <w:t>5.6 (2.8, 9.5)</w:t>
            </w:r>
            <w:r w:rsidRPr="007E5071">
              <w:rPr>
                <w:vertAlign w:val="superscript"/>
              </w:rPr>
              <w:t>a</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11.0 (8.0, 13.9)</w:t>
            </w:r>
            <w:r w:rsidRPr="007E5071">
              <w:rPr>
                <w:vertAlign w:val="superscript"/>
              </w:rPr>
              <w:t>c</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12.6 (10.7, 15.5)</w:t>
            </w:r>
            <w:r w:rsidRPr="007E5071">
              <w:rPr>
                <w:vertAlign w:val="superscript"/>
              </w:rPr>
              <w:t>g</w:t>
            </w:r>
          </w:p>
        </w:tc>
      </w:tr>
      <w:tr w:rsidR="00AA684F" w:rsidRPr="007E5071" w:rsidTr="00D062FF">
        <w:trPr>
          <w:tblHeader/>
        </w:trPr>
        <w:tc>
          <w:tcPr>
            <w:tcW w:w="5000" w:type="pct"/>
            <w:gridSpan w:val="5"/>
            <w:vAlign w:val="center"/>
          </w:tcPr>
          <w:p w:rsidR="00AA684F" w:rsidRPr="007E5071" w:rsidRDefault="00AA684F" w:rsidP="00764435">
            <w:pPr>
              <w:pStyle w:val="Tabletext"/>
              <w:keepNext/>
              <w:keepLines/>
              <w:suppressLineNumbers/>
              <w:suppressAutoHyphens/>
            </w:pPr>
            <w:r w:rsidRPr="007E5071">
              <w:t>Landmark PFS, KM% (95% CI)</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12 months</w:t>
            </w:r>
          </w:p>
        </w:tc>
        <w:tc>
          <w:tcPr>
            <w:tcW w:w="927" w:type="pct"/>
            <w:vAlign w:val="center"/>
          </w:tcPr>
          <w:p w:rsidR="00AA684F" w:rsidRPr="007E5071" w:rsidRDefault="00AA684F" w:rsidP="00764435">
            <w:pPr>
              <w:pStyle w:val="Tabletext"/>
              <w:keepNext/>
              <w:keepLines/>
              <w:suppressLineNumbers/>
              <w:suppressAutoHyphens/>
              <w:jc w:val="center"/>
            </w:pPr>
            <w:r w:rsidRPr="007E5071">
              <w:t>52</w:t>
            </w:r>
            <w:r w:rsidR="005E25D6" w:rsidRPr="007E5071">
              <w:t>%</w:t>
            </w:r>
            <w:r w:rsidRPr="007E5071">
              <w:t xml:space="preserve"> (41, 61)</w:t>
            </w:r>
          </w:p>
        </w:tc>
        <w:tc>
          <w:tcPr>
            <w:tcW w:w="927" w:type="pct"/>
            <w:vAlign w:val="center"/>
          </w:tcPr>
          <w:p w:rsidR="00AA684F" w:rsidRPr="007E5071" w:rsidRDefault="00AA684F" w:rsidP="00764435">
            <w:pPr>
              <w:pStyle w:val="Tabletext"/>
              <w:keepNext/>
              <w:keepLines/>
              <w:suppressLineNumbers/>
              <w:suppressAutoHyphens/>
              <w:jc w:val="center"/>
            </w:pPr>
            <w:r w:rsidRPr="007E5071">
              <w:t>38</w:t>
            </w:r>
            <w:r w:rsidR="005E25D6" w:rsidRPr="007E5071">
              <w:t>%</w:t>
            </w:r>
            <w:r w:rsidRPr="007E5071">
              <w:t xml:space="preserve"> (28, 48)</w:t>
            </w:r>
          </w:p>
        </w:tc>
        <w:tc>
          <w:tcPr>
            <w:tcW w:w="848" w:type="pct"/>
            <w:vAlign w:val="center"/>
          </w:tcPr>
          <w:p w:rsidR="00AA684F" w:rsidRPr="007E5071" w:rsidRDefault="00AA684F" w:rsidP="00764435">
            <w:pPr>
              <w:pStyle w:val="Tabletext"/>
              <w:keepNext/>
              <w:keepLines/>
              <w:suppressLineNumbers/>
              <w:suppressAutoHyphens/>
              <w:jc w:val="center"/>
            </w:pPr>
            <w:r w:rsidRPr="007E5071">
              <w:t>-</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24 months</w:t>
            </w:r>
          </w:p>
        </w:tc>
        <w:tc>
          <w:tcPr>
            <w:tcW w:w="927" w:type="pct"/>
            <w:vAlign w:val="center"/>
          </w:tcPr>
          <w:p w:rsidR="00AA684F" w:rsidRPr="007E5071" w:rsidRDefault="00AA684F" w:rsidP="00764435">
            <w:pPr>
              <w:pStyle w:val="Tabletext"/>
              <w:keepNext/>
              <w:keepLines/>
              <w:suppressLineNumbers/>
              <w:suppressAutoHyphens/>
              <w:jc w:val="center"/>
            </w:pPr>
            <w:r w:rsidRPr="007E5071">
              <w:t>43</w:t>
            </w:r>
            <w:r w:rsidR="005E25D6" w:rsidRPr="007E5071">
              <w:t>%</w:t>
            </w:r>
            <w:r w:rsidRPr="007E5071">
              <w:t xml:space="preserve"> (33, 53)</w:t>
            </w:r>
          </w:p>
        </w:tc>
        <w:tc>
          <w:tcPr>
            <w:tcW w:w="927" w:type="pct"/>
            <w:vAlign w:val="center"/>
          </w:tcPr>
          <w:p w:rsidR="00AA684F" w:rsidRPr="007E5071" w:rsidRDefault="00AA684F" w:rsidP="00764435">
            <w:pPr>
              <w:pStyle w:val="Tabletext"/>
              <w:keepNext/>
              <w:keepLines/>
              <w:suppressLineNumbers/>
              <w:suppressAutoHyphens/>
              <w:jc w:val="center"/>
            </w:pPr>
            <w:r w:rsidRPr="007E5071">
              <w:t>30</w:t>
            </w:r>
            <w:r w:rsidR="005E25D6" w:rsidRPr="007E5071">
              <w:t>%</w:t>
            </w:r>
            <w:r w:rsidRPr="007E5071">
              <w:t xml:space="preserve"> (20, 39)</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30</w:t>
            </w:r>
            <w:r w:rsidR="005E25D6" w:rsidRPr="007E5071">
              <w:t>%</w:t>
            </w:r>
            <w:r w:rsidRPr="007E5071">
              <w:t xml:space="preserve"> (24-37)</w:t>
            </w:r>
            <w:r w:rsidRPr="007E5071">
              <w:rPr>
                <w:vertAlign w:val="superscript"/>
              </w:rPr>
              <w:t>e</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31</w:t>
            </w:r>
            <w:r w:rsidR="005E25D6" w:rsidRPr="007E5071">
              <w:t>%</w:t>
            </w:r>
            <w:r w:rsidRPr="007E5071">
              <w:rPr>
                <w:vertAlign w:val="superscript"/>
              </w:rPr>
              <w:t>d</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36 months</w:t>
            </w:r>
          </w:p>
        </w:tc>
        <w:tc>
          <w:tcPr>
            <w:tcW w:w="927" w:type="pct"/>
            <w:vAlign w:val="center"/>
          </w:tcPr>
          <w:p w:rsidR="00AA684F" w:rsidRPr="007E5071" w:rsidRDefault="00AA684F" w:rsidP="00764435">
            <w:pPr>
              <w:pStyle w:val="Tabletext"/>
              <w:keepNext/>
              <w:keepLines/>
              <w:suppressLineNumbers/>
              <w:suppressAutoHyphens/>
              <w:jc w:val="center"/>
            </w:pPr>
            <w:r w:rsidRPr="007E5071">
              <w:t>39</w:t>
            </w:r>
            <w:r w:rsidR="005E25D6" w:rsidRPr="007E5071">
              <w:t>%</w:t>
            </w:r>
            <w:r w:rsidRPr="007E5071">
              <w:t xml:space="preserve"> (29, 49)</w:t>
            </w:r>
          </w:p>
        </w:tc>
        <w:tc>
          <w:tcPr>
            <w:tcW w:w="927" w:type="pct"/>
            <w:vAlign w:val="center"/>
          </w:tcPr>
          <w:p w:rsidR="00AA684F" w:rsidRPr="007E5071" w:rsidRDefault="00AA684F" w:rsidP="00764435">
            <w:pPr>
              <w:pStyle w:val="Tabletext"/>
              <w:keepNext/>
              <w:keepLines/>
              <w:suppressLineNumbers/>
              <w:suppressAutoHyphens/>
              <w:jc w:val="center"/>
            </w:pPr>
            <w:r w:rsidRPr="007E5071">
              <w:t>23</w:t>
            </w:r>
            <w:r w:rsidR="005E25D6" w:rsidRPr="007E5071">
              <w:t>%</w:t>
            </w:r>
            <w:r w:rsidRPr="007E5071">
              <w:t xml:space="preserve"> (15, 33)</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22</w:t>
            </w:r>
            <w:r w:rsidR="005E25D6" w:rsidRPr="007E5071">
              <w:t>%</w:t>
            </w:r>
            <w:r w:rsidRPr="007E5071">
              <w:t xml:space="preserve"> (16-28)</w:t>
            </w:r>
            <w:r w:rsidRPr="007E5071">
              <w:rPr>
                <w:vertAlign w:val="superscript"/>
              </w:rPr>
              <w:t>e</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25</w:t>
            </w:r>
            <w:r w:rsidR="005E25D6" w:rsidRPr="007E5071">
              <w:t>%</w:t>
            </w:r>
            <w:r w:rsidRPr="007E5071">
              <w:rPr>
                <w:vertAlign w:val="superscript"/>
              </w:rPr>
              <w:t>d</w:t>
            </w:r>
          </w:p>
        </w:tc>
      </w:tr>
      <w:tr w:rsidR="00AA684F" w:rsidRPr="007E5071" w:rsidTr="00D062FF">
        <w:trPr>
          <w:tblHeader/>
        </w:trPr>
        <w:tc>
          <w:tcPr>
            <w:tcW w:w="1451" w:type="pct"/>
            <w:vAlign w:val="center"/>
          </w:tcPr>
          <w:p w:rsidR="00AA684F" w:rsidRPr="007E5071" w:rsidRDefault="00AA684F" w:rsidP="00764435">
            <w:pPr>
              <w:pStyle w:val="Tabletext"/>
              <w:keepNext/>
              <w:keepLines/>
              <w:suppressLineNumbers/>
              <w:suppressAutoHyphens/>
              <w:ind w:left="142"/>
            </w:pPr>
            <w:r w:rsidRPr="007E5071">
              <w:t>48 months</w:t>
            </w:r>
          </w:p>
        </w:tc>
        <w:tc>
          <w:tcPr>
            <w:tcW w:w="927" w:type="pct"/>
            <w:vAlign w:val="center"/>
          </w:tcPr>
          <w:p w:rsidR="00AA684F" w:rsidRPr="007E5071" w:rsidRDefault="00AA684F" w:rsidP="00764435">
            <w:pPr>
              <w:pStyle w:val="Tabletext"/>
              <w:keepNext/>
              <w:keepLines/>
              <w:suppressLineNumbers/>
              <w:suppressAutoHyphens/>
              <w:jc w:val="center"/>
            </w:pPr>
            <w:r w:rsidRPr="007E5071">
              <w:t>39</w:t>
            </w:r>
            <w:r w:rsidR="005E25D6" w:rsidRPr="007E5071">
              <w:t>%</w:t>
            </w:r>
            <w:r w:rsidRPr="007E5071">
              <w:t xml:space="preserve"> (29, 49)</w:t>
            </w:r>
          </w:p>
        </w:tc>
        <w:tc>
          <w:tcPr>
            <w:tcW w:w="927" w:type="pct"/>
            <w:vAlign w:val="center"/>
          </w:tcPr>
          <w:p w:rsidR="00AA684F" w:rsidRPr="007E5071" w:rsidRDefault="00AA684F" w:rsidP="00764435">
            <w:pPr>
              <w:pStyle w:val="Tabletext"/>
              <w:keepNext/>
              <w:keepLines/>
              <w:suppressLineNumbers/>
              <w:suppressAutoHyphens/>
              <w:jc w:val="center"/>
            </w:pPr>
            <w:r w:rsidRPr="007E5071">
              <w:t>23</w:t>
            </w:r>
            <w:r w:rsidR="005E25D6" w:rsidRPr="007E5071">
              <w:t>%</w:t>
            </w:r>
            <w:r w:rsidRPr="007E5071">
              <w:t xml:space="preserve"> (15, 33)</w:t>
            </w:r>
          </w:p>
        </w:tc>
        <w:tc>
          <w:tcPr>
            <w:tcW w:w="848" w:type="pct"/>
            <w:vAlign w:val="center"/>
          </w:tcPr>
          <w:p w:rsidR="00AA684F" w:rsidRPr="007E5071" w:rsidRDefault="00AA684F" w:rsidP="00764435">
            <w:pPr>
              <w:pStyle w:val="Tabletext"/>
              <w:keepNext/>
              <w:keepLines/>
              <w:suppressLineNumbers/>
              <w:suppressAutoHyphens/>
              <w:jc w:val="center"/>
              <w:rPr>
                <w:vertAlign w:val="superscript"/>
              </w:rPr>
            </w:pPr>
            <w:r w:rsidRPr="007E5071">
              <w:t>17</w:t>
            </w:r>
            <w:r w:rsidR="005E25D6" w:rsidRPr="007E5071">
              <w:t>%</w:t>
            </w:r>
            <w:r w:rsidRPr="007E5071">
              <w:rPr>
                <w:vertAlign w:val="superscript"/>
              </w:rPr>
              <w:t>d</w:t>
            </w:r>
          </w:p>
        </w:tc>
        <w:tc>
          <w:tcPr>
            <w:tcW w:w="847" w:type="pct"/>
            <w:vAlign w:val="center"/>
          </w:tcPr>
          <w:p w:rsidR="00AA684F" w:rsidRPr="007E5071" w:rsidRDefault="00AA684F" w:rsidP="00764435">
            <w:pPr>
              <w:pStyle w:val="Tabletext"/>
              <w:keepNext/>
              <w:keepLines/>
              <w:suppressLineNumbers/>
              <w:suppressAutoHyphens/>
              <w:jc w:val="center"/>
              <w:rPr>
                <w:vertAlign w:val="superscript"/>
              </w:rPr>
            </w:pPr>
            <w:r w:rsidRPr="007E5071">
              <w:t>23</w:t>
            </w:r>
            <w:r w:rsidR="005E25D6" w:rsidRPr="007E5071">
              <w:t>%</w:t>
            </w:r>
            <w:r w:rsidRPr="007E5071">
              <w:rPr>
                <w:vertAlign w:val="superscript"/>
              </w:rPr>
              <w:t>d</w:t>
            </w:r>
          </w:p>
        </w:tc>
      </w:tr>
    </w:tbl>
    <w:p w:rsidR="00AA684F" w:rsidRPr="007E5071" w:rsidRDefault="00AA684F" w:rsidP="00764435">
      <w:pPr>
        <w:pStyle w:val="TableFooter"/>
        <w:keepNext/>
        <w:keepLines/>
        <w:widowControl/>
        <w:suppressLineNumbers/>
        <w:suppressAutoHyphens/>
      </w:pPr>
      <w:r w:rsidRPr="007E5071">
        <w:t xml:space="preserve">CI = confidence interval; DAB = dabrafenib; IPI = ipilimumab; KM = Kaplan-Meier; </w:t>
      </w:r>
      <w:r w:rsidR="007E7CEE" w:rsidRPr="007E5071">
        <w:t xml:space="preserve">mono = monotherapy; </w:t>
      </w:r>
      <w:r w:rsidRPr="007E5071">
        <w:t>NIVO = nivolumab; NR = not reached; OS = overall survival; PFS = progression free survival; TRAM = trametinib</w:t>
      </w:r>
    </w:p>
    <w:p w:rsidR="00AA684F" w:rsidRPr="007E5071" w:rsidRDefault="00AA684F" w:rsidP="00764435">
      <w:pPr>
        <w:pStyle w:val="TableFooter"/>
        <w:keepNext/>
        <w:keepLines/>
        <w:widowControl/>
        <w:suppressLineNumbers/>
        <w:suppressAutoHyphens/>
      </w:pPr>
      <w:r w:rsidRPr="007E5071">
        <w:rPr>
          <w:vertAlign w:val="superscript"/>
        </w:rPr>
        <w:t>a</w:t>
      </w:r>
      <w:r w:rsidRPr="007E5071">
        <w:t xml:space="preserve"> Minimum follow-up 48 months (p1485, Hodi et al, 2018) </w:t>
      </w:r>
    </w:p>
    <w:p w:rsidR="00AA684F" w:rsidRPr="007E5071" w:rsidRDefault="00AA684F" w:rsidP="00764435">
      <w:pPr>
        <w:pStyle w:val="TableFooter"/>
        <w:keepNext/>
        <w:keepLines/>
        <w:widowControl/>
        <w:suppressLineNumbers/>
        <w:suppressAutoHyphens/>
        <w:ind w:left="142" w:hanging="142"/>
      </w:pPr>
      <w:r w:rsidRPr="007E5071">
        <w:rPr>
          <w:vertAlign w:val="superscript"/>
        </w:rPr>
        <w:t>b</w:t>
      </w:r>
      <w:r w:rsidRPr="007E5071">
        <w:t xml:space="preserve"> Source: Schadendorf et al (2017) and Table A2, supplementary data, minimum follow-up 36 months (COMBI-D February 2016 data cutoff; COMBI-V July 2016 data cutoff)</w:t>
      </w:r>
      <w:r w:rsidR="0098161A" w:rsidRPr="007E5071">
        <w:t xml:space="preserve"> </w:t>
      </w:r>
    </w:p>
    <w:p w:rsidR="00AA684F" w:rsidRPr="007E5071" w:rsidRDefault="00AA684F" w:rsidP="00764435">
      <w:pPr>
        <w:pStyle w:val="TableFooter"/>
        <w:keepNext/>
        <w:keepLines/>
        <w:widowControl/>
        <w:suppressLineNumbers/>
        <w:suppressAutoHyphens/>
      </w:pPr>
      <w:r w:rsidRPr="007E5071">
        <w:rPr>
          <w:vertAlign w:val="superscript"/>
        </w:rPr>
        <w:t xml:space="preserve">c </w:t>
      </w:r>
      <w:r w:rsidRPr="007E5071">
        <w:t>Source: Long et al (2015), median follow-up 20 months, January 2015 data cutoff</w:t>
      </w:r>
    </w:p>
    <w:p w:rsidR="00AA684F" w:rsidRPr="007E5071" w:rsidRDefault="00AA684F" w:rsidP="00764435">
      <w:pPr>
        <w:pStyle w:val="TableFooter"/>
        <w:keepNext/>
        <w:keepLines/>
        <w:widowControl/>
        <w:suppressLineNumbers/>
        <w:suppressAutoHyphens/>
      </w:pPr>
      <w:r w:rsidRPr="007E5071">
        <w:rPr>
          <w:vertAlign w:val="superscript"/>
        </w:rPr>
        <w:t>d</w:t>
      </w:r>
      <w:r w:rsidRPr="007E5071">
        <w:t xml:space="preserve"> Source: Robert et al (2019), minimum 5 years follow-up (COMBI-D December 2018 data cutoff; COMBI-V October 2018 data cutoff).</w:t>
      </w:r>
      <w:r w:rsidR="0098161A" w:rsidRPr="007E5071">
        <w:t xml:space="preserve"> </w:t>
      </w:r>
    </w:p>
    <w:p w:rsidR="00AA684F" w:rsidRPr="007E5071" w:rsidRDefault="00AA684F" w:rsidP="00764435">
      <w:pPr>
        <w:pStyle w:val="TableFooter"/>
        <w:keepNext/>
        <w:keepLines/>
        <w:widowControl/>
        <w:suppressLineNumbers/>
        <w:suppressAutoHyphens/>
      </w:pPr>
      <w:r w:rsidRPr="007E5071">
        <w:rPr>
          <w:vertAlign w:val="superscript"/>
        </w:rPr>
        <w:t>e</w:t>
      </w:r>
      <w:r w:rsidRPr="007E5071">
        <w:t xml:space="preserve"> Source: Long et al (2017), minimum follow-up 36 months, February 2016 data cutoff</w:t>
      </w:r>
    </w:p>
    <w:p w:rsidR="00AA684F" w:rsidRPr="007E5071" w:rsidRDefault="00AA684F" w:rsidP="00764435">
      <w:pPr>
        <w:pStyle w:val="TableFooter"/>
        <w:keepNext/>
        <w:keepLines/>
        <w:widowControl/>
        <w:suppressLineNumbers/>
        <w:suppressAutoHyphens/>
      </w:pPr>
      <w:r w:rsidRPr="007E5071">
        <w:rPr>
          <w:vertAlign w:val="superscript"/>
        </w:rPr>
        <w:t>f</w:t>
      </w:r>
      <w:r w:rsidRPr="007E5071">
        <w:t xml:space="preserve"> Source: Robert et al (2015), median follow-up 11 months, April 2014 data cutoff</w:t>
      </w:r>
    </w:p>
    <w:p w:rsidR="00AA684F" w:rsidRPr="007E5071" w:rsidRDefault="00AA684F" w:rsidP="00764435">
      <w:pPr>
        <w:pStyle w:val="TableFooter"/>
        <w:keepNext/>
        <w:keepLines/>
        <w:widowControl/>
        <w:suppressLineNumbers/>
        <w:suppressAutoHyphens/>
      </w:pPr>
      <w:r w:rsidRPr="007E5071">
        <w:rPr>
          <w:vertAlign w:val="superscript"/>
        </w:rPr>
        <w:t>g</w:t>
      </w:r>
      <w:r w:rsidRPr="007E5071">
        <w:t xml:space="preserve"> Source: </w:t>
      </w:r>
      <w:r w:rsidRPr="00BF12D4">
        <w:t>https://slideplayer.com/slide/8371753/</w:t>
      </w:r>
      <w:r w:rsidRPr="007E5071">
        <w:t xml:space="preserve"> , March 2015 data cutoff</w:t>
      </w:r>
      <w:r w:rsidR="00CA61E0" w:rsidRPr="007E5071">
        <w:t xml:space="preserve"> and Table 1 of the PSCR</w:t>
      </w:r>
    </w:p>
    <w:p w:rsidR="00096B6A" w:rsidRPr="007E5071" w:rsidRDefault="00096B6A" w:rsidP="00764435">
      <w:pPr>
        <w:pStyle w:val="TableFooter"/>
        <w:keepNext/>
        <w:keepLines/>
        <w:widowControl/>
        <w:suppressLineNumbers/>
        <w:suppressAutoHyphens/>
        <w:ind w:left="142" w:hanging="142"/>
      </w:pPr>
      <w:r w:rsidRPr="007E5071">
        <w:t>* Addendum 2 to the CSR reported 103 BRAF mutation positive patients, while all other CSR documents reported 102 BRAF mutation positive patients in the NIVO+IPI arm.</w:t>
      </w:r>
    </w:p>
    <w:p w:rsidR="00CA61E0" w:rsidRPr="007E5071" w:rsidRDefault="00CA61E0" w:rsidP="00764435">
      <w:pPr>
        <w:pStyle w:val="TableFooter"/>
        <w:keepNext/>
        <w:keepLines/>
        <w:widowControl/>
        <w:suppressLineNumbers/>
        <w:suppressAutoHyphens/>
        <w:ind w:left="142" w:hanging="142"/>
      </w:pPr>
      <w:r w:rsidRPr="007E5071">
        <w:rPr>
          <w:vertAlign w:val="superscript"/>
        </w:rPr>
        <w:t>#</w:t>
      </w:r>
      <w:r w:rsidRPr="007E5071">
        <w:t xml:space="preserve"> Updated in the PSCR</w:t>
      </w:r>
    </w:p>
    <w:p w:rsidR="00AA684F" w:rsidRPr="007E5071" w:rsidRDefault="00AA684F" w:rsidP="00764435">
      <w:pPr>
        <w:pStyle w:val="TableFooter"/>
        <w:keepNext/>
        <w:keepLines/>
        <w:widowControl/>
        <w:suppressLineNumbers/>
        <w:suppressAutoHyphens/>
        <w:ind w:left="142" w:hanging="142"/>
      </w:pPr>
      <w:r w:rsidRPr="007E5071">
        <w:t>Note: The submission stated that the post-hoc subgroup analyses by BRAF mutation status were based on the 3 year follow-up data. However, the results were reported in CA067 Addendum 2 to CSR (August 2018), which was based on the May 2018 database lock at 4 years of follow-up (p16, CA067 Addendum 2 to CSR).</w:t>
      </w:r>
    </w:p>
    <w:p w:rsidR="00AA684F" w:rsidRPr="007E5071" w:rsidRDefault="00AA684F" w:rsidP="00764435">
      <w:pPr>
        <w:pStyle w:val="TableFooter"/>
        <w:keepNext/>
        <w:keepLines/>
        <w:widowControl/>
        <w:suppressLineNumbers/>
        <w:suppressAutoHyphens/>
      </w:pPr>
      <w:r w:rsidRPr="007E5071">
        <w:t>Source Table 31, p84 and Table 32, p86 of the submission; Schadendorf et al (2017); Long et al (2015); Robert et al (2019); Long et al (2017) and Robert et al (2015).</w:t>
      </w:r>
    </w:p>
    <w:p w:rsidR="00AA684F" w:rsidRPr="007E5071" w:rsidRDefault="00AA684F" w:rsidP="00764435">
      <w:pPr>
        <w:pStyle w:val="TableFooter"/>
        <w:keepLines/>
        <w:suppressLineNumbers/>
        <w:suppressAutoHyphens/>
        <w:rPr>
          <w:i/>
        </w:rPr>
      </w:pPr>
    </w:p>
    <w:p w:rsidR="00AA684F" w:rsidRPr="007E5071" w:rsidRDefault="006453CD" w:rsidP="00983502">
      <w:pPr>
        <w:pStyle w:val="ListParagraph"/>
        <w:widowControl/>
        <w:numPr>
          <w:ilvl w:val="1"/>
          <w:numId w:val="1"/>
        </w:numPr>
      </w:pPr>
      <w:r w:rsidRPr="007E5071">
        <w:t>D</w:t>
      </w:r>
      <w:r w:rsidR="00AA684F" w:rsidRPr="007E5071">
        <w:t xml:space="preserve">ue to the considerable potential for confounding, the </w:t>
      </w:r>
      <w:r w:rsidRPr="007E5071">
        <w:t xml:space="preserve">ESC considered that the </w:t>
      </w:r>
      <w:r w:rsidR="00AA684F" w:rsidRPr="007E5071">
        <w:t xml:space="preserve">results </w:t>
      </w:r>
      <w:r w:rsidRPr="007E5071">
        <w:t xml:space="preserve">of the naïve comparison </w:t>
      </w:r>
      <w:r w:rsidR="00AA684F" w:rsidRPr="007E5071">
        <w:t xml:space="preserve">should be interpreted with caution. In particular, due to the limited use of PD-1 inhibitors for later-line therapy in COMBI-D and COMBI-V, the OS results may be biased in favour of NIVO monotherapy and NIVO+IPI over DAB+TRAM. </w:t>
      </w:r>
    </w:p>
    <w:p w:rsidR="00AA684F" w:rsidRPr="007E5071" w:rsidRDefault="00AA684F" w:rsidP="00983502">
      <w:pPr>
        <w:pStyle w:val="ListParagraph"/>
        <w:widowControl/>
        <w:numPr>
          <w:ilvl w:val="1"/>
          <w:numId w:val="1"/>
        </w:numPr>
      </w:pPr>
      <w:r w:rsidRPr="007E5071">
        <w:t xml:space="preserve">The submission stated that it was not possible to compare the results of patient-reported outcomes for DAB+TRAM in COMBI-D and COMBI-V with those for NIVO monotherapy and NIVO+IPI in CA209-067. Any comparison across the trials would be subject to considerable potential for bias and confounding, especially considering the subjective nature of </w:t>
      </w:r>
      <w:r w:rsidR="006104CC" w:rsidRPr="007E5071">
        <w:t>patient reported outcomes</w:t>
      </w:r>
      <w:r w:rsidRPr="007E5071">
        <w:t xml:space="preserve"> and the potential transitivity issues discussed above.</w:t>
      </w:r>
    </w:p>
    <w:p w:rsidR="00AA684F" w:rsidRPr="007E5071" w:rsidRDefault="00AA684F" w:rsidP="00AA684F">
      <w:pPr>
        <w:pStyle w:val="Heading2"/>
      </w:pPr>
      <w:bookmarkStart w:id="8" w:name="_Toc17116007"/>
      <w:r w:rsidRPr="007E5071">
        <w:t>Comparative harms</w:t>
      </w:r>
      <w:bookmarkEnd w:id="8"/>
    </w:p>
    <w:p w:rsidR="00AA684F" w:rsidRPr="007E5071" w:rsidRDefault="00AA684F" w:rsidP="00AA684F">
      <w:pPr>
        <w:ind w:left="720" w:hanging="720"/>
      </w:pPr>
    </w:p>
    <w:p w:rsidR="00AA684F" w:rsidRPr="007E5071" w:rsidRDefault="00AA684F" w:rsidP="00983502">
      <w:pPr>
        <w:pStyle w:val="ListParagraph"/>
        <w:widowControl/>
        <w:numPr>
          <w:ilvl w:val="1"/>
          <w:numId w:val="1"/>
        </w:numPr>
      </w:pPr>
      <w:r w:rsidRPr="007E5071">
        <w:t xml:space="preserve">A comparison of key </w:t>
      </w:r>
      <w:r w:rsidR="000A37D5" w:rsidRPr="007E5071">
        <w:t>adverse events (</w:t>
      </w:r>
      <w:r w:rsidRPr="007E5071">
        <w:t>AEs</w:t>
      </w:r>
      <w:r w:rsidR="000A37D5" w:rsidRPr="007E5071">
        <w:t>)</w:t>
      </w:r>
      <w:r w:rsidRPr="007E5071">
        <w:t xml:space="preserve"> occurring in the BRAF mutation positive subgroups in the NIVO+IPI and NIVO monotherapy treatment arms of CA209-067 and the DAB+TRAM arms of COMBI-D and COMBI-V is presented below.</w:t>
      </w:r>
    </w:p>
    <w:p w:rsidR="00AA684F" w:rsidRPr="007E5071" w:rsidRDefault="00AA684F" w:rsidP="00AA684F">
      <w:pPr>
        <w:pStyle w:val="Caption"/>
        <w:keepNext/>
      </w:pPr>
      <w:r w:rsidRPr="007E5071">
        <w:t xml:space="preserve">Table </w:t>
      </w:r>
      <w:r w:rsidR="00E966F6" w:rsidRPr="007E5071">
        <w:t>6</w:t>
      </w:r>
      <w:r w:rsidRPr="007E5071">
        <w:t>: Comparison of key adverse events across the relevant treatment arms from the trials (BRAF mutation positive patients)</w:t>
      </w:r>
    </w:p>
    <w:tbl>
      <w:tblPr>
        <w:tblStyle w:val="TableGrid"/>
        <w:tblW w:w="5063" w:type="pct"/>
        <w:tblInd w:w="-5" w:type="dxa"/>
        <w:tblLook w:val="04A0" w:firstRow="1" w:lastRow="0" w:firstColumn="1" w:lastColumn="0" w:noHBand="0" w:noVBand="1"/>
        <w:tblCaption w:val="Table 6: Comparison of key adverse events across the relevant treatment arms from the trials (BRAF mutation positive patients)"/>
      </w:tblPr>
      <w:tblGrid>
        <w:gridCol w:w="2550"/>
        <w:gridCol w:w="1560"/>
        <w:gridCol w:w="1702"/>
        <w:gridCol w:w="1560"/>
        <w:gridCol w:w="1759"/>
      </w:tblGrid>
      <w:tr w:rsidR="00EE409E" w:rsidRPr="007E5071" w:rsidTr="00D062FF">
        <w:trPr>
          <w:tblHeader/>
        </w:trPr>
        <w:tc>
          <w:tcPr>
            <w:tcW w:w="1397" w:type="pct"/>
            <w:vMerge w:val="restart"/>
            <w:vAlign w:val="center"/>
          </w:tcPr>
          <w:p w:rsidR="00EE409E" w:rsidRPr="007E5071" w:rsidRDefault="00EE409E" w:rsidP="00807296">
            <w:pPr>
              <w:pStyle w:val="Tabletext"/>
              <w:rPr>
                <w:b/>
              </w:rPr>
            </w:pPr>
          </w:p>
        </w:tc>
        <w:tc>
          <w:tcPr>
            <w:tcW w:w="1786" w:type="pct"/>
            <w:gridSpan w:val="2"/>
            <w:vAlign w:val="center"/>
          </w:tcPr>
          <w:p w:rsidR="00EE409E" w:rsidRPr="007E5071" w:rsidRDefault="00EE409E" w:rsidP="00807296">
            <w:pPr>
              <w:pStyle w:val="Tabletext"/>
              <w:jc w:val="center"/>
              <w:rPr>
                <w:b/>
              </w:rPr>
            </w:pPr>
            <w:r w:rsidRPr="007E5071">
              <w:rPr>
                <w:b/>
              </w:rPr>
              <w:t xml:space="preserve">CA209-067 </w:t>
            </w:r>
            <w:r w:rsidRPr="007E5071">
              <w:rPr>
                <w:b/>
              </w:rPr>
              <w:br/>
              <w:t>(BRAF positive subgroups)</w:t>
            </w:r>
            <w:r w:rsidRPr="007E5071">
              <w:rPr>
                <w:b/>
                <w:vertAlign w:val="superscript"/>
              </w:rPr>
              <w:t>a</w:t>
            </w:r>
          </w:p>
        </w:tc>
        <w:tc>
          <w:tcPr>
            <w:tcW w:w="854" w:type="pct"/>
            <w:vAlign w:val="center"/>
          </w:tcPr>
          <w:p w:rsidR="00EE409E" w:rsidRPr="007E5071" w:rsidRDefault="00EE409E" w:rsidP="00807296">
            <w:pPr>
              <w:pStyle w:val="Tabletext"/>
              <w:jc w:val="center"/>
              <w:rPr>
                <w:b/>
              </w:rPr>
            </w:pPr>
            <w:r w:rsidRPr="007E5071">
              <w:rPr>
                <w:b/>
              </w:rPr>
              <w:t>COMBI-D</w:t>
            </w:r>
          </w:p>
        </w:tc>
        <w:tc>
          <w:tcPr>
            <w:tcW w:w="964" w:type="pct"/>
            <w:vAlign w:val="center"/>
          </w:tcPr>
          <w:p w:rsidR="00EE409E" w:rsidRPr="007E5071" w:rsidRDefault="00EE409E" w:rsidP="00807296">
            <w:pPr>
              <w:pStyle w:val="Tabletext"/>
              <w:jc w:val="center"/>
              <w:rPr>
                <w:b/>
              </w:rPr>
            </w:pPr>
            <w:r w:rsidRPr="007E5071">
              <w:rPr>
                <w:b/>
              </w:rPr>
              <w:t>COMBI-V</w:t>
            </w:r>
          </w:p>
        </w:tc>
      </w:tr>
      <w:tr w:rsidR="00EE409E" w:rsidRPr="007E5071" w:rsidTr="00D062FF">
        <w:trPr>
          <w:tblHeader/>
        </w:trPr>
        <w:tc>
          <w:tcPr>
            <w:tcW w:w="1397" w:type="pct"/>
            <w:vMerge/>
            <w:vAlign w:val="center"/>
          </w:tcPr>
          <w:p w:rsidR="00EE409E" w:rsidRPr="007E5071" w:rsidRDefault="00EE409E" w:rsidP="00807296">
            <w:pPr>
              <w:pStyle w:val="Tabletext"/>
              <w:rPr>
                <w:b/>
              </w:rPr>
            </w:pPr>
          </w:p>
        </w:tc>
        <w:tc>
          <w:tcPr>
            <w:tcW w:w="854" w:type="pct"/>
            <w:vAlign w:val="center"/>
          </w:tcPr>
          <w:p w:rsidR="00EE409E" w:rsidRPr="007E5071" w:rsidRDefault="00EE409E" w:rsidP="00807296">
            <w:pPr>
              <w:pStyle w:val="Tabletext"/>
              <w:jc w:val="center"/>
            </w:pPr>
            <w:r w:rsidRPr="007E5071">
              <w:rPr>
                <w:b/>
              </w:rPr>
              <w:t>NIVO+IPI</w:t>
            </w:r>
          </w:p>
        </w:tc>
        <w:tc>
          <w:tcPr>
            <w:tcW w:w="931" w:type="pct"/>
            <w:vAlign w:val="center"/>
          </w:tcPr>
          <w:p w:rsidR="00EE409E" w:rsidRPr="007E5071" w:rsidRDefault="00EE409E" w:rsidP="00807296">
            <w:pPr>
              <w:pStyle w:val="Tabletext"/>
              <w:jc w:val="center"/>
            </w:pPr>
            <w:r w:rsidRPr="007E5071">
              <w:rPr>
                <w:b/>
              </w:rPr>
              <w:t>NIVO monotherapy</w:t>
            </w:r>
          </w:p>
        </w:tc>
        <w:tc>
          <w:tcPr>
            <w:tcW w:w="854" w:type="pct"/>
            <w:vAlign w:val="center"/>
          </w:tcPr>
          <w:p w:rsidR="00EE409E" w:rsidRPr="007E5071" w:rsidRDefault="00EE409E" w:rsidP="00807296">
            <w:pPr>
              <w:pStyle w:val="Tabletext"/>
              <w:jc w:val="center"/>
              <w:rPr>
                <w:b/>
              </w:rPr>
            </w:pPr>
            <w:r w:rsidRPr="007E5071">
              <w:rPr>
                <w:b/>
              </w:rPr>
              <w:t>DAB+TRAM</w:t>
            </w:r>
          </w:p>
        </w:tc>
        <w:tc>
          <w:tcPr>
            <w:tcW w:w="964" w:type="pct"/>
            <w:vAlign w:val="center"/>
          </w:tcPr>
          <w:p w:rsidR="00EE409E" w:rsidRPr="007E5071" w:rsidRDefault="00EE409E" w:rsidP="00807296">
            <w:pPr>
              <w:pStyle w:val="Tabletext"/>
              <w:jc w:val="center"/>
            </w:pPr>
            <w:r w:rsidRPr="007E5071">
              <w:rPr>
                <w:b/>
              </w:rPr>
              <w:t>DAB+TRAM</w:t>
            </w:r>
          </w:p>
        </w:tc>
      </w:tr>
      <w:tr w:rsidR="00AA684F" w:rsidRPr="007E5071" w:rsidTr="00D062FF">
        <w:trPr>
          <w:tblHeader/>
        </w:trPr>
        <w:tc>
          <w:tcPr>
            <w:tcW w:w="1397" w:type="pct"/>
            <w:vAlign w:val="center"/>
          </w:tcPr>
          <w:p w:rsidR="00AA684F" w:rsidRPr="007E5071" w:rsidRDefault="00AA684F" w:rsidP="00807296">
            <w:pPr>
              <w:pStyle w:val="Tabletext"/>
            </w:pPr>
            <w:r w:rsidRPr="007E5071">
              <w:t>N</w:t>
            </w:r>
          </w:p>
        </w:tc>
        <w:tc>
          <w:tcPr>
            <w:tcW w:w="854" w:type="pct"/>
            <w:vAlign w:val="center"/>
          </w:tcPr>
          <w:p w:rsidR="00AA684F" w:rsidRPr="007E5071" w:rsidRDefault="00AA684F" w:rsidP="00807296">
            <w:pPr>
              <w:pStyle w:val="Tabletext"/>
              <w:jc w:val="center"/>
            </w:pPr>
            <w:r w:rsidRPr="007E5071">
              <w:t>N=101</w:t>
            </w:r>
          </w:p>
          <w:p w:rsidR="00AA684F" w:rsidRPr="007E5071" w:rsidRDefault="00AA684F" w:rsidP="00807296">
            <w:pPr>
              <w:pStyle w:val="Tabletext"/>
              <w:jc w:val="center"/>
            </w:pPr>
            <w:r w:rsidRPr="007E5071">
              <w:t>n (%)</w:t>
            </w:r>
          </w:p>
        </w:tc>
        <w:tc>
          <w:tcPr>
            <w:tcW w:w="931" w:type="pct"/>
            <w:vAlign w:val="center"/>
          </w:tcPr>
          <w:p w:rsidR="00AA684F" w:rsidRPr="007E5071" w:rsidRDefault="00AA684F" w:rsidP="00807296">
            <w:pPr>
              <w:pStyle w:val="Tabletext"/>
              <w:jc w:val="center"/>
            </w:pPr>
            <w:r w:rsidRPr="007E5071">
              <w:t>N=98</w:t>
            </w:r>
          </w:p>
          <w:p w:rsidR="00AA684F" w:rsidRPr="007E5071" w:rsidRDefault="00AA684F" w:rsidP="00807296">
            <w:pPr>
              <w:pStyle w:val="Tabletext"/>
              <w:jc w:val="center"/>
            </w:pPr>
            <w:r w:rsidRPr="007E5071">
              <w:t>n (%)</w:t>
            </w:r>
          </w:p>
        </w:tc>
        <w:tc>
          <w:tcPr>
            <w:tcW w:w="854" w:type="pct"/>
            <w:vAlign w:val="center"/>
          </w:tcPr>
          <w:p w:rsidR="00AA684F" w:rsidRPr="007E5071" w:rsidRDefault="00AA684F" w:rsidP="00807296">
            <w:pPr>
              <w:pStyle w:val="Tabletext"/>
              <w:jc w:val="center"/>
            </w:pPr>
            <w:r w:rsidRPr="007E5071">
              <w:t>N=209</w:t>
            </w:r>
          </w:p>
          <w:p w:rsidR="00AA684F" w:rsidRPr="007E5071" w:rsidRDefault="00AA684F" w:rsidP="00807296">
            <w:pPr>
              <w:pStyle w:val="Tabletext"/>
              <w:jc w:val="center"/>
            </w:pPr>
            <w:r w:rsidRPr="007E5071">
              <w:t>n (%)</w:t>
            </w:r>
          </w:p>
        </w:tc>
        <w:tc>
          <w:tcPr>
            <w:tcW w:w="964" w:type="pct"/>
            <w:vAlign w:val="center"/>
          </w:tcPr>
          <w:p w:rsidR="00AA684F" w:rsidRPr="007E5071" w:rsidRDefault="00AA684F" w:rsidP="00807296">
            <w:pPr>
              <w:pStyle w:val="Tabletext"/>
              <w:jc w:val="center"/>
            </w:pPr>
            <w:r w:rsidRPr="007E5071">
              <w:t>N=350</w:t>
            </w:r>
          </w:p>
          <w:p w:rsidR="00AA684F" w:rsidRPr="007E5071" w:rsidRDefault="00AA684F" w:rsidP="00807296">
            <w:pPr>
              <w:pStyle w:val="Tabletext"/>
              <w:jc w:val="center"/>
            </w:pPr>
            <w:r w:rsidRPr="007E5071">
              <w:t>n (%)</w:t>
            </w:r>
          </w:p>
        </w:tc>
      </w:tr>
      <w:tr w:rsidR="00AA684F" w:rsidRPr="007E5071" w:rsidTr="00D062FF">
        <w:trPr>
          <w:tblHeader/>
        </w:trPr>
        <w:tc>
          <w:tcPr>
            <w:tcW w:w="1397" w:type="pct"/>
            <w:vAlign w:val="center"/>
          </w:tcPr>
          <w:p w:rsidR="00AA684F" w:rsidRPr="007E5071" w:rsidRDefault="00AA684F" w:rsidP="00807296">
            <w:pPr>
              <w:pStyle w:val="Tabletext"/>
            </w:pPr>
            <w:r w:rsidRPr="007E5071">
              <w:t>Follow-up</w:t>
            </w:r>
          </w:p>
        </w:tc>
        <w:tc>
          <w:tcPr>
            <w:tcW w:w="854" w:type="pct"/>
            <w:vAlign w:val="center"/>
          </w:tcPr>
          <w:p w:rsidR="00AA684F" w:rsidRPr="007E5071" w:rsidRDefault="00AA684F" w:rsidP="00807296">
            <w:pPr>
              <w:pStyle w:val="Tabletext"/>
              <w:jc w:val="center"/>
            </w:pPr>
            <w:r w:rsidRPr="007E5071">
              <w:t>Min 36 months</w:t>
            </w:r>
          </w:p>
        </w:tc>
        <w:tc>
          <w:tcPr>
            <w:tcW w:w="931" w:type="pct"/>
            <w:vAlign w:val="center"/>
          </w:tcPr>
          <w:p w:rsidR="00AA684F" w:rsidRPr="007E5071" w:rsidRDefault="00AA684F" w:rsidP="00807296">
            <w:pPr>
              <w:pStyle w:val="Tabletext"/>
              <w:jc w:val="center"/>
            </w:pPr>
            <w:r w:rsidRPr="007E5071">
              <w:t>Min 36 months</w:t>
            </w:r>
          </w:p>
        </w:tc>
        <w:tc>
          <w:tcPr>
            <w:tcW w:w="854" w:type="pct"/>
            <w:vAlign w:val="center"/>
          </w:tcPr>
          <w:p w:rsidR="00AA684F" w:rsidRPr="007E5071" w:rsidRDefault="00AA684F" w:rsidP="00807296">
            <w:pPr>
              <w:pStyle w:val="Tabletext"/>
              <w:jc w:val="center"/>
              <w:rPr>
                <w:vertAlign w:val="superscript"/>
              </w:rPr>
            </w:pPr>
            <w:r w:rsidRPr="007E5071">
              <w:t>Min 36 months</w:t>
            </w:r>
            <w:r w:rsidRPr="007E5071">
              <w:rPr>
                <w:vertAlign w:val="superscript"/>
              </w:rPr>
              <w:t>c</w:t>
            </w:r>
          </w:p>
        </w:tc>
        <w:tc>
          <w:tcPr>
            <w:tcW w:w="964" w:type="pct"/>
            <w:vAlign w:val="center"/>
          </w:tcPr>
          <w:p w:rsidR="00AA684F" w:rsidRPr="007E5071" w:rsidRDefault="00AA684F" w:rsidP="00807296">
            <w:pPr>
              <w:pStyle w:val="Tabletext"/>
              <w:jc w:val="center"/>
              <w:rPr>
                <w:vertAlign w:val="superscript"/>
              </w:rPr>
            </w:pPr>
            <w:r w:rsidRPr="007E5071">
              <w:t>Median 11 m</w:t>
            </w:r>
            <w:r w:rsidR="002E6CBD" w:rsidRPr="007E5071">
              <w:t>on</w:t>
            </w:r>
            <w:r w:rsidRPr="007E5071">
              <w:t>ths</w:t>
            </w:r>
            <w:r w:rsidRPr="007E5071">
              <w:rPr>
                <w:vertAlign w:val="superscript"/>
              </w:rPr>
              <w:t>d</w:t>
            </w:r>
          </w:p>
        </w:tc>
      </w:tr>
      <w:tr w:rsidR="00EE409E" w:rsidRPr="007E5071" w:rsidTr="00D062FF">
        <w:trPr>
          <w:tblHeader/>
        </w:trPr>
        <w:tc>
          <w:tcPr>
            <w:tcW w:w="5000" w:type="pct"/>
            <w:gridSpan w:val="5"/>
            <w:vAlign w:val="center"/>
          </w:tcPr>
          <w:p w:rsidR="00EE409E" w:rsidRPr="007E5071" w:rsidRDefault="00EE409E" w:rsidP="00EE409E">
            <w:pPr>
              <w:pStyle w:val="Tabletext"/>
            </w:pPr>
            <w:r w:rsidRPr="007E5071">
              <w:t>Any cause AEs</w:t>
            </w:r>
          </w:p>
        </w:tc>
      </w:tr>
      <w:tr w:rsidR="00AA684F" w:rsidRPr="007E5071" w:rsidTr="00D062FF">
        <w:trPr>
          <w:tblHeader/>
        </w:trPr>
        <w:tc>
          <w:tcPr>
            <w:tcW w:w="1397" w:type="pct"/>
            <w:vAlign w:val="center"/>
          </w:tcPr>
          <w:p w:rsidR="00AA684F" w:rsidRPr="007E5071" w:rsidRDefault="00AA684F" w:rsidP="00807296">
            <w:pPr>
              <w:pStyle w:val="Tabletext"/>
              <w:ind w:left="142"/>
            </w:pPr>
            <w:r w:rsidRPr="007E5071">
              <w:t>One or more AE</w:t>
            </w:r>
          </w:p>
        </w:tc>
        <w:tc>
          <w:tcPr>
            <w:tcW w:w="854" w:type="pct"/>
            <w:vAlign w:val="center"/>
          </w:tcPr>
          <w:p w:rsidR="00AA684F" w:rsidRPr="007E5071" w:rsidRDefault="00BF12D4" w:rsidP="00807296">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931" w:type="pct"/>
            <w:vAlign w:val="center"/>
          </w:tcPr>
          <w:p w:rsidR="00AA684F" w:rsidRPr="007E5071" w:rsidRDefault="00BF12D4" w:rsidP="00807296">
            <w:pPr>
              <w:pStyle w:val="Tabletext"/>
              <w:jc w:val="center"/>
            </w:pPr>
            <w:r>
              <w:rPr>
                <w:noProof/>
                <w:color w:val="000000"/>
                <w:highlight w:val="black"/>
              </w:rPr>
              <w:t>'''''</w:t>
            </w:r>
            <w:r w:rsidR="00AA684F" w:rsidRPr="00494236">
              <w:t xml:space="preserve"> </w:t>
            </w:r>
            <w:r w:rsidR="00494236" w:rsidRPr="00494236">
              <w:t>(</w:t>
            </w:r>
            <w:r>
              <w:rPr>
                <w:noProof/>
                <w:color w:val="000000"/>
                <w:highlight w:val="black"/>
              </w:rPr>
              <w:t>'''''''''</w:t>
            </w:r>
            <w:r w:rsidR="002E6CBD" w:rsidRPr="00494236">
              <w:t>%</w:t>
            </w:r>
            <w:r w:rsidR="00AA684F" w:rsidRPr="00494236">
              <w:t>)</w:t>
            </w:r>
          </w:p>
        </w:tc>
        <w:tc>
          <w:tcPr>
            <w:tcW w:w="854" w:type="pct"/>
            <w:vAlign w:val="center"/>
          </w:tcPr>
          <w:p w:rsidR="00AA684F" w:rsidRPr="007E5071" w:rsidRDefault="00AA684F" w:rsidP="00EE409E">
            <w:pPr>
              <w:pStyle w:val="Tabletext"/>
              <w:jc w:val="center"/>
            </w:pPr>
            <w:r w:rsidRPr="007E5071">
              <w:t>203 (97</w:t>
            </w:r>
            <w:r w:rsidR="002E6CBD" w:rsidRPr="007E5071">
              <w:t>%</w:t>
            </w:r>
            <w:r w:rsidRPr="007E5071">
              <w:t>)</w:t>
            </w:r>
          </w:p>
        </w:tc>
        <w:tc>
          <w:tcPr>
            <w:tcW w:w="964" w:type="pct"/>
            <w:vAlign w:val="center"/>
          </w:tcPr>
          <w:p w:rsidR="00AA684F" w:rsidRPr="007E5071" w:rsidRDefault="00AA684F" w:rsidP="00EE409E">
            <w:pPr>
              <w:pStyle w:val="Tabletext"/>
              <w:jc w:val="center"/>
            </w:pPr>
            <w:r w:rsidRPr="007E5071">
              <w:t>343 (98</w:t>
            </w:r>
            <w:r w:rsidR="002E6CBD" w:rsidRPr="007E5071">
              <w:t>%</w:t>
            </w:r>
            <w:r w:rsidRPr="007E5071">
              <w:t>)</w:t>
            </w:r>
          </w:p>
        </w:tc>
      </w:tr>
      <w:tr w:rsidR="00AA684F" w:rsidRPr="007E5071" w:rsidTr="00D062FF">
        <w:trPr>
          <w:tblHeader/>
        </w:trPr>
        <w:tc>
          <w:tcPr>
            <w:tcW w:w="1397" w:type="pct"/>
            <w:vAlign w:val="center"/>
          </w:tcPr>
          <w:p w:rsidR="00AA684F" w:rsidRPr="007E5071" w:rsidRDefault="00AA684F" w:rsidP="00807296">
            <w:pPr>
              <w:pStyle w:val="Tabletext"/>
              <w:ind w:left="142"/>
            </w:pPr>
            <w:r w:rsidRPr="007E5071">
              <w:t>Serious AE</w:t>
            </w:r>
          </w:p>
        </w:tc>
        <w:tc>
          <w:tcPr>
            <w:tcW w:w="854" w:type="pct"/>
            <w:vAlign w:val="center"/>
          </w:tcPr>
          <w:p w:rsidR="00AA684F" w:rsidRPr="007E5071" w:rsidRDefault="00BF12D4" w:rsidP="00EE409E">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931" w:type="pct"/>
            <w:vAlign w:val="center"/>
          </w:tcPr>
          <w:p w:rsidR="00AA684F" w:rsidRPr="007E5071" w:rsidRDefault="00BF12D4" w:rsidP="00EE409E">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854" w:type="pct"/>
            <w:vAlign w:val="center"/>
          </w:tcPr>
          <w:p w:rsidR="00AA684F" w:rsidRPr="007E5071" w:rsidRDefault="00AA684F" w:rsidP="00EE409E">
            <w:pPr>
              <w:pStyle w:val="Tabletext"/>
              <w:jc w:val="center"/>
            </w:pPr>
            <w:r w:rsidRPr="007E5071">
              <w:t>95 (45</w:t>
            </w:r>
            <w:r w:rsidR="002E6CBD" w:rsidRPr="007E5071">
              <w:t>%</w:t>
            </w:r>
            <w:r w:rsidRPr="007E5071">
              <w:t>)</w:t>
            </w:r>
          </w:p>
        </w:tc>
        <w:tc>
          <w:tcPr>
            <w:tcW w:w="964" w:type="pct"/>
            <w:vAlign w:val="center"/>
          </w:tcPr>
          <w:p w:rsidR="00AA684F" w:rsidRPr="007E5071" w:rsidRDefault="00AA684F" w:rsidP="00EE409E">
            <w:pPr>
              <w:pStyle w:val="Tabletext"/>
              <w:jc w:val="center"/>
              <w:rPr>
                <w:vertAlign w:val="superscript"/>
              </w:rPr>
            </w:pPr>
            <w:r w:rsidRPr="007E5071">
              <w:t>131 (37</w:t>
            </w:r>
            <w:r w:rsidR="002E6CBD" w:rsidRPr="007E5071">
              <w:t>%</w:t>
            </w:r>
            <w:r w:rsidRPr="007E5071">
              <w:t>)</w:t>
            </w:r>
            <w:r w:rsidRPr="007E5071">
              <w:rPr>
                <w:vertAlign w:val="superscript"/>
              </w:rPr>
              <w:t>e</w:t>
            </w:r>
          </w:p>
        </w:tc>
      </w:tr>
      <w:tr w:rsidR="00AA684F" w:rsidRPr="007E5071" w:rsidTr="00D062FF">
        <w:trPr>
          <w:tblHeader/>
        </w:trPr>
        <w:tc>
          <w:tcPr>
            <w:tcW w:w="1397" w:type="pct"/>
            <w:vAlign w:val="center"/>
          </w:tcPr>
          <w:p w:rsidR="00AA684F" w:rsidRPr="007E5071" w:rsidRDefault="00AA684F" w:rsidP="00807296">
            <w:pPr>
              <w:pStyle w:val="Tabletext"/>
              <w:ind w:left="142"/>
            </w:pPr>
            <w:r w:rsidRPr="007E5071">
              <w:t>Grade 3-4 AE</w:t>
            </w:r>
          </w:p>
        </w:tc>
        <w:tc>
          <w:tcPr>
            <w:tcW w:w="854" w:type="pct"/>
            <w:vAlign w:val="center"/>
          </w:tcPr>
          <w:p w:rsidR="00AA684F" w:rsidRPr="007E5071" w:rsidRDefault="00BF12D4" w:rsidP="00EE409E">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931" w:type="pct"/>
            <w:vAlign w:val="center"/>
          </w:tcPr>
          <w:p w:rsidR="00AA684F" w:rsidRPr="007E5071" w:rsidRDefault="00BF12D4" w:rsidP="00EE409E">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854" w:type="pct"/>
            <w:vAlign w:val="center"/>
          </w:tcPr>
          <w:p w:rsidR="00AA684F" w:rsidRPr="007E5071" w:rsidRDefault="00AA684F" w:rsidP="00EE409E">
            <w:pPr>
              <w:pStyle w:val="Tabletext"/>
              <w:jc w:val="center"/>
              <w:rPr>
                <w:vertAlign w:val="superscript"/>
              </w:rPr>
            </w:pPr>
            <w:r w:rsidRPr="007E5071">
              <w:t>100 (48</w:t>
            </w:r>
            <w:r w:rsidR="002E6CBD" w:rsidRPr="007E5071">
              <w:t>%</w:t>
            </w:r>
            <w:r w:rsidRPr="007E5071">
              <w:t>)</w:t>
            </w:r>
          </w:p>
        </w:tc>
        <w:tc>
          <w:tcPr>
            <w:tcW w:w="964" w:type="pct"/>
            <w:vAlign w:val="center"/>
          </w:tcPr>
          <w:p w:rsidR="00AA684F" w:rsidRPr="007E5071" w:rsidRDefault="00AA684F" w:rsidP="00807296">
            <w:pPr>
              <w:pStyle w:val="Tabletext"/>
              <w:jc w:val="center"/>
            </w:pPr>
            <w:r w:rsidRPr="007E5071">
              <w:t>(52</w:t>
            </w:r>
            <w:r w:rsidR="002E6CBD" w:rsidRPr="007E5071">
              <w:t>%</w:t>
            </w:r>
            <w:r w:rsidRPr="007E5071">
              <w:t>)</w:t>
            </w:r>
          </w:p>
        </w:tc>
      </w:tr>
      <w:tr w:rsidR="00AA684F" w:rsidRPr="007E5071" w:rsidTr="00D062FF">
        <w:trPr>
          <w:tblHeader/>
        </w:trPr>
        <w:tc>
          <w:tcPr>
            <w:tcW w:w="1397" w:type="pct"/>
            <w:vAlign w:val="center"/>
          </w:tcPr>
          <w:p w:rsidR="00AA684F" w:rsidRPr="007E5071" w:rsidRDefault="00AA684F" w:rsidP="00807296">
            <w:pPr>
              <w:pStyle w:val="Tabletext"/>
              <w:ind w:left="142"/>
            </w:pPr>
            <w:r w:rsidRPr="007E5071">
              <w:t>AE leading to discontinuation</w:t>
            </w:r>
          </w:p>
        </w:tc>
        <w:tc>
          <w:tcPr>
            <w:tcW w:w="854" w:type="pct"/>
            <w:vAlign w:val="center"/>
          </w:tcPr>
          <w:p w:rsidR="00AA684F" w:rsidRPr="007E5071" w:rsidRDefault="00BF12D4" w:rsidP="00EE409E">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931" w:type="pct"/>
            <w:vAlign w:val="center"/>
          </w:tcPr>
          <w:p w:rsidR="00AA684F" w:rsidRPr="007E5071" w:rsidRDefault="00BF12D4" w:rsidP="00EE409E">
            <w:pPr>
              <w:pStyle w:val="Tabletext"/>
              <w:jc w:val="center"/>
            </w:pPr>
            <w:r>
              <w:rPr>
                <w:noProof/>
                <w:color w:val="000000"/>
                <w:highlight w:val="black"/>
              </w:rPr>
              <w:t>''''''</w:t>
            </w:r>
            <w:r w:rsidR="00AA684F" w:rsidRPr="007E5071">
              <w:t xml:space="preserve"> (</w:t>
            </w:r>
            <w:r>
              <w:rPr>
                <w:noProof/>
                <w:color w:val="000000"/>
                <w:highlight w:val="black"/>
              </w:rPr>
              <w:t>'''''''</w:t>
            </w:r>
            <w:r w:rsidR="002E6CBD" w:rsidRPr="007E5071">
              <w:t>%</w:t>
            </w:r>
            <w:r w:rsidR="00AA684F" w:rsidRPr="007E5071">
              <w:t>)</w:t>
            </w:r>
          </w:p>
        </w:tc>
        <w:tc>
          <w:tcPr>
            <w:tcW w:w="854" w:type="pct"/>
            <w:vAlign w:val="center"/>
          </w:tcPr>
          <w:p w:rsidR="00AA684F" w:rsidRPr="007E5071" w:rsidRDefault="00AA684F" w:rsidP="00EE409E">
            <w:pPr>
              <w:pStyle w:val="Tabletext"/>
              <w:jc w:val="center"/>
            </w:pPr>
            <w:r w:rsidRPr="007E5071">
              <w:t>29 (1</w:t>
            </w:r>
            <w:r w:rsidR="00EE409E" w:rsidRPr="007E5071">
              <w:t>4</w:t>
            </w:r>
            <w:r w:rsidR="002E6CBD" w:rsidRPr="007E5071">
              <w:t>%</w:t>
            </w:r>
            <w:r w:rsidRPr="007E5071">
              <w:t>)</w:t>
            </w:r>
          </w:p>
        </w:tc>
        <w:tc>
          <w:tcPr>
            <w:tcW w:w="964" w:type="pct"/>
            <w:vAlign w:val="center"/>
          </w:tcPr>
          <w:p w:rsidR="00AA684F" w:rsidRPr="007E5071" w:rsidRDefault="00AA684F" w:rsidP="00807296">
            <w:pPr>
              <w:pStyle w:val="Tabletext"/>
              <w:jc w:val="center"/>
            </w:pPr>
            <w:r w:rsidRPr="007E5071">
              <w:t>(13</w:t>
            </w:r>
            <w:r w:rsidR="00EE409E" w:rsidRPr="007E5071">
              <w:t>%</w:t>
            </w:r>
            <w:r w:rsidRPr="007E5071">
              <w:t>)</w:t>
            </w:r>
          </w:p>
        </w:tc>
      </w:tr>
      <w:tr w:rsidR="00AA684F" w:rsidRPr="007E5071" w:rsidTr="00D062FF">
        <w:trPr>
          <w:tblHeader/>
        </w:trPr>
        <w:tc>
          <w:tcPr>
            <w:tcW w:w="1397" w:type="pct"/>
            <w:vAlign w:val="center"/>
          </w:tcPr>
          <w:p w:rsidR="00AA684F" w:rsidRPr="007E5071" w:rsidRDefault="00AA684F" w:rsidP="00807296">
            <w:pPr>
              <w:pStyle w:val="Tabletext"/>
            </w:pPr>
            <w:r w:rsidRPr="007E5071">
              <w:t>Death due to drug-related AE</w:t>
            </w:r>
          </w:p>
        </w:tc>
        <w:tc>
          <w:tcPr>
            <w:tcW w:w="854" w:type="pct"/>
            <w:vAlign w:val="center"/>
          </w:tcPr>
          <w:p w:rsidR="00AA684F" w:rsidRPr="007E5071" w:rsidRDefault="00BF12D4" w:rsidP="00807296">
            <w:pPr>
              <w:pStyle w:val="Tabletext"/>
              <w:jc w:val="center"/>
              <w:rPr>
                <w:vertAlign w:val="superscript"/>
              </w:rPr>
            </w:pPr>
            <w:r>
              <w:rPr>
                <w:noProof/>
                <w:color w:val="000000"/>
                <w:highlight w:val="black"/>
              </w:rPr>
              <w:t>'''''''</w:t>
            </w:r>
            <w:r w:rsidR="00AA684F" w:rsidRPr="007E5071">
              <w:rPr>
                <w:vertAlign w:val="superscript"/>
              </w:rPr>
              <w:t>b</w:t>
            </w:r>
          </w:p>
        </w:tc>
        <w:tc>
          <w:tcPr>
            <w:tcW w:w="931" w:type="pct"/>
            <w:vAlign w:val="center"/>
          </w:tcPr>
          <w:p w:rsidR="00AA684F" w:rsidRPr="007E5071" w:rsidRDefault="00BF12D4" w:rsidP="00807296">
            <w:pPr>
              <w:pStyle w:val="Tabletext"/>
              <w:jc w:val="center"/>
              <w:rPr>
                <w:vertAlign w:val="superscript"/>
              </w:rPr>
            </w:pPr>
            <w:r>
              <w:rPr>
                <w:noProof/>
                <w:color w:val="000000"/>
                <w:highlight w:val="black"/>
              </w:rPr>
              <w:t>''''''''</w:t>
            </w:r>
            <w:r w:rsidR="00AA684F" w:rsidRPr="007E5071">
              <w:rPr>
                <w:vertAlign w:val="superscript"/>
              </w:rPr>
              <w:t>b</w:t>
            </w:r>
          </w:p>
        </w:tc>
        <w:tc>
          <w:tcPr>
            <w:tcW w:w="854" w:type="pct"/>
            <w:vAlign w:val="center"/>
          </w:tcPr>
          <w:p w:rsidR="00AA684F" w:rsidRPr="007E5071" w:rsidRDefault="00AA684F" w:rsidP="00807296">
            <w:pPr>
              <w:pStyle w:val="Tabletext"/>
              <w:jc w:val="center"/>
              <w:rPr>
                <w:vertAlign w:val="superscript"/>
              </w:rPr>
            </w:pPr>
            <w:r w:rsidRPr="007E5071">
              <w:t>0</w:t>
            </w:r>
          </w:p>
        </w:tc>
        <w:tc>
          <w:tcPr>
            <w:tcW w:w="964" w:type="pct"/>
            <w:vAlign w:val="center"/>
          </w:tcPr>
          <w:p w:rsidR="00AA684F" w:rsidRPr="007E5071" w:rsidRDefault="00AA684F" w:rsidP="00807296">
            <w:pPr>
              <w:pStyle w:val="Tabletext"/>
              <w:jc w:val="center"/>
            </w:pPr>
            <w:r w:rsidRPr="007E5071">
              <w:t>0</w:t>
            </w:r>
          </w:p>
        </w:tc>
      </w:tr>
    </w:tbl>
    <w:p w:rsidR="00AA684F" w:rsidRPr="007E5071" w:rsidRDefault="00AA684F" w:rsidP="00AA684F">
      <w:pPr>
        <w:pStyle w:val="TableFooter"/>
      </w:pPr>
      <w:r w:rsidRPr="007E5071">
        <w:t>AE = adverse event; IPI = ipilimumab; min = minimum; NIVO = nivolumab; NR = not reported</w:t>
      </w:r>
    </w:p>
    <w:p w:rsidR="00AA684F" w:rsidRPr="007E5071" w:rsidRDefault="00AA684F" w:rsidP="00AA684F">
      <w:pPr>
        <w:pStyle w:val="TableFooter"/>
      </w:pPr>
      <w:r w:rsidRPr="007E5071">
        <w:rPr>
          <w:vertAlign w:val="superscript"/>
        </w:rPr>
        <w:t>a</w:t>
      </w:r>
      <w:r w:rsidRPr="007E5071">
        <w:t xml:space="preserve"> Source: pp89, 159 and 201 CA067_Binder3_AE by BRAF status</w:t>
      </w:r>
    </w:p>
    <w:p w:rsidR="00AA684F" w:rsidRPr="007E5071" w:rsidRDefault="00AA684F" w:rsidP="00AA684F">
      <w:pPr>
        <w:pStyle w:val="TableFooter"/>
        <w:ind w:left="142" w:hanging="142"/>
      </w:pPr>
      <w:r w:rsidRPr="007E5071">
        <w:rPr>
          <w:vertAlign w:val="superscript"/>
        </w:rPr>
        <w:t>b</w:t>
      </w:r>
      <w:r w:rsidRPr="007E5071">
        <w:t xml:space="preserve"> Deaths due to drug-related AEs were not reported by BRAF status. In the full safety analysis set, there were 2 deaths due to drug-related AEs in the NIVO+IPI arm and 1 in the NIVO monotherapy arm. </w:t>
      </w:r>
    </w:p>
    <w:p w:rsidR="00AA684F" w:rsidRPr="007E5071" w:rsidRDefault="00AA684F" w:rsidP="00AA684F">
      <w:pPr>
        <w:pStyle w:val="TableFooter"/>
      </w:pPr>
      <w:r w:rsidRPr="007E5071">
        <w:rPr>
          <w:vertAlign w:val="superscript"/>
        </w:rPr>
        <w:t>c</w:t>
      </w:r>
      <w:r w:rsidRPr="007E5071">
        <w:t xml:space="preserve"> Source: Long et al (2017), p1635, Table S3 and Table S4.</w:t>
      </w:r>
    </w:p>
    <w:p w:rsidR="00AA684F" w:rsidRPr="007E5071" w:rsidRDefault="00AA684F" w:rsidP="00AA684F">
      <w:pPr>
        <w:pStyle w:val="TableFooter"/>
      </w:pPr>
      <w:r w:rsidRPr="007E5071">
        <w:rPr>
          <w:vertAlign w:val="superscript"/>
        </w:rPr>
        <w:t>d</w:t>
      </w:r>
      <w:r w:rsidRPr="007E5071">
        <w:t xml:space="preserve"> Source: Long et al (2014)</w:t>
      </w:r>
    </w:p>
    <w:p w:rsidR="00AA684F" w:rsidRPr="007E5071" w:rsidRDefault="00AA684F" w:rsidP="00AA684F">
      <w:pPr>
        <w:pStyle w:val="TableFooter"/>
      </w:pPr>
      <w:r w:rsidRPr="007E5071">
        <w:rPr>
          <w:vertAlign w:val="superscript"/>
        </w:rPr>
        <w:t>e</w:t>
      </w:r>
      <w:r w:rsidRPr="007E5071">
        <w:t xml:space="preserve"> This could not be confirmed as it could not be located in Long et al (2014).</w:t>
      </w:r>
    </w:p>
    <w:p w:rsidR="00AA684F" w:rsidRPr="007E5071" w:rsidRDefault="00AA684F" w:rsidP="00AA684F">
      <w:pPr>
        <w:pStyle w:val="TableFooter"/>
      </w:pPr>
      <w:r w:rsidRPr="007E5071">
        <w:rPr>
          <w:vertAlign w:val="superscript"/>
        </w:rPr>
        <w:t>g</w:t>
      </w:r>
      <w:r w:rsidRPr="007E5071">
        <w:t xml:space="preserve"> Source: Table S9, Robert et al (2019)</w:t>
      </w:r>
    </w:p>
    <w:p w:rsidR="00AA684F" w:rsidRPr="007E5071" w:rsidRDefault="00AA684F" w:rsidP="00AA684F">
      <w:pPr>
        <w:pStyle w:val="TableFooter"/>
      </w:pPr>
      <w:r w:rsidRPr="007E5071">
        <w:t>Source: Table 35, p95, Table 36, p97 of the submission; pp89, 159 and 201 CA067_Binder3_AE by BRAF status; Long et al (2017); Long et al (2014)</w:t>
      </w:r>
      <w:r w:rsidR="004A1EB6" w:rsidRPr="007E5071">
        <w:t>.</w:t>
      </w:r>
    </w:p>
    <w:p w:rsidR="00AA684F" w:rsidRPr="007E5071" w:rsidRDefault="00AA684F" w:rsidP="00AA684F"/>
    <w:p w:rsidR="00AA684F" w:rsidRPr="007E5071" w:rsidRDefault="00AA684F" w:rsidP="00983502">
      <w:pPr>
        <w:pStyle w:val="ListParagraph"/>
        <w:widowControl/>
        <w:numPr>
          <w:ilvl w:val="1"/>
          <w:numId w:val="1"/>
        </w:numPr>
      </w:pPr>
      <w:r w:rsidRPr="007E5071">
        <w:t>The submission stated that the frequencies of experiencing a serious AE, a severe AE (≥</w:t>
      </w:r>
      <w:r w:rsidR="005710D9" w:rsidRPr="007E5071">
        <w:t xml:space="preserve"> </w:t>
      </w:r>
      <w:r w:rsidRPr="007E5071">
        <w:t>Grade 3 toxicity) or an AE leading to discontinuation, regardless of causality, were higher with NIVO+IPI than with DAB+TRAM. These results suggest</w:t>
      </w:r>
      <w:r w:rsidR="005710D9" w:rsidRPr="007E5071">
        <w:t>ed</w:t>
      </w:r>
      <w:r w:rsidRPr="007E5071">
        <w:t xml:space="preserve"> that NIVO+IPI </w:t>
      </w:r>
      <w:r w:rsidR="005710D9" w:rsidRPr="007E5071">
        <w:t>wa</w:t>
      </w:r>
      <w:r w:rsidRPr="007E5071">
        <w:t xml:space="preserve">s inferior in terms of safety compared with DAB+TRAM. While any </w:t>
      </w:r>
      <w:r w:rsidR="009B3379" w:rsidRPr="007E5071">
        <w:t xml:space="preserve">naïve </w:t>
      </w:r>
      <w:r w:rsidRPr="007E5071">
        <w:t>comparison of safety data across treatment arms from separate trials should be interpreted with caution, at a minimum 36 months of follow-up, the proportion of patients experiencing at least one serious AE, a Grade 3-4 AE or an AE leading to discontinuation was reasonably similar for patients with BRAF mutation positive melanoma in the NIVO monotherapy arm of CA209-067 and the DAB+TRAM arm of COMBI-D.</w:t>
      </w:r>
    </w:p>
    <w:p w:rsidR="00AA684F" w:rsidRPr="007E5071" w:rsidRDefault="00AA684F" w:rsidP="00764435">
      <w:pPr>
        <w:pStyle w:val="Heading2"/>
        <w:keepNext/>
        <w:keepLines/>
      </w:pPr>
      <w:bookmarkStart w:id="9" w:name="_Toc17116008"/>
      <w:r w:rsidRPr="007E5071">
        <w:t>Clinical claim</w:t>
      </w:r>
      <w:bookmarkEnd w:id="9"/>
    </w:p>
    <w:p w:rsidR="00AA684F" w:rsidRPr="007E5071" w:rsidRDefault="00AA684F" w:rsidP="00764435">
      <w:pPr>
        <w:keepNext/>
        <w:keepLines/>
        <w:ind w:left="720" w:hanging="720"/>
      </w:pPr>
    </w:p>
    <w:p w:rsidR="00AA684F" w:rsidRPr="007E5071" w:rsidRDefault="00AA684F" w:rsidP="00764435">
      <w:pPr>
        <w:pStyle w:val="ListParagraph"/>
        <w:keepNext/>
        <w:keepLines/>
        <w:widowControl/>
        <w:numPr>
          <w:ilvl w:val="1"/>
          <w:numId w:val="1"/>
        </w:numPr>
      </w:pPr>
      <w:r w:rsidRPr="007E5071">
        <w:t xml:space="preserve">The submission described NIVO monotherapy as non-inferior in terms of effectiveness and non-inferior in terms of safety compared </w:t>
      </w:r>
      <w:r w:rsidR="00A45648" w:rsidRPr="007E5071">
        <w:t xml:space="preserve">with </w:t>
      </w:r>
      <w:r w:rsidRPr="007E5071">
        <w:t xml:space="preserve">DAB+TRAM, and described NIVO+IPI as non-inferior in terms of effectiveness and inferior in terms of safety compared </w:t>
      </w:r>
      <w:r w:rsidR="00A45648" w:rsidRPr="007E5071">
        <w:t xml:space="preserve">with </w:t>
      </w:r>
      <w:r w:rsidRPr="007E5071">
        <w:t>DAB+TRAM.</w:t>
      </w:r>
    </w:p>
    <w:p w:rsidR="00AA684F" w:rsidRPr="007E5071" w:rsidRDefault="00AA684F" w:rsidP="00983502">
      <w:pPr>
        <w:pStyle w:val="ListParagraph"/>
        <w:widowControl/>
        <w:numPr>
          <w:ilvl w:val="1"/>
          <w:numId w:val="1"/>
        </w:numPr>
      </w:pPr>
      <w:r w:rsidRPr="007E5071">
        <w:t xml:space="preserve">The </w:t>
      </w:r>
      <w:r w:rsidR="005710D9" w:rsidRPr="007E5071">
        <w:t xml:space="preserve">evaluators considered that the </w:t>
      </w:r>
      <w:r w:rsidRPr="007E5071">
        <w:t>therapeutic conclusion</w:t>
      </w:r>
      <w:r w:rsidR="002E6CBD" w:rsidRPr="007E5071">
        <w:t>,</w:t>
      </w:r>
      <w:r w:rsidRPr="007E5071">
        <w:t xml:space="preserve"> in regard to the comparative effectiveness of NIVO monotherapy, NIVO+IPI and DAB+TRAM</w:t>
      </w:r>
      <w:r w:rsidR="002E6CBD" w:rsidRPr="007E5071">
        <w:t>,</w:t>
      </w:r>
      <w:r w:rsidRPr="007E5071">
        <w:t xml:space="preserve"> was not adequately supported by the evidence presented </w:t>
      </w:r>
      <w:r w:rsidR="007B4900" w:rsidRPr="007E5071">
        <w:t>in</w:t>
      </w:r>
      <w:r w:rsidRPr="007E5071">
        <w:t xml:space="preserve"> the submission as</w:t>
      </w:r>
      <w:r w:rsidR="001847DE" w:rsidRPr="007E5071">
        <w:t xml:space="preserve"> t</w:t>
      </w:r>
      <w:r w:rsidRPr="007E5071">
        <w:t>he indirect comparison was potentially biased in favour of NIVO monotherapy and NIVO+IPI over DAB+TRAM, given:</w:t>
      </w:r>
    </w:p>
    <w:p w:rsidR="00AA684F" w:rsidRPr="007E5071" w:rsidRDefault="000D08AC" w:rsidP="00983502">
      <w:pPr>
        <w:pStyle w:val="ListParagraph"/>
        <w:widowControl/>
        <w:numPr>
          <w:ilvl w:val="0"/>
          <w:numId w:val="14"/>
        </w:numPr>
      </w:pPr>
      <w:r w:rsidRPr="007E5071">
        <w:t>patients</w:t>
      </w:r>
      <w:r w:rsidR="00AA684F" w:rsidRPr="007E5071">
        <w:t xml:space="preserve"> in COMBI-D and COMBI-V may, on average, have had more advanced disease than those in the BRAF positive subgroups in CA209-067;</w:t>
      </w:r>
      <w:r w:rsidR="00A8644A" w:rsidRPr="007E5071">
        <w:t xml:space="preserve"> and</w:t>
      </w:r>
    </w:p>
    <w:p w:rsidR="00AA684F" w:rsidRPr="007E5071" w:rsidRDefault="001847DE" w:rsidP="00983502">
      <w:pPr>
        <w:pStyle w:val="ListParagraph"/>
        <w:widowControl/>
        <w:numPr>
          <w:ilvl w:val="0"/>
          <w:numId w:val="14"/>
        </w:numPr>
      </w:pPr>
      <w:r w:rsidRPr="007E5071">
        <w:t>t</w:t>
      </w:r>
      <w:r w:rsidR="00AA684F" w:rsidRPr="007E5071">
        <w:t>he subsequent therapies received by patients with progressive disease in the COMBI trials did not reflect current clinical practice, with only a limited proportion of patients receiving a PD-1 inhibitor following progression on DAB+TRAM</w:t>
      </w:r>
      <w:r w:rsidR="00066237" w:rsidRPr="007E5071">
        <w:t>.</w:t>
      </w:r>
    </w:p>
    <w:p w:rsidR="005710D9" w:rsidRPr="007E5071" w:rsidRDefault="005710D9" w:rsidP="00983502">
      <w:pPr>
        <w:pStyle w:val="ListParagraph"/>
        <w:widowControl/>
        <w:numPr>
          <w:ilvl w:val="1"/>
          <w:numId w:val="1"/>
        </w:numPr>
      </w:pPr>
      <w:r w:rsidRPr="007E5071">
        <w:t>The ESC considered that the evidence presented in the submission was of low quality, given that it was a naïve indirect comparison and subject to a high risk of bias and considerable potential for confounding. However, the ESC also considered that the evidence did not provide a compelling signal of difference in the efficacy of NIVO or NIVO+IPI compared to DAB+TRAM in terms of overall survival.</w:t>
      </w:r>
    </w:p>
    <w:p w:rsidR="005710D9" w:rsidRPr="007E5071" w:rsidRDefault="00467BBB" w:rsidP="00983502">
      <w:pPr>
        <w:pStyle w:val="ListParagraph"/>
        <w:widowControl/>
        <w:numPr>
          <w:ilvl w:val="1"/>
          <w:numId w:val="1"/>
        </w:numPr>
      </w:pPr>
      <w:r w:rsidRPr="007E5071">
        <w:t xml:space="preserve">The </w:t>
      </w:r>
      <w:r w:rsidR="005710D9" w:rsidRPr="007E5071">
        <w:t xml:space="preserve">ESC noted that a recently published network meta-analysis by An and Lui, 2019 did not find a significant difference in overall survival for the combination of BRAF+MEK inhibitors compared to PD-1 </w:t>
      </w:r>
      <w:r w:rsidR="00593619" w:rsidRPr="007E5071">
        <w:t xml:space="preserve">inhibitors </w:t>
      </w:r>
      <w:r w:rsidR="005710D9" w:rsidRPr="007E5071">
        <w:t>(HR = 0.85, 95% CI: 0.59, 1.21). The ESC considered that the conclusions should be considered with caution given heterogeneity and indirect comparisons.</w:t>
      </w:r>
    </w:p>
    <w:p w:rsidR="005710D9" w:rsidRPr="007E5071" w:rsidRDefault="005710D9" w:rsidP="00983502">
      <w:pPr>
        <w:pStyle w:val="ListParagraph"/>
        <w:widowControl/>
        <w:numPr>
          <w:ilvl w:val="1"/>
          <w:numId w:val="1"/>
        </w:numPr>
      </w:pPr>
      <w:r w:rsidRPr="007E5071">
        <w:t>The ESC noted that there was genuine clinical equipoise amongst clinicians as to the optimal sequence of systemic therapies in BRAF mutant metastatic melanoma, with two international randomised clinical trials comparing the effects on overall survival of BRAF-targeted therapy and immunotherapy (DREAMseq and SECOMBIT) in progress. The ESC considered it important that the PBAC reviews results of these trials when made available, as they will provide critical information on the efficacy, safety and cost-effectiveness of first-line therapies.</w:t>
      </w:r>
    </w:p>
    <w:p w:rsidR="005710D9" w:rsidRPr="007E5071" w:rsidRDefault="00467BBB" w:rsidP="00983502">
      <w:pPr>
        <w:pStyle w:val="ListParagraph"/>
        <w:widowControl/>
        <w:numPr>
          <w:ilvl w:val="1"/>
          <w:numId w:val="1"/>
        </w:numPr>
      </w:pPr>
      <w:r w:rsidRPr="007E5071">
        <w:t>Although t</w:t>
      </w:r>
      <w:r w:rsidR="005710D9" w:rsidRPr="007E5071">
        <w:t>he comparative safety of NIVO monotherapy and DAB+TRAM was difficult to interpret due to the naïve, indirect nature of the comparison and the different safety profiles of the two therapies</w:t>
      </w:r>
      <w:r w:rsidRPr="007E5071">
        <w:t xml:space="preserve"> t</w:t>
      </w:r>
      <w:r w:rsidR="005710D9" w:rsidRPr="007E5071">
        <w:t>he ESC accepted the submission’s claim that NIVO was no worse than DAB+TRAM in terms of safety outcomes</w:t>
      </w:r>
      <w:r w:rsidRPr="007E5071">
        <w:t xml:space="preserve">. The ESC accepted the submission’s claim </w:t>
      </w:r>
      <w:r w:rsidR="005710D9" w:rsidRPr="007E5071">
        <w:t>that NIVO+IPI had an inferior safety profile when compared with DAB+TRAM.</w:t>
      </w:r>
    </w:p>
    <w:p w:rsidR="000C045D" w:rsidRPr="007E5071" w:rsidRDefault="000C045D" w:rsidP="00983502">
      <w:pPr>
        <w:pStyle w:val="ListParagraph"/>
        <w:widowControl/>
        <w:numPr>
          <w:ilvl w:val="1"/>
          <w:numId w:val="1"/>
        </w:numPr>
      </w:pPr>
      <w:r w:rsidRPr="007E5071">
        <w:t xml:space="preserve">The PBAC considered that the claim of non-inferior comparative effectiveness </w:t>
      </w:r>
      <w:r w:rsidR="008E6B5C" w:rsidRPr="007E5071">
        <w:t xml:space="preserve">between NIVO monotherapy, NIVO+IPI and DAB+TRAM </w:t>
      </w:r>
      <w:r w:rsidRPr="007E5071">
        <w:t xml:space="preserve">was </w:t>
      </w:r>
      <w:r w:rsidR="008E6B5C" w:rsidRPr="007E5071">
        <w:t xml:space="preserve">likely to be </w:t>
      </w:r>
      <w:r w:rsidRPr="007E5071">
        <w:t>reasonable</w:t>
      </w:r>
      <w:r w:rsidR="008E6B5C" w:rsidRPr="007E5071">
        <w:t>.</w:t>
      </w:r>
    </w:p>
    <w:p w:rsidR="000C045D" w:rsidRPr="007E5071" w:rsidRDefault="000C045D" w:rsidP="00983502">
      <w:pPr>
        <w:pStyle w:val="ListParagraph"/>
        <w:widowControl/>
        <w:numPr>
          <w:ilvl w:val="1"/>
          <w:numId w:val="1"/>
        </w:numPr>
      </w:pPr>
      <w:r w:rsidRPr="007E5071">
        <w:t xml:space="preserve">The PBAC considered that the claim of inferior comparative safety </w:t>
      </w:r>
      <w:r w:rsidR="008E6B5C" w:rsidRPr="007E5071">
        <w:t xml:space="preserve">between NIVO+IPI and DAB+TRAM </w:t>
      </w:r>
      <w:r w:rsidRPr="007E5071">
        <w:t>was reasonable</w:t>
      </w:r>
      <w:r w:rsidR="008E6B5C" w:rsidRPr="007E5071">
        <w:t>. The PBAC considered that the claim of non-inferior comparative safety between NIVO monotherapy and DAB+TRAM was likely to be reasonable.</w:t>
      </w:r>
    </w:p>
    <w:p w:rsidR="00B60939" w:rsidRPr="007E5071" w:rsidRDefault="00B60939" w:rsidP="00764435">
      <w:pPr>
        <w:pStyle w:val="Heading2"/>
        <w:keepNext/>
        <w:keepLines/>
      </w:pPr>
      <w:bookmarkStart w:id="10" w:name="_Toc17116009"/>
      <w:r w:rsidRPr="007E5071">
        <w:t>Economic analysis</w:t>
      </w:r>
      <w:bookmarkEnd w:id="10"/>
      <w:r w:rsidR="00491B3A" w:rsidRPr="007E5071">
        <w:t xml:space="preserve"> </w:t>
      </w:r>
    </w:p>
    <w:p w:rsidR="00B60939" w:rsidRPr="007E5071" w:rsidRDefault="00B60939" w:rsidP="00764435">
      <w:pPr>
        <w:keepNext/>
        <w:keepLines/>
        <w:ind w:left="720" w:hanging="720"/>
      </w:pPr>
    </w:p>
    <w:p w:rsidR="00275C5A" w:rsidRPr="007E5071" w:rsidRDefault="00074ECA" w:rsidP="00764435">
      <w:pPr>
        <w:pStyle w:val="ListParagraph"/>
        <w:keepNext/>
        <w:keepLines/>
        <w:widowControl/>
        <w:numPr>
          <w:ilvl w:val="1"/>
          <w:numId w:val="1"/>
        </w:numPr>
      </w:pPr>
      <w:r w:rsidRPr="007E5071">
        <w:t xml:space="preserve">The submission presented a cost-minimisation analysis (CMA) of both NIVO monotherapy and NIVO+IPI versus DAB+TRAM. </w:t>
      </w:r>
      <w:r w:rsidR="00741328" w:rsidRPr="007E5071">
        <w:t xml:space="preserve">The PSCR stated that the sponsor proposed a cost-neutral approach to listing NIVO monotherapy and NIVO+IPI compared with the cost of DAB+TRAM. </w:t>
      </w:r>
      <w:r w:rsidR="00242B92" w:rsidRPr="007E5071">
        <w:t>Th</w:t>
      </w:r>
      <w:r w:rsidR="00C802CA" w:rsidRPr="007E5071">
        <w:t>e</w:t>
      </w:r>
      <w:r w:rsidR="00242B92" w:rsidRPr="007E5071">
        <w:t xml:space="preserve"> </w:t>
      </w:r>
      <w:r w:rsidR="00C802CA" w:rsidRPr="007E5071">
        <w:t xml:space="preserve">ESC noted that the </w:t>
      </w:r>
      <w:r w:rsidR="00242B92" w:rsidRPr="007E5071">
        <w:t>approach for NIVO+IPI</w:t>
      </w:r>
      <w:r w:rsidR="00467BBB" w:rsidRPr="007E5071">
        <w:t xml:space="preserve"> </w:t>
      </w:r>
      <w:r w:rsidR="0069267D" w:rsidRPr="007E5071">
        <w:t>was</w:t>
      </w:r>
      <w:r w:rsidR="00242B92" w:rsidRPr="007E5071">
        <w:t xml:space="preserve"> inconsistent with the clinical claim made in the submission, which acknowledged that NIVO+IPI is inferior to DAB+TRAM in terms of safety. </w:t>
      </w:r>
      <w:r w:rsidR="00C574DB" w:rsidRPr="007E5071">
        <w:t>The PBAC noted that the approach was consistent with that presented in July 2018 for NIVO+IPI in the treatment of unresectable or metastatic melanoma.</w:t>
      </w:r>
    </w:p>
    <w:p w:rsidR="00200DA2" w:rsidRPr="007E5071" w:rsidRDefault="00A86E8B" w:rsidP="00983502">
      <w:pPr>
        <w:pStyle w:val="ListParagraph"/>
        <w:widowControl/>
        <w:numPr>
          <w:ilvl w:val="1"/>
          <w:numId w:val="1"/>
        </w:numPr>
      </w:pPr>
      <w:r w:rsidRPr="007E5071">
        <w:t xml:space="preserve">The </w:t>
      </w:r>
      <w:r w:rsidR="00200DA2" w:rsidRPr="007E5071">
        <w:t xml:space="preserve">estimated </w:t>
      </w:r>
      <w:r w:rsidRPr="007E5071">
        <w:t xml:space="preserve">equi-effective doses </w:t>
      </w:r>
      <w:r w:rsidR="00200DA2" w:rsidRPr="007E5071">
        <w:t xml:space="preserve">are summarised in </w:t>
      </w:r>
      <w:r w:rsidR="00CD3ABA" w:rsidRPr="007E5071">
        <w:t>Table 7</w:t>
      </w:r>
      <w:r w:rsidR="00E32CD4" w:rsidRPr="007E5071">
        <w:t>.</w:t>
      </w:r>
    </w:p>
    <w:p w:rsidR="006B624F" w:rsidRPr="007E5071" w:rsidRDefault="006B624F" w:rsidP="00983502">
      <w:pPr>
        <w:pStyle w:val="ListParagraph"/>
        <w:widowControl/>
        <w:numPr>
          <w:ilvl w:val="1"/>
          <w:numId w:val="1"/>
        </w:numPr>
        <w:spacing w:after="120"/>
        <w:rPr>
          <w:rFonts w:asciiTheme="minorHAnsi" w:hAnsiTheme="minorHAnsi" w:cstheme="minorHAnsi"/>
          <w:szCs w:val="24"/>
          <w:lang w:eastAsia="en-AU"/>
        </w:rPr>
      </w:pPr>
      <w:r w:rsidRPr="007E5071">
        <w:rPr>
          <w:rFonts w:asciiTheme="minorHAnsi" w:hAnsiTheme="minorHAnsi" w:cstheme="minorHAnsi"/>
          <w:szCs w:val="24"/>
          <w:lang w:eastAsia="en-AU"/>
        </w:rPr>
        <w:t>The ESC noted that the mean durations of therapy for NIVO monotherapy and NIVO+IPI differed to those used in the NIVO+IPI cost analysis presented in July 2018. In that analysis, it was assumed that 30.5 infusions of NIVO monotherapy (every two weeks) was equivalent to 20.7 infusions of NIVO (3.2 infusions in the induction phase and 17.5 in the maintenance phase) plus 3.2 infusions of IPI (in the induction phase).</w:t>
      </w:r>
      <w:r w:rsidR="00BA1800" w:rsidRPr="007E5071">
        <w:rPr>
          <w:rFonts w:asciiTheme="minorHAnsi" w:hAnsiTheme="minorHAnsi" w:cstheme="minorHAnsi"/>
          <w:szCs w:val="24"/>
          <w:lang w:eastAsia="en-AU"/>
        </w:rPr>
        <w:t xml:space="preserve"> </w:t>
      </w:r>
    </w:p>
    <w:p w:rsidR="00200DA2" w:rsidRPr="007E5071" w:rsidRDefault="00E966F6" w:rsidP="00EE409E">
      <w:pPr>
        <w:pStyle w:val="Caption"/>
        <w:keepNext/>
      </w:pPr>
      <w:bookmarkStart w:id="11" w:name="_Ref16239116"/>
      <w:r w:rsidRPr="007E5071">
        <w:t>Table</w:t>
      </w:r>
      <w:r w:rsidR="000503DE" w:rsidRPr="007E5071">
        <w:t xml:space="preserve"> </w:t>
      </w:r>
      <w:r w:rsidRPr="007E5071">
        <w:t>7</w:t>
      </w:r>
      <w:bookmarkEnd w:id="11"/>
      <w:r w:rsidR="00E32CD4" w:rsidRPr="007E5071">
        <w:t>: Estimated equi-effective doses of NIVO monotherapy, NIVO+IPI and DAB+TRAM</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Estimated equi-effective doses of NIVO monotherapy, NIVO+IPI and DAB+TRAM"/>
      </w:tblPr>
      <w:tblGrid>
        <w:gridCol w:w="1560"/>
        <w:gridCol w:w="4677"/>
        <w:gridCol w:w="1417"/>
        <w:gridCol w:w="1477"/>
      </w:tblGrid>
      <w:tr w:rsidR="00E66B8A" w:rsidRPr="007E5071" w:rsidTr="00D062FF">
        <w:trPr>
          <w:tblHeader/>
        </w:trPr>
        <w:tc>
          <w:tcPr>
            <w:tcW w:w="854" w:type="pct"/>
            <w:vMerge w:val="restart"/>
            <w:tcBorders>
              <w:top w:val="single" w:sz="4" w:space="0" w:color="auto"/>
            </w:tcBorders>
            <w:tcMar>
              <w:left w:w="28" w:type="dxa"/>
              <w:right w:w="28" w:type="dxa"/>
            </w:tcMar>
            <w:vAlign w:val="center"/>
          </w:tcPr>
          <w:p w:rsidR="00E66B8A" w:rsidRPr="007E5071" w:rsidRDefault="00E32CD4" w:rsidP="00EE409E">
            <w:pPr>
              <w:pStyle w:val="Tabletext"/>
              <w:keepNext/>
              <w:rPr>
                <w:b/>
              </w:rPr>
            </w:pPr>
            <w:r w:rsidRPr="007E5071">
              <w:rPr>
                <w:b/>
              </w:rPr>
              <w:t>Treatment</w:t>
            </w:r>
          </w:p>
        </w:tc>
        <w:tc>
          <w:tcPr>
            <w:tcW w:w="2561" w:type="pct"/>
            <w:vMerge w:val="restart"/>
            <w:tcBorders>
              <w:top w:val="single" w:sz="4" w:space="0" w:color="auto"/>
            </w:tcBorders>
            <w:tcMar>
              <w:left w:w="28" w:type="dxa"/>
              <w:right w:w="28" w:type="dxa"/>
            </w:tcMar>
            <w:vAlign w:val="center"/>
          </w:tcPr>
          <w:p w:rsidR="00E66B8A" w:rsidRPr="007E5071" w:rsidRDefault="00E66B8A" w:rsidP="00EE409E">
            <w:pPr>
              <w:pStyle w:val="Tabletext"/>
              <w:keepNext/>
              <w:rPr>
                <w:b/>
              </w:rPr>
            </w:pPr>
            <w:r w:rsidRPr="007E5071">
              <w:rPr>
                <w:b/>
              </w:rPr>
              <w:t>Dose</w:t>
            </w:r>
          </w:p>
        </w:tc>
        <w:tc>
          <w:tcPr>
            <w:tcW w:w="1585" w:type="pct"/>
            <w:gridSpan w:val="2"/>
            <w:tcBorders>
              <w:top w:val="single" w:sz="4" w:space="0" w:color="auto"/>
              <w:bottom w:val="dotted" w:sz="4" w:space="0" w:color="auto"/>
            </w:tcBorders>
            <w:tcMar>
              <w:left w:w="28" w:type="dxa"/>
              <w:right w:w="28" w:type="dxa"/>
            </w:tcMar>
            <w:vAlign w:val="center"/>
          </w:tcPr>
          <w:p w:rsidR="00E66B8A" w:rsidRPr="007E5071" w:rsidRDefault="00E66B8A" w:rsidP="00EE409E">
            <w:pPr>
              <w:pStyle w:val="Tabletext"/>
              <w:keepNext/>
              <w:jc w:val="center"/>
              <w:rPr>
                <w:b/>
              </w:rPr>
            </w:pPr>
            <w:r w:rsidRPr="007E5071">
              <w:rPr>
                <w:b/>
              </w:rPr>
              <w:t>Duration</w:t>
            </w:r>
          </w:p>
        </w:tc>
      </w:tr>
      <w:tr w:rsidR="00E66B8A" w:rsidRPr="007E5071" w:rsidTr="00D062FF">
        <w:trPr>
          <w:tblHeader/>
        </w:trPr>
        <w:tc>
          <w:tcPr>
            <w:tcW w:w="854" w:type="pct"/>
            <w:vMerge/>
            <w:tcBorders>
              <w:bottom w:val="single" w:sz="4" w:space="0" w:color="auto"/>
            </w:tcBorders>
            <w:tcMar>
              <w:left w:w="28" w:type="dxa"/>
              <w:right w:w="28" w:type="dxa"/>
            </w:tcMar>
            <w:vAlign w:val="center"/>
          </w:tcPr>
          <w:p w:rsidR="00E66B8A" w:rsidRPr="007E5071" w:rsidRDefault="00E66B8A" w:rsidP="00EE409E">
            <w:pPr>
              <w:pStyle w:val="Tabletext"/>
              <w:keepNext/>
              <w:rPr>
                <w:b/>
              </w:rPr>
            </w:pPr>
          </w:p>
        </w:tc>
        <w:tc>
          <w:tcPr>
            <w:tcW w:w="2561" w:type="pct"/>
            <w:vMerge/>
            <w:tcBorders>
              <w:bottom w:val="single" w:sz="4" w:space="0" w:color="auto"/>
            </w:tcBorders>
            <w:tcMar>
              <w:left w:w="28" w:type="dxa"/>
              <w:right w:w="28" w:type="dxa"/>
            </w:tcMar>
            <w:vAlign w:val="center"/>
          </w:tcPr>
          <w:p w:rsidR="00E66B8A" w:rsidRPr="007E5071" w:rsidRDefault="00E66B8A" w:rsidP="00EE409E">
            <w:pPr>
              <w:pStyle w:val="Tabletext"/>
              <w:keepNext/>
              <w:rPr>
                <w:b/>
              </w:rPr>
            </w:pPr>
          </w:p>
        </w:tc>
        <w:tc>
          <w:tcPr>
            <w:tcW w:w="776" w:type="pct"/>
            <w:tcBorders>
              <w:top w:val="single" w:sz="4" w:space="0" w:color="auto"/>
              <w:bottom w:val="single" w:sz="4" w:space="0" w:color="auto"/>
            </w:tcBorders>
            <w:tcMar>
              <w:left w:w="28" w:type="dxa"/>
              <w:right w:w="28" w:type="dxa"/>
            </w:tcMar>
            <w:vAlign w:val="center"/>
          </w:tcPr>
          <w:p w:rsidR="00E66B8A" w:rsidRPr="007E5071" w:rsidRDefault="00E66B8A" w:rsidP="00EE409E">
            <w:pPr>
              <w:pStyle w:val="Tabletext"/>
              <w:keepNext/>
              <w:jc w:val="center"/>
              <w:rPr>
                <w:b/>
              </w:rPr>
            </w:pPr>
            <w:r w:rsidRPr="007E5071">
              <w:rPr>
                <w:b/>
              </w:rPr>
              <w:t>Days</w:t>
            </w:r>
          </w:p>
        </w:tc>
        <w:tc>
          <w:tcPr>
            <w:tcW w:w="809" w:type="pct"/>
            <w:tcBorders>
              <w:top w:val="single" w:sz="4" w:space="0" w:color="auto"/>
              <w:bottom w:val="single" w:sz="4" w:space="0" w:color="auto"/>
            </w:tcBorders>
            <w:tcMar>
              <w:left w:w="28" w:type="dxa"/>
              <w:right w:w="28" w:type="dxa"/>
            </w:tcMar>
            <w:vAlign w:val="center"/>
          </w:tcPr>
          <w:p w:rsidR="00E66B8A" w:rsidRPr="007E5071" w:rsidRDefault="00E66B8A" w:rsidP="00EE409E">
            <w:pPr>
              <w:pStyle w:val="Tabletext"/>
              <w:keepNext/>
              <w:jc w:val="center"/>
              <w:rPr>
                <w:b/>
              </w:rPr>
            </w:pPr>
            <w:r w:rsidRPr="007E5071">
              <w:rPr>
                <w:b/>
              </w:rPr>
              <w:t>Infusions</w:t>
            </w:r>
          </w:p>
        </w:tc>
      </w:tr>
      <w:tr w:rsidR="00200DA2" w:rsidRPr="007E5071" w:rsidTr="00D062FF">
        <w:trPr>
          <w:tblHeader/>
        </w:trPr>
        <w:tc>
          <w:tcPr>
            <w:tcW w:w="854" w:type="pct"/>
            <w:tcBorders>
              <w:top w:val="single" w:sz="4" w:space="0" w:color="auto"/>
              <w:bottom w:val="single" w:sz="4" w:space="0" w:color="auto"/>
            </w:tcBorders>
            <w:tcMar>
              <w:left w:w="28" w:type="dxa"/>
              <w:right w:w="28" w:type="dxa"/>
            </w:tcMar>
            <w:vAlign w:val="center"/>
          </w:tcPr>
          <w:p w:rsidR="00200DA2" w:rsidRPr="007E5071" w:rsidRDefault="00200DA2" w:rsidP="00EE409E">
            <w:pPr>
              <w:pStyle w:val="Tabletext"/>
              <w:keepNext/>
            </w:pPr>
            <w:r w:rsidRPr="007E5071">
              <w:t>NIVO monotherapy</w:t>
            </w:r>
          </w:p>
        </w:tc>
        <w:tc>
          <w:tcPr>
            <w:tcW w:w="2561" w:type="pct"/>
            <w:tcBorders>
              <w:top w:val="single" w:sz="4" w:space="0" w:color="auto"/>
              <w:bottom w:val="single" w:sz="4" w:space="0" w:color="auto"/>
            </w:tcBorders>
            <w:tcMar>
              <w:left w:w="28" w:type="dxa"/>
              <w:right w:w="28" w:type="dxa"/>
            </w:tcMar>
            <w:vAlign w:val="center"/>
          </w:tcPr>
          <w:p w:rsidR="00200DA2" w:rsidRPr="007E5071" w:rsidRDefault="00200DA2" w:rsidP="00EE409E">
            <w:pPr>
              <w:pStyle w:val="Tabletext"/>
              <w:keepNext/>
            </w:pPr>
            <w:r w:rsidRPr="007E5071">
              <w:t>NIVO 3 mg/kg</w:t>
            </w:r>
            <w:r w:rsidR="001F420E" w:rsidRPr="007E5071">
              <w:rPr>
                <w:vertAlign w:val="superscript"/>
              </w:rPr>
              <w:t>a</w:t>
            </w:r>
            <w:r w:rsidRPr="007E5071">
              <w:t xml:space="preserve"> Q2W, or 240 mg Q2W, or 480 mg Q4W</w:t>
            </w:r>
            <w:r w:rsidR="00E32CD4" w:rsidRPr="007E5071">
              <w:t xml:space="preserve"> (IV)</w:t>
            </w:r>
          </w:p>
        </w:tc>
        <w:tc>
          <w:tcPr>
            <w:tcW w:w="776" w:type="pct"/>
            <w:tcBorders>
              <w:top w:val="single" w:sz="4" w:space="0" w:color="auto"/>
              <w:bottom w:val="single" w:sz="4" w:space="0" w:color="auto"/>
            </w:tcBorders>
            <w:tcMar>
              <w:left w:w="28" w:type="dxa"/>
              <w:right w:w="28" w:type="dxa"/>
            </w:tcMar>
            <w:vAlign w:val="center"/>
          </w:tcPr>
          <w:p w:rsidR="00200DA2" w:rsidRPr="007E5071" w:rsidRDefault="00BF12D4" w:rsidP="00EE409E">
            <w:pPr>
              <w:pStyle w:val="Tabletext"/>
              <w:keepNext/>
              <w:jc w:val="center"/>
            </w:pPr>
            <w:r>
              <w:rPr>
                <w:noProof/>
                <w:color w:val="000000"/>
                <w:highlight w:val="black"/>
              </w:rPr>
              <w:t>''''''''''</w:t>
            </w:r>
            <w:r w:rsidR="00200DA2" w:rsidRPr="007E5071">
              <w:t xml:space="preserve"> days</w:t>
            </w:r>
          </w:p>
        </w:tc>
        <w:tc>
          <w:tcPr>
            <w:tcW w:w="809" w:type="pct"/>
            <w:tcBorders>
              <w:top w:val="single" w:sz="4" w:space="0" w:color="auto"/>
              <w:bottom w:val="single" w:sz="4" w:space="0" w:color="auto"/>
            </w:tcBorders>
            <w:tcMar>
              <w:left w:w="28" w:type="dxa"/>
              <w:right w:w="28" w:type="dxa"/>
            </w:tcMar>
            <w:vAlign w:val="center"/>
          </w:tcPr>
          <w:p w:rsidR="00200DA2" w:rsidRPr="007E5071" w:rsidRDefault="00BF12D4" w:rsidP="00EE409E">
            <w:pPr>
              <w:pStyle w:val="Tabletext"/>
              <w:keepNext/>
              <w:jc w:val="center"/>
            </w:pPr>
            <w:r>
              <w:rPr>
                <w:noProof/>
                <w:color w:val="000000"/>
                <w:highlight w:val="black"/>
              </w:rPr>
              <w:t>'''''''''''</w:t>
            </w:r>
            <w:r w:rsidR="00200DA2" w:rsidRPr="007E5071">
              <w:t xml:space="preserve"> Q2W, or</w:t>
            </w:r>
          </w:p>
          <w:p w:rsidR="00200DA2" w:rsidRPr="007E5071" w:rsidRDefault="00BF12D4" w:rsidP="00EE409E">
            <w:pPr>
              <w:pStyle w:val="Tabletext"/>
              <w:keepNext/>
              <w:jc w:val="center"/>
            </w:pPr>
            <w:r>
              <w:rPr>
                <w:noProof/>
                <w:color w:val="000000"/>
                <w:highlight w:val="black"/>
              </w:rPr>
              <w:t>''''''''</w:t>
            </w:r>
            <w:r w:rsidR="00200DA2" w:rsidRPr="007E5071">
              <w:t xml:space="preserve"> Q4W</w:t>
            </w:r>
          </w:p>
        </w:tc>
      </w:tr>
      <w:tr w:rsidR="00200DA2" w:rsidRPr="007E5071" w:rsidTr="00D062FF">
        <w:trPr>
          <w:tblHeader/>
        </w:trPr>
        <w:tc>
          <w:tcPr>
            <w:tcW w:w="854" w:type="pct"/>
            <w:vMerge w:val="restart"/>
            <w:tcBorders>
              <w:top w:val="single" w:sz="4" w:space="0" w:color="auto"/>
            </w:tcBorders>
            <w:tcMar>
              <w:left w:w="28" w:type="dxa"/>
              <w:right w:w="28" w:type="dxa"/>
            </w:tcMar>
            <w:vAlign w:val="center"/>
          </w:tcPr>
          <w:p w:rsidR="00200DA2" w:rsidRPr="007E5071" w:rsidRDefault="00200DA2" w:rsidP="00EE409E">
            <w:pPr>
              <w:pStyle w:val="Tabletext"/>
              <w:keepNext/>
            </w:pPr>
            <w:r w:rsidRPr="007E5071">
              <w:t>NIVO+IPI</w:t>
            </w:r>
          </w:p>
        </w:tc>
        <w:tc>
          <w:tcPr>
            <w:tcW w:w="2561" w:type="pct"/>
            <w:tcBorders>
              <w:top w:val="single" w:sz="4" w:space="0" w:color="auto"/>
              <w:bottom w:val="single" w:sz="4" w:space="0" w:color="auto"/>
            </w:tcBorders>
            <w:tcMar>
              <w:left w:w="28" w:type="dxa"/>
              <w:right w:w="28" w:type="dxa"/>
            </w:tcMar>
            <w:vAlign w:val="center"/>
          </w:tcPr>
          <w:p w:rsidR="00200DA2" w:rsidRPr="007E5071" w:rsidRDefault="00200DA2" w:rsidP="00EE409E">
            <w:pPr>
              <w:pStyle w:val="Tabletext"/>
              <w:keepNext/>
            </w:pPr>
            <w:r w:rsidRPr="007E5071">
              <w:t>Induction: NIVO 1 mg/kg</w:t>
            </w:r>
            <w:r w:rsidR="001F420E" w:rsidRPr="007E5071">
              <w:rPr>
                <w:vertAlign w:val="superscript"/>
              </w:rPr>
              <w:t>a</w:t>
            </w:r>
            <w:r w:rsidRPr="007E5071">
              <w:t xml:space="preserve"> + IPI 3 mg/kg</w:t>
            </w:r>
            <w:r w:rsidR="001F420E" w:rsidRPr="007E5071">
              <w:rPr>
                <w:vertAlign w:val="superscript"/>
              </w:rPr>
              <w:t>a</w:t>
            </w:r>
            <w:r w:rsidRPr="007E5071">
              <w:t xml:space="preserve"> Q3W </w:t>
            </w:r>
            <w:r w:rsidR="002E6CBD" w:rsidRPr="007E5071">
              <w:t>(IV)</w:t>
            </w:r>
          </w:p>
        </w:tc>
        <w:tc>
          <w:tcPr>
            <w:tcW w:w="776" w:type="pct"/>
            <w:vMerge w:val="restart"/>
            <w:tcBorders>
              <w:top w:val="single" w:sz="4" w:space="0" w:color="auto"/>
            </w:tcBorders>
            <w:tcMar>
              <w:left w:w="28" w:type="dxa"/>
              <w:right w:w="28" w:type="dxa"/>
            </w:tcMar>
            <w:vAlign w:val="center"/>
          </w:tcPr>
          <w:p w:rsidR="00200DA2" w:rsidRPr="007E5071" w:rsidRDefault="00BF12D4" w:rsidP="00EE409E">
            <w:pPr>
              <w:pStyle w:val="Tabletext"/>
              <w:keepNext/>
              <w:jc w:val="center"/>
              <w:rPr>
                <w:vertAlign w:val="superscript"/>
              </w:rPr>
            </w:pPr>
            <w:r>
              <w:rPr>
                <w:noProof/>
                <w:color w:val="000000"/>
                <w:highlight w:val="black"/>
              </w:rPr>
              <w:t>''''''''''</w:t>
            </w:r>
            <w:r w:rsidR="001F420E" w:rsidRPr="007E5071">
              <w:rPr>
                <w:vertAlign w:val="superscript"/>
              </w:rPr>
              <w:t>b</w:t>
            </w:r>
          </w:p>
        </w:tc>
        <w:tc>
          <w:tcPr>
            <w:tcW w:w="809" w:type="pct"/>
            <w:tcBorders>
              <w:top w:val="single" w:sz="4" w:space="0" w:color="auto"/>
              <w:bottom w:val="single" w:sz="4" w:space="0" w:color="auto"/>
            </w:tcBorders>
            <w:tcMar>
              <w:left w:w="28" w:type="dxa"/>
              <w:right w:w="28" w:type="dxa"/>
            </w:tcMar>
            <w:vAlign w:val="center"/>
          </w:tcPr>
          <w:p w:rsidR="00200DA2" w:rsidRPr="007E5071" w:rsidRDefault="00200DA2" w:rsidP="00EE409E">
            <w:pPr>
              <w:pStyle w:val="Tabletext"/>
              <w:keepNext/>
              <w:jc w:val="center"/>
            </w:pPr>
            <w:r w:rsidRPr="007E5071">
              <w:t>3.2</w:t>
            </w:r>
          </w:p>
        </w:tc>
      </w:tr>
      <w:tr w:rsidR="00200DA2" w:rsidRPr="007E5071" w:rsidTr="00D062FF">
        <w:trPr>
          <w:tblHeader/>
        </w:trPr>
        <w:tc>
          <w:tcPr>
            <w:tcW w:w="854" w:type="pct"/>
            <w:vMerge/>
            <w:tcBorders>
              <w:bottom w:val="single" w:sz="4" w:space="0" w:color="auto"/>
            </w:tcBorders>
            <w:tcMar>
              <w:left w:w="28" w:type="dxa"/>
              <w:right w:w="28" w:type="dxa"/>
            </w:tcMar>
            <w:vAlign w:val="center"/>
          </w:tcPr>
          <w:p w:rsidR="00200DA2" w:rsidRPr="007E5071" w:rsidRDefault="00200DA2" w:rsidP="00EE409E">
            <w:pPr>
              <w:pStyle w:val="Tabletext"/>
              <w:keepNext/>
            </w:pPr>
          </w:p>
        </w:tc>
        <w:tc>
          <w:tcPr>
            <w:tcW w:w="2561" w:type="pct"/>
            <w:tcBorders>
              <w:top w:val="single" w:sz="4" w:space="0" w:color="auto"/>
              <w:bottom w:val="single" w:sz="4" w:space="0" w:color="auto"/>
            </w:tcBorders>
            <w:tcMar>
              <w:left w:w="28" w:type="dxa"/>
              <w:right w:w="28" w:type="dxa"/>
            </w:tcMar>
            <w:vAlign w:val="center"/>
          </w:tcPr>
          <w:p w:rsidR="00200DA2" w:rsidRPr="007E5071" w:rsidRDefault="00200DA2" w:rsidP="00EE409E">
            <w:pPr>
              <w:pStyle w:val="Tabletext"/>
              <w:keepNext/>
            </w:pPr>
            <w:r w:rsidRPr="007E5071">
              <w:t>Continuing: NIVO 3 mg/kg</w:t>
            </w:r>
            <w:r w:rsidR="001F420E" w:rsidRPr="007E5071">
              <w:rPr>
                <w:vertAlign w:val="superscript"/>
              </w:rPr>
              <w:t>a</w:t>
            </w:r>
            <w:r w:rsidR="00E66B8A" w:rsidRPr="007E5071">
              <w:t xml:space="preserve"> </w:t>
            </w:r>
            <w:r w:rsidRPr="007E5071">
              <w:t>Q2W, or 240 mg Q2W, or 480 mg Q4W</w:t>
            </w:r>
            <w:r w:rsidR="00E32CD4" w:rsidRPr="007E5071">
              <w:t xml:space="preserve"> (IV)</w:t>
            </w:r>
          </w:p>
        </w:tc>
        <w:tc>
          <w:tcPr>
            <w:tcW w:w="776" w:type="pct"/>
            <w:vMerge/>
            <w:tcBorders>
              <w:bottom w:val="single" w:sz="4" w:space="0" w:color="auto"/>
            </w:tcBorders>
            <w:tcMar>
              <w:left w:w="28" w:type="dxa"/>
              <w:right w:w="28" w:type="dxa"/>
            </w:tcMar>
            <w:vAlign w:val="center"/>
          </w:tcPr>
          <w:p w:rsidR="00200DA2" w:rsidRPr="007E5071" w:rsidRDefault="00200DA2" w:rsidP="00EE409E">
            <w:pPr>
              <w:pStyle w:val="Tabletext"/>
              <w:keepNext/>
              <w:jc w:val="center"/>
            </w:pPr>
          </w:p>
        </w:tc>
        <w:tc>
          <w:tcPr>
            <w:tcW w:w="809" w:type="pct"/>
            <w:tcBorders>
              <w:top w:val="single" w:sz="4" w:space="0" w:color="auto"/>
              <w:bottom w:val="single" w:sz="4" w:space="0" w:color="auto"/>
            </w:tcBorders>
            <w:tcMar>
              <w:left w:w="28" w:type="dxa"/>
              <w:right w:w="28" w:type="dxa"/>
            </w:tcMar>
            <w:vAlign w:val="center"/>
          </w:tcPr>
          <w:p w:rsidR="00200DA2" w:rsidRPr="007E5071" w:rsidRDefault="00BF12D4" w:rsidP="00EE409E">
            <w:pPr>
              <w:pStyle w:val="Tabletext"/>
              <w:keepNext/>
              <w:jc w:val="center"/>
            </w:pPr>
            <w:r>
              <w:rPr>
                <w:noProof/>
                <w:color w:val="000000"/>
                <w:highlight w:val="black"/>
              </w:rPr>
              <w:t>''''''''''</w:t>
            </w:r>
            <w:r w:rsidR="00200DA2" w:rsidRPr="007E5071">
              <w:t xml:space="preserve"> Q2W, or</w:t>
            </w:r>
          </w:p>
          <w:p w:rsidR="00200DA2" w:rsidRPr="007E5071" w:rsidRDefault="00BF12D4" w:rsidP="00EE409E">
            <w:pPr>
              <w:pStyle w:val="Tabletext"/>
              <w:keepNext/>
              <w:jc w:val="center"/>
            </w:pPr>
            <w:r>
              <w:rPr>
                <w:noProof/>
                <w:color w:val="000000"/>
                <w:highlight w:val="black"/>
              </w:rPr>
              <w:t>''''''''</w:t>
            </w:r>
            <w:r w:rsidR="00200DA2" w:rsidRPr="007E5071">
              <w:t xml:space="preserve"> Q4W</w:t>
            </w:r>
          </w:p>
        </w:tc>
      </w:tr>
      <w:tr w:rsidR="00F64E53" w:rsidRPr="007E5071" w:rsidTr="00D062FF">
        <w:trPr>
          <w:tblHeader/>
        </w:trPr>
        <w:tc>
          <w:tcPr>
            <w:tcW w:w="854" w:type="pct"/>
            <w:tcBorders>
              <w:top w:val="single" w:sz="4" w:space="0" w:color="auto"/>
            </w:tcBorders>
            <w:tcMar>
              <w:left w:w="28" w:type="dxa"/>
              <w:right w:w="28" w:type="dxa"/>
            </w:tcMar>
            <w:vAlign w:val="center"/>
          </w:tcPr>
          <w:p w:rsidR="00F64E53" w:rsidRPr="007E5071" w:rsidRDefault="00F64E53" w:rsidP="00F64E53">
            <w:pPr>
              <w:pStyle w:val="Tabletext"/>
              <w:keepNext/>
            </w:pPr>
            <w:r w:rsidRPr="007E5071">
              <w:t>DAB+TRAM</w:t>
            </w:r>
          </w:p>
        </w:tc>
        <w:tc>
          <w:tcPr>
            <w:tcW w:w="2561" w:type="pct"/>
            <w:tcBorders>
              <w:top w:val="single" w:sz="4" w:space="0" w:color="auto"/>
            </w:tcBorders>
            <w:tcMar>
              <w:left w:w="28" w:type="dxa"/>
              <w:right w:w="28" w:type="dxa"/>
            </w:tcMar>
            <w:vAlign w:val="center"/>
          </w:tcPr>
          <w:p w:rsidR="00F64E53" w:rsidRPr="007E5071" w:rsidRDefault="00F64E53" w:rsidP="00F64E53">
            <w:pPr>
              <w:pStyle w:val="Tabletext"/>
              <w:keepNext/>
            </w:pPr>
            <w:r w:rsidRPr="007E5071">
              <w:t>DAB 150 mg BID + TRAM 2 mg SID (oral)</w:t>
            </w:r>
          </w:p>
        </w:tc>
        <w:tc>
          <w:tcPr>
            <w:tcW w:w="776" w:type="pct"/>
            <w:tcBorders>
              <w:top w:val="single" w:sz="4" w:space="0" w:color="auto"/>
            </w:tcBorders>
            <w:tcMar>
              <w:left w:w="28" w:type="dxa"/>
              <w:right w:w="28" w:type="dxa"/>
            </w:tcMar>
            <w:vAlign w:val="center"/>
          </w:tcPr>
          <w:p w:rsidR="00F64E53" w:rsidRPr="00F64E53" w:rsidRDefault="00F64E53" w:rsidP="00F64E53">
            <w:pPr>
              <w:pStyle w:val="Tabletext"/>
              <w:keepNext/>
              <w:jc w:val="center"/>
            </w:pPr>
            <w:r w:rsidRPr="00F64E53">
              <w:t>279 days</w:t>
            </w:r>
          </w:p>
        </w:tc>
        <w:tc>
          <w:tcPr>
            <w:tcW w:w="809" w:type="pct"/>
            <w:tcBorders>
              <w:top w:val="single" w:sz="4" w:space="0" w:color="auto"/>
            </w:tcBorders>
            <w:tcMar>
              <w:left w:w="28" w:type="dxa"/>
              <w:right w:w="28" w:type="dxa"/>
            </w:tcMar>
            <w:vAlign w:val="center"/>
          </w:tcPr>
          <w:p w:rsidR="00F64E53" w:rsidRPr="00F64E53" w:rsidRDefault="00F64E53" w:rsidP="00F64E53">
            <w:pPr>
              <w:pStyle w:val="Tabletext"/>
              <w:keepNext/>
              <w:jc w:val="center"/>
            </w:pPr>
            <w:r w:rsidRPr="00F64E53">
              <w:t>NA</w:t>
            </w:r>
          </w:p>
        </w:tc>
      </w:tr>
    </w:tbl>
    <w:p w:rsidR="00200DA2" w:rsidRPr="007E5071" w:rsidRDefault="00200DA2" w:rsidP="00200DA2">
      <w:pPr>
        <w:pStyle w:val="TableFooter"/>
      </w:pPr>
      <w:r w:rsidRPr="007E5071">
        <w:t xml:space="preserve">BID = twice daily; DAB = dabrafenib; IPI = ipilimumab; </w:t>
      </w:r>
      <w:r w:rsidR="00E32CD4" w:rsidRPr="007E5071">
        <w:t xml:space="preserve">IV = intravenous; NA = not applicable; </w:t>
      </w:r>
      <w:r w:rsidRPr="007E5071">
        <w:t xml:space="preserve">NIVO = nivolumab; Q2W = every 2 weeks; Q3W = every 3 weeks; </w:t>
      </w:r>
      <w:r w:rsidR="00EB7FA4" w:rsidRPr="007E5071">
        <w:t xml:space="preserve">Q4W = every 4 weeks; </w:t>
      </w:r>
      <w:r w:rsidRPr="007E5071">
        <w:t>SID = once daily; TRAM = trametinib</w:t>
      </w:r>
    </w:p>
    <w:p w:rsidR="001F420E" w:rsidRPr="007E5071" w:rsidRDefault="001F420E" w:rsidP="00200DA2">
      <w:pPr>
        <w:pStyle w:val="TableFooter"/>
        <w:ind w:left="142" w:hanging="142"/>
      </w:pPr>
      <w:r w:rsidRPr="007E5071">
        <w:rPr>
          <w:vertAlign w:val="superscript"/>
        </w:rPr>
        <w:t>a</w:t>
      </w:r>
      <w:r w:rsidRPr="007E5071">
        <w:t xml:space="preserve"> An average patients body-weight of </w:t>
      </w:r>
      <w:r w:rsidR="00BF12D4">
        <w:rPr>
          <w:noProof/>
          <w:color w:val="000000"/>
          <w:highlight w:val="black"/>
        </w:rPr>
        <w:t>'''''''</w:t>
      </w:r>
      <w:r w:rsidRPr="007E5071">
        <w:t xml:space="preserve"> kg was assumed for all weight-based dosing. The submission stated that this was based on an analysis conducted by the Department of Health, which indicated that the average dose of NIVO monotherapy </w:t>
      </w:r>
      <w:r w:rsidR="001032C0" w:rsidRPr="007E5071">
        <w:t xml:space="preserve">(at 3 mg/kg) </w:t>
      </w:r>
      <w:r w:rsidRPr="007E5071">
        <w:t xml:space="preserve">was </w:t>
      </w:r>
      <w:r w:rsidR="00BF12D4">
        <w:rPr>
          <w:noProof/>
          <w:color w:val="000000"/>
          <w:highlight w:val="black"/>
        </w:rPr>
        <w:t>''''''''''</w:t>
      </w:r>
      <w:r w:rsidRPr="007E5071">
        <w:t> mg</w:t>
      </w:r>
      <w:r w:rsidR="001032C0" w:rsidRPr="007E5071">
        <w:t>.</w:t>
      </w:r>
    </w:p>
    <w:p w:rsidR="00200DA2" w:rsidRPr="007E5071" w:rsidRDefault="001F420E" w:rsidP="00200DA2">
      <w:pPr>
        <w:pStyle w:val="TableFooter"/>
        <w:ind w:left="142" w:hanging="142"/>
      </w:pPr>
      <w:r w:rsidRPr="007E5071">
        <w:rPr>
          <w:vertAlign w:val="superscript"/>
        </w:rPr>
        <w:t>b</w:t>
      </w:r>
      <w:r w:rsidR="00200DA2" w:rsidRPr="007E5071">
        <w:t xml:space="preserve"> The Excel workbook for Seciton</w:t>
      </w:r>
      <w:r w:rsidR="000274E5" w:rsidRPr="007E5071">
        <w:t xml:space="preserve"> </w:t>
      </w:r>
      <w:r w:rsidR="00200DA2" w:rsidRPr="007E5071">
        <w:t xml:space="preserve">3 assumed that patients receive </w:t>
      </w:r>
      <w:r w:rsidR="00BF12D4">
        <w:rPr>
          <w:noProof/>
          <w:color w:val="000000"/>
          <w:highlight w:val="black"/>
        </w:rPr>
        <w:t>'''''''</w:t>
      </w:r>
      <w:r w:rsidR="00200DA2" w:rsidRPr="007E5071">
        <w:t xml:space="preserve"> infusions (every 3 weeks) of NIVO during induction, and either </w:t>
      </w:r>
      <w:r w:rsidR="00BF12D4">
        <w:rPr>
          <w:noProof/>
          <w:color w:val="000000"/>
          <w:highlight w:val="black"/>
        </w:rPr>
        <w:t>'''''''</w:t>
      </w:r>
      <w:r w:rsidR="00200DA2" w:rsidRPr="007E5071">
        <w:t xml:space="preserve"> infusions administered every 2 weeks or </w:t>
      </w:r>
      <w:r w:rsidR="00BF12D4">
        <w:rPr>
          <w:noProof/>
          <w:color w:val="000000"/>
          <w:highlight w:val="black"/>
        </w:rPr>
        <w:t>'''''''</w:t>
      </w:r>
      <w:r w:rsidR="00200DA2" w:rsidRPr="007E5071">
        <w:t xml:space="preserve"> infusions administered every 4 weeks during the continuing phase of treatment (i.e. </w:t>
      </w:r>
      <w:r w:rsidR="00BF12D4">
        <w:rPr>
          <w:noProof/>
          <w:color w:val="000000"/>
          <w:highlight w:val="black"/>
        </w:rPr>
        <w:t>''''''''</w:t>
      </w:r>
      <w:r w:rsidR="000274E5" w:rsidRPr="007E5071">
        <w:t xml:space="preserve"> </w:t>
      </w:r>
      <w:r w:rsidR="00200DA2" w:rsidRPr="007E5071">
        <w:t>x</w:t>
      </w:r>
      <w:r w:rsidR="000274E5" w:rsidRPr="007E5071">
        <w:t xml:space="preserve"> </w:t>
      </w:r>
      <w:r w:rsidR="00BF12D4">
        <w:rPr>
          <w:noProof/>
          <w:color w:val="000000"/>
          <w:highlight w:val="black"/>
        </w:rPr>
        <w:t>''''''</w:t>
      </w:r>
      <w:r w:rsidR="00200DA2" w:rsidRPr="007E5071">
        <w:t xml:space="preserve"> + </w:t>
      </w:r>
      <w:r w:rsidR="00BF12D4">
        <w:rPr>
          <w:noProof/>
          <w:color w:val="000000"/>
          <w:highlight w:val="black"/>
        </w:rPr>
        <w:t>'''''''''''</w:t>
      </w:r>
      <w:r w:rsidR="000274E5" w:rsidRPr="007E5071">
        <w:t xml:space="preserve"> </w:t>
      </w:r>
      <w:r w:rsidR="00200DA2" w:rsidRPr="007E5071">
        <w:t>x</w:t>
      </w:r>
      <w:r w:rsidR="000274E5" w:rsidRPr="007E5071">
        <w:t xml:space="preserve"> </w:t>
      </w:r>
      <w:r w:rsidR="00BF12D4">
        <w:rPr>
          <w:noProof/>
          <w:color w:val="000000"/>
          <w:highlight w:val="black"/>
        </w:rPr>
        <w:t>''''''</w:t>
      </w:r>
      <w:r w:rsidR="00200DA2" w:rsidRPr="007E5071">
        <w:t xml:space="preserve"> = </w:t>
      </w:r>
      <w:r w:rsidR="00BF12D4">
        <w:rPr>
          <w:noProof/>
          <w:color w:val="000000"/>
          <w:highlight w:val="black"/>
        </w:rPr>
        <w:t>''''''''''''''</w:t>
      </w:r>
      <w:r w:rsidR="00200DA2" w:rsidRPr="007E5071">
        <w:t xml:space="preserve"> days).</w:t>
      </w:r>
    </w:p>
    <w:p w:rsidR="00200DA2" w:rsidRPr="007E5071" w:rsidRDefault="00200DA2" w:rsidP="00200DA2">
      <w:pPr>
        <w:pStyle w:val="TableFooter"/>
      </w:pPr>
      <w:r w:rsidRPr="007E5071">
        <w:t>Source: Table 49, p123 of the submission; Excel workbook ‘El</w:t>
      </w:r>
      <w:r w:rsidR="001055B7" w:rsidRPr="007E5071">
        <w:t>e</w:t>
      </w:r>
      <w:r w:rsidRPr="007E5071">
        <w:t>c doc_Section 3_CMA model’</w:t>
      </w:r>
    </w:p>
    <w:p w:rsidR="00200DA2" w:rsidRPr="007E5071" w:rsidRDefault="00200DA2" w:rsidP="00200DA2">
      <w:pPr>
        <w:pStyle w:val="Tabletext"/>
      </w:pPr>
    </w:p>
    <w:p w:rsidR="00575055" w:rsidRPr="007E5071" w:rsidRDefault="007436B1" w:rsidP="00983502">
      <w:pPr>
        <w:pStyle w:val="ListParagraph"/>
        <w:widowControl/>
        <w:numPr>
          <w:ilvl w:val="1"/>
          <w:numId w:val="1"/>
        </w:numPr>
      </w:pPr>
      <w:r w:rsidRPr="007E5071">
        <w:t>As listing of NIVO monotherapy and NIVO+IPI as a first-line treatment option for patients with BRAF mutation positive melanoma would result in changes in the utilisation of second-line therapies.</w:t>
      </w:r>
      <w:r w:rsidR="00402283" w:rsidRPr="007E5071">
        <w:t xml:space="preserve"> </w:t>
      </w:r>
      <w:r w:rsidR="005A7C12" w:rsidRPr="007E5071">
        <w:t>The PSCR provided a</w:t>
      </w:r>
      <w:r w:rsidR="00624F07" w:rsidRPr="007E5071">
        <w:t xml:space="preserve"> </w:t>
      </w:r>
      <w:r w:rsidR="00556016" w:rsidRPr="007E5071">
        <w:t>supplementary</w:t>
      </w:r>
      <w:r w:rsidR="00624F07" w:rsidRPr="007E5071">
        <w:t xml:space="preserve"> </w:t>
      </w:r>
      <w:r w:rsidR="005A7C12" w:rsidRPr="007E5071">
        <w:t xml:space="preserve">analysis that incorporated the costs associated with second-line therapies (see paragraph </w:t>
      </w:r>
      <w:r w:rsidR="005A7C12" w:rsidRPr="005947DB">
        <w:t>6.</w:t>
      </w:r>
      <w:r w:rsidR="000503DE" w:rsidRPr="005947DB">
        <w:t>4</w:t>
      </w:r>
      <w:r w:rsidR="005947DB" w:rsidRPr="005947DB">
        <w:t>1</w:t>
      </w:r>
      <w:r w:rsidR="005A7C12" w:rsidRPr="005947DB">
        <w:t>).</w:t>
      </w:r>
    </w:p>
    <w:p w:rsidR="002D587A" w:rsidRPr="007E5071" w:rsidRDefault="00E32CD4" w:rsidP="00983502">
      <w:pPr>
        <w:pStyle w:val="ListParagraph"/>
        <w:widowControl/>
        <w:numPr>
          <w:ilvl w:val="1"/>
          <w:numId w:val="1"/>
        </w:numPr>
        <w:rPr>
          <w:i/>
        </w:rPr>
      </w:pPr>
      <w:r w:rsidRPr="007E5071">
        <w:t xml:space="preserve">Where available, the submission based the duration of therapy for each </w:t>
      </w:r>
      <w:r w:rsidR="00C57C84" w:rsidRPr="007E5071">
        <w:t xml:space="preserve">first-line </w:t>
      </w:r>
      <w:r w:rsidRPr="007E5071">
        <w:t>treatment on the mean duration of therapy reported in the May 2018 DUSC review of medicines for the treatment of melanoma.</w:t>
      </w:r>
      <w:r w:rsidR="00D025FD" w:rsidRPr="007E5071">
        <w:t xml:space="preserve"> In the </w:t>
      </w:r>
      <w:r w:rsidR="0088081B" w:rsidRPr="007E5071">
        <w:t>DUSC review</w:t>
      </w:r>
      <w:r w:rsidR="00D025FD" w:rsidRPr="007E5071">
        <w:t>, the time on therapy was estimated using a Kaplan-Meier analysis in a cohort of patients who first initiated on PBS therapy between January to June, 2016 (n=919). A patient was assumed to be continuing treatment if the time from their last supply was less than three times the median time between supplies (&lt;63 days) from the data cut-off date; these patients were censored.</w:t>
      </w:r>
      <w:r w:rsidR="002D587A" w:rsidRPr="007E5071">
        <w:t xml:space="preserve"> The Kaplan-Meier curve for ti</w:t>
      </w:r>
      <w:r w:rsidR="006104CC" w:rsidRPr="007E5071">
        <w:t>me to treatment discontinuation</w:t>
      </w:r>
      <w:r w:rsidR="002D587A" w:rsidRPr="007E5071">
        <w:t xml:space="preserve"> indicated that there was approximately 25% probability of not having discontinued treatment at 2 years, with extensive censoring of patients after the minimum 18 months of follow-up</w:t>
      </w:r>
      <w:r w:rsidR="002D587A" w:rsidRPr="007E5071">
        <w:rPr>
          <w:rStyle w:val="FootnoteReference"/>
        </w:rPr>
        <w:footnoteReference w:id="6"/>
      </w:r>
      <w:r w:rsidR="002D587A" w:rsidRPr="007E5071">
        <w:t>. Therefore, the mean duration of therapy over the duration of follow-up in this analysis will underestimate the true mean duration of treatment</w:t>
      </w:r>
      <w:r w:rsidR="007E5071" w:rsidRPr="007E5071">
        <w:t xml:space="preserve">. </w:t>
      </w:r>
    </w:p>
    <w:p w:rsidR="002D587A" w:rsidRPr="007E5071" w:rsidRDefault="002D587A" w:rsidP="00983502">
      <w:pPr>
        <w:pStyle w:val="ListParagraph"/>
        <w:widowControl/>
        <w:numPr>
          <w:ilvl w:val="1"/>
          <w:numId w:val="1"/>
        </w:numPr>
      </w:pPr>
      <w:r w:rsidRPr="007E5071">
        <w:t>The table below presents a comparison of the assumed duration of therapy for each treatment in the CMA presented in the submission, the duration of treatment reported in each trial, and the estimates in the May 2018 DUSC review of medicines for the treatment of melanoma.</w:t>
      </w:r>
    </w:p>
    <w:p w:rsidR="002D587A" w:rsidRPr="007E5071" w:rsidRDefault="002D587A" w:rsidP="00EE409E">
      <w:pPr>
        <w:pStyle w:val="Caption"/>
        <w:keepNext/>
      </w:pPr>
      <w:r w:rsidRPr="007E5071">
        <w:t xml:space="preserve">Table </w:t>
      </w:r>
      <w:r w:rsidR="00E966F6" w:rsidRPr="007E5071">
        <w:t>8</w:t>
      </w:r>
      <w:r w:rsidRPr="007E5071">
        <w:t xml:space="preserve">: Comparison of duration of therapy used in the CMA with that reported in the clinical trials and by the </w:t>
      </w:r>
      <w:r w:rsidR="008C3F1E" w:rsidRPr="007E5071">
        <w:t>DUSC</w:t>
      </w:r>
    </w:p>
    <w:tbl>
      <w:tblPr>
        <w:tblStyle w:val="TableGrid"/>
        <w:tblW w:w="5063" w:type="pct"/>
        <w:tblInd w:w="-5" w:type="dxa"/>
        <w:tblLook w:val="04A0" w:firstRow="1" w:lastRow="0" w:firstColumn="1" w:lastColumn="0" w:noHBand="0" w:noVBand="1"/>
        <w:tblCaption w:val="Table 8: Comparison of duration of therapy used in the CMA with that reported in the clinical trials and by the DUSC"/>
      </w:tblPr>
      <w:tblGrid>
        <w:gridCol w:w="1135"/>
        <w:gridCol w:w="2694"/>
        <w:gridCol w:w="2975"/>
        <w:gridCol w:w="2327"/>
      </w:tblGrid>
      <w:tr w:rsidR="008B33D8" w:rsidRPr="007E5071" w:rsidTr="00D062FF">
        <w:trPr>
          <w:tblHeader/>
        </w:trPr>
        <w:tc>
          <w:tcPr>
            <w:tcW w:w="622" w:type="pct"/>
            <w:tcMar>
              <w:left w:w="28" w:type="dxa"/>
              <w:right w:w="28" w:type="dxa"/>
            </w:tcMar>
          </w:tcPr>
          <w:p w:rsidR="002D587A" w:rsidRPr="007E5071" w:rsidRDefault="002D587A" w:rsidP="00EE409E">
            <w:pPr>
              <w:pStyle w:val="Tabletext"/>
              <w:keepNext/>
              <w:jc w:val="center"/>
              <w:rPr>
                <w:b/>
              </w:rPr>
            </w:pPr>
          </w:p>
        </w:tc>
        <w:tc>
          <w:tcPr>
            <w:tcW w:w="1475" w:type="pct"/>
            <w:tcMar>
              <w:left w:w="28" w:type="dxa"/>
              <w:right w:w="28" w:type="dxa"/>
            </w:tcMar>
          </w:tcPr>
          <w:p w:rsidR="002D587A" w:rsidRPr="007E5071" w:rsidRDefault="002D587A" w:rsidP="00EE409E">
            <w:pPr>
              <w:pStyle w:val="Tabletext"/>
              <w:keepNext/>
              <w:jc w:val="center"/>
              <w:rPr>
                <w:b/>
              </w:rPr>
            </w:pPr>
            <w:r w:rsidRPr="007E5071">
              <w:rPr>
                <w:b/>
              </w:rPr>
              <w:t>NIVO mono</w:t>
            </w:r>
            <w:r w:rsidR="000F0CE9" w:rsidRPr="007E5071">
              <w:rPr>
                <w:b/>
              </w:rPr>
              <w:t>therapy</w:t>
            </w:r>
          </w:p>
        </w:tc>
        <w:tc>
          <w:tcPr>
            <w:tcW w:w="1629" w:type="pct"/>
            <w:tcMar>
              <w:left w:w="28" w:type="dxa"/>
              <w:right w:w="28" w:type="dxa"/>
            </w:tcMar>
          </w:tcPr>
          <w:p w:rsidR="002D587A" w:rsidRPr="007E5071" w:rsidRDefault="002D587A" w:rsidP="00EE409E">
            <w:pPr>
              <w:pStyle w:val="Tabletext"/>
              <w:keepNext/>
              <w:jc w:val="center"/>
              <w:rPr>
                <w:b/>
              </w:rPr>
            </w:pPr>
            <w:r w:rsidRPr="007E5071">
              <w:rPr>
                <w:b/>
              </w:rPr>
              <w:t>NIVO+IPI</w:t>
            </w:r>
          </w:p>
        </w:tc>
        <w:tc>
          <w:tcPr>
            <w:tcW w:w="1274" w:type="pct"/>
            <w:tcMar>
              <w:left w:w="28" w:type="dxa"/>
              <w:right w:w="28" w:type="dxa"/>
            </w:tcMar>
          </w:tcPr>
          <w:p w:rsidR="002D587A" w:rsidRPr="007E5071" w:rsidRDefault="002D587A" w:rsidP="00EE409E">
            <w:pPr>
              <w:pStyle w:val="Tabletext"/>
              <w:keepNext/>
              <w:jc w:val="center"/>
              <w:rPr>
                <w:b/>
              </w:rPr>
            </w:pPr>
            <w:r w:rsidRPr="007E5071">
              <w:rPr>
                <w:b/>
              </w:rPr>
              <w:t>DAB+TRAM</w:t>
            </w:r>
          </w:p>
        </w:tc>
      </w:tr>
      <w:tr w:rsidR="008B33D8" w:rsidRPr="007E5071" w:rsidTr="00D062FF">
        <w:trPr>
          <w:tblHeader/>
        </w:trPr>
        <w:tc>
          <w:tcPr>
            <w:tcW w:w="622" w:type="pct"/>
            <w:tcMar>
              <w:left w:w="28" w:type="dxa"/>
              <w:right w:w="28" w:type="dxa"/>
            </w:tcMar>
          </w:tcPr>
          <w:p w:rsidR="0069267D" w:rsidRPr="007E5071" w:rsidRDefault="0069267D" w:rsidP="00EE409E">
            <w:pPr>
              <w:pStyle w:val="Tabletext"/>
              <w:keepNext/>
            </w:pPr>
            <w:r w:rsidRPr="007E5071">
              <w:t>Trial data</w:t>
            </w:r>
          </w:p>
        </w:tc>
        <w:tc>
          <w:tcPr>
            <w:tcW w:w="1475" w:type="pct"/>
            <w:tcMar>
              <w:left w:w="28" w:type="dxa"/>
              <w:right w:w="28" w:type="dxa"/>
            </w:tcMar>
          </w:tcPr>
          <w:p w:rsidR="0069267D" w:rsidRPr="007E5071" w:rsidRDefault="0069267D" w:rsidP="00EE409E">
            <w:pPr>
              <w:pStyle w:val="Tabletext"/>
              <w:keepNext/>
              <w:rPr>
                <w:vertAlign w:val="superscript"/>
              </w:rPr>
            </w:pPr>
            <w:r w:rsidRPr="007E5071">
              <w:t>BRAF positive subgroup</w:t>
            </w:r>
            <w:r w:rsidRPr="007E5071">
              <w:rPr>
                <w:vertAlign w:val="superscript"/>
              </w:rPr>
              <w:t>b</w:t>
            </w:r>
          </w:p>
          <w:p w:rsidR="008E73F5" w:rsidRPr="007E5071" w:rsidRDefault="008E73F5" w:rsidP="00EE409E">
            <w:pPr>
              <w:pStyle w:val="Tabletext"/>
              <w:keepNext/>
              <w:rPr>
                <w:vertAlign w:val="superscript"/>
              </w:rPr>
            </w:pPr>
          </w:p>
          <w:p w:rsidR="0069267D" w:rsidRPr="007E5071" w:rsidRDefault="0069267D" w:rsidP="00EE409E">
            <w:pPr>
              <w:pStyle w:val="Tabletext"/>
              <w:keepNext/>
              <w:rPr>
                <w:vertAlign w:val="superscript"/>
              </w:rPr>
            </w:pPr>
            <w:r w:rsidRPr="007E5071">
              <w:t>Mean</w:t>
            </w:r>
            <w:r w:rsidR="008E73F5" w:rsidRPr="007E5071">
              <w:t>:</w:t>
            </w:r>
            <w:r w:rsidRPr="007E5071">
              <w:t xml:space="preserve"> </w:t>
            </w:r>
            <w:r w:rsidR="00BF12D4">
              <w:rPr>
                <w:noProof/>
                <w:color w:val="000000"/>
                <w:highlight w:val="black"/>
              </w:rPr>
              <w:t>''''''''''</w:t>
            </w:r>
            <w:r w:rsidRPr="007E5071">
              <w:t xml:space="preserve"> infusions (Q2W)</w:t>
            </w:r>
            <w:r w:rsidR="008E73F5" w:rsidRPr="007E5071">
              <w:t>;</w:t>
            </w:r>
          </w:p>
          <w:p w:rsidR="0069267D" w:rsidRPr="007E5071" w:rsidRDefault="008E73F5" w:rsidP="00EE409E">
            <w:pPr>
              <w:pStyle w:val="Tabletext"/>
              <w:keepNext/>
            </w:pPr>
            <w:r w:rsidRPr="007E5071">
              <w:t>approx.</w:t>
            </w:r>
            <w:r w:rsidR="0069267D" w:rsidRPr="007E5071">
              <w:t xml:space="preserve"> </w:t>
            </w:r>
            <w:r w:rsidR="00BF12D4">
              <w:rPr>
                <w:noProof/>
                <w:color w:val="000000"/>
                <w:highlight w:val="black"/>
              </w:rPr>
              <w:t>'''''''''</w:t>
            </w:r>
            <w:r w:rsidR="0069267D" w:rsidRPr="007E5071">
              <w:t xml:space="preserve"> days</w:t>
            </w:r>
          </w:p>
          <w:p w:rsidR="008E73F5" w:rsidRPr="007E5071" w:rsidRDefault="008E73F5" w:rsidP="00EE409E">
            <w:pPr>
              <w:pStyle w:val="Tabletext"/>
              <w:keepNext/>
            </w:pPr>
            <w:r w:rsidRPr="007E5071">
              <w:t xml:space="preserve">Median: </w:t>
            </w:r>
            <w:r w:rsidR="00BF12D4">
              <w:rPr>
                <w:noProof/>
                <w:color w:val="000000"/>
                <w:highlight w:val="black"/>
              </w:rPr>
              <w:t>'''''''''''</w:t>
            </w:r>
            <w:r w:rsidRPr="007E5071">
              <w:t xml:space="preserve"> infusions (Q2W); approx. </w:t>
            </w:r>
            <w:r w:rsidR="00BF12D4">
              <w:rPr>
                <w:noProof/>
                <w:color w:val="000000"/>
                <w:highlight w:val="black"/>
              </w:rPr>
              <w:t>'''''''''</w:t>
            </w:r>
            <w:r w:rsidRPr="007E5071">
              <w:t xml:space="preserve"> days</w:t>
            </w:r>
          </w:p>
        </w:tc>
        <w:tc>
          <w:tcPr>
            <w:tcW w:w="1629" w:type="pct"/>
            <w:tcMar>
              <w:left w:w="28" w:type="dxa"/>
              <w:right w:w="28" w:type="dxa"/>
            </w:tcMar>
          </w:tcPr>
          <w:p w:rsidR="006104CC" w:rsidRPr="007E5071" w:rsidRDefault="006104CC" w:rsidP="00EE409E">
            <w:pPr>
              <w:pStyle w:val="Tabletext"/>
              <w:keepNext/>
              <w:rPr>
                <w:vertAlign w:val="superscript"/>
              </w:rPr>
            </w:pPr>
            <w:r w:rsidRPr="007E5071">
              <w:t>BRAF positive subgroup</w:t>
            </w:r>
            <w:r w:rsidRPr="007E5071">
              <w:rPr>
                <w:vertAlign w:val="superscript"/>
              </w:rPr>
              <w:t>b</w:t>
            </w:r>
          </w:p>
          <w:p w:rsidR="008E73F5" w:rsidRPr="007E5071" w:rsidRDefault="008E73F5" w:rsidP="00EE409E">
            <w:pPr>
              <w:pStyle w:val="Tabletext"/>
              <w:keepNext/>
            </w:pPr>
          </w:p>
          <w:p w:rsidR="0069267D" w:rsidRPr="007E5071" w:rsidRDefault="008E73F5" w:rsidP="008E73F5">
            <w:pPr>
              <w:pStyle w:val="Tabletext"/>
              <w:keepNext/>
              <w:rPr>
                <w:vertAlign w:val="superscript"/>
              </w:rPr>
            </w:pPr>
            <w:r w:rsidRPr="007E5071">
              <w:t xml:space="preserve">Mean: </w:t>
            </w:r>
            <w:r w:rsidR="006104CC" w:rsidRPr="007E5071">
              <w:t>IPI</w:t>
            </w:r>
            <w:r w:rsidR="001B6579" w:rsidRPr="007E5071">
              <w:t>:</w:t>
            </w:r>
            <w:r w:rsidR="006104CC" w:rsidRPr="007E5071">
              <w:t xml:space="preserve"> </w:t>
            </w:r>
            <w:r w:rsidR="00BF12D4">
              <w:rPr>
                <w:noProof/>
                <w:color w:val="000000"/>
                <w:highlight w:val="black"/>
              </w:rPr>
              <w:t xml:space="preserve">'''''''' </w:t>
            </w:r>
            <w:r w:rsidR="006104CC" w:rsidRPr="007E5071">
              <w:t>infusions</w:t>
            </w:r>
            <w:r w:rsidRPr="007E5071">
              <w:t>; NIVO</w:t>
            </w:r>
            <w:r w:rsidR="001B6579" w:rsidRPr="007E5071">
              <w:t xml:space="preserve">: </w:t>
            </w:r>
            <w:r w:rsidR="00BF12D4">
              <w:rPr>
                <w:noProof/>
                <w:color w:val="000000"/>
                <w:highlight w:val="black"/>
              </w:rPr>
              <w:t xml:space="preserve">'''''''''''' </w:t>
            </w:r>
            <w:r w:rsidR="006104CC" w:rsidRPr="007E5071">
              <w:t>infusions (Q2W)</w:t>
            </w:r>
            <w:r w:rsidRPr="007E5071">
              <w:t>; approx.</w:t>
            </w:r>
            <w:r w:rsidR="008B33D8" w:rsidRPr="007E5071">
              <w:t xml:space="preserve"> </w:t>
            </w:r>
            <w:r w:rsidR="00BF12D4">
              <w:rPr>
                <w:noProof/>
                <w:color w:val="000000"/>
                <w:highlight w:val="black"/>
              </w:rPr>
              <w:t>'''''''''</w:t>
            </w:r>
            <w:r w:rsidR="008B33D8" w:rsidRPr="007E5071">
              <w:t xml:space="preserve"> days</w:t>
            </w:r>
            <w:r w:rsidR="008B33D8" w:rsidRPr="007E5071">
              <w:rPr>
                <w:vertAlign w:val="superscript"/>
              </w:rPr>
              <w:t>d</w:t>
            </w:r>
          </w:p>
          <w:p w:rsidR="008E73F5" w:rsidRPr="007E5071" w:rsidRDefault="008E73F5" w:rsidP="001B6579">
            <w:pPr>
              <w:pStyle w:val="Tabletext"/>
              <w:keepNext/>
            </w:pPr>
            <w:r w:rsidRPr="007E5071">
              <w:t>Median: IPI</w:t>
            </w:r>
            <w:r w:rsidR="001B6579" w:rsidRPr="007E5071">
              <w:t>:</w:t>
            </w:r>
            <w:r w:rsidRPr="007E5071">
              <w:t xml:space="preserve"> 4 infusions; NIVO</w:t>
            </w:r>
            <w:r w:rsidR="001B6579" w:rsidRPr="007E5071">
              <w:t>:</w:t>
            </w:r>
            <w:r w:rsidRPr="007E5071">
              <w:t xml:space="preserve"> </w:t>
            </w:r>
            <w:r w:rsidR="00BF12D4">
              <w:rPr>
                <w:noProof/>
                <w:color w:val="000000"/>
                <w:highlight w:val="black"/>
              </w:rPr>
              <w:t xml:space="preserve">''''''' </w:t>
            </w:r>
            <w:r w:rsidRPr="007E5071">
              <w:t xml:space="preserve">infusions (Q2W); approx. </w:t>
            </w:r>
            <w:r w:rsidR="00BF12D4">
              <w:rPr>
                <w:noProof/>
                <w:color w:val="000000"/>
                <w:highlight w:val="black"/>
              </w:rPr>
              <w:t>''''''</w:t>
            </w:r>
            <w:r w:rsidRPr="007E5071">
              <w:t xml:space="preserve"> days</w:t>
            </w:r>
          </w:p>
        </w:tc>
        <w:tc>
          <w:tcPr>
            <w:tcW w:w="1274" w:type="pct"/>
            <w:tcMar>
              <w:left w:w="28" w:type="dxa"/>
              <w:right w:w="28" w:type="dxa"/>
            </w:tcMar>
          </w:tcPr>
          <w:p w:rsidR="008E73F5" w:rsidRPr="007E5071" w:rsidRDefault="008E73F5" w:rsidP="00EE409E">
            <w:pPr>
              <w:pStyle w:val="Tabletext"/>
              <w:keepNext/>
            </w:pPr>
            <w:r w:rsidRPr="007E5071">
              <w:t>Mean: NR</w:t>
            </w:r>
          </w:p>
          <w:p w:rsidR="0069267D" w:rsidRPr="007E5071" w:rsidRDefault="0069267D" w:rsidP="008E73F5">
            <w:pPr>
              <w:pStyle w:val="Tabletext"/>
              <w:keepNext/>
            </w:pPr>
            <w:r w:rsidRPr="007E5071">
              <w:t>Median</w:t>
            </w:r>
            <w:r w:rsidR="008E73F5" w:rsidRPr="007E5071">
              <w:t>:</w:t>
            </w:r>
            <w:r w:rsidRPr="007E5071">
              <w:t xml:space="preserve"> 11.8 months</w:t>
            </w:r>
            <w:r w:rsidR="008E73F5" w:rsidRPr="007E5071">
              <w:t>; approx.</w:t>
            </w:r>
            <w:r w:rsidRPr="007E5071">
              <w:t xml:space="preserve"> 354 days</w:t>
            </w:r>
          </w:p>
        </w:tc>
      </w:tr>
      <w:tr w:rsidR="008B33D8" w:rsidRPr="007E5071" w:rsidTr="00D062FF">
        <w:trPr>
          <w:tblHeader/>
        </w:trPr>
        <w:tc>
          <w:tcPr>
            <w:tcW w:w="622" w:type="pct"/>
            <w:tcMar>
              <w:left w:w="28" w:type="dxa"/>
              <w:right w:w="28" w:type="dxa"/>
            </w:tcMar>
          </w:tcPr>
          <w:p w:rsidR="0069267D" w:rsidRPr="007E5071" w:rsidRDefault="0069267D" w:rsidP="00EE409E">
            <w:pPr>
              <w:pStyle w:val="Tabletext"/>
              <w:keepNext/>
              <w:rPr>
                <w:vertAlign w:val="superscript"/>
              </w:rPr>
            </w:pPr>
            <w:r w:rsidRPr="007E5071">
              <w:t>DUSC data</w:t>
            </w:r>
            <w:r w:rsidRPr="007E5071">
              <w:rPr>
                <w:vertAlign w:val="superscript"/>
              </w:rPr>
              <w:t>a</w:t>
            </w:r>
          </w:p>
        </w:tc>
        <w:tc>
          <w:tcPr>
            <w:tcW w:w="1475" w:type="pct"/>
            <w:tcMar>
              <w:left w:w="28" w:type="dxa"/>
              <w:right w:w="28" w:type="dxa"/>
            </w:tcMar>
          </w:tcPr>
          <w:p w:rsidR="0069267D" w:rsidRPr="007E5071" w:rsidRDefault="0069267D" w:rsidP="00EE409E">
            <w:pPr>
              <w:pStyle w:val="Tabletext"/>
              <w:keepNext/>
            </w:pPr>
            <w:r w:rsidRPr="007E5071">
              <w:t>NIVO: mean 239 days</w:t>
            </w:r>
          </w:p>
          <w:p w:rsidR="0069267D" w:rsidRPr="007E5071" w:rsidRDefault="0069267D" w:rsidP="00EE409E">
            <w:pPr>
              <w:pStyle w:val="Tabletext"/>
              <w:keepNext/>
            </w:pPr>
            <w:r w:rsidRPr="007E5071">
              <w:t xml:space="preserve">PEMBRO: mean: 276 days </w:t>
            </w:r>
          </w:p>
        </w:tc>
        <w:tc>
          <w:tcPr>
            <w:tcW w:w="1629" w:type="pct"/>
            <w:tcMar>
              <w:left w:w="28" w:type="dxa"/>
              <w:right w:w="28" w:type="dxa"/>
            </w:tcMar>
          </w:tcPr>
          <w:p w:rsidR="0069267D" w:rsidRPr="007E5071" w:rsidRDefault="00F82353" w:rsidP="00EE409E">
            <w:pPr>
              <w:pStyle w:val="Tabletext"/>
              <w:keepNext/>
            </w:pPr>
            <w:r w:rsidRPr="007E5071">
              <w:t>Data for NIVO+IPI combination was not available from the DUSC review.</w:t>
            </w:r>
          </w:p>
        </w:tc>
        <w:tc>
          <w:tcPr>
            <w:tcW w:w="1274" w:type="pct"/>
            <w:tcMar>
              <w:left w:w="28" w:type="dxa"/>
              <w:right w:w="28" w:type="dxa"/>
            </w:tcMar>
          </w:tcPr>
          <w:p w:rsidR="0069267D" w:rsidRPr="007E5071" w:rsidRDefault="0069267D" w:rsidP="00EE409E">
            <w:pPr>
              <w:pStyle w:val="Tabletext"/>
              <w:keepNext/>
            </w:pPr>
            <w:r w:rsidRPr="007E5071">
              <w:t>BRAF</w:t>
            </w:r>
            <w:r w:rsidR="00951200" w:rsidRPr="007E5071">
              <w:t>i</w:t>
            </w:r>
            <w:r w:rsidRPr="007E5071">
              <w:t>±MEKi: mean 279 days</w:t>
            </w:r>
          </w:p>
        </w:tc>
      </w:tr>
      <w:tr w:rsidR="008B33D8" w:rsidRPr="007E5071" w:rsidTr="00D062FF">
        <w:trPr>
          <w:tblHeader/>
        </w:trPr>
        <w:tc>
          <w:tcPr>
            <w:tcW w:w="622" w:type="pct"/>
            <w:tcMar>
              <w:left w:w="28" w:type="dxa"/>
              <w:right w:w="28" w:type="dxa"/>
            </w:tcMar>
          </w:tcPr>
          <w:p w:rsidR="002D587A" w:rsidRPr="007E5071" w:rsidRDefault="002D587A" w:rsidP="00EE409E">
            <w:pPr>
              <w:pStyle w:val="Tabletext"/>
              <w:keepNext/>
            </w:pPr>
            <w:r w:rsidRPr="007E5071">
              <w:t>CMA</w:t>
            </w:r>
            <w:r w:rsidR="008E73F5" w:rsidRPr="007E5071">
              <w:t xml:space="preserve"> base case</w:t>
            </w:r>
          </w:p>
        </w:tc>
        <w:tc>
          <w:tcPr>
            <w:tcW w:w="1475" w:type="pct"/>
            <w:tcMar>
              <w:left w:w="28" w:type="dxa"/>
              <w:right w:w="28" w:type="dxa"/>
            </w:tcMar>
          </w:tcPr>
          <w:p w:rsidR="002D587A" w:rsidRPr="007E5071" w:rsidRDefault="00BF12D4" w:rsidP="00EE409E">
            <w:pPr>
              <w:pStyle w:val="Tabletext"/>
              <w:keepNext/>
            </w:pPr>
            <w:r>
              <w:rPr>
                <w:noProof/>
                <w:color w:val="000000"/>
                <w:highlight w:val="black"/>
              </w:rPr>
              <w:t>''''''''''</w:t>
            </w:r>
            <w:r w:rsidR="002D587A" w:rsidRPr="007E5071">
              <w:t xml:space="preserve"> days</w:t>
            </w:r>
          </w:p>
          <w:p w:rsidR="002D587A" w:rsidRPr="007E5071" w:rsidRDefault="002D587A" w:rsidP="00EE409E">
            <w:pPr>
              <w:pStyle w:val="Tabletext"/>
              <w:keepNext/>
            </w:pPr>
          </w:p>
          <w:p w:rsidR="002D587A" w:rsidRPr="007E5071" w:rsidRDefault="00BF12D4" w:rsidP="00EE409E">
            <w:pPr>
              <w:pStyle w:val="Tabletext"/>
              <w:keepNext/>
            </w:pPr>
            <w:r>
              <w:rPr>
                <w:noProof/>
                <w:color w:val="000000"/>
                <w:highlight w:val="black"/>
              </w:rPr>
              <w:t>''''''''''</w:t>
            </w:r>
            <w:r w:rsidR="002D587A" w:rsidRPr="007E5071">
              <w:t xml:space="preserve"> infusions Q2W or </w:t>
            </w:r>
          </w:p>
          <w:p w:rsidR="002D587A" w:rsidRPr="007E5071" w:rsidRDefault="00BF12D4" w:rsidP="00EE409E">
            <w:pPr>
              <w:pStyle w:val="Tabletext"/>
              <w:keepNext/>
            </w:pPr>
            <w:r>
              <w:rPr>
                <w:noProof/>
                <w:color w:val="000000"/>
                <w:highlight w:val="black"/>
              </w:rPr>
              <w:t>'''''''''</w:t>
            </w:r>
            <w:r w:rsidR="002D587A" w:rsidRPr="007E5071">
              <w:t xml:space="preserve"> infusions Q4W</w:t>
            </w:r>
          </w:p>
          <w:p w:rsidR="0069267D" w:rsidRPr="007E5071" w:rsidRDefault="0069267D" w:rsidP="00EE409E">
            <w:pPr>
              <w:pStyle w:val="Tabletext"/>
              <w:keepNext/>
            </w:pPr>
          </w:p>
          <w:p w:rsidR="0069267D" w:rsidRPr="007E5071" w:rsidRDefault="0069267D" w:rsidP="00EE409E">
            <w:pPr>
              <w:pStyle w:val="Tabletext"/>
              <w:keepNext/>
            </w:pPr>
            <w:r w:rsidRPr="007E5071">
              <w:t>Weighted average of DoT for NIVO and PEMBRO from DUSC re</w:t>
            </w:r>
            <w:r w:rsidR="00934371" w:rsidRPr="007E5071">
              <w:t>view</w:t>
            </w:r>
            <w:r w:rsidRPr="007E5071">
              <w:t>.</w:t>
            </w:r>
            <w:r w:rsidRPr="007E5071">
              <w:rPr>
                <w:vertAlign w:val="superscript"/>
              </w:rPr>
              <w:t>c</w:t>
            </w:r>
          </w:p>
        </w:tc>
        <w:tc>
          <w:tcPr>
            <w:tcW w:w="1629" w:type="pct"/>
            <w:tcMar>
              <w:left w:w="28" w:type="dxa"/>
              <w:right w:w="28" w:type="dxa"/>
            </w:tcMar>
          </w:tcPr>
          <w:p w:rsidR="008E73F5" w:rsidRPr="007E5071" w:rsidRDefault="00BF12D4" w:rsidP="00EE409E">
            <w:pPr>
              <w:pStyle w:val="Tabletext"/>
              <w:keepNext/>
              <w:spacing w:after="120"/>
            </w:pPr>
            <w:r>
              <w:rPr>
                <w:noProof/>
                <w:color w:val="000000"/>
                <w:highlight w:val="black"/>
              </w:rPr>
              <w:t>''''''''''</w:t>
            </w:r>
            <w:r w:rsidR="008E73F5" w:rsidRPr="007E5071">
              <w:t xml:space="preserve"> days</w:t>
            </w:r>
          </w:p>
          <w:p w:rsidR="002D587A" w:rsidRPr="007E5071" w:rsidRDefault="001F420E" w:rsidP="00EE409E">
            <w:pPr>
              <w:pStyle w:val="Tabletext"/>
              <w:keepNext/>
              <w:spacing w:after="120"/>
            </w:pPr>
            <w:r w:rsidRPr="007E5071">
              <w:t xml:space="preserve">IPI: </w:t>
            </w:r>
            <w:r w:rsidR="00BF12D4">
              <w:rPr>
                <w:noProof/>
                <w:color w:val="000000"/>
                <w:highlight w:val="black"/>
              </w:rPr>
              <w:t>''''''''</w:t>
            </w:r>
            <w:r w:rsidR="002D587A" w:rsidRPr="007E5071">
              <w:t xml:space="preserve"> infusions Q3W</w:t>
            </w:r>
            <w:r w:rsidR="008B33D8" w:rsidRPr="007E5071">
              <w:rPr>
                <w:vertAlign w:val="superscript"/>
              </w:rPr>
              <w:t>e</w:t>
            </w:r>
          </w:p>
          <w:p w:rsidR="002D587A" w:rsidRPr="007E5071" w:rsidRDefault="002D587A" w:rsidP="00EE409E">
            <w:pPr>
              <w:pStyle w:val="Tabletext"/>
              <w:keepNext/>
            </w:pPr>
            <w:r w:rsidRPr="007E5071">
              <w:t xml:space="preserve">NIVO:  </w:t>
            </w:r>
          </w:p>
          <w:p w:rsidR="002D587A" w:rsidRPr="007E5071" w:rsidRDefault="002D587A" w:rsidP="00EE409E">
            <w:pPr>
              <w:pStyle w:val="Tabletext"/>
              <w:keepNext/>
            </w:pPr>
            <w:r w:rsidRPr="007E5071">
              <w:t xml:space="preserve">Induction: </w:t>
            </w:r>
            <w:r w:rsidR="00BF12D4">
              <w:rPr>
                <w:noProof/>
                <w:color w:val="000000"/>
                <w:highlight w:val="black"/>
              </w:rPr>
              <w:t>''''''''</w:t>
            </w:r>
            <w:r w:rsidRPr="007E5071">
              <w:t xml:space="preserve"> infusions Q3W</w:t>
            </w:r>
          </w:p>
          <w:p w:rsidR="002D587A" w:rsidRPr="007E5071" w:rsidRDefault="002D587A" w:rsidP="00EE409E">
            <w:pPr>
              <w:pStyle w:val="Tabletext"/>
              <w:keepNext/>
              <w:rPr>
                <w:vertAlign w:val="superscript"/>
              </w:rPr>
            </w:pPr>
            <w:r w:rsidRPr="007E5071">
              <w:t xml:space="preserve">Continuing: </w:t>
            </w:r>
            <w:r w:rsidR="00BF12D4">
              <w:rPr>
                <w:noProof/>
                <w:color w:val="000000"/>
                <w:highlight w:val="black"/>
              </w:rPr>
              <w:t>'''''''''''</w:t>
            </w:r>
            <w:r w:rsidRPr="007E5071">
              <w:t xml:space="preserve"> infusions Q2W or </w:t>
            </w:r>
            <w:r w:rsidR="00BF12D4">
              <w:rPr>
                <w:noProof/>
                <w:color w:val="000000"/>
                <w:highlight w:val="black"/>
              </w:rPr>
              <w:t>'''''''</w:t>
            </w:r>
            <w:r w:rsidRPr="007E5071">
              <w:t xml:space="preserve"> infusions Q4W</w:t>
            </w:r>
            <w:r w:rsidR="009F100C" w:rsidRPr="007E5071">
              <w:rPr>
                <w:vertAlign w:val="superscript"/>
              </w:rPr>
              <w:t>f</w:t>
            </w:r>
          </w:p>
          <w:p w:rsidR="00934371" w:rsidRPr="007E5071" w:rsidRDefault="00934371" w:rsidP="00EE409E">
            <w:pPr>
              <w:pStyle w:val="Tabletext"/>
              <w:keepNext/>
            </w:pPr>
          </w:p>
          <w:p w:rsidR="0069267D" w:rsidRPr="007E5071" w:rsidRDefault="00934371" w:rsidP="00EE409E">
            <w:pPr>
              <w:pStyle w:val="Tabletext"/>
              <w:keepNext/>
            </w:pPr>
            <w:r w:rsidRPr="007E5071">
              <w:t>As data for NIVO+IPI combination was not available from the DUSC review,</w:t>
            </w:r>
          </w:p>
          <w:p w:rsidR="0069267D" w:rsidRPr="007E5071" w:rsidRDefault="0069267D" w:rsidP="00EE409E">
            <w:pPr>
              <w:pStyle w:val="Tabletext"/>
              <w:keepNext/>
              <w:rPr>
                <w:i/>
              </w:rPr>
            </w:pPr>
            <w:r w:rsidRPr="007E5071">
              <w:t xml:space="preserve">IPI </w:t>
            </w:r>
            <w:r w:rsidR="00934371" w:rsidRPr="007E5071">
              <w:t xml:space="preserve">DoT was </w:t>
            </w:r>
            <w:r w:rsidRPr="007E5071">
              <w:t>sourced from CA209-067 (ITT population)</w:t>
            </w:r>
            <w:r w:rsidR="00934371" w:rsidRPr="007E5071">
              <w:t xml:space="preserve">, and </w:t>
            </w:r>
            <w:r w:rsidRPr="007E5071">
              <w:t xml:space="preserve">NIVO </w:t>
            </w:r>
            <w:r w:rsidR="00934371" w:rsidRPr="007E5071">
              <w:t xml:space="preserve">DoT was </w:t>
            </w:r>
            <w:r w:rsidRPr="007E5071">
              <w:t xml:space="preserve">assumed </w:t>
            </w:r>
            <w:r w:rsidR="00934371" w:rsidRPr="007E5071">
              <w:t xml:space="preserve">to be </w:t>
            </w:r>
            <w:r w:rsidRPr="007E5071">
              <w:t xml:space="preserve">239 </w:t>
            </w:r>
            <w:r w:rsidR="00934371" w:rsidRPr="007E5071">
              <w:t xml:space="preserve">days, </w:t>
            </w:r>
            <w:r w:rsidRPr="007E5071">
              <w:t xml:space="preserve">based on DoT for NIVO monotherapy in </w:t>
            </w:r>
            <w:r w:rsidR="0088081B" w:rsidRPr="007E5071">
              <w:t>the DUSC review</w:t>
            </w:r>
            <w:r w:rsidR="006A0987" w:rsidRPr="007E5071">
              <w:t>.</w:t>
            </w:r>
          </w:p>
        </w:tc>
        <w:tc>
          <w:tcPr>
            <w:tcW w:w="1274" w:type="pct"/>
            <w:tcMar>
              <w:left w:w="28" w:type="dxa"/>
              <w:right w:w="28" w:type="dxa"/>
            </w:tcMar>
          </w:tcPr>
          <w:p w:rsidR="002D587A" w:rsidRPr="007E5071" w:rsidRDefault="002D587A" w:rsidP="00EE409E">
            <w:pPr>
              <w:pStyle w:val="Tabletext"/>
              <w:keepNext/>
            </w:pPr>
            <w:r w:rsidRPr="007E5071">
              <w:t>279 days</w:t>
            </w:r>
          </w:p>
          <w:p w:rsidR="00934371" w:rsidRPr="007E5071" w:rsidRDefault="00934371" w:rsidP="00EE409E">
            <w:pPr>
              <w:pStyle w:val="Tabletext"/>
              <w:keepNext/>
            </w:pPr>
          </w:p>
          <w:p w:rsidR="00934371" w:rsidRPr="007E5071" w:rsidRDefault="00934371" w:rsidP="00EE409E">
            <w:pPr>
              <w:pStyle w:val="Tabletext"/>
              <w:keepNext/>
            </w:pPr>
            <w:r w:rsidRPr="007E5071">
              <w:t>Based on DUSC review</w:t>
            </w:r>
          </w:p>
        </w:tc>
      </w:tr>
    </w:tbl>
    <w:p w:rsidR="002D587A" w:rsidRPr="007E5071" w:rsidRDefault="00951200" w:rsidP="002D587A">
      <w:pPr>
        <w:pStyle w:val="TableFooter"/>
      </w:pPr>
      <w:r w:rsidRPr="007E5071">
        <w:t xml:space="preserve">BRAFi = BRAF inhibitor; </w:t>
      </w:r>
      <w:r w:rsidR="002D587A" w:rsidRPr="007E5071">
        <w:t xml:space="preserve">DAB = dabrafenib; DoT = duration of therapy; DUSC = Drug Utilisation Sub-Committee; IPI = ipilimumab; ITT = intention to treat; </w:t>
      </w:r>
      <w:r w:rsidRPr="007E5071">
        <w:t xml:space="preserve">MEKi = MEK inhibitor; </w:t>
      </w:r>
      <w:r w:rsidR="002D587A" w:rsidRPr="007E5071">
        <w:t xml:space="preserve">NA = not available; NIVO = nivolumab; </w:t>
      </w:r>
      <w:r w:rsidR="00EB7FA4" w:rsidRPr="007E5071">
        <w:t xml:space="preserve">Q2W = every 2 weeks; Q3W = every 3 weeks; Q4W = every 4 weeks; </w:t>
      </w:r>
      <w:r w:rsidR="002D587A" w:rsidRPr="007E5071">
        <w:t>TRAM = trametinib.</w:t>
      </w:r>
    </w:p>
    <w:p w:rsidR="002D587A" w:rsidRPr="007E5071" w:rsidRDefault="002D587A" w:rsidP="002D587A">
      <w:pPr>
        <w:pStyle w:val="TableFooter"/>
      </w:pPr>
      <w:r w:rsidRPr="007E5071">
        <w:rPr>
          <w:vertAlign w:val="superscript"/>
        </w:rPr>
        <w:t>a</w:t>
      </w:r>
      <w:r w:rsidRPr="007E5071">
        <w:t xml:space="preserve"> Time on first drug regimen. Source: Table 7, p25 of the May 2018 DUSC review</w:t>
      </w:r>
    </w:p>
    <w:p w:rsidR="002D587A" w:rsidRPr="007E5071" w:rsidRDefault="002D587A" w:rsidP="002D587A">
      <w:pPr>
        <w:pStyle w:val="TableFooter"/>
      </w:pPr>
      <w:r w:rsidRPr="007E5071">
        <w:rPr>
          <w:vertAlign w:val="superscript"/>
        </w:rPr>
        <w:t>b</w:t>
      </w:r>
      <w:r w:rsidRPr="007E5071">
        <w:t xml:space="preserve"> Source: p323 CA067_AD hoc report_CA067 3 year. Minimum follow-up 36 months</w:t>
      </w:r>
    </w:p>
    <w:p w:rsidR="002D587A" w:rsidRPr="007E5071" w:rsidRDefault="002D587A" w:rsidP="002D587A">
      <w:pPr>
        <w:pStyle w:val="TableFooter"/>
      </w:pPr>
      <w:r w:rsidRPr="007E5071">
        <w:rPr>
          <w:vertAlign w:val="superscript"/>
        </w:rPr>
        <w:t>c</w:t>
      </w:r>
      <w:r w:rsidRPr="007E5071">
        <w:t xml:space="preserve"> </w:t>
      </w:r>
      <w:r w:rsidR="0088081B" w:rsidRPr="007E5071">
        <w:t xml:space="preserve">The </w:t>
      </w:r>
      <w:r w:rsidRPr="007E5071">
        <w:t>DUSC re</w:t>
      </w:r>
      <w:r w:rsidR="0088081B" w:rsidRPr="007E5071">
        <w:t>view</w:t>
      </w:r>
      <w:r w:rsidRPr="007E5071">
        <w:t xml:space="preserve"> included 607 patients receiving PD-1 </w:t>
      </w:r>
      <w:r w:rsidR="00593619" w:rsidRPr="007E5071">
        <w:t xml:space="preserve">inhibitor </w:t>
      </w:r>
      <w:r w:rsidRPr="007E5071">
        <w:t>monotherapy: 586/607 (96.5%) pembrolizumab, and 21/607 (3.5%) nivolumab</w:t>
      </w:r>
    </w:p>
    <w:p w:rsidR="008B33D8" w:rsidRPr="007E5071" w:rsidRDefault="008B33D8" w:rsidP="00D2486C">
      <w:pPr>
        <w:pStyle w:val="TableFooter"/>
        <w:ind w:left="142" w:hanging="142"/>
      </w:pPr>
      <w:r w:rsidRPr="007E5071">
        <w:rPr>
          <w:vertAlign w:val="superscript"/>
        </w:rPr>
        <w:t>d</w:t>
      </w:r>
      <w:r w:rsidRPr="007E5071">
        <w:t xml:space="preserve"> Assuming 3.3 infusions administered Q3W in the induction phase, and 22.7 infusions of NIVO administered Q2W in the maintenance phase.</w:t>
      </w:r>
    </w:p>
    <w:p w:rsidR="002D587A" w:rsidRPr="007E5071" w:rsidRDefault="008B33D8" w:rsidP="002D587A">
      <w:pPr>
        <w:pStyle w:val="TableFooter"/>
      </w:pPr>
      <w:r w:rsidRPr="007E5071">
        <w:rPr>
          <w:vertAlign w:val="superscript"/>
        </w:rPr>
        <w:t>e</w:t>
      </w:r>
      <w:r w:rsidR="002D587A" w:rsidRPr="007E5071">
        <w:t xml:space="preserve"> Source: Excel spreadsheet ‘Admin costs’, Section 3 Excel workbook ‘Elec doc_Section 3_CMA model’</w:t>
      </w:r>
    </w:p>
    <w:p w:rsidR="009F100C" w:rsidRPr="007E5071" w:rsidRDefault="009F100C" w:rsidP="009F100C">
      <w:pPr>
        <w:pStyle w:val="TableFooter"/>
        <w:ind w:left="142" w:hanging="142"/>
      </w:pPr>
      <w:r w:rsidRPr="007E5071">
        <w:rPr>
          <w:vertAlign w:val="superscript"/>
        </w:rPr>
        <w:t>f</w:t>
      </w:r>
      <w:r w:rsidRPr="007E5071">
        <w:t xml:space="preserve"> The Excel workbook assumed an average of </w:t>
      </w:r>
      <w:r w:rsidR="00BF12D4">
        <w:rPr>
          <w:noProof/>
          <w:color w:val="000000"/>
          <w:highlight w:val="black"/>
        </w:rPr>
        <w:t>''''''''</w:t>
      </w:r>
      <w:r w:rsidRPr="007E5071">
        <w:t xml:space="preserve"> infusions administered every 3 weeks in the induction phase, and </w:t>
      </w:r>
      <w:r w:rsidR="00BF12D4">
        <w:rPr>
          <w:noProof/>
          <w:color w:val="000000"/>
          <w:highlight w:val="black"/>
        </w:rPr>
        <w:t>'''''''''''</w:t>
      </w:r>
      <w:r w:rsidRPr="007E5071">
        <w:t xml:space="preserve"> infusions administered every 2 weeks in the continuing treatment phase.</w:t>
      </w:r>
      <w:r w:rsidR="006A6E02" w:rsidRPr="007E5071">
        <w:t xml:space="preserve"> These assumptions give an approximate treatment duration of </w:t>
      </w:r>
      <w:r w:rsidR="00BF12D4">
        <w:rPr>
          <w:noProof/>
          <w:color w:val="000000"/>
          <w:highlight w:val="black"/>
        </w:rPr>
        <w:t>'''''''''</w:t>
      </w:r>
      <w:r w:rsidR="006A6E02" w:rsidRPr="007E5071">
        <w:t xml:space="preserve"> days</w:t>
      </w:r>
      <w:r w:rsidR="006A6E02" w:rsidRPr="007E5071">
        <w:rPr>
          <w:vertAlign w:val="superscript"/>
        </w:rPr>
        <w:t>f</w:t>
      </w:r>
    </w:p>
    <w:p w:rsidR="002D587A" w:rsidRPr="007E5071" w:rsidRDefault="002D587A" w:rsidP="002D587A">
      <w:pPr>
        <w:pStyle w:val="TableFooter"/>
      </w:pPr>
      <w:r w:rsidRPr="007E5071">
        <w:t xml:space="preserve">Source: compiled during the evaluation, based on data reported in Table 7, p25 of the May 2018 </w:t>
      </w:r>
      <w:r w:rsidR="0088081B" w:rsidRPr="007E5071">
        <w:t>DUSC review</w:t>
      </w:r>
      <w:r w:rsidRPr="007E5071">
        <w:t xml:space="preserve"> o</w:t>
      </w:r>
      <w:r w:rsidR="00591896" w:rsidRPr="007E5071">
        <w:t>f</w:t>
      </w:r>
      <w:r w:rsidRPr="007E5071">
        <w:t xml:space="preserve"> medicines for the treatment of mela</w:t>
      </w:r>
      <w:r w:rsidR="00F87EAC" w:rsidRPr="007E5071">
        <w:t>noma,</w:t>
      </w:r>
      <w:r w:rsidRPr="007E5071">
        <w:t xml:space="preserve"> Excel spreadsheet ‘Admin costs’, p323 CA067_AD hoc report_CA067 3 year, Section 3 Excel workbook ‘Elec doc_Section 3_CMA model’, and Section 3.2.1.2 pp125-127 of the submission</w:t>
      </w:r>
      <w:r w:rsidR="00D625E6" w:rsidRPr="007E5071">
        <w:t>.</w:t>
      </w:r>
    </w:p>
    <w:p w:rsidR="00D625E6" w:rsidRPr="007E5071" w:rsidRDefault="00D625E6" w:rsidP="00D625E6"/>
    <w:p w:rsidR="00092D46" w:rsidRDefault="0025283F" w:rsidP="00983502">
      <w:pPr>
        <w:pStyle w:val="ListParagraph"/>
        <w:widowControl/>
        <w:numPr>
          <w:ilvl w:val="1"/>
          <w:numId w:val="1"/>
        </w:numPr>
      </w:pPr>
      <w:r w:rsidRPr="007E5071">
        <w:t xml:space="preserve">The mean duration of treatment for NIVO monotherapy and NIVO+IPI in CA209-067 was considerably longer than assumed in the CMA. The duration of therapy for DAB+TRAM </w:t>
      </w:r>
      <w:r w:rsidR="006104CC" w:rsidRPr="007E5071">
        <w:t>wa</w:t>
      </w:r>
      <w:r w:rsidRPr="007E5071">
        <w:t>s also likely to be underestimated</w:t>
      </w:r>
      <w:r w:rsidR="006A6E02" w:rsidRPr="007E5071">
        <w:t xml:space="preserve">. </w:t>
      </w:r>
      <w:r w:rsidRPr="007E5071">
        <w:t xml:space="preserve">Given that the clinical claim of non-inferiority in terms of effectiveness was based on the outcomes of the trials, </w:t>
      </w:r>
      <w:r w:rsidR="00092D46">
        <w:t xml:space="preserve">during the evaluation </w:t>
      </w:r>
      <w:r w:rsidRPr="007E5071">
        <w:t xml:space="preserve">it </w:t>
      </w:r>
      <w:r w:rsidR="00092D46">
        <w:t>was considered</w:t>
      </w:r>
      <w:r w:rsidRPr="007E5071">
        <w:t xml:space="preserve"> appropriate to use the duration of therapy from the trials, as these are the durations of therapy on which these outcomes were obtained.</w:t>
      </w:r>
      <w:r w:rsidR="0006288C" w:rsidRPr="007E5071">
        <w:t xml:space="preserve"> The PSCR stated that the data from the DUSC report provided information regarding the relative usage of the treatments, was representative of use in the Australian setting and avoided the transitivity issues associated with extracting data from the clinical trials.</w:t>
      </w:r>
      <w:r w:rsidR="00920B20" w:rsidRPr="007E5071">
        <w:t xml:space="preserve"> </w:t>
      </w:r>
      <w:r w:rsidR="002C0690" w:rsidRPr="007E5071">
        <w:t xml:space="preserve">Although </w:t>
      </w:r>
      <w:r w:rsidR="005A7C12" w:rsidRPr="007E5071">
        <w:t>time on therapy was calculated using a cohort of patients who initiated PBS therapy between January to June 2016 with a follow-up until December 2017</w:t>
      </w:r>
      <w:r w:rsidR="002C0690" w:rsidRPr="007E5071">
        <w:t xml:space="preserve">, the </w:t>
      </w:r>
      <w:r w:rsidR="00920B20" w:rsidRPr="007E5071">
        <w:t xml:space="preserve">ESC </w:t>
      </w:r>
      <w:r w:rsidR="002C0690" w:rsidRPr="007E5071">
        <w:t xml:space="preserve">noted that pembrolizumab was listed on the PBS on 1 September 2015, DAB+TRAM on 1 April 2016 and NIVO monotherapy on 1 May 2016. </w:t>
      </w:r>
      <w:r w:rsidR="00736636" w:rsidRPr="007E5071">
        <w:t>T</w:t>
      </w:r>
      <w:r w:rsidR="002C0690" w:rsidRPr="007E5071">
        <w:t xml:space="preserve">he ESC </w:t>
      </w:r>
      <w:r w:rsidR="00733305">
        <w:t>noted</w:t>
      </w:r>
      <w:r w:rsidR="00920B20" w:rsidRPr="007E5071">
        <w:t xml:space="preserve"> that the DUSC review was based on immature data and </w:t>
      </w:r>
      <w:r w:rsidR="00AC6DD4" w:rsidRPr="007E5071">
        <w:t xml:space="preserve">likely </w:t>
      </w:r>
      <w:r w:rsidR="00920B20" w:rsidRPr="007E5071">
        <w:t>provided an underestimate of</w:t>
      </w:r>
      <w:r w:rsidR="00556016" w:rsidRPr="007E5071">
        <w:t xml:space="preserve"> true</w:t>
      </w:r>
      <w:r w:rsidR="00920B20" w:rsidRPr="007E5071">
        <w:t xml:space="preserve"> time</w:t>
      </w:r>
      <w:r w:rsidR="000D2BD7">
        <w:t xml:space="preserve"> on each of the therapies.</w:t>
      </w:r>
      <w:r w:rsidR="00920B20" w:rsidRPr="007E5071">
        <w:t xml:space="preserve"> </w:t>
      </w:r>
      <w:r w:rsidR="00E41069" w:rsidRPr="00246C07">
        <w:t>The pre-PBAC response stated that although it would have been more appropriate to base the duration of therapy estimates on trial data, the mean duration of therapy for DAB+TRAM was not publically reported</w:t>
      </w:r>
      <w:r w:rsidR="00467BBB" w:rsidRPr="00246C07">
        <w:t xml:space="preserve"> and therefore</w:t>
      </w:r>
      <w:r w:rsidR="00AC5C52">
        <w:t>,</w:t>
      </w:r>
      <w:r w:rsidR="00467BBB" w:rsidRPr="00246C07">
        <w:t xml:space="preserve"> this was not possible</w:t>
      </w:r>
      <w:r w:rsidR="00E41069" w:rsidRPr="00246C07">
        <w:t>.</w:t>
      </w:r>
      <w:r w:rsidR="00065A35" w:rsidRPr="00246C07">
        <w:t xml:space="preserve"> </w:t>
      </w:r>
    </w:p>
    <w:p w:rsidR="0025283F" w:rsidRPr="00246C07" w:rsidRDefault="00065A35" w:rsidP="00983502">
      <w:pPr>
        <w:pStyle w:val="ListParagraph"/>
        <w:widowControl/>
        <w:numPr>
          <w:ilvl w:val="1"/>
          <w:numId w:val="1"/>
        </w:numPr>
      </w:pPr>
      <w:r w:rsidRPr="00246C07">
        <w:t>The PBAC</w:t>
      </w:r>
      <w:r w:rsidR="00BD0123" w:rsidRPr="00246C07">
        <w:t>,</w:t>
      </w:r>
      <w:r w:rsidRPr="00246C07">
        <w:t xml:space="preserve"> </w:t>
      </w:r>
      <w:r w:rsidR="00BD0123" w:rsidRPr="00246C07">
        <w:t xml:space="preserve">noting the limitations of the clinical trial data for DAB+TRAM, </w:t>
      </w:r>
      <w:r w:rsidRPr="00246C07">
        <w:t xml:space="preserve">accepted that the </w:t>
      </w:r>
      <w:r w:rsidR="00092D46">
        <w:t xml:space="preserve">data from the </w:t>
      </w:r>
      <w:r w:rsidRPr="00246C07">
        <w:t>DUSC review provided reasonable durations of therapy for NIVO monotherapy and DAB+TRAM, but considered that</w:t>
      </w:r>
      <w:r w:rsidR="00853379">
        <w:t>,</w:t>
      </w:r>
      <w:r w:rsidRPr="00246C07">
        <w:t xml:space="preserve"> </w:t>
      </w:r>
      <w:r w:rsidR="00246C07" w:rsidRPr="00246C07">
        <w:t>in comparison to the trial data</w:t>
      </w:r>
      <w:r w:rsidR="00853379">
        <w:t>,</w:t>
      </w:r>
      <w:r w:rsidR="00246C07" w:rsidRPr="00246C07">
        <w:t xml:space="preserve"> </w:t>
      </w:r>
      <w:r w:rsidRPr="00246C07">
        <w:t>the duration of therapy for NIVO+IPI was underestimated</w:t>
      </w:r>
      <w:r w:rsidR="00BD0123" w:rsidRPr="00246C07">
        <w:t>.</w:t>
      </w:r>
      <w:r w:rsidR="00246C07" w:rsidRPr="00246C07">
        <w:t xml:space="preserve"> The PBAC noted that </w:t>
      </w:r>
      <w:r w:rsidR="00853379">
        <w:t xml:space="preserve">the mean duration of </w:t>
      </w:r>
      <w:r w:rsidR="00092D46">
        <w:t>NIVO in the trial as</w:t>
      </w:r>
      <w:r w:rsidR="00853379">
        <w:t xml:space="preserve"> monotherapy (</w:t>
      </w:r>
      <w:r w:rsidR="00BF12D4">
        <w:rPr>
          <w:noProof/>
          <w:color w:val="000000"/>
          <w:highlight w:val="black"/>
        </w:rPr>
        <w:t>''''''''</w:t>
      </w:r>
      <w:r w:rsidR="00853379">
        <w:t xml:space="preserve"> days), was shorter than </w:t>
      </w:r>
      <w:r w:rsidR="00092D46">
        <w:t xml:space="preserve">when </w:t>
      </w:r>
      <w:r w:rsidR="00877AC9">
        <w:t>used</w:t>
      </w:r>
      <w:r w:rsidR="00092D46">
        <w:t xml:space="preserve"> in combination with IPI</w:t>
      </w:r>
      <w:r w:rsidR="00853379">
        <w:t xml:space="preserve"> (</w:t>
      </w:r>
      <w:r w:rsidR="00BF12D4">
        <w:rPr>
          <w:noProof/>
          <w:color w:val="000000"/>
          <w:highlight w:val="black"/>
        </w:rPr>
        <w:t>'''''''</w:t>
      </w:r>
      <w:r w:rsidR="00853379">
        <w:t xml:space="preserve"> days), but that in the </w:t>
      </w:r>
      <w:r w:rsidR="000D2BD7">
        <w:t>cost analysis</w:t>
      </w:r>
      <w:r w:rsidR="00853379">
        <w:t xml:space="preserve"> the duration of </w:t>
      </w:r>
      <w:r w:rsidR="00092D46">
        <w:t>NIVO</w:t>
      </w:r>
      <w:r w:rsidR="00853379">
        <w:t xml:space="preserve"> </w:t>
      </w:r>
      <w:r w:rsidR="00092D46">
        <w:t>as</w:t>
      </w:r>
      <w:r w:rsidR="00853379">
        <w:t xml:space="preserve"> monotherapy was longer (</w:t>
      </w:r>
      <w:r w:rsidR="00BF12D4">
        <w:rPr>
          <w:noProof/>
          <w:color w:val="000000"/>
          <w:highlight w:val="black"/>
        </w:rPr>
        <w:t xml:space="preserve">'''''''' </w:t>
      </w:r>
      <w:r w:rsidR="00853379">
        <w:t xml:space="preserve">days) than </w:t>
      </w:r>
      <w:r w:rsidR="00092D46">
        <w:t>when in combination with IPI</w:t>
      </w:r>
      <w:r w:rsidR="00853379">
        <w:t xml:space="preserve"> (</w:t>
      </w:r>
      <w:r w:rsidR="00BF12D4">
        <w:rPr>
          <w:noProof/>
          <w:color w:val="000000"/>
          <w:highlight w:val="black"/>
        </w:rPr>
        <w:t>''''''''</w:t>
      </w:r>
      <w:r w:rsidR="00853379">
        <w:t xml:space="preserve"> days). The PBAC </w:t>
      </w:r>
      <w:r w:rsidR="00092D46">
        <w:t>noted</w:t>
      </w:r>
      <w:r w:rsidR="00853379">
        <w:t xml:space="preserve"> that </w:t>
      </w:r>
      <w:r w:rsidR="00092D46">
        <w:t>to maintain</w:t>
      </w:r>
      <w:r w:rsidR="00853379">
        <w:t xml:space="preserve"> proportionally consistent </w:t>
      </w:r>
      <w:r w:rsidR="00092D46">
        <w:t xml:space="preserve">estimates </w:t>
      </w:r>
      <w:r w:rsidR="00856CE0">
        <w:t>between the trial data and the cost analysis</w:t>
      </w:r>
      <w:r w:rsidR="00092D46">
        <w:t xml:space="preserve">, </w:t>
      </w:r>
      <w:r w:rsidR="00856CE0">
        <w:t xml:space="preserve">the duration of NIVO </w:t>
      </w:r>
      <w:r w:rsidR="00092D46">
        <w:t xml:space="preserve">when used in combination with </w:t>
      </w:r>
      <w:r w:rsidR="00853379">
        <w:t xml:space="preserve">IPI in the cost analysis </w:t>
      </w:r>
      <w:r w:rsidR="00092D46">
        <w:t>would need to be</w:t>
      </w:r>
      <w:r w:rsidR="00853379">
        <w:t xml:space="preserve"> </w:t>
      </w:r>
      <w:r w:rsidR="00BF12D4">
        <w:rPr>
          <w:noProof/>
          <w:color w:val="000000"/>
          <w:highlight w:val="black"/>
        </w:rPr>
        <w:t xml:space="preserve">'''''''' </w:t>
      </w:r>
      <w:r w:rsidR="00853379">
        <w:t>days</w:t>
      </w:r>
      <w:r w:rsidR="00092D46">
        <w:t xml:space="preserve"> (</w:t>
      </w:r>
      <w:r w:rsidR="00BF12D4">
        <w:rPr>
          <w:noProof/>
          <w:color w:val="000000"/>
          <w:highlight w:val="black"/>
        </w:rPr>
        <w:t>''''''''</w:t>
      </w:r>
      <w:r w:rsidR="00092D46">
        <w:t>/</w:t>
      </w:r>
      <w:r w:rsidR="00BF12D4">
        <w:rPr>
          <w:noProof/>
          <w:color w:val="000000"/>
          <w:highlight w:val="black"/>
        </w:rPr>
        <w:t xml:space="preserve">''''''' </w:t>
      </w:r>
      <w:r w:rsidR="00092D46">
        <w:t xml:space="preserve">x </w:t>
      </w:r>
      <w:r w:rsidR="00BF12D4">
        <w:rPr>
          <w:noProof/>
          <w:color w:val="000000"/>
          <w:highlight w:val="black"/>
        </w:rPr>
        <w:t>''''''''</w:t>
      </w:r>
      <w:r w:rsidR="00092D46">
        <w:t>)</w:t>
      </w:r>
      <w:r w:rsidR="00853379">
        <w:t xml:space="preserve">. </w:t>
      </w:r>
    </w:p>
    <w:p w:rsidR="00263A5B" w:rsidRPr="007E5071" w:rsidRDefault="00485475" w:rsidP="00983502">
      <w:pPr>
        <w:pStyle w:val="ListParagraph"/>
        <w:widowControl/>
        <w:numPr>
          <w:ilvl w:val="1"/>
          <w:numId w:val="1"/>
        </w:numPr>
      </w:pPr>
      <w:r w:rsidRPr="007E5071">
        <w:t xml:space="preserve">Costs associated with the intravenous administration of NIVO and IPI were included. In addition, the incremental </w:t>
      </w:r>
      <w:r w:rsidR="00D40B4E" w:rsidRPr="007E5071">
        <w:t>cost</w:t>
      </w:r>
      <w:r w:rsidRPr="007E5071">
        <w:t xml:space="preserve"> of managing </w:t>
      </w:r>
      <w:r w:rsidR="00D40B4E" w:rsidRPr="007E5071">
        <w:t xml:space="preserve">additional </w:t>
      </w:r>
      <w:r w:rsidRPr="007E5071">
        <w:t>Grade 3-4 AEs</w:t>
      </w:r>
      <w:r w:rsidR="00D40B4E" w:rsidRPr="007E5071">
        <w:t xml:space="preserve"> </w:t>
      </w:r>
      <w:r w:rsidR="001B7A03" w:rsidRPr="007E5071">
        <w:t>occurring in at least 5% of patients</w:t>
      </w:r>
      <w:r w:rsidR="00197A19" w:rsidRPr="007E5071">
        <w:t>,</w:t>
      </w:r>
      <w:r w:rsidR="001B7A03" w:rsidRPr="007E5071">
        <w:t xml:space="preserve"> </w:t>
      </w:r>
      <w:r w:rsidR="00D40B4E" w:rsidRPr="007E5071">
        <w:t>associated with the inferior safety profile of NIVO+IPI</w:t>
      </w:r>
      <w:r w:rsidR="00197A19" w:rsidRPr="007E5071">
        <w:t>,</w:t>
      </w:r>
      <w:r w:rsidR="00D40B4E" w:rsidRPr="007E5071">
        <w:t xml:space="preserve"> were included in the CMA of NIVO+IPI versus DAB+TRAM.</w:t>
      </w:r>
      <w:r w:rsidRPr="007E5071">
        <w:t xml:space="preserve"> </w:t>
      </w:r>
      <w:r w:rsidR="006640DE" w:rsidRPr="007E5071">
        <w:t xml:space="preserve">The submission stated that the 5% frequency of AE occurrence was chosen as a cutoff due to having the greatest impact on the average cost of therapy. This was unlikely to capture the true extent of the increase in toxicity associated with NIVO+IPI compared with DAB+TRAM. </w:t>
      </w:r>
    </w:p>
    <w:p w:rsidR="00050877" w:rsidRPr="007E5071" w:rsidRDefault="00050877" w:rsidP="00983502">
      <w:pPr>
        <w:pStyle w:val="ListParagraph"/>
        <w:widowControl/>
        <w:numPr>
          <w:ilvl w:val="1"/>
          <w:numId w:val="1"/>
        </w:numPr>
      </w:pPr>
      <w:r w:rsidRPr="007E5071">
        <w:t>As the submission did not know the effective price</w:t>
      </w:r>
      <w:r w:rsidR="00991FE5" w:rsidRPr="007E5071">
        <w:t>s of dabrafenib or trametinib</w:t>
      </w:r>
      <w:r w:rsidRPr="007E5071">
        <w:t xml:space="preserve">, for the purposes of the CMA, </w:t>
      </w:r>
      <w:r w:rsidR="00991FE5" w:rsidRPr="007E5071">
        <w:t>they were</w:t>
      </w:r>
      <w:r w:rsidRPr="007E5071">
        <w:t xml:space="preserve"> assumed to be </w:t>
      </w:r>
      <w:r w:rsidR="00BF12D4">
        <w:rPr>
          <w:noProof/>
          <w:color w:val="000000"/>
          <w:highlight w:val="black"/>
        </w:rPr>
        <w:t>'''''</w:t>
      </w:r>
      <w:r w:rsidRPr="007E5071">
        <w:t>%</w:t>
      </w:r>
      <w:r w:rsidR="0041601D" w:rsidRPr="007E5071">
        <w:t xml:space="preserve"> </w:t>
      </w:r>
      <w:r w:rsidRPr="007E5071">
        <w:t>of the current published dispensed price for maximum quantity (DPMQ).</w:t>
      </w:r>
      <w:r w:rsidRPr="007E5071">
        <w:rPr>
          <w:i/>
        </w:rPr>
        <w:t xml:space="preserve"> </w:t>
      </w:r>
      <w:r w:rsidRPr="007E5071">
        <w:t xml:space="preserve">The cost analysis should have been based on the </w:t>
      </w:r>
      <w:r w:rsidR="00467BBB" w:rsidRPr="007E5071">
        <w:t>approved ex-manufacturer prices (</w:t>
      </w:r>
      <w:r w:rsidR="00991FE5" w:rsidRPr="007E5071">
        <w:t>AEMPs</w:t>
      </w:r>
      <w:r w:rsidR="00467BBB" w:rsidRPr="007E5071">
        <w:t>) as</w:t>
      </w:r>
      <w:r w:rsidRPr="007E5071">
        <w:t xml:space="preserve"> </w:t>
      </w:r>
      <w:r w:rsidR="00467BBB" w:rsidRPr="007E5071">
        <w:t>p</w:t>
      </w:r>
      <w:r w:rsidRPr="007E5071">
        <w:t>ricing agreements are made by Government under the National Health Act 1953 at the ex-manufacturer level and, as such, the prices would be agreed on this basis. It is not usually the case that pharmacy and wholesaler mark-ups are considered for the purpose of cost-minimisation as they do not relate to the cost of the medicine.</w:t>
      </w:r>
      <w:r w:rsidR="00991FE5" w:rsidRPr="007E5071">
        <w:t xml:space="preserve"> This was corrected in the PSCR.</w:t>
      </w:r>
    </w:p>
    <w:p w:rsidR="00050877" w:rsidRPr="007E5071" w:rsidRDefault="00050877" w:rsidP="00983502">
      <w:pPr>
        <w:pStyle w:val="ListParagraph"/>
        <w:widowControl/>
        <w:numPr>
          <w:ilvl w:val="1"/>
          <w:numId w:val="1"/>
        </w:numPr>
      </w:pPr>
      <w:r w:rsidRPr="007E5071">
        <w:t>The results of the cost analys</w:t>
      </w:r>
      <w:r w:rsidR="00F3707C" w:rsidRPr="007E5071">
        <w:t>i</w:t>
      </w:r>
      <w:r w:rsidRPr="007E5071">
        <w:t>s</w:t>
      </w:r>
      <w:r w:rsidR="00201476" w:rsidRPr="007E5071">
        <w:t xml:space="preserve">, based on the assumed </w:t>
      </w:r>
      <w:r w:rsidR="00991FE5" w:rsidRPr="007E5071">
        <w:t>effective AEMP</w:t>
      </w:r>
      <w:r w:rsidR="00F3707C" w:rsidRPr="007E5071">
        <w:t xml:space="preserve"> for DAB and TRAM </w:t>
      </w:r>
      <w:r w:rsidRPr="007E5071">
        <w:t>are summarised below.</w:t>
      </w:r>
      <w:r w:rsidRPr="007E5071">
        <w:rPr>
          <w:i/>
        </w:rPr>
        <w:t xml:space="preserve"> </w:t>
      </w:r>
    </w:p>
    <w:p w:rsidR="00050877" w:rsidRPr="007E5071" w:rsidRDefault="00050877" w:rsidP="00BD0123">
      <w:pPr>
        <w:pStyle w:val="Caption"/>
        <w:keepNext/>
        <w:rPr>
          <w:rStyle w:val="CommentReference"/>
        </w:rPr>
      </w:pPr>
      <w:r w:rsidRPr="007E5071">
        <w:t xml:space="preserve">Table </w:t>
      </w:r>
      <w:r w:rsidR="00E966F6" w:rsidRPr="007E5071">
        <w:t>9</w:t>
      </w:r>
      <w:r w:rsidRPr="007E5071">
        <w:t xml:space="preserve">: Results of the </w:t>
      </w:r>
      <w:r w:rsidR="00F3707C" w:rsidRPr="007E5071">
        <w:t>cost</w:t>
      </w:r>
      <w:r w:rsidRPr="007E5071">
        <w:t xml:space="preserve"> analys</w:t>
      </w:r>
      <w:r w:rsidR="00F3707C" w:rsidRPr="007E5071">
        <w:t>i</w:t>
      </w:r>
      <w:r w:rsidRPr="007E5071">
        <w:t>s (assumed effective price</w:t>
      </w:r>
      <w:r w:rsidR="00920B20" w:rsidRPr="007E5071">
        <w:t xml:space="preserve"> of DAB+TRAM</w:t>
      </w:r>
      <w:r w:rsidR="00B166ED" w:rsidRPr="007E5071">
        <w:rPr>
          <w:vertAlign w:val="superscript"/>
        </w:rPr>
        <w:t>*</w:t>
      </w:r>
      <w:r w:rsidRPr="007E5071">
        <w:t>)</w:t>
      </w: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cost analysis (assumed effective price of DAB+TRAM*)"/>
      </w:tblPr>
      <w:tblGrid>
        <w:gridCol w:w="2835"/>
        <w:gridCol w:w="1985"/>
        <w:gridCol w:w="1276"/>
        <w:gridCol w:w="1275"/>
        <w:gridCol w:w="1707"/>
      </w:tblGrid>
      <w:tr w:rsidR="00B166ED" w:rsidRPr="007E5071" w:rsidTr="00D062FF">
        <w:trPr>
          <w:tblHeader/>
        </w:trPr>
        <w:tc>
          <w:tcPr>
            <w:tcW w:w="2835" w:type="dxa"/>
            <w:vMerge w:val="restart"/>
            <w:tcMar>
              <w:left w:w="28" w:type="dxa"/>
              <w:right w:w="28" w:type="dxa"/>
            </w:tcMar>
            <w:vAlign w:val="center"/>
          </w:tcPr>
          <w:p w:rsidR="00050877" w:rsidRPr="007E5071" w:rsidRDefault="00050877" w:rsidP="00BD0123">
            <w:pPr>
              <w:pStyle w:val="Tabletext"/>
              <w:keepNext/>
              <w:tabs>
                <w:tab w:val="right" w:pos="2302"/>
              </w:tabs>
              <w:rPr>
                <w:b/>
              </w:rPr>
            </w:pPr>
            <w:r w:rsidRPr="007E5071">
              <w:rPr>
                <w:b/>
              </w:rPr>
              <w:t>Component</w:t>
            </w:r>
          </w:p>
        </w:tc>
        <w:tc>
          <w:tcPr>
            <w:tcW w:w="1985" w:type="dxa"/>
            <w:vMerge w:val="restart"/>
            <w:tcMar>
              <w:left w:w="28" w:type="dxa"/>
              <w:right w:w="28" w:type="dxa"/>
            </w:tcMar>
            <w:vAlign w:val="center"/>
          </w:tcPr>
          <w:p w:rsidR="00050877" w:rsidRPr="007E5071" w:rsidRDefault="00050877" w:rsidP="00BD0123">
            <w:pPr>
              <w:pStyle w:val="Tabletext"/>
              <w:keepNext/>
              <w:jc w:val="center"/>
              <w:rPr>
                <w:b/>
              </w:rPr>
            </w:pPr>
            <w:r w:rsidRPr="007E5071">
              <w:rPr>
                <w:b/>
              </w:rPr>
              <w:t>NIVO</w:t>
            </w:r>
          </w:p>
        </w:tc>
        <w:tc>
          <w:tcPr>
            <w:tcW w:w="2551" w:type="dxa"/>
            <w:gridSpan w:val="2"/>
            <w:tcMar>
              <w:left w:w="28" w:type="dxa"/>
              <w:right w:w="28" w:type="dxa"/>
            </w:tcMar>
            <w:vAlign w:val="center"/>
          </w:tcPr>
          <w:p w:rsidR="00050877" w:rsidRPr="007E5071" w:rsidRDefault="00050877" w:rsidP="00BD0123">
            <w:pPr>
              <w:pStyle w:val="Tabletext"/>
              <w:keepNext/>
              <w:jc w:val="center"/>
              <w:rPr>
                <w:b/>
              </w:rPr>
            </w:pPr>
            <w:r w:rsidRPr="007E5071">
              <w:rPr>
                <w:b/>
              </w:rPr>
              <w:t>NIVO+IPI</w:t>
            </w:r>
          </w:p>
        </w:tc>
        <w:tc>
          <w:tcPr>
            <w:tcW w:w="1707" w:type="dxa"/>
            <w:vMerge w:val="restart"/>
            <w:tcMar>
              <w:left w:w="28" w:type="dxa"/>
              <w:right w:w="28" w:type="dxa"/>
            </w:tcMar>
            <w:vAlign w:val="center"/>
          </w:tcPr>
          <w:p w:rsidR="00050877" w:rsidRPr="007E5071" w:rsidRDefault="00050877" w:rsidP="00BD0123">
            <w:pPr>
              <w:pStyle w:val="Tabletext"/>
              <w:keepNext/>
              <w:jc w:val="center"/>
              <w:rPr>
                <w:b/>
              </w:rPr>
            </w:pPr>
            <w:r w:rsidRPr="007E5071">
              <w:rPr>
                <w:b/>
              </w:rPr>
              <w:t>DAB+TRAM</w:t>
            </w:r>
          </w:p>
        </w:tc>
      </w:tr>
      <w:tr w:rsidR="001A6BDC" w:rsidRPr="007E5071" w:rsidTr="00D062FF">
        <w:trPr>
          <w:tblHeader/>
        </w:trPr>
        <w:tc>
          <w:tcPr>
            <w:tcW w:w="2835" w:type="dxa"/>
            <w:vMerge/>
            <w:tcMar>
              <w:left w:w="28" w:type="dxa"/>
              <w:right w:w="28" w:type="dxa"/>
            </w:tcMar>
            <w:vAlign w:val="center"/>
          </w:tcPr>
          <w:p w:rsidR="00050877" w:rsidRPr="007E5071" w:rsidRDefault="00050877" w:rsidP="00BD0123">
            <w:pPr>
              <w:pStyle w:val="Tabletext"/>
              <w:keepNext/>
              <w:rPr>
                <w:b/>
              </w:rPr>
            </w:pPr>
          </w:p>
        </w:tc>
        <w:tc>
          <w:tcPr>
            <w:tcW w:w="1985" w:type="dxa"/>
            <w:vMerge/>
            <w:tcMar>
              <w:left w:w="28" w:type="dxa"/>
              <w:right w:w="28" w:type="dxa"/>
            </w:tcMar>
            <w:vAlign w:val="center"/>
          </w:tcPr>
          <w:p w:rsidR="00050877" w:rsidRPr="007E5071" w:rsidRDefault="00050877" w:rsidP="00BD0123">
            <w:pPr>
              <w:pStyle w:val="Tabletext"/>
              <w:keepNext/>
              <w:jc w:val="center"/>
              <w:rPr>
                <w:b/>
              </w:rPr>
            </w:pPr>
          </w:p>
        </w:tc>
        <w:tc>
          <w:tcPr>
            <w:tcW w:w="1276" w:type="dxa"/>
            <w:tcMar>
              <w:left w:w="28" w:type="dxa"/>
              <w:right w:w="28" w:type="dxa"/>
            </w:tcMar>
            <w:vAlign w:val="center"/>
          </w:tcPr>
          <w:p w:rsidR="00050877" w:rsidRPr="007E5071" w:rsidRDefault="00050877" w:rsidP="00BD0123">
            <w:pPr>
              <w:pStyle w:val="Tabletext"/>
              <w:keepNext/>
              <w:jc w:val="center"/>
              <w:rPr>
                <w:b/>
              </w:rPr>
            </w:pPr>
            <w:r w:rsidRPr="007E5071">
              <w:rPr>
                <w:b/>
              </w:rPr>
              <w:t>NIVO</w:t>
            </w:r>
          </w:p>
        </w:tc>
        <w:tc>
          <w:tcPr>
            <w:tcW w:w="1275" w:type="dxa"/>
            <w:tcMar>
              <w:left w:w="28" w:type="dxa"/>
              <w:right w:w="28" w:type="dxa"/>
            </w:tcMar>
            <w:vAlign w:val="center"/>
          </w:tcPr>
          <w:p w:rsidR="00050877" w:rsidRPr="007E5071" w:rsidRDefault="00050877" w:rsidP="00BD0123">
            <w:pPr>
              <w:pStyle w:val="Tabletext"/>
              <w:keepNext/>
              <w:jc w:val="center"/>
              <w:rPr>
                <w:b/>
              </w:rPr>
            </w:pPr>
            <w:r w:rsidRPr="007E5071">
              <w:rPr>
                <w:b/>
              </w:rPr>
              <w:t>IPI</w:t>
            </w:r>
          </w:p>
        </w:tc>
        <w:tc>
          <w:tcPr>
            <w:tcW w:w="1707" w:type="dxa"/>
            <w:vMerge/>
            <w:tcMar>
              <w:left w:w="28" w:type="dxa"/>
              <w:right w:w="28" w:type="dxa"/>
            </w:tcMar>
            <w:vAlign w:val="center"/>
          </w:tcPr>
          <w:p w:rsidR="00050877" w:rsidRPr="007E5071" w:rsidRDefault="00050877" w:rsidP="00BD0123">
            <w:pPr>
              <w:pStyle w:val="Tabletext"/>
              <w:keepNext/>
              <w:jc w:val="center"/>
              <w:rPr>
                <w:b/>
              </w:rPr>
            </w:pPr>
          </w:p>
        </w:tc>
      </w:tr>
      <w:tr w:rsidR="000C5C7D" w:rsidRPr="007E5071" w:rsidTr="00D062FF">
        <w:trPr>
          <w:tblHeader/>
        </w:trPr>
        <w:tc>
          <w:tcPr>
            <w:tcW w:w="2835" w:type="dxa"/>
            <w:vMerge w:val="restart"/>
            <w:tcMar>
              <w:left w:w="28" w:type="dxa"/>
              <w:right w:w="28" w:type="dxa"/>
            </w:tcMar>
            <w:vAlign w:val="center"/>
          </w:tcPr>
          <w:p w:rsidR="000C5C7D" w:rsidRPr="007E5071" w:rsidRDefault="000C5C7D" w:rsidP="00722AC2">
            <w:pPr>
              <w:pStyle w:val="Tabletext"/>
              <w:keepNext/>
            </w:pPr>
            <w:r w:rsidRPr="007E5071">
              <w:t>Total 1</w:t>
            </w:r>
            <w:r w:rsidR="00722AC2" w:rsidRPr="007E5071">
              <w:rPr>
                <w:vertAlign w:val="superscript"/>
              </w:rPr>
              <w:t>st</w:t>
            </w:r>
            <w:r w:rsidR="00722AC2" w:rsidRPr="007E5071">
              <w:t>-line</w:t>
            </w:r>
            <w:r w:rsidRPr="007E5071">
              <w:t xml:space="preserve"> medicine cost per course</w:t>
            </w:r>
          </w:p>
        </w:tc>
        <w:tc>
          <w:tcPr>
            <w:tcW w:w="1985" w:type="dxa"/>
            <w:vMerge w:val="restart"/>
            <w:tcMar>
              <w:left w:w="28" w:type="dxa"/>
              <w:right w:w="28" w:type="dxa"/>
            </w:tcMar>
            <w:vAlign w:val="center"/>
          </w:tcPr>
          <w:p w:rsidR="000C5C7D" w:rsidRPr="007E5071" w:rsidRDefault="000C5C7D" w:rsidP="00BD0123">
            <w:pPr>
              <w:pStyle w:val="Tabletext"/>
              <w:keepNext/>
              <w:jc w:val="center"/>
              <w:rPr>
                <w:vertAlign w:val="superscript"/>
              </w:rPr>
            </w:pPr>
            <w:r w:rsidRPr="007E5071">
              <w:t>$</w:t>
            </w:r>
            <w:r w:rsidR="00BF12D4">
              <w:rPr>
                <w:noProof/>
                <w:color w:val="000000"/>
                <w:highlight w:val="black"/>
              </w:rPr>
              <w:t>'''''''''''''''''''''''''</w:t>
            </w:r>
          </w:p>
        </w:tc>
        <w:tc>
          <w:tcPr>
            <w:tcW w:w="1276" w:type="dxa"/>
            <w:tcMar>
              <w:left w:w="28" w:type="dxa"/>
              <w:right w:w="28" w:type="dxa"/>
            </w:tcMar>
            <w:vAlign w:val="center"/>
          </w:tcPr>
          <w:p w:rsidR="000C5C7D" w:rsidRPr="007E5071" w:rsidRDefault="000C5C7D" w:rsidP="00BD0123">
            <w:pPr>
              <w:pStyle w:val="Tabletext"/>
              <w:keepNext/>
              <w:jc w:val="center"/>
              <w:rPr>
                <w:vertAlign w:val="superscript"/>
              </w:rPr>
            </w:pPr>
            <w:r w:rsidRPr="007E5071">
              <w:t>$</w:t>
            </w:r>
            <w:r w:rsidR="00BF12D4">
              <w:rPr>
                <w:noProof/>
                <w:color w:val="000000"/>
                <w:highlight w:val="black"/>
              </w:rPr>
              <w:t>''''''''''''''''''''''</w:t>
            </w:r>
          </w:p>
        </w:tc>
        <w:tc>
          <w:tcPr>
            <w:tcW w:w="1275" w:type="dxa"/>
            <w:tcMar>
              <w:left w:w="28" w:type="dxa"/>
              <w:right w:w="28" w:type="dxa"/>
            </w:tcMar>
            <w:vAlign w:val="center"/>
          </w:tcPr>
          <w:p w:rsidR="000C5C7D" w:rsidRPr="007E5071" w:rsidRDefault="000C5C7D" w:rsidP="00BD0123">
            <w:pPr>
              <w:pStyle w:val="Tabletext"/>
              <w:keepNext/>
              <w:jc w:val="center"/>
              <w:rPr>
                <w:vertAlign w:val="superscript"/>
              </w:rPr>
            </w:pPr>
            <w:r w:rsidRPr="007E5071">
              <w:t>$</w:t>
            </w:r>
            <w:r w:rsidR="00BF12D4">
              <w:rPr>
                <w:noProof/>
                <w:color w:val="000000"/>
                <w:highlight w:val="black"/>
              </w:rPr>
              <w:t>''''''''''''''''''''''''</w:t>
            </w:r>
          </w:p>
        </w:tc>
        <w:tc>
          <w:tcPr>
            <w:tcW w:w="1707" w:type="dxa"/>
            <w:vMerge w:val="restart"/>
            <w:tcMar>
              <w:left w:w="28" w:type="dxa"/>
              <w:right w:w="28" w:type="dxa"/>
            </w:tcMar>
            <w:vAlign w:val="center"/>
          </w:tcPr>
          <w:p w:rsidR="000C5C7D" w:rsidRPr="007E5071" w:rsidRDefault="000C5C7D" w:rsidP="00BD0123">
            <w:pPr>
              <w:pStyle w:val="Tabletext"/>
              <w:keepNext/>
              <w:jc w:val="center"/>
            </w:pPr>
            <w:r w:rsidRPr="007E5071">
              <w:t>$</w:t>
            </w:r>
            <w:r w:rsidR="00BF12D4">
              <w:rPr>
                <w:noProof/>
                <w:color w:val="000000"/>
                <w:highlight w:val="black"/>
              </w:rPr>
              <w:t>''''''''''''''''''''''''''</w:t>
            </w:r>
          </w:p>
          <w:p w:rsidR="000C5C7D" w:rsidRPr="007E5071" w:rsidRDefault="000C5C7D" w:rsidP="00BD0123">
            <w:pPr>
              <w:pStyle w:val="Tabletext"/>
              <w:keepNext/>
              <w:jc w:val="center"/>
            </w:pPr>
            <w:r w:rsidRPr="007E5071">
              <w:t>PSCR: $</w:t>
            </w:r>
            <w:r w:rsidR="00BF12D4">
              <w:rPr>
                <w:noProof/>
                <w:color w:val="000000"/>
                <w:highlight w:val="black"/>
              </w:rPr>
              <w:t>'''''''''''''''''''''''</w:t>
            </w:r>
          </w:p>
        </w:tc>
      </w:tr>
      <w:tr w:rsidR="000C5C7D" w:rsidRPr="007E5071" w:rsidTr="00D062FF">
        <w:trPr>
          <w:tblHeader/>
        </w:trPr>
        <w:tc>
          <w:tcPr>
            <w:tcW w:w="2835" w:type="dxa"/>
            <w:vMerge/>
            <w:tcMar>
              <w:left w:w="28" w:type="dxa"/>
              <w:right w:w="28" w:type="dxa"/>
            </w:tcMar>
            <w:vAlign w:val="center"/>
          </w:tcPr>
          <w:p w:rsidR="000C5C7D" w:rsidRPr="007E5071" w:rsidRDefault="000C5C7D" w:rsidP="00BD0123">
            <w:pPr>
              <w:pStyle w:val="Tabletext"/>
              <w:keepNext/>
            </w:pPr>
          </w:p>
        </w:tc>
        <w:tc>
          <w:tcPr>
            <w:tcW w:w="1985" w:type="dxa"/>
            <w:vMerge/>
            <w:tcMar>
              <w:left w:w="28" w:type="dxa"/>
              <w:right w:w="28" w:type="dxa"/>
            </w:tcMar>
            <w:vAlign w:val="center"/>
          </w:tcPr>
          <w:p w:rsidR="000C5C7D" w:rsidRPr="007E5071" w:rsidRDefault="000C5C7D" w:rsidP="00BD0123">
            <w:pPr>
              <w:pStyle w:val="Tabletext"/>
              <w:keepNext/>
              <w:jc w:val="center"/>
            </w:pPr>
          </w:p>
        </w:tc>
        <w:tc>
          <w:tcPr>
            <w:tcW w:w="2551" w:type="dxa"/>
            <w:gridSpan w:val="2"/>
            <w:tcMar>
              <w:left w:w="28" w:type="dxa"/>
              <w:right w:w="28" w:type="dxa"/>
            </w:tcMar>
            <w:vAlign w:val="center"/>
          </w:tcPr>
          <w:p w:rsidR="000C5C7D" w:rsidRPr="007E5071" w:rsidRDefault="000C5C7D" w:rsidP="00BD0123">
            <w:pPr>
              <w:pStyle w:val="Tabletext"/>
              <w:keepNext/>
              <w:jc w:val="center"/>
              <w:rPr>
                <w:vertAlign w:val="superscript"/>
              </w:rPr>
            </w:pPr>
            <w:r w:rsidRPr="007E5071">
              <w:t>$</w:t>
            </w:r>
            <w:r w:rsidR="00BF12D4">
              <w:rPr>
                <w:noProof/>
                <w:color w:val="000000"/>
                <w:highlight w:val="black"/>
              </w:rPr>
              <w:t>''''''''''''''''''''''''''</w:t>
            </w:r>
          </w:p>
        </w:tc>
        <w:tc>
          <w:tcPr>
            <w:tcW w:w="1707" w:type="dxa"/>
            <w:vMerge/>
            <w:tcMar>
              <w:left w:w="28" w:type="dxa"/>
              <w:right w:w="28" w:type="dxa"/>
            </w:tcMar>
            <w:vAlign w:val="center"/>
          </w:tcPr>
          <w:p w:rsidR="000C5C7D" w:rsidRPr="007E5071" w:rsidRDefault="000C5C7D" w:rsidP="00BD0123">
            <w:pPr>
              <w:pStyle w:val="Tabletext"/>
              <w:keepNext/>
              <w:jc w:val="center"/>
            </w:pPr>
          </w:p>
        </w:tc>
      </w:tr>
      <w:tr w:rsidR="001A6BDC" w:rsidRPr="007E5071" w:rsidTr="00D062FF">
        <w:trPr>
          <w:tblHeader/>
        </w:trPr>
        <w:tc>
          <w:tcPr>
            <w:tcW w:w="2835" w:type="dxa"/>
            <w:tcMar>
              <w:left w:w="28" w:type="dxa"/>
              <w:right w:w="28" w:type="dxa"/>
            </w:tcMar>
            <w:vAlign w:val="center"/>
          </w:tcPr>
          <w:p w:rsidR="00050877" w:rsidRPr="007E5071" w:rsidRDefault="00050877" w:rsidP="00BD0123">
            <w:pPr>
              <w:pStyle w:val="Tabletext"/>
              <w:keepNext/>
            </w:pPr>
            <w:r w:rsidRPr="007E5071">
              <w:t>Administration costs</w:t>
            </w:r>
          </w:p>
        </w:tc>
        <w:tc>
          <w:tcPr>
            <w:tcW w:w="1985" w:type="dxa"/>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tc>
        <w:tc>
          <w:tcPr>
            <w:tcW w:w="2551" w:type="dxa"/>
            <w:gridSpan w:val="2"/>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tc>
        <w:tc>
          <w:tcPr>
            <w:tcW w:w="1707" w:type="dxa"/>
            <w:tcMar>
              <w:left w:w="28" w:type="dxa"/>
              <w:right w:w="28" w:type="dxa"/>
            </w:tcMar>
            <w:vAlign w:val="center"/>
          </w:tcPr>
          <w:p w:rsidR="00050877" w:rsidRPr="007E5071" w:rsidRDefault="00050877" w:rsidP="00BD0123">
            <w:pPr>
              <w:pStyle w:val="Tabletext"/>
              <w:keepNext/>
              <w:jc w:val="center"/>
            </w:pPr>
            <w:r w:rsidRPr="007E5071">
              <w:t>-</w:t>
            </w:r>
          </w:p>
        </w:tc>
      </w:tr>
      <w:tr w:rsidR="001A6BDC" w:rsidRPr="007E5071" w:rsidTr="00D062FF">
        <w:trPr>
          <w:tblHeader/>
        </w:trPr>
        <w:tc>
          <w:tcPr>
            <w:tcW w:w="2835" w:type="dxa"/>
            <w:tcMar>
              <w:left w:w="28" w:type="dxa"/>
              <w:right w:w="28" w:type="dxa"/>
            </w:tcMar>
            <w:vAlign w:val="center"/>
          </w:tcPr>
          <w:p w:rsidR="00050877" w:rsidRPr="007E5071" w:rsidRDefault="00050877" w:rsidP="00BD0123">
            <w:pPr>
              <w:pStyle w:val="Tabletext"/>
              <w:keepNext/>
            </w:pPr>
            <w:r w:rsidRPr="007E5071">
              <w:t>Incremental AE costs</w:t>
            </w:r>
          </w:p>
        </w:tc>
        <w:tc>
          <w:tcPr>
            <w:tcW w:w="1985" w:type="dxa"/>
            <w:tcMar>
              <w:left w:w="28" w:type="dxa"/>
              <w:right w:w="28" w:type="dxa"/>
            </w:tcMar>
            <w:vAlign w:val="center"/>
          </w:tcPr>
          <w:p w:rsidR="00050877" w:rsidRPr="007E5071" w:rsidRDefault="00050877" w:rsidP="00BD0123">
            <w:pPr>
              <w:pStyle w:val="Tabletext"/>
              <w:keepNext/>
              <w:jc w:val="center"/>
            </w:pPr>
            <w:r w:rsidRPr="007E5071">
              <w:t>-</w:t>
            </w:r>
          </w:p>
        </w:tc>
        <w:tc>
          <w:tcPr>
            <w:tcW w:w="2551" w:type="dxa"/>
            <w:gridSpan w:val="2"/>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tc>
        <w:tc>
          <w:tcPr>
            <w:tcW w:w="1707" w:type="dxa"/>
            <w:tcMar>
              <w:left w:w="28" w:type="dxa"/>
              <w:right w:w="28" w:type="dxa"/>
            </w:tcMar>
            <w:vAlign w:val="center"/>
          </w:tcPr>
          <w:p w:rsidR="00050877" w:rsidRPr="007E5071" w:rsidRDefault="00050877" w:rsidP="00BD0123">
            <w:pPr>
              <w:pStyle w:val="Tabletext"/>
              <w:keepNext/>
              <w:jc w:val="center"/>
            </w:pPr>
            <w:r w:rsidRPr="007E5071">
              <w:t>-</w:t>
            </w:r>
          </w:p>
        </w:tc>
      </w:tr>
      <w:tr w:rsidR="001A6BDC" w:rsidRPr="007E5071" w:rsidTr="00D062FF">
        <w:trPr>
          <w:tblHeader/>
        </w:trPr>
        <w:tc>
          <w:tcPr>
            <w:tcW w:w="2835" w:type="dxa"/>
            <w:tcMar>
              <w:left w:w="28" w:type="dxa"/>
              <w:right w:w="28" w:type="dxa"/>
            </w:tcMar>
            <w:vAlign w:val="center"/>
          </w:tcPr>
          <w:p w:rsidR="00050877" w:rsidRPr="007E5071" w:rsidRDefault="00050877" w:rsidP="00722AC2">
            <w:pPr>
              <w:pStyle w:val="Tabletext"/>
              <w:keepNext/>
            </w:pPr>
            <w:r w:rsidRPr="007E5071">
              <w:t xml:space="preserve">Total </w:t>
            </w:r>
            <w:r w:rsidR="006B024A" w:rsidRPr="007E5071">
              <w:t>1</w:t>
            </w:r>
            <w:r w:rsidR="00722AC2" w:rsidRPr="007E5071">
              <w:rPr>
                <w:vertAlign w:val="superscript"/>
              </w:rPr>
              <w:t>st</w:t>
            </w:r>
            <w:r w:rsidR="00722AC2" w:rsidRPr="007E5071">
              <w:t>-line</w:t>
            </w:r>
            <w:r w:rsidR="006B024A" w:rsidRPr="007E5071">
              <w:t xml:space="preserve"> </w:t>
            </w:r>
            <w:r w:rsidRPr="007E5071">
              <w:t>costs per course</w:t>
            </w:r>
          </w:p>
        </w:tc>
        <w:tc>
          <w:tcPr>
            <w:tcW w:w="1985" w:type="dxa"/>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tc>
        <w:tc>
          <w:tcPr>
            <w:tcW w:w="2551" w:type="dxa"/>
            <w:gridSpan w:val="2"/>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tc>
        <w:tc>
          <w:tcPr>
            <w:tcW w:w="1707" w:type="dxa"/>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p w:rsidR="009328B0" w:rsidRPr="007E5071" w:rsidRDefault="00B166ED" w:rsidP="00BD0123">
            <w:pPr>
              <w:pStyle w:val="Tabletext"/>
              <w:keepNext/>
              <w:jc w:val="center"/>
            </w:pPr>
            <w:r w:rsidRPr="007E5071">
              <w:t>PSCR : $</w:t>
            </w:r>
            <w:r w:rsidR="00BF12D4">
              <w:rPr>
                <w:noProof/>
                <w:color w:val="000000"/>
                <w:highlight w:val="black"/>
              </w:rPr>
              <w:t>'''''''''''''''''''''''''</w:t>
            </w:r>
          </w:p>
        </w:tc>
      </w:tr>
      <w:tr w:rsidR="001A6BDC" w:rsidRPr="007E5071" w:rsidTr="00D062FF">
        <w:trPr>
          <w:tblHeader/>
        </w:trPr>
        <w:tc>
          <w:tcPr>
            <w:tcW w:w="2835" w:type="dxa"/>
            <w:tcMar>
              <w:left w:w="28" w:type="dxa"/>
              <w:right w:w="28" w:type="dxa"/>
            </w:tcMar>
            <w:vAlign w:val="center"/>
          </w:tcPr>
          <w:p w:rsidR="00050877" w:rsidRPr="007E5071" w:rsidRDefault="00050877" w:rsidP="00BD0123">
            <w:pPr>
              <w:pStyle w:val="Tabletext"/>
              <w:keepNext/>
              <w:rPr>
                <w:vertAlign w:val="superscript"/>
              </w:rPr>
            </w:pPr>
            <w:r w:rsidRPr="007E5071">
              <w:t>Difference in cost per course</w:t>
            </w:r>
          </w:p>
        </w:tc>
        <w:tc>
          <w:tcPr>
            <w:tcW w:w="1985" w:type="dxa"/>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p w:rsidR="00B166ED" w:rsidRPr="007E5071" w:rsidRDefault="00B166ED" w:rsidP="00BD0123">
            <w:pPr>
              <w:pStyle w:val="Tabletext"/>
              <w:keepNext/>
              <w:jc w:val="center"/>
            </w:pPr>
            <w:r w:rsidRPr="007E5071">
              <w:t>PSCR: -$</w:t>
            </w:r>
            <w:r w:rsidR="00BF12D4">
              <w:rPr>
                <w:noProof/>
                <w:color w:val="000000"/>
                <w:highlight w:val="black"/>
              </w:rPr>
              <w:t>'''''''''''''''</w:t>
            </w:r>
          </w:p>
        </w:tc>
        <w:tc>
          <w:tcPr>
            <w:tcW w:w="2551" w:type="dxa"/>
            <w:gridSpan w:val="2"/>
            <w:tcMar>
              <w:left w:w="28" w:type="dxa"/>
              <w:right w:w="28" w:type="dxa"/>
            </w:tcMar>
            <w:vAlign w:val="center"/>
          </w:tcPr>
          <w:p w:rsidR="00050877" w:rsidRPr="007E5071" w:rsidRDefault="00050877" w:rsidP="00BD0123">
            <w:pPr>
              <w:pStyle w:val="Tabletext"/>
              <w:keepNext/>
              <w:jc w:val="center"/>
            </w:pPr>
            <w:r w:rsidRPr="007E5071">
              <w:t>$</w:t>
            </w:r>
            <w:r w:rsidR="00BF12D4">
              <w:rPr>
                <w:noProof/>
                <w:color w:val="000000"/>
                <w:highlight w:val="black"/>
              </w:rPr>
              <w:t>''''''''''''''''</w:t>
            </w:r>
          </w:p>
          <w:p w:rsidR="006B024A" w:rsidRPr="007E5071" w:rsidRDefault="006B024A" w:rsidP="00BD0123">
            <w:pPr>
              <w:pStyle w:val="Tabletext"/>
              <w:keepNext/>
              <w:jc w:val="center"/>
            </w:pPr>
            <w:r w:rsidRPr="007E5071">
              <w:t>PSCR: -$</w:t>
            </w:r>
            <w:r w:rsidR="00BF12D4">
              <w:rPr>
                <w:noProof/>
                <w:color w:val="000000"/>
                <w:highlight w:val="black"/>
              </w:rPr>
              <w:t>''''''''''''''''</w:t>
            </w:r>
          </w:p>
        </w:tc>
        <w:tc>
          <w:tcPr>
            <w:tcW w:w="1707" w:type="dxa"/>
            <w:tcMar>
              <w:left w:w="28" w:type="dxa"/>
              <w:right w:w="28" w:type="dxa"/>
            </w:tcMar>
            <w:vAlign w:val="center"/>
          </w:tcPr>
          <w:p w:rsidR="00050877" w:rsidRPr="007E5071" w:rsidRDefault="006B024A" w:rsidP="00BD0123">
            <w:pPr>
              <w:pStyle w:val="Tabletext"/>
              <w:keepNext/>
              <w:jc w:val="center"/>
            </w:pPr>
            <w:r w:rsidRPr="007E5071">
              <w:t>-</w:t>
            </w:r>
          </w:p>
        </w:tc>
      </w:tr>
    </w:tbl>
    <w:p w:rsidR="00050877" w:rsidRPr="007E5071" w:rsidRDefault="00F3707C" w:rsidP="00050877">
      <w:pPr>
        <w:pStyle w:val="TableFooter"/>
        <w:rPr>
          <w:szCs w:val="18"/>
        </w:rPr>
      </w:pPr>
      <w:r w:rsidRPr="007E5071">
        <w:rPr>
          <w:szCs w:val="18"/>
        </w:rPr>
        <w:t xml:space="preserve">AE = adverse event; AEMP= approved ex-manufacturer price; </w:t>
      </w:r>
      <w:r w:rsidR="00050877" w:rsidRPr="007E5071">
        <w:rPr>
          <w:szCs w:val="18"/>
        </w:rPr>
        <w:t xml:space="preserve">DAB = dabrafenib; IPI = ipilimumab; NIVO = nivolumab; </w:t>
      </w:r>
      <w:r w:rsidR="00037689" w:rsidRPr="007E5071">
        <w:rPr>
          <w:szCs w:val="18"/>
        </w:rPr>
        <w:t xml:space="preserve">PSCR = Pre-Sub-Committee Response; </w:t>
      </w:r>
      <w:r w:rsidR="00050877" w:rsidRPr="007E5071">
        <w:rPr>
          <w:szCs w:val="18"/>
        </w:rPr>
        <w:t>TRAM = trametinib</w:t>
      </w:r>
    </w:p>
    <w:p w:rsidR="00B166ED" w:rsidRPr="007E5071" w:rsidRDefault="00920B20" w:rsidP="00050877">
      <w:pPr>
        <w:pStyle w:val="Tabletext"/>
        <w:rPr>
          <w:sz w:val="18"/>
          <w:szCs w:val="18"/>
        </w:rPr>
      </w:pPr>
      <w:r w:rsidRPr="007E5071">
        <w:rPr>
          <w:sz w:val="18"/>
          <w:szCs w:val="18"/>
        </w:rPr>
        <w:t xml:space="preserve">* </w:t>
      </w:r>
      <w:r w:rsidR="00991FE5" w:rsidRPr="007E5071">
        <w:rPr>
          <w:sz w:val="18"/>
          <w:szCs w:val="18"/>
        </w:rPr>
        <w:t>PSCR</w:t>
      </w:r>
      <w:r w:rsidR="00B166ED" w:rsidRPr="007E5071">
        <w:rPr>
          <w:sz w:val="18"/>
          <w:szCs w:val="18"/>
        </w:rPr>
        <w:t xml:space="preserve"> a</w:t>
      </w:r>
      <w:r w:rsidRPr="007E5071">
        <w:rPr>
          <w:sz w:val="18"/>
          <w:szCs w:val="18"/>
        </w:rPr>
        <w:t>ssumed effective price of</w:t>
      </w:r>
      <w:r w:rsidR="00B166ED" w:rsidRPr="007E5071">
        <w:rPr>
          <w:sz w:val="18"/>
          <w:szCs w:val="18"/>
        </w:rPr>
        <w:t xml:space="preserve"> DAB ($</w:t>
      </w:r>
      <w:r w:rsidR="00BF12D4">
        <w:rPr>
          <w:noProof/>
          <w:color w:val="000000"/>
          <w:sz w:val="18"/>
          <w:szCs w:val="18"/>
          <w:highlight w:val="black"/>
        </w:rPr>
        <w:t>''''''''''''''''</w:t>
      </w:r>
      <w:r w:rsidR="00B166ED" w:rsidRPr="007E5071">
        <w:rPr>
          <w:sz w:val="18"/>
          <w:szCs w:val="18"/>
        </w:rPr>
        <w:t>/day) and TRAM ($</w:t>
      </w:r>
      <w:r w:rsidR="00BF12D4">
        <w:rPr>
          <w:noProof/>
          <w:color w:val="000000"/>
          <w:sz w:val="18"/>
          <w:szCs w:val="18"/>
          <w:highlight w:val="black"/>
        </w:rPr>
        <w:t>''''''''''''''''</w:t>
      </w:r>
      <w:r w:rsidR="00B166ED" w:rsidRPr="007E5071">
        <w:rPr>
          <w:sz w:val="18"/>
          <w:szCs w:val="18"/>
        </w:rPr>
        <w:t xml:space="preserve">/day) was </w:t>
      </w:r>
      <w:r w:rsidR="00BF12D4">
        <w:rPr>
          <w:noProof/>
          <w:color w:val="000000"/>
          <w:sz w:val="18"/>
          <w:szCs w:val="18"/>
          <w:highlight w:val="black"/>
        </w:rPr>
        <w:t>'''''''</w:t>
      </w:r>
      <w:r w:rsidR="00B166ED" w:rsidRPr="007E5071">
        <w:rPr>
          <w:sz w:val="18"/>
          <w:szCs w:val="18"/>
        </w:rPr>
        <w:t>% of the AEMP; The current effective approved ex-manufacturer price for nivolumab ($</w:t>
      </w:r>
      <w:r w:rsidR="00BF12D4">
        <w:rPr>
          <w:noProof/>
          <w:color w:val="000000"/>
          <w:sz w:val="18"/>
          <w:szCs w:val="18"/>
          <w:highlight w:val="black"/>
        </w:rPr>
        <w:t>'''''''''''''''''''</w:t>
      </w:r>
      <w:r w:rsidR="00B166ED" w:rsidRPr="007E5071">
        <w:rPr>
          <w:sz w:val="18"/>
          <w:szCs w:val="18"/>
        </w:rPr>
        <w:t xml:space="preserve"> for 100 mg vial) and ipilimumab ($</w:t>
      </w:r>
      <w:r w:rsidR="00BF12D4">
        <w:rPr>
          <w:noProof/>
          <w:color w:val="000000"/>
          <w:sz w:val="18"/>
          <w:szCs w:val="18"/>
          <w:highlight w:val="black"/>
        </w:rPr>
        <w:t>''''''''''''</w:t>
      </w:r>
      <w:r w:rsidR="00B166ED" w:rsidRPr="007E5071">
        <w:rPr>
          <w:sz w:val="18"/>
          <w:szCs w:val="18"/>
        </w:rPr>
        <w:t>.00 for a 50 mg vial) were used in the calculation of second-line treatment costs.</w:t>
      </w:r>
    </w:p>
    <w:p w:rsidR="00B166ED" w:rsidRPr="007E5071" w:rsidRDefault="00B166ED" w:rsidP="00050877">
      <w:pPr>
        <w:pStyle w:val="Tabletext"/>
        <w:rPr>
          <w:sz w:val="18"/>
          <w:szCs w:val="18"/>
        </w:rPr>
      </w:pPr>
      <w:r w:rsidRPr="007E5071">
        <w:rPr>
          <w:sz w:val="18"/>
          <w:szCs w:val="18"/>
          <w:vertAlign w:val="superscript"/>
        </w:rPr>
        <w:t>a</w:t>
      </w:r>
      <w:r w:rsidRPr="007E5071">
        <w:rPr>
          <w:sz w:val="18"/>
          <w:szCs w:val="18"/>
        </w:rPr>
        <w:t xml:space="preserve"> For the purposes of the analyses, it was assumed that the safety of IPI monotherapy was similar to that of DAB+TRAM as no comparative data were available</w:t>
      </w:r>
    </w:p>
    <w:p w:rsidR="00B166ED" w:rsidRPr="007E5071" w:rsidRDefault="00B166ED" w:rsidP="00050877">
      <w:pPr>
        <w:pStyle w:val="Tabletext"/>
        <w:rPr>
          <w:sz w:val="18"/>
          <w:szCs w:val="18"/>
        </w:rPr>
      </w:pPr>
      <w:r w:rsidRPr="007E5071">
        <w:rPr>
          <w:sz w:val="18"/>
          <w:szCs w:val="18"/>
          <w:vertAlign w:val="superscript"/>
        </w:rPr>
        <w:t>b</w:t>
      </w:r>
      <w:r w:rsidRPr="007E5071">
        <w:rPr>
          <w:sz w:val="18"/>
          <w:szCs w:val="18"/>
        </w:rPr>
        <w:t xml:space="preserve"> Total cost per patient x % of patients receiving 2L treatment</w:t>
      </w:r>
    </w:p>
    <w:p w:rsidR="00050877" w:rsidRPr="007E5071" w:rsidRDefault="00050877" w:rsidP="00050877">
      <w:pPr>
        <w:pStyle w:val="Tabletext"/>
        <w:rPr>
          <w:sz w:val="18"/>
          <w:szCs w:val="18"/>
        </w:rPr>
      </w:pPr>
      <w:r w:rsidRPr="007E5071">
        <w:rPr>
          <w:sz w:val="18"/>
          <w:szCs w:val="18"/>
        </w:rPr>
        <w:t>Source: Table 54, p 130 of the submission; Excel workbook ‘Elec doc_Section 3_CMA model</w:t>
      </w:r>
      <w:r w:rsidR="00037689" w:rsidRPr="007E5071">
        <w:rPr>
          <w:sz w:val="18"/>
          <w:szCs w:val="18"/>
        </w:rPr>
        <w:t xml:space="preserve"> and</w:t>
      </w:r>
      <w:r w:rsidR="009328B0" w:rsidRPr="007E5071">
        <w:rPr>
          <w:sz w:val="18"/>
          <w:szCs w:val="18"/>
        </w:rPr>
        <w:t xml:space="preserve"> Table 3 </w:t>
      </w:r>
      <w:r w:rsidR="00037689" w:rsidRPr="007E5071">
        <w:rPr>
          <w:sz w:val="18"/>
          <w:szCs w:val="18"/>
        </w:rPr>
        <w:t xml:space="preserve">and Attachment 1_Updated Section3 CMA model – Excel </w:t>
      </w:r>
      <w:r w:rsidR="009328B0" w:rsidRPr="007E5071">
        <w:rPr>
          <w:sz w:val="18"/>
          <w:szCs w:val="18"/>
        </w:rPr>
        <w:t>of the PSCR</w:t>
      </w:r>
    </w:p>
    <w:p w:rsidR="00050877" w:rsidRPr="007E5071" w:rsidRDefault="00050877" w:rsidP="00050877"/>
    <w:p w:rsidR="00EE409E" w:rsidRPr="007E5071" w:rsidRDefault="00EE409E" w:rsidP="00983502">
      <w:pPr>
        <w:pStyle w:val="ListParagraph"/>
        <w:widowControl/>
        <w:numPr>
          <w:ilvl w:val="1"/>
          <w:numId w:val="1"/>
        </w:numPr>
      </w:pPr>
      <w:r w:rsidRPr="007E5071">
        <w:t xml:space="preserve">The PSCR provided a </w:t>
      </w:r>
      <w:r w:rsidR="00556016" w:rsidRPr="007E5071">
        <w:t xml:space="preserve">supplementary </w:t>
      </w:r>
      <w:r w:rsidRPr="007E5071">
        <w:t xml:space="preserve">analysis that provided a comparison when the second-line treatment costs were added to the cost-minimised first-line costs (see Table </w:t>
      </w:r>
      <w:r w:rsidR="00EF7C94" w:rsidRPr="007E5071">
        <w:t>10</w:t>
      </w:r>
      <w:r w:rsidRPr="007E5071">
        <w:t xml:space="preserve"> below). The ESC noted that the second-line treatments received by patients who had received NIVO monotherapy in the first-line (BRAF: 2%, BRAF+MEK: 98%) did not match the second-line treatments proposed in the clinical management algorithm (BRAF: 0%, BRAF+MEK: 65.6%, PD-1: 4.8%, NIVO+IPI: 29.6%)</w:t>
      </w:r>
      <w:r w:rsidR="000C5C7D" w:rsidRPr="007E5071">
        <w:t>, which was based on the results of a clinician survey</w:t>
      </w:r>
      <w:r w:rsidRPr="007E5071">
        <w:t xml:space="preserve">. In addition, the ESC noted that the current PBS restrictions prevent the use of NIVO+IPI following PD-1 </w:t>
      </w:r>
      <w:r w:rsidR="00593619" w:rsidRPr="007E5071">
        <w:t xml:space="preserve">inhibitor </w:t>
      </w:r>
      <w:r w:rsidRPr="007E5071">
        <w:t>monotherapy (IPI monotherapy is allowed). Although the use of BRAF</w:t>
      </w:r>
      <w:r w:rsidRPr="007E5071">
        <w:rPr>
          <w:rFonts w:cs="Calibri"/>
        </w:rPr>
        <w:t>±</w:t>
      </w:r>
      <w:r w:rsidRPr="007E5071">
        <w:t>MEK inhibitor therapy following progression on NIVO monotherapy was consistent with current Australian and international guidelines</w:t>
      </w:r>
      <w:r w:rsidRPr="007E5071">
        <w:rPr>
          <w:vertAlign w:val="superscript"/>
        </w:rPr>
        <w:t>*</w:t>
      </w:r>
      <w:r w:rsidRPr="007E5071">
        <w:t xml:space="preserve">, the ESC proposed two alternate scenarios for second-line therapy following NIVO monotherapy: (i) 65.6% BRAF+MEK inhibitor therapy plus 34.4% IPI monotherapy; and (ii) 100% IPI monotherapy. </w:t>
      </w:r>
    </w:p>
    <w:p w:rsidR="00EE409E" w:rsidRPr="007E5071" w:rsidRDefault="00EE409E" w:rsidP="00983502">
      <w:pPr>
        <w:pStyle w:val="ListParagraph"/>
        <w:widowControl/>
        <w:numPr>
          <w:ilvl w:val="1"/>
          <w:numId w:val="1"/>
        </w:numPr>
      </w:pPr>
      <w:r w:rsidRPr="007E5071">
        <w:t>The ESC identified additional areas of uncertainty with the determination of second-line treatment options, including:</w:t>
      </w:r>
    </w:p>
    <w:p w:rsidR="00EE409E" w:rsidRPr="007E5071" w:rsidRDefault="00EE409E" w:rsidP="00983502">
      <w:pPr>
        <w:pStyle w:val="ListParagraph"/>
        <w:widowControl/>
        <w:numPr>
          <w:ilvl w:val="1"/>
          <w:numId w:val="7"/>
        </w:numPr>
        <w:ind w:left="1077" w:hanging="357"/>
      </w:pPr>
      <w:r w:rsidRPr="007E5071">
        <w:t>The proportions of patients receiving second-line therapies were based on the results of a survey 143 medical oncologists, in which 32 (22%) clinicians responded. The PSCR considered that the survey was representative of the treating population as survey respondents anticipated that they would treat a total of approximately 900 patients per year, which the PSCR calculated to equate to approximately 38% of the total likely patient population. The ESC was concerned that the low response rate to the survey (22%) affected the representativeness of the sample and the generalisability to inform market shares or provide a reliable estimate of future second-line clinical treatment practices; and</w:t>
      </w:r>
    </w:p>
    <w:p w:rsidR="00EE409E" w:rsidRPr="007E5071" w:rsidRDefault="00EE409E" w:rsidP="00983502">
      <w:pPr>
        <w:pStyle w:val="ListParagraph"/>
        <w:widowControl/>
        <w:numPr>
          <w:ilvl w:val="1"/>
          <w:numId w:val="7"/>
        </w:numPr>
        <w:ind w:left="1077" w:hanging="357"/>
      </w:pPr>
      <w:r w:rsidRPr="007E5071">
        <w:t xml:space="preserve">The treatment duration of each second-line therapy was sourced from the May 2018 DUSC review (Table 8). This analysis included 197 patients who were receiving a second drug regimen with immunotherapy, by the prior drug regimen supplied, between January and June 2016. The ESC considered that the generalisability of the treatment duration of second-line therapy results were highly uncertain. </w:t>
      </w:r>
    </w:p>
    <w:p w:rsidR="000C5C7D" w:rsidRPr="007E5071" w:rsidRDefault="000C5C7D" w:rsidP="00983502">
      <w:pPr>
        <w:pStyle w:val="ListParagraph"/>
        <w:widowControl/>
        <w:numPr>
          <w:ilvl w:val="1"/>
          <w:numId w:val="1"/>
        </w:numPr>
      </w:pPr>
      <w:r w:rsidRPr="007E5071">
        <w:t>The results of the cost analysis, incorporating second-line treatment costs and based on the assumed effective AEMP for DAB and TRAM</w:t>
      </w:r>
      <w:r w:rsidR="001F00FD" w:rsidRPr="007E5071">
        <w:t>,</w:t>
      </w:r>
      <w:r w:rsidRPr="007E5071">
        <w:t xml:space="preserve"> are summarised below.</w:t>
      </w:r>
      <w:r w:rsidRPr="007E5071">
        <w:rPr>
          <w:i/>
        </w:rPr>
        <w:t xml:space="preserve"> </w:t>
      </w:r>
    </w:p>
    <w:p w:rsidR="00F3707C" w:rsidRPr="007E5071" w:rsidRDefault="00F3707C" w:rsidP="000C5C7D">
      <w:pPr>
        <w:pStyle w:val="Tableheading0"/>
        <w:keepNext/>
        <w:keepLines/>
        <w:rPr>
          <w:rStyle w:val="CommentReference"/>
          <w:szCs w:val="20"/>
        </w:rPr>
      </w:pPr>
      <w:r w:rsidRPr="007E5071">
        <w:rPr>
          <w:rFonts w:ascii="Arial Narrow" w:hAnsi="Arial Narrow"/>
          <w:sz w:val="20"/>
          <w:szCs w:val="20"/>
        </w:rPr>
        <w:t xml:space="preserve">Table </w:t>
      </w:r>
      <w:r w:rsidR="00E966F6" w:rsidRPr="007E5071">
        <w:rPr>
          <w:rFonts w:ascii="Arial Narrow" w:hAnsi="Arial Narrow"/>
          <w:sz w:val="20"/>
          <w:szCs w:val="20"/>
        </w:rPr>
        <w:t>10</w:t>
      </w:r>
      <w:r w:rsidRPr="007E5071">
        <w:rPr>
          <w:rFonts w:ascii="Arial Narrow" w:hAnsi="Arial Narrow"/>
          <w:sz w:val="20"/>
          <w:szCs w:val="20"/>
        </w:rPr>
        <w:t>: Results of the cost analys</w:t>
      </w:r>
      <w:r w:rsidR="000C5C7D" w:rsidRPr="007E5071">
        <w:rPr>
          <w:rFonts w:ascii="Arial Narrow" w:hAnsi="Arial Narrow"/>
          <w:sz w:val="20"/>
          <w:szCs w:val="20"/>
        </w:rPr>
        <w:t>i</w:t>
      </w:r>
      <w:r w:rsidRPr="007E5071">
        <w:rPr>
          <w:rFonts w:ascii="Arial Narrow" w:hAnsi="Arial Narrow"/>
          <w:sz w:val="20"/>
          <w:szCs w:val="20"/>
        </w:rPr>
        <w:t>s</w:t>
      </w:r>
      <w:r w:rsidR="000C5C7D" w:rsidRPr="007E5071">
        <w:rPr>
          <w:rFonts w:ascii="Arial Narrow" w:hAnsi="Arial Narrow"/>
          <w:sz w:val="20"/>
          <w:szCs w:val="20"/>
        </w:rPr>
        <w:t>, incorporating second-line treatment costs</w:t>
      </w:r>
      <w:r w:rsidRPr="007E5071">
        <w:rPr>
          <w:rFonts w:ascii="Arial Narrow" w:hAnsi="Arial Narrow"/>
          <w:sz w:val="20"/>
          <w:szCs w:val="20"/>
        </w:rPr>
        <w:t xml:space="preserve"> (assumed effective price of DAB+TRAM</w:t>
      </w:r>
      <w:r w:rsidRPr="007E5071">
        <w:rPr>
          <w:rFonts w:ascii="Arial Narrow" w:hAnsi="Arial Narrow"/>
          <w:sz w:val="20"/>
          <w:szCs w:val="20"/>
          <w:vertAlign w:val="superscript"/>
        </w:rPr>
        <w:t>*</w:t>
      </w:r>
      <w:r w:rsidRPr="007E5071">
        <w:rPr>
          <w:rFonts w:ascii="Arial Narrow" w:hAnsi="Arial Narrow"/>
          <w:sz w:val="20"/>
          <w:szCs w:val="20"/>
        </w:rPr>
        <w:t>)</w:t>
      </w: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cost analysis, incorporating second-line treatment costs (assumed effective price of DAB+TRAM*)"/>
      </w:tblPr>
      <w:tblGrid>
        <w:gridCol w:w="1985"/>
        <w:gridCol w:w="1417"/>
        <w:gridCol w:w="1560"/>
        <w:gridCol w:w="1417"/>
        <w:gridCol w:w="1418"/>
        <w:gridCol w:w="1281"/>
      </w:tblGrid>
      <w:tr w:rsidR="000C5C7D" w:rsidRPr="007E5071" w:rsidTr="00D062FF">
        <w:trPr>
          <w:trHeight w:val="218"/>
          <w:tblHeader/>
        </w:trPr>
        <w:tc>
          <w:tcPr>
            <w:tcW w:w="1985" w:type="dxa"/>
            <w:tcBorders>
              <w:bottom w:val="single" w:sz="4" w:space="0" w:color="auto"/>
            </w:tcBorders>
            <w:tcMar>
              <w:left w:w="28" w:type="dxa"/>
              <w:right w:w="28" w:type="dxa"/>
            </w:tcMar>
            <w:vAlign w:val="center"/>
          </w:tcPr>
          <w:p w:rsidR="000C5C7D" w:rsidRPr="007E5071" w:rsidRDefault="000C5C7D" w:rsidP="000C5C7D">
            <w:pPr>
              <w:pStyle w:val="Tabletext"/>
              <w:keepNext/>
              <w:keepLines/>
              <w:tabs>
                <w:tab w:val="right" w:pos="2302"/>
              </w:tabs>
              <w:rPr>
                <w:b/>
              </w:rPr>
            </w:pPr>
            <w:r w:rsidRPr="007E5071">
              <w:rPr>
                <w:b/>
              </w:rPr>
              <w:t>Component</w:t>
            </w:r>
          </w:p>
        </w:tc>
        <w:tc>
          <w:tcPr>
            <w:tcW w:w="4394" w:type="dxa"/>
            <w:gridSpan w:val="3"/>
            <w:tcBorders>
              <w:bottom w:val="single" w:sz="4" w:space="0" w:color="auto"/>
            </w:tcBorders>
            <w:tcMar>
              <w:left w:w="28" w:type="dxa"/>
              <w:right w:w="28" w:type="dxa"/>
            </w:tcMar>
            <w:vAlign w:val="center"/>
          </w:tcPr>
          <w:p w:rsidR="000C5C7D" w:rsidRPr="007E5071" w:rsidRDefault="000C5C7D" w:rsidP="000C5C7D">
            <w:pPr>
              <w:pStyle w:val="Tabletext"/>
              <w:keepNext/>
              <w:keepLines/>
              <w:jc w:val="center"/>
              <w:rPr>
                <w:b/>
              </w:rPr>
            </w:pPr>
            <w:r w:rsidRPr="007E5071">
              <w:rPr>
                <w:b/>
              </w:rPr>
              <w:t>NIVO</w:t>
            </w:r>
          </w:p>
        </w:tc>
        <w:tc>
          <w:tcPr>
            <w:tcW w:w="1418" w:type="dxa"/>
            <w:tcBorders>
              <w:bottom w:val="single" w:sz="4" w:space="0" w:color="auto"/>
            </w:tcBorders>
            <w:tcMar>
              <w:left w:w="28" w:type="dxa"/>
              <w:right w:w="28" w:type="dxa"/>
            </w:tcMar>
            <w:vAlign w:val="center"/>
          </w:tcPr>
          <w:p w:rsidR="000C5C7D" w:rsidRPr="007E5071" w:rsidRDefault="000C5C7D" w:rsidP="000C5C7D">
            <w:pPr>
              <w:pStyle w:val="Tabletext"/>
              <w:keepNext/>
              <w:keepLines/>
              <w:jc w:val="center"/>
              <w:rPr>
                <w:b/>
              </w:rPr>
            </w:pPr>
            <w:r w:rsidRPr="007E5071">
              <w:rPr>
                <w:b/>
              </w:rPr>
              <w:t>NIVO+IPI</w:t>
            </w:r>
          </w:p>
        </w:tc>
        <w:tc>
          <w:tcPr>
            <w:tcW w:w="1281" w:type="dxa"/>
            <w:tcBorders>
              <w:bottom w:val="single" w:sz="4" w:space="0" w:color="auto"/>
            </w:tcBorders>
            <w:tcMar>
              <w:left w:w="28" w:type="dxa"/>
              <w:right w:w="28" w:type="dxa"/>
            </w:tcMar>
            <w:vAlign w:val="center"/>
          </w:tcPr>
          <w:p w:rsidR="000C5C7D" w:rsidRPr="007E5071" w:rsidRDefault="000C5C7D" w:rsidP="000C5C7D">
            <w:pPr>
              <w:pStyle w:val="Tabletext"/>
              <w:keepNext/>
              <w:keepLines/>
              <w:jc w:val="center"/>
              <w:rPr>
                <w:b/>
              </w:rPr>
            </w:pPr>
            <w:r w:rsidRPr="007E5071">
              <w:rPr>
                <w:b/>
              </w:rPr>
              <w:t>DAB+TRAM</w:t>
            </w:r>
          </w:p>
        </w:tc>
      </w:tr>
      <w:tr w:rsidR="00F3707C" w:rsidRPr="007E5071" w:rsidTr="00D062FF">
        <w:trPr>
          <w:tblHeader/>
        </w:trPr>
        <w:tc>
          <w:tcPr>
            <w:tcW w:w="9078" w:type="dxa"/>
            <w:gridSpan w:val="6"/>
            <w:tcBorders>
              <w:top w:val="single" w:sz="4" w:space="0" w:color="auto"/>
            </w:tcBorders>
            <w:tcMar>
              <w:left w:w="28" w:type="dxa"/>
              <w:right w:w="28" w:type="dxa"/>
            </w:tcMar>
            <w:vAlign w:val="center"/>
          </w:tcPr>
          <w:p w:rsidR="00F3707C" w:rsidRPr="007E5071" w:rsidRDefault="00522212" w:rsidP="000C5C7D">
            <w:pPr>
              <w:pStyle w:val="Tabletext"/>
              <w:keepNext/>
              <w:rPr>
                <w:b/>
              </w:rPr>
            </w:pPr>
            <w:r w:rsidRPr="007E5071">
              <w:rPr>
                <w:b/>
              </w:rPr>
              <w:t>First-</w:t>
            </w:r>
            <w:r w:rsidR="00F3707C" w:rsidRPr="007E5071">
              <w:rPr>
                <w:b/>
              </w:rPr>
              <w:t>line treatment costs</w:t>
            </w:r>
          </w:p>
        </w:tc>
      </w:tr>
      <w:tr w:rsidR="00F3707C" w:rsidRPr="007E5071" w:rsidTr="00D062FF">
        <w:trPr>
          <w:tblHeader/>
        </w:trPr>
        <w:tc>
          <w:tcPr>
            <w:tcW w:w="1985" w:type="dxa"/>
            <w:tcMar>
              <w:left w:w="28" w:type="dxa"/>
              <w:right w:w="28" w:type="dxa"/>
            </w:tcMar>
            <w:vAlign w:val="center"/>
          </w:tcPr>
          <w:p w:rsidR="00F3707C" w:rsidRPr="007E5071" w:rsidRDefault="00F3707C" w:rsidP="00722AC2">
            <w:pPr>
              <w:pStyle w:val="Tabletext"/>
              <w:keepNext/>
            </w:pPr>
            <w:r w:rsidRPr="007E5071">
              <w:t>Total 1</w:t>
            </w:r>
            <w:r w:rsidR="00722AC2" w:rsidRPr="007E5071">
              <w:rPr>
                <w:vertAlign w:val="superscript"/>
              </w:rPr>
              <w:t>st</w:t>
            </w:r>
            <w:r w:rsidR="00722AC2" w:rsidRPr="007E5071">
              <w:t>-line</w:t>
            </w:r>
            <w:r w:rsidRPr="007E5071">
              <w:t xml:space="preserve"> costs per course</w:t>
            </w:r>
          </w:p>
        </w:tc>
        <w:tc>
          <w:tcPr>
            <w:tcW w:w="4394" w:type="dxa"/>
            <w:gridSpan w:val="3"/>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418"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281"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r>
      <w:tr w:rsidR="00F3707C" w:rsidRPr="007E5071" w:rsidTr="00D062FF">
        <w:trPr>
          <w:tblHeader/>
        </w:trPr>
        <w:tc>
          <w:tcPr>
            <w:tcW w:w="9078" w:type="dxa"/>
            <w:gridSpan w:val="6"/>
            <w:tcMar>
              <w:left w:w="28" w:type="dxa"/>
              <w:right w:w="28" w:type="dxa"/>
            </w:tcMar>
            <w:vAlign w:val="center"/>
          </w:tcPr>
          <w:p w:rsidR="00F3707C" w:rsidRPr="007E5071" w:rsidRDefault="00522212" w:rsidP="000C5C7D">
            <w:pPr>
              <w:pStyle w:val="Tabletext"/>
              <w:keepNext/>
              <w:rPr>
                <w:b/>
              </w:rPr>
            </w:pPr>
            <w:r w:rsidRPr="007E5071">
              <w:rPr>
                <w:b/>
              </w:rPr>
              <w:t>Second-</w:t>
            </w:r>
            <w:r w:rsidR="00F3707C" w:rsidRPr="007E5071">
              <w:rPr>
                <w:b/>
              </w:rPr>
              <w:t>line treatment costs</w:t>
            </w:r>
          </w:p>
        </w:tc>
      </w:tr>
      <w:tr w:rsidR="00F3707C" w:rsidRPr="007E5071" w:rsidTr="00D062FF">
        <w:trPr>
          <w:tblHeader/>
        </w:trPr>
        <w:tc>
          <w:tcPr>
            <w:tcW w:w="1985" w:type="dxa"/>
            <w:tcMar>
              <w:left w:w="28" w:type="dxa"/>
              <w:right w:w="28" w:type="dxa"/>
            </w:tcMar>
            <w:vAlign w:val="center"/>
          </w:tcPr>
          <w:p w:rsidR="00F3707C" w:rsidRPr="007E5071" w:rsidRDefault="00F3707C" w:rsidP="00722AC2">
            <w:pPr>
              <w:pStyle w:val="Tabletext"/>
              <w:keepNext/>
            </w:pPr>
            <w:r w:rsidRPr="007E5071">
              <w:t>Patients receiving 2</w:t>
            </w:r>
            <w:r w:rsidR="00722AC2" w:rsidRPr="007E5071">
              <w:rPr>
                <w:vertAlign w:val="superscript"/>
              </w:rPr>
              <w:t>nd</w:t>
            </w:r>
            <w:r w:rsidR="00722AC2" w:rsidRPr="007E5071">
              <w:t>-line</w:t>
            </w:r>
            <w:r w:rsidRPr="007E5071">
              <w:t xml:space="preserve"> therapy (%)</w:t>
            </w:r>
          </w:p>
        </w:tc>
        <w:tc>
          <w:tcPr>
            <w:tcW w:w="4394" w:type="dxa"/>
            <w:gridSpan w:val="3"/>
            <w:tcMar>
              <w:left w:w="28" w:type="dxa"/>
              <w:right w:w="28" w:type="dxa"/>
            </w:tcMar>
            <w:vAlign w:val="center"/>
          </w:tcPr>
          <w:p w:rsidR="00F3707C" w:rsidRPr="007E5071" w:rsidRDefault="00F3707C" w:rsidP="000C5C7D">
            <w:pPr>
              <w:pStyle w:val="Tabletext"/>
              <w:keepNext/>
              <w:jc w:val="center"/>
            </w:pPr>
            <w:r w:rsidRPr="007E5071">
              <w:t>46%</w:t>
            </w:r>
          </w:p>
        </w:tc>
        <w:tc>
          <w:tcPr>
            <w:tcW w:w="1418" w:type="dxa"/>
            <w:tcMar>
              <w:left w:w="28" w:type="dxa"/>
              <w:right w:w="28" w:type="dxa"/>
            </w:tcMar>
            <w:vAlign w:val="center"/>
          </w:tcPr>
          <w:p w:rsidR="00F3707C" w:rsidRPr="007E5071" w:rsidRDefault="00F3707C" w:rsidP="000C5C7D">
            <w:pPr>
              <w:pStyle w:val="Tabletext"/>
              <w:keepNext/>
              <w:jc w:val="center"/>
            </w:pPr>
            <w:r w:rsidRPr="007E5071">
              <w:t>31%</w:t>
            </w:r>
          </w:p>
        </w:tc>
        <w:tc>
          <w:tcPr>
            <w:tcW w:w="1281" w:type="dxa"/>
            <w:tcMar>
              <w:left w:w="28" w:type="dxa"/>
              <w:right w:w="28" w:type="dxa"/>
            </w:tcMar>
            <w:vAlign w:val="center"/>
          </w:tcPr>
          <w:p w:rsidR="00F3707C" w:rsidRPr="007E5071" w:rsidRDefault="00F3707C" w:rsidP="000C5C7D">
            <w:pPr>
              <w:pStyle w:val="Tabletext"/>
              <w:keepNext/>
              <w:jc w:val="center"/>
            </w:pPr>
            <w:r w:rsidRPr="007E5071">
              <w:t>46%</w:t>
            </w:r>
          </w:p>
        </w:tc>
      </w:tr>
      <w:tr w:rsidR="0082252F" w:rsidRPr="007E5071" w:rsidTr="00D062FF">
        <w:trPr>
          <w:tblHeader/>
        </w:trPr>
        <w:tc>
          <w:tcPr>
            <w:tcW w:w="1985" w:type="dxa"/>
            <w:tcMar>
              <w:left w:w="28" w:type="dxa"/>
              <w:right w:w="28" w:type="dxa"/>
            </w:tcMar>
            <w:vAlign w:val="center"/>
          </w:tcPr>
          <w:p w:rsidR="00F3707C" w:rsidRPr="007E5071" w:rsidRDefault="00F3707C" w:rsidP="00722AC2">
            <w:pPr>
              <w:pStyle w:val="Tabletext"/>
              <w:keepNext/>
            </w:pPr>
            <w:r w:rsidRPr="007E5071">
              <w:t>2</w:t>
            </w:r>
            <w:r w:rsidR="00722AC2" w:rsidRPr="007E5071">
              <w:rPr>
                <w:vertAlign w:val="superscript"/>
              </w:rPr>
              <w:t>nd</w:t>
            </w:r>
            <w:r w:rsidR="00722AC2" w:rsidRPr="007E5071">
              <w:t>-line</w:t>
            </w:r>
            <w:r w:rsidRPr="007E5071">
              <w:t xml:space="preserve"> treatment received</w:t>
            </w:r>
          </w:p>
        </w:tc>
        <w:tc>
          <w:tcPr>
            <w:tcW w:w="1417" w:type="dxa"/>
            <w:tcMar>
              <w:left w:w="28" w:type="dxa"/>
              <w:right w:w="28" w:type="dxa"/>
            </w:tcMar>
            <w:vAlign w:val="center"/>
          </w:tcPr>
          <w:p w:rsidR="00F3707C" w:rsidRPr="007E5071" w:rsidRDefault="00F3707C" w:rsidP="000C5C7D">
            <w:pPr>
              <w:pStyle w:val="Tabletext"/>
              <w:keepNext/>
              <w:jc w:val="center"/>
            </w:pPr>
            <w:r w:rsidRPr="007E5071">
              <w:t>PSCR:</w:t>
            </w:r>
          </w:p>
          <w:p w:rsidR="00F3707C" w:rsidRPr="007E5071" w:rsidRDefault="00F3707C" w:rsidP="000C5C7D">
            <w:pPr>
              <w:pStyle w:val="Tabletext"/>
              <w:keepNext/>
              <w:jc w:val="center"/>
            </w:pPr>
            <w:r w:rsidRPr="007E5071">
              <w:t>BRAF: 2%</w:t>
            </w:r>
          </w:p>
          <w:p w:rsidR="00F3707C" w:rsidRPr="007E5071" w:rsidRDefault="00F3707C" w:rsidP="000C5C7D">
            <w:pPr>
              <w:pStyle w:val="Tabletext"/>
              <w:keepNext/>
              <w:jc w:val="center"/>
            </w:pPr>
            <w:r w:rsidRPr="007E5071">
              <w:t>BRAF</w:t>
            </w:r>
            <w:r w:rsidR="000C5C7D" w:rsidRPr="007E5071">
              <w:t>+</w:t>
            </w:r>
            <w:r w:rsidRPr="007E5071">
              <w:t>MEK: 98%</w:t>
            </w:r>
          </w:p>
        </w:tc>
        <w:tc>
          <w:tcPr>
            <w:tcW w:w="1560" w:type="dxa"/>
            <w:tcMar>
              <w:left w:w="28" w:type="dxa"/>
              <w:right w:w="28" w:type="dxa"/>
            </w:tcMar>
            <w:vAlign w:val="center"/>
          </w:tcPr>
          <w:p w:rsidR="00F3707C" w:rsidRPr="007E5071" w:rsidRDefault="00F3707C" w:rsidP="000C5C7D">
            <w:pPr>
              <w:pStyle w:val="Tabletext"/>
              <w:keepNext/>
              <w:jc w:val="center"/>
            </w:pPr>
            <w:r w:rsidRPr="007E5071">
              <w:t>ESC scenario 1:</w:t>
            </w:r>
          </w:p>
          <w:p w:rsidR="00F3707C" w:rsidRPr="007E5071" w:rsidRDefault="000C5C7D" w:rsidP="000C5C7D">
            <w:pPr>
              <w:pStyle w:val="Tabletext"/>
              <w:keepNext/>
              <w:jc w:val="center"/>
            </w:pPr>
            <w:r w:rsidRPr="007E5071">
              <w:t>BRAF+</w:t>
            </w:r>
            <w:r w:rsidR="00F3707C" w:rsidRPr="007E5071">
              <w:t xml:space="preserve">MEK: 65.6%, </w:t>
            </w:r>
          </w:p>
          <w:p w:rsidR="00F3707C" w:rsidRPr="007E5071" w:rsidRDefault="00F3707C" w:rsidP="000C5C7D">
            <w:pPr>
              <w:pStyle w:val="Tabletext"/>
              <w:keepNext/>
              <w:jc w:val="center"/>
            </w:pPr>
            <w:r w:rsidRPr="007E5071">
              <w:t>IPI: 34.4%</w:t>
            </w:r>
          </w:p>
        </w:tc>
        <w:tc>
          <w:tcPr>
            <w:tcW w:w="1417" w:type="dxa"/>
            <w:tcMar>
              <w:left w:w="28" w:type="dxa"/>
              <w:right w:w="28" w:type="dxa"/>
            </w:tcMar>
          </w:tcPr>
          <w:p w:rsidR="00F3707C" w:rsidRPr="007E5071" w:rsidRDefault="00F3707C" w:rsidP="000C5C7D">
            <w:pPr>
              <w:pStyle w:val="Tabletext"/>
              <w:keepNext/>
              <w:jc w:val="center"/>
            </w:pPr>
            <w:r w:rsidRPr="007E5071">
              <w:t>ESC scenario 2:</w:t>
            </w:r>
          </w:p>
          <w:p w:rsidR="00F3707C" w:rsidRPr="007E5071" w:rsidRDefault="00F3707C" w:rsidP="000C5C7D">
            <w:pPr>
              <w:pStyle w:val="Tabletext"/>
              <w:keepNext/>
              <w:jc w:val="center"/>
            </w:pPr>
            <w:r w:rsidRPr="007E5071">
              <w:t xml:space="preserve">IPI: 100% </w:t>
            </w:r>
            <w:r w:rsidRPr="007E5071">
              <w:br/>
              <w:t>(4 doses/patient)</w:t>
            </w:r>
          </w:p>
        </w:tc>
        <w:tc>
          <w:tcPr>
            <w:tcW w:w="1418" w:type="dxa"/>
            <w:tcMar>
              <w:left w:w="28" w:type="dxa"/>
              <w:right w:w="28" w:type="dxa"/>
            </w:tcMar>
            <w:vAlign w:val="center"/>
          </w:tcPr>
          <w:p w:rsidR="00F3707C" w:rsidRPr="007E5071" w:rsidRDefault="00F3707C" w:rsidP="000C5C7D">
            <w:pPr>
              <w:pStyle w:val="Tabletext"/>
              <w:keepNext/>
              <w:jc w:val="center"/>
            </w:pPr>
            <w:r w:rsidRPr="007E5071">
              <w:t>BRAF: 2%</w:t>
            </w:r>
          </w:p>
          <w:p w:rsidR="00F3707C" w:rsidRPr="007E5071" w:rsidRDefault="000C5C7D" w:rsidP="000C5C7D">
            <w:pPr>
              <w:pStyle w:val="Tabletext"/>
              <w:keepNext/>
              <w:jc w:val="center"/>
            </w:pPr>
            <w:r w:rsidRPr="007E5071">
              <w:t>BRAF+</w:t>
            </w:r>
            <w:r w:rsidR="00F3707C" w:rsidRPr="007E5071">
              <w:t>MEK: 98%</w:t>
            </w:r>
          </w:p>
        </w:tc>
        <w:tc>
          <w:tcPr>
            <w:tcW w:w="1281" w:type="dxa"/>
            <w:tcMar>
              <w:left w:w="28" w:type="dxa"/>
              <w:right w:w="28" w:type="dxa"/>
            </w:tcMar>
            <w:vAlign w:val="center"/>
          </w:tcPr>
          <w:p w:rsidR="00F3707C" w:rsidRPr="007E5071" w:rsidRDefault="00F3707C" w:rsidP="000C5C7D">
            <w:pPr>
              <w:pStyle w:val="Tabletext"/>
              <w:keepNext/>
              <w:jc w:val="center"/>
            </w:pPr>
            <w:r w:rsidRPr="007E5071">
              <w:t>PD-1: 41%</w:t>
            </w:r>
          </w:p>
          <w:p w:rsidR="00F3707C" w:rsidRPr="007E5071" w:rsidRDefault="00F3707C" w:rsidP="000C5C7D">
            <w:pPr>
              <w:pStyle w:val="Tabletext"/>
              <w:keepNext/>
              <w:jc w:val="center"/>
            </w:pPr>
            <w:r w:rsidRPr="007E5071">
              <w:t>NIVO+IPI: 59%</w:t>
            </w:r>
          </w:p>
        </w:tc>
      </w:tr>
      <w:tr w:rsidR="0082252F" w:rsidRPr="007E5071" w:rsidTr="00D062FF">
        <w:trPr>
          <w:trHeight w:val="331"/>
          <w:tblHeader/>
        </w:trPr>
        <w:tc>
          <w:tcPr>
            <w:tcW w:w="1985" w:type="dxa"/>
            <w:tcMar>
              <w:left w:w="28" w:type="dxa"/>
              <w:right w:w="28" w:type="dxa"/>
            </w:tcMar>
            <w:vAlign w:val="center"/>
          </w:tcPr>
          <w:p w:rsidR="00F3707C" w:rsidRPr="007E5071" w:rsidRDefault="00F3707C" w:rsidP="00722AC2">
            <w:pPr>
              <w:pStyle w:val="Tabletext"/>
              <w:keepNext/>
            </w:pPr>
            <w:r w:rsidRPr="007E5071">
              <w:t>Weighted EMP per 2</w:t>
            </w:r>
            <w:r w:rsidR="00722AC2" w:rsidRPr="007E5071">
              <w:rPr>
                <w:vertAlign w:val="superscript"/>
              </w:rPr>
              <w:t>nd</w:t>
            </w:r>
            <w:r w:rsidR="00722AC2" w:rsidRPr="007E5071">
              <w:t>-line</w:t>
            </w:r>
            <w:r w:rsidRPr="007E5071">
              <w:t xml:space="preserve"> treatment (per patient)</w:t>
            </w:r>
          </w:p>
        </w:tc>
        <w:tc>
          <w:tcPr>
            <w:tcW w:w="1417"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560"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417"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418"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281"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r>
      <w:tr w:rsidR="0082252F" w:rsidRPr="007E5071" w:rsidTr="00D062FF">
        <w:trPr>
          <w:tblHeader/>
        </w:trPr>
        <w:tc>
          <w:tcPr>
            <w:tcW w:w="1985" w:type="dxa"/>
            <w:tcMar>
              <w:left w:w="28" w:type="dxa"/>
              <w:right w:w="28" w:type="dxa"/>
            </w:tcMar>
            <w:vAlign w:val="center"/>
          </w:tcPr>
          <w:p w:rsidR="00F3707C" w:rsidRPr="007E5071" w:rsidRDefault="00F3707C" w:rsidP="000C5C7D">
            <w:pPr>
              <w:pStyle w:val="Tabletext"/>
              <w:keepNext/>
            </w:pPr>
            <w:r w:rsidRPr="007E5071">
              <w:t>Administration costs (per patient)</w:t>
            </w:r>
          </w:p>
        </w:tc>
        <w:tc>
          <w:tcPr>
            <w:tcW w:w="1417" w:type="dxa"/>
            <w:tcMar>
              <w:left w:w="28" w:type="dxa"/>
              <w:right w:w="28" w:type="dxa"/>
            </w:tcMar>
            <w:vAlign w:val="center"/>
          </w:tcPr>
          <w:p w:rsidR="00F3707C" w:rsidRPr="007E5071" w:rsidRDefault="00F3707C" w:rsidP="000C5C7D">
            <w:pPr>
              <w:pStyle w:val="Tabletext"/>
              <w:keepNext/>
              <w:jc w:val="center"/>
            </w:pPr>
            <w:r w:rsidRPr="007E5071">
              <w:t>$0</w:t>
            </w:r>
          </w:p>
        </w:tc>
        <w:tc>
          <w:tcPr>
            <w:tcW w:w="1560"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417"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c>
          <w:tcPr>
            <w:tcW w:w="1418" w:type="dxa"/>
            <w:tcMar>
              <w:left w:w="28" w:type="dxa"/>
              <w:right w:w="28" w:type="dxa"/>
            </w:tcMar>
            <w:vAlign w:val="center"/>
          </w:tcPr>
          <w:p w:rsidR="00F3707C" w:rsidRPr="007E5071" w:rsidRDefault="00F3707C" w:rsidP="000C5C7D">
            <w:pPr>
              <w:pStyle w:val="Tabletext"/>
              <w:keepNext/>
              <w:jc w:val="center"/>
            </w:pPr>
            <w:r w:rsidRPr="007E5071">
              <w:t>$0</w:t>
            </w:r>
          </w:p>
        </w:tc>
        <w:tc>
          <w:tcPr>
            <w:tcW w:w="1281" w:type="dxa"/>
            <w:tcMar>
              <w:left w:w="28" w:type="dxa"/>
              <w:right w:w="28" w:type="dxa"/>
            </w:tcMar>
            <w:vAlign w:val="center"/>
          </w:tcPr>
          <w:p w:rsidR="00F3707C" w:rsidRPr="007E5071" w:rsidRDefault="00F3707C" w:rsidP="000C5C7D">
            <w:pPr>
              <w:pStyle w:val="Tabletext"/>
              <w:keepNext/>
              <w:jc w:val="center"/>
            </w:pPr>
            <w:r w:rsidRPr="007E5071">
              <w:t>$</w:t>
            </w:r>
            <w:r w:rsidR="00BF12D4">
              <w:rPr>
                <w:noProof/>
                <w:color w:val="000000"/>
                <w:highlight w:val="black"/>
              </w:rPr>
              <w:t>'''''''''''''''</w:t>
            </w:r>
          </w:p>
        </w:tc>
      </w:tr>
      <w:tr w:rsidR="0082252F" w:rsidRPr="007E5071" w:rsidTr="00D062FF">
        <w:trPr>
          <w:tblHeader/>
        </w:trPr>
        <w:tc>
          <w:tcPr>
            <w:tcW w:w="1985" w:type="dxa"/>
            <w:tcMar>
              <w:left w:w="28" w:type="dxa"/>
              <w:right w:w="28" w:type="dxa"/>
            </w:tcMar>
            <w:vAlign w:val="center"/>
          </w:tcPr>
          <w:p w:rsidR="00F3707C" w:rsidRPr="007E5071" w:rsidRDefault="00F3707C" w:rsidP="00624F07">
            <w:pPr>
              <w:pStyle w:val="Tabletext"/>
            </w:pPr>
            <w:r w:rsidRPr="007E5071">
              <w:t>Incremental AE costs (per patient)</w:t>
            </w:r>
          </w:p>
        </w:tc>
        <w:tc>
          <w:tcPr>
            <w:tcW w:w="1417" w:type="dxa"/>
            <w:tcMar>
              <w:left w:w="28" w:type="dxa"/>
              <w:right w:w="28" w:type="dxa"/>
            </w:tcMar>
            <w:vAlign w:val="center"/>
          </w:tcPr>
          <w:p w:rsidR="00F3707C" w:rsidRPr="007E5071" w:rsidRDefault="00F3707C" w:rsidP="00624F07">
            <w:pPr>
              <w:pStyle w:val="Tabletext"/>
              <w:jc w:val="center"/>
            </w:pPr>
            <w:r w:rsidRPr="007E5071">
              <w:t>$0</w:t>
            </w:r>
          </w:p>
        </w:tc>
        <w:tc>
          <w:tcPr>
            <w:tcW w:w="1560" w:type="dxa"/>
            <w:tcMar>
              <w:left w:w="28" w:type="dxa"/>
              <w:right w:w="28" w:type="dxa"/>
            </w:tcMar>
            <w:vAlign w:val="center"/>
          </w:tcPr>
          <w:p w:rsidR="00F3707C" w:rsidRPr="007E5071" w:rsidRDefault="00F3707C" w:rsidP="00624F07">
            <w:pPr>
              <w:pStyle w:val="Tabletext"/>
              <w:jc w:val="center"/>
            </w:pPr>
            <w:r w:rsidRPr="007E5071">
              <w:t>$0</w:t>
            </w:r>
            <w:r w:rsidRPr="007E5071">
              <w:rPr>
                <w:vertAlign w:val="superscript"/>
              </w:rPr>
              <w:t>a</w:t>
            </w:r>
          </w:p>
        </w:tc>
        <w:tc>
          <w:tcPr>
            <w:tcW w:w="1417" w:type="dxa"/>
            <w:tcMar>
              <w:left w:w="28" w:type="dxa"/>
              <w:right w:w="28" w:type="dxa"/>
            </w:tcMar>
            <w:vAlign w:val="center"/>
          </w:tcPr>
          <w:p w:rsidR="00F3707C" w:rsidRPr="007E5071" w:rsidRDefault="00F3707C" w:rsidP="00624F07">
            <w:pPr>
              <w:pStyle w:val="Tabletext"/>
              <w:jc w:val="center"/>
            </w:pPr>
            <w:r w:rsidRPr="007E5071">
              <w:t>$0</w:t>
            </w:r>
            <w:r w:rsidRPr="007E5071">
              <w:rPr>
                <w:vertAlign w:val="superscript"/>
              </w:rPr>
              <w:t>a</w:t>
            </w:r>
          </w:p>
        </w:tc>
        <w:tc>
          <w:tcPr>
            <w:tcW w:w="1418" w:type="dxa"/>
            <w:tcMar>
              <w:left w:w="28" w:type="dxa"/>
              <w:right w:w="28" w:type="dxa"/>
            </w:tcMar>
            <w:vAlign w:val="center"/>
          </w:tcPr>
          <w:p w:rsidR="00F3707C" w:rsidRPr="007E5071" w:rsidRDefault="00F3707C" w:rsidP="00624F07">
            <w:pPr>
              <w:pStyle w:val="Tabletext"/>
              <w:jc w:val="center"/>
            </w:pPr>
            <w:r w:rsidRPr="007E5071">
              <w:t>$0</w:t>
            </w:r>
          </w:p>
        </w:tc>
        <w:tc>
          <w:tcPr>
            <w:tcW w:w="1281" w:type="dxa"/>
            <w:tcMar>
              <w:left w:w="28" w:type="dxa"/>
              <w:right w:w="28" w:type="dxa"/>
            </w:tcMar>
            <w:vAlign w:val="center"/>
          </w:tcPr>
          <w:p w:rsidR="00F3707C" w:rsidRPr="007E5071" w:rsidRDefault="00F3707C" w:rsidP="00624F07">
            <w:pPr>
              <w:pStyle w:val="Tabletext"/>
              <w:jc w:val="center"/>
            </w:pPr>
            <w:r w:rsidRPr="007E5071">
              <w:t>$</w:t>
            </w:r>
            <w:r w:rsidR="00BF12D4">
              <w:rPr>
                <w:noProof/>
                <w:color w:val="000000"/>
                <w:highlight w:val="black"/>
              </w:rPr>
              <w:t>''''''''''''''''</w:t>
            </w:r>
          </w:p>
        </w:tc>
      </w:tr>
      <w:tr w:rsidR="0082252F" w:rsidRPr="007E5071" w:rsidTr="00D062FF">
        <w:trPr>
          <w:tblHeader/>
        </w:trPr>
        <w:tc>
          <w:tcPr>
            <w:tcW w:w="1985" w:type="dxa"/>
            <w:tcMar>
              <w:left w:w="28" w:type="dxa"/>
              <w:right w:w="28" w:type="dxa"/>
            </w:tcMar>
            <w:vAlign w:val="center"/>
          </w:tcPr>
          <w:p w:rsidR="00F3707C" w:rsidRPr="007E5071" w:rsidRDefault="00F3707C" w:rsidP="00722AC2">
            <w:pPr>
              <w:pStyle w:val="Tabletext"/>
            </w:pPr>
            <w:r w:rsidRPr="007E5071">
              <w:t>Total costs per 2</w:t>
            </w:r>
            <w:r w:rsidR="00722AC2" w:rsidRPr="007E5071">
              <w:rPr>
                <w:vertAlign w:val="superscript"/>
              </w:rPr>
              <w:t>nd</w:t>
            </w:r>
            <w:r w:rsidR="00722AC2" w:rsidRPr="007E5071">
              <w:t>-line</w:t>
            </w:r>
            <w:r w:rsidRPr="007E5071">
              <w:t xml:space="preserve"> course</w:t>
            </w:r>
            <w:r w:rsidRPr="007E5071">
              <w:rPr>
                <w:vertAlign w:val="superscript"/>
              </w:rPr>
              <w:t>b</w:t>
            </w:r>
          </w:p>
        </w:tc>
        <w:tc>
          <w:tcPr>
            <w:tcW w:w="1417" w:type="dxa"/>
            <w:tcMar>
              <w:left w:w="28" w:type="dxa"/>
              <w:right w:w="28" w:type="dxa"/>
            </w:tcMar>
            <w:vAlign w:val="center"/>
          </w:tcPr>
          <w:p w:rsidR="00F3707C" w:rsidRPr="007E5071" w:rsidRDefault="00F3707C" w:rsidP="00624F07">
            <w:pPr>
              <w:pStyle w:val="Tabletext"/>
              <w:jc w:val="center"/>
            </w:pPr>
            <w:r w:rsidRPr="007E5071">
              <w:t>$</w:t>
            </w:r>
            <w:r w:rsidR="00BF12D4">
              <w:rPr>
                <w:noProof/>
                <w:color w:val="000000"/>
                <w:highlight w:val="black"/>
              </w:rPr>
              <w:t>''''''''''''''''''''''</w:t>
            </w:r>
          </w:p>
        </w:tc>
        <w:tc>
          <w:tcPr>
            <w:tcW w:w="1560" w:type="dxa"/>
            <w:tcMar>
              <w:left w:w="28" w:type="dxa"/>
              <w:right w:w="28" w:type="dxa"/>
            </w:tcMar>
            <w:vAlign w:val="center"/>
          </w:tcPr>
          <w:p w:rsidR="00F3707C" w:rsidRPr="007E5071" w:rsidRDefault="00F3707C" w:rsidP="00624F07">
            <w:pPr>
              <w:pStyle w:val="Tabletext"/>
              <w:jc w:val="center"/>
            </w:pPr>
            <w:r w:rsidRPr="007E5071">
              <w:t>$</w:t>
            </w:r>
            <w:r w:rsidR="00BF12D4">
              <w:rPr>
                <w:noProof/>
                <w:color w:val="000000"/>
                <w:highlight w:val="black"/>
              </w:rPr>
              <w:t>''''''''''''''''''''''''</w:t>
            </w:r>
          </w:p>
        </w:tc>
        <w:tc>
          <w:tcPr>
            <w:tcW w:w="1417" w:type="dxa"/>
            <w:tcMar>
              <w:left w:w="28" w:type="dxa"/>
              <w:right w:w="28" w:type="dxa"/>
            </w:tcMar>
            <w:vAlign w:val="center"/>
          </w:tcPr>
          <w:p w:rsidR="00F3707C" w:rsidRPr="007E5071" w:rsidRDefault="00F3707C" w:rsidP="00624F07">
            <w:pPr>
              <w:pStyle w:val="Tabletext"/>
              <w:jc w:val="center"/>
            </w:pPr>
            <w:r w:rsidRPr="007E5071">
              <w:t>$</w:t>
            </w:r>
            <w:r w:rsidR="00BF12D4">
              <w:rPr>
                <w:noProof/>
                <w:color w:val="000000"/>
                <w:highlight w:val="black"/>
              </w:rPr>
              <w:t>'''''''''''''''''''''''</w:t>
            </w:r>
          </w:p>
        </w:tc>
        <w:tc>
          <w:tcPr>
            <w:tcW w:w="1418" w:type="dxa"/>
            <w:tcMar>
              <w:left w:w="28" w:type="dxa"/>
              <w:right w:w="28" w:type="dxa"/>
            </w:tcMar>
            <w:vAlign w:val="center"/>
          </w:tcPr>
          <w:p w:rsidR="00F3707C" w:rsidRPr="007E5071" w:rsidRDefault="00F3707C" w:rsidP="00624F07">
            <w:pPr>
              <w:pStyle w:val="Tabletext"/>
              <w:jc w:val="center"/>
            </w:pPr>
            <w:r w:rsidRPr="007E5071">
              <w:t>$</w:t>
            </w:r>
            <w:r w:rsidR="00BF12D4">
              <w:rPr>
                <w:noProof/>
                <w:color w:val="000000"/>
                <w:highlight w:val="black"/>
              </w:rPr>
              <w:t>'''''''''''''''''''''</w:t>
            </w:r>
          </w:p>
        </w:tc>
        <w:tc>
          <w:tcPr>
            <w:tcW w:w="1281" w:type="dxa"/>
            <w:tcMar>
              <w:left w:w="28" w:type="dxa"/>
              <w:right w:w="28" w:type="dxa"/>
            </w:tcMar>
            <w:vAlign w:val="center"/>
          </w:tcPr>
          <w:p w:rsidR="00F3707C" w:rsidRPr="007E5071" w:rsidRDefault="00F3707C" w:rsidP="00624F07">
            <w:pPr>
              <w:pStyle w:val="Tabletext"/>
              <w:jc w:val="center"/>
            </w:pPr>
            <w:r w:rsidRPr="007E5071">
              <w:t>$</w:t>
            </w:r>
            <w:r w:rsidR="00BF12D4">
              <w:rPr>
                <w:noProof/>
                <w:color w:val="000000"/>
                <w:highlight w:val="black"/>
              </w:rPr>
              <w:t>'''''''''''''''''''''''</w:t>
            </w:r>
          </w:p>
        </w:tc>
      </w:tr>
      <w:tr w:rsidR="0082252F" w:rsidRPr="007E5071" w:rsidTr="00D062FF">
        <w:trPr>
          <w:tblHeader/>
        </w:trPr>
        <w:tc>
          <w:tcPr>
            <w:tcW w:w="1985" w:type="dxa"/>
            <w:tcMar>
              <w:left w:w="28" w:type="dxa"/>
              <w:right w:w="28" w:type="dxa"/>
            </w:tcMar>
            <w:vAlign w:val="center"/>
          </w:tcPr>
          <w:p w:rsidR="00F3707C" w:rsidRPr="007E5071" w:rsidRDefault="00F3707C" w:rsidP="00722AC2">
            <w:pPr>
              <w:pStyle w:val="Tabletext"/>
              <w:rPr>
                <w:b/>
              </w:rPr>
            </w:pPr>
            <w:r w:rsidRPr="007E5071">
              <w:rPr>
                <w:b/>
              </w:rPr>
              <w:t xml:space="preserve">Total cost of therapy </w:t>
            </w:r>
            <w:r w:rsidR="00722AC2" w:rsidRPr="007E5071">
              <w:rPr>
                <w:b/>
              </w:rPr>
              <w:br/>
            </w:r>
            <w:r w:rsidRPr="007E5071">
              <w:rPr>
                <w:b/>
              </w:rPr>
              <w:t>(</w:t>
            </w:r>
            <w:r w:rsidR="00722AC2" w:rsidRPr="007E5071">
              <w:rPr>
                <w:b/>
              </w:rPr>
              <w:t>1</w:t>
            </w:r>
            <w:r w:rsidR="00722AC2" w:rsidRPr="007E5071">
              <w:rPr>
                <w:b/>
                <w:vertAlign w:val="superscript"/>
              </w:rPr>
              <w:t>st</w:t>
            </w:r>
            <w:r w:rsidR="00722AC2" w:rsidRPr="007E5071">
              <w:rPr>
                <w:b/>
              </w:rPr>
              <w:t xml:space="preserve"> and 2</w:t>
            </w:r>
            <w:r w:rsidR="00722AC2" w:rsidRPr="007E5071">
              <w:rPr>
                <w:b/>
                <w:vertAlign w:val="superscript"/>
              </w:rPr>
              <w:t>nd</w:t>
            </w:r>
            <w:r w:rsidR="00722AC2" w:rsidRPr="007E5071">
              <w:rPr>
                <w:b/>
              </w:rPr>
              <w:t xml:space="preserve"> line</w:t>
            </w:r>
            <w:r w:rsidRPr="007E5071">
              <w:rPr>
                <w:b/>
              </w:rPr>
              <w:t>)</w:t>
            </w:r>
          </w:p>
        </w:tc>
        <w:tc>
          <w:tcPr>
            <w:tcW w:w="1417" w:type="dxa"/>
            <w:tcMar>
              <w:left w:w="28" w:type="dxa"/>
              <w:right w:w="28" w:type="dxa"/>
            </w:tcMar>
            <w:vAlign w:val="center"/>
          </w:tcPr>
          <w:p w:rsidR="00F3707C" w:rsidRPr="007E5071" w:rsidRDefault="00F3707C" w:rsidP="00624F07">
            <w:pPr>
              <w:pStyle w:val="Tabletext"/>
              <w:jc w:val="center"/>
              <w:rPr>
                <w:b/>
              </w:rPr>
            </w:pPr>
            <w:r w:rsidRPr="007E5071">
              <w:rPr>
                <w:b/>
              </w:rPr>
              <w:t>$</w:t>
            </w:r>
            <w:r w:rsidR="00BF12D4">
              <w:rPr>
                <w:b/>
                <w:noProof/>
                <w:color w:val="000000"/>
                <w:highlight w:val="black"/>
              </w:rPr>
              <w:t>'''''''''''''''''''</w:t>
            </w:r>
          </w:p>
        </w:tc>
        <w:tc>
          <w:tcPr>
            <w:tcW w:w="1560" w:type="dxa"/>
            <w:tcMar>
              <w:left w:w="28" w:type="dxa"/>
              <w:right w:w="28" w:type="dxa"/>
            </w:tcMar>
            <w:vAlign w:val="center"/>
          </w:tcPr>
          <w:p w:rsidR="00F3707C" w:rsidRPr="007E5071" w:rsidRDefault="00F3707C" w:rsidP="00624F07">
            <w:pPr>
              <w:pStyle w:val="Tabletext"/>
              <w:jc w:val="center"/>
              <w:rPr>
                <w:b/>
              </w:rPr>
            </w:pPr>
            <w:r w:rsidRPr="007E5071">
              <w:rPr>
                <w:b/>
              </w:rPr>
              <w:t>$</w:t>
            </w:r>
            <w:r w:rsidR="00BF12D4">
              <w:rPr>
                <w:b/>
                <w:noProof/>
                <w:color w:val="000000"/>
                <w:highlight w:val="black"/>
              </w:rPr>
              <w:t>'''''''''''''''''''''</w:t>
            </w:r>
          </w:p>
        </w:tc>
        <w:tc>
          <w:tcPr>
            <w:tcW w:w="1417" w:type="dxa"/>
            <w:tcMar>
              <w:left w:w="28" w:type="dxa"/>
              <w:right w:w="28" w:type="dxa"/>
            </w:tcMar>
            <w:vAlign w:val="center"/>
          </w:tcPr>
          <w:p w:rsidR="00F3707C" w:rsidRPr="007E5071" w:rsidRDefault="00F3707C" w:rsidP="00624F07">
            <w:pPr>
              <w:pStyle w:val="Tabletext"/>
              <w:jc w:val="center"/>
              <w:rPr>
                <w:b/>
              </w:rPr>
            </w:pPr>
            <w:r w:rsidRPr="007E5071">
              <w:rPr>
                <w:b/>
              </w:rPr>
              <w:t xml:space="preserve"> $</w:t>
            </w:r>
            <w:r w:rsidR="00BF12D4">
              <w:rPr>
                <w:b/>
                <w:noProof/>
                <w:color w:val="000000"/>
                <w:highlight w:val="black"/>
              </w:rPr>
              <w:t>''''''''''''''''''</w:t>
            </w:r>
          </w:p>
        </w:tc>
        <w:tc>
          <w:tcPr>
            <w:tcW w:w="1418" w:type="dxa"/>
            <w:tcMar>
              <w:left w:w="28" w:type="dxa"/>
              <w:right w:w="28" w:type="dxa"/>
            </w:tcMar>
            <w:vAlign w:val="center"/>
          </w:tcPr>
          <w:p w:rsidR="00F3707C" w:rsidRPr="007E5071" w:rsidRDefault="00F3707C" w:rsidP="00624F07">
            <w:pPr>
              <w:pStyle w:val="Tabletext"/>
              <w:jc w:val="center"/>
            </w:pPr>
            <w:r w:rsidRPr="007E5071">
              <w:rPr>
                <w:b/>
              </w:rPr>
              <w:t>$</w:t>
            </w:r>
            <w:r w:rsidR="00BF12D4">
              <w:rPr>
                <w:b/>
                <w:noProof/>
                <w:color w:val="000000"/>
                <w:highlight w:val="black"/>
              </w:rPr>
              <w:t>'''''''''''''''''''''</w:t>
            </w:r>
          </w:p>
        </w:tc>
        <w:tc>
          <w:tcPr>
            <w:tcW w:w="1281" w:type="dxa"/>
            <w:tcMar>
              <w:left w:w="28" w:type="dxa"/>
              <w:right w:w="28" w:type="dxa"/>
            </w:tcMar>
            <w:vAlign w:val="center"/>
          </w:tcPr>
          <w:p w:rsidR="00F3707C" w:rsidRPr="007E5071" w:rsidRDefault="00F3707C" w:rsidP="00624F07">
            <w:pPr>
              <w:pStyle w:val="Tabletext"/>
              <w:jc w:val="center"/>
              <w:rPr>
                <w:b/>
              </w:rPr>
            </w:pPr>
            <w:r w:rsidRPr="007E5071">
              <w:rPr>
                <w:b/>
              </w:rPr>
              <w:t>$</w:t>
            </w:r>
            <w:r w:rsidR="00BF12D4">
              <w:rPr>
                <w:b/>
                <w:noProof/>
                <w:color w:val="000000"/>
                <w:highlight w:val="black"/>
              </w:rPr>
              <w:t>'''''''''''''''''''</w:t>
            </w:r>
          </w:p>
        </w:tc>
      </w:tr>
    </w:tbl>
    <w:p w:rsidR="00F3707C" w:rsidRPr="007E5071" w:rsidRDefault="00F3707C" w:rsidP="00F3707C">
      <w:pPr>
        <w:pStyle w:val="TableFooter"/>
      </w:pPr>
      <w:r w:rsidRPr="007E5071">
        <w:t>AE = adverse event; DAB = dabrafenib; EMP</w:t>
      </w:r>
      <w:r w:rsidR="000C5C7D" w:rsidRPr="007E5071">
        <w:t xml:space="preserve"> </w:t>
      </w:r>
      <w:r w:rsidRPr="007E5071">
        <w:t>= ex-manufacturer price; ESC = Economic Sub-Committee; IPI = ipilimumab; NIVO = nivolumab; PBS = Pharmaceutical Benefits Scheme; PSCR = Pre-Sub-Committee Response; Rx = restrictions; TRAM = trametinib; Tx = treatment; 1L = first-line; 2L = second-line</w:t>
      </w:r>
    </w:p>
    <w:p w:rsidR="00F3707C" w:rsidRPr="007E5071" w:rsidRDefault="00F3707C" w:rsidP="00F3707C">
      <w:pPr>
        <w:pStyle w:val="TableFooter"/>
      </w:pPr>
      <w:r w:rsidRPr="007E5071">
        <w:t>* PSCR assumed effective price of DAB ($</w:t>
      </w:r>
      <w:r w:rsidR="00BF12D4">
        <w:rPr>
          <w:noProof/>
          <w:color w:val="000000"/>
          <w:highlight w:val="black"/>
        </w:rPr>
        <w:t>'''''''''''''''''</w:t>
      </w:r>
      <w:r w:rsidRPr="007E5071">
        <w:t>/day) and TRAM ($</w:t>
      </w:r>
      <w:r w:rsidR="00BF12D4">
        <w:rPr>
          <w:noProof/>
          <w:color w:val="000000"/>
          <w:highlight w:val="black"/>
        </w:rPr>
        <w:t>''''''''''''''''</w:t>
      </w:r>
      <w:r w:rsidRPr="007E5071">
        <w:t xml:space="preserve">/day) was </w:t>
      </w:r>
      <w:r w:rsidR="00BF12D4">
        <w:rPr>
          <w:noProof/>
          <w:color w:val="000000"/>
          <w:highlight w:val="black"/>
        </w:rPr>
        <w:t>''''''</w:t>
      </w:r>
      <w:r w:rsidRPr="007E5071">
        <w:t xml:space="preserve">% </w:t>
      </w:r>
      <w:r w:rsidR="005F3017" w:rsidRPr="007E5071">
        <w:t xml:space="preserve">of the </w:t>
      </w:r>
      <w:r w:rsidRPr="007E5071">
        <w:t>AEMP; The current effective approved ex-manufacturer price for nivolumab ($</w:t>
      </w:r>
      <w:r w:rsidR="00BF12D4">
        <w:rPr>
          <w:noProof/>
          <w:color w:val="000000"/>
          <w:highlight w:val="black"/>
        </w:rPr>
        <w:t>'''''''''''''''''''''''</w:t>
      </w:r>
      <w:r w:rsidRPr="007E5071">
        <w:t xml:space="preserve"> for 100 mg vial) and ipilimumab ($</w:t>
      </w:r>
      <w:r w:rsidR="00BF12D4">
        <w:rPr>
          <w:noProof/>
          <w:color w:val="000000"/>
          <w:highlight w:val="black"/>
        </w:rPr>
        <w:t>''''''''''''''''''''</w:t>
      </w:r>
      <w:r w:rsidRPr="007E5071">
        <w:t xml:space="preserve"> for a 50 mg vial) were used in the calculation of second-line treatment costs.</w:t>
      </w:r>
    </w:p>
    <w:p w:rsidR="00F3707C" w:rsidRPr="007E5071" w:rsidRDefault="00F3707C" w:rsidP="00F3707C">
      <w:pPr>
        <w:pStyle w:val="TableFooter"/>
      </w:pPr>
      <w:r w:rsidRPr="007E5071">
        <w:rPr>
          <w:vertAlign w:val="superscript"/>
        </w:rPr>
        <w:t>a</w:t>
      </w:r>
      <w:r w:rsidRPr="007E5071">
        <w:t xml:space="preserve"> For the purposes of the analyses, it was assumed that the safety of IPI monotherapy was similar to that of DAB+TRAM as no comparative data were available</w:t>
      </w:r>
    </w:p>
    <w:p w:rsidR="00F3707C" w:rsidRPr="007E5071" w:rsidRDefault="00F3707C" w:rsidP="00F3707C">
      <w:pPr>
        <w:pStyle w:val="TableFooter"/>
      </w:pPr>
      <w:r w:rsidRPr="007E5071">
        <w:rPr>
          <w:vertAlign w:val="superscript"/>
        </w:rPr>
        <w:t>b</w:t>
      </w:r>
      <w:r w:rsidRPr="007E5071">
        <w:t xml:space="preserve"> Total cost per patient x % of patients receiving 2L treatment</w:t>
      </w:r>
    </w:p>
    <w:p w:rsidR="00F3707C" w:rsidRPr="007E5071" w:rsidRDefault="00F3707C" w:rsidP="00F3707C">
      <w:pPr>
        <w:pStyle w:val="TableFooter"/>
      </w:pPr>
      <w:r w:rsidRPr="007E5071">
        <w:t>Source: Table 54, p 130 of the submission; Excel workbook ‘Elec doc_Section 3_CMA model and Table 3 and Attachment 1_Updated Section3 CMA model – Excel of the PSCR</w:t>
      </w:r>
    </w:p>
    <w:p w:rsidR="00F3707C" w:rsidRPr="007E5071" w:rsidRDefault="00F3707C" w:rsidP="00F3707C">
      <w:pPr>
        <w:widowControl/>
      </w:pPr>
    </w:p>
    <w:p w:rsidR="00556016" w:rsidRPr="007E5071" w:rsidRDefault="00556016" w:rsidP="00983502">
      <w:pPr>
        <w:pStyle w:val="ListParagraph"/>
        <w:widowControl/>
        <w:numPr>
          <w:ilvl w:val="1"/>
          <w:numId w:val="1"/>
        </w:numPr>
      </w:pPr>
      <w:r w:rsidRPr="007E5071">
        <w:t xml:space="preserve">The ESC considered that, although not robust, the supplementary analysis </w:t>
      </w:r>
      <w:r w:rsidR="00625B93" w:rsidRPr="007E5071">
        <w:t>incorporating second-line treatment costs provided support that the cost analysis based on first-line treatments only was a reasonable approach.</w:t>
      </w:r>
      <w:r w:rsidR="00AA5A78" w:rsidRPr="007E5071">
        <w:t xml:space="preserve"> The PBAC agreed.</w:t>
      </w:r>
    </w:p>
    <w:p w:rsidR="00C25D9C" w:rsidRPr="007E5071" w:rsidRDefault="00F87EAC" w:rsidP="00D062FF">
      <w:pPr>
        <w:pStyle w:val="Heading2"/>
        <w:widowControl/>
      </w:pPr>
      <w:bookmarkStart w:id="12" w:name="_Toc17116010"/>
      <w:r w:rsidRPr="007E5071">
        <w:t>Drug cost/patient/</w:t>
      </w:r>
      <w:r w:rsidR="00C25D9C" w:rsidRPr="007E5071">
        <w:t>course</w:t>
      </w:r>
      <w:bookmarkEnd w:id="12"/>
    </w:p>
    <w:p w:rsidR="00C25D9C" w:rsidRPr="007E5071" w:rsidRDefault="00C25D9C" w:rsidP="00D062FF">
      <w:pPr>
        <w:widowControl/>
      </w:pPr>
    </w:p>
    <w:p w:rsidR="005577BF" w:rsidRPr="007E5071" w:rsidRDefault="004108D2" w:rsidP="00D062FF">
      <w:pPr>
        <w:pStyle w:val="ListParagraph"/>
        <w:widowControl/>
        <w:numPr>
          <w:ilvl w:val="1"/>
          <w:numId w:val="1"/>
        </w:numPr>
        <w:spacing w:after="120"/>
        <w:rPr>
          <w:rFonts w:asciiTheme="minorHAnsi" w:hAnsiTheme="minorHAnsi" w:cstheme="minorHAnsi"/>
          <w:szCs w:val="24"/>
          <w:lang w:eastAsia="en-AU"/>
        </w:rPr>
      </w:pPr>
      <w:r w:rsidRPr="007E5071">
        <w:rPr>
          <w:rFonts w:asciiTheme="minorHAnsi" w:hAnsiTheme="minorHAnsi" w:cstheme="minorHAnsi"/>
          <w:szCs w:val="24"/>
          <w:lang w:eastAsia="en-AU"/>
        </w:rPr>
        <w:t>Drug cost/patient/course (assumed dispensed effective price): NIVO monotherapy $</w:t>
      </w:r>
      <w:r w:rsidR="00BF12D4">
        <w:rPr>
          <w:rFonts w:asciiTheme="minorHAnsi" w:hAnsiTheme="minorHAnsi" w:cstheme="minorHAnsi"/>
          <w:noProof/>
          <w:color w:val="000000"/>
          <w:szCs w:val="24"/>
          <w:highlight w:val="black"/>
          <w:lang w:eastAsia="en-AU"/>
        </w:rPr>
        <w:t>''''''''''''''</w:t>
      </w:r>
      <w:r w:rsidRPr="007E5071">
        <w:rPr>
          <w:rFonts w:asciiTheme="minorHAnsi" w:hAnsiTheme="minorHAnsi" w:cstheme="minorHAnsi"/>
          <w:szCs w:val="24"/>
          <w:lang w:eastAsia="en-AU"/>
        </w:rPr>
        <w:t xml:space="preserve"> and NIVO+IPI $</w:t>
      </w:r>
      <w:r w:rsidR="00BF12D4">
        <w:rPr>
          <w:rFonts w:asciiTheme="minorHAnsi" w:hAnsiTheme="minorHAnsi" w:cstheme="minorHAnsi"/>
          <w:noProof/>
          <w:color w:val="000000"/>
          <w:szCs w:val="24"/>
          <w:highlight w:val="black"/>
          <w:lang w:eastAsia="en-AU"/>
        </w:rPr>
        <w:t>''''''''''''</w:t>
      </w:r>
      <w:r w:rsidR="00E10703" w:rsidRPr="007E5071">
        <w:rPr>
          <w:rFonts w:asciiTheme="minorHAnsi" w:hAnsiTheme="minorHAnsi" w:cstheme="minorHAnsi"/>
          <w:szCs w:val="24"/>
          <w:lang w:eastAsia="en-AU"/>
        </w:rPr>
        <w:t>.</w:t>
      </w:r>
      <w:r w:rsidRPr="007E5071">
        <w:rPr>
          <w:rFonts w:asciiTheme="minorHAnsi" w:hAnsiTheme="minorHAnsi" w:cstheme="minorHAnsi"/>
          <w:szCs w:val="24"/>
          <w:lang w:eastAsia="en-AU"/>
        </w:rPr>
        <w:t xml:space="preserve"> </w:t>
      </w:r>
      <w:r w:rsidR="0044067F" w:rsidRPr="007E5071">
        <w:rPr>
          <w:rFonts w:asciiTheme="minorHAnsi" w:hAnsiTheme="minorHAnsi" w:cstheme="minorHAnsi"/>
          <w:szCs w:val="24"/>
          <w:lang w:eastAsia="en-AU"/>
        </w:rPr>
        <w:t xml:space="preserve">The effective prices for NIVO and IPI were derived in the cost analysis, based on the assumed effective prices of DAB+TRAM. </w:t>
      </w:r>
      <w:r w:rsidRPr="007E5071">
        <w:rPr>
          <w:rFonts w:asciiTheme="minorHAnsi" w:hAnsiTheme="minorHAnsi" w:cstheme="minorHAnsi"/>
          <w:szCs w:val="24"/>
          <w:lang w:eastAsia="en-AU"/>
        </w:rPr>
        <w:t xml:space="preserve">The derivation of these costs is presented in </w:t>
      </w:r>
      <w:r w:rsidR="00787D75" w:rsidRPr="007E5071">
        <w:rPr>
          <w:rFonts w:asciiTheme="minorHAnsi" w:hAnsiTheme="minorHAnsi" w:cstheme="minorHAnsi"/>
          <w:szCs w:val="24"/>
          <w:lang w:eastAsia="en-AU"/>
        </w:rPr>
        <w:t>Table 11</w:t>
      </w:r>
      <w:r w:rsidRPr="007E5071">
        <w:rPr>
          <w:rFonts w:asciiTheme="minorHAnsi" w:hAnsiTheme="minorHAnsi" w:cstheme="minorHAnsi"/>
          <w:szCs w:val="24"/>
          <w:lang w:eastAsia="en-AU"/>
        </w:rPr>
        <w:t>. T</w:t>
      </w:r>
      <w:r w:rsidR="0044067F" w:rsidRPr="007E5071">
        <w:rPr>
          <w:rFonts w:asciiTheme="minorHAnsi" w:hAnsiTheme="minorHAnsi" w:cstheme="minorHAnsi"/>
          <w:szCs w:val="24"/>
          <w:lang w:eastAsia="en-AU"/>
        </w:rPr>
        <w:t>h</w:t>
      </w:r>
      <w:r w:rsidRPr="007E5071">
        <w:rPr>
          <w:rFonts w:asciiTheme="minorHAnsi" w:hAnsiTheme="minorHAnsi" w:cstheme="minorHAnsi"/>
          <w:szCs w:val="24"/>
          <w:lang w:eastAsia="en-AU"/>
        </w:rPr>
        <w:t>is was compared with an estimated price of $</w:t>
      </w:r>
      <w:r w:rsidR="00BF12D4">
        <w:rPr>
          <w:rFonts w:asciiTheme="minorHAnsi" w:hAnsiTheme="minorHAnsi" w:cstheme="minorHAnsi"/>
          <w:noProof/>
          <w:color w:val="000000"/>
          <w:szCs w:val="24"/>
          <w:highlight w:val="black"/>
          <w:lang w:eastAsia="en-AU"/>
        </w:rPr>
        <w:t>''''''''''''</w:t>
      </w:r>
      <w:r w:rsidRPr="007E5071">
        <w:rPr>
          <w:rFonts w:asciiTheme="minorHAnsi" w:hAnsiTheme="minorHAnsi" w:cstheme="minorHAnsi"/>
          <w:szCs w:val="24"/>
          <w:lang w:eastAsia="en-AU"/>
        </w:rPr>
        <w:t>/patient/course</w:t>
      </w:r>
      <w:r w:rsidR="0044067F" w:rsidRPr="007E5071">
        <w:rPr>
          <w:rFonts w:asciiTheme="minorHAnsi" w:hAnsiTheme="minorHAnsi" w:cstheme="minorHAnsi"/>
          <w:szCs w:val="24"/>
          <w:lang w:eastAsia="en-AU"/>
        </w:rPr>
        <w:t xml:space="preserve"> for DAB+TRAM (based on the assumed dispensed effective</w:t>
      </w:r>
      <w:r w:rsidR="002077CA" w:rsidRPr="007E5071">
        <w:rPr>
          <w:rFonts w:asciiTheme="minorHAnsi" w:hAnsiTheme="minorHAnsi" w:cstheme="minorHAnsi"/>
          <w:szCs w:val="24"/>
          <w:lang w:eastAsia="en-AU"/>
        </w:rPr>
        <w:t xml:space="preserve"> price</w:t>
      </w:r>
      <w:r w:rsidR="0044067F" w:rsidRPr="007E5071">
        <w:rPr>
          <w:rFonts w:asciiTheme="minorHAnsi" w:hAnsiTheme="minorHAnsi" w:cstheme="minorHAnsi"/>
          <w:szCs w:val="24"/>
          <w:lang w:eastAsia="en-AU"/>
        </w:rPr>
        <w:t xml:space="preserve">). </w:t>
      </w:r>
    </w:p>
    <w:p w:rsidR="00BD0123" w:rsidRPr="007E5071" w:rsidRDefault="00BD0123" w:rsidP="00983502">
      <w:pPr>
        <w:pStyle w:val="ListParagraph"/>
        <w:widowControl/>
        <w:numPr>
          <w:ilvl w:val="1"/>
          <w:numId w:val="1"/>
        </w:numPr>
        <w:spacing w:after="120"/>
        <w:rPr>
          <w:rFonts w:asciiTheme="minorHAnsi" w:hAnsiTheme="minorHAnsi" w:cstheme="minorHAnsi"/>
          <w:szCs w:val="24"/>
          <w:lang w:eastAsia="en-AU"/>
        </w:rPr>
      </w:pPr>
      <w:r w:rsidRPr="007E5071">
        <w:rPr>
          <w:rFonts w:asciiTheme="minorHAnsi" w:hAnsiTheme="minorHAnsi" w:cstheme="minorHAnsi"/>
          <w:szCs w:val="24"/>
          <w:lang w:eastAsia="en-AU"/>
        </w:rPr>
        <w:t>The PBAC noted that the cost/patient/course</w:t>
      </w:r>
      <w:r w:rsidR="001B6579" w:rsidRPr="007E5071">
        <w:rPr>
          <w:rFonts w:asciiTheme="minorHAnsi" w:hAnsiTheme="minorHAnsi" w:cstheme="minorHAnsi"/>
          <w:szCs w:val="24"/>
          <w:lang w:eastAsia="en-AU"/>
        </w:rPr>
        <w:t xml:space="preserve"> for each agent was sensitive to the difference between the trial-based duration of therapy and the duration of therapy applied in the CMA and financial estimates. </w:t>
      </w:r>
    </w:p>
    <w:p w:rsidR="00AF1946" w:rsidRPr="007E5071" w:rsidRDefault="00AF1946" w:rsidP="0082252F">
      <w:pPr>
        <w:pStyle w:val="Caption"/>
        <w:keepNext/>
        <w:keepLines/>
        <w:rPr>
          <w:rStyle w:val="CommentReference"/>
        </w:rPr>
      </w:pPr>
      <w:bookmarkStart w:id="13" w:name="_Ref16582279"/>
      <w:r w:rsidRPr="007E5071">
        <w:t xml:space="preserve">Table </w:t>
      </w:r>
      <w:bookmarkEnd w:id="13"/>
      <w:r w:rsidR="0082252F" w:rsidRPr="007E5071">
        <w:t>1</w:t>
      </w:r>
      <w:r w:rsidR="00E966F6" w:rsidRPr="007E5071">
        <w:t>1</w:t>
      </w:r>
      <w:r w:rsidR="007015FB" w:rsidRPr="007E5071">
        <w:t>: Drug cost per patient per</w:t>
      </w:r>
      <w:r w:rsidRPr="007E5071">
        <w:t xml:space="preserve"> course for NIVO monotherapy, NIVO+IPI and DAB+TRAM (assumed effective dispensed </w:t>
      </w:r>
      <w:r w:rsidR="00C473EC" w:rsidRPr="007E5071">
        <w:t>prices</w:t>
      </w:r>
      <w:r w:rsidRPr="007E5071">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Drug cost per patient per course for NIVO monotherapy, NIVO+IPI and DAB+TRAM (assumed effective dispensed prices)"/>
      </w:tblPr>
      <w:tblGrid>
        <w:gridCol w:w="1687"/>
        <w:gridCol w:w="2368"/>
        <w:gridCol w:w="2582"/>
        <w:gridCol w:w="2380"/>
      </w:tblGrid>
      <w:tr w:rsidR="002077CA" w:rsidRPr="007E5071" w:rsidTr="002077CA">
        <w:trPr>
          <w:tblHeader/>
          <w:jc w:val="center"/>
        </w:trPr>
        <w:tc>
          <w:tcPr>
            <w:tcW w:w="935" w:type="pct"/>
            <w:shd w:val="clear" w:color="auto" w:fill="auto"/>
            <w:vAlign w:val="center"/>
          </w:tcPr>
          <w:p w:rsidR="002077CA" w:rsidRPr="007E5071" w:rsidRDefault="002077CA" w:rsidP="0082252F">
            <w:pPr>
              <w:pStyle w:val="Tabletext"/>
              <w:keepNext/>
              <w:keepLines/>
              <w:rPr>
                <w:b/>
              </w:rPr>
            </w:pPr>
          </w:p>
        </w:tc>
        <w:tc>
          <w:tcPr>
            <w:tcW w:w="1313" w:type="pct"/>
            <w:shd w:val="clear" w:color="auto" w:fill="auto"/>
            <w:vAlign w:val="center"/>
          </w:tcPr>
          <w:p w:rsidR="002077CA" w:rsidRPr="007E5071" w:rsidRDefault="002077CA" w:rsidP="0082252F">
            <w:pPr>
              <w:pStyle w:val="Tabletext"/>
              <w:keepNext/>
              <w:keepLines/>
              <w:jc w:val="center"/>
              <w:rPr>
                <w:b/>
                <w:vertAlign w:val="superscript"/>
              </w:rPr>
            </w:pPr>
            <w:r w:rsidRPr="007E5071">
              <w:rPr>
                <w:b/>
              </w:rPr>
              <w:t>Trial dose and duration</w:t>
            </w:r>
          </w:p>
        </w:tc>
        <w:tc>
          <w:tcPr>
            <w:tcW w:w="1432" w:type="pct"/>
            <w:shd w:val="clear" w:color="auto" w:fill="auto"/>
            <w:vAlign w:val="center"/>
          </w:tcPr>
          <w:p w:rsidR="002077CA" w:rsidRPr="007E5071" w:rsidRDefault="002077CA" w:rsidP="0082252F">
            <w:pPr>
              <w:pStyle w:val="Tabletext"/>
              <w:keepNext/>
              <w:keepLines/>
              <w:jc w:val="center"/>
              <w:rPr>
                <w:b/>
              </w:rPr>
            </w:pPr>
            <w:r w:rsidRPr="007E5071">
              <w:rPr>
                <w:b/>
              </w:rPr>
              <w:t>CMA</w:t>
            </w:r>
          </w:p>
        </w:tc>
        <w:tc>
          <w:tcPr>
            <w:tcW w:w="1320" w:type="pct"/>
            <w:shd w:val="clear" w:color="auto" w:fill="auto"/>
            <w:vAlign w:val="center"/>
          </w:tcPr>
          <w:p w:rsidR="002077CA" w:rsidRPr="007E5071" w:rsidRDefault="002077CA" w:rsidP="0082252F">
            <w:pPr>
              <w:pStyle w:val="Tabletext"/>
              <w:keepNext/>
              <w:keepLines/>
              <w:jc w:val="center"/>
              <w:rPr>
                <w:b/>
              </w:rPr>
            </w:pPr>
            <w:r w:rsidRPr="007E5071">
              <w:rPr>
                <w:b/>
              </w:rPr>
              <w:t>Financial estimates</w:t>
            </w:r>
          </w:p>
        </w:tc>
      </w:tr>
      <w:tr w:rsidR="002077CA" w:rsidRPr="007E5071" w:rsidTr="002077CA">
        <w:trPr>
          <w:trHeight w:val="64"/>
          <w:jc w:val="center"/>
        </w:trPr>
        <w:tc>
          <w:tcPr>
            <w:tcW w:w="5000" w:type="pct"/>
            <w:gridSpan w:val="4"/>
            <w:shd w:val="clear" w:color="auto" w:fill="auto"/>
            <w:vAlign w:val="center"/>
          </w:tcPr>
          <w:p w:rsidR="002077CA" w:rsidRPr="007E5071" w:rsidRDefault="002077CA" w:rsidP="0082252F">
            <w:pPr>
              <w:pStyle w:val="Tabletext"/>
              <w:keepNext/>
              <w:keepLines/>
              <w:rPr>
                <w:b/>
              </w:rPr>
            </w:pPr>
            <w:r w:rsidRPr="007E5071">
              <w:rPr>
                <w:b/>
              </w:rPr>
              <w:t>NIVO monotherapy*</w:t>
            </w:r>
          </w:p>
        </w:tc>
      </w:tr>
      <w:tr w:rsidR="00381994" w:rsidRPr="007E5071" w:rsidTr="009A4736">
        <w:trPr>
          <w:jc w:val="center"/>
        </w:trPr>
        <w:tc>
          <w:tcPr>
            <w:tcW w:w="935" w:type="pct"/>
            <w:shd w:val="clear" w:color="auto" w:fill="auto"/>
            <w:vAlign w:val="center"/>
          </w:tcPr>
          <w:p w:rsidR="00381994" w:rsidRPr="007E5071" w:rsidRDefault="00381994" w:rsidP="0082252F">
            <w:pPr>
              <w:pStyle w:val="Tabletext"/>
              <w:keepNext/>
              <w:keepLines/>
            </w:pPr>
            <w:r w:rsidRPr="007E5071">
              <w:t>Dose</w:t>
            </w:r>
          </w:p>
        </w:tc>
        <w:tc>
          <w:tcPr>
            <w:tcW w:w="1313" w:type="pct"/>
            <w:shd w:val="clear" w:color="auto" w:fill="auto"/>
            <w:vAlign w:val="center"/>
          </w:tcPr>
          <w:p w:rsidR="00381994" w:rsidRPr="007E5071" w:rsidRDefault="00381994" w:rsidP="0082252F">
            <w:pPr>
              <w:pStyle w:val="Tabletext"/>
              <w:keepNext/>
              <w:keepLines/>
              <w:jc w:val="center"/>
              <w:rPr>
                <w:vertAlign w:val="superscript"/>
              </w:rPr>
            </w:pPr>
            <w:r w:rsidRPr="007E5071">
              <w:t>3mg/kg</w:t>
            </w:r>
            <w:r w:rsidR="004734ED" w:rsidRPr="007E5071">
              <w:t xml:space="preserve"> (240 mg)</w:t>
            </w:r>
            <w:r w:rsidR="00305A04" w:rsidRPr="007E5071">
              <w:rPr>
                <w:vertAlign w:val="superscript"/>
              </w:rPr>
              <w:t>a</w:t>
            </w:r>
            <w:r w:rsidRPr="007E5071">
              <w:t xml:space="preserve"> Q2W</w:t>
            </w:r>
          </w:p>
        </w:tc>
        <w:tc>
          <w:tcPr>
            <w:tcW w:w="1432" w:type="pct"/>
            <w:shd w:val="clear" w:color="auto" w:fill="auto"/>
            <w:vAlign w:val="center"/>
          </w:tcPr>
          <w:p w:rsidR="00381994" w:rsidRPr="007E5071" w:rsidRDefault="00381994" w:rsidP="0082252F">
            <w:pPr>
              <w:pStyle w:val="Tabletext"/>
              <w:keepNext/>
              <w:keepLines/>
              <w:jc w:val="center"/>
              <w:rPr>
                <w:vertAlign w:val="superscript"/>
              </w:rPr>
            </w:pPr>
            <w:r w:rsidRPr="007E5071">
              <w:t xml:space="preserve">3 mg/kg </w:t>
            </w:r>
            <w:r w:rsidR="004734ED" w:rsidRPr="007E5071">
              <w:t>(</w:t>
            </w:r>
            <w:r w:rsidR="00BF12D4">
              <w:rPr>
                <w:noProof/>
                <w:color w:val="000000"/>
                <w:highlight w:val="black"/>
              </w:rPr>
              <w:t>''''''''''</w:t>
            </w:r>
            <w:r w:rsidR="004734ED" w:rsidRPr="007E5071">
              <w:t> mg)</w:t>
            </w:r>
            <w:r w:rsidR="00305A04" w:rsidRPr="007E5071">
              <w:rPr>
                <w:vertAlign w:val="superscript"/>
              </w:rPr>
              <w:t>c</w:t>
            </w:r>
            <w:r w:rsidR="004734ED" w:rsidRPr="007E5071">
              <w:t xml:space="preserve"> </w:t>
            </w:r>
            <w:r w:rsidRPr="007E5071">
              <w:t xml:space="preserve">Q2W, </w:t>
            </w:r>
            <w:r w:rsidR="004734ED" w:rsidRPr="007E5071">
              <w:br/>
            </w:r>
            <w:r w:rsidRPr="007E5071">
              <w:t>240 mg Q2W or</w:t>
            </w:r>
            <w:r w:rsidR="00FA4339" w:rsidRPr="007E5071">
              <w:t xml:space="preserve"> </w:t>
            </w:r>
            <w:r w:rsidRPr="007E5071">
              <w:t>480 mg Q4W</w:t>
            </w:r>
          </w:p>
        </w:tc>
        <w:tc>
          <w:tcPr>
            <w:tcW w:w="1320" w:type="pct"/>
            <w:shd w:val="clear" w:color="auto" w:fill="auto"/>
            <w:vAlign w:val="center"/>
          </w:tcPr>
          <w:p w:rsidR="00381994" w:rsidRPr="007E5071" w:rsidRDefault="004734ED" w:rsidP="0082252F">
            <w:pPr>
              <w:pStyle w:val="Tabletext"/>
              <w:keepNext/>
              <w:keepLines/>
              <w:jc w:val="center"/>
              <w:rPr>
                <w:vertAlign w:val="superscript"/>
              </w:rPr>
            </w:pPr>
            <w:r w:rsidRPr="007E5071">
              <w:t>3 mg/kg (</w:t>
            </w:r>
            <w:r w:rsidR="00BF12D4">
              <w:rPr>
                <w:noProof/>
                <w:color w:val="000000"/>
                <w:highlight w:val="black"/>
              </w:rPr>
              <w:t>''''''''''</w:t>
            </w:r>
            <w:r w:rsidRPr="007E5071">
              <w:t> mg)</w:t>
            </w:r>
            <w:r w:rsidR="00305A04" w:rsidRPr="007E5071">
              <w:rPr>
                <w:vertAlign w:val="superscript"/>
              </w:rPr>
              <w:t>c</w:t>
            </w:r>
            <w:r w:rsidRPr="007E5071">
              <w:t xml:space="preserve"> Q2W, 240 mg Q2W or 480 mg Q4W</w:t>
            </w:r>
          </w:p>
        </w:tc>
      </w:tr>
      <w:tr w:rsidR="009A4736" w:rsidRPr="007E5071" w:rsidTr="009A4736">
        <w:trPr>
          <w:jc w:val="center"/>
        </w:trPr>
        <w:tc>
          <w:tcPr>
            <w:tcW w:w="935" w:type="pct"/>
            <w:shd w:val="clear" w:color="auto" w:fill="auto"/>
            <w:vAlign w:val="center"/>
          </w:tcPr>
          <w:p w:rsidR="009A4736" w:rsidRPr="007E5071" w:rsidRDefault="009A4736" w:rsidP="0082252F">
            <w:pPr>
              <w:pStyle w:val="Tabletext"/>
              <w:keepNext/>
              <w:keepLines/>
            </w:pPr>
            <w:r w:rsidRPr="007E5071">
              <w:t>Cost per infusion</w:t>
            </w:r>
          </w:p>
        </w:tc>
        <w:tc>
          <w:tcPr>
            <w:tcW w:w="1313" w:type="pct"/>
            <w:shd w:val="clear" w:color="auto" w:fill="auto"/>
            <w:vAlign w:val="center"/>
          </w:tcPr>
          <w:p w:rsidR="009A4736" w:rsidRPr="007E5071" w:rsidRDefault="009A4736" w:rsidP="0082252F">
            <w:pPr>
              <w:pStyle w:val="Tabletext"/>
              <w:keepNext/>
              <w:keepLines/>
              <w:jc w:val="center"/>
            </w:pPr>
            <w:r w:rsidRPr="007E5071">
              <w:t>$</w:t>
            </w:r>
            <w:r w:rsidR="00BF12D4">
              <w:rPr>
                <w:noProof/>
                <w:color w:val="000000"/>
                <w:highlight w:val="black"/>
              </w:rPr>
              <w:t>''''''''''''''''''''''</w:t>
            </w:r>
          </w:p>
        </w:tc>
        <w:tc>
          <w:tcPr>
            <w:tcW w:w="1432" w:type="pct"/>
            <w:shd w:val="clear" w:color="auto" w:fill="auto"/>
            <w:vAlign w:val="center"/>
          </w:tcPr>
          <w:p w:rsidR="009A4736" w:rsidRPr="007E5071" w:rsidRDefault="009A4736" w:rsidP="0082252F">
            <w:pPr>
              <w:pStyle w:val="Tabletext"/>
              <w:keepNext/>
              <w:keepLines/>
              <w:jc w:val="center"/>
            </w:pPr>
            <w:r w:rsidRPr="007E5071">
              <w:t>3 mg/kg: $</w:t>
            </w:r>
            <w:r w:rsidR="00BF12D4">
              <w:rPr>
                <w:noProof/>
                <w:color w:val="000000"/>
                <w:highlight w:val="black"/>
              </w:rPr>
              <w:t>'''''''''''''''''''''</w:t>
            </w:r>
          </w:p>
          <w:p w:rsidR="009A4736" w:rsidRPr="007E5071" w:rsidRDefault="00263513" w:rsidP="0082252F">
            <w:pPr>
              <w:pStyle w:val="Tabletext"/>
              <w:keepNext/>
              <w:keepLines/>
              <w:jc w:val="center"/>
            </w:pPr>
            <w:r w:rsidRPr="007E5071">
              <w:t>24</w:t>
            </w:r>
            <w:r w:rsidR="009A4736" w:rsidRPr="007E5071">
              <w:t>0 mg: $</w:t>
            </w:r>
            <w:r w:rsidR="00BF12D4">
              <w:rPr>
                <w:noProof/>
                <w:color w:val="000000"/>
                <w:highlight w:val="black"/>
              </w:rPr>
              <w:t>'''''''''''''''''''</w:t>
            </w:r>
          </w:p>
          <w:p w:rsidR="009A4736" w:rsidRPr="007E5071" w:rsidRDefault="00263513" w:rsidP="0082252F">
            <w:pPr>
              <w:pStyle w:val="Tabletext"/>
              <w:keepNext/>
              <w:keepLines/>
              <w:jc w:val="center"/>
            </w:pPr>
            <w:r w:rsidRPr="007E5071">
              <w:t>48</w:t>
            </w:r>
            <w:r w:rsidR="009A4736" w:rsidRPr="007E5071">
              <w:t>0 mg: $</w:t>
            </w:r>
            <w:r w:rsidR="00BF12D4">
              <w:rPr>
                <w:noProof/>
                <w:color w:val="000000"/>
                <w:highlight w:val="black"/>
              </w:rPr>
              <w:t>'''''''''''''''''''''''</w:t>
            </w:r>
          </w:p>
        </w:tc>
        <w:tc>
          <w:tcPr>
            <w:tcW w:w="1320" w:type="pct"/>
            <w:shd w:val="clear" w:color="auto" w:fill="auto"/>
            <w:vAlign w:val="center"/>
          </w:tcPr>
          <w:p w:rsidR="00263513" w:rsidRPr="007E5071" w:rsidRDefault="00263513" w:rsidP="0082252F">
            <w:pPr>
              <w:pStyle w:val="Tabletext"/>
              <w:keepNext/>
              <w:keepLines/>
              <w:jc w:val="center"/>
            </w:pPr>
            <w:r w:rsidRPr="007E5071">
              <w:t>3 mg/kg: $</w:t>
            </w:r>
            <w:r w:rsidR="00BF12D4">
              <w:rPr>
                <w:noProof/>
                <w:color w:val="000000"/>
                <w:highlight w:val="black"/>
              </w:rPr>
              <w:t>'''''''''''''''''''</w:t>
            </w:r>
          </w:p>
          <w:p w:rsidR="00263513" w:rsidRPr="007E5071" w:rsidRDefault="00263513" w:rsidP="0082252F">
            <w:pPr>
              <w:pStyle w:val="Tabletext"/>
              <w:keepNext/>
              <w:keepLines/>
              <w:jc w:val="center"/>
            </w:pPr>
            <w:r w:rsidRPr="007E5071">
              <w:t>240 mg: $</w:t>
            </w:r>
            <w:r w:rsidR="00BF12D4">
              <w:rPr>
                <w:noProof/>
                <w:color w:val="000000"/>
                <w:highlight w:val="black"/>
              </w:rPr>
              <w:t>''''''''''''''''''''</w:t>
            </w:r>
          </w:p>
          <w:p w:rsidR="009A4736" w:rsidRPr="007E5071" w:rsidRDefault="00263513" w:rsidP="0082252F">
            <w:pPr>
              <w:pStyle w:val="Tabletext"/>
              <w:keepNext/>
              <w:keepLines/>
              <w:jc w:val="center"/>
            </w:pPr>
            <w:r w:rsidRPr="007E5071">
              <w:t>480 mg: $</w:t>
            </w:r>
            <w:r w:rsidR="00BF12D4">
              <w:rPr>
                <w:noProof/>
                <w:color w:val="000000"/>
                <w:highlight w:val="black"/>
              </w:rPr>
              <w:t>'''''''''''''''''''''''</w:t>
            </w:r>
          </w:p>
        </w:tc>
      </w:tr>
      <w:tr w:rsidR="009A4736" w:rsidRPr="007E5071" w:rsidTr="009A4736">
        <w:trPr>
          <w:jc w:val="center"/>
        </w:trPr>
        <w:tc>
          <w:tcPr>
            <w:tcW w:w="935" w:type="pct"/>
            <w:tcBorders>
              <w:bottom w:val="single" w:sz="4" w:space="0" w:color="auto"/>
            </w:tcBorders>
            <w:shd w:val="clear" w:color="auto" w:fill="auto"/>
            <w:vAlign w:val="center"/>
          </w:tcPr>
          <w:p w:rsidR="009A4736" w:rsidRPr="007E5071" w:rsidRDefault="009A4736" w:rsidP="0082252F">
            <w:pPr>
              <w:pStyle w:val="Tabletext"/>
              <w:keepNext/>
              <w:keepLines/>
            </w:pPr>
            <w:r w:rsidRPr="007E5071">
              <w:t>Mean duration</w:t>
            </w:r>
          </w:p>
        </w:tc>
        <w:tc>
          <w:tcPr>
            <w:tcW w:w="1313" w:type="pct"/>
            <w:tcBorders>
              <w:bottom w:val="single" w:sz="4" w:space="0" w:color="auto"/>
            </w:tcBorders>
            <w:shd w:val="clear" w:color="auto" w:fill="auto"/>
            <w:vAlign w:val="center"/>
          </w:tcPr>
          <w:p w:rsidR="009A4736" w:rsidRPr="007E5071" w:rsidRDefault="00BF12D4" w:rsidP="0082252F">
            <w:pPr>
              <w:pStyle w:val="Tabletext"/>
              <w:keepNext/>
              <w:keepLines/>
              <w:jc w:val="center"/>
            </w:pPr>
            <w:r>
              <w:rPr>
                <w:noProof/>
                <w:color w:val="000000"/>
                <w:highlight w:val="black"/>
              </w:rPr>
              <w:t>'''''''''''</w:t>
            </w:r>
            <w:r w:rsidR="009A4736" w:rsidRPr="007E5071">
              <w:t xml:space="preserve"> infusions</w:t>
            </w:r>
            <w:r w:rsidR="00FA503A" w:rsidRPr="007E5071">
              <w:t xml:space="preserve"> Q2W</w:t>
            </w:r>
          </w:p>
        </w:tc>
        <w:tc>
          <w:tcPr>
            <w:tcW w:w="1432" w:type="pct"/>
            <w:tcBorders>
              <w:bottom w:val="single" w:sz="4" w:space="0" w:color="auto"/>
            </w:tcBorders>
            <w:shd w:val="clear" w:color="auto" w:fill="auto"/>
            <w:vAlign w:val="center"/>
          </w:tcPr>
          <w:p w:rsidR="009A4736" w:rsidRPr="007E5071" w:rsidRDefault="00BF12D4" w:rsidP="0082252F">
            <w:pPr>
              <w:pStyle w:val="Tabletext"/>
              <w:keepNext/>
              <w:keepLines/>
              <w:jc w:val="center"/>
            </w:pPr>
            <w:r>
              <w:rPr>
                <w:noProof/>
                <w:color w:val="000000"/>
                <w:highlight w:val="black"/>
              </w:rPr>
              <w:t>''''''''''</w:t>
            </w:r>
            <w:r w:rsidR="009A4736" w:rsidRPr="007E5071">
              <w:t xml:space="preserve"> infusions Q2W, or</w:t>
            </w:r>
          </w:p>
          <w:p w:rsidR="009A4736" w:rsidRPr="007E5071" w:rsidRDefault="00BF12D4" w:rsidP="0082252F">
            <w:pPr>
              <w:pStyle w:val="Tabletext"/>
              <w:keepNext/>
              <w:keepLines/>
              <w:jc w:val="center"/>
            </w:pPr>
            <w:r>
              <w:rPr>
                <w:noProof/>
                <w:color w:val="000000"/>
                <w:highlight w:val="black"/>
              </w:rPr>
              <w:t>'''''''</w:t>
            </w:r>
            <w:r w:rsidR="009A4736" w:rsidRPr="007E5071">
              <w:t xml:space="preserve"> infusions Q4W</w:t>
            </w:r>
          </w:p>
        </w:tc>
        <w:tc>
          <w:tcPr>
            <w:tcW w:w="1320" w:type="pct"/>
            <w:tcBorders>
              <w:bottom w:val="single" w:sz="4" w:space="0" w:color="auto"/>
            </w:tcBorders>
            <w:shd w:val="clear" w:color="auto" w:fill="auto"/>
            <w:vAlign w:val="center"/>
          </w:tcPr>
          <w:p w:rsidR="009A4736" w:rsidRPr="007E5071" w:rsidRDefault="00BF12D4" w:rsidP="0082252F">
            <w:pPr>
              <w:pStyle w:val="Tabletext"/>
              <w:keepNext/>
              <w:keepLines/>
              <w:jc w:val="center"/>
            </w:pPr>
            <w:r>
              <w:rPr>
                <w:noProof/>
                <w:color w:val="000000"/>
                <w:highlight w:val="black"/>
              </w:rPr>
              <w:t>''''''''''</w:t>
            </w:r>
            <w:r w:rsidR="009A4736" w:rsidRPr="007E5071">
              <w:t xml:space="preserve"> infusions Q2W, or</w:t>
            </w:r>
          </w:p>
          <w:p w:rsidR="009A4736" w:rsidRPr="007E5071" w:rsidRDefault="00BF12D4" w:rsidP="0082252F">
            <w:pPr>
              <w:pStyle w:val="Tabletext"/>
              <w:keepNext/>
              <w:keepLines/>
              <w:jc w:val="center"/>
            </w:pPr>
            <w:r>
              <w:rPr>
                <w:noProof/>
                <w:color w:val="000000"/>
                <w:highlight w:val="black"/>
              </w:rPr>
              <w:t>''''''''</w:t>
            </w:r>
            <w:r w:rsidR="009A4736" w:rsidRPr="007E5071">
              <w:t xml:space="preserve"> infusions Q4W</w:t>
            </w:r>
          </w:p>
        </w:tc>
      </w:tr>
      <w:tr w:rsidR="00381994" w:rsidRPr="007E5071" w:rsidTr="009A4736">
        <w:trPr>
          <w:jc w:val="center"/>
        </w:trPr>
        <w:tc>
          <w:tcPr>
            <w:tcW w:w="935" w:type="pct"/>
            <w:tcBorders>
              <w:bottom w:val="double" w:sz="4" w:space="0" w:color="auto"/>
            </w:tcBorders>
            <w:shd w:val="clear" w:color="auto" w:fill="auto"/>
            <w:vAlign w:val="center"/>
          </w:tcPr>
          <w:p w:rsidR="00381994" w:rsidRPr="007E5071" w:rsidRDefault="00381994" w:rsidP="0082252F">
            <w:pPr>
              <w:pStyle w:val="Tabletext"/>
              <w:keepNext/>
              <w:keepLines/>
            </w:pPr>
            <w:r w:rsidRPr="007E5071">
              <w:t>Cost/patient//course</w:t>
            </w:r>
          </w:p>
        </w:tc>
        <w:tc>
          <w:tcPr>
            <w:tcW w:w="1313" w:type="pct"/>
            <w:tcBorders>
              <w:bottom w:val="double" w:sz="4" w:space="0" w:color="auto"/>
            </w:tcBorders>
            <w:shd w:val="clear" w:color="auto" w:fill="auto"/>
            <w:vAlign w:val="center"/>
          </w:tcPr>
          <w:p w:rsidR="00381994" w:rsidRPr="007E5071" w:rsidRDefault="00381994" w:rsidP="0082252F">
            <w:pPr>
              <w:pStyle w:val="Tabletext"/>
              <w:keepNext/>
              <w:keepLines/>
              <w:jc w:val="center"/>
            </w:pPr>
            <w:r w:rsidRPr="007E5071">
              <w:t>$</w:t>
            </w:r>
            <w:r w:rsidR="00BF12D4">
              <w:rPr>
                <w:noProof/>
                <w:color w:val="000000"/>
                <w:highlight w:val="black"/>
              </w:rPr>
              <w:t>'''''''''''''''''''</w:t>
            </w:r>
          </w:p>
        </w:tc>
        <w:tc>
          <w:tcPr>
            <w:tcW w:w="1432" w:type="pct"/>
            <w:tcBorders>
              <w:bottom w:val="double" w:sz="4" w:space="0" w:color="auto"/>
            </w:tcBorders>
            <w:shd w:val="clear" w:color="auto" w:fill="auto"/>
            <w:vAlign w:val="center"/>
          </w:tcPr>
          <w:p w:rsidR="00381994" w:rsidRPr="007E5071" w:rsidRDefault="001E659C" w:rsidP="0082252F">
            <w:pPr>
              <w:pStyle w:val="Tabletext"/>
              <w:keepNext/>
              <w:keepLines/>
              <w:jc w:val="center"/>
              <w:rPr>
                <w:vertAlign w:val="superscript"/>
              </w:rPr>
            </w:pPr>
            <w:r w:rsidRPr="007E5071">
              <w:t>$</w:t>
            </w:r>
            <w:r w:rsidR="00BF12D4">
              <w:rPr>
                <w:noProof/>
                <w:color w:val="000000"/>
                <w:highlight w:val="black"/>
              </w:rPr>
              <w:t>'''''''''''''''''</w:t>
            </w:r>
            <w:r w:rsidR="00305A04" w:rsidRPr="007E5071">
              <w:rPr>
                <w:vertAlign w:val="superscript"/>
              </w:rPr>
              <w:t>d</w:t>
            </w:r>
          </w:p>
        </w:tc>
        <w:tc>
          <w:tcPr>
            <w:tcW w:w="1320" w:type="pct"/>
            <w:tcBorders>
              <w:bottom w:val="double" w:sz="4" w:space="0" w:color="auto"/>
            </w:tcBorders>
            <w:shd w:val="clear" w:color="auto" w:fill="auto"/>
            <w:vAlign w:val="center"/>
          </w:tcPr>
          <w:p w:rsidR="00381994" w:rsidRPr="007E5071" w:rsidRDefault="00641B91" w:rsidP="0082252F">
            <w:pPr>
              <w:pStyle w:val="Tabletext"/>
              <w:keepNext/>
              <w:keepLines/>
              <w:jc w:val="center"/>
            </w:pPr>
            <w:r w:rsidRPr="007E5071">
              <w:t>$</w:t>
            </w:r>
            <w:r w:rsidR="00BF12D4">
              <w:rPr>
                <w:noProof/>
                <w:color w:val="000000"/>
                <w:highlight w:val="black"/>
              </w:rPr>
              <w:t>'''''''''''''''''</w:t>
            </w:r>
            <w:r w:rsidR="00305A04" w:rsidRPr="007E5071">
              <w:rPr>
                <w:vertAlign w:val="superscript"/>
              </w:rPr>
              <w:t>d</w:t>
            </w:r>
          </w:p>
        </w:tc>
      </w:tr>
      <w:tr w:rsidR="002077CA" w:rsidRPr="007E5071" w:rsidTr="002077CA">
        <w:trPr>
          <w:jc w:val="center"/>
        </w:trPr>
        <w:tc>
          <w:tcPr>
            <w:tcW w:w="5000" w:type="pct"/>
            <w:gridSpan w:val="4"/>
            <w:shd w:val="clear" w:color="auto" w:fill="auto"/>
            <w:vAlign w:val="center"/>
          </w:tcPr>
          <w:p w:rsidR="002077CA" w:rsidRPr="007E5071" w:rsidRDefault="002077CA" w:rsidP="0082252F">
            <w:pPr>
              <w:pStyle w:val="Tabletext"/>
              <w:keepNext/>
              <w:keepLines/>
            </w:pPr>
            <w:r w:rsidRPr="007E5071">
              <w:rPr>
                <w:b/>
              </w:rPr>
              <w:t>NIVO+IPI*</w:t>
            </w:r>
          </w:p>
        </w:tc>
      </w:tr>
      <w:tr w:rsidR="008B2797" w:rsidRPr="007E5071" w:rsidTr="009A4736">
        <w:trPr>
          <w:jc w:val="center"/>
        </w:trPr>
        <w:tc>
          <w:tcPr>
            <w:tcW w:w="935" w:type="pct"/>
            <w:shd w:val="clear" w:color="auto" w:fill="auto"/>
            <w:vAlign w:val="center"/>
          </w:tcPr>
          <w:p w:rsidR="008B2797" w:rsidRPr="007E5071" w:rsidRDefault="008B2797" w:rsidP="0082252F">
            <w:pPr>
              <w:pStyle w:val="Tabletext"/>
              <w:keepNext/>
              <w:keepLines/>
            </w:pPr>
            <w:r w:rsidRPr="007E5071">
              <w:t>Dose</w:t>
            </w:r>
          </w:p>
        </w:tc>
        <w:tc>
          <w:tcPr>
            <w:tcW w:w="1313" w:type="pct"/>
            <w:shd w:val="clear" w:color="auto" w:fill="auto"/>
            <w:vAlign w:val="center"/>
          </w:tcPr>
          <w:p w:rsidR="008B2797" w:rsidRPr="007E5071" w:rsidRDefault="008B2797" w:rsidP="0082252F">
            <w:pPr>
              <w:pStyle w:val="Tabletext"/>
              <w:keepNext/>
              <w:keepLines/>
              <w:jc w:val="center"/>
            </w:pPr>
            <w:r w:rsidRPr="007E5071">
              <w:t>Induction:</w:t>
            </w:r>
          </w:p>
          <w:p w:rsidR="008B2797" w:rsidRPr="007E5071" w:rsidRDefault="008B2797" w:rsidP="0082252F">
            <w:pPr>
              <w:pStyle w:val="Tabletext"/>
              <w:keepNext/>
              <w:keepLines/>
              <w:jc w:val="center"/>
            </w:pPr>
            <w:r w:rsidRPr="007E5071">
              <w:t>NIVO 1 mg/kg</w:t>
            </w:r>
            <w:r w:rsidR="004734ED" w:rsidRPr="007E5071">
              <w:t xml:space="preserve"> (80 mg)</w:t>
            </w:r>
            <w:r w:rsidR="00305A04" w:rsidRPr="007E5071">
              <w:rPr>
                <w:vertAlign w:val="superscript"/>
              </w:rPr>
              <w:t>a</w:t>
            </w:r>
            <w:r w:rsidR="00D35380" w:rsidRPr="007E5071">
              <w:t xml:space="preserve"> Q3W</w:t>
            </w:r>
          </w:p>
          <w:p w:rsidR="008B2797" w:rsidRPr="007E5071" w:rsidRDefault="008B2797" w:rsidP="0082252F">
            <w:pPr>
              <w:pStyle w:val="Tabletext"/>
              <w:keepNext/>
              <w:keepLines/>
              <w:jc w:val="center"/>
            </w:pPr>
            <w:r w:rsidRPr="007E5071">
              <w:t>IPI 3 mg/kg</w:t>
            </w:r>
            <w:r w:rsidR="004734ED" w:rsidRPr="007E5071">
              <w:t xml:space="preserve"> (250 mg)</w:t>
            </w:r>
            <w:r w:rsidR="00305A04" w:rsidRPr="007E5071">
              <w:rPr>
                <w:vertAlign w:val="superscript"/>
              </w:rPr>
              <w:t xml:space="preserve">a </w:t>
            </w:r>
            <w:r w:rsidR="00D35380" w:rsidRPr="007E5071">
              <w:t>Q3W</w:t>
            </w:r>
          </w:p>
          <w:p w:rsidR="008B2797" w:rsidRPr="007E5071" w:rsidRDefault="008B2797" w:rsidP="0082252F">
            <w:pPr>
              <w:pStyle w:val="Tabletext"/>
              <w:keepNext/>
              <w:keepLines/>
              <w:jc w:val="center"/>
            </w:pPr>
            <w:r w:rsidRPr="007E5071">
              <w:t>Maintenance:</w:t>
            </w:r>
          </w:p>
          <w:p w:rsidR="008B2797" w:rsidRPr="007E5071" w:rsidRDefault="008B2797" w:rsidP="0082252F">
            <w:pPr>
              <w:pStyle w:val="Tabletext"/>
              <w:keepNext/>
              <w:keepLines/>
              <w:jc w:val="center"/>
              <w:rPr>
                <w:vertAlign w:val="superscript"/>
              </w:rPr>
            </w:pPr>
            <w:r w:rsidRPr="007E5071">
              <w:t>NIVO 3mg/kg</w:t>
            </w:r>
            <w:r w:rsidR="004734ED" w:rsidRPr="007E5071">
              <w:t xml:space="preserve"> (240 mg)</w:t>
            </w:r>
            <w:r w:rsidR="00305A04" w:rsidRPr="007E5071">
              <w:rPr>
                <w:vertAlign w:val="superscript"/>
              </w:rPr>
              <w:t>a</w:t>
            </w:r>
            <w:r w:rsidRPr="007E5071">
              <w:t xml:space="preserve"> Q2W</w:t>
            </w:r>
          </w:p>
        </w:tc>
        <w:tc>
          <w:tcPr>
            <w:tcW w:w="1432" w:type="pct"/>
            <w:shd w:val="clear" w:color="auto" w:fill="auto"/>
            <w:vAlign w:val="center"/>
          </w:tcPr>
          <w:p w:rsidR="008B2797" w:rsidRPr="007E5071" w:rsidRDefault="008B2797" w:rsidP="0082252F">
            <w:pPr>
              <w:pStyle w:val="Tabletext"/>
              <w:keepNext/>
              <w:keepLines/>
              <w:jc w:val="center"/>
            </w:pPr>
            <w:r w:rsidRPr="007E5071">
              <w:t>Induction:</w:t>
            </w:r>
          </w:p>
          <w:p w:rsidR="00D35380" w:rsidRPr="007E5071" w:rsidRDefault="00D35380" w:rsidP="0082252F">
            <w:pPr>
              <w:pStyle w:val="Tabletext"/>
              <w:keepNext/>
              <w:keepLines/>
              <w:jc w:val="center"/>
            </w:pPr>
            <w:r w:rsidRPr="007E5071">
              <w:t>NIVO 1 mg/kg (80 mg)</w:t>
            </w:r>
            <w:r w:rsidR="00305A04" w:rsidRPr="007E5071">
              <w:rPr>
                <w:vertAlign w:val="superscript"/>
              </w:rPr>
              <w:t>c</w:t>
            </w:r>
            <w:r w:rsidRPr="007E5071">
              <w:t xml:space="preserve"> Q3W</w:t>
            </w:r>
          </w:p>
          <w:p w:rsidR="00D35380" w:rsidRPr="007E5071" w:rsidRDefault="00D35380" w:rsidP="0082252F">
            <w:pPr>
              <w:pStyle w:val="Tabletext"/>
              <w:keepNext/>
              <w:keepLines/>
              <w:jc w:val="center"/>
            </w:pPr>
            <w:r w:rsidRPr="007E5071">
              <w:t>IPI 3 mg/kg (250 mg)</w:t>
            </w:r>
            <w:r w:rsidR="00305A04" w:rsidRPr="007E5071">
              <w:rPr>
                <w:vertAlign w:val="superscript"/>
              </w:rPr>
              <w:t>c</w:t>
            </w:r>
            <w:r w:rsidRPr="007E5071">
              <w:rPr>
                <w:vertAlign w:val="superscript"/>
              </w:rPr>
              <w:t xml:space="preserve"> </w:t>
            </w:r>
            <w:r w:rsidRPr="007E5071">
              <w:t>Q3W</w:t>
            </w:r>
          </w:p>
          <w:p w:rsidR="008B2797" w:rsidRPr="007E5071" w:rsidRDefault="008B2797" w:rsidP="0082252F">
            <w:pPr>
              <w:pStyle w:val="Tabletext"/>
              <w:keepNext/>
              <w:keepLines/>
              <w:jc w:val="center"/>
            </w:pPr>
            <w:r w:rsidRPr="007E5071">
              <w:t>Maintenance:</w:t>
            </w:r>
          </w:p>
          <w:p w:rsidR="008B2797" w:rsidRPr="007E5071" w:rsidRDefault="008B2797" w:rsidP="0082252F">
            <w:pPr>
              <w:pStyle w:val="Tabletext"/>
              <w:keepNext/>
              <w:keepLines/>
              <w:jc w:val="center"/>
              <w:rPr>
                <w:vertAlign w:val="superscript"/>
              </w:rPr>
            </w:pPr>
            <w:r w:rsidRPr="007E5071">
              <w:t>NIVO 3 mg/kg</w:t>
            </w:r>
            <w:r w:rsidR="004734ED" w:rsidRPr="007E5071">
              <w:t xml:space="preserve"> (237 mg)</w:t>
            </w:r>
            <w:r w:rsidR="00305A04" w:rsidRPr="007E5071">
              <w:rPr>
                <w:vertAlign w:val="superscript"/>
              </w:rPr>
              <w:t>c</w:t>
            </w:r>
            <w:r w:rsidRPr="007E5071">
              <w:t xml:space="preserve"> Q2W, 240 mg Q2W or 480 mg Q4W</w:t>
            </w:r>
          </w:p>
        </w:tc>
        <w:tc>
          <w:tcPr>
            <w:tcW w:w="1320" w:type="pct"/>
            <w:shd w:val="clear" w:color="auto" w:fill="auto"/>
            <w:vAlign w:val="center"/>
          </w:tcPr>
          <w:p w:rsidR="004734ED" w:rsidRPr="007E5071" w:rsidRDefault="004734ED" w:rsidP="0082252F">
            <w:pPr>
              <w:pStyle w:val="Tabletext"/>
              <w:keepNext/>
              <w:keepLines/>
              <w:jc w:val="center"/>
            </w:pPr>
            <w:r w:rsidRPr="007E5071">
              <w:t>Induction:</w:t>
            </w:r>
          </w:p>
          <w:p w:rsidR="00D35380" w:rsidRPr="007E5071" w:rsidRDefault="00D35380" w:rsidP="0082252F">
            <w:pPr>
              <w:pStyle w:val="Tabletext"/>
              <w:keepNext/>
              <w:keepLines/>
              <w:jc w:val="center"/>
            </w:pPr>
            <w:r w:rsidRPr="007E5071">
              <w:t>NIVO 1 mg/kg (80 mg)</w:t>
            </w:r>
            <w:r w:rsidR="00305A04" w:rsidRPr="007E5071">
              <w:rPr>
                <w:vertAlign w:val="superscript"/>
              </w:rPr>
              <w:t>c</w:t>
            </w:r>
            <w:r w:rsidRPr="007E5071">
              <w:t xml:space="preserve"> Q3W</w:t>
            </w:r>
          </w:p>
          <w:p w:rsidR="00D35380" w:rsidRPr="007E5071" w:rsidRDefault="00D35380" w:rsidP="0082252F">
            <w:pPr>
              <w:pStyle w:val="Tabletext"/>
              <w:keepNext/>
              <w:keepLines/>
              <w:jc w:val="center"/>
            </w:pPr>
            <w:r w:rsidRPr="007E5071">
              <w:t>IPI 3 mg/kg (250 mg)</w:t>
            </w:r>
            <w:r w:rsidR="00305A04" w:rsidRPr="007E5071">
              <w:rPr>
                <w:vertAlign w:val="superscript"/>
              </w:rPr>
              <w:t>c</w:t>
            </w:r>
            <w:r w:rsidRPr="007E5071">
              <w:rPr>
                <w:vertAlign w:val="superscript"/>
              </w:rPr>
              <w:t xml:space="preserve"> </w:t>
            </w:r>
            <w:r w:rsidRPr="007E5071">
              <w:t>Q3W</w:t>
            </w:r>
          </w:p>
          <w:p w:rsidR="004734ED" w:rsidRPr="007E5071" w:rsidRDefault="004734ED" w:rsidP="0082252F">
            <w:pPr>
              <w:pStyle w:val="Tabletext"/>
              <w:keepNext/>
              <w:keepLines/>
              <w:jc w:val="center"/>
            </w:pPr>
            <w:r w:rsidRPr="007E5071">
              <w:t>Maintenance:</w:t>
            </w:r>
          </w:p>
          <w:p w:rsidR="008B2797" w:rsidRPr="007E5071" w:rsidRDefault="004734ED" w:rsidP="0082252F">
            <w:pPr>
              <w:pStyle w:val="Tabletext"/>
              <w:keepNext/>
              <w:keepLines/>
              <w:jc w:val="center"/>
              <w:rPr>
                <w:vertAlign w:val="superscript"/>
              </w:rPr>
            </w:pPr>
            <w:r w:rsidRPr="007E5071">
              <w:t>NIVO 3 mg/kg (237 mg)</w:t>
            </w:r>
            <w:r w:rsidR="00305A04" w:rsidRPr="007E5071">
              <w:rPr>
                <w:vertAlign w:val="superscript"/>
              </w:rPr>
              <w:t>c</w:t>
            </w:r>
            <w:r w:rsidRPr="007E5071">
              <w:t xml:space="preserve"> Q2W, 240 mg Q2W or 480 mg Q4W</w:t>
            </w:r>
          </w:p>
        </w:tc>
      </w:tr>
      <w:tr w:rsidR="009A4736" w:rsidRPr="007E5071" w:rsidTr="009A4736">
        <w:trPr>
          <w:jc w:val="center"/>
        </w:trPr>
        <w:tc>
          <w:tcPr>
            <w:tcW w:w="935" w:type="pct"/>
            <w:shd w:val="clear" w:color="auto" w:fill="auto"/>
            <w:vAlign w:val="center"/>
          </w:tcPr>
          <w:p w:rsidR="009A4736" w:rsidRPr="007E5071" w:rsidRDefault="009A4736" w:rsidP="008B2797">
            <w:pPr>
              <w:pStyle w:val="Tabletext"/>
            </w:pPr>
            <w:r w:rsidRPr="007E5071">
              <w:t>Cost per infusion</w:t>
            </w:r>
          </w:p>
        </w:tc>
        <w:tc>
          <w:tcPr>
            <w:tcW w:w="1313" w:type="pct"/>
            <w:shd w:val="clear" w:color="auto" w:fill="auto"/>
            <w:vAlign w:val="center"/>
          </w:tcPr>
          <w:p w:rsidR="009A4736" w:rsidRPr="007E5071" w:rsidRDefault="00263513" w:rsidP="008B2797">
            <w:pPr>
              <w:pStyle w:val="Tabletext"/>
              <w:jc w:val="center"/>
            </w:pPr>
            <w:r w:rsidRPr="007E5071">
              <w:t>Induction:</w:t>
            </w:r>
          </w:p>
          <w:p w:rsidR="00263513" w:rsidRPr="007E5071" w:rsidRDefault="00263513" w:rsidP="008B2797">
            <w:pPr>
              <w:pStyle w:val="Tabletext"/>
              <w:jc w:val="center"/>
            </w:pPr>
            <w:r w:rsidRPr="007E5071">
              <w:t>NIVO $</w:t>
            </w:r>
            <w:r w:rsidR="00BF12D4">
              <w:rPr>
                <w:noProof/>
                <w:color w:val="000000"/>
                <w:highlight w:val="black"/>
              </w:rPr>
              <w:t>''''''''''''''''''''''</w:t>
            </w:r>
          </w:p>
          <w:p w:rsidR="00263513" w:rsidRPr="007E5071" w:rsidRDefault="00263513" w:rsidP="008B2797">
            <w:pPr>
              <w:pStyle w:val="Tabletext"/>
              <w:jc w:val="center"/>
            </w:pPr>
            <w:r w:rsidRPr="007E5071">
              <w:t>IPI $</w:t>
            </w:r>
            <w:r w:rsidR="00BF12D4">
              <w:rPr>
                <w:noProof/>
                <w:color w:val="000000"/>
                <w:highlight w:val="black"/>
              </w:rPr>
              <w:t>'''''''''''''''''''''''</w:t>
            </w:r>
          </w:p>
          <w:p w:rsidR="00263513" w:rsidRPr="007E5071" w:rsidRDefault="00263513" w:rsidP="008B2797">
            <w:pPr>
              <w:pStyle w:val="Tabletext"/>
              <w:jc w:val="center"/>
            </w:pPr>
            <w:r w:rsidRPr="007E5071">
              <w:t>Maintenance</w:t>
            </w:r>
          </w:p>
          <w:p w:rsidR="00263513" w:rsidRPr="007E5071" w:rsidRDefault="00263513" w:rsidP="008B2797">
            <w:pPr>
              <w:pStyle w:val="Tabletext"/>
              <w:jc w:val="center"/>
            </w:pPr>
            <w:r w:rsidRPr="007E5071">
              <w:t>NIVO $</w:t>
            </w:r>
            <w:r w:rsidR="00BF12D4">
              <w:rPr>
                <w:noProof/>
                <w:color w:val="000000"/>
                <w:highlight w:val="black"/>
              </w:rPr>
              <w:t>'''''''''''''''''''''</w:t>
            </w:r>
          </w:p>
        </w:tc>
        <w:tc>
          <w:tcPr>
            <w:tcW w:w="1432" w:type="pct"/>
            <w:shd w:val="clear" w:color="auto" w:fill="auto"/>
            <w:vAlign w:val="center"/>
          </w:tcPr>
          <w:p w:rsidR="00263513" w:rsidRPr="007E5071" w:rsidRDefault="00263513" w:rsidP="00263513">
            <w:pPr>
              <w:pStyle w:val="Tabletext"/>
              <w:jc w:val="center"/>
            </w:pPr>
            <w:r w:rsidRPr="007E5071">
              <w:t>Induction:</w:t>
            </w:r>
          </w:p>
          <w:p w:rsidR="00263513" w:rsidRPr="007E5071" w:rsidRDefault="00263513" w:rsidP="00263513">
            <w:pPr>
              <w:pStyle w:val="Tabletext"/>
              <w:jc w:val="center"/>
            </w:pPr>
            <w:r w:rsidRPr="007E5071">
              <w:t>NIVO $</w:t>
            </w:r>
            <w:r w:rsidR="00BF12D4">
              <w:rPr>
                <w:noProof/>
                <w:color w:val="000000"/>
                <w:highlight w:val="black"/>
              </w:rPr>
              <w:t>'''''''''''''''''''''</w:t>
            </w:r>
          </w:p>
          <w:p w:rsidR="00263513" w:rsidRPr="007E5071" w:rsidRDefault="00263513" w:rsidP="00263513">
            <w:pPr>
              <w:pStyle w:val="Tabletext"/>
              <w:jc w:val="center"/>
            </w:pPr>
            <w:r w:rsidRPr="007E5071">
              <w:t>IPI $</w:t>
            </w:r>
            <w:r w:rsidR="00BF12D4">
              <w:rPr>
                <w:noProof/>
                <w:color w:val="000000"/>
                <w:highlight w:val="black"/>
              </w:rPr>
              <w:t>''''''''''''''''''''''</w:t>
            </w:r>
          </w:p>
          <w:p w:rsidR="00263513" w:rsidRPr="007E5071" w:rsidRDefault="00263513" w:rsidP="00263513">
            <w:pPr>
              <w:pStyle w:val="Tabletext"/>
              <w:jc w:val="center"/>
            </w:pPr>
            <w:r w:rsidRPr="007E5071">
              <w:t>Maintenance (NIVO)</w:t>
            </w:r>
          </w:p>
          <w:p w:rsidR="00263513" w:rsidRPr="007E5071" w:rsidRDefault="00263513" w:rsidP="00263513">
            <w:pPr>
              <w:pStyle w:val="Tabletext"/>
              <w:jc w:val="center"/>
            </w:pPr>
            <w:r w:rsidRPr="007E5071">
              <w:t>3 mg/kg: $</w:t>
            </w:r>
            <w:r w:rsidR="00BF12D4">
              <w:rPr>
                <w:noProof/>
                <w:color w:val="000000"/>
                <w:highlight w:val="black"/>
              </w:rPr>
              <w:t>''''''''''''''''''''</w:t>
            </w:r>
          </w:p>
          <w:p w:rsidR="00263513" w:rsidRPr="007E5071" w:rsidRDefault="00263513" w:rsidP="00263513">
            <w:pPr>
              <w:pStyle w:val="Tabletext"/>
              <w:jc w:val="center"/>
            </w:pPr>
            <w:r w:rsidRPr="007E5071">
              <w:t>240 mg: $</w:t>
            </w:r>
            <w:r w:rsidR="00BF12D4">
              <w:rPr>
                <w:noProof/>
                <w:color w:val="000000"/>
                <w:highlight w:val="black"/>
              </w:rPr>
              <w:t>''''''''''''''''''''</w:t>
            </w:r>
          </w:p>
          <w:p w:rsidR="009A4736" w:rsidRPr="007E5071" w:rsidRDefault="00263513" w:rsidP="00263513">
            <w:pPr>
              <w:pStyle w:val="Tabletext"/>
              <w:jc w:val="center"/>
            </w:pPr>
            <w:r w:rsidRPr="007E5071">
              <w:t>480 mg: $</w:t>
            </w:r>
            <w:r w:rsidR="00BF12D4">
              <w:rPr>
                <w:noProof/>
                <w:color w:val="000000"/>
                <w:highlight w:val="black"/>
              </w:rPr>
              <w:t>'''''''''''''''''''''</w:t>
            </w:r>
          </w:p>
        </w:tc>
        <w:tc>
          <w:tcPr>
            <w:tcW w:w="1320" w:type="pct"/>
            <w:shd w:val="clear" w:color="auto" w:fill="auto"/>
            <w:vAlign w:val="center"/>
          </w:tcPr>
          <w:p w:rsidR="00263513" w:rsidRPr="007E5071" w:rsidRDefault="00263513" w:rsidP="00263513">
            <w:pPr>
              <w:pStyle w:val="Tabletext"/>
              <w:jc w:val="center"/>
            </w:pPr>
            <w:r w:rsidRPr="007E5071">
              <w:t>Induction:</w:t>
            </w:r>
          </w:p>
          <w:p w:rsidR="00263513" w:rsidRPr="007E5071" w:rsidRDefault="00263513" w:rsidP="00263513">
            <w:pPr>
              <w:pStyle w:val="Tabletext"/>
              <w:jc w:val="center"/>
            </w:pPr>
            <w:r w:rsidRPr="007E5071">
              <w:t>NIVO $</w:t>
            </w:r>
            <w:r w:rsidR="00BF12D4">
              <w:rPr>
                <w:noProof/>
                <w:color w:val="000000"/>
                <w:highlight w:val="black"/>
              </w:rPr>
              <w:t>'''''''''''''''''''</w:t>
            </w:r>
          </w:p>
          <w:p w:rsidR="00263513" w:rsidRPr="007E5071" w:rsidRDefault="00263513" w:rsidP="00263513">
            <w:pPr>
              <w:pStyle w:val="Tabletext"/>
              <w:jc w:val="center"/>
            </w:pPr>
            <w:r w:rsidRPr="007E5071">
              <w:t>IPI $</w:t>
            </w:r>
            <w:r w:rsidR="00BF12D4">
              <w:rPr>
                <w:noProof/>
                <w:color w:val="000000"/>
                <w:highlight w:val="black"/>
              </w:rPr>
              <w:t>'''''''''''''''''''</w:t>
            </w:r>
          </w:p>
          <w:p w:rsidR="00263513" w:rsidRPr="007E5071" w:rsidRDefault="00263513" w:rsidP="00263513">
            <w:pPr>
              <w:pStyle w:val="Tabletext"/>
              <w:jc w:val="center"/>
            </w:pPr>
            <w:r w:rsidRPr="007E5071">
              <w:t>Maintenance (NIVO)</w:t>
            </w:r>
          </w:p>
          <w:p w:rsidR="00263513" w:rsidRPr="007E5071" w:rsidRDefault="00263513" w:rsidP="00263513">
            <w:pPr>
              <w:pStyle w:val="Tabletext"/>
              <w:jc w:val="center"/>
            </w:pPr>
            <w:r w:rsidRPr="007E5071">
              <w:t>3 mg/kg: $</w:t>
            </w:r>
            <w:r w:rsidR="00BF12D4">
              <w:rPr>
                <w:noProof/>
                <w:color w:val="000000"/>
                <w:highlight w:val="black"/>
              </w:rPr>
              <w:t>'''''''''''''''''''</w:t>
            </w:r>
          </w:p>
          <w:p w:rsidR="00263513" w:rsidRPr="007E5071" w:rsidRDefault="00263513" w:rsidP="00263513">
            <w:pPr>
              <w:pStyle w:val="Tabletext"/>
              <w:jc w:val="center"/>
            </w:pPr>
            <w:r w:rsidRPr="007E5071">
              <w:t>240 mg: $</w:t>
            </w:r>
            <w:r w:rsidR="00BF12D4">
              <w:rPr>
                <w:noProof/>
                <w:color w:val="000000"/>
                <w:highlight w:val="black"/>
              </w:rPr>
              <w:t>'''''''''''''''''''''''</w:t>
            </w:r>
          </w:p>
          <w:p w:rsidR="009A4736" w:rsidRPr="007E5071" w:rsidRDefault="00263513" w:rsidP="00263513">
            <w:pPr>
              <w:pStyle w:val="Tabletext"/>
              <w:jc w:val="center"/>
            </w:pPr>
            <w:r w:rsidRPr="007E5071">
              <w:t>480 mg: $</w:t>
            </w:r>
            <w:r w:rsidR="00BF12D4">
              <w:rPr>
                <w:noProof/>
                <w:color w:val="000000"/>
                <w:highlight w:val="black"/>
              </w:rPr>
              <w:t>'''''''''''''''''''</w:t>
            </w:r>
          </w:p>
        </w:tc>
      </w:tr>
      <w:tr w:rsidR="008B2797" w:rsidRPr="007E5071" w:rsidTr="009A4736">
        <w:trPr>
          <w:jc w:val="center"/>
        </w:trPr>
        <w:tc>
          <w:tcPr>
            <w:tcW w:w="935" w:type="pct"/>
            <w:tcBorders>
              <w:bottom w:val="single" w:sz="4" w:space="0" w:color="auto"/>
            </w:tcBorders>
            <w:shd w:val="clear" w:color="auto" w:fill="auto"/>
            <w:vAlign w:val="center"/>
          </w:tcPr>
          <w:p w:rsidR="008B2797" w:rsidRPr="007E5071" w:rsidRDefault="008B2797" w:rsidP="008B2797">
            <w:pPr>
              <w:pStyle w:val="Tabletext"/>
            </w:pPr>
            <w:r w:rsidRPr="007E5071">
              <w:t>Mean duration</w:t>
            </w:r>
          </w:p>
        </w:tc>
        <w:tc>
          <w:tcPr>
            <w:tcW w:w="1313" w:type="pct"/>
            <w:tcBorders>
              <w:bottom w:val="single" w:sz="4" w:space="0" w:color="auto"/>
            </w:tcBorders>
            <w:shd w:val="clear" w:color="auto" w:fill="auto"/>
            <w:vAlign w:val="center"/>
          </w:tcPr>
          <w:p w:rsidR="008B2797" w:rsidRPr="007E5071" w:rsidRDefault="008B2797" w:rsidP="008B2797">
            <w:pPr>
              <w:pStyle w:val="Tabletext"/>
              <w:jc w:val="center"/>
            </w:pPr>
            <w:r w:rsidRPr="007E5071">
              <w:t xml:space="preserve">IPI: </w:t>
            </w:r>
            <w:r w:rsidR="00BF12D4">
              <w:rPr>
                <w:noProof/>
                <w:color w:val="000000"/>
                <w:highlight w:val="black"/>
              </w:rPr>
              <w:t>'''''''''</w:t>
            </w:r>
            <w:r w:rsidRPr="007E5071">
              <w:t xml:space="preserve"> infusions</w:t>
            </w:r>
          </w:p>
          <w:p w:rsidR="008B2797" w:rsidRPr="007E5071" w:rsidRDefault="008B2797" w:rsidP="00305A04">
            <w:pPr>
              <w:pStyle w:val="Tabletext"/>
              <w:jc w:val="center"/>
            </w:pPr>
            <w:r w:rsidRPr="007E5071">
              <w:t xml:space="preserve">NIVO: </w:t>
            </w:r>
            <w:r w:rsidR="00BF12D4">
              <w:rPr>
                <w:noProof/>
                <w:color w:val="000000"/>
                <w:highlight w:val="black"/>
              </w:rPr>
              <w:t>''''''''''</w:t>
            </w:r>
            <w:r w:rsidRPr="007E5071">
              <w:t xml:space="preserve"> infusions Q2W</w:t>
            </w:r>
            <w:r w:rsidR="00305A04" w:rsidRPr="007E5071">
              <w:rPr>
                <w:vertAlign w:val="superscript"/>
              </w:rPr>
              <w:t>b</w:t>
            </w:r>
          </w:p>
        </w:tc>
        <w:tc>
          <w:tcPr>
            <w:tcW w:w="1432" w:type="pct"/>
            <w:tcBorders>
              <w:bottom w:val="single" w:sz="4" w:space="0" w:color="auto"/>
            </w:tcBorders>
            <w:shd w:val="clear" w:color="auto" w:fill="auto"/>
            <w:vAlign w:val="center"/>
          </w:tcPr>
          <w:p w:rsidR="008B2797" w:rsidRPr="007E5071" w:rsidRDefault="009A4736" w:rsidP="008B2797">
            <w:pPr>
              <w:pStyle w:val="Tabletext"/>
              <w:jc w:val="center"/>
            </w:pPr>
            <w:r w:rsidRPr="007E5071">
              <w:t>Induction (NIVO+IPI)</w:t>
            </w:r>
            <w:r w:rsidR="008B2797" w:rsidRPr="007E5071">
              <w:t xml:space="preserve">: </w:t>
            </w:r>
            <w:r w:rsidRPr="007E5071">
              <w:br/>
            </w:r>
            <w:r w:rsidR="008B2797" w:rsidRPr="007E5071">
              <w:t>3.2 infusions</w:t>
            </w:r>
          </w:p>
          <w:p w:rsidR="008B2797" w:rsidRPr="007E5071" w:rsidRDefault="008B2797" w:rsidP="008B2797">
            <w:pPr>
              <w:pStyle w:val="Tabletext"/>
              <w:jc w:val="center"/>
            </w:pPr>
            <w:r w:rsidRPr="007E5071">
              <w:t>Maintenance</w:t>
            </w:r>
            <w:r w:rsidR="009A4736" w:rsidRPr="007E5071">
              <w:t xml:space="preserve"> (NIVO):</w:t>
            </w:r>
            <w:r w:rsidRPr="007E5071">
              <w:t xml:space="preserve"> </w:t>
            </w:r>
            <w:r w:rsidR="009A4736" w:rsidRPr="007E5071">
              <w:br/>
            </w:r>
            <w:r w:rsidR="00BF12D4">
              <w:rPr>
                <w:noProof/>
                <w:color w:val="000000"/>
                <w:highlight w:val="black"/>
              </w:rPr>
              <w:t>'''''''''''</w:t>
            </w:r>
            <w:r w:rsidRPr="007E5071">
              <w:t xml:space="preserve"> infusions Q2W or </w:t>
            </w:r>
            <w:r w:rsidR="009A4736" w:rsidRPr="007E5071">
              <w:br/>
            </w:r>
            <w:r w:rsidR="00BF12D4">
              <w:rPr>
                <w:noProof/>
                <w:color w:val="000000"/>
                <w:highlight w:val="black"/>
              </w:rPr>
              <w:t>'''''''''</w:t>
            </w:r>
            <w:r w:rsidRPr="007E5071">
              <w:t xml:space="preserve"> infusions Q4W</w:t>
            </w:r>
          </w:p>
        </w:tc>
        <w:tc>
          <w:tcPr>
            <w:tcW w:w="1320" w:type="pct"/>
            <w:tcBorders>
              <w:bottom w:val="single" w:sz="4" w:space="0" w:color="auto"/>
            </w:tcBorders>
            <w:shd w:val="clear" w:color="auto" w:fill="auto"/>
            <w:vAlign w:val="center"/>
          </w:tcPr>
          <w:p w:rsidR="009A4736" w:rsidRPr="007E5071" w:rsidRDefault="009A4736" w:rsidP="009A4736">
            <w:pPr>
              <w:pStyle w:val="Tabletext"/>
              <w:jc w:val="center"/>
            </w:pPr>
            <w:r w:rsidRPr="007E5071">
              <w:t xml:space="preserve">Induction (NIVO+IPI): </w:t>
            </w:r>
            <w:r w:rsidRPr="007E5071">
              <w:br/>
              <w:t>3.2 infusions</w:t>
            </w:r>
          </w:p>
          <w:p w:rsidR="008B2797" w:rsidRPr="007E5071" w:rsidRDefault="009A4736" w:rsidP="009A4736">
            <w:pPr>
              <w:pStyle w:val="Tabletext"/>
              <w:jc w:val="center"/>
            </w:pPr>
            <w:r w:rsidRPr="007E5071">
              <w:t xml:space="preserve">Maintenance (NIVO): </w:t>
            </w:r>
            <w:r w:rsidRPr="007E5071">
              <w:br/>
            </w:r>
            <w:r w:rsidR="00BF12D4">
              <w:rPr>
                <w:noProof/>
                <w:color w:val="000000"/>
                <w:highlight w:val="black"/>
              </w:rPr>
              <w:t>''''''''''</w:t>
            </w:r>
            <w:r w:rsidRPr="007E5071">
              <w:t xml:space="preserve"> infusions Q2W or </w:t>
            </w:r>
            <w:r w:rsidRPr="007E5071">
              <w:br/>
            </w:r>
            <w:r w:rsidR="00BF12D4">
              <w:rPr>
                <w:noProof/>
                <w:color w:val="000000"/>
                <w:highlight w:val="black"/>
              </w:rPr>
              <w:t>'''''''</w:t>
            </w:r>
            <w:r w:rsidRPr="007E5071">
              <w:t xml:space="preserve"> infusions Q4W</w:t>
            </w:r>
          </w:p>
        </w:tc>
      </w:tr>
      <w:tr w:rsidR="008B2797" w:rsidRPr="007E5071" w:rsidTr="009A4736">
        <w:trPr>
          <w:jc w:val="center"/>
        </w:trPr>
        <w:tc>
          <w:tcPr>
            <w:tcW w:w="935" w:type="pct"/>
            <w:tcBorders>
              <w:bottom w:val="single" w:sz="4" w:space="0" w:color="auto"/>
            </w:tcBorders>
            <w:shd w:val="clear" w:color="auto" w:fill="auto"/>
            <w:vAlign w:val="center"/>
          </w:tcPr>
          <w:p w:rsidR="008B2797" w:rsidRPr="007E5071" w:rsidRDefault="008B2797" w:rsidP="008B2797">
            <w:pPr>
              <w:pStyle w:val="Tabletext"/>
            </w:pPr>
            <w:r w:rsidRPr="007E5071">
              <w:t>Cost/patient//course</w:t>
            </w:r>
          </w:p>
        </w:tc>
        <w:tc>
          <w:tcPr>
            <w:tcW w:w="1313" w:type="pct"/>
            <w:tcBorders>
              <w:bottom w:val="single" w:sz="4" w:space="0" w:color="auto"/>
            </w:tcBorders>
            <w:shd w:val="clear" w:color="auto" w:fill="auto"/>
            <w:vAlign w:val="center"/>
          </w:tcPr>
          <w:p w:rsidR="00530B73" w:rsidRPr="007E5071" w:rsidRDefault="00530B73" w:rsidP="008B2797">
            <w:pPr>
              <w:pStyle w:val="Tabletext"/>
              <w:jc w:val="center"/>
            </w:pPr>
            <w:r w:rsidRPr="007E5071">
              <w:t>IPI</w:t>
            </w:r>
            <w:r w:rsidR="0044067F" w:rsidRPr="007E5071">
              <w:t>: $</w:t>
            </w:r>
            <w:r w:rsidR="00BF12D4">
              <w:rPr>
                <w:noProof/>
                <w:color w:val="000000"/>
                <w:highlight w:val="black"/>
              </w:rPr>
              <w:t>'''''''''''''''</w:t>
            </w:r>
          </w:p>
          <w:p w:rsidR="0044067F" w:rsidRPr="007E5071" w:rsidRDefault="0044067F" w:rsidP="008B2797">
            <w:pPr>
              <w:pStyle w:val="Tabletext"/>
              <w:jc w:val="center"/>
            </w:pPr>
            <w:r w:rsidRPr="007E5071">
              <w:t>NIVO: $</w:t>
            </w:r>
            <w:r w:rsidR="00BF12D4">
              <w:rPr>
                <w:noProof/>
                <w:color w:val="000000"/>
                <w:highlight w:val="black"/>
              </w:rPr>
              <w:t>'''''''''''''''''</w:t>
            </w:r>
          </w:p>
          <w:p w:rsidR="008B2797" w:rsidRPr="007E5071" w:rsidRDefault="0044067F" w:rsidP="008B2797">
            <w:pPr>
              <w:pStyle w:val="Tabletext"/>
              <w:jc w:val="center"/>
            </w:pPr>
            <w:r w:rsidRPr="007E5071">
              <w:t xml:space="preserve">TOTAL: </w:t>
            </w:r>
            <w:r w:rsidR="008B2797" w:rsidRPr="007E5071">
              <w:t>$</w:t>
            </w:r>
            <w:r w:rsidR="00BF12D4">
              <w:rPr>
                <w:noProof/>
                <w:color w:val="000000"/>
                <w:highlight w:val="black"/>
              </w:rPr>
              <w:t>'''''''''''''''''''''</w:t>
            </w:r>
          </w:p>
        </w:tc>
        <w:tc>
          <w:tcPr>
            <w:tcW w:w="1432" w:type="pct"/>
            <w:tcBorders>
              <w:bottom w:val="single" w:sz="4" w:space="0" w:color="auto"/>
            </w:tcBorders>
            <w:shd w:val="clear" w:color="auto" w:fill="auto"/>
            <w:vAlign w:val="center"/>
          </w:tcPr>
          <w:p w:rsidR="00530B73" w:rsidRPr="007E5071" w:rsidRDefault="001E659C" w:rsidP="00530B73">
            <w:pPr>
              <w:pStyle w:val="Tabletext"/>
              <w:jc w:val="center"/>
            </w:pPr>
            <w:r w:rsidRPr="007E5071">
              <w:t>IPI: $</w:t>
            </w:r>
            <w:r w:rsidR="00BF12D4">
              <w:rPr>
                <w:noProof/>
                <w:color w:val="000000"/>
                <w:highlight w:val="black"/>
              </w:rPr>
              <w:t>'''''''''''''''</w:t>
            </w:r>
          </w:p>
          <w:p w:rsidR="00530B73" w:rsidRPr="007E5071" w:rsidRDefault="00530B73" w:rsidP="008B2797">
            <w:pPr>
              <w:pStyle w:val="Tabletext"/>
              <w:jc w:val="center"/>
            </w:pPr>
            <w:r w:rsidRPr="007E5071">
              <w:t xml:space="preserve">NIVO: </w:t>
            </w:r>
            <w:r w:rsidR="006C3627">
              <w:t>$</w:t>
            </w:r>
            <w:r w:rsidR="00BF12D4">
              <w:rPr>
                <w:noProof/>
                <w:color w:val="000000"/>
                <w:highlight w:val="black"/>
              </w:rPr>
              <w:t>''''''''''''''''</w:t>
            </w:r>
          </w:p>
          <w:p w:rsidR="008B2797" w:rsidRPr="007E5071" w:rsidRDefault="00530B73" w:rsidP="00305A04">
            <w:pPr>
              <w:pStyle w:val="Tabletext"/>
              <w:jc w:val="center"/>
              <w:rPr>
                <w:vertAlign w:val="superscript"/>
              </w:rPr>
            </w:pPr>
            <w:r w:rsidRPr="007E5071">
              <w:t xml:space="preserve">TOTAL: </w:t>
            </w:r>
            <w:r w:rsidR="008B2797" w:rsidRPr="007E5071">
              <w:t>$</w:t>
            </w:r>
            <w:r w:rsidR="00BF12D4">
              <w:rPr>
                <w:noProof/>
                <w:color w:val="000000"/>
                <w:highlight w:val="black"/>
              </w:rPr>
              <w:t>''''''''''''''''</w:t>
            </w:r>
            <w:r w:rsidR="00305A04" w:rsidRPr="007E5071">
              <w:rPr>
                <w:vertAlign w:val="superscript"/>
              </w:rPr>
              <w:t>d</w:t>
            </w:r>
          </w:p>
        </w:tc>
        <w:tc>
          <w:tcPr>
            <w:tcW w:w="1320" w:type="pct"/>
            <w:tcBorders>
              <w:bottom w:val="single" w:sz="4" w:space="0" w:color="auto"/>
            </w:tcBorders>
            <w:shd w:val="clear" w:color="auto" w:fill="auto"/>
            <w:vAlign w:val="center"/>
          </w:tcPr>
          <w:p w:rsidR="00641B91" w:rsidRPr="007E5071" w:rsidRDefault="00641B91" w:rsidP="00641B91">
            <w:pPr>
              <w:pStyle w:val="Tabletext"/>
              <w:jc w:val="center"/>
            </w:pPr>
            <w:r w:rsidRPr="007E5071">
              <w:t>IPI: $</w:t>
            </w:r>
            <w:r w:rsidR="00BF12D4">
              <w:rPr>
                <w:noProof/>
                <w:color w:val="000000"/>
                <w:highlight w:val="black"/>
              </w:rPr>
              <w:t>'''''''''''''''</w:t>
            </w:r>
          </w:p>
          <w:p w:rsidR="00641B91" w:rsidRPr="007E5071" w:rsidRDefault="00641B91" w:rsidP="00641B91">
            <w:pPr>
              <w:pStyle w:val="Tabletext"/>
              <w:jc w:val="center"/>
            </w:pPr>
            <w:r w:rsidRPr="007E5071">
              <w:t xml:space="preserve">NIVO: </w:t>
            </w:r>
            <w:r w:rsidR="006C3627">
              <w:t>$</w:t>
            </w:r>
            <w:r w:rsidR="00BF12D4">
              <w:rPr>
                <w:noProof/>
                <w:color w:val="000000"/>
                <w:highlight w:val="black"/>
              </w:rPr>
              <w:t>''''''''''''''''</w:t>
            </w:r>
          </w:p>
          <w:p w:rsidR="008B2797" w:rsidRPr="007E5071" w:rsidRDefault="00641B91" w:rsidP="00305A04">
            <w:pPr>
              <w:pStyle w:val="Tabletext"/>
              <w:jc w:val="center"/>
              <w:rPr>
                <w:vertAlign w:val="superscript"/>
              </w:rPr>
            </w:pPr>
            <w:r w:rsidRPr="007E5071">
              <w:t>TOTAL: $</w:t>
            </w:r>
            <w:r w:rsidR="00BF12D4">
              <w:rPr>
                <w:noProof/>
                <w:color w:val="000000"/>
                <w:highlight w:val="black"/>
              </w:rPr>
              <w:t>'''''''''''''''</w:t>
            </w:r>
            <w:r w:rsidR="00305A04" w:rsidRPr="007E5071">
              <w:rPr>
                <w:vertAlign w:val="superscript"/>
              </w:rPr>
              <w:t>d</w:t>
            </w:r>
          </w:p>
        </w:tc>
      </w:tr>
      <w:tr w:rsidR="002077CA" w:rsidRPr="007E5071" w:rsidTr="002077CA">
        <w:trPr>
          <w:jc w:val="center"/>
        </w:trPr>
        <w:tc>
          <w:tcPr>
            <w:tcW w:w="5000" w:type="pct"/>
            <w:gridSpan w:val="4"/>
            <w:tcBorders>
              <w:top w:val="double" w:sz="4" w:space="0" w:color="auto"/>
            </w:tcBorders>
            <w:shd w:val="clear" w:color="auto" w:fill="auto"/>
            <w:vAlign w:val="center"/>
          </w:tcPr>
          <w:p w:rsidR="002077CA" w:rsidRPr="007E5071" w:rsidRDefault="002077CA" w:rsidP="002077CA">
            <w:pPr>
              <w:pStyle w:val="Tabletext"/>
              <w:rPr>
                <w:b/>
              </w:rPr>
            </w:pPr>
            <w:r w:rsidRPr="007E5071">
              <w:rPr>
                <w:b/>
              </w:rPr>
              <w:t>DAB+TRAM**</w:t>
            </w:r>
          </w:p>
        </w:tc>
      </w:tr>
      <w:tr w:rsidR="008B2797" w:rsidRPr="007E5071" w:rsidTr="009A4736">
        <w:trPr>
          <w:jc w:val="center"/>
        </w:trPr>
        <w:tc>
          <w:tcPr>
            <w:tcW w:w="935" w:type="pct"/>
            <w:shd w:val="clear" w:color="auto" w:fill="auto"/>
            <w:vAlign w:val="center"/>
          </w:tcPr>
          <w:p w:rsidR="008B2797" w:rsidRPr="007E5071" w:rsidRDefault="008B2797" w:rsidP="008B2797">
            <w:pPr>
              <w:pStyle w:val="Tabletext"/>
            </w:pPr>
            <w:r w:rsidRPr="007E5071">
              <w:t>Dose</w:t>
            </w:r>
          </w:p>
        </w:tc>
        <w:tc>
          <w:tcPr>
            <w:tcW w:w="1313" w:type="pct"/>
            <w:shd w:val="clear" w:color="auto" w:fill="auto"/>
            <w:vAlign w:val="center"/>
          </w:tcPr>
          <w:p w:rsidR="008B2797" w:rsidRPr="007E5071" w:rsidRDefault="008B2797" w:rsidP="008B2797">
            <w:pPr>
              <w:pStyle w:val="Tabletext"/>
              <w:jc w:val="center"/>
            </w:pPr>
            <w:r w:rsidRPr="007E5071">
              <w:t>DAB 150 mg BID</w:t>
            </w:r>
          </w:p>
          <w:p w:rsidR="008B2797" w:rsidRPr="007E5071" w:rsidRDefault="008B2797" w:rsidP="008B2797">
            <w:pPr>
              <w:pStyle w:val="Tabletext"/>
              <w:jc w:val="center"/>
              <w:rPr>
                <w:vertAlign w:val="superscript"/>
              </w:rPr>
            </w:pPr>
            <w:r w:rsidRPr="007E5071">
              <w:t>TRAM 2 mg SID</w:t>
            </w:r>
          </w:p>
        </w:tc>
        <w:tc>
          <w:tcPr>
            <w:tcW w:w="1432" w:type="pct"/>
            <w:shd w:val="clear" w:color="auto" w:fill="auto"/>
          </w:tcPr>
          <w:p w:rsidR="008B2797" w:rsidRPr="007E5071" w:rsidRDefault="008B2797" w:rsidP="008B2797">
            <w:pPr>
              <w:pStyle w:val="Tabletext"/>
              <w:jc w:val="center"/>
            </w:pPr>
            <w:r w:rsidRPr="007E5071">
              <w:t>DAB 150 mg BID</w:t>
            </w:r>
          </w:p>
          <w:p w:rsidR="008B2797" w:rsidRPr="007E5071" w:rsidRDefault="008B2797" w:rsidP="008B2797">
            <w:pPr>
              <w:pStyle w:val="Tabletext"/>
              <w:jc w:val="center"/>
              <w:rPr>
                <w:vertAlign w:val="superscript"/>
              </w:rPr>
            </w:pPr>
            <w:r w:rsidRPr="007E5071">
              <w:t>TRAM 2 mg SID</w:t>
            </w:r>
          </w:p>
        </w:tc>
        <w:tc>
          <w:tcPr>
            <w:tcW w:w="1320" w:type="pct"/>
            <w:shd w:val="clear" w:color="auto" w:fill="auto"/>
          </w:tcPr>
          <w:p w:rsidR="008B2797" w:rsidRPr="007E5071" w:rsidRDefault="008B2797" w:rsidP="008B2797">
            <w:pPr>
              <w:pStyle w:val="Tabletext"/>
              <w:jc w:val="center"/>
            </w:pPr>
            <w:r w:rsidRPr="007E5071">
              <w:t>DAB 150 mg BID</w:t>
            </w:r>
          </w:p>
          <w:p w:rsidR="008B2797" w:rsidRPr="007E5071" w:rsidRDefault="008B2797" w:rsidP="008B2797">
            <w:pPr>
              <w:pStyle w:val="Tabletext"/>
              <w:jc w:val="center"/>
              <w:rPr>
                <w:vertAlign w:val="superscript"/>
              </w:rPr>
            </w:pPr>
            <w:r w:rsidRPr="007E5071">
              <w:t>TRAM 2 mg SID</w:t>
            </w:r>
          </w:p>
        </w:tc>
      </w:tr>
      <w:tr w:rsidR="00263513" w:rsidRPr="007E5071" w:rsidTr="009A4736">
        <w:trPr>
          <w:jc w:val="center"/>
        </w:trPr>
        <w:tc>
          <w:tcPr>
            <w:tcW w:w="935" w:type="pct"/>
            <w:shd w:val="clear" w:color="auto" w:fill="auto"/>
            <w:vAlign w:val="center"/>
          </w:tcPr>
          <w:p w:rsidR="00263513" w:rsidRPr="007E5071" w:rsidRDefault="00263513" w:rsidP="00263513">
            <w:pPr>
              <w:pStyle w:val="Tabletext"/>
            </w:pPr>
            <w:r w:rsidRPr="007E5071">
              <w:t>Cost per 30 days</w:t>
            </w:r>
          </w:p>
        </w:tc>
        <w:tc>
          <w:tcPr>
            <w:tcW w:w="1313" w:type="pct"/>
            <w:shd w:val="clear" w:color="auto" w:fill="auto"/>
            <w:vAlign w:val="center"/>
          </w:tcPr>
          <w:p w:rsidR="00263513" w:rsidRPr="007E5071" w:rsidRDefault="00263513" w:rsidP="00263513">
            <w:pPr>
              <w:pStyle w:val="Tabletext"/>
              <w:jc w:val="center"/>
            </w:pPr>
            <w:r w:rsidRPr="007E5071">
              <w:t>DAB: $</w:t>
            </w:r>
            <w:r w:rsidR="00BF12D4">
              <w:rPr>
                <w:noProof/>
                <w:color w:val="000000"/>
                <w:highlight w:val="black"/>
              </w:rPr>
              <w:t>''''''''''''''''''''</w:t>
            </w:r>
          </w:p>
          <w:p w:rsidR="00263513" w:rsidRPr="007E5071" w:rsidRDefault="00263513" w:rsidP="00263513">
            <w:pPr>
              <w:pStyle w:val="Tabletext"/>
              <w:jc w:val="center"/>
            </w:pPr>
            <w:r w:rsidRPr="007E5071">
              <w:t>TRAM: $</w:t>
            </w:r>
            <w:r w:rsidR="00BF12D4">
              <w:rPr>
                <w:noProof/>
                <w:color w:val="000000"/>
                <w:highlight w:val="black"/>
              </w:rPr>
              <w:t>'''''''''''''''''''''</w:t>
            </w:r>
          </w:p>
        </w:tc>
        <w:tc>
          <w:tcPr>
            <w:tcW w:w="1432" w:type="pct"/>
            <w:shd w:val="clear" w:color="auto" w:fill="auto"/>
          </w:tcPr>
          <w:p w:rsidR="00263513" w:rsidRPr="007E5071" w:rsidRDefault="00263513" w:rsidP="00263513">
            <w:pPr>
              <w:pStyle w:val="Tabletext"/>
              <w:jc w:val="center"/>
            </w:pPr>
            <w:r w:rsidRPr="007E5071">
              <w:t>DAB: $</w:t>
            </w:r>
            <w:r w:rsidR="00BF12D4">
              <w:rPr>
                <w:noProof/>
                <w:color w:val="000000"/>
                <w:highlight w:val="black"/>
              </w:rPr>
              <w:t>'''''''''''''''''''</w:t>
            </w:r>
          </w:p>
          <w:p w:rsidR="002322C9" w:rsidRPr="007E5071" w:rsidRDefault="002322C9" w:rsidP="00263513">
            <w:pPr>
              <w:pStyle w:val="Tabletext"/>
              <w:jc w:val="center"/>
            </w:pPr>
            <w:r w:rsidRPr="007E5071">
              <w:t>TRAM: $</w:t>
            </w:r>
            <w:r w:rsidR="00BF12D4">
              <w:rPr>
                <w:noProof/>
                <w:color w:val="000000"/>
                <w:highlight w:val="black"/>
              </w:rPr>
              <w:t>'''''''''''''''''''''</w:t>
            </w:r>
          </w:p>
        </w:tc>
        <w:tc>
          <w:tcPr>
            <w:tcW w:w="1320" w:type="pct"/>
            <w:shd w:val="clear" w:color="auto" w:fill="auto"/>
          </w:tcPr>
          <w:p w:rsidR="00263513" w:rsidRPr="007E5071" w:rsidRDefault="00263513" w:rsidP="00263513">
            <w:pPr>
              <w:pStyle w:val="Tabletext"/>
              <w:jc w:val="center"/>
            </w:pPr>
            <w:r w:rsidRPr="007E5071">
              <w:t>DAB: $</w:t>
            </w:r>
            <w:r w:rsidR="00BF12D4">
              <w:rPr>
                <w:noProof/>
                <w:color w:val="000000"/>
                <w:highlight w:val="black"/>
              </w:rPr>
              <w:t>''''''''''''''''''''</w:t>
            </w:r>
          </w:p>
          <w:p w:rsidR="002322C9" w:rsidRPr="007E5071" w:rsidRDefault="002322C9" w:rsidP="00263513">
            <w:pPr>
              <w:pStyle w:val="Tabletext"/>
              <w:jc w:val="center"/>
            </w:pPr>
            <w:r w:rsidRPr="007E5071">
              <w:t>TRAM: $</w:t>
            </w:r>
            <w:r w:rsidR="00BF12D4">
              <w:rPr>
                <w:noProof/>
                <w:color w:val="000000"/>
                <w:highlight w:val="black"/>
              </w:rPr>
              <w:t>''''''''''''''''''''''</w:t>
            </w:r>
          </w:p>
        </w:tc>
      </w:tr>
      <w:tr w:rsidR="00641B91" w:rsidRPr="007E5071" w:rsidTr="009A4736">
        <w:trPr>
          <w:jc w:val="center"/>
        </w:trPr>
        <w:tc>
          <w:tcPr>
            <w:tcW w:w="935" w:type="pct"/>
            <w:shd w:val="clear" w:color="auto" w:fill="auto"/>
            <w:vAlign w:val="center"/>
          </w:tcPr>
          <w:p w:rsidR="00641B91" w:rsidRPr="007E5071" w:rsidRDefault="00641B91" w:rsidP="00641B91">
            <w:pPr>
              <w:pStyle w:val="Tabletext"/>
            </w:pPr>
            <w:r w:rsidRPr="007E5071">
              <w:t>Mean duration</w:t>
            </w:r>
          </w:p>
        </w:tc>
        <w:tc>
          <w:tcPr>
            <w:tcW w:w="1313" w:type="pct"/>
            <w:shd w:val="clear" w:color="auto" w:fill="auto"/>
            <w:vAlign w:val="center"/>
          </w:tcPr>
          <w:p w:rsidR="00641B91" w:rsidRPr="007E5071" w:rsidRDefault="00641B91" w:rsidP="00641B91">
            <w:pPr>
              <w:pStyle w:val="Tabletext"/>
              <w:jc w:val="center"/>
            </w:pPr>
            <w:r w:rsidRPr="007E5071">
              <w:t>354 days (11.8 scripts)</w:t>
            </w:r>
            <w:r w:rsidR="001B6579" w:rsidRPr="007E5071">
              <w:rPr>
                <w:vertAlign w:val="superscript"/>
              </w:rPr>
              <w:t>e</w:t>
            </w:r>
          </w:p>
        </w:tc>
        <w:tc>
          <w:tcPr>
            <w:tcW w:w="1432" w:type="pct"/>
            <w:shd w:val="clear" w:color="auto" w:fill="auto"/>
            <w:vAlign w:val="center"/>
          </w:tcPr>
          <w:p w:rsidR="00641B91" w:rsidRPr="007E5071" w:rsidRDefault="00641B91" w:rsidP="00641B91">
            <w:pPr>
              <w:pStyle w:val="Tabletext"/>
              <w:jc w:val="center"/>
            </w:pPr>
            <w:r w:rsidRPr="007E5071">
              <w:t>279 days (9.3 scripts)</w:t>
            </w:r>
          </w:p>
        </w:tc>
        <w:tc>
          <w:tcPr>
            <w:tcW w:w="1320" w:type="pct"/>
            <w:shd w:val="clear" w:color="auto" w:fill="auto"/>
            <w:vAlign w:val="center"/>
          </w:tcPr>
          <w:p w:rsidR="00641B91" w:rsidRPr="007E5071" w:rsidRDefault="00641B91" w:rsidP="00641B91">
            <w:pPr>
              <w:pStyle w:val="Tabletext"/>
              <w:jc w:val="center"/>
            </w:pPr>
            <w:r w:rsidRPr="007E5071">
              <w:t>279 days (9.3 scripts)</w:t>
            </w:r>
          </w:p>
        </w:tc>
      </w:tr>
      <w:tr w:rsidR="00641B91" w:rsidRPr="007E5071" w:rsidTr="009A4736">
        <w:trPr>
          <w:jc w:val="center"/>
        </w:trPr>
        <w:tc>
          <w:tcPr>
            <w:tcW w:w="935" w:type="pct"/>
            <w:shd w:val="clear" w:color="auto" w:fill="auto"/>
            <w:vAlign w:val="center"/>
          </w:tcPr>
          <w:p w:rsidR="00641B91" w:rsidRPr="007E5071" w:rsidRDefault="00641B91" w:rsidP="00641B91">
            <w:pPr>
              <w:pStyle w:val="Tabletext"/>
            </w:pPr>
            <w:r w:rsidRPr="007E5071">
              <w:t>Cost/patient//course</w:t>
            </w:r>
          </w:p>
        </w:tc>
        <w:tc>
          <w:tcPr>
            <w:tcW w:w="1313" w:type="pct"/>
            <w:shd w:val="clear" w:color="auto" w:fill="auto"/>
            <w:vAlign w:val="center"/>
          </w:tcPr>
          <w:p w:rsidR="00641B91" w:rsidRPr="007E5071" w:rsidRDefault="00641B91" w:rsidP="00641B91">
            <w:pPr>
              <w:pStyle w:val="Tabletext"/>
              <w:jc w:val="center"/>
            </w:pPr>
            <w:r w:rsidRPr="007E5071">
              <w:t>$</w:t>
            </w:r>
            <w:r w:rsidR="00BF12D4">
              <w:rPr>
                <w:noProof/>
                <w:color w:val="000000"/>
                <w:highlight w:val="black"/>
              </w:rPr>
              <w:t>'''''''''''''''''''</w:t>
            </w:r>
          </w:p>
        </w:tc>
        <w:tc>
          <w:tcPr>
            <w:tcW w:w="1432" w:type="pct"/>
            <w:shd w:val="clear" w:color="auto" w:fill="auto"/>
            <w:vAlign w:val="center"/>
          </w:tcPr>
          <w:p w:rsidR="00641B91" w:rsidRPr="007E5071" w:rsidRDefault="00641B91" w:rsidP="00641B91">
            <w:pPr>
              <w:pStyle w:val="Tabletext"/>
              <w:jc w:val="center"/>
            </w:pPr>
            <w:r w:rsidRPr="007E5071">
              <w:t>$</w:t>
            </w:r>
            <w:r w:rsidR="00BF12D4">
              <w:rPr>
                <w:noProof/>
                <w:color w:val="000000"/>
                <w:highlight w:val="black"/>
              </w:rPr>
              <w:t>''''''''''''''''</w:t>
            </w:r>
          </w:p>
        </w:tc>
        <w:tc>
          <w:tcPr>
            <w:tcW w:w="1320" w:type="pct"/>
            <w:shd w:val="clear" w:color="auto" w:fill="auto"/>
            <w:vAlign w:val="center"/>
          </w:tcPr>
          <w:p w:rsidR="00641B91" w:rsidRPr="007E5071" w:rsidRDefault="00641B91" w:rsidP="00641B91">
            <w:pPr>
              <w:pStyle w:val="Tabletext"/>
              <w:jc w:val="center"/>
            </w:pPr>
            <w:r w:rsidRPr="007E5071">
              <w:t>$</w:t>
            </w:r>
            <w:r w:rsidR="00BF12D4">
              <w:rPr>
                <w:noProof/>
                <w:color w:val="000000"/>
                <w:highlight w:val="black"/>
              </w:rPr>
              <w:t>'''''''''''''''''</w:t>
            </w:r>
          </w:p>
        </w:tc>
      </w:tr>
    </w:tbl>
    <w:p w:rsidR="00FA01B3" w:rsidRPr="007E5071" w:rsidRDefault="00FA01B3" w:rsidP="001639C4">
      <w:pPr>
        <w:pStyle w:val="TableFooter"/>
      </w:pPr>
      <w:r w:rsidRPr="007E5071">
        <w:t xml:space="preserve">BID = twice daily; CMA = cost-minimisation analysis; DAB = dabrafenib; Q2W = every 2 weeks; </w:t>
      </w:r>
      <w:r w:rsidR="00D35380" w:rsidRPr="007E5071">
        <w:t xml:space="preserve">Q3W = every 3 weeks; </w:t>
      </w:r>
      <w:r w:rsidRPr="007E5071">
        <w:t xml:space="preserve">Q4W = every 4 weeks; SID </w:t>
      </w:r>
      <w:r w:rsidR="001639C4" w:rsidRPr="007E5071">
        <w:t>= once daily; TRAM = trametinib</w:t>
      </w:r>
    </w:p>
    <w:p w:rsidR="00C90DB2" w:rsidRPr="007E5071" w:rsidRDefault="00305A04" w:rsidP="00BD28E0">
      <w:pPr>
        <w:pStyle w:val="TableFooter"/>
        <w:widowControl/>
        <w:ind w:left="142" w:hanging="142"/>
      </w:pPr>
      <w:r w:rsidRPr="007E5071">
        <w:rPr>
          <w:vertAlign w:val="superscript"/>
        </w:rPr>
        <w:t>a</w:t>
      </w:r>
      <w:r w:rsidR="00C90DB2" w:rsidRPr="007E5071">
        <w:t xml:space="preserve"> </w:t>
      </w:r>
      <w:r w:rsidR="001055B7" w:rsidRPr="007E5071">
        <w:t>The mean patient</w:t>
      </w:r>
      <w:r w:rsidR="00C90DB2" w:rsidRPr="007E5071">
        <w:t xml:space="preserve"> weight in the trial was 82kg. For the purposes of calculating the cost/patient/course, it was assumed that patients received an average of 240 mg </w:t>
      </w:r>
      <w:r w:rsidR="00263513" w:rsidRPr="007E5071">
        <w:t xml:space="preserve">NIVO </w:t>
      </w:r>
      <w:r w:rsidR="00C90DB2" w:rsidRPr="007E5071">
        <w:t>per infusion</w:t>
      </w:r>
      <w:r w:rsidR="00263513" w:rsidRPr="007E5071">
        <w:t xml:space="preserve"> for monotherapy and maintenance, 80 mg NIVO per infusion for induction (NIVO+IPI), and 250 mg IPI per infusion</w:t>
      </w:r>
      <w:r w:rsidR="00C90DB2" w:rsidRPr="007E5071">
        <w:t>.</w:t>
      </w:r>
    </w:p>
    <w:p w:rsidR="003648F6" w:rsidRPr="007E5071" w:rsidRDefault="00305A04" w:rsidP="00BD28E0">
      <w:pPr>
        <w:pStyle w:val="TableFooter"/>
        <w:widowControl/>
        <w:ind w:left="142" w:hanging="142"/>
      </w:pPr>
      <w:r w:rsidRPr="007E5071">
        <w:rPr>
          <w:vertAlign w:val="superscript"/>
        </w:rPr>
        <w:t>b</w:t>
      </w:r>
      <w:r w:rsidR="003648F6" w:rsidRPr="007E5071">
        <w:rPr>
          <w:vertAlign w:val="superscript"/>
        </w:rPr>
        <w:t xml:space="preserve"> </w:t>
      </w:r>
      <w:r w:rsidR="003648F6" w:rsidRPr="007E5071">
        <w:t>When deriving the cost/patient/course, it was assumed that patients received 3.3 infusions of NIVO in the induction phase, and 22.7 infusions in the maintenance phase</w:t>
      </w:r>
      <w:r w:rsidR="001055B7" w:rsidRPr="007E5071">
        <w:t>.</w:t>
      </w:r>
    </w:p>
    <w:p w:rsidR="001639C4" w:rsidRPr="007E5071" w:rsidRDefault="00305A04" w:rsidP="00C579B0">
      <w:pPr>
        <w:pStyle w:val="TableFooter"/>
        <w:widowControl/>
        <w:ind w:left="142" w:hanging="142"/>
      </w:pPr>
      <w:r w:rsidRPr="007E5071">
        <w:rPr>
          <w:vertAlign w:val="superscript"/>
        </w:rPr>
        <w:t>c</w:t>
      </w:r>
      <w:r w:rsidR="00F87EAC" w:rsidRPr="007E5071">
        <w:t xml:space="preserve"> </w:t>
      </w:r>
      <w:r w:rsidR="00307405" w:rsidRPr="007E5071">
        <w:t>Average patient body-weight assumed to be 79 kg</w:t>
      </w:r>
      <w:r w:rsidR="001055B7" w:rsidRPr="007E5071">
        <w:t>.</w:t>
      </w:r>
    </w:p>
    <w:p w:rsidR="00C579B0" w:rsidRPr="007E5071" w:rsidRDefault="00305A04" w:rsidP="009A4736">
      <w:pPr>
        <w:pStyle w:val="TableFooter"/>
        <w:widowControl/>
        <w:ind w:left="142" w:hanging="142"/>
      </w:pPr>
      <w:r w:rsidRPr="007E5071">
        <w:rPr>
          <w:vertAlign w:val="superscript"/>
        </w:rPr>
        <w:t>d</w:t>
      </w:r>
      <w:r w:rsidR="00C579B0" w:rsidRPr="007E5071">
        <w:t xml:space="preserve"> Weighted average price assuming the following utilisation of the 3 doses</w:t>
      </w:r>
      <w:r w:rsidR="009A4736" w:rsidRPr="007E5071">
        <w:t xml:space="preserve"> for NIVO monotherapy/maintenance</w:t>
      </w:r>
      <w:r w:rsidR="00C579B0" w:rsidRPr="007E5071">
        <w:t>: 3% 3 mg/kg, 9% 200 mg Q2W, 88% 400 mg Q4W.</w:t>
      </w:r>
    </w:p>
    <w:p w:rsidR="001B6579" w:rsidRPr="007E5071" w:rsidRDefault="001B6579" w:rsidP="009A4736">
      <w:pPr>
        <w:pStyle w:val="TableFooter"/>
        <w:widowControl/>
        <w:ind w:left="142" w:hanging="142"/>
      </w:pPr>
      <w:r w:rsidRPr="007E5071">
        <w:rPr>
          <w:vertAlign w:val="superscript"/>
        </w:rPr>
        <w:t>e</w:t>
      </w:r>
      <w:r w:rsidRPr="007E5071">
        <w:t xml:space="preserve"> Based on median duration from the COMBI-D trial</w:t>
      </w:r>
    </w:p>
    <w:p w:rsidR="007A213C" w:rsidRPr="007E5071" w:rsidRDefault="007A213C" w:rsidP="001639C4">
      <w:pPr>
        <w:pStyle w:val="TableFooter"/>
        <w:widowControl/>
        <w:ind w:left="142" w:hanging="142"/>
      </w:pPr>
      <w:r w:rsidRPr="007E5071">
        <w:t xml:space="preserve">* These drug prices are based on the effective prices for NIVO and IPI derived in the cost-minimisation analyses, </w:t>
      </w:r>
      <w:r w:rsidR="00FA503A" w:rsidRPr="007E5071">
        <w:t>and</w:t>
      </w:r>
      <w:r w:rsidR="001639C4" w:rsidRPr="007E5071">
        <w:t xml:space="preserve"> the</w:t>
      </w:r>
      <w:r w:rsidR="00291080" w:rsidRPr="007E5071">
        <w:t xml:space="preserve"> assumed effective prices for DA</w:t>
      </w:r>
      <w:r w:rsidR="001639C4" w:rsidRPr="007E5071">
        <w:t>B and TRAM. Assumed effective ex-manufacturer price: NIVO 40 mg vial $</w:t>
      </w:r>
      <w:r w:rsidR="00BF12D4">
        <w:rPr>
          <w:noProof/>
          <w:color w:val="000000"/>
          <w:highlight w:val="black"/>
        </w:rPr>
        <w:t>'''''''''''''''''</w:t>
      </w:r>
      <w:r w:rsidR="001639C4" w:rsidRPr="007E5071">
        <w:t>, 100 mg vial $</w:t>
      </w:r>
      <w:r w:rsidR="00BF12D4">
        <w:rPr>
          <w:noProof/>
          <w:color w:val="000000"/>
          <w:highlight w:val="black"/>
        </w:rPr>
        <w:t>''''''''''''''''''''</w:t>
      </w:r>
      <w:r w:rsidR="001639C4" w:rsidRPr="007E5071">
        <w:t>; IPI 50 mg vial $</w:t>
      </w:r>
      <w:r w:rsidR="00BF12D4">
        <w:rPr>
          <w:noProof/>
          <w:color w:val="000000"/>
          <w:highlight w:val="black"/>
        </w:rPr>
        <w:t>''''''''''''''''''''</w:t>
      </w:r>
      <w:r w:rsidR="001639C4" w:rsidRPr="007E5071">
        <w:t>.</w:t>
      </w:r>
    </w:p>
    <w:p w:rsidR="002B12E7" w:rsidRPr="007E5071" w:rsidRDefault="007A213C" w:rsidP="001639C4">
      <w:pPr>
        <w:pStyle w:val="TableFooter"/>
        <w:widowControl/>
        <w:ind w:left="142" w:hanging="142"/>
      </w:pPr>
      <w:r w:rsidRPr="007E5071">
        <w:t>**</w:t>
      </w:r>
      <w:r w:rsidR="002B12E7" w:rsidRPr="007E5071">
        <w:t xml:space="preserve"> Th</w:t>
      </w:r>
      <w:r w:rsidRPr="007E5071">
        <w:t xml:space="preserve">e submission used </w:t>
      </w:r>
      <w:r w:rsidR="002B12E7" w:rsidRPr="007E5071">
        <w:t xml:space="preserve">an </w:t>
      </w:r>
      <w:r w:rsidRPr="007E5071">
        <w:t xml:space="preserve">assumed </w:t>
      </w:r>
      <w:r w:rsidR="002B12E7" w:rsidRPr="007E5071">
        <w:t xml:space="preserve">effective dispensed price </w:t>
      </w:r>
      <w:r w:rsidRPr="007E5071">
        <w:t xml:space="preserve">for maximum quantity (DPMQ) </w:t>
      </w:r>
      <w:r w:rsidR="002B12E7" w:rsidRPr="007E5071">
        <w:t>of $</w:t>
      </w:r>
      <w:r w:rsidR="00BF12D4">
        <w:rPr>
          <w:noProof/>
          <w:color w:val="000000"/>
          <w:highlight w:val="black"/>
        </w:rPr>
        <w:t>''''''''''''''''''''</w:t>
      </w:r>
      <w:r w:rsidR="002B12E7" w:rsidRPr="002B7394">
        <w:t xml:space="preserve"> for</w:t>
      </w:r>
      <w:r w:rsidR="002B12E7" w:rsidRPr="007E5071">
        <w:t xml:space="preserve"> </w:t>
      </w:r>
      <w:r w:rsidR="001639C4" w:rsidRPr="007E5071">
        <w:t>DAB</w:t>
      </w:r>
      <w:r w:rsidR="002B12E7" w:rsidRPr="007E5071">
        <w:t xml:space="preserve"> 75 mg </w:t>
      </w:r>
      <w:r w:rsidRPr="007E5071">
        <w:t>(120 tablets), and $</w:t>
      </w:r>
      <w:r w:rsidR="00BF12D4">
        <w:rPr>
          <w:noProof/>
          <w:color w:val="000000"/>
          <w:highlight w:val="black"/>
        </w:rPr>
        <w:t>''''''''''''''''''</w:t>
      </w:r>
      <w:r w:rsidRPr="007E5071">
        <w:t xml:space="preserve"> and for </w:t>
      </w:r>
      <w:r w:rsidR="001639C4" w:rsidRPr="007E5071">
        <w:t>TRAM</w:t>
      </w:r>
      <w:r w:rsidRPr="007E5071">
        <w:t xml:space="preserve"> 2 mg (30 tablets), assuming a </w:t>
      </w:r>
      <w:r w:rsidR="00BF12D4">
        <w:rPr>
          <w:noProof/>
          <w:color w:val="000000"/>
          <w:highlight w:val="black"/>
        </w:rPr>
        <w:t>'''''''</w:t>
      </w:r>
      <w:r w:rsidRPr="007E5071">
        <w:t>% reduction in the published DPMQ.</w:t>
      </w:r>
    </w:p>
    <w:p w:rsidR="0044067F" w:rsidRPr="007E5071" w:rsidRDefault="0044067F" w:rsidP="001639C4">
      <w:pPr>
        <w:pStyle w:val="TableFooter"/>
        <w:widowControl/>
        <w:ind w:left="142" w:hanging="142"/>
      </w:pPr>
      <w:r w:rsidRPr="007E5071">
        <w:t>Figures in italics were calculated during the evaluation.</w:t>
      </w:r>
    </w:p>
    <w:p w:rsidR="00A60098" w:rsidRPr="007E5071" w:rsidRDefault="00A60098" w:rsidP="00A60098">
      <w:pPr>
        <w:pStyle w:val="TableFooter"/>
        <w:widowControl/>
      </w:pPr>
      <w:r w:rsidRPr="007E5071">
        <w:t xml:space="preserve">Source: </w:t>
      </w:r>
      <w:r w:rsidR="00E51ADC" w:rsidRPr="007E5071">
        <w:t>Table 54 p130; Table 57 p133</w:t>
      </w:r>
      <w:r w:rsidR="0044067F" w:rsidRPr="007E5071">
        <w:t>; Excel workbooks ‘Elec doc_Secton 3_CMA model’ and ‘Elec doc_Section 4_BIM’, Folder 4 of the submission.</w:t>
      </w:r>
    </w:p>
    <w:p w:rsidR="00573E81" w:rsidRPr="007E5071" w:rsidRDefault="00573E81" w:rsidP="00573E81"/>
    <w:p w:rsidR="00B60939" w:rsidRPr="007E5071" w:rsidRDefault="00B60939" w:rsidP="00C9624D">
      <w:pPr>
        <w:pStyle w:val="Heading2"/>
      </w:pPr>
      <w:bookmarkStart w:id="14" w:name="_Toc17116011"/>
      <w:r w:rsidRPr="007E5071">
        <w:t>Estimated PBS usage &amp; financial implications</w:t>
      </w:r>
      <w:bookmarkEnd w:id="14"/>
    </w:p>
    <w:p w:rsidR="00B60939" w:rsidRPr="007E5071" w:rsidRDefault="00B60939" w:rsidP="00B60939">
      <w:pPr>
        <w:ind w:left="720" w:hanging="720"/>
        <w:rPr>
          <w:b/>
          <w:i/>
        </w:rPr>
      </w:pPr>
    </w:p>
    <w:p w:rsidR="00794FFB" w:rsidRPr="007E5071" w:rsidRDefault="00794FFB" w:rsidP="00983502">
      <w:pPr>
        <w:pStyle w:val="ListParagraph"/>
        <w:widowControl/>
        <w:numPr>
          <w:ilvl w:val="1"/>
          <w:numId w:val="1"/>
        </w:numPr>
      </w:pPr>
      <w:r w:rsidRPr="007E5071">
        <w:t xml:space="preserve">Noting that </w:t>
      </w:r>
      <w:r w:rsidR="007510F9" w:rsidRPr="007E5071">
        <w:t>the reconsideration of the July 2019 deferral of</w:t>
      </w:r>
      <w:r w:rsidRPr="007E5071">
        <w:t xml:space="preserve"> NIVO as adjuvant therapy was also considered at the November 2019 meeting, and that both submission</w:t>
      </w:r>
      <w:r w:rsidR="001F00FD" w:rsidRPr="007E5071">
        <w:t>s</w:t>
      </w:r>
      <w:r w:rsidRPr="007E5071">
        <w:t xml:space="preserve"> proposed a RSA which incorporated use in both the adjuvant and unresectable or metastatic settings, the PBAC considered that the adjuvant and unresectable or metastatic populations should be calculated in a consistent manner across the submissions.</w:t>
      </w:r>
    </w:p>
    <w:p w:rsidR="00EB7DA6" w:rsidRPr="007E5071" w:rsidRDefault="00C25D9C" w:rsidP="00983502">
      <w:pPr>
        <w:pStyle w:val="ListParagraph"/>
        <w:widowControl/>
        <w:numPr>
          <w:ilvl w:val="1"/>
          <w:numId w:val="1"/>
        </w:numPr>
      </w:pPr>
      <w:r w:rsidRPr="007E5071">
        <w:t xml:space="preserve">This submission </w:t>
      </w:r>
      <w:r w:rsidR="00A33616" w:rsidRPr="007E5071">
        <w:t>w</w:t>
      </w:r>
      <w:r w:rsidR="006E1004" w:rsidRPr="007E5071">
        <w:t>as</w:t>
      </w:r>
      <w:r w:rsidR="007C35FD" w:rsidRPr="007E5071">
        <w:t xml:space="preserve"> not</w:t>
      </w:r>
      <w:r w:rsidRPr="007E5071">
        <w:t xml:space="preserve"> considered by DUSC</w:t>
      </w:r>
      <w:r w:rsidR="00524AF4" w:rsidRPr="007E5071">
        <w:t xml:space="preserve">. The submission used a mixed market share/epidemiology approach to estimating the financial implications associated with the proposed listing of first-line NIVO monotherapy and NIVO+IPI for treatment of unresectable Stage III or Stage IV </w:t>
      </w:r>
      <w:r w:rsidR="004F22FD" w:rsidRPr="007E5071">
        <w:t>BRAF mutation positive</w:t>
      </w:r>
      <w:r w:rsidR="00524AF4" w:rsidRPr="007E5071">
        <w:t xml:space="preserve"> melanoma. </w:t>
      </w:r>
    </w:p>
    <w:p w:rsidR="0072416F" w:rsidRPr="007E5071" w:rsidRDefault="00524AF4" w:rsidP="00983502">
      <w:pPr>
        <w:pStyle w:val="ListParagraph"/>
        <w:widowControl/>
        <w:numPr>
          <w:ilvl w:val="1"/>
          <w:numId w:val="1"/>
        </w:numPr>
      </w:pPr>
      <w:r w:rsidRPr="007E5071">
        <w:t>The base case analysis only included costs associated with first-line treatment; sensitivity analyses incorporating second-line therapies, and the availability of adjuvant therapies, were provided.</w:t>
      </w:r>
      <w:r w:rsidR="005329D0" w:rsidRPr="007E5071">
        <w:t xml:space="preserve"> The </w:t>
      </w:r>
      <w:r w:rsidR="006E1004" w:rsidRPr="007E5071">
        <w:t xml:space="preserve">ESC considered that the </w:t>
      </w:r>
      <w:r w:rsidR="005329D0" w:rsidRPr="007E5071">
        <w:t>failure to include changes in the utilisation of second-line therapies in the base case of the financial estimates</w:t>
      </w:r>
      <w:r w:rsidR="00CA05C9" w:rsidRPr="007E5071">
        <w:t xml:space="preserve"> </w:t>
      </w:r>
      <w:r w:rsidR="005329D0" w:rsidRPr="007E5071">
        <w:t>was not appropriate</w:t>
      </w:r>
      <w:r w:rsidR="00CA05C9" w:rsidRPr="007E5071">
        <w:t>, given these will be directly impacted</w:t>
      </w:r>
      <w:r w:rsidR="005329D0" w:rsidRPr="007E5071">
        <w:t>.</w:t>
      </w:r>
      <w:r w:rsidR="00EB4854" w:rsidRPr="007E5071">
        <w:t xml:space="preserve"> </w:t>
      </w:r>
    </w:p>
    <w:p w:rsidR="00BB2845" w:rsidRPr="007E5071" w:rsidRDefault="00987D4B" w:rsidP="00983502">
      <w:pPr>
        <w:pStyle w:val="ListParagraph"/>
        <w:widowControl/>
        <w:numPr>
          <w:ilvl w:val="1"/>
          <w:numId w:val="1"/>
        </w:numPr>
      </w:pPr>
      <w:r w:rsidRPr="007E5071">
        <w:t xml:space="preserve">The </w:t>
      </w:r>
      <w:r w:rsidR="00F17ADD" w:rsidRPr="007E5071">
        <w:t xml:space="preserve">submission used data from the May 2018 DUSC review of </w:t>
      </w:r>
      <w:r w:rsidR="0088081B" w:rsidRPr="007E5071">
        <w:t>m</w:t>
      </w:r>
      <w:r w:rsidR="00F17ADD" w:rsidRPr="007E5071">
        <w:t>edicines for the treatment of melanoma to estimate</w:t>
      </w:r>
      <w:r w:rsidRPr="007E5071">
        <w:t xml:space="preserve"> </w:t>
      </w:r>
      <w:r w:rsidR="00F17ADD" w:rsidRPr="007E5071">
        <w:t>the eligible population</w:t>
      </w:r>
      <w:r w:rsidR="00FA503A" w:rsidRPr="007E5071">
        <w:t>, and assumed that all use of NIVO monotherapy and NIVO+IPI would substitute for use of BRAF±MEK inhibitors</w:t>
      </w:r>
      <w:r w:rsidR="00F17ADD" w:rsidRPr="007E5071">
        <w:t xml:space="preserve">. </w:t>
      </w:r>
    </w:p>
    <w:p w:rsidR="00F568B6" w:rsidRPr="007E5071" w:rsidRDefault="00026BCA" w:rsidP="00983502">
      <w:pPr>
        <w:pStyle w:val="ListParagraph"/>
        <w:widowControl/>
        <w:numPr>
          <w:ilvl w:val="1"/>
          <w:numId w:val="1"/>
        </w:numPr>
      </w:pPr>
      <w:r w:rsidRPr="007E5071">
        <w:t xml:space="preserve">The estimated </w:t>
      </w:r>
      <w:r w:rsidR="00640867" w:rsidRPr="007E5071">
        <w:t xml:space="preserve">eligible population was </w:t>
      </w:r>
      <w:r w:rsidRPr="007E5071">
        <w:t xml:space="preserve">based on a linear projection of data from the May 2018 DUSC review of medicines for the treatment of melanoma. </w:t>
      </w:r>
      <w:r w:rsidR="00F568B6" w:rsidRPr="007E5071">
        <w:t xml:space="preserve">The PBAC noted that the incidence of melanoma in Australia </w:t>
      </w:r>
      <w:r w:rsidR="000C22A1" w:rsidRPr="007E5071">
        <w:t xml:space="preserve">over the last 10 years </w:t>
      </w:r>
      <w:r w:rsidR="00F568B6" w:rsidRPr="007E5071">
        <w:t>was increasing at a</w:t>
      </w:r>
      <w:r w:rsidR="004E0390" w:rsidRPr="007E5071">
        <w:t>n annual</w:t>
      </w:r>
      <w:r w:rsidR="00F568B6" w:rsidRPr="007E5071">
        <w:t xml:space="preserve"> rate of </w:t>
      </w:r>
      <w:r w:rsidR="004E0390" w:rsidRPr="007E5071">
        <w:t>between 0.9% and 5.2%</w:t>
      </w:r>
      <w:r w:rsidR="00F568B6" w:rsidRPr="007E5071">
        <w:t xml:space="preserve"> (National Cancer Control Indicators, s</w:t>
      </w:r>
      <w:r w:rsidR="000503DE" w:rsidRPr="007E5071">
        <w:t>ee Table 12</w:t>
      </w:r>
      <w:r w:rsidR="00F568B6" w:rsidRPr="007E5071">
        <w:t>),</w:t>
      </w:r>
      <w:r w:rsidR="004E0390" w:rsidRPr="007E5071">
        <w:t xml:space="preserve"> and</w:t>
      </w:r>
      <w:r w:rsidR="00F568B6" w:rsidRPr="007E5071">
        <w:t xml:space="preserve"> considered that a growth rate of 4.56%, which was the growth rate applied in the BRAF/MEK inhibitor population in the July 2019 minor resubmission for adjuvant NIVO and which was based on PBS data, would be appropriate</w:t>
      </w:r>
      <w:r w:rsidR="004E0390" w:rsidRPr="007E5071">
        <w:t xml:space="preserve"> for projecting the number of patients</w:t>
      </w:r>
      <w:r w:rsidR="00F568B6" w:rsidRPr="007E5071">
        <w:t xml:space="preserve">. </w:t>
      </w:r>
    </w:p>
    <w:p w:rsidR="00F568B6" w:rsidRPr="007E5071" w:rsidRDefault="000503DE" w:rsidP="00F568B6">
      <w:pPr>
        <w:pStyle w:val="Tableheading0"/>
        <w:rPr>
          <w:rFonts w:ascii="Arial Narrow" w:hAnsi="Arial Narrow"/>
          <w:sz w:val="20"/>
          <w:szCs w:val="20"/>
        </w:rPr>
      </w:pPr>
      <w:r w:rsidRPr="007E5071">
        <w:rPr>
          <w:rFonts w:ascii="Arial Narrow" w:hAnsi="Arial Narrow"/>
          <w:sz w:val="20"/>
          <w:szCs w:val="20"/>
        </w:rPr>
        <w:t>Table 12</w:t>
      </w:r>
      <w:r w:rsidR="00F568B6" w:rsidRPr="007E5071">
        <w:rPr>
          <w:rFonts w:ascii="Arial Narrow" w:hAnsi="Arial Narrow"/>
          <w:sz w:val="20"/>
          <w:szCs w:val="20"/>
        </w:rPr>
        <w:t>: Incidence of melanoma in Australia</w:t>
      </w:r>
    </w:p>
    <w:tbl>
      <w:tblPr>
        <w:tblStyle w:val="TableGrid"/>
        <w:tblW w:w="0" w:type="auto"/>
        <w:tblLook w:val="04A0" w:firstRow="1" w:lastRow="0" w:firstColumn="1" w:lastColumn="0" w:noHBand="0" w:noVBand="1"/>
        <w:tblCaption w:val="Table 12: Incidence of melanoma in Australia"/>
      </w:tblPr>
      <w:tblGrid>
        <w:gridCol w:w="3005"/>
        <w:gridCol w:w="3005"/>
        <w:gridCol w:w="3006"/>
      </w:tblGrid>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b/>
                <w:sz w:val="20"/>
                <w:szCs w:val="20"/>
              </w:rPr>
            </w:pPr>
            <w:r w:rsidRPr="007E5071">
              <w:rPr>
                <w:rFonts w:ascii="Arial Narrow" w:hAnsi="Arial Narrow"/>
                <w:b/>
                <w:sz w:val="20"/>
                <w:szCs w:val="20"/>
              </w:rPr>
              <w:t>Year</w:t>
            </w:r>
          </w:p>
        </w:tc>
        <w:tc>
          <w:tcPr>
            <w:tcW w:w="3005" w:type="dxa"/>
          </w:tcPr>
          <w:p w:rsidR="00F568B6" w:rsidRPr="007E5071" w:rsidRDefault="00F568B6" w:rsidP="00F568B6">
            <w:pPr>
              <w:pStyle w:val="3Bodytext"/>
              <w:spacing w:after="0"/>
              <w:ind w:left="0" w:firstLine="0"/>
              <w:jc w:val="center"/>
              <w:rPr>
                <w:rFonts w:ascii="Arial Narrow" w:hAnsi="Arial Narrow"/>
                <w:b/>
                <w:sz w:val="20"/>
                <w:szCs w:val="20"/>
              </w:rPr>
            </w:pPr>
            <w:r w:rsidRPr="007E5071">
              <w:rPr>
                <w:rFonts w:ascii="Arial Narrow" w:hAnsi="Arial Narrow"/>
                <w:b/>
                <w:sz w:val="20"/>
                <w:szCs w:val="20"/>
              </w:rPr>
              <w:t>Incident cases</w:t>
            </w:r>
          </w:p>
        </w:tc>
        <w:tc>
          <w:tcPr>
            <w:tcW w:w="3006" w:type="dxa"/>
          </w:tcPr>
          <w:p w:rsidR="00F568B6" w:rsidRPr="007E5071" w:rsidRDefault="00F568B6" w:rsidP="00F568B6">
            <w:pPr>
              <w:pStyle w:val="3Bodytext"/>
              <w:spacing w:after="0"/>
              <w:ind w:left="0" w:firstLine="0"/>
              <w:jc w:val="center"/>
              <w:rPr>
                <w:rFonts w:ascii="Arial Narrow" w:hAnsi="Arial Narrow"/>
                <w:b/>
                <w:sz w:val="20"/>
                <w:szCs w:val="20"/>
              </w:rPr>
            </w:pPr>
            <w:r w:rsidRPr="007E5071">
              <w:rPr>
                <w:rFonts w:ascii="Arial Narrow" w:hAnsi="Arial Narrow"/>
                <w:b/>
                <w:sz w:val="20"/>
                <w:szCs w:val="20"/>
              </w:rPr>
              <w:t>Growth</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2010</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11,509</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2011</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11,663</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1.34%</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2012</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12,270</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5.20%</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2013</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12,892</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5.07%</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2014</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13,215</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2.51%</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2015</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13,694</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3.62%</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2016</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13,816</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0.89%</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2017</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14,241</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3.08%</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2018</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14,778</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3.77%</w:t>
            </w:r>
          </w:p>
        </w:tc>
      </w:tr>
      <w:tr w:rsidR="00F568B6" w:rsidRPr="007E5071" w:rsidTr="00D062FF">
        <w:trPr>
          <w:tblHeader/>
        </w:trPr>
        <w:tc>
          <w:tcPr>
            <w:tcW w:w="3005" w:type="dxa"/>
          </w:tcPr>
          <w:p w:rsidR="00F568B6" w:rsidRPr="007E5071" w:rsidRDefault="00F568B6" w:rsidP="00F568B6">
            <w:pPr>
              <w:pStyle w:val="3Bodytext"/>
              <w:spacing w:after="0"/>
              <w:ind w:left="0" w:firstLine="0"/>
              <w:jc w:val="left"/>
              <w:rPr>
                <w:rFonts w:ascii="Arial Narrow" w:hAnsi="Arial Narrow"/>
                <w:sz w:val="20"/>
                <w:szCs w:val="20"/>
              </w:rPr>
            </w:pPr>
            <w:r w:rsidRPr="007E5071">
              <w:rPr>
                <w:rFonts w:ascii="Arial Narrow" w:hAnsi="Arial Narrow"/>
                <w:sz w:val="20"/>
                <w:szCs w:val="20"/>
              </w:rPr>
              <w:t>2019</w:t>
            </w:r>
          </w:p>
        </w:tc>
        <w:tc>
          <w:tcPr>
            <w:tcW w:w="3005"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15,229</w:t>
            </w:r>
          </w:p>
        </w:tc>
        <w:tc>
          <w:tcPr>
            <w:tcW w:w="3006" w:type="dxa"/>
          </w:tcPr>
          <w:p w:rsidR="00F568B6" w:rsidRPr="007E5071" w:rsidRDefault="00F568B6" w:rsidP="00F568B6">
            <w:pPr>
              <w:pStyle w:val="3Bodytext"/>
              <w:spacing w:after="0"/>
              <w:ind w:left="0" w:firstLine="0"/>
              <w:jc w:val="center"/>
              <w:rPr>
                <w:rFonts w:ascii="Arial Narrow" w:hAnsi="Arial Narrow"/>
                <w:sz w:val="20"/>
                <w:szCs w:val="20"/>
              </w:rPr>
            </w:pPr>
            <w:r w:rsidRPr="007E5071">
              <w:rPr>
                <w:rFonts w:ascii="Arial Narrow" w:hAnsi="Arial Narrow"/>
                <w:sz w:val="20"/>
                <w:szCs w:val="20"/>
              </w:rPr>
              <w:t>3.05%</w:t>
            </w:r>
          </w:p>
        </w:tc>
      </w:tr>
      <w:tr w:rsidR="00F568B6" w:rsidRPr="007E5071" w:rsidTr="00D062FF">
        <w:trPr>
          <w:tblHeader/>
        </w:trPr>
        <w:tc>
          <w:tcPr>
            <w:tcW w:w="6010" w:type="dxa"/>
            <w:gridSpan w:val="2"/>
          </w:tcPr>
          <w:p w:rsidR="00F568B6" w:rsidRPr="007E5071" w:rsidRDefault="00F568B6" w:rsidP="00F568B6">
            <w:pPr>
              <w:pStyle w:val="3Bodytext"/>
              <w:spacing w:after="0"/>
              <w:ind w:left="0" w:firstLine="0"/>
              <w:jc w:val="left"/>
              <w:rPr>
                <w:rFonts w:ascii="Arial Narrow" w:hAnsi="Arial Narrow"/>
                <w:b/>
                <w:sz w:val="20"/>
                <w:szCs w:val="20"/>
              </w:rPr>
            </w:pPr>
            <w:r w:rsidRPr="007E5071">
              <w:rPr>
                <w:rFonts w:ascii="Arial Narrow" w:hAnsi="Arial Narrow"/>
                <w:b/>
                <w:sz w:val="20"/>
                <w:szCs w:val="20"/>
              </w:rPr>
              <w:t>Average growth</w:t>
            </w:r>
          </w:p>
        </w:tc>
        <w:tc>
          <w:tcPr>
            <w:tcW w:w="3006" w:type="dxa"/>
          </w:tcPr>
          <w:p w:rsidR="00F568B6" w:rsidRPr="007E5071" w:rsidRDefault="00F568B6" w:rsidP="00F568B6">
            <w:pPr>
              <w:pStyle w:val="3Bodytext"/>
              <w:spacing w:after="0"/>
              <w:ind w:left="0" w:firstLine="0"/>
              <w:jc w:val="center"/>
              <w:rPr>
                <w:rFonts w:ascii="Arial Narrow" w:hAnsi="Arial Narrow"/>
                <w:b/>
                <w:sz w:val="20"/>
                <w:szCs w:val="20"/>
              </w:rPr>
            </w:pPr>
            <w:r w:rsidRPr="007E5071">
              <w:rPr>
                <w:rFonts w:ascii="Arial Narrow" w:hAnsi="Arial Narrow"/>
                <w:b/>
                <w:sz w:val="20"/>
                <w:szCs w:val="20"/>
              </w:rPr>
              <w:t>3.17%</w:t>
            </w:r>
          </w:p>
        </w:tc>
      </w:tr>
    </w:tbl>
    <w:p w:rsidR="00F568B6" w:rsidRPr="007E5071" w:rsidRDefault="00F568B6" w:rsidP="00F568B6">
      <w:pPr>
        <w:pStyle w:val="TableFooter"/>
      </w:pPr>
      <w:r w:rsidRPr="007E5071">
        <w:t xml:space="preserve">Source: National Cancer Control Indicators for melanoma, published 13 Sep 2019. Available from: </w:t>
      </w:r>
    </w:p>
    <w:p w:rsidR="00F568B6" w:rsidRPr="007E5071" w:rsidRDefault="00F568B6" w:rsidP="00F568B6">
      <w:pPr>
        <w:pStyle w:val="TableFooter"/>
      </w:pPr>
      <w:r w:rsidRPr="00BF12D4">
        <w:rPr>
          <w:szCs w:val="18"/>
        </w:rPr>
        <w:t>https://ncci.canceraustralia.gov.au/diagnosis/cancer-incidence/cancer-incidence</w:t>
      </w:r>
    </w:p>
    <w:p w:rsidR="00F568B6" w:rsidRPr="007E5071" w:rsidRDefault="00F568B6" w:rsidP="00F568B6"/>
    <w:p w:rsidR="00026BCA" w:rsidRPr="007E5071" w:rsidRDefault="008950AD" w:rsidP="00983502">
      <w:pPr>
        <w:pStyle w:val="ListParagraph"/>
        <w:widowControl/>
        <w:numPr>
          <w:ilvl w:val="1"/>
          <w:numId w:val="1"/>
        </w:numPr>
      </w:pPr>
      <w:r w:rsidRPr="007E5071">
        <w:t xml:space="preserve">The submission estimated that, in the absence of </w:t>
      </w:r>
      <w:r w:rsidR="00733305">
        <w:t xml:space="preserve">the </w:t>
      </w:r>
      <w:r w:rsidRPr="007E5071">
        <w:t xml:space="preserve">listing of NIVO monotherapy and NIVO+IPI for first-line treatment of unresectable Stage III or Stage IV melanoma, there would be </w:t>
      </w:r>
      <w:r w:rsidR="002B7550">
        <w:t>less than 10,000</w:t>
      </w:r>
      <w:r w:rsidR="002B7550" w:rsidRPr="007E5071">
        <w:t xml:space="preserve"> </w:t>
      </w:r>
      <w:r w:rsidR="00733305">
        <w:t xml:space="preserve">patients </w:t>
      </w:r>
      <w:r w:rsidRPr="007E5071">
        <w:t xml:space="preserve">treated with BRAF targeted therapy as first-line treatment in the Year 1, increasing to </w:t>
      </w:r>
      <w:r w:rsidR="002B7550">
        <w:t>less than 10,000</w:t>
      </w:r>
      <w:r w:rsidRPr="007E5071">
        <w:t xml:space="preserve"> patients in Year 6. </w:t>
      </w:r>
      <w:r w:rsidR="00F568B6" w:rsidRPr="007E5071">
        <w:t>The PBAC noted that the submission estimated that 31% of patients were BRAF mutant</w:t>
      </w:r>
      <w:r w:rsidR="001E4827" w:rsidRPr="007E5071">
        <w:t xml:space="preserve"> and would therefore receive BRAF targeted therapy first-line</w:t>
      </w:r>
      <w:r w:rsidR="00F568B6" w:rsidRPr="007E5071">
        <w:t>. The PBAC considered that it would be more reasonable to assume that 37.7% of patients were BRAF mutant, based on the results of an Australian cohort study</w:t>
      </w:r>
      <w:r w:rsidR="00F568B6" w:rsidRPr="007E5071">
        <w:rPr>
          <w:rStyle w:val="FootnoteReference"/>
        </w:rPr>
        <w:footnoteReference w:id="7"/>
      </w:r>
      <w:r w:rsidR="00F568B6" w:rsidRPr="007E5071">
        <w:t>.</w:t>
      </w:r>
      <w:r w:rsidR="000C1534" w:rsidRPr="007E5071">
        <w:t xml:space="preserve"> In addition, the PBAC considered that the July 2019 recommendation for DAB+TRAM adjuvant treatment of completely resected melanoma (DAB+TRAM was listed on the PBS as adjuvant therapy on 1 November 2019) would affect the number of patients diagnosed with </w:t>
      </w:r>
      <w:r w:rsidR="00B31D37" w:rsidRPr="007E5071">
        <w:t>Stage III</w:t>
      </w:r>
      <w:r w:rsidR="007510F9" w:rsidRPr="007E5071">
        <w:t>B, IIIC or</w:t>
      </w:r>
      <w:r w:rsidR="002E1636" w:rsidRPr="007E5071">
        <w:t xml:space="preserve"> IIID</w:t>
      </w:r>
      <w:r w:rsidR="00B31D37" w:rsidRPr="007E5071">
        <w:t xml:space="preserve">  resectable</w:t>
      </w:r>
      <w:r w:rsidR="000C1534" w:rsidRPr="007E5071">
        <w:t xml:space="preserve"> melanoma who subsequently progress to unresectable or metastatic disease (see paragraph </w:t>
      </w:r>
      <w:r w:rsidR="000C1534" w:rsidRPr="005947DB">
        <w:t>6.5</w:t>
      </w:r>
      <w:r w:rsidR="00FE3B53" w:rsidRPr="005947DB">
        <w:t>6</w:t>
      </w:r>
      <w:r w:rsidR="000C1534" w:rsidRPr="005947DB">
        <w:t>).</w:t>
      </w:r>
    </w:p>
    <w:p w:rsidR="00F17ADD" w:rsidRPr="007E5071" w:rsidRDefault="00987D4B" w:rsidP="004E0390">
      <w:pPr>
        <w:pStyle w:val="ListParagraph"/>
        <w:widowControl/>
        <w:numPr>
          <w:ilvl w:val="1"/>
          <w:numId w:val="1"/>
        </w:numPr>
      </w:pPr>
      <w:r w:rsidRPr="007E5071">
        <w:t xml:space="preserve">The proportion of patients receiving each treatment option, at each line of therapy, was based </w:t>
      </w:r>
      <w:r w:rsidR="00456E19" w:rsidRPr="007E5071">
        <w:t xml:space="preserve">on the </w:t>
      </w:r>
      <w:r w:rsidR="00883B9E" w:rsidRPr="007E5071">
        <w:t>clinician survey</w:t>
      </w:r>
      <w:r w:rsidR="00A73947" w:rsidRPr="007E5071">
        <w:t>. The ESC considered that the survey results were unreliable</w:t>
      </w:r>
      <w:r w:rsidR="00883B9E" w:rsidRPr="007E5071">
        <w:t xml:space="preserve"> (see </w:t>
      </w:r>
      <w:r w:rsidR="00883B9E" w:rsidRPr="005947DB">
        <w:t xml:space="preserve">paragraph </w:t>
      </w:r>
      <w:r w:rsidR="000503DE" w:rsidRPr="005947DB">
        <w:t>6.</w:t>
      </w:r>
      <w:r w:rsidR="00FE3B53" w:rsidRPr="005947DB">
        <w:t>42</w:t>
      </w:r>
      <w:r w:rsidR="00883B9E" w:rsidRPr="005947DB">
        <w:t>).</w:t>
      </w:r>
      <w:r w:rsidR="00883B9E" w:rsidRPr="007E5071">
        <w:t xml:space="preserve"> </w:t>
      </w:r>
      <w:r w:rsidR="00A460EF" w:rsidRPr="007E5071">
        <w:t xml:space="preserve">The </w:t>
      </w:r>
      <w:r w:rsidR="00FA503A" w:rsidRPr="007E5071">
        <w:t xml:space="preserve">survey questions assumed </w:t>
      </w:r>
      <w:r w:rsidR="00A460EF" w:rsidRPr="007E5071">
        <w:t>that BRAF±MEK inhibitors would be available as a second-line treatment option following progression on first-line immunotherapy</w:t>
      </w:r>
      <w:r w:rsidR="00FA503A" w:rsidRPr="007E5071">
        <w:t xml:space="preserve">. </w:t>
      </w:r>
    </w:p>
    <w:p w:rsidR="00506D57" w:rsidRPr="007E5071" w:rsidRDefault="00F17ADD" w:rsidP="004E0390">
      <w:pPr>
        <w:pStyle w:val="ListParagraph"/>
        <w:widowControl/>
        <w:numPr>
          <w:ilvl w:val="1"/>
          <w:numId w:val="1"/>
        </w:numPr>
      </w:pPr>
      <w:r w:rsidRPr="007E5071">
        <w:t xml:space="preserve">The </w:t>
      </w:r>
      <w:r w:rsidR="006E1004" w:rsidRPr="007E5071">
        <w:t xml:space="preserve">ESC considered that the </w:t>
      </w:r>
      <w:r w:rsidRPr="007E5071">
        <w:t xml:space="preserve">estimated market share of each </w:t>
      </w:r>
      <w:r w:rsidR="005329D0" w:rsidRPr="007E5071">
        <w:t>t</w:t>
      </w:r>
      <w:r w:rsidR="00EB7DA6" w:rsidRPr="007E5071">
        <w:t>reatment option</w:t>
      </w:r>
      <w:r w:rsidRPr="007E5071">
        <w:t xml:space="preserve"> </w:t>
      </w:r>
      <w:r w:rsidR="00FA503A" w:rsidRPr="007E5071">
        <w:t>when</w:t>
      </w:r>
      <w:r w:rsidRPr="007E5071">
        <w:t xml:space="preserve"> both NIVO monotherapy and NIVO+IPI are available for first-line therapy for patients with BRAF mutation positive melanoma, was </w:t>
      </w:r>
      <w:r w:rsidR="005329D0" w:rsidRPr="007E5071">
        <w:t>a</w:t>
      </w:r>
      <w:r w:rsidRPr="007E5071">
        <w:t xml:space="preserve"> major source of uncertainty in the </w:t>
      </w:r>
      <w:r w:rsidR="005329D0" w:rsidRPr="007E5071">
        <w:t>financial analysi</w:t>
      </w:r>
      <w:r w:rsidRPr="007E5071">
        <w:t>s.</w:t>
      </w:r>
      <w:r w:rsidR="009A2936" w:rsidRPr="007E5071">
        <w:t xml:space="preserve"> In particular, </w:t>
      </w:r>
      <w:r w:rsidR="00860A14" w:rsidRPr="007E5071">
        <w:t xml:space="preserve">the assumption that 43% of patients would receive NIVO+IPI as first-line therapy, while 30% would receive PD-1 </w:t>
      </w:r>
      <w:r w:rsidR="00593619" w:rsidRPr="007E5071">
        <w:t xml:space="preserve">inhibitor </w:t>
      </w:r>
      <w:r w:rsidR="00860A14" w:rsidRPr="007E5071">
        <w:t xml:space="preserve">monotherapy and 27% would receive BRAF+MEK inhibitors, was not adequately justified, </w:t>
      </w:r>
      <w:r w:rsidR="00E65EF5" w:rsidRPr="007E5071">
        <w:t xml:space="preserve">given that the </w:t>
      </w:r>
      <w:r w:rsidR="00593619" w:rsidRPr="007E5071">
        <w:t>NCCN</w:t>
      </w:r>
      <w:r w:rsidR="00E65EF5" w:rsidRPr="007E5071">
        <w:t xml:space="preserve"> treatment guidelines for cutaneous melanoma indicate that PD-1</w:t>
      </w:r>
      <w:r w:rsidR="00593619" w:rsidRPr="007E5071">
        <w:t xml:space="preserve"> inhibitor</w:t>
      </w:r>
      <w:r w:rsidR="00E65EF5" w:rsidRPr="007E5071">
        <w:t xml:space="preserve"> monotherapy and BRAF targeted therapy are the preferred first-line regimes for patients with BRAF mutation positive disease</w:t>
      </w:r>
      <w:r w:rsidR="00E65EF5" w:rsidRPr="007E5071">
        <w:rPr>
          <w:rStyle w:val="FootnoteReference"/>
        </w:rPr>
        <w:footnoteReference w:id="8"/>
      </w:r>
      <w:r w:rsidR="00506D57" w:rsidRPr="007E5071">
        <w:t>.</w:t>
      </w:r>
      <w:r w:rsidR="00A6387A" w:rsidRPr="007E5071">
        <w:t xml:space="preserve"> </w:t>
      </w:r>
      <w:r w:rsidR="00506D57" w:rsidRPr="007E5071">
        <w:t>The PBAC considered that the submission</w:t>
      </w:r>
      <w:r w:rsidR="00A7605F" w:rsidRPr="007E5071">
        <w:t>’</w:t>
      </w:r>
      <w:r w:rsidR="00506D57" w:rsidRPr="007E5071">
        <w:t xml:space="preserve">s estimate that 73% (i.e. 43% + 30%) of BRAF mutant patients would receive either PD-1 inhibitor monotherapy </w:t>
      </w:r>
      <w:r w:rsidR="00E510BB" w:rsidRPr="007E5071">
        <w:t xml:space="preserve">or NIVO+IPI </w:t>
      </w:r>
      <w:r w:rsidR="00506D57" w:rsidRPr="007E5071">
        <w:t xml:space="preserve">as first-line treatment in the unresectable or metastatic setting was overestimated. </w:t>
      </w:r>
    </w:p>
    <w:p w:rsidR="00A460EF" w:rsidRPr="007E5071" w:rsidRDefault="00A6387A" w:rsidP="004E0390">
      <w:pPr>
        <w:pStyle w:val="ListParagraph"/>
        <w:widowControl/>
        <w:numPr>
          <w:ilvl w:val="1"/>
          <w:numId w:val="1"/>
        </w:numPr>
      </w:pPr>
      <w:r w:rsidRPr="007E5071">
        <w:t xml:space="preserve">The PBAC noted that in the November 2019 </w:t>
      </w:r>
      <w:r w:rsidR="007510F9" w:rsidRPr="007E5071">
        <w:t>reconsideration of the July 2019 deferral</w:t>
      </w:r>
      <w:r w:rsidRPr="007E5071">
        <w:t xml:space="preserve"> for adjuvant NIVO, it was assumed that 74.1% of patients would receive a PD-1 in</w:t>
      </w:r>
      <w:r w:rsidR="0058316B" w:rsidRPr="007E5071">
        <w:t>hibitor in the adjuvant setting, which the PBAC considered reasonable</w:t>
      </w:r>
      <w:r w:rsidR="002E1636" w:rsidRPr="007E5071">
        <w:t xml:space="preserve">. The clinician survey estimated that </w:t>
      </w:r>
      <w:r w:rsidRPr="007E5071">
        <w:rPr>
          <w:szCs w:val="24"/>
        </w:rPr>
        <w:t>63% to 70%</w:t>
      </w:r>
      <w:r w:rsidR="0058316B" w:rsidRPr="007E5071">
        <w:rPr>
          <w:szCs w:val="24"/>
        </w:rPr>
        <w:t xml:space="preserve"> (as opposed to 73%)</w:t>
      </w:r>
      <w:r w:rsidRPr="007E5071">
        <w:rPr>
          <w:szCs w:val="24"/>
        </w:rPr>
        <w:t xml:space="preserve"> of the BRAF mutant population would </w:t>
      </w:r>
      <w:r w:rsidR="000C22A1" w:rsidRPr="007E5071">
        <w:rPr>
          <w:szCs w:val="24"/>
        </w:rPr>
        <w:t xml:space="preserve">also </w:t>
      </w:r>
      <w:r w:rsidRPr="007E5071">
        <w:rPr>
          <w:szCs w:val="24"/>
        </w:rPr>
        <w:t xml:space="preserve">receive a PD-1 inhibitor (either as monotherapy or as </w:t>
      </w:r>
      <w:r w:rsidR="00E510BB" w:rsidRPr="007E5071">
        <w:rPr>
          <w:szCs w:val="24"/>
        </w:rPr>
        <w:t>NIVO+IPI</w:t>
      </w:r>
      <w:r w:rsidRPr="007E5071">
        <w:rPr>
          <w:szCs w:val="24"/>
        </w:rPr>
        <w:t>) as first-line treatment</w:t>
      </w:r>
      <w:r w:rsidR="000C22A1" w:rsidRPr="007E5071">
        <w:rPr>
          <w:szCs w:val="24"/>
        </w:rPr>
        <w:t xml:space="preserve"> in the unresectable or metastatic setting</w:t>
      </w:r>
      <w:r w:rsidR="0058316B" w:rsidRPr="007E5071">
        <w:rPr>
          <w:szCs w:val="24"/>
        </w:rPr>
        <w:t xml:space="preserve">. The PBAC considered </w:t>
      </w:r>
      <w:r w:rsidR="000C22A1" w:rsidRPr="007E5071">
        <w:rPr>
          <w:szCs w:val="24"/>
        </w:rPr>
        <w:t xml:space="preserve">an estimate </w:t>
      </w:r>
      <w:r w:rsidR="0058316B" w:rsidRPr="007E5071">
        <w:rPr>
          <w:szCs w:val="24"/>
        </w:rPr>
        <w:t>that</w:t>
      </w:r>
      <w:r w:rsidR="000C22A1" w:rsidRPr="007E5071">
        <w:rPr>
          <w:szCs w:val="24"/>
        </w:rPr>
        <w:t xml:space="preserve"> </w:t>
      </w:r>
      <w:r w:rsidRPr="007E5071">
        <w:rPr>
          <w:szCs w:val="24"/>
        </w:rPr>
        <w:t xml:space="preserve">50% to 60% </w:t>
      </w:r>
      <w:r w:rsidR="0058316B" w:rsidRPr="007E5071">
        <w:rPr>
          <w:szCs w:val="24"/>
        </w:rPr>
        <w:t xml:space="preserve">of BRAF mutant unresectable or metastatic patients </w:t>
      </w:r>
      <w:r w:rsidR="000C22A1" w:rsidRPr="007E5071">
        <w:rPr>
          <w:szCs w:val="24"/>
        </w:rPr>
        <w:t xml:space="preserve">would </w:t>
      </w:r>
      <w:r w:rsidR="0058316B" w:rsidRPr="007E5071">
        <w:rPr>
          <w:szCs w:val="24"/>
        </w:rPr>
        <w:t xml:space="preserve">receive </w:t>
      </w:r>
      <w:r w:rsidR="00FF5954" w:rsidRPr="007E5071">
        <w:rPr>
          <w:szCs w:val="24"/>
        </w:rPr>
        <w:t xml:space="preserve">a </w:t>
      </w:r>
      <w:r w:rsidR="0058316B" w:rsidRPr="007E5071">
        <w:rPr>
          <w:szCs w:val="24"/>
        </w:rPr>
        <w:t xml:space="preserve">PD-1 inhibitor </w:t>
      </w:r>
      <w:r w:rsidR="00FF5954" w:rsidRPr="007E5071">
        <w:rPr>
          <w:szCs w:val="24"/>
        </w:rPr>
        <w:t>as monotherapy</w:t>
      </w:r>
      <w:r w:rsidR="00E510BB" w:rsidRPr="007E5071">
        <w:rPr>
          <w:szCs w:val="24"/>
        </w:rPr>
        <w:t xml:space="preserve"> or NIVO+IPI </w:t>
      </w:r>
      <w:r w:rsidR="0058316B" w:rsidRPr="007E5071">
        <w:rPr>
          <w:szCs w:val="24"/>
        </w:rPr>
        <w:t xml:space="preserve">first-line would </w:t>
      </w:r>
      <w:r w:rsidR="000C22A1" w:rsidRPr="007E5071">
        <w:rPr>
          <w:szCs w:val="24"/>
        </w:rPr>
        <w:t>be more appropriate.</w:t>
      </w:r>
    </w:p>
    <w:p w:rsidR="001E4827" w:rsidRPr="007E5071" w:rsidRDefault="001E4827" w:rsidP="00983502">
      <w:pPr>
        <w:pStyle w:val="ListParagraph"/>
        <w:widowControl/>
        <w:numPr>
          <w:ilvl w:val="1"/>
          <w:numId w:val="1"/>
        </w:numPr>
      </w:pPr>
      <w:r w:rsidRPr="007E5071">
        <w:rPr>
          <w:szCs w:val="24"/>
        </w:rPr>
        <w:t>In addition, the PBAC considered that the number of patients eligible for treatment in the unresectable or metastatic setting should be revised to account for:</w:t>
      </w:r>
    </w:p>
    <w:p w:rsidR="001E4827" w:rsidRPr="007E5071" w:rsidRDefault="001E4827" w:rsidP="001E4827">
      <w:pPr>
        <w:pStyle w:val="ListParagraph"/>
        <w:widowControl/>
        <w:numPr>
          <w:ilvl w:val="1"/>
          <w:numId w:val="15"/>
        </w:numPr>
        <w:ind w:left="1077" w:hanging="357"/>
      </w:pPr>
      <w:r w:rsidRPr="007E5071">
        <w:rPr>
          <w:szCs w:val="24"/>
        </w:rPr>
        <w:t>Patients who no longer require treatment after receiving adjuvant th</w:t>
      </w:r>
      <w:r w:rsidR="00496CE6" w:rsidRPr="007E5071">
        <w:rPr>
          <w:szCs w:val="24"/>
        </w:rPr>
        <w:t>erapy, i.e. those who are cured</w:t>
      </w:r>
      <w:r w:rsidR="008648F3" w:rsidRPr="007E5071">
        <w:rPr>
          <w:szCs w:val="24"/>
        </w:rPr>
        <w:t>:</w:t>
      </w:r>
    </w:p>
    <w:p w:rsidR="00496CE6" w:rsidRPr="007E5071" w:rsidRDefault="00496CE6" w:rsidP="00AD31CE">
      <w:pPr>
        <w:pStyle w:val="ListParagraph"/>
        <w:widowControl/>
        <w:numPr>
          <w:ilvl w:val="1"/>
          <w:numId w:val="17"/>
        </w:numPr>
        <w:ind w:left="1434" w:hanging="357"/>
      </w:pPr>
      <w:r w:rsidRPr="007E5071">
        <w:t xml:space="preserve">In </w:t>
      </w:r>
      <w:r w:rsidR="007510F9" w:rsidRPr="007E5071">
        <w:t>re</w:t>
      </w:r>
      <w:r w:rsidRPr="007E5071">
        <w:t xml:space="preserve">considering the NIVO as adjuvant therapy </w:t>
      </w:r>
      <w:r w:rsidR="007510F9" w:rsidRPr="007E5071">
        <w:t>deferral</w:t>
      </w:r>
      <w:r w:rsidRPr="007E5071">
        <w:t xml:space="preserve">, the PBAC determined that </w:t>
      </w:r>
      <w:r w:rsidR="00BF12D4">
        <w:rPr>
          <w:noProof/>
          <w:color w:val="000000"/>
          <w:highlight w:val="black"/>
        </w:rPr>
        <w:t>'''''''''</w:t>
      </w:r>
      <w:r w:rsidRPr="007E5071">
        <w:t xml:space="preserve">% to </w:t>
      </w:r>
      <w:r w:rsidR="00BF12D4">
        <w:rPr>
          <w:noProof/>
          <w:color w:val="000000"/>
          <w:highlight w:val="black"/>
        </w:rPr>
        <w:t>'''''''''</w:t>
      </w:r>
      <w:r w:rsidRPr="007E5071">
        <w:t xml:space="preserve">% of patients would avoid unresectable or metastatic recurrence (local and/or distant), and that this would translate into a reduction of approximately </w:t>
      </w:r>
      <w:r w:rsidR="00BF12D4">
        <w:rPr>
          <w:noProof/>
          <w:color w:val="000000"/>
          <w:highlight w:val="black"/>
        </w:rPr>
        <w:t>''''''''</w:t>
      </w:r>
      <w:r w:rsidRPr="007E5071">
        <w:t xml:space="preserve">% to </w:t>
      </w:r>
      <w:r w:rsidR="00BF12D4">
        <w:rPr>
          <w:noProof/>
          <w:color w:val="000000"/>
          <w:highlight w:val="black"/>
        </w:rPr>
        <w:t>'''''''''</w:t>
      </w:r>
      <w:r w:rsidRPr="007E5071">
        <w:t xml:space="preserve">% of unresectable or metastatic </w:t>
      </w:r>
      <w:r w:rsidR="004273E2">
        <w:t>patients</w:t>
      </w:r>
      <w:r w:rsidR="003F39A9">
        <w:t xml:space="preserve"> receiving treatment</w:t>
      </w:r>
      <w:r w:rsidRPr="007E5071">
        <w:t xml:space="preserve">. </w:t>
      </w:r>
    </w:p>
    <w:p w:rsidR="001E4827" w:rsidRPr="007E5071" w:rsidRDefault="001E4827" w:rsidP="001E4827">
      <w:pPr>
        <w:pStyle w:val="ListParagraph"/>
        <w:widowControl/>
        <w:numPr>
          <w:ilvl w:val="1"/>
          <w:numId w:val="15"/>
        </w:numPr>
        <w:ind w:left="1077" w:hanging="357"/>
      </w:pPr>
      <w:r w:rsidRPr="007E5071">
        <w:rPr>
          <w:szCs w:val="24"/>
        </w:rPr>
        <w:t>Patients who are ineligible to receive further treatment due to recurring whilst on, or within six months of completing, adjuvant therapy</w:t>
      </w:r>
      <w:r w:rsidR="008648F3" w:rsidRPr="007E5071">
        <w:rPr>
          <w:szCs w:val="24"/>
        </w:rPr>
        <w:t>:</w:t>
      </w:r>
    </w:p>
    <w:p w:rsidR="00496CE6" w:rsidRPr="007E5071" w:rsidRDefault="00AD31CE" w:rsidP="00AD31CE">
      <w:pPr>
        <w:pStyle w:val="ListParagraph"/>
        <w:widowControl/>
        <w:numPr>
          <w:ilvl w:val="1"/>
          <w:numId w:val="16"/>
        </w:numPr>
        <w:ind w:left="1434" w:hanging="357"/>
      </w:pPr>
      <w:r w:rsidRPr="007E5071">
        <w:t xml:space="preserve">In </w:t>
      </w:r>
      <w:r w:rsidR="007510F9" w:rsidRPr="007E5071">
        <w:t>re</w:t>
      </w:r>
      <w:r w:rsidRPr="007E5071">
        <w:t xml:space="preserve">considering the NIVO as adjuvant therapy </w:t>
      </w:r>
      <w:r w:rsidR="007510F9" w:rsidRPr="007E5071">
        <w:t>deferral</w:t>
      </w:r>
      <w:r w:rsidRPr="007E5071">
        <w:t xml:space="preserve">, the PBAC noted that it was assumed that approximately 61% of patients complete 12 months of adjuvant therapy, i.e. 30% to 40% would relapse whilst on or within six months of completing adjuvant treatment. </w:t>
      </w:r>
      <w:r w:rsidRPr="007E5071">
        <w:rPr>
          <w:szCs w:val="24"/>
        </w:rPr>
        <w:t>It was also assumed that 66% of patients in the unresectable or metastatic setting would have received adjuvant treatment, 3</w:t>
      </w:r>
      <w:r w:rsidR="00C502DB">
        <w:rPr>
          <w:szCs w:val="24"/>
        </w:rPr>
        <w:t>7.7</w:t>
      </w:r>
      <w:r w:rsidRPr="007E5071">
        <w:rPr>
          <w:szCs w:val="24"/>
        </w:rPr>
        <w:t xml:space="preserve">% of those would be BRAF mutant and 74.1% of BRAF mutant patients would have received a PD-1 inhibitor. Thus, the PBAC determined that </w:t>
      </w:r>
      <w:r w:rsidR="00BF12D4">
        <w:rPr>
          <w:noProof/>
          <w:color w:val="000000"/>
          <w:szCs w:val="24"/>
          <w:highlight w:val="black"/>
        </w:rPr>
        <w:t>''''''''</w:t>
      </w:r>
      <w:r w:rsidRPr="007E5071">
        <w:rPr>
          <w:szCs w:val="24"/>
        </w:rPr>
        <w:t>%</w:t>
      </w:r>
      <w:r w:rsidR="00FE3B53">
        <w:rPr>
          <w:szCs w:val="24"/>
        </w:rPr>
        <w:t xml:space="preserve"> to </w:t>
      </w:r>
      <w:r w:rsidR="00BF12D4">
        <w:rPr>
          <w:noProof/>
          <w:color w:val="000000"/>
          <w:szCs w:val="24"/>
          <w:highlight w:val="black"/>
        </w:rPr>
        <w:t>'''''''''</w:t>
      </w:r>
      <w:r w:rsidR="00FE3B53">
        <w:rPr>
          <w:szCs w:val="24"/>
        </w:rPr>
        <w:t>%</w:t>
      </w:r>
      <w:r w:rsidRPr="007E5071">
        <w:rPr>
          <w:szCs w:val="24"/>
        </w:rPr>
        <w:t xml:space="preserve"> of the unresectable or metastatic PD-1 inhibitor population </w:t>
      </w:r>
      <w:r w:rsidR="003F39A9">
        <w:rPr>
          <w:szCs w:val="24"/>
        </w:rPr>
        <w:t>would</w:t>
      </w:r>
      <w:r w:rsidRPr="007E5071">
        <w:rPr>
          <w:szCs w:val="24"/>
        </w:rPr>
        <w:t xml:space="preserve"> be ineligible for </w:t>
      </w:r>
      <w:r w:rsidR="003F39A9">
        <w:rPr>
          <w:szCs w:val="24"/>
        </w:rPr>
        <w:t>treatment</w:t>
      </w:r>
      <w:r w:rsidRPr="007E5071">
        <w:rPr>
          <w:szCs w:val="24"/>
        </w:rPr>
        <w:t>.</w:t>
      </w:r>
    </w:p>
    <w:p w:rsidR="00066237" w:rsidRPr="007E5071" w:rsidRDefault="009A2936" w:rsidP="00983502">
      <w:pPr>
        <w:pStyle w:val="ListParagraph"/>
        <w:widowControl/>
        <w:numPr>
          <w:ilvl w:val="1"/>
          <w:numId w:val="1"/>
        </w:numPr>
      </w:pPr>
      <w:r w:rsidRPr="007E5071">
        <w:t xml:space="preserve">The mean effective price per infusion for NIVO monotherapy and NIVO+IPI were derived using the methodology outlined in </w:t>
      </w:r>
      <w:r w:rsidR="00CD3ABA" w:rsidRPr="007E5071">
        <w:t>Table</w:t>
      </w:r>
      <w:r w:rsidR="00FE3B53">
        <w:t xml:space="preserve"> 11</w:t>
      </w:r>
      <w:r w:rsidRPr="007E5071">
        <w:t xml:space="preserve">, above. </w:t>
      </w:r>
      <w:r w:rsidR="00496CE6" w:rsidRPr="007E5071">
        <w:t xml:space="preserve">The PBAC considered that the nivolumab dosage assumptions applied in the submission that 3% </w:t>
      </w:r>
      <w:r w:rsidR="00496CE6" w:rsidRPr="007E5071">
        <w:rPr>
          <w:szCs w:val="24"/>
        </w:rPr>
        <w:t>of patients would receive 3 mg/kg every two weeks, 9% would receive 240 mg every two weeks and 88% would receive 480 mg every four weeks were appropriate.</w:t>
      </w:r>
    </w:p>
    <w:p w:rsidR="00456E19" w:rsidRPr="007E5071" w:rsidRDefault="009A2936" w:rsidP="00983502">
      <w:pPr>
        <w:pStyle w:val="ListParagraph"/>
        <w:widowControl/>
        <w:numPr>
          <w:ilvl w:val="1"/>
          <w:numId w:val="1"/>
        </w:numPr>
      </w:pPr>
      <w:r w:rsidRPr="007E5071">
        <w:t>The estimated duration of treatment for each regimen was the same as in the economic analysis</w:t>
      </w:r>
      <w:r w:rsidR="002077CA" w:rsidRPr="00853379">
        <w:t xml:space="preserve"> (see </w:t>
      </w:r>
      <w:r w:rsidR="005947DB">
        <w:t>Table 7</w:t>
      </w:r>
      <w:r w:rsidR="002077CA" w:rsidRPr="00853379">
        <w:t>)</w:t>
      </w:r>
      <w:r w:rsidR="006E1004" w:rsidRPr="007E5071">
        <w:t>.</w:t>
      </w:r>
      <w:r w:rsidRPr="007E5071">
        <w:t xml:space="preserve"> </w:t>
      </w:r>
    </w:p>
    <w:p w:rsidR="00AE77E0" w:rsidRPr="007E5071" w:rsidRDefault="00AE77E0" w:rsidP="00983502">
      <w:pPr>
        <w:pStyle w:val="ListParagraph"/>
        <w:widowControl/>
        <w:numPr>
          <w:ilvl w:val="1"/>
          <w:numId w:val="1"/>
        </w:numPr>
      </w:pPr>
      <w:r w:rsidRPr="007E5071">
        <w:t xml:space="preserve">The estimated use and financial implications of listing NIVO monotherapy and NIVO+IPI for the first-line treatment of unresectable Stage III or Stage IV BRAF mutation positive melanoma </w:t>
      </w:r>
      <w:r w:rsidR="00347340" w:rsidRPr="007E5071">
        <w:t xml:space="preserve">presented in the submission </w:t>
      </w:r>
      <w:r w:rsidRPr="007E5071">
        <w:t>are summarised below.</w:t>
      </w:r>
      <w:r w:rsidR="00347340" w:rsidRPr="007E5071">
        <w:t xml:space="preserve"> The PBAC considered that revised estimates based on the recommendations above would </w:t>
      </w:r>
      <w:r w:rsidR="00AA1C34" w:rsidRPr="007E5071">
        <w:t xml:space="preserve">also </w:t>
      </w:r>
      <w:r w:rsidR="00347340" w:rsidRPr="007E5071">
        <w:t xml:space="preserve">result in a </w:t>
      </w:r>
      <w:r w:rsidR="00AA1C34" w:rsidRPr="007E5071">
        <w:t xml:space="preserve">minimal cost to the </w:t>
      </w:r>
      <w:r w:rsidR="00347340" w:rsidRPr="007E5071">
        <w:t>PBS/RPBS</w:t>
      </w:r>
      <w:r w:rsidR="00AA1C34" w:rsidRPr="007E5071">
        <w:t>/MBS</w:t>
      </w:r>
      <w:r w:rsidR="00347340" w:rsidRPr="007E5071">
        <w:t>.</w:t>
      </w:r>
    </w:p>
    <w:p w:rsidR="00456E19" w:rsidRPr="007E5071" w:rsidRDefault="00456E19" w:rsidP="00764435">
      <w:pPr>
        <w:pStyle w:val="Caption"/>
        <w:keepNext/>
        <w:keepLines/>
        <w:widowControl/>
      </w:pPr>
      <w:r w:rsidRPr="007E5071">
        <w:t xml:space="preserve">Table </w:t>
      </w:r>
      <w:r w:rsidR="000503DE" w:rsidRPr="007E5071">
        <w:t>13</w:t>
      </w:r>
      <w:r w:rsidRPr="007E5071">
        <w:t>:</w:t>
      </w:r>
      <w:r w:rsidR="00AE77E0" w:rsidRPr="007E5071">
        <w:t xml:space="preserve"> Estimated use and financial implications</w:t>
      </w:r>
      <w:r w:rsidR="00F25957" w:rsidRPr="007E5071">
        <w:t xml:space="preserve"> (based on the assumed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2"/>
        <w:gridCol w:w="1171"/>
        <w:gridCol w:w="1170"/>
        <w:gridCol w:w="1170"/>
        <w:gridCol w:w="1170"/>
        <w:gridCol w:w="1170"/>
        <w:gridCol w:w="1174"/>
      </w:tblGrid>
      <w:tr w:rsidR="00385A9D" w:rsidRPr="007E5071" w:rsidTr="00312FDA">
        <w:trPr>
          <w:tblHeader/>
        </w:trPr>
        <w:tc>
          <w:tcPr>
            <w:tcW w:w="1104" w:type="pct"/>
            <w:shd w:val="clear" w:color="auto" w:fill="auto"/>
            <w:vAlign w:val="center"/>
          </w:tcPr>
          <w:p w:rsidR="00385A9D" w:rsidRPr="007E5071" w:rsidRDefault="00385A9D" w:rsidP="00764435">
            <w:pPr>
              <w:pStyle w:val="Tabletext"/>
              <w:keepNext/>
              <w:keepLines/>
            </w:pPr>
          </w:p>
        </w:tc>
        <w:tc>
          <w:tcPr>
            <w:tcW w:w="649" w:type="pct"/>
            <w:shd w:val="clear" w:color="auto" w:fill="auto"/>
            <w:vAlign w:val="center"/>
          </w:tcPr>
          <w:p w:rsidR="00385A9D" w:rsidRPr="007E5071" w:rsidRDefault="00385A9D" w:rsidP="00764435">
            <w:pPr>
              <w:pStyle w:val="Tabletext"/>
              <w:keepNext/>
              <w:keepLines/>
              <w:jc w:val="center"/>
              <w:rPr>
                <w:b/>
              </w:rPr>
            </w:pPr>
            <w:r w:rsidRPr="007E5071">
              <w:rPr>
                <w:b/>
              </w:rPr>
              <w:t>Year 1</w:t>
            </w:r>
          </w:p>
        </w:tc>
        <w:tc>
          <w:tcPr>
            <w:tcW w:w="649" w:type="pct"/>
            <w:shd w:val="clear" w:color="auto" w:fill="auto"/>
            <w:vAlign w:val="center"/>
          </w:tcPr>
          <w:p w:rsidR="00385A9D" w:rsidRPr="007E5071" w:rsidRDefault="00385A9D" w:rsidP="00764435">
            <w:pPr>
              <w:pStyle w:val="Tabletext"/>
              <w:keepNext/>
              <w:keepLines/>
              <w:jc w:val="center"/>
              <w:rPr>
                <w:b/>
              </w:rPr>
            </w:pPr>
            <w:r w:rsidRPr="007E5071">
              <w:rPr>
                <w:b/>
              </w:rPr>
              <w:t>Year 2</w:t>
            </w:r>
          </w:p>
        </w:tc>
        <w:tc>
          <w:tcPr>
            <w:tcW w:w="649" w:type="pct"/>
            <w:shd w:val="clear" w:color="auto" w:fill="auto"/>
            <w:vAlign w:val="center"/>
          </w:tcPr>
          <w:p w:rsidR="00385A9D" w:rsidRPr="007E5071" w:rsidRDefault="00385A9D" w:rsidP="00764435">
            <w:pPr>
              <w:pStyle w:val="Tabletext"/>
              <w:keepNext/>
              <w:keepLines/>
              <w:jc w:val="center"/>
              <w:rPr>
                <w:b/>
              </w:rPr>
            </w:pPr>
            <w:r w:rsidRPr="007E5071">
              <w:rPr>
                <w:b/>
              </w:rPr>
              <w:t>Year 3</w:t>
            </w:r>
          </w:p>
        </w:tc>
        <w:tc>
          <w:tcPr>
            <w:tcW w:w="649" w:type="pct"/>
            <w:shd w:val="clear" w:color="auto" w:fill="auto"/>
            <w:vAlign w:val="center"/>
          </w:tcPr>
          <w:p w:rsidR="00385A9D" w:rsidRPr="007E5071" w:rsidRDefault="00385A9D" w:rsidP="00764435">
            <w:pPr>
              <w:pStyle w:val="Tabletext"/>
              <w:keepNext/>
              <w:keepLines/>
              <w:jc w:val="center"/>
              <w:rPr>
                <w:b/>
              </w:rPr>
            </w:pPr>
            <w:r w:rsidRPr="007E5071">
              <w:rPr>
                <w:b/>
              </w:rPr>
              <w:t>Year 4</w:t>
            </w:r>
          </w:p>
        </w:tc>
        <w:tc>
          <w:tcPr>
            <w:tcW w:w="649" w:type="pct"/>
            <w:shd w:val="clear" w:color="auto" w:fill="auto"/>
            <w:vAlign w:val="center"/>
          </w:tcPr>
          <w:p w:rsidR="00385A9D" w:rsidRPr="007E5071" w:rsidRDefault="00385A9D" w:rsidP="00764435">
            <w:pPr>
              <w:pStyle w:val="Tabletext"/>
              <w:keepNext/>
              <w:keepLines/>
              <w:jc w:val="center"/>
              <w:rPr>
                <w:b/>
              </w:rPr>
            </w:pPr>
            <w:r w:rsidRPr="007E5071">
              <w:rPr>
                <w:b/>
              </w:rPr>
              <w:t>Year 5</w:t>
            </w:r>
          </w:p>
        </w:tc>
        <w:tc>
          <w:tcPr>
            <w:tcW w:w="651" w:type="pct"/>
          </w:tcPr>
          <w:p w:rsidR="00385A9D" w:rsidRPr="007E5071" w:rsidRDefault="00385A9D" w:rsidP="00764435">
            <w:pPr>
              <w:pStyle w:val="Tabletext"/>
              <w:keepNext/>
              <w:keepLines/>
              <w:jc w:val="center"/>
              <w:rPr>
                <w:b/>
              </w:rPr>
            </w:pPr>
            <w:r w:rsidRPr="007E5071">
              <w:rPr>
                <w:b/>
              </w:rPr>
              <w:t>Year 6</w:t>
            </w:r>
          </w:p>
        </w:tc>
      </w:tr>
      <w:tr w:rsidR="00385A9D" w:rsidRPr="007E5071" w:rsidTr="00312FDA">
        <w:tc>
          <w:tcPr>
            <w:tcW w:w="5000" w:type="pct"/>
            <w:gridSpan w:val="7"/>
            <w:shd w:val="clear" w:color="auto" w:fill="auto"/>
            <w:vAlign w:val="center"/>
          </w:tcPr>
          <w:p w:rsidR="00385A9D" w:rsidRPr="007E5071" w:rsidRDefault="00385A9D" w:rsidP="00764435">
            <w:pPr>
              <w:pStyle w:val="Tabletext"/>
              <w:keepNext/>
              <w:keepLines/>
              <w:rPr>
                <w:b/>
                <w:bCs/>
                <w:color w:val="000000"/>
              </w:rPr>
            </w:pPr>
            <w:r w:rsidRPr="007E5071">
              <w:rPr>
                <w:b/>
                <w:bCs/>
                <w:color w:val="000000"/>
              </w:rPr>
              <w:t>Estimated extent of use</w:t>
            </w:r>
            <w:r w:rsidR="00E758AE" w:rsidRPr="007E5071">
              <w:rPr>
                <w:b/>
                <w:bCs/>
                <w:color w:val="000000"/>
              </w:rPr>
              <w:t xml:space="preserve"> of NIVO monotherapy and NIVO+IPI</w:t>
            </w:r>
          </w:p>
        </w:tc>
      </w:tr>
      <w:tr w:rsidR="00524AF4" w:rsidRPr="007E5071" w:rsidTr="00312FDA">
        <w:tc>
          <w:tcPr>
            <w:tcW w:w="1104" w:type="pct"/>
            <w:shd w:val="clear" w:color="auto" w:fill="auto"/>
            <w:vAlign w:val="center"/>
          </w:tcPr>
          <w:p w:rsidR="00524AF4" w:rsidRPr="007E5071" w:rsidRDefault="00524AF4" w:rsidP="00764435">
            <w:pPr>
              <w:pStyle w:val="Tabletext"/>
              <w:keepNext/>
              <w:keepLines/>
              <w:rPr>
                <w:rFonts w:ascii="Times" w:hAnsi="Times"/>
              </w:rPr>
            </w:pPr>
            <w:r w:rsidRPr="007E5071">
              <w:t>N</w:t>
            </w:r>
            <w:r w:rsidR="00E758AE" w:rsidRPr="007E5071">
              <w:t>o.</w:t>
            </w:r>
            <w:r w:rsidR="001055B7" w:rsidRPr="007E5071">
              <w:t xml:space="preserve"> </w:t>
            </w:r>
            <w:r w:rsidRPr="007E5071">
              <w:t>of patients treated</w:t>
            </w:r>
          </w:p>
        </w:tc>
        <w:tc>
          <w:tcPr>
            <w:tcW w:w="649" w:type="pct"/>
            <w:shd w:val="clear" w:color="auto" w:fill="auto"/>
            <w:vAlign w:val="center"/>
          </w:tcPr>
          <w:p w:rsidR="00524AF4" w:rsidRPr="007E5071" w:rsidRDefault="00BF12D4" w:rsidP="00764435">
            <w:pPr>
              <w:pStyle w:val="Tabletext"/>
              <w:keepNext/>
              <w:keepLines/>
              <w:jc w:val="center"/>
              <w:rPr>
                <w:bCs/>
                <w:color w:val="000000"/>
                <w:vertAlign w:val="superscript"/>
              </w:rPr>
            </w:pPr>
            <w:r>
              <w:rPr>
                <w:noProof/>
                <w:color w:val="000000"/>
                <w:szCs w:val="20"/>
                <w:highlight w:val="black"/>
              </w:rPr>
              <w:t>'''''''''</w:t>
            </w:r>
            <w:r w:rsidR="001236A4" w:rsidRPr="007E5071">
              <w:rPr>
                <w:szCs w:val="20"/>
                <w:vertAlign w:val="superscript"/>
              </w:rPr>
              <w:t>c</w:t>
            </w:r>
          </w:p>
        </w:tc>
        <w:tc>
          <w:tcPr>
            <w:tcW w:w="649" w:type="pct"/>
            <w:shd w:val="clear" w:color="auto" w:fill="auto"/>
            <w:vAlign w:val="center"/>
          </w:tcPr>
          <w:p w:rsidR="00524AF4" w:rsidRPr="00BF12D4" w:rsidRDefault="00BF12D4" w:rsidP="00764435">
            <w:pPr>
              <w:pStyle w:val="Tabletext"/>
              <w:keepNext/>
              <w:keepLines/>
              <w:jc w:val="center"/>
              <w:rPr>
                <w:bCs/>
                <w:color w:val="000000"/>
                <w:highlight w:val="black"/>
              </w:rPr>
            </w:pPr>
            <w:r>
              <w:rPr>
                <w:noProof/>
                <w:color w:val="000000"/>
                <w:szCs w:val="20"/>
                <w:highlight w:val="black"/>
              </w:rPr>
              <w:t>''''''''</w:t>
            </w:r>
          </w:p>
        </w:tc>
        <w:tc>
          <w:tcPr>
            <w:tcW w:w="649" w:type="pct"/>
            <w:shd w:val="clear" w:color="auto" w:fill="auto"/>
            <w:vAlign w:val="center"/>
          </w:tcPr>
          <w:p w:rsidR="00524AF4" w:rsidRPr="00BF12D4" w:rsidRDefault="00BF12D4" w:rsidP="00764435">
            <w:pPr>
              <w:pStyle w:val="Tabletext"/>
              <w:keepNext/>
              <w:keepLines/>
              <w:jc w:val="center"/>
              <w:rPr>
                <w:bCs/>
                <w:color w:val="000000"/>
                <w:highlight w:val="black"/>
              </w:rPr>
            </w:pPr>
            <w:r>
              <w:rPr>
                <w:noProof/>
                <w:color w:val="000000"/>
                <w:szCs w:val="20"/>
                <w:highlight w:val="black"/>
              </w:rPr>
              <w:t>'''''''''</w:t>
            </w:r>
          </w:p>
        </w:tc>
        <w:tc>
          <w:tcPr>
            <w:tcW w:w="649" w:type="pct"/>
            <w:shd w:val="clear" w:color="auto" w:fill="auto"/>
            <w:vAlign w:val="center"/>
          </w:tcPr>
          <w:p w:rsidR="00524AF4" w:rsidRPr="00BF12D4" w:rsidRDefault="00BF12D4" w:rsidP="00764435">
            <w:pPr>
              <w:pStyle w:val="Tabletext"/>
              <w:keepNext/>
              <w:keepLines/>
              <w:jc w:val="center"/>
              <w:rPr>
                <w:bCs/>
                <w:color w:val="000000"/>
                <w:highlight w:val="black"/>
              </w:rPr>
            </w:pPr>
            <w:r>
              <w:rPr>
                <w:noProof/>
                <w:color w:val="000000"/>
                <w:szCs w:val="20"/>
                <w:highlight w:val="black"/>
              </w:rPr>
              <w:t>''''''''''</w:t>
            </w:r>
          </w:p>
        </w:tc>
        <w:tc>
          <w:tcPr>
            <w:tcW w:w="649" w:type="pct"/>
            <w:shd w:val="clear" w:color="auto" w:fill="auto"/>
            <w:vAlign w:val="center"/>
          </w:tcPr>
          <w:p w:rsidR="00524AF4" w:rsidRPr="00BF12D4" w:rsidRDefault="00BF12D4" w:rsidP="00764435">
            <w:pPr>
              <w:pStyle w:val="Tabletext"/>
              <w:keepNext/>
              <w:keepLines/>
              <w:jc w:val="center"/>
              <w:rPr>
                <w:bCs/>
                <w:color w:val="000000"/>
                <w:highlight w:val="black"/>
              </w:rPr>
            </w:pPr>
            <w:r>
              <w:rPr>
                <w:noProof/>
                <w:color w:val="000000"/>
                <w:szCs w:val="20"/>
                <w:highlight w:val="black"/>
              </w:rPr>
              <w:t>''''''''''</w:t>
            </w:r>
          </w:p>
        </w:tc>
        <w:tc>
          <w:tcPr>
            <w:tcW w:w="651" w:type="pct"/>
            <w:vAlign w:val="center"/>
          </w:tcPr>
          <w:p w:rsidR="00524AF4" w:rsidRPr="00BF12D4" w:rsidRDefault="00BF12D4" w:rsidP="00764435">
            <w:pPr>
              <w:pStyle w:val="Tabletext"/>
              <w:keepNext/>
              <w:keepLines/>
              <w:jc w:val="center"/>
              <w:rPr>
                <w:bCs/>
                <w:color w:val="000000"/>
                <w:highlight w:val="black"/>
              </w:rPr>
            </w:pPr>
            <w:r>
              <w:rPr>
                <w:noProof/>
                <w:color w:val="000000"/>
                <w:szCs w:val="20"/>
                <w:highlight w:val="black"/>
              </w:rPr>
              <w:t>'''''''''</w:t>
            </w:r>
          </w:p>
        </w:tc>
      </w:tr>
      <w:tr w:rsidR="00FF27FB" w:rsidRPr="007E5071" w:rsidTr="00312FDA">
        <w:tc>
          <w:tcPr>
            <w:tcW w:w="1104" w:type="pct"/>
            <w:shd w:val="clear" w:color="auto" w:fill="auto"/>
            <w:vAlign w:val="center"/>
          </w:tcPr>
          <w:p w:rsidR="00FF27FB" w:rsidRPr="007E5071" w:rsidRDefault="00FF27FB" w:rsidP="00764435">
            <w:pPr>
              <w:pStyle w:val="Tabletext"/>
              <w:keepNext/>
              <w:keepLines/>
              <w:ind w:left="142"/>
            </w:pPr>
            <w:r w:rsidRPr="007E5071">
              <w:t>NIVO monotherapy</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51" w:type="pct"/>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r>
      <w:tr w:rsidR="00FF27FB" w:rsidRPr="007E5071" w:rsidTr="00312FDA">
        <w:tc>
          <w:tcPr>
            <w:tcW w:w="1104" w:type="pct"/>
            <w:shd w:val="clear" w:color="auto" w:fill="auto"/>
            <w:vAlign w:val="center"/>
          </w:tcPr>
          <w:p w:rsidR="00FF27FB" w:rsidRPr="007E5071" w:rsidRDefault="00FF27FB" w:rsidP="00764435">
            <w:pPr>
              <w:pStyle w:val="Tabletext"/>
              <w:keepNext/>
              <w:keepLines/>
              <w:ind w:left="142"/>
            </w:pPr>
            <w:r w:rsidRPr="007E5071">
              <w:t>NIVO+IPI</w:t>
            </w:r>
          </w:p>
        </w:tc>
        <w:tc>
          <w:tcPr>
            <w:tcW w:w="649" w:type="pct"/>
            <w:shd w:val="clear" w:color="auto" w:fill="auto"/>
            <w:vAlign w:val="center"/>
          </w:tcPr>
          <w:p w:rsidR="00FF27FB" w:rsidRPr="007E5071" w:rsidRDefault="00BF12D4" w:rsidP="00764435">
            <w:pPr>
              <w:pStyle w:val="Tabletext"/>
              <w:keepNext/>
              <w:keepLines/>
              <w:jc w:val="center"/>
              <w:rPr>
                <w:szCs w:val="20"/>
                <w:vertAlign w:val="superscript"/>
              </w:rPr>
            </w:pPr>
            <w:r>
              <w:rPr>
                <w:noProof/>
                <w:color w:val="000000"/>
                <w:szCs w:val="20"/>
                <w:highlight w:val="black"/>
              </w:rPr>
              <w:t>''''''''''</w:t>
            </w:r>
            <w:r w:rsidR="005A27C5" w:rsidRPr="007E5071">
              <w:rPr>
                <w:szCs w:val="20"/>
                <w:vertAlign w:val="superscript"/>
              </w:rPr>
              <w:t>b</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c>
          <w:tcPr>
            <w:tcW w:w="651" w:type="pct"/>
            <w:vAlign w:val="center"/>
          </w:tcPr>
          <w:p w:rsidR="00FF27FB" w:rsidRPr="00BF12D4" w:rsidRDefault="00BF12D4" w:rsidP="00764435">
            <w:pPr>
              <w:pStyle w:val="Tabletext"/>
              <w:keepNext/>
              <w:keepLines/>
              <w:jc w:val="center"/>
              <w:rPr>
                <w:szCs w:val="20"/>
                <w:highlight w:val="black"/>
              </w:rPr>
            </w:pPr>
            <w:r>
              <w:rPr>
                <w:noProof/>
                <w:color w:val="000000"/>
                <w:szCs w:val="20"/>
                <w:highlight w:val="black"/>
              </w:rPr>
              <w:t>'''''''''</w:t>
            </w:r>
          </w:p>
        </w:tc>
      </w:tr>
      <w:tr w:rsidR="00D54C9B" w:rsidRPr="007E5071" w:rsidTr="00312FDA">
        <w:tc>
          <w:tcPr>
            <w:tcW w:w="5000" w:type="pct"/>
            <w:gridSpan w:val="7"/>
            <w:shd w:val="clear" w:color="auto" w:fill="auto"/>
            <w:vAlign w:val="center"/>
          </w:tcPr>
          <w:p w:rsidR="00D54C9B" w:rsidRPr="007E5071" w:rsidRDefault="00D54C9B" w:rsidP="00764435">
            <w:pPr>
              <w:pStyle w:val="Tabletext"/>
              <w:keepNext/>
              <w:keepLines/>
              <w:rPr>
                <w:szCs w:val="20"/>
              </w:rPr>
            </w:pPr>
            <w:r w:rsidRPr="007E5071">
              <w:t>Number of infusions</w:t>
            </w:r>
          </w:p>
        </w:tc>
      </w:tr>
      <w:tr w:rsidR="0089469A" w:rsidRPr="007E5071" w:rsidTr="00312FDA">
        <w:tc>
          <w:tcPr>
            <w:tcW w:w="1104" w:type="pct"/>
            <w:shd w:val="clear" w:color="auto" w:fill="auto"/>
            <w:vAlign w:val="center"/>
          </w:tcPr>
          <w:p w:rsidR="0089469A" w:rsidRPr="007E5071" w:rsidRDefault="0089469A" w:rsidP="00764435">
            <w:pPr>
              <w:pStyle w:val="Tabletext"/>
              <w:keepNext/>
              <w:keepLines/>
              <w:ind w:left="142"/>
              <w:rPr>
                <w:vertAlign w:val="superscript"/>
              </w:rPr>
            </w:pPr>
            <w:r w:rsidRPr="007E5071">
              <w:t>NIVO monotherapy</w:t>
            </w:r>
            <w:r w:rsidR="005A27C5" w:rsidRPr="007E5071">
              <w:rPr>
                <w:vertAlign w:val="superscript"/>
              </w:rPr>
              <w:t>a</w:t>
            </w:r>
          </w:p>
        </w:tc>
        <w:tc>
          <w:tcPr>
            <w:tcW w:w="649" w:type="pct"/>
            <w:shd w:val="clear" w:color="auto" w:fill="auto"/>
            <w:vAlign w:val="bottom"/>
          </w:tcPr>
          <w:p w:rsidR="0089469A"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89469A"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89469A"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89469A"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89469A" w:rsidRPr="00BF12D4" w:rsidRDefault="00BF12D4" w:rsidP="00764435">
            <w:pPr>
              <w:pStyle w:val="Tabletext"/>
              <w:keepNext/>
              <w:keepLines/>
              <w:jc w:val="center"/>
              <w:rPr>
                <w:szCs w:val="20"/>
                <w:highlight w:val="black"/>
              </w:rPr>
            </w:pPr>
            <w:r>
              <w:rPr>
                <w:noProof/>
                <w:color w:val="000000"/>
                <w:szCs w:val="20"/>
                <w:highlight w:val="black"/>
              </w:rPr>
              <w:t>'''''''''''''</w:t>
            </w:r>
          </w:p>
        </w:tc>
        <w:tc>
          <w:tcPr>
            <w:tcW w:w="651" w:type="pct"/>
            <w:vAlign w:val="bottom"/>
          </w:tcPr>
          <w:p w:rsidR="0089469A" w:rsidRPr="00BF12D4" w:rsidRDefault="00BF12D4" w:rsidP="00764435">
            <w:pPr>
              <w:pStyle w:val="Tabletext"/>
              <w:keepNext/>
              <w:keepLines/>
              <w:jc w:val="center"/>
              <w:rPr>
                <w:szCs w:val="20"/>
                <w:highlight w:val="black"/>
              </w:rPr>
            </w:pPr>
            <w:r>
              <w:rPr>
                <w:noProof/>
                <w:color w:val="000000"/>
                <w:szCs w:val="20"/>
                <w:highlight w:val="black"/>
              </w:rPr>
              <w:t>'''''''''''''</w:t>
            </w:r>
          </w:p>
        </w:tc>
      </w:tr>
      <w:tr w:rsidR="00D54C9B" w:rsidRPr="007E5071" w:rsidTr="00312FDA">
        <w:tc>
          <w:tcPr>
            <w:tcW w:w="5000" w:type="pct"/>
            <w:gridSpan w:val="7"/>
            <w:shd w:val="clear" w:color="auto" w:fill="auto"/>
            <w:vAlign w:val="center"/>
          </w:tcPr>
          <w:p w:rsidR="00D54C9B" w:rsidRPr="007E5071" w:rsidRDefault="00D54C9B" w:rsidP="00764435">
            <w:pPr>
              <w:pStyle w:val="Tabletext"/>
              <w:keepNext/>
              <w:keepLines/>
              <w:rPr>
                <w:bCs/>
                <w:color w:val="000000"/>
              </w:rPr>
            </w:pPr>
            <w:r w:rsidRPr="007E5071">
              <w:t>NIVO+IPI</w:t>
            </w:r>
            <w:r w:rsidRPr="007E5071">
              <w:rPr>
                <w:vertAlign w:val="superscript"/>
              </w:rPr>
              <w:t>b</w:t>
            </w:r>
          </w:p>
        </w:tc>
      </w:tr>
      <w:tr w:rsidR="00DA28B0" w:rsidRPr="007E5071" w:rsidTr="00312FDA">
        <w:tc>
          <w:tcPr>
            <w:tcW w:w="1104" w:type="pct"/>
            <w:shd w:val="clear" w:color="auto" w:fill="auto"/>
            <w:vAlign w:val="center"/>
          </w:tcPr>
          <w:p w:rsidR="00DA28B0" w:rsidRPr="007E5071" w:rsidRDefault="00DA28B0" w:rsidP="00764435">
            <w:pPr>
              <w:pStyle w:val="Tabletext"/>
              <w:keepNext/>
              <w:keepLines/>
              <w:ind w:left="284"/>
            </w:pPr>
            <w:r w:rsidRPr="007E5071">
              <w:t>IPI</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51" w:type="pct"/>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r>
      <w:tr w:rsidR="00DA28B0" w:rsidRPr="007E5071" w:rsidTr="00312FDA">
        <w:tc>
          <w:tcPr>
            <w:tcW w:w="1104" w:type="pct"/>
            <w:shd w:val="clear" w:color="auto" w:fill="auto"/>
            <w:vAlign w:val="center"/>
          </w:tcPr>
          <w:p w:rsidR="00DA28B0" w:rsidRPr="007E5071" w:rsidRDefault="00DA28B0" w:rsidP="00764435">
            <w:pPr>
              <w:pStyle w:val="Tabletext"/>
              <w:keepNext/>
              <w:keepLines/>
              <w:ind w:left="284"/>
            </w:pPr>
            <w:r w:rsidRPr="007E5071">
              <w:t>NIVO induction</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51" w:type="pct"/>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r>
      <w:tr w:rsidR="00DA28B0" w:rsidRPr="007E5071" w:rsidTr="00312FDA">
        <w:tc>
          <w:tcPr>
            <w:tcW w:w="1104" w:type="pct"/>
            <w:shd w:val="clear" w:color="auto" w:fill="auto"/>
            <w:vAlign w:val="center"/>
          </w:tcPr>
          <w:p w:rsidR="00DA28B0" w:rsidRPr="007E5071" w:rsidRDefault="00DA28B0" w:rsidP="00764435">
            <w:pPr>
              <w:pStyle w:val="Tabletext"/>
              <w:keepNext/>
              <w:keepLines/>
              <w:ind w:left="284"/>
            </w:pPr>
            <w:r w:rsidRPr="007E5071">
              <w:t>NIVO maintenance</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49" w:type="pct"/>
            <w:shd w:val="clear" w:color="auto" w:fill="auto"/>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c>
          <w:tcPr>
            <w:tcW w:w="651" w:type="pct"/>
            <w:vAlign w:val="bottom"/>
          </w:tcPr>
          <w:p w:rsidR="00DA28B0" w:rsidRPr="00BF12D4" w:rsidRDefault="00BF12D4" w:rsidP="00764435">
            <w:pPr>
              <w:pStyle w:val="Tabletext"/>
              <w:keepNext/>
              <w:keepLines/>
              <w:jc w:val="center"/>
              <w:rPr>
                <w:szCs w:val="20"/>
                <w:highlight w:val="black"/>
              </w:rPr>
            </w:pPr>
            <w:r>
              <w:rPr>
                <w:noProof/>
                <w:color w:val="000000"/>
                <w:szCs w:val="20"/>
                <w:highlight w:val="black"/>
              </w:rPr>
              <w:t>''''''''''''</w:t>
            </w:r>
          </w:p>
        </w:tc>
      </w:tr>
      <w:tr w:rsidR="00385A9D" w:rsidRPr="007E5071" w:rsidTr="00312FDA">
        <w:tc>
          <w:tcPr>
            <w:tcW w:w="5000" w:type="pct"/>
            <w:gridSpan w:val="7"/>
            <w:shd w:val="clear" w:color="auto" w:fill="auto"/>
            <w:vAlign w:val="center"/>
          </w:tcPr>
          <w:p w:rsidR="00385A9D" w:rsidRPr="007E5071" w:rsidRDefault="00385A9D" w:rsidP="00764435">
            <w:pPr>
              <w:pStyle w:val="Tabletext"/>
              <w:keepNext/>
              <w:keepLines/>
              <w:rPr>
                <w:b/>
                <w:bCs/>
                <w:color w:val="000000"/>
              </w:rPr>
            </w:pPr>
            <w:r w:rsidRPr="007E5071">
              <w:rPr>
                <w:b/>
                <w:bCs/>
                <w:color w:val="000000"/>
              </w:rPr>
              <w:t>Estimated financial implica</w:t>
            </w:r>
            <w:r w:rsidR="00770D2F" w:rsidRPr="007E5071">
              <w:rPr>
                <w:b/>
                <w:bCs/>
                <w:color w:val="000000"/>
              </w:rPr>
              <w:t xml:space="preserve">tions of </w:t>
            </w:r>
            <w:r w:rsidR="00D507A7" w:rsidRPr="007E5071">
              <w:rPr>
                <w:b/>
                <w:bCs/>
                <w:color w:val="000000"/>
              </w:rPr>
              <w:t>listing NIVO and NIVO+IPI</w:t>
            </w:r>
          </w:p>
        </w:tc>
      </w:tr>
      <w:tr w:rsidR="00D54C9B" w:rsidRPr="007E5071" w:rsidTr="00312FDA">
        <w:tc>
          <w:tcPr>
            <w:tcW w:w="5000" w:type="pct"/>
            <w:gridSpan w:val="7"/>
            <w:shd w:val="clear" w:color="auto" w:fill="auto"/>
            <w:vAlign w:val="center"/>
          </w:tcPr>
          <w:p w:rsidR="00D54C9B" w:rsidRPr="007E5071" w:rsidRDefault="00D54C9B" w:rsidP="00764435">
            <w:pPr>
              <w:pStyle w:val="Tabletext"/>
              <w:keepNext/>
              <w:keepLines/>
              <w:rPr>
                <w:bCs/>
                <w:color w:val="000000"/>
                <w:szCs w:val="20"/>
              </w:rPr>
            </w:pPr>
            <w:r w:rsidRPr="007E5071">
              <w:rPr>
                <w:szCs w:val="20"/>
              </w:rPr>
              <w:t>Cost to PBS/RPBS</w:t>
            </w:r>
          </w:p>
        </w:tc>
      </w:tr>
      <w:tr w:rsidR="00AC5928" w:rsidRPr="007E5071" w:rsidTr="00312FDA">
        <w:tc>
          <w:tcPr>
            <w:tcW w:w="1104" w:type="pct"/>
            <w:shd w:val="clear" w:color="auto" w:fill="auto"/>
            <w:vAlign w:val="center"/>
          </w:tcPr>
          <w:p w:rsidR="00AC5928" w:rsidRPr="007E5071" w:rsidRDefault="00AC5928" w:rsidP="00764435">
            <w:pPr>
              <w:pStyle w:val="Tabletext"/>
              <w:keepNext/>
              <w:keepLines/>
              <w:ind w:left="142"/>
              <w:rPr>
                <w:szCs w:val="20"/>
              </w:rPr>
            </w:pPr>
            <w:r w:rsidRPr="007E5071">
              <w:rPr>
                <w:szCs w:val="20"/>
              </w:rPr>
              <w:t>NIVO monotherapy</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51" w:type="pct"/>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r>
      <w:tr w:rsidR="00AC5928" w:rsidRPr="007E5071" w:rsidTr="00312FDA">
        <w:tc>
          <w:tcPr>
            <w:tcW w:w="1104" w:type="pct"/>
            <w:shd w:val="clear" w:color="auto" w:fill="auto"/>
            <w:vAlign w:val="center"/>
          </w:tcPr>
          <w:p w:rsidR="00AC5928" w:rsidRPr="007E5071" w:rsidRDefault="00AC5928" w:rsidP="00764435">
            <w:pPr>
              <w:pStyle w:val="Tabletext"/>
              <w:keepNext/>
              <w:keepLines/>
              <w:ind w:left="142"/>
              <w:rPr>
                <w:szCs w:val="20"/>
              </w:rPr>
            </w:pPr>
            <w:r w:rsidRPr="007E5071">
              <w:rPr>
                <w:szCs w:val="20"/>
              </w:rPr>
              <w:t>NIVO +IPI</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51" w:type="pct"/>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r>
      <w:tr w:rsidR="00AC5928" w:rsidRPr="007E5071" w:rsidTr="00312FDA">
        <w:tc>
          <w:tcPr>
            <w:tcW w:w="1104" w:type="pct"/>
            <w:shd w:val="clear" w:color="auto" w:fill="auto"/>
            <w:vAlign w:val="center"/>
          </w:tcPr>
          <w:p w:rsidR="00AC5928" w:rsidRPr="007E5071" w:rsidRDefault="00AC5928" w:rsidP="00764435">
            <w:pPr>
              <w:pStyle w:val="Tabletext"/>
              <w:keepNext/>
              <w:keepLines/>
              <w:rPr>
                <w:szCs w:val="20"/>
              </w:rPr>
            </w:pPr>
            <w:r w:rsidRPr="007E5071">
              <w:rPr>
                <w:szCs w:val="20"/>
              </w:rPr>
              <w:t>Total</w:t>
            </w:r>
            <w:r w:rsidR="00E758AE" w:rsidRPr="007E5071">
              <w:rPr>
                <w:szCs w:val="20"/>
              </w:rPr>
              <w:t xml:space="preserve"> cost to P</w:t>
            </w:r>
            <w:r w:rsidR="00FA503A" w:rsidRPr="007E5071">
              <w:rPr>
                <w:szCs w:val="20"/>
              </w:rPr>
              <w:t>B</w:t>
            </w:r>
            <w:r w:rsidR="00E758AE" w:rsidRPr="007E5071">
              <w:rPr>
                <w:szCs w:val="20"/>
              </w:rPr>
              <w:t>S/RPBS</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51" w:type="pct"/>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r>
      <w:tr w:rsidR="00AC5928" w:rsidRPr="007E5071" w:rsidTr="00312FDA">
        <w:tc>
          <w:tcPr>
            <w:tcW w:w="1104" w:type="pct"/>
            <w:shd w:val="clear" w:color="auto" w:fill="auto"/>
            <w:vAlign w:val="center"/>
          </w:tcPr>
          <w:p w:rsidR="00AC5928" w:rsidRPr="007E5071" w:rsidRDefault="00AC5928" w:rsidP="00764435">
            <w:pPr>
              <w:pStyle w:val="Tabletext"/>
              <w:keepNext/>
              <w:keepLines/>
              <w:rPr>
                <w:szCs w:val="20"/>
              </w:rPr>
            </w:pPr>
            <w:r w:rsidRPr="007E5071">
              <w:rPr>
                <w:szCs w:val="20"/>
              </w:rPr>
              <w:t>Copayments</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c>
          <w:tcPr>
            <w:tcW w:w="651" w:type="pct"/>
            <w:vAlign w:val="center"/>
          </w:tcPr>
          <w:p w:rsidR="00AC5928" w:rsidRPr="007E5071" w:rsidRDefault="00AC5928" w:rsidP="00764435">
            <w:pPr>
              <w:pStyle w:val="Tabletext"/>
              <w:keepNext/>
              <w:keepLines/>
              <w:jc w:val="right"/>
            </w:pPr>
            <w:r w:rsidRPr="007E5071">
              <w:t>$</w:t>
            </w:r>
            <w:r w:rsidR="00BF12D4">
              <w:rPr>
                <w:noProof/>
                <w:color w:val="000000"/>
                <w:highlight w:val="black"/>
              </w:rPr>
              <w:t>''''''''''''''''</w:t>
            </w:r>
          </w:p>
        </w:tc>
      </w:tr>
      <w:tr w:rsidR="00FA411C" w:rsidRPr="007E5071" w:rsidTr="00312FDA">
        <w:tc>
          <w:tcPr>
            <w:tcW w:w="1104" w:type="pct"/>
            <w:shd w:val="clear" w:color="auto" w:fill="auto"/>
            <w:vAlign w:val="center"/>
          </w:tcPr>
          <w:p w:rsidR="00FA411C" w:rsidRPr="007E5071" w:rsidRDefault="00FA411C" w:rsidP="00764435">
            <w:pPr>
              <w:pStyle w:val="Tabletext"/>
              <w:keepNext/>
              <w:keepLines/>
              <w:rPr>
                <w:szCs w:val="20"/>
              </w:rPr>
            </w:pPr>
            <w:r w:rsidRPr="007E5071">
              <w:rPr>
                <w:szCs w:val="20"/>
              </w:rPr>
              <w:t>Cost to PBS/RPBS less copayments</w:t>
            </w:r>
          </w:p>
        </w:tc>
        <w:tc>
          <w:tcPr>
            <w:tcW w:w="649" w:type="pct"/>
            <w:shd w:val="clear" w:color="auto" w:fill="auto"/>
            <w:vAlign w:val="center"/>
          </w:tcPr>
          <w:p w:rsidR="00FA411C" w:rsidRPr="007E5071" w:rsidRDefault="00FA411C" w:rsidP="00764435">
            <w:pPr>
              <w:pStyle w:val="Tabletext"/>
              <w:keepNext/>
              <w:keepLines/>
              <w:ind w:right="124"/>
              <w:jc w:val="right"/>
              <w:rPr>
                <w:b/>
              </w:rPr>
            </w:pPr>
            <w:r w:rsidRPr="007E5071">
              <w:rPr>
                <w:b/>
              </w:rPr>
              <w:t>$</w:t>
            </w:r>
            <w:r w:rsidR="00BF12D4">
              <w:rPr>
                <w:b/>
                <w:noProof/>
                <w:color w:val="000000"/>
                <w:highlight w:val="black"/>
              </w:rPr>
              <w:t>''''''''''''''''''''</w:t>
            </w:r>
          </w:p>
        </w:tc>
        <w:tc>
          <w:tcPr>
            <w:tcW w:w="649" w:type="pct"/>
            <w:shd w:val="clear" w:color="auto" w:fill="auto"/>
            <w:vAlign w:val="center"/>
          </w:tcPr>
          <w:p w:rsidR="00FA411C" w:rsidRPr="007E5071" w:rsidRDefault="00FA411C" w:rsidP="00764435">
            <w:pPr>
              <w:pStyle w:val="Tabletext"/>
              <w:keepNext/>
              <w:keepLines/>
              <w:ind w:right="124"/>
              <w:jc w:val="right"/>
              <w:rPr>
                <w:b/>
              </w:rPr>
            </w:pPr>
            <w:r w:rsidRPr="007E5071">
              <w:rPr>
                <w:b/>
              </w:rPr>
              <w:t>$</w:t>
            </w:r>
            <w:r w:rsidR="00BF12D4">
              <w:rPr>
                <w:b/>
                <w:noProof/>
                <w:color w:val="000000"/>
                <w:highlight w:val="black"/>
              </w:rPr>
              <w:t>''''''''''''''''''''</w:t>
            </w:r>
          </w:p>
        </w:tc>
        <w:tc>
          <w:tcPr>
            <w:tcW w:w="649" w:type="pct"/>
            <w:shd w:val="clear" w:color="auto" w:fill="auto"/>
            <w:vAlign w:val="center"/>
          </w:tcPr>
          <w:p w:rsidR="00FA411C" w:rsidRPr="007E5071" w:rsidRDefault="00FA411C" w:rsidP="00764435">
            <w:pPr>
              <w:pStyle w:val="Tabletext"/>
              <w:keepNext/>
              <w:keepLines/>
              <w:ind w:right="124"/>
              <w:jc w:val="right"/>
              <w:rPr>
                <w:b/>
              </w:rPr>
            </w:pPr>
            <w:r w:rsidRPr="007E5071">
              <w:rPr>
                <w:b/>
              </w:rPr>
              <w:t>$</w:t>
            </w:r>
            <w:r w:rsidR="00BF12D4">
              <w:rPr>
                <w:b/>
                <w:noProof/>
                <w:color w:val="000000"/>
                <w:highlight w:val="black"/>
              </w:rPr>
              <w:t>'''''''''''''''''''''''</w:t>
            </w:r>
          </w:p>
        </w:tc>
        <w:tc>
          <w:tcPr>
            <w:tcW w:w="649" w:type="pct"/>
            <w:shd w:val="clear" w:color="auto" w:fill="auto"/>
            <w:vAlign w:val="center"/>
          </w:tcPr>
          <w:p w:rsidR="00FA411C" w:rsidRPr="007E5071" w:rsidRDefault="00FA411C" w:rsidP="00764435">
            <w:pPr>
              <w:pStyle w:val="Tabletext"/>
              <w:keepNext/>
              <w:keepLines/>
              <w:ind w:right="124"/>
              <w:jc w:val="right"/>
              <w:rPr>
                <w:b/>
              </w:rPr>
            </w:pPr>
            <w:r w:rsidRPr="007E5071">
              <w:rPr>
                <w:b/>
              </w:rPr>
              <w:t>$</w:t>
            </w:r>
            <w:r w:rsidR="00BF12D4">
              <w:rPr>
                <w:b/>
                <w:noProof/>
                <w:color w:val="000000"/>
                <w:highlight w:val="black"/>
              </w:rPr>
              <w:t>'''''''''''''''''''''''</w:t>
            </w:r>
          </w:p>
        </w:tc>
        <w:tc>
          <w:tcPr>
            <w:tcW w:w="649" w:type="pct"/>
            <w:shd w:val="clear" w:color="auto" w:fill="auto"/>
            <w:vAlign w:val="center"/>
          </w:tcPr>
          <w:p w:rsidR="00FA411C" w:rsidRPr="007E5071" w:rsidRDefault="00FA411C" w:rsidP="00764435">
            <w:pPr>
              <w:pStyle w:val="Tabletext"/>
              <w:keepNext/>
              <w:keepLines/>
              <w:ind w:right="124"/>
              <w:jc w:val="right"/>
              <w:rPr>
                <w:b/>
              </w:rPr>
            </w:pPr>
            <w:r w:rsidRPr="007E5071">
              <w:rPr>
                <w:b/>
              </w:rPr>
              <w:t>$</w:t>
            </w:r>
            <w:r w:rsidR="00BF12D4">
              <w:rPr>
                <w:b/>
                <w:noProof/>
                <w:color w:val="000000"/>
                <w:highlight w:val="black"/>
              </w:rPr>
              <w:t>''''''''''''''''''''</w:t>
            </w:r>
          </w:p>
        </w:tc>
        <w:tc>
          <w:tcPr>
            <w:tcW w:w="651" w:type="pct"/>
            <w:vAlign w:val="center"/>
          </w:tcPr>
          <w:p w:rsidR="00FA411C" w:rsidRPr="007E5071" w:rsidRDefault="00FA411C" w:rsidP="00764435">
            <w:pPr>
              <w:pStyle w:val="Tabletext"/>
              <w:keepNext/>
              <w:keepLines/>
              <w:ind w:right="124"/>
              <w:jc w:val="right"/>
              <w:rPr>
                <w:b/>
              </w:rPr>
            </w:pPr>
            <w:r w:rsidRPr="007E5071">
              <w:rPr>
                <w:b/>
              </w:rPr>
              <w:t>$</w:t>
            </w:r>
            <w:r w:rsidR="00BF12D4">
              <w:rPr>
                <w:b/>
                <w:noProof/>
                <w:color w:val="000000"/>
                <w:highlight w:val="black"/>
              </w:rPr>
              <w:t>'''''''''''''''''''''''</w:t>
            </w:r>
          </w:p>
        </w:tc>
      </w:tr>
      <w:tr w:rsidR="00385A9D" w:rsidRPr="007E5071" w:rsidTr="00312FDA">
        <w:tc>
          <w:tcPr>
            <w:tcW w:w="5000" w:type="pct"/>
            <w:gridSpan w:val="7"/>
            <w:shd w:val="clear" w:color="auto" w:fill="auto"/>
            <w:vAlign w:val="center"/>
          </w:tcPr>
          <w:p w:rsidR="00385A9D" w:rsidRPr="007E5071" w:rsidRDefault="00385A9D" w:rsidP="00764435">
            <w:pPr>
              <w:pStyle w:val="Tabletext"/>
              <w:keepNext/>
              <w:keepLines/>
              <w:rPr>
                <w:bCs/>
                <w:color w:val="000000"/>
              </w:rPr>
            </w:pPr>
            <w:r w:rsidRPr="007E5071">
              <w:rPr>
                <w:b/>
                <w:bCs/>
                <w:color w:val="000000"/>
              </w:rPr>
              <w:t>Estimated financial implications f</w:t>
            </w:r>
            <w:r w:rsidR="00E758AE" w:rsidRPr="007E5071">
              <w:rPr>
                <w:b/>
                <w:bCs/>
                <w:color w:val="000000"/>
              </w:rPr>
              <w:t xml:space="preserve">or utilisation of </w:t>
            </w:r>
            <w:r w:rsidR="000325AA" w:rsidRPr="007E5071">
              <w:rPr>
                <w:b/>
                <w:bCs/>
                <w:color w:val="000000"/>
              </w:rPr>
              <w:t>BRAF and MEK inhibitors</w:t>
            </w:r>
          </w:p>
        </w:tc>
      </w:tr>
      <w:tr w:rsidR="00E758AE" w:rsidRPr="007E5071" w:rsidTr="00312FDA">
        <w:tc>
          <w:tcPr>
            <w:tcW w:w="1104" w:type="pct"/>
            <w:shd w:val="clear" w:color="auto" w:fill="auto"/>
            <w:vAlign w:val="center"/>
          </w:tcPr>
          <w:p w:rsidR="00E758AE" w:rsidRPr="007E5071" w:rsidRDefault="00E758AE" w:rsidP="00764435">
            <w:pPr>
              <w:pStyle w:val="Tabletext"/>
              <w:keepNext/>
              <w:keepLines/>
              <w:rPr>
                <w:szCs w:val="20"/>
              </w:rPr>
            </w:pPr>
            <w:r w:rsidRPr="007E5071">
              <w:rPr>
                <w:szCs w:val="20"/>
              </w:rPr>
              <w:t>Cost to PBS/RPBS</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51" w:type="pct"/>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r>
      <w:tr w:rsidR="00E758AE" w:rsidRPr="007E5071" w:rsidTr="00312FDA">
        <w:tc>
          <w:tcPr>
            <w:tcW w:w="1104" w:type="pct"/>
            <w:shd w:val="clear" w:color="auto" w:fill="auto"/>
            <w:vAlign w:val="center"/>
          </w:tcPr>
          <w:p w:rsidR="00E758AE" w:rsidRPr="007E5071" w:rsidRDefault="00E758AE" w:rsidP="00764435">
            <w:pPr>
              <w:pStyle w:val="Tabletext"/>
              <w:keepNext/>
              <w:keepLines/>
              <w:rPr>
                <w:szCs w:val="20"/>
              </w:rPr>
            </w:pPr>
            <w:r w:rsidRPr="007E5071">
              <w:rPr>
                <w:szCs w:val="20"/>
              </w:rPr>
              <w:t>Copayments</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51" w:type="pct"/>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r>
      <w:tr w:rsidR="00E758AE" w:rsidRPr="007E5071" w:rsidTr="00312FDA">
        <w:tc>
          <w:tcPr>
            <w:tcW w:w="1104" w:type="pct"/>
            <w:shd w:val="clear" w:color="auto" w:fill="auto"/>
            <w:vAlign w:val="center"/>
          </w:tcPr>
          <w:p w:rsidR="00E758AE" w:rsidRPr="007E5071" w:rsidRDefault="00E758AE" w:rsidP="00764435">
            <w:pPr>
              <w:pStyle w:val="Tabletext"/>
              <w:keepNext/>
              <w:keepLines/>
              <w:rPr>
                <w:szCs w:val="20"/>
              </w:rPr>
            </w:pPr>
            <w:r w:rsidRPr="007E5071">
              <w:rPr>
                <w:szCs w:val="20"/>
              </w:rPr>
              <w:t>Cost to PBS/RPBS less copayments</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51" w:type="pct"/>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r>
      <w:tr w:rsidR="00385A9D" w:rsidRPr="007E5071" w:rsidTr="00312FDA">
        <w:tc>
          <w:tcPr>
            <w:tcW w:w="5000" w:type="pct"/>
            <w:gridSpan w:val="7"/>
            <w:shd w:val="clear" w:color="auto" w:fill="auto"/>
            <w:vAlign w:val="center"/>
          </w:tcPr>
          <w:p w:rsidR="00385A9D" w:rsidRPr="007E5071" w:rsidRDefault="00385A9D" w:rsidP="00764435">
            <w:pPr>
              <w:pStyle w:val="Tabletext"/>
              <w:keepNext/>
              <w:keepLines/>
              <w:rPr>
                <w:b/>
                <w:bCs/>
                <w:color w:val="000000"/>
              </w:rPr>
            </w:pPr>
            <w:r w:rsidRPr="007E5071">
              <w:rPr>
                <w:b/>
                <w:bCs/>
                <w:color w:val="000000"/>
              </w:rPr>
              <w:t xml:space="preserve">Net financial </w:t>
            </w:r>
            <w:r w:rsidRPr="007E5071">
              <w:rPr>
                <w:b/>
                <w:bCs/>
              </w:rPr>
              <w:t>implications</w:t>
            </w:r>
            <w:r w:rsidR="00D507A7" w:rsidRPr="007E5071">
              <w:rPr>
                <w:b/>
                <w:bCs/>
              </w:rPr>
              <w:t xml:space="preserve"> to the PBS/RPBS and MBS</w:t>
            </w:r>
          </w:p>
        </w:tc>
      </w:tr>
      <w:tr w:rsidR="00E758AE" w:rsidRPr="007E5071" w:rsidTr="00312FDA">
        <w:tc>
          <w:tcPr>
            <w:tcW w:w="1104" w:type="pct"/>
            <w:shd w:val="clear" w:color="auto" w:fill="auto"/>
            <w:vAlign w:val="center"/>
          </w:tcPr>
          <w:p w:rsidR="00E758AE" w:rsidRPr="007E5071" w:rsidRDefault="00E758AE" w:rsidP="00764435">
            <w:pPr>
              <w:pStyle w:val="Tabletext"/>
              <w:keepNext/>
              <w:keepLines/>
              <w:rPr>
                <w:szCs w:val="20"/>
              </w:rPr>
            </w:pPr>
            <w:r w:rsidRPr="007E5071">
              <w:rPr>
                <w:szCs w:val="20"/>
              </w:rPr>
              <w:t>Net cost to PBS/RPBS</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51" w:type="pct"/>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r>
      <w:tr w:rsidR="00E758AE" w:rsidRPr="007E5071" w:rsidTr="00312FDA">
        <w:tc>
          <w:tcPr>
            <w:tcW w:w="1104" w:type="pct"/>
            <w:shd w:val="clear" w:color="auto" w:fill="auto"/>
            <w:vAlign w:val="center"/>
          </w:tcPr>
          <w:p w:rsidR="00E758AE" w:rsidRPr="007E5071" w:rsidRDefault="00E758AE" w:rsidP="00764435">
            <w:pPr>
              <w:pStyle w:val="Tabletext"/>
              <w:keepNext/>
              <w:keepLines/>
              <w:rPr>
                <w:rFonts w:ascii="Times" w:hAnsi="Times"/>
                <w:szCs w:val="20"/>
              </w:rPr>
            </w:pPr>
            <w:r w:rsidRPr="007E5071">
              <w:rPr>
                <w:szCs w:val="20"/>
              </w:rPr>
              <w:t>Net cost to MBS</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c>
          <w:tcPr>
            <w:tcW w:w="651" w:type="pct"/>
            <w:vAlign w:val="center"/>
          </w:tcPr>
          <w:p w:rsidR="00E758AE" w:rsidRPr="007E5071" w:rsidRDefault="00E758AE" w:rsidP="00764435">
            <w:pPr>
              <w:pStyle w:val="Tabletext"/>
              <w:keepNext/>
              <w:keepLines/>
              <w:jc w:val="right"/>
            </w:pPr>
            <w:r w:rsidRPr="007E5071">
              <w:t>$</w:t>
            </w:r>
            <w:r w:rsidR="00BF12D4">
              <w:rPr>
                <w:noProof/>
                <w:color w:val="000000"/>
                <w:highlight w:val="black"/>
              </w:rPr>
              <w:t>''''''''''''''''''</w:t>
            </w:r>
          </w:p>
        </w:tc>
      </w:tr>
      <w:tr w:rsidR="00E758AE" w:rsidRPr="007E5071" w:rsidTr="00312FDA">
        <w:tc>
          <w:tcPr>
            <w:tcW w:w="1104" w:type="pct"/>
            <w:shd w:val="clear" w:color="auto" w:fill="auto"/>
            <w:vAlign w:val="center"/>
          </w:tcPr>
          <w:p w:rsidR="00E758AE" w:rsidRPr="007E5071" w:rsidRDefault="00A44A2A" w:rsidP="00764435">
            <w:pPr>
              <w:pStyle w:val="Tabletext"/>
              <w:keepNext/>
              <w:keepLines/>
              <w:rPr>
                <w:szCs w:val="20"/>
              </w:rPr>
            </w:pPr>
            <w:r w:rsidRPr="007E5071">
              <w:rPr>
                <w:szCs w:val="20"/>
              </w:rPr>
              <w:t>Net cost to PBS/RPBS/MBS</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49" w:type="pct"/>
            <w:shd w:val="clear" w:color="auto" w:fill="auto"/>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c>
          <w:tcPr>
            <w:tcW w:w="651" w:type="pct"/>
            <w:vAlign w:val="center"/>
          </w:tcPr>
          <w:p w:rsidR="00E758AE" w:rsidRPr="007E5071" w:rsidRDefault="00E758AE" w:rsidP="00764435">
            <w:pPr>
              <w:pStyle w:val="Tabletext"/>
              <w:keepNext/>
              <w:keepLines/>
              <w:jc w:val="right"/>
              <w:rPr>
                <w:b/>
              </w:rPr>
            </w:pPr>
            <w:r w:rsidRPr="007E5071">
              <w:rPr>
                <w:b/>
              </w:rPr>
              <w:t>$</w:t>
            </w:r>
            <w:r w:rsidR="00BF12D4">
              <w:rPr>
                <w:b/>
                <w:noProof/>
                <w:color w:val="000000"/>
                <w:highlight w:val="black"/>
              </w:rPr>
              <w:t>''''''''''''''''</w:t>
            </w:r>
          </w:p>
        </w:tc>
      </w:tr>
    </w:tbl>
    <w:p w:rsidR="000325AA" w:rsidRPr="007E5071" w:rsidRDefault="000325AA" w:rsidP="00764435">
      <w:pPr>
        <w:pStyle w:val="TableFooter"/>
        <w:keepNext/>
        <w:keepLines/>
        <w:widowControl/>
        <w:tabs>
          <w:tab w:val="left" w:pos="142"/>
        </w:tabs>
        <w:ind w:left="142" w:hanging="142"/>
      </w:pPr>
      <w:r w:rsidRPr="007E5071">
        <w:t>IPI = ipilimumab; NIVO = nivolumab</w:t>
      </w:r>
    </w:p>
    <w:p w:rsidR="00E466F3" w:rsidRPr="007E5071" w:rsidRDefault="00E466F3" w:rsidP="00764435">
      <w:pPr>
        <w:pStyle w:val="TableFooter"/>
        <w:keepNext/>
        <w:keepLines/>
        <w:widowControl/>
        <w:tabs>
          <w:tab w:val="left" w:pos="142"/>
        </w:tabs>
        <w:ind w:left="142" w:hanging="142"/>
      </w:pPr>
      <w:r w:rsidRPr="007E5071">
        <w:rPr>
          <w:vertAlign w:val="superscript"/>
        </w:rPr>
        <w:t>a</w:t>
      </w:r>
      <w:r w:rsidR="005A27C5" w:rsidRPr="007E5071">
        <w:t xml:space="preserve"> </w:t>
      </w:r>
      <w:r w:rsidRPr="007E5071">
        <w:t xml:space="preserve">Assuming </w:t>
      </w:r>
      <w:r w:rsidR="005A27C5" w:rsidRPr="007E5071">
        <w:t>19.6 infusions administered every 2 weeks (3 mg/kg Q2W and 200 g Q2W doses) or 9.8 infusions administered every 4 weeks (400 mg dose) per course,</w:t>
      </w:r>
      <w:r w:rsidRPr="007E5071">
        <w:t xml:space="preserve"> as estimated by the submission.</w:t>
      </w:r>
    </w:p>
    <w:p w:rsidR="005A27C5" w:rsidRPr="007E5071" w:rsidRDefault="005A27C5" w:rsidP="00764435">
      <w:pPr>
        <w:pStyle w:val="TableFooter"/>
        <w:keepNext/>
        <w:keepLines/>
        <w:widowControl/>
        <w:tabs>
          <w:tab w:val="left" w:pos="142"/>
        </w:tabs>
        <w:ind w:left="142" w:hanging="142"/>
      </w:pPr>
      <w:r w:rsidRPr="007E5071">
        <w:rPr>
          <w:vertAlign w:val="superscript"/>
        </w:rPr>
        <w:t>b</w:t>
      </w:r>
      <w:r w:rsidRPr="007E5071">
        <w:t xml:space="preserve"> Assuming 3.2 infusions of NIVO+IPI in the induction phase, and either 11.1 infusions of NIVO administered every 2 weeks (3 mg/kg Q2W and 200 g Q2W doses) or 5.5 infusions administered every 4 weeks (400 mg dose) </w:t>
      </w:r>
      <w:r w:rsidR="00FA503A" w:rsidRPr="007E5071">
        <w:t>for the maintenance phase</w:t>
      </w:r>
      <w:r w:rsidRPr="007E5071">
        <w:t>, as estimated by the submission.</w:t>
      </w:r>
    </w:p>
    <w:p w:rsidR="005A27C5" w:rsidRPr="007E5071" w:rsidRDefault="001236A4" w:rsidP="00764435">
      <w:pPr>
        <w:pStyle w:val="TableFooter"/>
        <w:keepNext/>
        <w:keepLines/>
        <w:widowControl/>
        <w:tabs>
          <w:tab w:val="left" w:pos="142"/>
        </w:tabs>
        <w:ind w:left="142" w:hanging="142"/>
      </w:pPr>
      <w:r w:rsidRPr="007E5071">
        <w:rPr>
          <w:vertAlign w:val="superscript"/>
        </w:rPr>
        <w:t>c</w:t>
      </w:r>
      <w:r w:rsidR="005A27C5" w:rsidRPr="007E5071">
        <w:t xml:space="preserve"> Includes 25 grandfathered patients</w:t>
      </w:r>
    </w:p>
    <w:p w:rsidR="00385A9D" w:rsidRPr="007E5071" w:rsidRDefault="00385A9D" w:rsidP="00764435">
      <w:pPr>
        <w:pStyle w:val="TableFooter"/>
        <w:keepNext/>
        <w:keepLines/>
        <w:widowControl/>
        <w:rPr>
          <w:rStyle w:val="CommentReference"/>
        </w:rPr>
      </w:pPr>
      <w:r w:rsidRPr="007E5071">
        <w:t xml:space="preserve">Source: </w:t>
      </w:r>
      <w:r w:rsidR="003D589E" w:rsidRPr="007E5071">
        <w:t>Table 56 p132, Table 57 pp133-4, Table 61 p137, Table 62 p138, Table 66 p140, Table 69 p141 and Table 70 p141 of the submission; Section 4 Excel workbook ‘Elec doc_Section 4_BIM”.</w:t>
      </w:r>
    </w:p>
    <w:p w:rsidR="00C25D9C" w:rsidRPr="007E5071" w:rsidRDefault="00C25D9C" w:rsidP="00C25D9C">
      <w:pPr>
        <w:widowControl/>
      </w:pPr>
    </w:p>
    <w:p w:rsidR="00677B0F" w:rsidRDefault="00677B0F" w:rsidP="00677B0F">
      <w:pPr>
        <w:widowControl/>
      </w:pPr>
      <w:r>
        <w:t xml:space="preserve">The redacted table shows that at Year 6, </w:t>
      </w:r>
      <w:r w:rsidR="009C7F5F">
        <w:t xml:space="preserve">the estimated number of patients was less than 10,000 and the net cost to the </w:t>
      </w:r>
      <w:r w:rsidR="00224B5B">
        <w:t>Government</w:t>
      </w:r>
      <w:r w:rsidR="009C7F5F">
        <w:t xml:space="preserve"> would be less than $10 million.</w:t>
      </w:r>
    </w:p>
    <w:p w:rsidR="00677B0F" w:rsidRDefault="00677B0F" w:rsidP="00677B0F">
      <w:pPr>
        <w:widowControl/>
      </w:pPr>
    </w:p>
    <w:p w:rsidR="00EB7DA6" w:rsidRPr="007E5071" w:rsidRDefault="00AA1C34" w:rsidP="00983502">
      <w:pPr>
        <w:pStyle w:val="ListParagraph"/>
        <w:widowControl/>
        <w:numPr>
          <w:ilvl w:val="1"/>
          <w:numId w:val="1"/>
        </w:numPr>
      </w:pPr>
      <w:r w:rsidRPr="007E5071">
        <w:t>T</w:t>
      </w:r>
      <w:r w:rsidR="00EB7DA6" w:rsidRPr="007E5071">
        <w:t xml:space="preserve">he </w:t>
      </w:r>
      <w:r w:rsidR="006E1004" w:rsidRPr="007E5071">
        <w:t xml:space="preserve">ESC considered </w:t>
      </w:r>
      <w:r w:rsidR="008648F3" w:rsidRPr="007E5071">
        <w:t xml:space="preserve">additional </w:t>
      </w:r>
      <w:r w:rsidR="00EB7DA6" w:rsidRPr="007E5071">
        <w:t>sources of uncertainty in the base case of the financial analysis were:</w:t>
      </w:r>
    </w:p>
    <w:p w:rsidR="00EB7DA6" w:rsidRPr="007E5071" w:rsidRDefault="00EB7DA6" w:rsidP="00983502">
      <w:pPr>
        <w:pStyle w:val="ListParagraph"/>
        <w:widowControl/>
        <w:numPr>
          <w:ilvl w:val="0"/>
          <w:numId w:val="5"/>
        </w:numPr>
        <w:ind w:left="1077" w:hanging="357"/>
      </w:pPr>
      <w:r w:rsidRPr="007E5071">
        <w:t>The failure to incorporate changes in the utilisation of second-line treatments;</w:t>
      </w:r>
    </w:p>
    <w:p w:rsidR="00EB7DA6" w:rsidRPr="007E5071" w:rsidRDefault="00EB7DA6" w:rsidP="00983502">
      <w:pPr>
        <w:pStyle w:val="ListParagraph"/>
        <w:widowControl/>
        <w:numPr>
          <w:ilvl w:val="0"/>
          <w:numId w:val="5"/>
        </w:numPr>
        <w:ind w:left="1077" w:hanging="357"/>
      </w:pPr>
      <w:r w:rsidRPr="007E5071">
        <w:t xml:space="preserve">The likely market share of each treatment option, </w:t>
      </w:r>
      <w:r w:rsidR="00FA503A" w:rsidRPr="007E5071">
        <w:t>when</w:t>
      </w:r>
      <w:r w:rsidRPr="007E5071">
        <w:t xml:space="preserve"> both NIVO monotherapy and NIVO+IPI are available for first-line therapy for patients with BRAF mutation positive melanoma; and</w:t>
      </w:r>
    </w:p>
    <w:p w:rsidR="00EB7DA6" w:rsidRPr="007E5071" w:rsidRDefault="00EB7DA6" w:rsidP="00983502">
      <w:pPr>
        <w:pStyle w:val="ListParagraph"/>
        <w:widowControl/>
        <w:numPr>
          <w:ilvl w:val="0"/>
          <w:numId w:val="5"/>
        </w:numPr>
        <w:ind w:left="1077" w:hanging="357"/>
      </w:pPr>
      <w:r w:rsidRPr="007E5071">
        <w:t xml:space="preserve">The mean duration of therapy for each of the treatment regimens. </w:t>
      </w:r>
    </w:p>
    <w:p w:rsidR="00FA503A" w:rsidRPr="007E5071" w:rsidRDefault="00FA503A" w:rsidP="00224B5B">
      <w:pPr>
        <w:pStyle w:val="ListParagraph"/>
        <w:widowControl/>
        <w:numPr>
          <w:ilvl w:val="1"/>
          <w:numId w:val="1"/>
        </w:numPr>
      </w:pPr>
      <w:r w:rsidRPr="007E5071">
        <w:t>The submission presented a sensitivity analysis including changes in second-line melanoma therapies. There were a number of issues with this sensitivity analysis</w:t>
      </w:r>
      <w:r w:rsidR="007E5071" w:rsidRPr="007E5071">
        <w:t xml:space="preserve">. </w:t>
      </w:r>
      <w:r w:rsidRPr="007E5071">
        <w:t xml:space="preserve">In addition, the treatment duration </w:t>
      </w:r>
      <w:r w:rsidR="008D2148" w:rsidRPr="007E5071">
        <w:t>for</w:t>
      </w:r>
      <w:r w:rsidRPr="007E5071">
        <w:t xml:space="preserve"> </w:t>
      </w:r>
      <w:r w:rsidR="00375255" w:rsidRPr="007E5071">
        <w:t xml:space="preserve">most of the </w:t>
      </w:r>
      <w:r w:rsidRPr="007E5071">
        <w:t>second-line therap</w:t>
      </w:r>
      <w:r w:rsidR="00375255" w:rsidRPr="007E5071">
        <w:t>ies</w:t>
      </w:r>
      <w:r w:rsidRPr="007E5071">
        <w:t xml:space="preserve"> was highly uncertain</w:t>
      </w:r>
      <w:r w:rsidR="00375255" w:rsidRPr="007E5071">
        <w:t>: the induction and maintenance phases of NIVO+IPI were based on data for a small number of patients receiving these treatments as monotherapy (IPI: n=37; NIVO: n=14), while the duration of second-line BRAF targeted therapy was assumed to be the same as that for PD-1 inhibitor monotherapy</w:t>
      </w:r>
      <w:r w:rsidR="00426088" w:rsidRPr="007E5071">
        <w:t>, as reported in the May 2018 DUSC review</w:t>
      </w:r>
      <w:r w:rsidR="00375255" w:rsidRPr="007E5071">
        <w:t xml:space="preserve">. </w:t>
      </w:r>
      <w:r w:rsidR="00EB5179" w:rsidRPr="007E5071">
        <w:t>The ESC</w:t>
      </w:r>
      <w:r w:rsidR="00482A60" w:rsidRPr="007E5071">
        <w:t>,</w:t>
      </w:r>
      <w:r w:rsidR="00EB5179" w:rsidRPr="007E5071">
        <w:t xml:space="preserve"> </w:t>
      </w:r>
      <w:r w:rsidR="00482A60" w:rsidRPr="007E5071">
        <w:t>n</w:t>
      </w:r>
      <w:r w:rsidR="00EB5179" w:rsidRPr="007E5071">
        <w:t>ot</w:t>
      </w:r>
      <w:r w:rsidR="00482A60" w:rsidRPr="007E5071">
        <w:t>ing</w:t>
      </w:r>
      <w:r w:rsidR="00EB5179" w:rsidRPr="007E5071">
        <w:t xml:space="preserve"> that inclusion of the second-line therapies resulted in cost savings of</w:t>
      </w:r>
      <w:r w:rsidR="00677B0F">
        <w:t xml:space="preserve"> less than</w:t>
      </w:r>
      <w:r w:rsidR="00EB5179" w:rsidRPr="007E5071">
        <w:t xml:space="preserve"> $</w:t>
      </w:r>
      <w:r w:rsidR="00677B0F">
        <w:t>10 million</w:t>
      </w:r>
      <w:r w:rsidR="00EB5179" w:rsidRPr="007E5071">
        <w:t xml:space="preserve"> per year over the first six years of listing, agreed with the evaluation and considered that there were a number of issues with the analysis.</w:t>
      </w:r>
      <w:r w:rsidR="00E41069" w:rsidRPr="007E5071">
        <w:t xml:space="preserve"> The pre-PBAC response stated that the availability of immunotherapies first-line would result in fewer patients requiring subsequent therapy. A recent analysis of the CA209-067 trial found that 67% of patients treated with NIVO+IPI and 58% of patients treated with NIVO</w:t>
      </w:r>
      <w:r w:rsidR="007451DC" w:rsidRPr="007E5071">
        <w:t xml:space="preserve"> monotherapy were alive at five</w:t>
      </w:r>
      <w:r w:rsidR="00E41069" w:rsidRPr="007E5071">
        <w:t xml:space="preserve"> years and treatment free</w:t>
      </w:r>
      <w:r w:rsidR="0001303B" w:rsidRPr="007E5071">
        <w:t>.</w:t>
      </w:r>
    </w:p>
    <w:p w:rsidR="00576972" w:rsidRPr="007E5071" w:rsidRDefault="00576972" w:rsidP="00C9624D">
      <w:pPr>
        <w:pStyle w:val="Heading2"/>
      </w:pPr>
      <w:bookmarkStart w:id="15" w:name="_Toc17116012"/>
      <w:r w:rsidRPr="007E5071">
        <w:t>Financial Management – Risk Sharing Arrangements</w:t>
      </w:r>
      <w:bookmarkEnd w:id="15"/>
    </w:p>
    <w:p w:rsidR="00C25D9C" w:rsidRPr="007E5071" w:rsidRDefault="00C25D9C" w:rsidP="00576972">
      <w:pPr>
        <w:widowControl/>
      </w:pPr>
    </w:p>
    <w:p w:rsidR="00EE786A" w:rsidRPr="007E5071" w:rsidRDefault="00EE786A" w:rsidP="00983502">
      <w:pPr>
        <w:pStyle w:val="ListParagraph"/>
        <w:widowControl/>
        <w:numPr>
          <w:ilvl w:val="1"/>
          <w:numId w:val="1"/>
        </w:numPr>
        <w:rPr>
          <w:i/>
        </w:rPr>
      </w:pPr>
      <w:r w:rsidRPr="007E5071">
        <w:t>The submission raised the following options fo</w:t>
      </w:r>
      <w:r w:rsidR="001E5FC0" w:rsidRPr="007E5071">
        <w:t xml:space="preserve">r a </w:t>
      </w:r>
      <w:r w:rsidR="008648F3" w:rsidRPr="007E5071">
        <w:t>R</w:t>
      </w:r>
      <w:r w:rsidR="001E5FC0" w:rsidRPr="007E5071">
        <w:t xml:space="preserve">isk </w:t>
      </w:r>
      <w:r w:rsidR="008648F3" w:rsidRPr="007E5071">
        <w:t>S</w:t>
      </w:r>
      <w:r w:rsidR="001E5FC0" w:rsidRPr="007E5071">
        <w:t>har</w:t>
      </w:r>
      <w:r w:rsidR="008648F3" w:rsidRPr="007E5071">
        <w:t>ing</w:t>
      </w:r>
      <w:r w:rsidR="001E5FC0" w:rsidRPr="007E5071">
        <w:t xml:space="preserve"> </w:t>
      </w:r>
      <w:r w:rsidR="008648F3" w:rsidRPr="007E5071">
        <w:t>A</w:t>
      </w:r>
      <w:r w:rsidR="001E5FC0" w:rsidRPr="007E5071">
        <w:t>rrangement</w:t>
      </w:r>
      <w:r w:rsidR="008648F3" w:rsidRPr="007E5071">
        <w:t xml:space="preserve"> (RSA)</w:t>
      </w:r>
      <w:r w:rsidRPr="007E5071">
        <w:t>:</w:t>
      </w:r>
    </w:p>
    <w:p w:rsidR="00EE786A" w:rsidRPr="007E5071" w:rsidRDefault="00B45429" w:rsidP="00983502">
      <w:pPr>
        <w:pStyle w:val="ListParagraph"/>
        <w:widowControl/>
        <w:numPr>
          <w:ilvl w:val="0"/>
          <w:numId w:val="4"/>
        </w:numPr>
        <w:ind w:left="1077" w:hanging="357"/>
      </w:pPr>
      <w:r w:rsidRPr="007E5071">
        <w:t xml:space="preserve">Include NIVO monotherapy and NIVO+IPI in </w:t>
      </w:r>
      <w:r w:rsidR="00EE786A" w:rsidRPr="007E5071">
        <w:t xml:space="preserve">the existing expenditure cap for currently listed first-line BRAF targeted therapies for unresectable or metastatic melanoma. In this scenario, until the expenditure cap for combined first-line BRAF targeted therapy and immunotherapy was exceeded, the cost of NIVO monotherapy and NIVO+IPI in the first-line setting would be incurred by the PBS. However, </w:t>
      </w:r>
      <w:r w:rsidR="00EB5179" w:rsidRPr="007E5071">
        <w:t xml:space="preserve">the ESC noted that </w:t>
      </w:r>
      <w:r w:rsidR="00EE786A" w:rsidRPr="007E5071">
        <w:t xml:space="preserve">as the total Commonwealth expenditure </w:t>
      </w:r>
      <w:r w:rsidR="00BE3112" w:rsidRPr="007E5071">
        <w:t xml:space="preserve">on PD-1 inhibitors </w:t>
      </w:r>
      <w:r w:rsidR="00EE786A" w:rsidRPr="007E5071">
        <w:t>for unresectable or metastatic melanoma is currently above the subsidisation cap</w:t>
      </w:r>
      <w:r w:rsidR="00EE786A" w:rsidRPr="007E5071">
        <w:rPr>
          <w:rStyle w:val="FootnoteReference"/>
        </w:rPr>
        <w:footnoteReference w:id="9"/>
      </w:r>
      <w:r w:rsidR="00EE786A" w:rsidRPr="007E5071">
        <w:t>, any reduction in utilisation of NIVO in the second-line setting would not result in a reduction in costs to the PBS unless the total utilisation of NIVO and pembrolizumab currently covered under the RSA dropped below the subsidisation cap for this therapy group.</w:t>
      </w:r>
    </w:p>
    <w:p w:rsidR="00EE786A" w:rsidRPr="007E5071" w:rsidRDefault="00EE786A" w:rsidP="00983502">
      <w:pPr>
        <w:pStyle w:val="ListParagraph"/>
        <w:widowControl/>
        <w:numPr>
          <w:ilvl w:val="0"/>
          <w:numId w:val="4"/>
        </w:numPr>
        <w:ind w:left="1077" w:hanging="357"/>
      </w:pPr>
      <w:r w:rsidRPr="007E5071">
        <w:t xml:space="preserve">Join the proposed </w:t>
      </w:r>
      <w:r w:rsidR="00261C1E" w:rsidRPr="007E5071">
        <w:t>RSA</w:t>
      </w:r>
      <w:r w:rsidRPr="007E5071">
        <w:t xml:space="preserve"> encompassing the use of BRAF/MEK, PD-1 and </w:t>
      </w:r>
      <w:r w:rsidR="0012180B" w:rsidRPr="007E5071">
        <w:t>programmed cell death ligand-1 (</w:t>
      </w:r>
      <w:r w:rsidRPr="007E5071">
        <w:t>PD-L1</w:t>
      </w:r>
      <w:r w:rsidR="0012180B" w:rsidRPr="007E5071">
        <w:t>)</w:t>
      </w:r>
      <w:r w:rsidRPr="007E5071">
        <w:t xml:space="preserve"> inhibitors in both the adjuvant and the unresectable/metastatic melanoma settings, as proposed by the PBAC in its </w:t>
      </w:r>
      <w:r w:rsidR="007510F9" w:rsidRPr="007E5071">
        <w:t>re</w:t>
      </w:r>
      <w:r w:rsidRPr="007E5071">
        <w:t xml:space="preserve">consideration of the </w:t>
      </w:r>
      <w:r w:rsidR="007510F9" w:rsidRPr="007E5071">
        <w:t>deferral</w:t>
      </w:r>
      <w:r w:rsidRPr="007E5071">
        <w:t xml:space="preserve"> for NIVO for adjuvant treatment of melanoma (paragraph 7.14, </w:t>
      </w:r>
      <w:r w:rsidR="00482A60" w:rsidRPr="007E5071">
        <w:t>N</w:t>
      </w:r>
      <w:r w:rsidRPr="007E5071">
        <w:t xml:space="preserve">ivolumab </w:t>
      </w:r>
      <w:r w:rsidR="00BD5747" w:rsidRPr="007E5071">
        <w:t>PSD</w:t>
      </w:r>
      <w:r w:rsidRPr="007E5071">
        <w:t xml:space="preserve">, March 2019). If this cap was imposed then a cost-minimisation approach should result in cost neutrality to the PBS, regardless of whether the cap is exceeded or not. </w:t>
      </w:r>
    </w:p>
    <w:p w:rsidR="00EE786A" w:rsidRPr="007E5071" w:rsidRDefault="00CF1292" w:rsidP="00983502">
      <w:pPr>
        <w:pStyle w:val="ListParagraph"/>
        <w:widowControl/>
        <w:numPr>
          <w:ilvl w:val="1"/>
          <w:numId w:val="1"/>
        </w:numPr>
      </w:pPr>
      <w:r w:rsidRPr="007E5071">
        <w:t>In its consideration of</w:t>
      </w:r>
      <w:r w:rsidR="005713C6" w:rsidRPr="007E5071">
        <w:t xml:space="preserve"> the July 2019 resubmission</w:t>
      </w:r>
      <w:r w:rsidR="003E1270" w:rsidRPr="007E5071">
        <w:t>s</w:t>
      </w:r>
      <w:r w:rsidR="005713C6" w:rsidRPr="007E5071">
        <w:t xml:space="preserve"> for nivolumab monotherapy</w:t>
      </w:r>
      <w:r w:rsidR="003E1270" w:rsidRPr="007E5071">
        <w:t xml:space="preserve"> and DAB+TRAM</w:t>
      </w:r>
      <w:r w:rsidR="005713C6" w:rsidRPr="007E5071">
        <w:t xml:space="preserve"> for adjuvant treatment of patients with completely resected Stage III or Stage IV melanoma, the PBAC </w:t>
      </w:r>
      <w:r w:rsidR="00E73B5D" w:rsidRPr="007E5071">
        <w:t>considered</w:t>
      </w:r>
      <w:r w:rsidR="003E1270" w:rsidRPr="007E5071">
        <w:t xml:space="preserve"> that there should separate subsidisation caps for PD-1 inhibitors and DAB+TRAM, each </w:t>
      </w:r>
      <w:r w:rsidR="005713C6" w:rsidRPr="007E5071">
        <w:t>encompass</w:t>
      </w:r>
      <w:r w:rsidR="003E1270" w:rsidRPr="007E5071">
        <w:t>ing use in both the</w:t>
      </w:r>
      <w:r w:rsidR="005713C6" w:rsidRPr="007E5071">
        <w:t xml:space="preserve"> adjuvant and </w:t>
      </w:r>
      <w:r w:rsidR="003E1270" w:rsidRPr="007E5071">
        <w:t>the unresectable/</w:t>
      </w:r>
      <w:r w:rsidR="005713C6" w:rsidRPr="007E5071">
        <w:t xml:space="preserve">metastatic </w:t>
      </w:r>
      <w:r w:rsidR="003E1270" w:rsidRPr="007E5071">
        <w:t xml:space="preserve">settings (paragraph 4.36, </w:t>
      </w:r>
      <w:r w:rsidR="00741328" w:rsidRPr="007E5071">
        <w:t>N</w:t>
      </w:r>
      <w:r w:rsidR="003E1270" w:rsidRPr="007E5071">
        <w:t>ivolumab</w:t>
      </w:r>
      <w:r w:rsidR="006D63A0" w:rsidRPr="007E5071">
        <w:t xml:space="preserve"> </w:t>
      </w:r>
      <w:r w:rsidR="008A103E">
        <w:t>PSD</w:t>
      </w:r>
      <w:r w:rsidR="00741328" w:rsidRPr="007E5071">
        <w:t>,</w:t>
      </w:r>
      <w:r w:rsidR="006D63A0" w:rsidRPr="007E5071">
        <w:t xml:space="preserve"> July 2019</w:t>
      </w:r>
      <w:r w:rsidR="003E1270" w:rsidRPr="007E5071">
        <w:t>)</w:t>
      </w:r>
      <w:r w:rsidR="005713C6" w:rsidRPr="007E5071">
        <w:t xml:space="preserve">. </w:t>
      </w:r>
      <w:r w:rsidR="0006288C" w:rsidRPr="007E5071">
        <w:t xml:space="preserve">The PSCR stated that the Sponsor would be willing to revise the current </w:t>
      </w:r>
      <w:r w:rsidR="00BB5520" w:rsidRPr="007E5071">
        <w:t>PD-1</w:t>
      </w:r>
      <w:r w:rsidR="00C574DB" w:rsidRPr="007E5071">
        <w:t xml:space="preserve"> inhibitor</w:t>
      </w:r>
      <w:r w:rsidR="00BB5520" w:rsidRPr="007E5071">
        <w:t xml:space="preserve"> </w:t>
      </w:r>
      <w:r w:rsidR="00C574DB" w:rsidRPr="007E5071">
        <w:t>subsidisation</w:t>
      </w:r>
      <w:r w:rsidR="00BB5520" w:rsidRPr="007E5071">
        <w:t xml:space="preserve"> </w:t>
      </w:r>
      <w:r w:rsidR="0006288C" w:rsidRPr="007E5071">
        <w:t>caps to include the extension of use in the first-line setting for BRAF positive patients</w:t>
      </w:r>
      <w:r w:rsidR="00741328" w:rsidRPr="007E5071">
        <w:t xml:space="preserve">. </w:t>
      </w:r>
      <w:r w:rsidR="00922978" w:rsidRPr="007E5071">
        <w:t xml:space="preserve">The PSCR stated that, consistent with the pricing proposal associated with the </w:t>
      </w:r>
      <w:r w:rsidR="007510F9" w:rsidRPr="007E5071">
        <w:t>reconsideration of the</w:t>
      </w:r>
      <w:r w:rsidR="00922978" w:rsidRPr="007E5071">
        <w:t xml:space="preserve"> NIVO as an adjuvant treatment</w:t>
      </w:r>
      <w:r w:rsidR="007510F9" w:rsidRPr="007E5071">
        <w:t xml:space="preserve"> deferral</w:t>
      </w:r>
      <w:r w:rsidR="00922978" w:rsidRPr="007E5071">
        <w:t xml:space="preserve">, the weighted nivolumab melanoma price would be revised across the three patient populations (adjuvant melanoma, current metastatic melanoma and extended use in the first-line setting for BRAF positive patients). </w:t>
      </w:r>
      <w:r w:rsidR="00741328" w:rsidRPr="007E5071">
        <w:t xml:space="preserve">The </w:t>
      </w:r>
      <w:r w:rsidR="005B17DD" w:rsidRPr="007E5071">
        <w:t xml:space="preserve">PBAC </w:t>
      </w:r>
      <w:r w:rsidR="00741328" w:rsidRPr="007E5071">
        <w:t>considered that this would be the most implementable form of RSA.</w:t>
      </w:r>
    </w:p>
    <w:p w:rsidR="00442972" w:rsidRPr="007E5071" w:rsidRDefault="00442972" w:rsidP="000375EB">
      <w:pPr>
        <w:widowControl/>
        <w:ind w:left="720"/>
        <w:rPr>
          <w:i/>
        </w:rPr>
      </w:pPr>
      <w:r w:rsidRPr="007E5071">
        <w:rPr>
          <w:i/>
        </w:rPr>
        <w:t>For more detail on PBAC’s view, see section 7 PBAC outcome.</w:t>
      </w:r>
    </w:p>
    <w:p w:rsidR="00442972" w:rsidRPr="000375EB" w:rsidRDefault="00442972" w:rsidP="000375EB">
      <w:pPr>
        <w:pStyle w:val="PBACHeading1"/>
        <w:spacing w:before="240" w:after="120"/>
        <w:rPr>
          <w:b/>
          <w:caps w:val="0"/>
        </w:rPr>
      </w:pPr>
      <w:r w:rsidRPr="000375EB">
        <w:rPr>
          <w:b/>
          <w:caps w:val="0"/>
        </w:rPr>
        <w:t>PBAC outcome</w:t>
      </w:r>
    </w:p>
    <w:p w:rsidR="008E6B5C" w:rsidRPr="007E5071" w:rsidRDefault="00847AD7" w:rsidP="00983502">
      <w:pPr>
        <w:numPr>
          <w:ilvl w:val="1"/>
          <w:numId w:val="1"/>
        </w:numPr>
        <w:spacing w:after="120"/>
        <w:rPr>
          <w:rFonts w:asciiTheme="minorHAnsi" w:hAnsiTheme="minorHAnsi"/>
          <w:bCs/>
        </w:rPr>
      </w:pPr>
      <w:r w:rsidRPr="007E5071">
        <w:rPr>
          <w:rFonts w:asciiTheme="minorHAnsi" w:hAnsiTheme="minorHAnsi" w:cstheme="minorHAnsi"/>
        </w:rPr>
        <w:t xml:space="preserve">The PBAC recommended the extension of the PBS listings for nivolumab </w:t>
      </w:r>
      <w:r w:rsidR="008E6B5C" w:rsidRPr="007E5071">
        <w:rPr>
          <w:rFonts w:asciiTheme="minorHAnsi" w:hAnsiTheme="minorHAnsi" w:cstheme="minorHAnsi"/>
        </w:rPr>
        <w:t xml:space="preserve">(NIVO) </w:t>
      </w:r>
      <w:r w:rsidRPr="007E5071">
        <w:rPr>
          <w:rFonts w:asciiTheme="minorHAnsi" w:hAnsiTheme="minorHAnsi" w:cstheme="minorHAnsi"/>
        </w:rPr>
        <w:t xml:space="preserve">monotherapy and nivolumab in combination with ipilimumab </w:t>
      </w:r>
      <w:r w:rsidR="008E6B5C" w:rsidRPr="007E5071">
        <w:rPr>
          <w:rFonts w:asciiTheme="minorHAnsi" w:hAnsiTheme="minorHAnsi" w:cstheme="minorHAnsi"/>
        </w:rPr>
        <w:t xml:space="preserve">(NIVO+IPI) </w:t>
      </w:r>
      <w:r w:rsidRPr="007E5071">
        <w:rPr>
          <w:rFonts w:asciiTheme="minorHAnsi" w:hAnsiTheme="minorHAnsi" w:cstheme="minorHAnsi"/>
        </w:rPr>
        <w:t xml:space="preserve">to allow their use as first-line therapies in the treatment of BRAF </w:t>
      </w:r>
      <w:r w:rsidR="00313953" w:rsidRPr="007E5071">
        <w:rPr>
          <w:rFonts w:asciiTheme="minorHAnsi" w:hAnsiTheme="minorHAnsi" w:cstheme="minorHAnsi"/>
        </w:rPr>
        <w:t xml:space="preserve">V600 </w:t>
      </w:r>
      <w:r w:rsidRPr="007E5071">
        <w:rPr>
          <w:rFonts w:asciiTheme="minorHAnsi" w:hAnsiTheme="minorHAnsi" w:cstheme="minorHAnsi"/>
        </w:rPr>
        <w:t xml:space="preserve">mutant positive Stage III or Stage IV unresectable or metastatic melanoma, noting the strong clinical support to allow individualised treatment. </w:t>
      </w:r>
      <w:r w:rsidR="0039225F" w:rsidRPr="007E5071">
        <w:rPr>
          <w:rFonts w:asciiTheme="minorHAnsi" w:hAnsiTheme="minorHAnsi" w:cstheme="minorHAnsi"/>
        </w:rPr>
        <w:t xml:space="preserve">The PBAC considered that nivolumab (NIVO) monotherapy and nivolumab in combination with ipilimumab (NIVO+IPI) would be cost-effective in this population if </w:t>
      </w:r>
      <w:r w:rsidR="00733305">
        <w:rPr>
          <w:rFonts w:asciiTheme="minorHAnsi" w:hAnsiTheme="minorHAnsi" w:cstheme="minorHAnsi"/>
        </w:rPr>
        <w:t xml:space="preserve">they </w:t>
      </w:r>
      <w:r w:rsidR="0039225F" w:rsidRPr="007E5071">
        <w:rPr>
          <w:rFonts w:asciiTheme="minorHAnsi" w:hAnsiTheme="minorHAnsi" w:cstheme="minorHAnsi"/>
        </w:rPr>
        <w:t xml:space="preserve">were cost-minimised to dabrafenib </w:t>
      </w:r>
      <w:r w:rsidR="00733305">
        <w:rPr>
          <w:rFonts w:asciiTheme="minorHAnsi" w:hAnsiTheme="minorHAnsi" w:cstheme="minorHAnsi"/>
        </w:rPr>
        <w:t>plus</w:t>
      </w:r>
      <w:r w:rsidR="0039225F" w:rsidRPr="007E5071">
        <w:rPr>
          <w:rFonts w:asciiTheme="minorHAnsi" w:hAnsiTheme="minorHAnsi" w:cstheme="minorHAnsi"/>
        </w:rPr>
        <w:t xml:space="preserve"> trametinib</w:t>
      </w:r>
      <w:r w:rsidR="00733305">
        <w:rPr>
          <w:rFonts w:asciiTheme="minorHAnsi" w:hAnsiTheme="minorHAnsi" w:cstheme="minorHAnsi"/>
        </w:rPr>
        <w:t xml:space="preserve"> (DAB+TRAM)</w:t>
      </w:r>
      <w:r w:rsidR="0039225F" w:rsidRPr="007E5071">
        <w:rPr>
          <w:rFonts w:asciiTheme="minorHAnsi" w:hAnsiTheme="minorHAnsi" w:cstheme="minorHAnsi"/>
        </w:rPr>
        <w:t xml:space="preserve">. </w:t>
      </w:r>
    </w:p>
    <w:p w:rsidR="00404672" w:rsidRPr="007E5071" w:rsidRDefault="00404672" w:rsidP="00983502">
      <w:pPr>
        <w:numPr>
          <w:ilvl w:val="1"/>
          <w:numId w:val="1"/>
        </w:numPr>
        <w:spacing w:after="120"/>
        <w:rPr>
          <w:rFonts w:asciiTheme="minorHAnsi" w:hAnsiTheme="minorHAnsi"/>
          <w:bCs/>
        </w:rPr>
      </w:pPr>
      <w:r w:rsidRPr="007E5071">
        <w:rPr>
          <w:rFonts w:asciiTheme="minorHAnsi" w:hAnsiTheme="minorHAnsi"/>
          <w:bCs/>
        </w:rPr>
        <w:t xml:space="preserve">The PBAC noted the </w:t>
      </w:r>
      <w:r w:rsidR="008E6B5C" w:rsidRPr="007E5071">
        <w:rPr>
          <w:rFonts w:asciiTheme="minorHAnsi" w:hAnsiTheme="minorHAnsi"/>
          <w:bCs/>
        </w:rPr>
        <w:t xml:space="preserve">strong support </w:t>
      </w:r>
      <w:r w:rsidRPr="007E5071">
        <w:rPr>
          <w:rFonts w:asciiTheme="minorHAnsi" w:hAnsiTheme="minorHAnsi"/>
          <w:bCs/>
        </w:rPr>
        <w:t xml:space="preserve">provided by individuals, health care professionals and organisations describing the clinical and quality of life benefits </w:t>
      </w:r>
      <w:r w:rsidR="008E6B5C" w:rsidRPr="007E5071">
        <w:rPr>
          <w:rFonts w:asciiTheme="minorHAnsi" w:hAnsiTheme="minorHAnsi"/>
          <w:bCs/>
        </w:rPr>
        <w:t xml:space="preserve">of allowing patients to be proactive in determining their treatment sequence. The PBAC also noted the </w:t>
      </w:r>
      <w:r w:rsidRPr="007E5071">
        <w:rPr>
          <w:rFonts w:asciiTheme="minorHAnsi" w:hAnsiTheme="minorHAnsi"/>
          <w:bCs/>
        </w:rPr>
        <w:t xml:space="preserve">high </w:t>
      </w:r>
      <w:r w:rsidR="008E6B5C" w:rsidRPr="007E5071">
        <w:rPr>
          <w:rFonts w:asciiTheme="minorHAnsi" w:hAnsiTheme="minorHAnsi"/>
          <w:bCs/>
        </w:rPr>
        <w:t xml:space="preserve">clinical and </w:t>
      </w:r>
      <w:r w:rsidRPr="007E5071">
        <w:rPr>
          <w:rFonts w:asciiTheme="minorHAnsi" w:hAnsiTheme="minorHAnsi"/>
          <w:bCs/>
        </w:rPr>
        <w:t>consumer demand</w:t>
      </w:r>
      <w:r w:rsidR="008E6B5C" w:rsidRPr="007E5071">
        <w:rPr>
          <w:rFonts w:asciiTheme="minorHAnsi" w:hAnsiTheme="minorHAnsi"/>
          <w:bCs/>
        </w:rPr>
        <w:t>, which was supported by current Australian and international guidelines.</w:t>
      </w:r>
    </w:p>
    <w:p w:rsidR="008E6B5C" w:rsidRPr="007E5071" w:rsidRDefault="00B25A79" w:rsidP="00983502">
      <w:pPr>
        <w:numPr>
          <w:ilvl w:val="1"/>
          <w:numId w:val="1"/>
        </w:numPr>
        <w:spacing w:after="120"/>
        <w:rPr>
          <w:rFonts w:asciiTheme="minorHAnsi" w:hAnsiTheme="minorHAnsi"/>
          <w:bCs/>
        </w:rPr>
      </w:pPr>
      <w:r w:rsidRPr="007E5071">
        <w:rPr>
          <w:rFonts w:asciiTheme="minorHAnsi" w:hAnsiTheme="minorHAnsi"/>
          <w:bCs/>
        </w:rPr>
        <w:t xml:space="preserve">In terms of the clinical place in therapy, the PBAC recalled that it previously restricted the use of NIVO monotherapy and NIVO+IPI in patients with BRAF mutant </w:t>
      </w:r>
      <w:r w:rsidR="004575EF" w:rsidRPr="007E5071">
        <w:rPr>
          <w:rFonts w:asciiTheme="minorHAnsi" w:hAnsiTheme="minorHAnsi"/>
          <w:bCs/>
        </w:rPr>
        <w:t xml:space="preserve">unresectable or metastatic </w:t>
      </w:r>
      <w:r w:rsidRPr="007E5071">
        <w:rPr>
          <w:rFonts w:asciiTheme="minorHAnsi" w:hAnsiTheme="minorHAnsi"/>
          <w:bCs/>
        </w:rPr>
        <w:t>melanoma to those patients who had progressed following treatment with a BRAF</w:t>
      </w:r>
      <w:r w:rsidRPr="007E5071">
        <w:rPr>
          <w:rFonts w:asciiTheme="minorHAnsi" w:hAnsiTheme="minorHAnsi" w:cstheme="minorHAnsi"/>
          <w:bCs/>
        </w:rPr>
        <w:t>±</w:t>
      </w:r>
      <w:r w:rsidRPr="007E5071">
        <w:rPr>
          <w:rFonts w:asciiTheme="minorHAnsi" w:hAnsiTheme="minorHAnsi"/>
          <w:bCs/>
        </w:rPr>
        <w:t>MEK inhibitor. The PBAC noted that current Australian and international guidelines recommended NIVO monotherapy and NIVO+IPI combination therap</w:t>
      </w:r>
      <w:r w:rsidR="00E238BD" w:rsidRPr="007E5071">
        <w:rPr>
          <w:rFonts w:asciiTheme="minorHAnsi" w:hAnsiTheme="minorHAnsi"/>
          <w:bCs/>
        </w:rPr>
        <w:t>y</w:t>
      </w:r>
      <w:r w:rsidRPr="007E5071">
        <w:rPr>
          <w:rFonts w:asciiTheme="minorHAnsi" w:hAnsiTheme="minorHAnsi"/>
          <w:bCs/>
        </w:rPr>
        <w:t xml:space="preserve"> as alternative first-line therapies for these patients.</w:t>
      </w:r>
      <w:r w:rsidR="00701F69" w:rsidRPr="007E5071">
        <w:rPr>
          <w:rFonts w:asciiTheme="minorHAnsi" w:hAnsiTheme="minorHAnsi"/>
          <w:bCs/>
        </w:rPr>
        <w:t xml:space="preserve"> The PBAC noted that </w:t>
      </w:r>
      <w:r w:rsidR="004B1530" w:rsidRPr="007E5071">
        <w:rPr>
          <w:rFonts w:asciiTheme="minorHAnsi" w:hAnsiTheme="minorHAnsi"/>
          <w:bCs/>
        </w:rPr>
        <w:t xml:space="preserve">guidelines state that </w:t>
      </w:r>
      <w:r w:rsidR="00701F69" w:rsidRPr="007E5071">
        <w:rPr>
          <w:rFonts w:asciiTheme="minorHAnsi" w:hAnsiTheme="minorHAnsi"/>
          <w:bCs/>
        </w:rPr>
        <w:t xml:space="preserve">first-line systemic therapy should be individualised, with </w:t>
      </w:r>
      <w:r w:rsidR="004B1530" w:rsidRPr="007E5071">
        <w:rPr>
          <w:rFonts w:asciiTheme="minorHAnsi" w:hAnsiTheme="minorHAnsi"/>
          <w:bCs/>
        </w:rPr>
        <w:t>clinical factors dictating preference for use of BRAF-targeted treatment o</w:t>
      </w:r>
      <w:r w:rsidR="0033466A" w:rsidRPr="007E5071">
        <w:rPr>
          <w:rFonts w:asciiTheme="minorHAnsi" w:hAnsiTheme="minorHAnsi"/>
          <w:bCs/>
        </w:rPr>
        <w:t>r</w:t>
      </w:r>
      <w:r w:rsidR="004B1530" w:rsidRPr="007E5071">
        <w:rPr>
          <w:rFonts w:asciiTheme="minorHAnsi" w:hAnsiTheme="minorHAnsi"/>
          <w:bCs/>
        </w:rPr>
        <w:t xml:space="preserve"> immunotherapy</w:t>
      </w:r>
      <w:r w:rsidR="00701F69" w:rsidRPr="007E5071">
        <w:rPr>
          <w:rFonts w:asciiTheme="minorHAnsi" w:hAnsiTheme="minorHAnsi"/>
          <w:bCs/>
        </w:rPr>
        <w:t>.</w:t>
      </w:r>
      <w:r w:rsidRPr="007E5071">
        <w:rPr>
          <w:rFonts w:asciiTheme="minorHAnsi" w:hAnsiTheme="minorHAnsi"/>
          <w:bCs/>
        </w:rPr>
        <w:t xml:space="preserve"> </w:t>
      </w:r>
    </w:p>
    <w:p w:rsidR="00F75726" w:rsidRPr="007E5071" w:rsidRDefault="00F75726" w:rsidP="00983502">
      <w:pPr>
        <w:numPr>
          <w:ilvl w:val="1"/>
          <w:numId w:val="1"/>
        </w:numPr>
        <w:spacing w:after="120"/>
        <w:rPr>
          <w:rFonts w:asciiTheme="minorHAnsi" w:hAnsiTheme="minorHAnsi"/>
          <w:bCs/>
        </w:rPr>
      </w:pPr>
      <w:r w:rsidRPr="007E5071">
        <w:rPr>
          <w:rFonts w:asciiTheme="minorHAnsi" w:hAnsiTheme="minorHAnsi"/>
          <w:bCs/>
        </w:rPr>
        <w:t>The PBAC considered that DAB+TRAM was the appropriate comparator for NIVO monotherapy and NIVO+IPI as first-line therapy in BRAF mutant unresectable or metastatic melanoma.</w:t>
      </w:r>
    </w:p>
    <w:p w:rsidR="00511435" w:rsidRPr="007E5071" w:rsidRDefault="00B25A79" w:rsidP="00983502">
      <w:pPr>
        <w:numPr>
          <w:ilvl w:val="1"/>
          <w:numId w:val="1"/>
        </w:numPr>
        <w:spacing w:after="120"/>
        <w:rPr>
          <w:rFonts w:asciiTheme="minorHAnsi" w:hAnsiTheme="minorHAnsi"/>
          <w:bCs/>
        </w:rPr>
      </w:pPr>
      <w:r w:rsidRPr="007E5071">
        <w:rPr>
          <w:rFonts w:asciiTheme="minorHAnsi" w:hAnsiTheme="minorHAnsi"/>
          <w:bCs/>
        </w:rPr>
        <w:t xml:space="preserve">The PBAC noted that the submission was based on </w:t>
      </w:r>
      <w:r w:rsidR="002E44DC" w:rsidRPr="007E5071">
        <w:rPr>
          <w:rFonts w:asciiTheme="minorHAnsi" w:hAnsiTheme="minorHAnsi"/>
          <w:bCs/>
        </w:rPr>
        <w:t xml:space="preserve">a </w:t>
      </w:r>
      <w:r w:rsidRPr="007E5071">
        <w:rPr>
          <w:rFonts w:asciiTheme="minorHAnsi" w:hAnsiTheme="minorHAnsi"/>
          <w:bCs/>
        </w:rPr>
        <w:t xml:space="preserve">naïve </w:t>
      </w:r>
      <w:r w:rsidR="002E44DC" w:rsidRPr="007E5071">
        <w:rPr>
          <w:rFonts w:asciiTheme="minorHAnsi" w:hAnsiTheme="minorHAnsi"/>
          <w:bCs/>
        </w:rPr>
        <w:t xml:space="preserve">side-by-side </w:t>
      </w:r>
      <w:r w:rsidRPr="007E5071">
        <w:rPr>
          <w:rFonts w:asciiTheme="minorHAnsi" w:hAnsiTheme="minorHAnsi"/>
          <w:bCs/>
        </w:rPr>
        <w:t>comparison</w:t>
      </w:r>
      <w:r w:rsidR="004B1530" w:rsidRPr="007E5071">
        <w:rPr>
          <w:rFonts w:asciiTheme="minorHAnsi" w:hAnsiTheme="minorHAnsi"/>
          <w:bCs/>
        </w:rPr>
        <w:t xml:space="preserve"> of</w:t>
      </w:r>
      <w:r w:rsidR="002E44DC" w:rsidRPr="007E5071">
        <w:t xml:space="preserve"> BRAF mutation positive melanoma </w:t>
      </w:r>
      <w:r w:rsidR="004B1530" w:rsidRPr="007E5071">
        <w:t xml:space="preserve">patients from the NIVO monotherapy and NIVO+IPI arms of the CA209-067 </w:t>
      </w:r>
      <w:r w:rsidR="002E44DC" w:rsidRPr="007E5071">
        <w:t xml:space="preserve">randomised controlled trial (RCT) and the DAB+TRAM </w:t>
      </w:r>
      <w:r w:rsidR="004B1530" w:rsidRPr="007E5071">
        <w:t>arms of the COM</w:t>
      </w:r>
      <w:r w:rsidR="002E44DC" w:rsidRPr="007E5071">
        <w:t xml:space="preserve">BI-V and </w:t>
      </w:r>
      <w:r w:rsidR="004B1530" w:rsidRPr="007E5071">
        <w:t>COMBI-D trials</w:t>
      </w:r>
      <w:r w:rsidR="002E44DC" w:rsidRPr="007E5071">
        <w:t xml:space="preserve">. The PBAC considered that </w:t>
      </w:r>
      <w:r w:rsidR="000E74ED" w:rsidRPr="007E5071">
        <w:t xml:space="preserve">the evidence provided in the resubmission was of low quality due to the nature of the side-by-side comparison, </w:t>
      </w:r>
      <w:r w:rsidR="004B1530" w:rsidRPr="007E5071">
        <w:t xml:space="preserve">the </w:t>
      </w:r>
      <w:r w:rsidR="002E44DC" w:rsidRPr="007E5071">
        <w:t xml:space="preserve">considerable potential for confounding inherent </w:t>
      </w:r>
      <w:r w:rsidR="00E238BD" w:rsidRPr="007E5071">
        <w:t xml:space="preserve">to </w:t>
      </w:r>
      <w:r w:rsidR="002E44DC" w:rsidRPr="007E5071">
        <w:t>the comparison</w:t>
      </w:r>
      <w:r w:rsidR="000E74ED" w:rsidRPr="007E5071">
        <w:t xml:space="preserve"> and the potential transitivity issues.</w:t>
      </w:r>
      <w:r w:rsidR="00701F69" w:rsidRPr="007E5071">
        <w:t xml:space="preserve"> </w:t>
      </w:r>
    </w:p>
    <w:p w:rsidR="002E44DC" w:rsidRPr="007E5071" w:rsidRDefault="00701F69" w:rsidP="00983502">
      <w:pPr>
        <w:numPr>
          <w:ilvl w:val="1"/>
          <w:numId w:val="1"/>
        </w:numPr>
        <w:spacing w:after="120"/>
        <w:rPr>
          <w:rFonts w:asciiTheme="minorHAnsi" w:hAnsiTheme="minorHAnsi"/>
          <w:bCs/>
        </w:rPr>
      </w:pPr>
      <w:r w:rsidRPr="007E5071">
        <w:rPr>
          <w:rFonts w:asciiTheme="minorHAnsi" w:hAnsiTheme="minorHAnsi"/>
          <w:bCs/>
        </w:rPr>
        <w:t xml:space="preserve">The PBAC also noted </w:t>
      </w:r>
      <w:r w:rsidR="00511435" w:rsidRPr="007E5071">
        <w:rPr>
          <w:rFonts w:asciiTheme="minorHAnsi" w:hAnsiTheme="minorHAnsi"/>
          <w:bCs/>
        </w:rPr>
        <w:t>two</w:t>
      </w:r>
      <w:r w:rsidRPr="007E5071">
        <w:rPr>
          <w:rFonts w:asciiTheme="minorHAnsi" w:hAnsiTheme="minorHAnsi"/>
          <w:bCs/>
        </w:rPr>
        <w:t xml:space="preserve"> recentl</w:t>
      </w:r>
      <w:r w:rsidR="00511435" w:rsidRPr="007E5071">
        <w:rPr>
          <w:rFonts w:asciiTheme="minorHAnsi" w:hAnsiTheme="minorHAnsi"/>
          <w:bCs/>
        </w:rPr>
        <w:t>y published network meta-analyse</w:t>
      </w:r>
      <w:r w:rsidRPr="007E5071">
        <w:rPr>
          <w:rFonts w:asciiTheme="minorHAnsi" w:hAnsiTheme="minorHAnsi"/>
          <w:bCs/>
        </w:rPr>
        <w:t>s</w:t>
      </w:r>
      <w:r w:rsidR="00511435" w:rsidRPr="007E5071">
        <w:rPr>
          <w:rFonts w:asciiTheme="minorHAnsi" w:hAnsiTheme="minorHAnsi"/>
          <w:bCs/>
        </w:rPr>
        <w:t xml:space="preserve"> of therapies for the treatment of advanced BRAF mutant melanoma. An and Lui,</w:t>
      </w:r>
      <w:r w:rsidRPr="007E5071">
        <w:rPr>
          <w:rFonts w:asciiTheme="minorHAnsi" w:hAnsiTheme="minorHAnsi"/>
          <w:bCs/>
        </w:rPr>
        <w:t xml:space="preserve"> 2019 did not find a significant difference in </w:t>
      </w:r>
      <w:r w:rsidR="00406682" w:rsidRPr="007E5071">
        <w:rPr>
          <w:rFonts w:asciiTheme="minorHAnsi" w:hAnsiTheme="minorHAnsi"/>
          <w:bCs/>
        </w:rPr>
        <w:t>progression free or</w:t>
      </w:r>
      <w:r w:rsidR="004B1530" w:rsidRPr="007E5071">
        <w:rPr>
          <w:rFonts w:asciiTheme="minorHAnsi" w:hAnsiTheme="minorHAnsi"/>
          <w:bCs/>
        </w:rPr>
        <w:t xml:space="preserve"> </w:t>
      </w:r>
      <w:r w:rsidRPr="007E5071">
        <w:rPr>
          <w:rFonts w:asciiTheme="minorHAnsi" w:hAnsiTheme="minorHAnsi"/>
          <w:bCs/>
        </w:rPr>
        <w:t xml:space="preserve">overall survival between BRAF+MEK and </w:t>
      </w:r>
      <w:r w:rsidR="00511435" w:rsidRPr="007E5071">
        <w:rPr>
          <w:rFonts w:asciiTheme="minorHAnsi" w:hAnsiTheme="minorHAnsi"/>
          <w:bCs/>
        </w:rPr>
        <w:t xml:space="preserve">PD-1 </w:t>
      </w:r>
      <w:r w:rsidR="00C574DB" w:rsidRPr="007E5071">
        <w:rPr>
          <w:rFonts w:asciiTheme="minorHAnsi" w:hAnsiTheme="minorHAnsi"/>
          <w:bCs/>
        </w:rPr>
        <w:t>inhibitors</w:t>
      </w:r>
      <w:r w:rsidRPr="007E5071">
        <w:rPr>
          <w:rFonts w:asciiTheme="minorHAnsi" w:hAnsiTheme="minorHAnsi"/>
          <w:bCs/>
        </w:rPr>
        <w:t>.</w:t>
      </w:r>
      <w:r w:rsidR="00511435" w:rsidRPr="007E5071">
        <w:rPr>
          <w:rFonts w:asciiTheme="minorHAnsi" w:hAnsiTheme="minorHAnsi"/>
          <w:bCs/>
        </w:rPr>
        <w:t xml:space="preserve"> Zoratti </w:t>
      </w:r>
      <w:r w:rsidR="00313953" w:rsidRPr="007E5071">
        <w:rPr>
          <w:rFonts w:asciiTheme="minorHAnsi" w:hAnsiTheme="minorHAnsi"/>
          <w:bCs/>
        </w:rPr>
        <w:t xml:space="preserve">et al, </w:t>
      </w:r>
      <w:r w:rsidR="00511435" w:rsidRPr="007E5071">
        <w:rPr>
          <w:rFonts w:asciiTheme="minorHAnsi" w:hAnsiTheme="minorHAnsi"/>
          <w:bCs/>
        </w:rPr>
        <w:t>2019 found that BRAF+MEK inhibitors were more favourable in terms of progression free survival, whereas NIVO+IPI was likely to be more efficacious in terms of overall survival.</w:t>
      </w:r>
    </w:p>
    <w:p w:rsidR="000E74ED" w:rsidRPr="007E5071" w:rsidRDefault="00662AFF" w:rsidP="00983502">
      <w:pPr>
        <w:numPr>
          <w:ilvl w:val="1"/>
          <w:numId w:val="1"/>
        </w:numPr>
        <w:spacing w:after="120"/>
        <w:rPr>
          <w:rFonts w:asciiTheme="minorHAnsi" w:hAnsiTheme="minorHAnsi"/>
          <w:bCs/>
        </w:rPr>
      </w:pPr>
      <w:r w:rsidRPr="007E5071">
        <w:rPr>
          <w:rFonts w:asciiTheme="minorHAnsi" w:hAnsiTheme="minorHAnsi"/>
          <w:bCs/>
        </w:rPr>
        <w:t>T</w:t>
      </w:r>
      <w:r w:rsidR="00E238BD" w:rsidRPr="007E5071">
        <w:rPr>
          <w:rFonts w:asciiTheme="minorHAnsi" w:hAnsiTheme="minorHAnsi"/>
          <w:bCs/>
        </w:rPr>
        <w:t>h</w:t>
      </w:r>
      <w:r w:rsidR="000E74ED" w:rsidRPr="007E5071">
        <w:rPr>
          <w:rFonts w:asciiTheme="minorHAnsi" w:hAnsiTheme="minorHAnsi"/>
          <w:bCs/>
        </w:rPr>
        <w:t xml:space="preserve">e PBAC considered </w:t>
      </w:r>
      <w:r w:rsidR="00E238BD" w:rsidRPr="007E5071">
        <w:rPr>
          <w:rFonts w:asciiTheme="minorHAnsi" w:hAnsiTheme="minorHAnsi"/>
          <w:bCs/>
        </w:rPr>
        <w:t>that</w:t>
      </w:r>
      <w:r w:rsidRPr="007E5071">
        <w:rPr>
          <w:rFonts w:asciiTheme="minorHAnsi" w:hAnsiTheme="minorHAnsi"/>
          <w:bCs/>
        </w:rPr>
        <w:t>,</w:t>
      </w:r>
      <w:r w:rsidR="00E238BD" w:rsidRPr="007E5071">
        <w:rPr>
          <w:rFonts w:asciiTheme="minorHAnsi" w:hAnsiTheme="minorHAnsi"/>
          <w:bCs/>
        </w:rPr>
        <w:t xml:space="preserve"> </w:t>
      </w:r>
      <w:r w:rsidRPr="007E5071">
        <w:rPr>
          <w:rFonts w:asciiTheme="minorHAnsi" w:hAnsiTheme="minorHAnsi"/>
          <w:bCs/>
        </w:rPr>
        <w:t xml:space="preserve">in totality, </w:t>
      </w:r>
      <w:r w:rsidR="00E238BD" w:rsidRPr="007E5071">
        <w:rPr>
          <w:rFonts w:asciiTheme="minorHAnsi" w:hAnsiTheme="minorHAnsi"/>
          <w:bCs/>
        </w:rPr>
        <w:t>the evidence</w:t>
      </w:r>
      <w:r w:rsidR="000E74ED" w:rsidRPr="007E5071">
        <w:rPr>
          <w:rFonts w:asciiTheme="minorHAnsi" w:hAnsiTheme="minorHAnsi"/>
          <w:bCs/>
        </w:rPr>
        <w:t xml:space="preserve"> did not provide a compelling signal of difference in the efficacy of NIVO monotherapy o</w:t>
      </w:r>
      <w:r w:rsidR="00E238BD" w:rsidRPr="007E5071">
        <w:rPr>
          <w:rFonts w:asciiTheme="minorHAnsi" w:hAnsiTheme="minorHAnsi"/>
          <w:bCs/>
        </w:rPr>
        <w:t>r</w:t>
      </w:r>
      <w:r w:rsidR="000E74ED" w:rsidRPr="007E5071">
        <w:rPr>
          <w:rFonts w:asciiTheme="minorHAnsi" w:hAnsiTheme="minorHAnsi"/>
          <w:bCs/>
        </w:rPr>
        <w:t xml:space="preserve"> NIVO+IPI compared to DAB+TRAM in terms of </w:t>
      </w:r>
      <w:r w:rsidR="00E238BD" w:rsidRPr="007E5071">
        <w:rPr>
          <w:rFonts w:asciiTheme="minorHAnsi" w:hAnsiTheme="minorHAnsi"/>
          <w:bCs/>
        </w:rPr>
        <w:t xml:space="preserve">progression free and </w:t>
      </w:r>
      <w:r w:rsidR="000E74ED" w:rsidRPr="007E5071">
        <w:rPr>
          <w:rFonts w:asciiTheme="minorHAnsi" w:hAnsiTheme="minorHAnsi"/>
          <w:bCs/>
        </w:rPr>
        <w:t>overall survival</w:t>
      </w:r>
      <w:r w:rsidR="0033466A" w:rsidRPr="007E5071">
        <w:rPr>
          <w:rFonts w:asciiTheme="minorHAnsi" w:hAnsiTheme="minorHAnsi"/>
          <w:bCs/>
        </w:rPr>
        <w:t>,</w:t>
      </w:r>
      <w:r w:rsidR="004B1530" w:rsidRPr="007E5071">
        <w:rPr>
          <w:rFonts w:asciiTheme="minorHAnsi" w:hAnsiTheme="minorHAnsi"/>
          <w:bCs/>
        </w:rPr>
        <w:t xml:space="preserve"> or </w:t>
      </w:r>
      <w:r w:rsidR="00DD542E" w:rsidRPr="007E5071">
        <w:rPr>
          <w:rFonts w:asciiTheme="minorHAnsi" w:hAnsiTheme="minorHAnsi"/>
          <w:bCs/>
        </w:rPr>
        <w:t>the optimal sequence of BRAF targeted therapies and immunotherapies in patients with unresectable or metastatic BRAF mutant melanoma</w:t>
      </w:r>
      <w:r w:rsidR="000E74ED" w:rsidRPr="007E5071">
        <w:rPr>
          <w:rFonts w:asciiTheme="minorHAnsi" w:hAnsiTheme="minorHAnsi"/>
          <w:bCs/>
        </w:rPr>
        <w:t>.</w:t>
      </w:r>
      <w:r w:rsidR="00765592" w:rsidRPr="007E5071">
        <w:rPr>
          <w:rFonts w:asciiTheme="minorHAnsi" w:hAnsiTheme="minorHAnsi"/>
          <w:bCs/>
        </w:rPr>
        <w:t xml:space="preserve"> Overall, the PBAC considered that the claim of non-inferior efficacy between NIVO monotherapy, NIVO+IPI </w:t>
      </w:r>
      <w:r w:rsidR="00701F69" w:rsidRPr="007E5071">
        <w:rPr>
          <w:rFonts w:asciiTheme="minorHAnsi" w:hAnsiTheme="minorHAnsi"/>
          <w:bCs/>
        </w:rPr>
        <w:t xml:space="preserve">combination therapy </w:t>
      </w:r>
      <w:r w:rsidR="00765592" w:rsidRPr="007E5071">
        <w:rPr>
          <w:rFonts w:asciiTheme="minorHAnsi" w:hAnsiTheme="minorHAnsi"/>
          <w:bCs/>
        </w:rPr>
        <w:t>and DAB+TRAM was likely to be supported by the data.</w:t>
      </w:r>
    </w:p>
    <w:p w:rsidR="000E74ED" w:rsidRPr="007E5071" w:rsidRDefault="000E74ED" w:rsidP="00983502">
      <w:pPr>
        <w:numPr>
          <w:ilvl w:val="1"/>
          <w:numId w:val="1"/>
        </w:numPr>
        <w:spacing w:after="120"/>
        <w:rPr>
          <w:rFonts w:asciiTheme="minorHAnsi" w:hAnsiTheme="minorHAnsi"/>
          <w:bCs/>
        </w:rPr>
      </w:pPr>
      <w:r w:rsidRPr="007E5071">
        <w:rPr>
          <w:rFonts w:asciiTheme="minorHAnsi" w:hAnsiTheme="minorHAnsi"/>
          <w:bCs/>
        </w:rPr>
        <w:t>The PBAC agreed with the ESC in that there was genuine clinical equipoise amongst clinicians as to the optimal sequence of therapies in BRAF mutant metastatic melanoma. The PBAC noted that two international RCTs comparing the effects on overall survival of BRAF-targeted therapy and immunotherapy (DREAMseq and SECOMBIT) were in progress and requested that the results of these trials be made available to the PBAC once they are completed.</w:t>
      </w:r>
    </w:p>
    <w:p w:rsidR="000E74ED" w:rsidRPr="007E5071" w:rsidRDefault="00765592" w:rsidP="00983502">
      <w:pPr>
        <w:numPr>
          <w:ilvl w:val="1"/>
          <w:numId w:val="1"/>
        </w:numPr>
        <w:spacing w:after="120"/>
        <w:rPr>
          <w:rFonts w:asciiTheme="minorHAnsi" w:hAnsiTheme="minorHAnsi"/>
          <w:bCs/>
        </w:rPr>
      </w:pPr>
      <w:r w:rsidRPr="007E5071">
        <w:rPr>
          <w:rFonts w:asciiTheme="minorHAnsi" w:hAnsiTheme="minorHAnsi"/>
          <w:bCs/>
        </w:rPr>
        <w:t>In terms of comparative harms, the PBAC considered that NIVO monotherapy was no worse than DAB+TRAM. Due to high rates of serious adverse events, grade 3 and 4 adverse events and adverse events resulting in discontinuation associated with NIVO+IPI, the PBAC considered that NIVO+IPI had an inferior safety profile compared to DAB+TRAM.</w:t>
      </w:r>
    </w:p>
    <w:p w:rsidR="00E713BF" w:rsidRPr="007E5071" w:rsidRDefault="00E713BF" w:rsidP="00983502">
      <w:pPr>
        <w:numPr>
          <w:ilvl w:val="1"/>
          <w:numId w:val="1"/>
        </w:numPr>
        <w:spacing w:after="120"/>
        <w:rPr>
          <w:rFonts w:asciiTheme="minorHAnsi" w:hAnsiTheme="minorHAnsi"/>
          <w:bCs/>
        </w:rPr>
      </w:pPr>
      <w:r w:rsidRPr="007E5071">
        <w:rPr>
          <w:rFonts w:asciiTheme="minorHAnsi" w:hAnsiTheme="minorHAnsi"/>
          <w:bCs/>
        </w:rPr>
        <w:t>The PBAC noted that the submission proposed a cost-neutral approach to listing NIVO monotherapy and NIVO+IPI compared with the cost of DAB+TRAM</w:t>
      </w:r>
      <w:r w:rsidR="00DD542E" w:rsidRPr="007E5071">
        <w:rPr>
          <w:rFonts w:asciiTheme="minorHAnsi" w:hAnsiTheme="minorHAnsi"/>
          <w:bCs/>
        </w:rPr>
        <w:t xml:space="preserve"> in the first-li</w:t>
      </w:r>
      <w:r w:rsidR="00522212" w:rsidRPr="007E5071">
        <w:rPr>
          <w:rFonts w:asciiTheme="minorHAnsi" w:hAnsiTheme="minorHAnsi"/>
          <w:bCs/>
        </w:rPr>
        <w:t>ne</w:t>
      </w:r>
      <w:r w:rsidR="00DD542E" w:rsidRPr="007E5071">
        <w:rPr>
          <w:rFonts w:asciiTheme="minorHAnsi" w:hAnsiTheme="minorHAnsi"/>
          <w:bCs/>
        </w:rPr>
        <w:t xml:space="preserve"> setting</w:t>
      </w:r>
      <w:r w:rsidRPr="007E5071">
        <w:rPr>
          <w:rFonts w:asciiTheme="minorHAnsi" w:hAnsiTheme="minorHAnsi"/>
          <w:bCs/>
        </w:rPr>
        <w:t>. The PBAC</w:t>
      </w:r>
      <w:r w:rsidR="00722AC2" w:rsidRPr="007E5071">
        <w:rPr>
          <w:rFonts w:asciiTheme="minorHAnsi" w:hAnsiTheme="minorHAnsi"/>
          <w:bCs/>
        </w:rPr>
        <w:t>,</w:t>
      </w:r>
      <w:r w:rsidRPr="007E5071">
        <w:rPr>
          <w:rFonts w:asciiTheme="minorHAnsi" w:hAnsiTheme="minorHAnsi"/>
          <w:bCs/>
        </w:rPr>
        <w:t xml:space="preserve"> </w:t>
      </w:r>
      <w:r w:rsidR="00722AC2" w:rsidRPr="007E5071">
        <w:rPr>
          <w:rFonts w:asciiTheme="minorHAnsi" w:hAnsiTheme="minorHAnsi"/>
          <w:bCs/>
        </w:rPr>
        <w:t>noting that the economic evaluation incorporated costs of administration for NIVO monotherapy and NIVO+IPI and adverse events associated with NIVO+IPI, considered that the approach was consist</w:t>
      </w:r>
      <w:r w:rsidR="005C4E09" w:rsidRPr="007E5071">
        <w:rPr>
          <w:rFonts w:asciiTheme="minorHAnsi" w:hAnsiTheme="minorHAnsi"/>
          <w:bCs/>
        </w:rPr>
        <w:t>ent</w:t>
      </w:r>
      <w:r w:rsidR="00722AC2" w:rsidRPr="007E5071">
        <w:rPr>
          <w:rFonts w:asciiTheme="minorHAnsi" w:hAnsiTheme="minorHAnsi"/>
          <w:bCs/>
        </w:rPr>
        <w:t xml:space="preserve"> with that presented for NIVO+IPI in the treatment of unresectable or metastatic melanoma in July 2018.</w:t>
      </w:r>
    </w:p>
    <w:p w:rsidR="003F39A9" w:rsidRDefault="001B36DE" w:rsidP="00983502">
      <w:pPr>
        <w:numPr>
          <w:ilvl w:val="1"/>
          <w:numId w:val="1"/>
        </w:numPr>
        <w:spacing w:after="120"/>
        <w:rPr>
          <w:rFonts w:asciiTheme="minorHAnsi" w:hAnsiTheme="minorHAnsi"/>
          <w:bCs/>
        </w:rPr>
      </w:pPr>
      <w:r w:rsidRPr="00856CE0">
        <w:rPr>
          <w:rFonts w:asciiTheme="minorHAnsi" w:hAnsiTheme="minorHAnsi"/>
          <w:bCs/>
        </w:rPr>
        <w:t xml:space="preserve">The PBAC </w:t>
      </w:r>
      <w:r w:rsidR="005C4E09" w:rsidRPr="00856CE0">
        <w:rPr>
          <w:rFonts w:asciiTheme="minorHAnsi" w:hAnsiTheme="minorHAnsi"/>
          <w:bCs/>
        </w:rPr>
        <w:t xml:space="preserve">noted that the durations of treatment for NIVO monotherapy, NIVO+IPI and DAB+TRAM </w:t>
      </w:r>
      <w:r w:rsidRPr="00856CE0">
        <w:rPr>
          <w:rFonts w:asciiTheme="minorHAnsi" w:hAnsiTheme="minorHAnsi"/>
          <w:bCs/>
        </w:rPr>
        <w:t>were based on a DUSC review</w:t>
      </w:r>
      <w:r w:rsidR="005C4E09" w:rsidRPr="00856CE0">
        <w:rPr>
          <w:rFonts w:asciiTheme="minorHAnsi" w:hAnsiTheme="minorHAnsi"/>
          <w:bCs/>
        </w:rPr>
        <w:t xml:space="preserve">. </w:t>
      </w:r>
      <w:r w:rsidR="000D2BD7" w:rsidRPr="00856CE0">
        <w:rPr>
          <w:rFonts w:asciiTheme="minorHAnsi" w:hAnsiTheme="minorHAnsi"/>
          <w:bCs/>
        </w:rPr>
        <w:t xml:space="preserve">Noting that </w:t>
      </w:r>
      <w:r w:rsidR="005C4E09" w:rsidRPr="00856CE0">
        <w:rPr>
          <w:rFonts w:asciiTheme="minorHAnsi" w:hAnsiTheme="minorHAnsi"/>
          <w:bCs/>
        </w:rPr>
        <w:t>the DUSC data were likely to be immature</w:t>
      </w:r>
      <w:r w:rsidR="000D2BD7" w:rsidRPr="00856CE0">
        <w:rPr>
          <w:rFonts w:asciiTheme="minorHAnsi" w:hAnsiTheme="minorHAnsi"/>
          <w:bCs/>
        </w:rPr>
        <w:t xml:space="preserve">, due to the </w:t>
      </w:r>
      <w:r w:rsidR="005C4E09" w:rsidRPr="00856CE0">
        <w:rPr>
          <w:rFonts w:asciiTheme="minorHAnsi" w:hAnsiTheme="minorHAnsi"/>
          <w:bCs/>
        </w:rPr>
        <w:t xml:space="preserve">comparability issues between the trials the PBAC considered that the durations of therapy </w:t>
      </w:r>
      <w:r w:rsidR="000D2BD7" w:rsidRPr="00856CE0">
        <w:rPr>
          <w:rFonts w:asciiTheme="minorHAnsi" w:hAnsiTheme="minorHAnsi"/>
          <w:bCs/>
        </w:rPr>
        <w:t xml:space="preserve">applied in the cost analysis </w:t>
      </w:r>
      <w:r w:rsidR="005C4E09" w:rsidRPr="00856CE0">
        <w:rPr>
          <w:rFonts w:asciiTheme="minorHAnsi" w:hAnsiTheme="minorHAnsi"/>
          <w:bCs/>
        </w:rPr>
        <w:t xml:space="preserve">were </w:t>
      </w:r>
      <w:r w:rsidRPr="00856CE0">
        <w:rPr>
          <w:rFonts w:asciiTheme="minorHAnsi" w:hAnsiTheme="minorHAnsi"/>
          <w:bCs/>
        </w:rPr>
        <w:t>acceptable</w:t>
      </w:r>
      <w:r w:rsidR="000D2BD7" w:rsidRPr="00856CE0">
        <w:rPr>
          <w:rFonts w:asciiTheme="minorHAnsi" w:hAnsiTheme="minorHAnsi"/>
          <w:bCs/>
        </w:rPr>
        <w:t xml:space="preserve"> for NIVO monotherapy and DAB+TRAM</w:t>
      </w:r>
      <w:r w:rsidRPr="00856CE0">
        <w:rPr>
          <w:rFonts w:asciiTheme="minorHAnsi" w:hAnsiTheme="minorHAnsi"/>
          <w:bCs/>
        </w:rPr>
        <w:t xml:space="preserve">, but considered that the duration of NIVO+IPI was </w:t>
      </w:r>
      <w:r w:rsidR="000D2BD7" w:rsidRPr="00856CE0">
        <w:rPr>
          <w:rFonts w:asciiTheme="minorHAnsi" w:hAnsiTheme="minorHAnsi"/>
          <w:bCs/>
        </w:rPr>
        <w:t>underestimated</w:t>
      </w:r>
      <w:r w:rsidRPr="00856CE0">
        <w:rPr>
          <w:rFonts w:asciiTheme="minorHAnsi" w:hAnsiTheme="minorHAnsi"/>
          <w:bCs/>
        </w:rPr>
        <w:t xml:space="preserve">. </w:t>
      </w:r>
      <w:r w:rsidR="00856CE0" w:rsidRPr="00856CE0">
        <w:rPr>
          <w:rFonts w:asciiTheme="minorHAnsi" w:hAnsiTheme="minorHAnsi"/>
          <w:bCs/>
        </w:rPr>
        <w:t xml:space="preserve">The PBAC noted that the mean duration of </w:t>
      </w:r>
      <w:r w:rsidR="003F39A9">
        <w:rPr>
          <w:rFonts w:asciiTheme="minorHAnsi" w:hAnsiTheme="minorHAnsi"/>
          <w:bCs/>
        </w:rPr>
        <w:t>NIVO when used as</w:t>
      </w:r>
      <w:r w:rsidR="00856CE0" w:rsidRPr="00856CE0">
        <w:rPr>
          <w:rFonts w:asciiTheme="minorHAnsi" w:hAnsiTheme="minorHAnsi"/>
          <w:bCs/>
        </w:rPr>
        <w:t xml:space="preserve"> monotherapy was shorter in the trial, but longer in the cost analysis </w:t>
      </w:r>
      <w:r w:rsidR="003F39A9">
        <w:rPr>
          <w:rFonts w:asciiTheme="minorHAnsi" w:hAnsiTheme="minorHAnsi"/>
          <w:bCs/>
        </w:rPr>
        <w:t>compared with when used in combination with IPI</w:t>
      </w:r>
      <w:r w:rsidR="00856CE0" w:rsidRPr="00856CE0">
        <w:rPr>
          <w:rFonts w:asciiTheme="minorHAnsi" w:hAnsiTheme="minorHAnsi"/>
          <w:bCs/>
        </w:rPr>
        <w:t xml:space="preserve">. </w:t>
      </w:r>
      <w:r w:rsidR="003F39A9">
        <w:rPr>
          <w:rFonts w:asciiTheme="minorHAnsi" w:hAnsiTheme="minorHAnsi"/>
          <w:bCs/>
        </w:rPr>
        <w:t xml:space="preserve">However, the PBAC also noted that in the July 2018 submission the duration of NIVO when used </w:t>
      </w:r>
      <w:r w:rsidR="0074623D">
        <w:rPr>
          <w:rFonts w:asciiTheme="minorHAnsi" w:hAnsiTheme="minorHAnsi"/>
          <w:bCs/>
        </w:rPr>
        <w:t>as monotherapy was longer than when used in combination with IPI.</w:t>
      </w:r>
    </w:p>
    <w:p w:rsidR="001B36DE" w:rsidRPr="00856CE0" w:rsidRDefault="00966A7E" w:rsidP="00983502">
      <w:pPr>
        <w:numPr>
          <w:ilvl w:val="1"/>
          <w:numId w:val="1"/>
        </w:numPr>
        <w:spacing w:after="120"/>
        <w:rPr>
          <w:rFonts w:asciiTheme="minorHAnsi" w:hAnsiTheme="minorHAnsi"/>
          <w:bCs/>
        </w:rPr>
      </w:pPr>
      <w:r>
        <w:rPr>
          <w:rFonts w:asciiTheme="minorHAnsi" w:hAnsiTheme="minorHAnsi"/>
          <w:bCs/>
        </w:rPr>
        <w:t xml:space="preserve">The PBAC considered that the durations of therapy for NIVO monotherapy and NIVO+IPI should be proportionally </w:t>
      </w:r>
      <w:r w:rsidR="0074623D">
        <w:rPr>
          <w:rFonts w:asciiTheme="minorHAnsi" w:hAnsiTheme="minorHAnsi"/>
          <w:bCs/>
        </w:rPr>
        <w:t xml:space="preserve">more </w:t>
      </w:r>
      <w:r>
        <w:rPr>
          <w:rFonts w:asciiTheme="minorHAnsi" w:hAnsiTheme="minorHAnsi"/>
          <w:bCs/>
        </w:rPr>
        <w:t xml:space="preserve">consistent between the trial data and that applied in the cost analysis. Therefore, the </w:t>
      </w:r>
      <w:r w:rsidR="001B36DE" w:rsidRPr="00856CE0">
        <w:rPr>
          <w:rFonts w:asciiTheme="minorHAnsi" w:hAnsiTheme="minorHAnsi"/>
          <w:bCs/>
        </w:rPr>
        <w:t xml:space="preserve">PBAC proposed that the equi-effective </w:t>
      </w:r>
      <w:r>
        <w:rPr>
          <w:rFonts w:asciiTheme="minorHAnsi" w:hAnsiTheme="minorHAnsi"/>
          <w:bCs/>
        </w:rPr>
        <w:t xml:space="preserve">durations of therapy </w:t>
      </w:r>
      <w:r w:rsidR="001B36DE" w:rsidRPr="00856CE0">
        <w:rPr>
          <w:rFonts w:asciiTheme="minorHAnsi" w:hAnsiTheme="minorHAnsi"/>
          <w:bCs/>
        </w:rPr>
        <w:t>were</w:t>
      </w:r>
      <w:r w:rsidR="00FE3B53">
        <w:rPr>
          <w:rFonts w:asciiTheme="minorHAnsi" w:hAnsiTheme="minorHAnsi"/>
          <w:bCs/>
        </w:rPr>
        <w:t xml:space="preserve"> (paragraph 6.37)</w:t>
      </w:r>
      <w:r w:rsidR="001B36DE" w:rsidRPr="00856CE0">
        <w:rPr>
          <w:rFonts w:asciiTheme="minorHAnsi" w:hAnsiTheme="minorHAnsi"/>
          <w:bCs/>
        </w:rPr>
        <w:t>:</w:t>
      </w:r>
    </w:p>
    <w:p w:rsidR="00856CE0" w:rsidRPr="00856CE0" w:rsidRDefault="00856CE0" w:rsidP="00856CE0">
      <w:pPr>
        <w:spacing w:after="120"/>
        <w:ind w:left="1440"/>
        <w:rPr>
          <w:rFonts w:asciiTheme="minorHAnsi" w:hAnsiTheme="minorHAnsi"/>
          <w:bCs/>
        </w:rPr>
      </w:pPr>
      <w:r w:rsidRPr="00856CE0">
        <w:rPr>
          <w:rFonts w:asciiTheme="minorHAnsi" w:hAnsiTheme="minorHAnsi"/>
          <w:bCs/>
        </w:rPr>
        <w:t>Nivolumab monotherapy (</w:t>
      </w:r>
      <w:r w:rsidR="00BF12D4">
        <w:rPr>
          <w:rFonts w:asciiTheme="minorHAnsi" w:hAnsiTheme="minorHAnsi"/>
          <w:bCs/>
          <w:noProof/>
          <w:color w:val="000000"/>
          <w:highlight w:val="black"/>
        </w:rPr>
        <w:t>'''''''</w:t>
      </w:r>
      <w:r w:rsidR="006F4AB3" w:rsidRPr="006F4AB3">
        <w:rPr>
          <w:rFonts w:asciiTheme="minorHAnsi" w:hAnsiTheme="minorHAnsi"/>
          <w:bCs/>
        </w:rPr>
        <w:t xml:space="preserve"> </w:t>
      </w:r>
      <w:r w:rsidR="006F4AB3" w:rsidRPr="00856CE0">
        <w:rPr>
          <w:rFonts w:asciiTheme="minorHAnsi" w:hAnsiTheme="minorHAnsi"/>
          <w:bCs/>
        </w:rPr>
        <w:t>days</w:t>
      </w:r>
      <w:r w:rsidRPr="00856CE0">
        <w:rPr>
          <w:rFonts w:asciiTheme="minorHAnsi" w:hAnsiTheme="minorHAnsi"/>
          <w:bCs/>
        </w:rPr>
        <w:t xml:space="preserve">) = </w:t>
      </w:r>
    </w:p>
    <w:p w:rsidR="00856CE0" w:rsidRPr="00856CE0" w:rsidRDefault="00856CE0" w:rsidP="00856CE0">
      <w:pPr>
        <w:spacing w:after="120"/>
        <w:ind w:left="1440"/>
        <w:rPr>
          <w:rFonts w:asciiTheme="minorHAnsi" w:hAnsiTheme="minorHAnsi"/>
          <w:bCs/>
        </w:rPr>
      </w:pPr>
      <w:r w:rsidRPr="00856CE0">
        <w:rPr>
          <w:rFonts w:asciiTheme="minorHAnsi" w:hAnsiTheme="minorHAnsi"/>
          <w:bCs/>
        </w:rPr>
        <w:t>Nivolumab + ipilimumab (</w:t>
      </w:r>
      <w:r w:rsidR="00BF12D4">
        <w:rPr>
          <w:rFonts w:asciiTheme="minorHAnsi" w:hAnsiTheme="minorHAnsi"/>
          <w:bCs/>
          <w:noProof/>
          <w:color w:val="000000"/>
          <w:highlight w:val="black"/>
        </w:rPr>
        <w:t>''''''''</w:t>
      </w:r>
      <w:r w:rsidR="00FE3B53">
        <w:rPr>
          <w:rFonts w:asciiTheme="minorHAnsi" w:hAnsiTheme="minorHAnsi"/>
          <w:bCs/>
        </w:rPr>
        <w:t xml:space="preserve"> to </w:t>
      </w:r>
      <w:r w:rsidR="00BF12D4">
        <w:rPr>
          <w:rFonts w:asciiTheme="minorHAnsi" w:hAnsiTheme="minorHAnsi"/>
          <w:bCs/>
          <w:noProof/>
          <w:color w:val="000000"/>
          <w:highlight w:val="black"/>
        </w:rPr>
        <w:t>'''''''</w:t>
      </w:r>
      <w:r w:rsidRPr="00856CE0">
        <w:rPr>
          <w:rFonts w:asciiTheme="minorHAnsi" w:hAnsiTheme="minorHAnsi"/>
          <w:bCs/>
        </w:rPr>
        <w:t xml:space="preserve"> days) =</w:t>
      </w:r>
    </w:p>
    <w:p w:rsidR="00856CE0" w:rsidRPr="00856CE0" w:rsidRDefault="00856CE0" w:rsidP="00856CE0">
      <w:pPr>
        <w:spacing w:after="120"/>
        <w:ind w:left="1440"/>
        <w:rPr>
          <w:rFonts w:asciiTheme="minorHAnsi" w:hAnsiTheme="minorHAnsi"/>
          <w:bCs/>
        </w:rPr>
      </w:pPr>
      <w:r w:rsidRPr="00856CE0">
        <w:rPr>
          <w:rFonts w:asciiTheme="minorHAnsi" w:hAnsiTheme="minorHAnsi"/>
          <w:bCs/>
        </w:rPr>
        <w:t>Dabrafenib + trametinib (279 days)</w:t>
      </w:r>
    </w:p>
    <w:p w:rsidR="00DD542E" w:rsidRPr="007E5071" w:rsidRDefault="00DD542E" w:rsidP="00983502">
      <w:pPr>
        <w:numPr>
          <w:ilvl w:val="1"/>
          <w:numId w:val="1"/>
        </w:numPr>
        <w:spacing w:after="120"/>
        <w:rPr>
          <w:rFonts w:asciiTheme="minorHAnsi" w:hAnsiTheme="minorHAnsi"/>
          <w:bCs/>
        </w:rPr>
      </w:pPr>
      <w:r w:rsidRPr="007E5071">
        <w:rPr>
          <w:rFonts w:asciiTheme="minorHAnsi" w:hAnsiTheme="minorHAnsi"/>
          <w:bCs/>
        </w:rPr>
        <w:t>The PBAC noted that the economic analysis did not incorporate second</w:t>
      </w:r>
      <w:r w:rsidR="00F8407F" w:rsidRPr="007E5071">
        <w:rPr>
          <w:rFonts w:asciiTheme="minorHAnsi" w:hAnsiTheme="minorHAnsi"/>
          <w:bCs/>
        </w:rPr>
        <w:t xml:space="preserve">-line treatment costs, but that a supplementary analysis which added the costs of second-line therapy to cost-minimised first-line therapies was provided in the pre-Sub-Committee Response. The PBAC </w:t>
      </w:r>
      <w:r w:rsidR="0064476A" w:rsidRPr="007E5071">
        <w:rPr>
          <w:rFonts w:asciiTheme="minorHAnsi" w:hAnsiTheme="minorHAnsi"/>
          <w:bCs/>
        </w:rPr>
        <w:t>considered that due to the unclear assumptions regarding second-line treatments this analysis introduced additional uncertainty. The PBAC considered that</w:t>
      </w:r>
      <w:r w:rsidR="00577D4E" w:rsidRPr="007E5071">
        <w:rPr>
          <w:rFonts w:asciiTheme="minorHAnsi" w:hAnsiTheme="minorHAnsi"/>
          <w:bCs/>
        </w:rPr>
        <w:t xml:space="preserve">, although not robust, the </w:t>
      </w:r>
      <w:r w:rsidR="0064476A" w:rsidRPr="007E5071">
        <w:rPr>
          <w:rFonts w:asciiTheme="minorHAnsi" w:hAnsiTheme="minorHAnsi"/>
          <w:bCs/>
        </w:rPr>
        <w:t xml:space="preserve">supplementary analysis </w:t>
      </w:r>
      <w:r w:rsidR="00577D4E" w:rsidRPr="007E5071">
        <w:rPr>
          <w:rFonts w:asciiTheme="minorHAnsi" w:hAnsiTheme="minorHAnsi"/>
          <w:bCs/>
        </w:rPr>
        <w:t xml:space="preserve">incorporating second-line treatment costs </w:t>
      </w:r>
      <w:r w:rsidR="0064476A" w:rsidRPr="007E5071">
        <w:rPr>
          <w:rFonts w:asciiTheme="minorHAnsi" w:hAnsiTheme="minorHAnsi"/>
          <w:bCs/>
        </w:rPr>
        <w:t xml:space="preserve">provided support that the analysis based on first-line treatments only was a reasonable approach. </w:t>
      </w:r>
    </w:p>
    <w:p w:rsidR="006C469C" w:rsidRPr="007E5071" w:rsidRDefault="006C469C" w:rsidP="00983502">
      <w:pPr>
        <w:numPr>
          <w:ilvl w:val="1"/>
          <w:numId w:val="1"/>
        </w:numPr>
        <w:spacing w:after="120"/>
        <w:rPr>
          <w:rFonts w:asciiTheme="minorHAnsi" w:hAnsiTheme="minorHAnsi"/>
          <w:bCs/>
        </w:rPr>
      </w:pPr>
      <w:r w:rsidRPr="007E5071">
        <w:rPr>
          <w:rFonts w:asciiTheme="minorHAnsi" w:hAnsiTheme="minorHAnsi"/>
          <w:bCs/>
        </w:rPr>
        <w:t>In terms of the utilisation estimates in the unresectable or metastatic setting, the PBAC recommended</w:t>
      </w:r>
      <w:r w:rsidR="00643BC9" w:rsidRPr="00643BC9">
        <w:rPr>
          <w:rFonts w:asciiTheme="minorHAnsi" w:hAnsiTheme="minorHAnsi"/>
          <w:bCs/>
        </w:rPr>
        <w:t xml:space="preserve"> </w:t>
      </w:r>
      <w:r w:rsidR="00643BC9" w:rsidRPr="007E5071">
        <w:rPr>
          <w:rFonts w:asciiTheme="minorHAnsi" w:hAnsiTheme="minorHAnsi"/>
          <w:bCs/>
        </w:rPr>
        <w:t>that</w:t>
      </w:r>
      <w:r w:rsidRPr="007E5071">
        <w:rPr>
          <w:rFonts w:asciiTheme="minorHAnsi" w:hAnsiTheme="minorHAnsi"/>
          <w:bCs/>
        </w:rPr>
        <w:t>:</w:t>
      </w:r>
    </w:p>
    <w:p w:rsidR="006C469C" w:rsidRPr="005947DB" w:rsidRDefault="006C469C" w:rsidP="00967413">
      <w:pPr>
        <w:numPr>
          <w:ilvl w:val="1"/>
          <w:numId w:val="19"/>
        </w:numPr>
        <w:spacing w:after="120"/>
        <w:ind w:left="1077" w:hanging="357"/>
        <w:rPr>
          <w:rFonts w:asciiTheme="minorHAnsi" w:hAnsiTheme="minorHAnsi"/>
          <w:bCs/>
        </w:rPr>
      </w:pPr>
      <w:r w:rsidRPr="007E5071">
        <w:rPr>
          <w:rFonts w:asciiTheme="minorHAnsi" w:hAnsiTheme="minorHAnsi"/>
          <w:bCs/>
        </w:rPr>
        <w:t xml:space="preserve">Growth in the unresectable or metastatic setting </w:t>
      </w:r>
      <w:r w:rsidR="00967413" w:rsidRPr="007E5071">
        <w:rPr>
          <w:rFonts w:asciiTheme="minorHAnsi" w:hAnsiTheme="minorHAnsi"/>
          <w:bCs/>
        </w:rPr>
        <w:t xml:space="preserve">should </w:t>
      </w:r>
      <w:r w:rsidRPr="007E5071">
        <w:rPr>
          <w:rFonts w:asciiTheme="minorHAnsi" w:hAnsiTheme="minorHAnsi"/>
          <w:bCs/>
        </w:rPr>
        <w:t xml:space="preserve">be estimated at </w:t>
      </w:r>
      <w:r w:rsidR="00BF12D4">
        <w:rPr>
          <w:rFonts w:asciiTheme="minorHAnsi" w:hAnsiTheme="minorHAnsi"/>
          <w:bCs/>
          <w:noProof/>
          <w:color w:val="000000"/>
          <w:highlight w:val="black"/>
        </w:rPr>
        <w:t>''''''''</w:t>
      </w:r>
      <w:r w:rsidRPr="007E5071">
        <w:rPr>
          <w:rFonts w:asciiTheme="minorHAnsi" w:hAnsiTheme="minorHAnsi"/>
          <w:bCs/>
        </w:rPr>
        <w:t xml:space="preserve">%, rather than </w:t>
      </w:r>
      <w:r w:rsidR="00E31194" w:rsidRPr="007E5071">
        <w:rPr>
          <w:rFonts w:asciiTheme="minorHAnsi" w:hAnsiTheme="minorHAnsi"/>
          <w:bCs/>
        </w:rPr>
        <w:t xml:space="preserve">derived from a </w:t>
      </w:r>
      <w:r w:rsidRPr="007E5071">
        <w:rPr>
          <w:rFonts w:asciiTheme="minorHAnsi" w:hAnsiTheme="minorHAnsi"/>
          <w:bCs/>
        </w:rPr>
        <w:t xml:space="preserve">linear projection of DUSC data, to </w:t>
      </w:r>
      <w:r w:rsidR="00E31194" w:rsidRPr="007E5071">
        <w:rPr>
          <w:rFonts w:asciiTheme="minorHAnsi" w:hAnsiTheme="minorHAnsi"/>
          <w:bCs/>
        </w:rPr>
        <w:t xml:space="preserve">more closely align with the incidence of melanoma in Australia (paragraph </w:t>
      </w:r>
      <w:r w:rsidR="00FE3B53" w:rsidRPr="005947DB">
        <w:rPr>
          <w:rFonts w:asciiTheme="minorHAnsi" w:hAnsiTheme="minorHAnsi"/>
          <w:bCs/>
        </w:rPr>
        <w:t>6.51</w:t>
      </w:r>
      <w:r w:rsidR="00E31194" w:rsidRPr="005947DB">
        <w:rPr>
          <w:rFonts w:asciiTheme="minorHAnsi" w:hAnsiTheme="minorHAnsi"/>
          <w:bCs/>
        </w:rPr>
        <w:t>);</w:t>
      </w:r>
    </w:p>
    <w:p w:rsidR="00E31194" w:rsidRPr="005947DB" w:rsidRDefault="00E31194" w:rsidP="00967413">
      <w:pPr>
        <w:numPr>
          <w:ilvl w:val="1"/>
          <w:numId w:val="19"/>
        </w:numPr>
        <w:spacing w:after="120"/>
        <w:ind w:left="1077" w:hanging="357"/>
        <w:rPr>
          <w:rFonts w:asciiTheme="minorHAnsi" w:hAnsiTheme="minorHAnsi"/>
          <w:bCs/>
        </w:rPr>
      </w:pPr>
      <w:r w:rsidRPr="005947DB">
        <w:rPr>
          <w:rFonts w:asciiTheme="minorHAnsi" w:hAnsiTheme="minorHAnsi"/>
          <w:bCs/>
        </w:rPr>
        <w:t>The proportion of patients with BRAF mutant positive melanoma should be 37.7%, which was based on the results of an Australian cohort study by Lyle 2016, rather than 31% (paragraph</w:t>
      </w:r>
      <w:r w:rsidR="00967413" w:rsidRPr="005947DB">
        <w:rPr>
          <w:rFonts w:asciiTheme="minorHAnsi" w:hAnsiTheme="minorHAnsi"/>
          <w:bCs/>
        </w:rPr>
        <w:t xml:space="preserve"> </w:t>
      </w:r>
      <w:r w:rsidR="00FE3B53" w:rsidRPr="005947DB">
        <w:rPr>
          <w:rFonts w:asciiTheme="minorHAnsi" w:hAnsiTheme="minorHAnsi"/>
          <w:bCs/>
        </w:rPr>
        <w:t>6.52</w:t>
      </w:r>
      <w:r w:rsidR="00967413" w:rsidRPr="005947DB">
        <w:rPr>
          <w:rFonts w:asciiTheme="minorHAnsi" w:hAnsiTheme="minorHAnsi"/>
          <w:bCs/>
        </w:rPr>
        <w:t>)</w:t>
      </w:r>
      <w:r w:rsidRPr="005947DB">
        <w:rPr>
          <w:rFonts w:asciiTheme="minorHAnsi" w:hAnsiTheme="minorHAnsi"/>
          <w:bCs/>
        </w:rPr>
        <w:t xml:space="preserve"> ;</w:t>
      </w:r>
    </w:p>
    <w:p w:rsidR="00E31194" w:rsidRPr="005947DB" w:rsidRDefault="00E31194" w:rsidP="00967413">
      <w:pPr>
        <w:numPr>
          <w:ilvl w:val="1"/>
          <w:numId w:val="19"/>
        </w:numPr>
        <w:spacing w:after="120"/>
        <w:ind w:left="1077" w:hanging="357"/>
        <w:rPr>
          <w:rFonts w:asciiTheme="minorHAnsi" w:hAnsiTheme="minorHAnsi"/>
          <w:bCs/>
        </w:rPr>
      </w:pPr>
      <w:r w:rsidRPr="005947DB">
        <w:rPr>
          <w:rFonts w:asciiTheme="minorHAnsi" w:hAnsiTheme="minorHAnsi"/>
          <w:bCs/>
        </w:rPr>
        <w:t xml:space="preserve">The estimate of first-line PD-1 </w:t>
      </w:r>
      <w:r w:rsidR="00591AE5" w:rsidRPr="005947DB">
        <w:rPr>
          <w:rFonts w:asciiTheme="minorHAnsi" w:hAnsiTheme="minorHAnsi"/>
          <w:bCs/>
        </w:rPr>
        <w:t xml:space="preserve">inhibitor </w:t>
      </w:r>
      <w:r w:rsidRPr="005947DB">
        <w:rPr>
          <w:rFonts w:asciiTheme="minorHAnsi" w:hAnsiTheme="minorHAnsi"/>
          <w:bCs/>
        </w:rPr>
        <w:t xml:space="preserve">use </w:t>
      </w:r>
      <w:r w:rsidR="00591AE5" w:rsidRPr="005947DB">
        <w:rPr>
          <w:rFonts w:asciiTheme="minorHAnsi" w:hAnsiTheme="minorHAnsi"/>
          <w:bCs/>
        </w:rPr>
        <w:t xml:space="preserve">(either as monotherapy or NIVO+IPI) </w:t>
      </w:r>
      <w:r w:rsidRPr="005947DB">
        <w:rPr>
          <w:rFonts w:asciiTheme="minorHAnsi" w:hAnsiTheme="minorHAnsi"/>
          <w:bCs/>
        </w:rPr>
        <w:t xml:space="preserve">in the unresectable or metastatic setting should be 50% to 60% rather than 73%  (paragraph </w:t>
      </w:r>
      <w:r w:rsidR="00FE3B53" w:rsidRPr="005947DB">
        <w:rPr>
          <w:rFonts w:asciiTheme="minorHAnsi" w:hAnsiTheme="minorHAnsi"/>
          <w:bCs/>
        </w:rPr>
        <w:t>6.55</w:t>
      </w:r>
      <w:r w:rsidRPr="005947DB">
        <w:rPr>
          <w:rFonts w:asciiTheme="minorHAnsi" w:hAnsiTheme="minorHAnsi"/>
          <w:bCs/>
        </w:rPr>
        <w:t>); and</w:t>
      </w:r>
    </w:p>
    <w:p w:rsidR="00E31194" w:rsidRPr="005947DB" w:rsidRDefault="00E31194" w:rsidP="00967413">
      <w:pPr>
        <w:numPr>
          <w:ilvl w:val="1"/>
          <w:numId w:val="19"/>
        </w:numPr>
        <w:spacing w:after="120"/>
        <w:ind w:left="1077" w:hanging="357"/>
        <w:rPr>
          <w:rFonts w:asciiTheme="minorHAnsi" w:hAnsiTheme="minorHAnsi"/>
          <w:bCs/>
        </w:rPr>
      </w:pPr>
      <w:r w:rsidRPr="007E5071">
        <w:rPr>
          <w:rFonts w:asciiTheme="minorHAnsi" w:hAnsiTheme="minorHAnsi"/>
          <w:bCs/>
        </w:rPr>
        <w:t xml:space="preserve">The number of unresectable or metastatic patients should be revised downwards (i) from Year 2 to incorporate the estimated </w:t>
      </w:r>
      <w:r w:rsidR="00BF12D4">
        <w:rPr>
          <w:rFonts w:asciiTheme="minorHAnsi" w:hAnsiTheme="minorHAnsi"/>
          <w:bCs/>
          <w:noProof/>
          <w:color w:val="000000"/>
          <w:highlight w:val="black"/>
        </w:rPr>
        <w:t>''''''''</w:t>
      </w:r>
      <w:r w:rsidRPr="007E5071">
        <w:rPr>
          <w:rFonts w:asciiTheme="minorHAnsi" w:hAnsiTheme="minorHAnsi"/>
          <w:bCs/>
        </w:rPr>
        <w:t xml:space="preserve">% to </w:t>
      </w:r>
      <w:r w:rsidR="00BF12D4">
        <w:rPr>
          <w:rFonts w:asciiTheme="minorHAnsi" w:hAnsiTheme="minorHAnsi"/>
          <w:bCs/>
          <w:noProof/>
          <w:color w:val="000000"/>
          <w:highlight w:val="black"/>
        </w:rPr>
        <w:t>'''''''''</w:t>
      </w:r>
      <w:r w:rsidRPr="007E5071">
        <w:rPr>
          <w:rFonts w:asciiTheme="minorHAnsi" w:hAnsiTheme="minorHAnsi"/>
          <w:bCs/>
        </w:rPr>
        <w:t xml:space="preserve">% of patients who remain recurrence free after </w:t>
      </w:r>
      <w:r w:rsidR="00967413" w:rsidRPr="007E5071">
        <w:rPr>
          <w:rFonts w:asciiTheme="minorHAnsi" w:hAnsiTheme="minorHAnsi"/>
          <w:bCs/>
        </w:rPr>
        <w:t>receiving adjuvant therapy</w:t>
      </w:r>
      <w:r w:rsidRPr="007E5071">
        <w:rPr>
          <w:rFonts w:asciiTheme="minorHAnsi" w:hAnsiTheme="minorHAnsi"/>
          <w:bCs/>
        </w:rPr>
        <w:t xml:space="preserve">; and (ii) from Year 1 to incorporate the estimated </w:t>
      </w:r>
      <w:r w:rsidR="00BF12D4">
        <w:rPr>
          <w:rFonts w:asciiTheme="minorHAnsi" w:hAnsiTheme="minorHAnsi"/>
          <w:bCs/>
          <w:noProof/>
          <w:color w:val="000000"/>
          <w:highlight w:val="black"/>
        </w:rPr>
        <w:t>''''''''</w:t>
      </w:r>
      <w:r w:rsidR="00FE3B53">
        <w:rPr>
          <w:rFonts w:asciiTheme="minorHAnsi" w:hAnsiTheme="minorHAnsi"/>
          <w:bCs/>
        </w:rPr>
        <w:t xml:space="preserve">% to </w:t>
      </w:r>
      <w:r w:rsidR="00BF12D4">
        <w:rPr>
          <w:rFonts w:asciiTheme="minorHAnsi" w:hAnsiTheme="minorHAnsi"/>
          <w:bCs/>
          <w:noProof/>
          <w:color w:val="000000"/>
          <w:highlight w:val="black"/>
        </w:rPr>
        <w:t>'''''''''</w:t>
      </w:r>
      <w:r w:rsidRPr="007E5071">
        <w:rPr>
          <w:rFonts w:asciiTheme="minorHAnsi" w:hAnsiTheme="minorHAnsi"/>
          <w:bCs/>
        </w:rPr>
        <w:t>% of patients who recur whilst on, or within six months of completing, adjuvant therapy (</w:t>
      </w:r>
      <w:r w:rsidRPr="005947DB">
        <w:rPr>
          <w:rFonts w:asciiTheme="minorHAnsi" w:hAnsiTheme="minorHAnsi"/>
          <w:bCs/>
        </w:rPr>
        <w:t xml:space="preserve">paragraph </w:t>
      </w:r>
      <w:r w:rsidR="000503DE" w:rsidRPr="005947DB">
        <w:rPr>
          <w:rFonts w:asciiTheme="minorHAnsi" w:hAnsiTheme="minorHAnsi"/>
          <w:bCs/>
        </w:rPr>
        <w:t>6.5</w:t>
      </w:r>
      <w:r w:rsidR="00FE3B53" w:rsidRPr="005947DB">
        <w:rPr>
          <w:rFonts w:asciiTheme="minorHAnsi" w:hAnsiTheme="minorHAnsi"/>
          <w:bCs/>
        </w:rPr>
        <w:t>6</w:t>
      </w:r>
      <w:r w:rsidRPr="005947DB">
        <w:rPr>
          <w:rFonts w:asciiTheme="minorHAnsi" w:hAnsiTheme="minorHAnsi"/>
          <w:bCs/>
        </w:rPr>
        <w:t>).</w:t>
      </w:r>
    </w:p>
    <w:p w:rsidR="00E31194" w:rsidRPr="005947DB" w:rsidRDefault="00967413" w:rsidP="00983502">
      <w:pPr>
        <w:numPr>
          <w:ilvl w:val="1"/>
          <w:numId w:val="1"/>
        </w:numPr>
        <w:spacing w:after="120"/>
        <w:rPr>
          <w:rFonts w:asciiTheme="minorHAnsi" w:hAnsiTheme="minorHAnsi"/>
          <w:bCs/>
        </w:rPr>
      </w:pPr>
      <w:r w:rsidRPr="005947DB">
        <w:rPr>
          <w:rFonts w:asciiTheme="minorHAnsi" w:hAnsiTheme="minorHAnsi"/>
          <w:bCs/>
        </w:rPr>
        <w:t>The PBAC reiterated that the restriction changes should result in no additional costs to the PBS/RPBS.</w:t>
      </w:r>
    </w:p>
    <w:p w:rsidR="00AA5A78" w:rsidRPr="005947DB" w:rsidRDefault="00442356" w:rsidP="00967413">
      <w:pPr>
        <w:numPr>
          <w:ilvl w:val="1"/>
          <w:numId w:val="1"/>
        </w:numPr>
        <w:spacing w:after="120"/>
        <w:rPr>
          <w:rFonts w:asciiTheme="minorHAnsi" w:hAnsiTheme="minorHAnsi"/>
          <w:bCs/>
        </w:rPr>
      </w:pPr>
      <w:r w:rsidRPr="005947DB">
        <w:rPr>
          <w:rFonts w:asciiTheme="minorHAnsi" w:hAnsiTheme="minorHAnsi"/>
          <w:bCs/>
        </w:rPr>
        <w:t xml:space="preserve">In terms of the </w:t>
      </w:r>
      <w:r w:rsidR="00967413" w:rsidRPr="005947DB">
        <w:rPr>
          <w:rFonts w:asciiTheme="minorHAnsi" w:hAnsiTheme="minorHAnsi"/>
          <w:bCs/>
        </w:rPr>
        <w:t>Special Pricing Arrangement for nivolumab</w:t>
      </w:r>
      <w:r w:rsidR="00001D99" w:rsidRPr="005947DB">
        <w:rPr>
          <w:rFonts w:asciiTheme="minorHAnsi" w:hAnsiTheme="minorHAnsi"/>
          <w:bCs/>
        </w:rPr>
        <w:t xml:space="preserve">, the PBAC advised that </w:t>
      </w:r>
      <w:r w:rsidR="00546CD4" w:rsidRPr="005947DB">
        <w:rPr>
          <w:rFonts w:asciiTheme="minorHAnsi" w:hAnsiTheme="minorHAnsi"/>
          <w:bCs/>
        </w:rPr>
        <w:t>t</w:t>
      </w:r>
      <w:r w:rsidR="00AA5A78" w:rsidRPr="005947DB">
        <w:rPr>
          <w:rFonts w:asciiTheme="minorHAnsi" w:hAnsiTheme="minorHAnsi"/>
          <w:bCs/>
        </w:rPr>
        <w:t xml:space="preserve">he weighted pricing proposal associated with the </w:t>
      </w:r>
      <w:r w:rsidR="003E7A57" w:rsidRPr="005947DB">
        <w:rPr>
          <w:rFonts w:asciiTheme="minorHAnsi" w:hAnsiTheme="minorHAnsi"/>
          <w:bCs/>
        </w:rPr>
        <w:t xml:space="preserve">November 2019 </w:t>
      </w:r>
      <w:r w:rsidR="007510F9" w:rsidRPr="005947DB">
        <w:rPr>
          <w:rFonts w:asciiTheme="minorHAnsi" w:hAnsiTheme="minorHAnsi"/>
          <w:bCs/>
        </w:rPr>
        <w:t>reconsideration of the deferral of</w:t>
      </w:r>
      <w:r w:rsidR="00AA5A78" w:rsidRPr="005947DB">
        <w:rPr>
          <w:rFonts w:asciiTheme="minorHAnsi" w:hAnsiTheme="minorHAnsi"/>
          <w:bCs/>
        </w:rPr>
        <w:t xml:space="preserve"> NIVO as adjuvant treatment would have to be </w:t>
      </w:r>
      <w:r w:rsidR="00546CD4" w:rsidRPr="005947DB">
        <w:rPr>
          <w:rFonts w:asciiTheme="minorHAnsi" w:hAnsiTheme="minorHAnsi"/>
          <w:bCs/>
        </w:rPr>
        <w:t>updated</w:t>
      </w:r>
      <w:r w:rsidR="00AA5A78" w:rsidRPr="005947DB">
        <w:rPr>
          <w:rFonts w:asciiTheme="minorHAnsi" w:hAnsiTheme="minorHAnsi"/>
          <w:bCs/>
        </w:rPr>
        <w:t xml:space="preserve"> </w:t>
      </w:r>
      <w:r w:rsidR="00546CD4" w:rsidRPr="005947DB">
        <w:rPr>
          <w:rFonts w:asciiTheme="minorHAnsi" w:hAnsiTheme="minorHAnsi"/>
          <w:bCs/>
        </w:rPr>
        <w:t xml:space="preserve">include extended use in the first-line </w:t>
      </w:r>
      <w:r w:rsidR="003E7A57" w:rsidRPr="005947DB">
        <w:rPr>
          <w:rFonts w:asciiTheme="minorHAnsi" w:hAnsiTheme="minorHAnsi"/>
          <w:bCs/>
        </w:rPr>
        <w:t xml:space="preserve">unresectable or </w:t>
      </w:r>
      <w:r w:rsidR="00546CD4" w:rsidRPr="005947DB">
        <w:rPr>
          <w:rFonts w:asciiTheme="minorHAnsi" w:hAnsiTheme="minorHAnsi"/>
          <w:bCs/>
        </w:rPr>
        <w:t>metastatic setting for BRAF mutant patients</w:t>
      </w:r>
      <w:r w:rsidR="00967413" w:rsidRPr="005947DB">
        <w:rPr>
          <w:rFonts w:asciiTheme="minorHAnsi" w:hAnsiTheme="minorHAnsi"/>
          <w:bCs/>
        </w:rPr>
        <w:t>.</w:t>
      </w:r>
    </w:p>
    <w:p w:rsidR="00967413" w:rsidRPr="005947DB" w:rsidRDefault="00967413" w:rsidP="00967413">
      <w:pPr>
        <w:numPr>
          <w:ilvl w:val="1"/>
          <w:numId w:val="1"/>
        </w:numPr>
        <w:spacing w:after="120"/>
        <w:rPr>
          <w:rFonts w:asciiTheme="minorHAnsi" w:hAnsiTheme="minorHAnsi"/>
          <w:bCs/>
        </w:rPr>
      </w:pPr>
      <w:r w:rsidRPr="005947DB">
        <w:rPr>
          <w:rFonts w:asciiTheme="minorHAnsi" w:hAnsiTheme="minorHAnsi"/>
          <w:bCs/>
        </w:rPr>
        <w:t xml:space="preserve">The PBAC considered that the proposal of a RSA </w:t>
      </w:r>
      <w:r w:rsidR="00546141" w:rsidRPr="005947DB">
        <w:rPr>
          <w:rFonts w:asciiTheme="minorHAnsi" w:hAnsiTheme="minorHAnsi"/>
          <w:bCs/>
        </w:rPr>
        <w:t xml:space="preserve">for the PD-1 inhibitors </w:t>
      </w:r>
      <w:r w:rsidRPr="005947DB">
        <w:rPr>
          <w:rFonts w:asciiTheme="minorHAnsi" w:hAnsiTheme="minorHAnsi"/>
          <w:bCs/>
        </w:rPr>
        <w:t xml:space="preserve">consisting of subsidisation caps across both the adjuvant and unresectable or metastatic settings, beyond which </w:t>
      </w:r>
      <w:r w:rsidR="00BF12D4">
        <w:rPr>
          <w:rFonts w:asciiTheme="minorHAnsi" w:hAnsiTheme="minorHAnsi"/>
          <w:bCs/>
          <w:noProof/>
          <w:color w:val="000000"/>
          <w:highlight w:val="black"/>
        </w:rPr>
        <w:t>''''''''''</w:t>
      </w:r>
      <w:r w:rsidRPr="005947DB">
        <w:rPr>
          <w:rFonts w:asciiTheme="minorHAnsi" w:hAnsiTheme="minorHAnsi"/>
          <w:bCs/>
        </w:rPr>
        <w:t xml:space="preserve"> rebates would apply, was appropriate to manage the uncertainty around uptake in the adjuvant setting and changes to use in the unresectable or metastatic setting</w:t>
      </w:r>
      <w:r w:rsidR="00546141" w:rsidRPr="005947DB">
        <w:rPr>
          <w:rFonts w:asciiTheme="minorHAnsi" w:hAnsiTheme="minorHAnsi"/>
          <w:bCs/>
        </w:rPr>
        <w:t>. The PBAC advised that:</w:t>
      </w:r>
    </w:p>
    <w:p w:rsidR="00591AE5" w:rsidRPr="007E5071" w:rsidRDefault="00001D99" w:rsidP="00983502">
      <w:pPr>
        <w:numPr>
          <w:ilvl w:val="1"/>
          <w:numId w:val="12"/>
        </w:numPr>
        <w:spacing w:after="120"/>
        <w:ind w:left="1077" w:hanging="357"/>
        <w:rPr>
          <w:rFonts w:asciiTheme="minorHAnsi" w:hAnsiTheme="minorHAnsi"/>
          <w:bCs/>
        </w:rPr>
      </w:pPr>
      <w:r w:rsidRPr="005947DB">
        <w:rPr>
          <w:rFonts w:asciiTheme="minorHAnsi" w:hAnsiTheme="minorHAnsi"/>
          <w:bCs/>
        </w:rPr>
        <w:t xml:space="preserve">the current subsidisation caps applying to PD-1 inhibitor monotherapies </w:t>
      </w:r>
      <w:r w:rsidR="00967413" w:rsidRPr="005947DB">
        <w:rPr>
          <w:rFonts w:asciiTheme="minorHAnsi" w:hAnsiTheme="minorHAnsi"/>
          <w:bCs/>
        </w:rPr>
        <w:t xml:space="preserve">in the unresectable or metastatic setting should </w:t>
      </w:r>
      <w:r w:rsidRPr="005947DB">
        <w:rPr>
          <w:rFonts w:asciiTheme="minorHAnsi" w:hAnsiTheme="minorHAnsi"/>
          <w:bCs/>
        </w:rPr>
        <w:t xml:space="preserve">be revised </w:t>
      </w:r>
      <w:r w:rsidR="00967413" w:rsidRPr="005947DB">
        <w:rPr>
          <w:rFonts w:asciiTheme="minorHAnsi" w:hAnsiTheme="minorHAnsi"/>
          <w:bCs/>
        </w:rPr>
        <w:t xml:space="preserve">based on the recommendations provided in paragraph </w:t>
      </w:r>
      <w:r w:rsidR="00FE3B53" w:rsidRPr="005947DB">
        <w:rPr>
          <w:rFonts w:asciiTheme="minorHAnsi" w:hAnsiTheme="minorHAnsi"/>
          <w:bCs/>
        </w:rPr>
        <w:t>7.14</w:t>
      </w:r>
      <w:r w:rsidR="00591AE5" w:rsidRPr="005947DB">
        <w:rPr>
          <w:rFonts w:asciiTheme="minorHAnsi" w:hAnsiTheme="minorHAnsi"/>
          <w:bCs/>
        </w:rPr>
        <w:t xml:space="preserve"> and </w:t>
      </w:r>
      <w:r w:rsidRPr="005947DB">
        <w:rPr>
          <w:rFonts w:asciiTheme="minorHAnsi" w:hAnsiTheme="minorHAnsi"/>
          <w:bCs/>
        </w:rPr>
        <w:t>to include the extension of NIVO use, both as monotherapy and in combination wi</w:t>
      </w:r>
      <w:r w:rsidRPr="007E5071">
        <w:rPr>
          <w:rFonts w:asciiTheme="minorHAnsi" w:hAnsiTheme="minorHAnsi"/>
          <w:bCs/>
        </w:rPr>
        <w:t>th ipilimumab, in the first-line setting for BRAF mutant patients</w:t>
      </w:r>
      <w:r w:rsidR="00591AE5" w:rsidRPr="007E5071">
        <w:rPr>
          <w:rFonts w:asciiTheme="minorHAnsi" w:hAnsiTheme="minorHAnsi"/>
          <w:bCs/>
        </w:rPr>
        <w:t>;</w:t>
      </w:r>
    </w:p>
    <w:p w:rsidR="003932D9" w:rsidRPr="007E5071" w:rsidRDefault="00001D99" w:rsidP="004E0390">
      <w:pPr>
        <w:numPr>
          <w:ilvl w:val="1"/>
          <w:numId w:val="12"/>
        </w:numPr>
        <w:spacing w:after="120"/>
        <w:ind w:left="1077" w:hanging="357"/>
        <w:rPr>
          <w:rFonts w:asciiTheme="minorHAnsi" w:hAnsiTheme="minorHAnsi"/>
          <w:bCs/>
        </w:rPr>
      </w:pPr>
      <w:r w:rsidRPr="007E5071">
        <w:rPr>
          <w:rFonts w:asciiTheme="minorHAnsi" w:hAnsiTheme="minorHAnsi"/>
          <w:bCs/>
        </w:rPr>
        <w:t xml:space="preserve">the proposed </w:t>
      </w:r>
      <w:r w:rsidR="00591AE5" w:rsidRPr="007E5071">
        <w:rPr>
          <w:rFonts w:asciiTheme="minorHAnsi" w:hAnsiTheme="minorHAnsi"/>
          <w:bCs/>
        </w:rPr>
        <w:t xml:space="preserve">subsidisation caps applying to PD-1 inhibitor monotherapies in the adjuvant setting, as provided in the </w:t>
      </w:r>
      <w:r w:rsidR="007510F9" w:rsidRPr="007E5071">
        <w:rPr>
          <w:rFonts w:asciiTheme="minorHAnsi" w:hAnsiTheme="minorHAnsi"/>
          <w:bCs/>
        </w:rPr>
        <w:t xml:space="preserve">reconsideration of </w:t>
      </w:r>
      <w:r w:rsidR="00591AE5" w:rsidRPr="007E5071">
        <w:rPr>
          <w:rFonts w:asciiTheme="minorHAnsi" w:hAnsiTheme="minorHAnsi"/>
          <w:bCs/>
        </w:rPr>
        <w:t>NIVO as an adjuvan</w:t>
      </w:r>
      <w:r w:rsidR="003932D9" w:rsidRPr="007E5071">
        <w:rPr>
          <w:rFonts w:asciiTheme="minorHAnsi" w:hAnsiTheme="minorHAnsi"/>
          <w:bCs/>
        </w:rPr>
        <w:t>t treatment</w:t>
      </w:r>
      <w:r w:rsidR="003A76C0" w:rsidRPr="007E5071">
        <w:rPr>
          <w:rFonts w:asciiTheme="minorHAnsi" w:hAnsiTheme="minorHAnsi"/>
          <w:bCs/>
        </w:rPr>
        <w:t xml:space="preserve"> </w:t>
      </w:r>
      <w:r w:rsidR="007510F9" w:rsidRPr="007E5071">
        <w:rPr>
          <w:rFonts w:asciiTheme="minorHAnsi" w:hAnsiTheme="minorHAnsi"/>
          <w:bCs/>
        </w:rPr>
        <w:t>deferral</w:t>
      </w:r>
      <w:r w:rsidR="003932D9" w:rsidRPr="007E5071">
        <w:rPr>
          <w:rFonts w:asciiTheme="minorHAnsi" w:hAnsiTheme="minorHAnsi"/>
          <w:bCs/>
        </w:rPr>
        <w:t>,</w:t>
      </w:r>
      <w:r w:rsidR="00591AE5" w:rsidRPr="007E5071">
        <w:rPr>
          <w:rFonts w:asciiTheme="minorHAnsi" w:hAnsiTheme="minorHAnsi"/>
          <w:bCs/>
        </w:rPr>
        <w:t xml:space="preserve"> should be </w:t>
      </w:r>
      <w:r w:rsidR="003932D9" w:rsidRPr="007E5071">
        <w:rPr>
          <w:rFonts w:asciiTheme="minorHAnsi" w:hAnsiTheme="minorHAnsi"/>
          <w:bCs/>
        </w:rPr>
        <w:t xml:space="preserve">revised as recommended </w:t>
      </w:r>
      <w:r w:rsidR="00AA5A78" w:rsidRPr="007E5071">
        <w:rPr>
          <w:rFonts w:asciiTheme="minorHAnsi" w:hAnsiTheme="minorHAnsi"/>
          <w:bCs/>
        </w:rPr>
        <w:t>by the PBAC</w:t>
      </w:r>
      <w:r w:rsidR="003932D9" w:rsidRPr="007E5071">
        <w:rPr>
          <w:rFonts w:asciiTheme="minorHAnsi" w:hAnsiTheme="minorHAnsi"/>
          <w:bCs/>
        </w:rPr>
        <w:t xml:space="preserve"> to assume the proportion of patients with BRAF mutant disease was 37.7% and the dosing schedule for NIVO was as per paragraph </w:t>
      </w:r>
      <w:r w:rsidR="00FE3B53" w:rsidRPr="005947DB">
        <w:rPr>
          <w:rFonts w:asciiTheme="minorHAnsi" w:hAnsiTheme="minorHAnsi"/>
          <w:bCs/>
        </w:rPr>
        <w:t>6.57</w:t>
      </w:r>
      <w:r w:rsidR="003932D9" w:rsidRPr="007E5071">
        <w:rPr>
          <w:rFonts w:asciiTheme="minorHAnsi" w:hAnsiTheme="minorHAnsi"/>
          <w:bCs/>
        </w:rPr>
        <w:t>.</w:t>
      </w:r>
    </w:p>
    <w:p w:rsidR="003932D9" w:rsidRPr="007E5071" w:rsidRDefault="003932D9" w:rsidP="00983502">
      <w:pPr>
        <w:numPr>
          <w:ilvl w:val="1"/>
          <w:numId w:val="1"/>
        </w:numPr>
        <w:spacing w:after="120"/>
        <w:rPr>
          <w:rFonts w:asciiTheme="minorHAnsi" w:hAnsiTheme="minorHAnsi"/>
          <w:bCs/>
        </w:rPr>
      </w:pPr>
      <w:r w:rsidRPr="007E5071">
        <w:rPr>
          <w:rFonts w:asciiTheme="minorHAnsi" w:hAnsiTheme="minorHAnsi"/>
          <w:bCs/>
        </w:rPr>
        <w:t xml:space="preserve">Noting </w:t>
      </w:r>
      <w:r w:rsidRPr="007E5071">
        <w:t>that nivolumab for the treatment of adjuvant Stage IIIB, IIIC, IIID or Stage IV melanoma was recommended at the November 2019 meeting, the PBAC advised that to minimise the number of restriction changes required, both recommendations should be implemented at the same time.</w:t>
      </w:r>
    </w:p>
    <w:p w:rsidR="00CA39FA" w:rsidRPr="007E5071" w:rsidRDefault="00CA39FA" w:rsidP="00983502">
      <w:pPr>
        <w:numPr>
          <w:ilvl w:val="1"/>
          <w:numId w:val="1"/>
        </w:numPr>
        <w:spacing w:after="120"/>
        <w:rPr>
          <w:rFonts w:asciiTheme="minorHAnsi" w:hAnsiTheme="minorHAnsi"/>
          <w:bCs/>
        </w:rPr>
      </w:pPr>
      <w:r w:rsidRPr="007E5071">
        <w:rPr>
          <w:rFonts w:asciiTheme="minorHAnsi" w:hAnsiTheme="minorHAnsi"/>
          <w:bCs/>
        </w:rPr>
        <w:t xml:space="preserve">The PBAC considered that it would be appropriate to remove reference to BRAF mutation status in the restrictions for NIVO and NIVO+IPI in the unresectable or metastatic setting. </w:t>
      </w:r>
    </w:p>
    <w:p w:rsidR="00CA39FA" w:rsidRPr="007E5071" w:rsidRDefault="00CA39FA" w:rsidP="00983502">
      <w:pPr>
        <w:numPr>
          <w:ilvl w:val="1"/>
          <w:numId w:val="1"/>
        </w:numPr>
        <w:spacing w:after="120"/>
        <w:rPr>
          <w:rFonts w:asciiTheme="minorHAnsi" w:hAnsiTheme="minorHAnsi"/>
          <w:bCs/>
        </w:rPr>
      </w:pPr>
      <w:r w:rsidRPr="007E5071">
        <w:rPr>
          <w:rFonts w:asciiTheme="minorHAnsi" w:hAnsiTheme="minorHAnsi"/>
          <w:bCs/>
        </w:rPr>
        <w:t>For patients who had received a PD-1 inhibitor in the adjuvant setting the PBAC advised that NIVO or NIVO+IPI could only be used as re</w:t>
      </w:r>
      <w:r w:rsidR="00252B92" w:rsidRPr="007E5071">
        <w:rPr>
          <w:rFonts w:asciiTheme="minorHAnsi" w:hAnsiTheme="minorHAnsi"/>
          <w:bCs/>
        </w:rPr>
        <w:t>treatment in the unresectable of</w:t>
      </w:r>
      <w:r w:rsidRPr="007E5071">
        <w:rPr>
          <w:rFonts w:asciiTheme="minorHAnsi" w:hAnsiTheme="minorHAnsi"/>
          <w:bCs/>
        </w:rPr>
        <w:t xml:space="preserve"> metastatic setting if patients had completed 12 months of adjuvant therapy and remained recurrence free for six months following completion of adjuvant therapy.</w:t>
      </w:r>
    </w:p>
    <w:p w:rsidR="00CA39FA" w:rsidRPr="007E5071" w:rsidRDefault="00CA39FA" w:rsidP="00983502">
      <w:pPr>
        <w:numPr>
          <w:ilvl w:val="1"/>
          <w:numId w:val="1"/>
        </w:numPr>
        <w:spacing w:after="120"/>
        <w:rPr>
          <w:rFonts w:asciiTheme="minorHAnsi" w:hAnsiTheme="minorHAnsi"/>
          <w:bCs/>
        </w:rPr>
      </w:pPr>
      <w:r w:rsidRPr="007E5071">
        <w:rPr>
          <w:rFonts w:asciiTheme="minorHAnsi" w:hAnsiTheme="minorHAnsi"/>
          <w:bCs/>
        </w:rPr>
        <w:t xml:space="preserve">For </w:t>
      </w:r>
      <w:r w:rsidR="00252B92" w:rsidRPr="007E5071">
        <w:rPr>
          <w:rFonts w:asciiTheme="minorHAnsi" w:hAnsiTheme="minorHAnsi"/>
          <w:bCs/>
        </w:rPr>
        <w:t xml:space="preserve">BRAF mutant </w:t>
      </w:r>
      <w:r w:rsidRPr="007E5071">
        <w:rPr>
          <w:rFonts w:asciiTheme="minorHAnsi" w:hAnsiTheme="minorHAnsi"/>
          <w:bCs/>
        </w:rPr>
        <w:t>patients who had received BRAF+MEK inhibitor combination therapy in the adjuvant setting, the PBAC advised that</w:t>
      </w:r>
      <w:r w:rsidR="00252B92" w:rsidRPr="007E5071">
        <w:rPr>
          <w:rFonts w:asciiTheme="minorHAnsi" w:hAnsiTheme="minorHAnsi"/>
          <w:bCs/>
        </w:rPr>
        <w:t xml:space="preserve"> NIVO or NIVO+IPI could be used as retreatment in the unresectable of metastatic setting at recurrence.</w:t>
      </w:r>
    </w:p>
    <w:p w:rsidR="00001D99" w:rsidRPr="007E5071" w:rsidRDefault="00001D99" w:rsidP="00983502">
      <w:pPr>
        <w:numPr>
          <w:ilvl w:val="1"/>
          <w:numId w:val="1"/>
        </w:numPr>
        <w:spacing w:after="120"/>
        <w:rPr>
          <w:rFonts w:asciiTheme="minorHAnsi" w:hAnsiTheme="minorHAnsi"/>
          <w:bCs/>
        </w:rPr>
      </w:pPr>
      <w:r w:rsidRPr="007E5071">
        <w:rPr>
          <w:rFonts w:asciiTheme="minorHAnsi" w:hAnsiTheme="minorHAnsi"/>
          <w:bCs/>
        </w:rPr>
        <w:t xml:space="preserve">The PBAC noted </w:t>
      </w:r>
      <w:r w:rsidR="00E76DEB" w:rsidRPr="007E5071">
        <w:rPr>
          <w:rFonts w:asciiTheme="minorHAnsi" w:hAnsiTheme="minorHAnsi"/>
          <w:bCs/>
        </w:rPr>
        <w:t>the</w:t>
      </w:r>
      <w:r w:rsidRPr="007E5071">
        <w:rPr>
          <w:rFonts w:asciiTheme="minorHAnsi" w:hAnsiTheme="minorHAnsi"/>
          <w:bCs/>
        </w:rPr>
        <w:t xml:space="preserve"> flow-on restriction changes to </w:t>
      </w:r>
      <w:r w:rsidR="00E76DEB" w:rsidRPr="007E5071">
        <w:rPr>
          <w:rFonts w:asciiTheme="minorHAnsi" w:hAnsiTheme="minorHAnsi"/>
          <w:bCs/>
        </w:rPr>
        <w:t xml:space="preserve">the current PBS listings for the BRAF and MEK inhibitors </w:t>
      </w:r>
      <w:r w:rsidR="00252B92" w:rsidRPr="007E5071">
        <w:rPr>
          <w:rFonts w:asciiTheme="minorHAnsi" w:hAnsiTheme="minorHAnsi"/>
          <w:bCs/>
        </w:rPr>
        <w:t xml:space="preserve">in the unresectable or metastatic setting </w:t>
      </w:r>
      <w:r w:rsidR="00E76DEB" w:rsidRPr="007E5071">
        <w:rPr>
          <w:rFonts w:asciiTheme="minorHAnsi" w:hAnsiTheme="minorHAnsi"/>
          <w:bCs/>
        </w:rPr>
        <w:t xml:space="preserve">to allow extension of treatment </w:t>
      </w:r>
      <w:r w:rsidR="00252B92" w:rsidRPr="007E5071">
        <w:rPr>
          <w:rFonts w:asciiTheme="minorHAnsi" w:hAnsiTheme="minorHAnsi"/>
          <w:bCs/>
        </w:rPr>
        <w:t xml:space="preserve">as </w:t>
      </w:r>
      <w:r w:rsidR="00E76DEB" w:rsidRPr="007E5071">
        <w:rPr>
          <w:rFonts w:asciiTheme="minorHAnsi" w:hAnsiTheme="minorHAnsi"/>
          <w:bCs/>
        </w:rPr>
        <w:t xml:space="preserve">second-line </w:t>
      </w:r>
      <w:r w:rsidR="00252B92" w:rsidRPr="007E5071">
        <w:rPr>
          <w:rFonts w:asciiTheme="minorHAnsi" w:hAnsiTheme="minorHAnsi"/>
          <w:bCs/>
        </w:rPr>
        <w:t>therapies</w:t>
      </w:r>
      <w:r w:rsidR="00035D4A" w:rsidRPr="007E5071">
        <w:rPr>
          <w:rFonts w:asciiTheme="minorHAnsi" w:hAnsiTheme="minorHAnsi"/>
          <w:bCs/>
        </w:rPr>
        <w:t xml:space="preserve"> and considered this was appropriate</w:t>
      </w:r>
      <w:r w:rsidR="00E76DEB" w:rsidRPr="007E5071">
        <w:rPr>
          <w:rFonts w:asciiTheme="minorHAnsi" w:hAnsiTheme="minorHAnsi"/>
          <w:bCs/>
        </w:rPr>
        <w:t xml:space="preserve">. </w:t>
      </w:r>
    </w:p>
    <w:p w:rsidR="00C90BD4" w:rsidRPr="007E5071" w:rsidRDefault="00C90BD4" w:rsidP="00983502">
      <w:pPr>
        <w:numPr>
          <w:ilvl w:val="1"/>
          <w:numId w:val="1"/>
        </w:numPr>
        <w:spacing w:after="120"/>
        <w:rPr>
          <w:rFonts w:asciiTheme="minorHAnsi" w:hAnsiTheme="minorHAnsi"/>
          <w:bCs/>
        </w:rPr>
      </w:pPr>
      <w:r w:rsidRPr="007E5071">
        <w:rPr>
          <w:rFonts w:asciiTheme="minorHAnsi" w:hAnsiTheme="minorHAnsi"/>
          <w:bCs/>
        </w:rPr>
        <w:t>The PBAC advised that NIVO monotherapy and NIVO+IPI combination therapy are not suitable for prescribing by nurse practitioners.</w:t>
      </w:r>
    </w:p>
    <w:p w:rsidR="00C90BD4" w:rsidRPr="007E5071" w:rsidRDefault="00C90BD4" w:rsidP="00983502">
      <w:pPr>
        <w:numPr>
          <w:ilvl w:val="1"/>
          <w:numId w:val="1"/>
        </w:numPr>
        <w:spacing w:after="120"/>
        <w:rPr>
          <w:rFonts w:asciiTheme="minorHAnsi" w:hAnsiTheme="minorHAnsi"/>
          <w:bCs/>
        </w:rPr>
      </w:pPr>
      <w:r w:rsidRPr="007E5071">
        <w:rPr>
          <w:rFonts w:asciiTheme="minorHAnsi" w:hAnsiTheme="minorHAnsi"/>
          <w:bCs/>
        </w:rPr>
        <w:t>The PBAC recommended that the Early Supply Rule should not apply to the listings of NIVO monotherapy or NIVO+IPI combination therapy.</w:t>
      </w:r>
    </w:p>
    <w:p w:rsidR="00313953" w:rsidRPr="007E5071" w:rsidRDefault="00313953" w:rsidP="00983502">
      <w:pPr>
        <w:numPr>
          <w:ilvl w:val="1"/>
          <w:numId w:val="1"/>
        </w:numPr>
        <w:spacing w:after="120"/>
        <w:rPr>
          <w:rFonts w:asciiTheme="minorHAnsi" w:hAnsiTheme="minorHAnsi"/>
          <w:bCs/>
        </w:rPr>
      </w:pPr>
      <w:r w:rsidRPr="007E5071">
        <w:rPr>
          <w:rFonts w:asciiTheme="minorHAnsi" w:hAnsiTheme="minorHAnsi"/>
          <w:bCs/>
        </w:rPr>
        <w:t xml:space="preserve">The PBAC advised that under subsection 101(3BA) of the </w:t>
      </w:r>
      <w:r w:rsidRPr="007E5071">
        <w:rPr>
          <w:rFonts w:asciiTheme="minorHAnsi" w:hAnsiTheme="minorHAnsi"/>
          <w:bCs/>
          <w:i/>
        </w:rPr>
        <w:t>National Health Act, 1953</w:t>
      </w:r>
      <w:r w:rsidRPr="007E5071">
        <w:rPr>
          <w:rFonts w:asciiTheme="minorHAnsi" w:hAnsiTheme="minorHAnsi"/>
          <w:bCs/>
        </w:rPr>
        <w:t xml:space="preserve"> that nivolumab and ipilimumab should not be treated as interchangeable on an individual patient bases with any other drugs.</w:t>
      </w:r>
    </w:p>
    <w:p w:rsidR="00313953" w:rsidRPr="007E5071" w:rsidRDefault="00313953" w:rsidP="00983502">
      <w:pPr>
        <w:numPr>
          <w:ilvl w:val="1"/>
          <w:numId w:val="1"/>
        </w:numPr>
        <w:spacing w:after="120"/>
        <w:rPr>
          <w:rFonts w:asciiTheme="minorHAnsi" w:hAnsiTheme="minorHAnsi"/>
          <w:bCs/>
        </w:rPr>
      </w:pPr>
      <w:r w:rsidRPr="007E5071">
        <w:rPr>
          <w:rFonts w:asciiTheme="minorHAnsi" w:hAnsiTheme="minorHAnsi"/>
          <w:bCs/>
        </w:rPr>
        <w:t xml:space="preserve">The PBAC noted that its recommendation was on a cost-minimisation basis and advised that, because the availability of NIVO monotherapy and NIVO+IPI combination therapy </w:t>
      </w:r>
      <w:r w:rsidR="00522212" w:rsidRPr="007E5071">
        <w:rPr>
          <w:rFonts w:asciiTheme="minorHAnsi" w:hAnsiTheme="minorHAnsi"/>
          <w:bCs/>
        </w:rPr>
        <w:t>as a first-</w:t>
      </w:r>
      <w:r w:rsidRPr="007E5071">
        <w:rPr>
          <w:rFonts w:asciiTheme="minorHAnsi" w:hAnsiTheme="minorHAnsi"/>
          <w:bCs/>
        </w:rPr>
        <w:t xml:space="preserve">line treatment option for patients with BRAF mutant unresectable or metastatic melanoma were not expected to provide a substantial and clinically relevant improvement in efficacy, or reduction of toxicity, over the DAB+TRAM, and not expected to address a high and urgent unmet clinical need, the criteria prescribed by the </w:t>
      </w:r>
      <w:r w:rsidRPr="007E5071">
        <w:rPr>
          <w:rFonts w:asciiTheme="minorHAnsi" w:hAnsiTheme="minorHAnsi"/>
          <w:bCs/>
          <w:i/>
        </w:rPr>
        <w:t>National Health (Pharmaceuticals and Vaccines – Cost Recovery) Regulations 2009</w:t>
      </w:r>
      <w:r w:rsidRPr="007E5071">
        <w:rPr>
          <w:rFonts w:asciiTheme="minorHAnsi" w:hAnsiTheme="minorHAnsi"/>
          <w:bCs/>
        </w:rPr>
        <w:t xml:space="preserve"> for Pricing Pathway A were not met</w:t>
      </w:r>
      <w:r w:rsidR="007E5071" w:rsidRPr="007E5071">
        <w:rPr>
          <w:rFonts w:asciiTheme="minorHAnsi" w:hAnsiTheme="minorHAnsi"/>
          <w:bCs/>
        </w:rPr>
        <w:t xml:space="preserve">. </w:t>
      </w:r>
    </w:p>
    <w:p w:rsidR="00313953" w:rsidRPr="007E5071" w:rsidRDefault="00313953" w:rsidP="00983502">
      <w:pPr>
        <w:numPr>
          <w:ilvl w:val="1"/>
          <w:numId w:val="1"/>
        </w:numPr>
        <w:spacing w:after="120"/>
        <w:rPr>
          <w:rFonts w:asciiTheme="minorHAnsi" w:hAnsiTheme="minorHAnsi"/>
          <w:bCs/>
        </w:rPr>
      </w:pPr>
      <w:r w:rsidRPr="007E5071">
        <w:rPr>
          <w:rFonts w:asciiTheme="minorHAnsi" w:hAnsiTheme="minorHAnsi"/>
          <w:bCs/>
        </w:rPr>
        <w:t>The PBAC noted that this submission is not eligible for an Independent Review as it received a positive recommendation.</w:t>
      </w:r>
    </w:p>
    <w:p w:rsidR="00442972" w:rsidRPr="007E5071" w:rsidRDefault="00442972" w:rsidP="00442972">
      <w:pPr>
        <w:spacing w:before="240"/>
        <w:rPr>
          <w:rFonts w:asciiTheme="minorHAnsi" w:hAnsiTheme="minorHAnsi"/>
          <w:b/>
          <w:bCs/>
        </w:rPr>
      </w:pPr>
      <w:r w:rsidRPr="007E5071">
        <w:rPr>
          <w:rFonts w:asciiTheme="minorHAnsi" w:hAnsiTheme="minorHAnsi"/>
          <w:b/>
          <w:bCs/>
        </w:rPr>
        <w:t>Outcome:</w:t>
      </w:r>
    </w:p>
    <w:p w:rsidR="004575EF" w:rsidRPr="000375EB" w:rsidRDefault="00442972" w:rsidP="00442972">
      <w:pPr>
        <w:rPr>
          <w:rFonts w:asciiTheme="minorHAnsi" w:hAnsiTheme="minorHAnsi"/>
          <w:bCs/>
        </w:rPr>
      </w:pPr>
      <w:r w:rsidRPr="007E5071">
        <w:rPr>
          <w:rFonts w:asciiTheme="minorHAnsi" w:hAnsiTheme="minorHAnsi"/>
          <w:bCs/>
        </w:rPr>
        <w:t xml:space="preserve">Recommended </w:t>
      </w:r>
    </w:p>
    <w:p w:rsidR="00442972" w:rsidRPr="007E5071" w:rsidRDefault="00442972" w:rsidP="000375EB">
      <w:pPr>
        <w:pStyle w:val="PBACHeading1"/>
        <w:spacing w:before="240" w:after="120"/>
        <w:rPr>
          <w:b/>
          <w:i/>
          <w:caps w:val="0"/>
        </w:rPr>
      </w:pPr>
      <w:r w:rsidRPr="007E5071">
        <w:rPr>
          <w:b/>
          <w:caps w:val="0"/>
        </w:rPr>
        <w:t>Recommended listing</w:t>
      </w:r>
    </w:p>
    <w:p w:rsidR="00442972" w:rsidRPr="007E5071" w:rsidRDefault="00442972" w:rsidP="00442972">
      <w:pPr>
        <w:ind w:firstLine="720"/>
        <w:rPr>
          <w:rFonts w:asciiTheme="minorHAnsi" w:hAnsiTheme="minorHAnsi"/>
          <w:bCs/>
        </w:rPr>
      </w:pPr>
      <w:r w:rsidRPr="007E5071">
        <w:rPr>
          <w:rFonts w:asciiTheme="minorHAnsi" w:hAnsiTheme="minorHAnsi"/>
          <w:bCs/>
        </w:rPr>
        <w:t>Amend existing/recommended listing as follows:</w:t>
      </w:r>
    </w:p>
    <w:p w:rsidR="00252B92" w:rsidRPr="007E5071" w:rsidRDefault="00252B92" w:rsidP="00442972">
      <w:pPr>
        <w:ind w:firstLine="720"/>
        <w:rPr>
          <w:rFonts w:asciiTheme="minorHAnsi" w:hAnsiTheme="minorHAnsi"/>
          <w:bCs/>
        </w:rPr>
      </w:pPr>
    </w:p>
    <w:p w:rsidR="005345D9" w:rsidRPr="007E5071" w:rsidRDefault="005345D9" w:rsidP="005345D9">
      <w:pPr>
        <w:rPr>
          <w:rFonts w:asciiTheme="minorHAnsi" w:hAnsiTheme="minorHAnsi" w:cstheme="minorHAnsi"/>
          <w:b/>
          <w:u w:val="single"/>
        </w:rPr>
      </w:pPr>
      <w:r w:rsidRPr="007E5071">
        <w:rPr>
          <w:rFonts w:asciiTheme="minorHAnsi" w:hAnsiTheme="minorHAnsi" w:cstheme="minorHAnsi"/>
          <w:b/>
          <w:u w:val="single"/>
        </w:rPr>
        <w:t xml:space="preserve">Initial treatment (NIVOLUMAB monotherapy) </w:t>
      </w:r>
    </w:p>
    <w:p w:rsidR="005345D9" w:rsidRPr="007E5071" w:rsidRDefault="005345D9" w:rsidP="005345D9">
      <w:pPr>
        <w:rPr>
          <w:b/>
          <w:i/>
          <w:sz w:val="20"/>
        </w:rPr>
      </w:pPr>
    </w:p>
    <w:p w:rsidR="005345D9" w:rsidRPr="007E5071" w:rsidRDefault="005345D9" w:rsidP="005345D9">
      <w:pPr>
        <w:rPr>
          <w:rFonts w:asciiTheme="minorHAnsi" w:hAnsiTheme="minorHAnsi" w:cstheme="minorHAnsi"/>
          <w:i/>
        </w:rPr>
      </w:pPr>
      <w:r w:rsidRPr="007E5071">
        <w:rPr>
          <w:rFonts w:asciiTheme="minorHAnsi" w:hAnsiTheme="minorHAnsi" w:cstheme="minorHAnsi"/>
          <w:i/>
        </w:rPr>
        <w:t>Amend as follows:</w:t>
      </w:r>
    </w:p>
    <w:p w:rsidR="005345D9" w:rsidRPr="007E5071" w:rsidRDefault="005345D9" w:rsidP="005345D9">
      <w:pPr>
        <w:rPr>
          <w:rFonts w:asciiTheme="minorHAnsi" w:hAnsiTheme="minorHAnsi" w:cstheme="minorHAnsi"/>
          <w:i/>
          <w:szCs w:val="24"/>
        </w:rPr>
      </w:pPr>
    </w:p>
    <w:p w:rsidR="005345D9" w:rsidRPr="007E5071" w:rsidRDefault="005345D9" w:rsidP="005345D9">
      <w:pPr>
        <w:jc w:val="left"/>
        <w:rPr>
          <w:rFonts w:ascii="Arial Narrow" w:hAnsi="Arial Narrow" w:cstheme="minorHAnsi"/>
          <w:b/>
          <w:sz w:val="18"/>
          <w:szCs w:val="18"/>
        </w:rPr>
      </w:pPr>
      <w:r w:rsidRPr="007E5071">
        <w:rPr>
          <w:rFonts w:ascii="Arial Narrow" w:hAnsi="Arial Narrow" w:cstheme="minorHAnsi"/>
          <w:b/>
          <w:sz w:val="18"/>
          <w:szCs w:val="18"/>
        </w:rPr>
        <w:t>Nivolumab:</w:t>
      </w:r>
      <w:r w:rsidRPr="007E5071">
        <w:rPr>
          <w:rFonts w:ascii="Arial Narrow" w:hAnsi="Arial Narrow" w:cstheme="minorHAnsi"/>
          <w:b/>
          <w:sz w:val="18"/>
          <w:szCs w:val="18"/>
        </w:rPr>
        <w:tab/>
        <w:t>Restriction summary 9249 / Treatment of Concept: 9320: Authority Streamlined (9320)</w:t>
      </w:r>
    </w:p>
    <w:p w:rsidR="005345D9" w:rsidRPr="007E5071" w:rsidRDefault="005345D9" w:rsidP="005345D9">
      <w:pPr>
        <w:ind w:left="720" w:firstLine="720"/>
        <w:rPr>
          <w:rFonts w:ascii="Arial Narrow" w:hAnsi="Arial Narrow" w:cstheme="minorHAnsi"/>
          <w:sz w:val="18"/>
          <w:szCs w:val="18"/>
        </w:rPr>
      </w:pPr>
      <w:r w:rsidRPr="007E5071">
        <w:rPr>
          <w:rFonts w:ascii="Arial Narrow" w:hAnsi="Arial Narrow" w:cstheme="minorHAnsi"/>
          <w:sz w:val="18"/>
          <w:szCs w:val="18"/>
        </w:rPr>
        <w:t>PBS item codes:  10764M (Public) &amp; 10775D (Private)</w:t>
      </w:r>
    </w:p>
    <w:p w:rsidR="005345D9" w:rsidRPr="007E5071" w:rsidRDefault="005345D9" w:rsidP="005345D9">
      <w:pPr>
        <w:rPr>
          <w:rFonts w:asciiTheme="minorHAnsi" w:hAnsiTheme="minorHAnsi" w:cstheme="minorHAnsi"/>
          <w:i/>
          <w:sz w:val="18"/>
          <w:szCs w:val="18"/>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8222"/>
      </w:tblGrid>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7607</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No increase in the maximum number of repeats may be authorised.</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7608</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Special Pricing Arrangements apply.</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14458</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8676</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Indication:</w:t>
            </w:r>
            <w:r w:rsidRPr="007E5071">
              <w:rPr>
                <w:rFonts w:ascii="Arial Narrow" w:hAnsi="Arial Narrow"/>
                <w:color w:val="333333"/>
                <w:sz w:val="18"/>
                <w:szCs w:val="18"/>
                <w:lang w:eastAsia="en-AU"/>
              </w:rPr>
              <w:t xml:space="preserve"> Unresectable Stage III or Stage IV malignant melanoma</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FF00FF"/>
                <w:sz w:val="18"/>
                <w:szCs w:val="18"/>
                <w:lang w:eastAsia="en-AU"/>
              </w:rPr>
              <w:t>edit</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Treatment Phase:</w:t>
            </w:r>
            <w:r w:rsidRPr="007E5071">
              <w:rPr>
                <w:rFonts w:ascii="Arial Narrow" w:hAnsi="Arial Narrow"/>
                <w:color w:val="333333"/>
                <w:sz w:val="18"/>
                <w:szCs w:val="18"/>
                <w:lang w:eastAsia="en-AU"/>
              </w:rPr>
              <w:t xml:space="preserve"> Initial treatment </w:t>
            </w:r>
            <w:r w:rsidRPr="007E5071">
              <w:rPr>
                <w:rFonts w:ascii="Arial Narrow" w:hAnsi="Arial Narrow"/>
                <w:strike/>
                <w:color w:val="333333"/>
                <w:sz w:val="18"/>
                <w:szCs w:val="18"/>
                <w:lang w:eastAsia="en-AU"/>
              </w:rPr>
              <w:t>2</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[16650]</w:t>
            </w:r>
          </w:p>
        </w:tc>
        <w:tc>
          <w:tcPr>
            <w:tcW w:w="453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6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[16649]</w:t>
            </w:r>
          </w:p>
        </w:tc>
        <w:tc>
          <w:tcPr>
            <w:tcW w:w="453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negative for a BRAF V600 mutation</w:t>
            </w:r>
          </w:p>
        </w:tc>
      </w:tr>
      <w:tr w:rsidR="005345D9" w:rsidRPr="007E5071" w:rsidTr="00F55C5B">
        <w:tc>
          <w:tcPr>
            <w:tcW w:w="46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453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18686</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edit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18685</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 xml:space="preserve">Patient must not have received prior treatment with ipilimumab or a PD-1 (programmed cell death-1) inhibitor for </w:t>
            </w:r>
            <w:r w:rsidRPr="007E5071">
              <w:rPr>
                <w:rFonts w:ascii="Arial Narrow" w:hAnsi="Arial Narrow"/>
                <w:strike/>
                <w:color w:val="333333"/>
                <w:sz w:val="18"/>
                <w:szCs w:val="18"/>
                <w:lang w:eastAsia="en-AU"/>
              </w:rPr>
              <w:t>this condition</w:t>
            </w:r>
            <w:r w:rsidRPr="007E5071">
              <w:rPr>
                <w:rFonts w:ascii="Arial Narrow" w:hAnsi="Arial Narrow"/>
                <w:i/>
                <w:sz w:val="18"/>
                <w:szCs w:val="16"/>
              </w:rPr>
              <w:t xml:space="preserve"> </w:t>
            </w:r>
            <w:r w:rsidRPr="007E5071">
              <w:rPr>
                <w:rFonts w:ascii="Arial Narrow" w:hAnsi="Arial Narrow"/>
                <w:i/>
                <w:color w:val="333333"/>
                <w:sz w:val="18"/>
                <w:szCs w:val="18"/>
                <w:lang w:eastAsia="en-AU"/>
              </w:rPr>
              <w:t>the treatment of unresectable Stage III or Stage IV malignant melanoma</w:t>
            </w:r>
            <w:r w:rsidRPr="007E5071">
              <w:rPr>
                <w:rFonts w:ascii="Arial Narrow" w:hAnsi="Arial Narrow"/>
                <w:color w:val="333333"/>
                <w:sz w:val="18"/>
                <w:szCs w:val="18"/>
                <w:lang w:eastAsia="en-AU"/>
              </w:rPr>
              <w:t xml:space="preserve"> </w:t>
            </w:r>
          </w:p>
        </w:tc>
      </w:tr>
      <w:tr w:rsidR="005345D9" w:rsidRPr="007E5071" w:rsidTr="00F55C5B">
        <w:tc>
          <w:tcPr>
            <w:tcW w:w="466" w:type="pct"/>
            <w:vAlign w:val="center"/>
          </w:tcPr>
          <w:p w:rsidR="005345D9" w:rsidRPr="007E5071" w:rsidRDefault="005345D9" w:rsidP="00F55C5B">
            <w:pPr>
              <w:jc w:val="center"/>
              <w:rPr>
                <w:rFonts w:ascii="Arial Narrow" w:hAnsi="Arial Narrow"/>
                <w:color w:val="FF00FF"/>
                <w:sz w:val="18"/>
                <w:szCs w:val="18"/>
                <w:lang w:eastAsia="en-AU"/>
              </w:rPr>
            </w:pPr>
          </w:p>
        </w:tc>
        <w:tc>
          <w:tcPr>
            <w:tcW w:w="4534"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AND</w:t>
            </w:r>
          </w:p>
        </w:tc>
      </w:tr>
      <w:tr w:rsidR="005345D9" w:rsidRPr="007E5071" w:rsidTr="00F55C5B">
        <w:tc>
          <w:tcPr>
            <w:tcW w:w="466" w:type="pct"/>
            <w:vAlign w:val="center"/>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insert</w:t>
            </w:r>
          </w:p>
        </w:tc>
        <w:tc>
          <w:tcPr>
            <w:tcW w:w="4534"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Clinical criteria:</w:t>
            </w:r>
          </w:p>
        </w:tc>
      </w:tr>
      <w:tr w:rsidR="005345D9" w:rsidRPr="007E5071" w:rsidTr="00F55C5B">
        <w:tc>
          <w:tcPr>
            <w:tcW w:w="466" w:type="pct"/>
            <w:vAlign w:val="center"/>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sz w:val="18"/>
                <w:szCs w:val="18"/>
                <w:lang w:eastAsia="en-AU"/>
              </w:rPr>
              <w:t>new</w:t>
            </w:r>
          </w:p>
        </w:tc>
        <w:tc>
          <w:tcPr>
            <w:tcW w:w="4534"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i/>
                <w:color w:val="333333"/>
                <w:sz w:val="18"/>
                <w:szCs w:val="18"/>
                <w:lang w:eastAsia="en-AU"/>
              </w:rPr>
              <w:t xml:space="preserve">Patient must not have experienced disease progression whilst on adjuvant PD-1 inhibitor treatment or disease recurrence within 6 months of completion of adjuvant PD-1 inhibitor treatment if treated for resected Stage IIIB, IIIC, IIID or IV melanoma </w:t>
            </w:r>
            <w:r w:rsidRPr="007E5071">
              <w:rPr>
                <w:rFonts w:ascii="Arial Narrow" w:hAnsi="Arial Narrow"/>
                <w:i/>
                <w:strike/>
                <w:color w:val="333333"/>
                <w:sz w:val="18"/>
                <w:szCs w:val="18"/>
                <w:lang w:eastAsia="en-AU"/>
              </w:rPr>
              <w:t>if treated for resected disease</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7890</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7889</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treatment must be the sole PBS-subsidised therapy for this condition</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24450</w:t>
            </w:r>
          </w:p>
        </w:tc>
        <w:tc>
          <w:tcPr>
            <w:tcW w:w="453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6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24449</w:t>
            </w:r>
          </w:p>
        </w:tc>
        <w:tc>
          <w:tcPr>
            <w:tcW w:w="453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not exceed a dose of 3 mg/kg or 240 mg every two weeks or 480 mg every four weeks</w:t>
            </w:r>
          </w:p>
        </w:tc>
      </w:tr>
      <w:tr w:rsidR="005345D9" w:rsidRPr="00733305" w:rsidTr="00F55C5B">
        <w:tc>
          <w:tcPr>
            <w:tcW w:w="466" w:type="pct"/>
            <w:vAlign w:val="center"/>
            <w:hideMark/>
          </w:tcPr>
          <w:p w:rsidR="005345D9" w:rsidRPr="00733305" w:rsidRDefault="005345D9" w:rsidP="00F55C5B">
            <w:pPr>
              <w:jc w:val="center"/>
              <w:rPr>
                <w:rFonts w:ascii="Arial Narrow" w:hAnsi="Arial Narrow"/>
                <w:strike/>
                <w:color w:val="333333"/>
                <w:sz w:val="18"/>
                <w:szCs w:val="18"/>
                <w:lang w:eastAsia="en-AU"/>
              </w:rPr>
            </w:pPr>
            <w:r w:rsidRPr="00733305">
              <w:rPr>
                <w:rFonts w:ascii="Arial Narrow" w:hAnsi="Arial Narrow"/>
                <w:strike/>
                <w:color w:val="333333"/>
                <w:sz w:val="18"/>
                <w:szCs w:val="18"/>
                <w:lang w:eastAsia="en-AU"/>
              </w:rPr>
              <w:t>8682</w:t>
            </w:r>
          </w:p>
        </w:tc>
        <w:tc>
          <w:tcPr>
            <w:tcW w:w="4534" w:type="pct"/>
            <w:vAlign w:val="center"/>
            <w:hideMark/>
          </w:tcPr>
          <w:p w:rsidR="005345D9" w:rsidRPr="00733305" w:rsidRDefault="005345D9" w:rsidP="00F55C5B">
            <w:pPr>
              <w:jc w:val="left"/>
              <w:rPr>
                <w:rFonts w:ascii="Arial Narrow" w:hAnsi="Arial Narrow"/>
                <w:strike/>
                <w:color w:val="333333"/>
                <w:sz w:val="18"/>
                <w:szCs w:val="18"/>
                <w:lang w:eastAsia="en-AU"/>
              </w:rPr>
            </w:pPr>
            <w:r w:rsidRPr="00733305">
              <w:rPr>
                <w:rFonts w:ascii="Arial Narrow" w:hAnsi="Arial Narrow"/>
                <w:b/>
                <w:bCs/>
                <w:strike/>
                <w:color w:val="333333"/>
                <w:sz w:val="18"/>
                <w:szCs w:val="18"/>
                <w:lang w:eastAsia="en-AU"/>
              </w:rPr>
              <w:t>Prescribing Instructions:</w:t>
            </w:r>
          </w:p>
          <w:p w:rsidR="005345D9" w:rsidRPr="00733305" w:rsidRDefault="005345D9" w:rsidP="00F55C5B">
            <w:pPr>
              <w:jc w:val="left"/>
              <w:rPr>
                <w:rFonts w:ascii="Arial Narrow" w:hAnsi="Arial Narrow"/>
                <w:strike/>
                <w:color w:val="333333"/>
                <w:sz w:val="18"/>
                <w:szCs w:val="18"/>
                <w:lang w:eastAsia="en-AU"/>
              </w:rPr>
            </w:pPr>
            <w:r w:rsidRPr="00733305">
              <w:rPr>
                <w:rFonts w:ascii="Arial Narrow" w:hAnsi="Arial Narrow"/>
                <w:strike/>
                <w:color w:val="333333"/>
                <w:sz w:val="18"/>
                <w:szCs w:val="18"/>
                <w:lang w:eastAsia="en-AU"/>
              </w:rPr>
              <w:t>The patient's body weight must be documented in the patient's medical records at the time treatment is initiated.</w:t>
            </w:r>
          </w:p>
        </w:tc>
      </w:tr>
      <w:tr w:rsidR="005345D9" w:rsidRPr="007E5071" w:rsidTr="00F55C5B">
        <w:tc>
          <w:tcPr>
            <w:tcW w:w="46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24451</w:t>
            </w:r>
          </w:p>
        </w:tc>
        <w:tc>
          <w:tcPr>
            <w:tcW w:w="453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Patients must only receive a maximum of 240 mg every two weeks or 480 mg every four weeks under a weight based or flat dosing regimen.</w:t>
            </w:r>
          </w:p>
        </w:tc>
      </w:tr>
    </w:tbl>
    <w:p w:rsidR="00856CE0" w:rsidRDefault="00856CE0" w:rsidP="005345D9"/>
    <w:p w:rsidR="005345D9" w:rsidRPr="007E5071" w:rsidRDefault="005345D9" w:rsidP="005345D9">
      <w:pPr>
        <w:rPr>
          <w:rFonts w:asciiTheme="minorHAnsi" w:hAnsiTheme="minorHAnsi" w:cstheme="minorHAnsi"/>
          <w:i/>
        </w:rPr>
      </w:pPr>
      <w:r w:rsidRPr="007E5071">
        <w:rPr>
          <w:rFonts w:asciiTheme="minorHAnsi" w:hAnsiTheme="minorHAnsi" w:cstheme="minorHAnsi"/>
          <w:i/>
        </w:rPr>
        <w:t>Delete the following restriction:</w:t>
      </w:r>
    </w:p>
    <w:p w:rsidR="005345D9" w:rsidRPr="007E5071" w:rsidRDefault="005345D9" w:rsidP="005345D9">
      <w:pPr>
        <w:rPr>
          <w:rFonts w:asciiTheme="minorHAnsi" w:hAnsiTheme="minorHAnsi" w:cstheme="minorHAnsi"/>
          <w:i/>
        </w:rPr>
      </w:pPr>
    </w:p>
    <w:p w:rsidR="005345D9" w:rsidRPr="007E5071" w:rsidRDefault="005345D9" w:rsidP="005345D9">
      <w:pPr>
        <w:rPr>
          <w:rFonts w:ascii="Arial Narrow" w:hAnsi="Arial Narrow" w:cstheme="minorHAnsi"/>
          <w:b/>
          <w:sz w:val="18"/>
          <w:szCs w:val="18"/>
        </w:rPr>
      </w:pPr>
      <w:r w:rsidRPr="007E5071">
        <w:rPr>
          <w:rFonts w:ascii="Arial Narrow" w:hAnsi="Arial Narrow" w:cstheme="minorHAnsi"/>
          <w:b/>
          <w:sz w:val="18"/>
          <w:szCs w:val="18"/>
        </w:rPr>
        <w:t>Nivolumab:</w:t>
      </w:r>
      <w:r w:rsidRPr="007E5071">
        <w:rPr>
          <w:rFonts w:ascii="Arial Narrow" w:hAnsi="Arial Narrow" w:cstheme="minorHAnsi"/>
          <w:b/>
          <w:sz w:val="18"/>
          <w:szCs w:val="18"/>
        </w:rPr>
        <w:tab/>
        <w:t>Restriction Summary 9845 / ToC: 9832: Authority Required: Streamlined (9832)</w:t>
      </w:r>
    </w:p>
    <w:p w:rsidR="005345D9" w:rsidRPr="007E5071" w:rsidRDefault="005345D9" w:rsidP="005345D9">
      <w:pPr>
        <w:ind w:left="720" w:firstLine="720"/>
        <w:rPr>
          <w:rFonts w:ascii="Arial Narrow" w:hAnsi="Arial Narrow" w:cstheme="minorHAnsi"/>
          <w:sz w:val="18"/>
          <w:szCs w:val="18"/>
        </w:rPr>
      </w:pPr>
      <w:r w:rsidRPr="007E5071">
        <w:rPr>
          <w:rFonts w:ascii="Arial Narrow" w:hAnsi="Arial Narrow" w:cstheme="minorHAnsi"/>
          <w:sz w:val="18"/>
          <w:szCs w:val="18"/>
        </w:rPr>
        <w:t>PBS item codes:  10764M (Public) &amp; 10775D (Private)</w:t>
      </w:r>
    </w:p>
    <w:p w:rsidR="005345D9" w:rsidRPr="007E5071" w:rsidRDefault="005345D9" w:rsidP="005345D9">
      <w:pPr>
        <w:rPr>
          <w:rFonts w:asciiTheme="minorHAnsi" w:hAnsiTheme="minorHAnsi" w:cstheme="minorHAnsi"/>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267"/>
      </w:tblGrid>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[7607]</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 xml:space="preserve">Administrative Advice: </w:t>
            </w:r>
            <w:r w:rsidRPr="007E5071">
              <w:rPr>
                <w:rFonts w:ascii="Arial Narrow" w:hAnsi="Arial Narrow"/>
                <w:strike/>
                <w:color w:val="333333"/>
                <w:sz w:val="18"/>
                <w:szCs w:val="18"/>
                <w:lang w:eastAsia="en-AU"/>
              </w:rPr>
              <w:t>No increase in the maximum number of repeats may be authorised.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[7608]</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Special Pricing Arrangements apply.</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[14458]</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[8676]</w:t>
            </w: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Indication:</w:t>
            </w:r>
            <w:r w:rsidRPr="007E5071">
              <w:rPr>
                <w:rFonts w:ascii="Arial Narrow" w:hAnsi="Arial Narrow"/>
                <w:strike/>
                <w:color w:val="333333"/>
                <w:sz w:val="18"/>
                <w:szCs w:val="18"/>
                <w:lang w:eastAsia="en-AU"/>
              </w:rPr>
              <w:t xml:space="preserve">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Treatment Phase:</w:t>
            </w:r>
            <w:r w:rsidRPr="007E5071">
              <w:rPr>
                <w:rFonts w:ascii="Arial Narrow" w:hAnsi="Arial Narrow"/>
                <w:strike/>
                <w:color w:val="333333"/>
                <w:sz w:val="18"/>
                <w:szCs w:val="18"/>
                <w:lang w:eastAsia="en-AU"/>
              </w:rPr>
              <w:t xml:space="preserve"> Initial treatment 1</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[9245]</w:t>
            </w: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[9244]</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positive for a BRAF V600 mutation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[24933]</w:t>
            </w: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progressed following treatment with a BRAF inhibitor (with or without a MEK inhibitor) in the unresectable or metastatic setting unless contraindicated or not tolerated according to the TGA approved Product Information; or</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[24934]</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experienced disease recurrence whilst receiving a BRAF inhibitor with MEK inhibitor as an adjuvant treatment for resected Stage IIIB, IIIC or IIID melanoma; or</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experienced disease recurrence within 6 months of completion of adjuvant BRAF inhibitor with MEK inhibitor treatment</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[24876]</w:t>
            </w: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not have received prior treatment with ipilimumab or a PD-1 (programmed cell death-1) inhibitor for the treatment of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[7890]</w:t>
            </w: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[7889]</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be the sole PBS-subsidised therapy for this condition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[24450]</w:t>
            </w:r>
          </w:p>
        </w:tc>
        <w:tc>
          <w:tcPr>
            <w:tcW w:w="0" w:type="auto"/>
            <w:vAlign w:val="center"/>
            <w:hideMark/>
          </w:tcPr>
          <w:p w:rsidR="005345D9" w:rsidRPr="007E5071" w:rsidRDefault="005345D9" w:rsidP="00F55C5B">
            <w:pPr>
              <w:spacing w:before="100" w:beforeAutospacing="1" w:after="100" w:afterAutospacing="1"/>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spacing w:before="100" w:beforeAutospacing="1" w:after="100" w:afterAutospacing="1"/>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[24449]</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not exceed a dose of 3 mg/kg or 240 mg every two weeks or 480 mg every four weeks</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[8682]</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patient's body weight must be documented in the patient's medical records at the time treatment is initiated.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[24451]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Patients must only receive a maximum of 240 mg every two weeks or 480 mg every four weeks under a weight based or flat dosing regimen.</w:t>
            </w:r>
          </w:p>
        </w:tc>
      </w:tr>
    </w:tbl>
    <w:p w:rsidR="005345D9" w:rsidRPr="007E5071" w:rsidRDefault="005345D9" w:rsidP="005345D9">
      <w:pPr>
        <w:rPr>
          <w:b/>
          <w:i/>
          <w:sz w:val="18"/>
          <w:szCs w:val="18"/>
          <w:u w:val="single"/>
        </w:rPr>
      </w:pPr>
    </w:p>
    <w:p w:rsidR="005345D9" w:rsidRPr="007E5071" w:rsidRDefault="005345D9" w:rsidP="005345D9">
      <w:pPr>
        <w:rPr>
          <w:rFonts w:asciiTheme="minorHAnsi" w:hAnsiTheme="minorHAnsi" w:cstheme="minorHAnsi"/>
          <w:b/>
          <w:u w:val="single"/>
        </w:rPr>
      </w:pPr>
      <w:r w:rsidRPr="007E5071">
        <w:rPr>
          <w:rFonts w:asciiTheme="minorHAnsi" w:hAnsiTheme="minorHAnsi" w:cstheme="minorHAnsi"/>
          <w:b/>
          <w:u w:val="single"/>
        </w:rPr>
        <w:t xml:space="preserve">Induction treatment (NIVOLUMAB, in combination with ipilimumab) </w:t>
      </w:r>
    </w:p>
    <w:p w:rsidR="005345D9" w:rsidRPr="007E5071" w:rsidRDefault="005345D9" w:rsidP="005345D9">
      <w:pPr>
        <w:rPr>
          <w:rFonts w:asciiTheme="minorHAnsi" w:hAnsiTheme="minorHAnsi" w:cstheme="minorHAnsi"/>
          <w:i/>
          <w:szCs w:val="24"/>
        </w:rPr>
      </w:pPr>
    </w:p>
    <w:p w:rsidR="005345D9" w:rsidRPr="007E5071" w:rsidRDefault="005345D9" w:rsidP="005345D9">
      <w:pPr>
        <w:rPr>
          <w:rFonts w:asciiTheme="minorHAnsi" w:hAnsiTheme="minorHAnsi" w:cstheme="minorHAnsi"/>
          <w:i/>
        </w:rPr>
      </w:pPr>
      <w:r w:rsidRPr="007E5071">
        <w:rPr>
          <w:rFonts w:asciiTheme="minorHAnsi" w:hAnsiTheme="minorHAnsi" w:cstheme="minorHAnsi"/>
          <w:i/>
        </w:rPr>
        <w:t>Amend as follows:</w:t>
      </w:r>
    </w:p>
    <w:p w:rsidR="005345D9" w:rsidRPr="007E5071" w:rsidRDefault="005345D9" w:rsidP="005345D9">
      <w:pPr>
        <w:rPr>
          <w:b/>
          <w:i/>
          <w:sz w:val="20"/>
        </w:rPr>
      </w:pPr>
    </w:p>
    <w:p w:rsidR="005345D9" w:rsidRPr="007E5071" w:rsidRDefault="005345D9" w:rsidP="005345D9">
      <w:pPr>
        <w:rPr>
          <w:rFonts w:ascii="Arial Narrow" w:hAnsi="Arial Narrow"/>
          <w:b/>
          <w:sz w:val="18"/>
          <w:szCs w:val="18"/>
        </w:rPr>
      </w:pPr>
      <w:r w:rsidRPr="007E5071">
        <w:rPr>
          <w:rFonts w:ascii="Arial Narrow" w:hAnsi="Arial Narrow"/>
          <w:b/>
          <w:sz w:val="18"/>
          <w:szCs w:val="18"/>
        </w:rPr>
        <w:t>Nivolumab:</w:t>
      </w:r>
      <w:r w:rsidRPr="007E5071">
        <w:rPr>
          <w:rFonts w:ascii="Arial Narrow" w:hAnsi="Arial Narrow"/>
          <w:b/>
          <w:sz w:val="18"/>
          <w:szCs w:val="18"/>
        </w:rPr>
        <w:tab/>
        <w:t>Restriction Summary 8144 / ToC: 8182: Authority Required: Streamlined (8182)</w:t>
      </w:r>
    </w:p>
    <w:p w:rsidR="005345D9" w:rsidRPr="007E5071" w:rsidRDefault="005345D9" w:rsidP="005345D9">
      <w:pPr>
        <w:ind w:left="720" w:firstLine="720"/>
        <w:rPr>
          <w:rFonts w:ascii="Arial Narrow" w:hAnsi="Arial Narrow"/>
          <w:sz w:val="18"/>
          <w:szCs w:val="18"/>
        </w:rPr>
      </w:pPr>
      <w:r w:rsidRPr="007E5071">
        <w:rPr>
          <w:rFonts w:ascii="Arial Narrow" w:hAnsi="Arial Narrow"/>
          <w:sz w:val="18"/>
          <w:szCs w:val="18"/>
        </w:rPr>
        <w:t>PBS item codes:  11532Y (Private) &amp; 11543M (Public)</w:t>
      </w:r>
    </w:p>
    <w:p w:rsidR="005345D9" w:rsidRPr="007E5071" w:rsidRDefault="005345D9" w:rsidP="005345D9">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267"/>
      </w:tblGrid>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7607</w:t>
            </w:r>
          </w:p>
        </w:tc>
        <w:tc>
          <w:tcPr>
            <w:tcW w:w="458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No increase in the maximum number of repeats may be authorised.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7608</w:t>
            </w:r>
          </w:p>
        </w:tc>
        <w:tc>
          <w:tcPr>
            <w:tcW w:w="458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Special Pricing Arrangements apply.</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8676</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Indication:</w:t>
            </w:r>
            <w:r w:rsidRPr="007E5071">
              <w:rPr>
                <w:rFonts w:ascii="Arial Narrow" w:hAnsi="Arial Narrow"/>
                <w:color w:val="333333"/>
                <w:sz w:val="18"/>
                <w:szCs w:val="18"/>
                <w:lang w:eastAsia="en-AU"/>
              </w:rPr>
              <w:t xml:space="preserve">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Treatment Phase:</w:t>
            </w:r>
            <w:r w:rsidRPr="007E5071">
              <w:rPr>
                <w:rFonts w:ascii="Arial Narrow" w:hAnsi="Arial Narrow"/>
                <w:color w:val="333333"/>
                <w:sz w:val="18"/>
                <w:szCs w:val="18"/>
                <w:lang w:eastAsia="en-AU"/>
              </w:rPr>
              <w:t xml:space="preserve"> Induction treatment</w:t>
            </w:r>
          </w:p>
        </w:tc>
      </w:tr>
      <w:tr w:rsidR="005345D9" w:rsidRPr="007E5071" w:rsidTr="00F55C5B">
        <w:trPr>
          <w:trHeight w:val="351"/>
        </w:trPr>
        <w:tc>
          <w:tcPr>
            <w:tcW w:w="41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16650</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16649</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negative for a BRAF V600 mutation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18686</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edit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18685</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 xml:space="preserve">Patient must not have received prior treatment with ipilimumab or a PD-1 (programmed cell death-1) inhibitor for </w:t>
            </w:r>
            <w:r w:rsidRPr="007E5071">
              <w:rPr>
                <w:rFonts w:ascii="Arial Narrow" w:hAnsi="Arial Narrow"/>
                <w:strike/>
                <w:color w:val="333333"/>
                <w:sz w:val="18"/>
                <w:szCs w:val="18"/>
                <w:lang w:eastAsia="en-AU"/>
              </w:rPr>
              <w:t>this condition</w:t>
            </w:r>
            <w:r w:rsidRPr="007E5071">
              <w:rPr>
                <w:rFonts w:ascii="Arial Narrow" w:hAnsi="Arial Narrow"/>
                <w:i/>
                <w:sz w:val="18"/>
                <w:szCs w:val="18"/>
              </w:rPr>
              <w:t xml:space="preserve"> the treatment of unresectable Stage III or Stage IV malignant melanoma</w:t>
            </w:r>
            <w:r w:rsidRPr="007E5071">
              <w:rPr>
                <w:rFonts w:ascii="Arial Narrow" w:hAnsi="Arial Narrow"/>
                <w:color w:val="333333"/>
                <w:sz w:val="18"/>
                <w:szCs w:val="18"/>
                <w:lang w:eastAsia="en-AU"/>
              </w:rPr>
              <w:t xml:space="preserve"> </w:t>
            </w:r>
          </w:p>
        </w:tc>
      </w:tr>
      <w:tr w:rsidR="005345D9" w:rsidRPr="007E5071" w:rsidTr="00F55C5B">
        <w:tc>
          <w:tcPr>
            <w:tcW w:w="416" w:type="pct"/>
            <w:vAlign w:val="center"/>
          </w:tcPr>
          <w:p w:rsidR="005345D9" w:rsidRPr="007E5071" w:rsidRDefault="005345D9" w:rsidP="00F55C5B">
            <w:pPr>
              <w:jc w:val="center"/>
              <w:rPr>
                <w:rFonts w:ascii="Arial Narrow" w:hAnsi="Arial Narrow"/>
                <w:color w:val="333333"/>
                <w:sz w:val="18"/>
                <w:szCs w:val="18"/>
                <w:lang w:eastAsia="en-AU"/>
              </w:rPr>
            </w:pPr>
          </w:p>
        </w:tc>
        <w:tc>
          <w:tcPr>
            <w:tcW w:w="0" w:type="auto"/>
            <w:vAlign w:val="center"/>
          </w:tcPr>
          <w:p w:rsidR="005345D9" w:rsidRPr="007E5071" w:rsidRDefault="005345D9" w:rsidP="00F55C5B">
            <w:pPr>
              <w:jc w:val="left"/>
              <w:rPr>
                <w:rFonts w:ascii="Arial Narrow" w:hAnsi="Arial Narrow"/>
                <w:b/>
                <w:i/>
                <w:color w:val="333333"/>
                <w:sz w:val="18"/>
                <w:szCs w:val="18"/>
                <w:lang w:eastAsia="en-AU"/>
              </w:rPr>
            </w:pPr>
            <w:r w:rsidRPr="007E5071">
              <w:rPr>
                <w:rFonts w:ascii="Arial Narrow" w:hAnsi="Arial Narrow"/>
                <w:b/>
                <w:i/>
                <w:color w:val="333333"/>
                <w:sz w:val="18"/>
                <w:szCs w:val="18"/>
                <w:lang w:eastAsia="en-AU"/>
              </w:rPr>
              <w:t>AND</w:t>
            </w:r>
          </w:p>
        </w:tc>
      </w:tr>
      <w:tr w:rsidR="005345D9" w:rsidRPr="007E5071" w:rsidTr="00F55C5B">
        <w:tc>
          <w:tcPr>
            <w:tcW w:w="416" w:type="pct"/>
            <w:vMerge w:val="restart"/>
            <w:vAlign w:val="center"/>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Insert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New</w:t>
            </w:r>
          </w:p>
        </w:tc>
        <w:tc>
          <w:tcPr>
            <w:tcW w:w="0" w:type="auto"/>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Clinical criteria:</w:t>
            </w:r>
          </w:p>
        </w:tc>
      </w:tr>
      <w:tr w:rsidR="005345D9" w:rsidRPr="007E5071" w:rsidTr="00F55C5B">
        <w:tc>
          <w:tcPr>
            <w:tcW w:w="416" w:type="pct"/>
            <w:vMerge/>
            <w:vAlign w:val="center"/>
          </w:tcPr>
          <w:p w:rsidR="005345D9" w:rsidRPr="007E5071" w:rsidRDefault="005345D9" w:rsidP="00F55C5B">
            <w:pPr>
              <w:jc w:val="center"/>
              <w:rPr>
                <w:rFonts w:ascii="Arial Narrow" w:hAnsi="Arial Narrow"/>
                <w:color w:val="333333"/>
                <w:sz w:val="18"/>
                <w:szCs w:val="18"/>
                <w:lang w:eastAsia="en-AU"/>
              </w:rPr>
            </w:pPr>
          </w:p>
        </w:tc>
        <w:tc>
          <w:tcPr>
            <w:tcW w:w="0" w:type="auto"/>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i/>
                <w:color w:val="333333"/>
                <w:sz w:val="18"/>
                <w:szCs w:val="18"/>
                <w:lang w:eastAsia="en-AU"/>
              </w:rPr>
              <w:t xml:space="preserve">Patient must not have experienced disease progression whilst on adjuvant PD-1 inhibitor treatment or disease recurrence within 6 months of completion of adjuvant PD-1 inhibitor treatment for resected Stage IIIB, IIIC, IIID or IV melanoma </w:t>
            </w:r>
            <w:r w:rsidRPr="00677000">
              <w:rPr>
                <w:rFonts w:ascii="Arial Narrow" w:hAnsi="Arial Narrow"/>
                <w:i/>
                <w:strike/>
                <w:color w:val="333333"/>
                <w:sz w:val="18"/>
                <w:szCs w:val="18"/>
                <w:lang w:eastAsia="en-AU"/>
              </w:rPr>
              <w:t xml:space="preserve">if treated for resected disease </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23067</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23066</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Patient must have an Eastern Cooperative Oncology Group (ECOG) performance status of 0 or 1</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23069</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23068</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condition must not be ocular or uveal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23107</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23106</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treatment must be in combination with PBS-subsidised treatment with ipilimumab as induction for this condition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23103</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Caution:</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Combination treatment with ipilimumab and nivolumab is associated with an increase incidence and severity of immune-related adverse reactions compared with monotherapy with these agents. Monitoring at least prior to each dose is recommended.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23070</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Induction treatment with nivolumab must not exceed a total of 4 doses at a maximum dose of 1 mg per kg every 3 weeks.</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23071</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Induction treatment with ipilimumab must not exceed a total of 4 doses at a maximum dose of 3 mg per kg every 3 weeks.</w:t>
            </w:r>
          </w:p>
        </w:tc>
      </w:tr>
      <w:tr w:rsidR="005345D9" w:rsidRPr="00733305" w:rsidTr="00F55C5B">
        <w:tc>
          <w:tcPr>
            <w:tcW w:w="416" w:type="pct"/>
            <w:vAlign w:val="center"/>
            <w:hideMark/>
          </w:tcPr>
          <w:p w:rsidR="005345D9" w:rsidRPr="00733305" w:rsidRDefault="005345D9" w:rsidP="00F55C5B">
            <w:pPr>
              <w:jc w:val="center"/>
              <w:rPr>
                <w:rFonts w:ascii="Arial Narrow" w:hAnsi="Arial Narrow"/>
                <w:strike/>
                <w:color w:val="333333"/>
                <w:sz w:val="18"/>
                <w:szCs w:val="18"/>
                <w:lang w:eastAsia="en-AU"/>
              </w:rPr>
            </w:pPr>
            <w:r w:rsidRPr="00733305">
              <w:rPr>
                <w:rFonts w:ascii="Arial Narrow" w:hAnsi="Arial Narrow"/>
                <w:strike/>
                <w:color w:val="333333"/>
                <w:sz w:val="18"/>
                <w:szCs w:val="18"/>
                <w:lang w:eastAsia="en-AU"/>
              </w:rPr>
              <w:t>8682</w:t>
            </w:r>
          </w:p>
        </w:tc>
        <w:tc>
          <w:tcPr>
            <w:tcW w:w="0" w:type="auto"/>
            <w:vAlign w:val="center"/>
            <w:hideMark/>
          </w:tcPr>
          <w:p w:rsidR="005345D9" w:rsidRPr="00733305" w:rsidRDefault="005345D9" w:rsidP="00F55C5B">
            <w:pPr>
              <w:jc w:val="left"/>
              <w:rPr>
                <w:rFonts w:ascii="Arial Narrow" w:hAnsi="Arial Narrow"/>
                <w:strike/>
                <w:color w:val="333333"/>
                <w:sz w:val="18"/>
                <w:szCs w:val="18"/>
                <w:lang w:eastAsia="en-AU"/>
              </w:rPr>
            </w:pPr>
            <w:r w:rsidRPr="00733305">
              <w:rPr>
                <w:rFonts w:ascii="Arial Narrow" w:hAnsi="Arial Narrow"/>
                <w:b/>
                <w:bCs/>
                <w:strike/>
                <w:color w:val="333333"/>
                <w:sz w:val="18"/>
                <w:szCs w:val="18"/>
                <w:lang w:eastAsia="en-AU"/>
              </w:rPr>
              <w:t>Prescribing Instructions:</w:t>
            </w:r>
          </w:p>
          <w:p w:rsidR="005345D9" w:rsidRPr="00733305" w:rsidRDefault="005345D9" w:rsidP="00F55C5B">
            <w:pPr>
              <w:jc w:val="left"/>
              <w:rPr>
                <w:rFonts w:ascii="Arial Narrow" w:hAnsi="Arial Narrow"/>
                <w:strike/>
                <w:color w:val="333333"/>
                <w:sz w:val="18"/>
                <w:szCs w:val="18"/>
                <w:lang w:eastAsia="en-AU"/>
              </w:rPr>
            </w:pPr>
            <w:r w:rsidRPr="00733305">
              <w:rPr>
                <w:rFonts w:ascii="Arial Narrow" w:hAnsi="Arial Narrow"/>
                <w:strike/>
                <w:color w:val="333333"/>
                <w:sz w:val="18"/>
                <w:szCs w:val="18"/>
                <w:lang w:eastAsia="en-AU"/>
              </w:rPr>
              <w:t>The patient's body weight must be documented in the patient's medical records at the time treatment is initiated.</w:t>
            </w:r>
          </w:p>
        </w:tc>
      </w:tr>
    </w:tbl>
    <w:p w:rsidR="005345D9" w:rsidRPr="007E5071" w:rsidRDefault="005345D9" w:rsidP="005345D9">
      <w:pPr>
        <w:rPr>
          <w:b/>
          <w:i/>
          <w:sz w:val="18"/>
          <w:szCs w:val="18"/>
        </w:rPr>
      </w:pPr>
    </w:p>
    <w:p w:rsidR="005345D9" w:rsidRPr="007E5071" w:rsidRDefault="005345D9" w:rsidP="005345D9">
      <w:pPr>
        <w:rPr>
          <w:rFonts w:asciiTheme="minorHAnsi" w:hAnsiTheme="minorHAnsi" w:cstheme="minorHAnsi"/>
          <w:i/>
        </w:rPr>
      </w:pPr>
      <w:r w:rsidRPr="007E5071">
        <w:rPr>
          <w:rFonts w:asciiTheme="minorHAnsi" w:hAnsiTheme="minorHAnsi" w:cstheme="minorHAnsi"/>
          <w:i/>
        </w:rPr>
        <w:t>Delete the following restriction:</w:t>
      </w:r>
    </w:p>
    <w:p w:rsidR="005345D9" w:rsidRPr="007E5071" w:rsidRDefault="005345D9" w:rsidP="005345D9">
      <w:pPr>
        <w:rPr>
          <w:rFonts w:ascii="Arial Narrow" w:hAnsi="Arial Narrow"/>
          <w:b/>
          <w:sz w:val="18"/>
          <w:szCs w:val="18"/>
        </w:rPr>
      </w:pPr>
    </w:p>
    <w:p w:rsidR="005345D9" w:rsidRPr="007E5071" w:rsidRDefault="005345D9" w:rsidP="005345D9">
      <w:pPr>
        <w:rPr>
          <w:rFonts w:ascii="Arial Narrow" w:hAnsi="Arial Narrow"/>
          <w:b/>
          <w:sz w:val="18"/>
          <w:szCs w:val="18"/>
        </w:rPr>
      </w:pPr>
      <w:r w:rsidRPr="007E5071">
        <w:rPr>
          <w:rFonts w:ascii="Arial Narrow" w:hAnsi="Arial Narrow"/>
          <w:b/>
          <w:sz w:val="18"/>
          <w:szCs w:val="18"/>
        </w:rPr>
        <w:t>Nivolumab:</w:t>
      </w:r>
      <w:r w:rsidRPr="007E5071">
        <w:rPr>
          <w:rFonts w:ascii="Arial Narrow" w:hAnsi="Arial Narrow"/>
          <w:b/>
          <w:sz w:val="18"/>
          <w:szCs w:val="18"/>
        </w:rPr>
        <w:tab/>
        <w:t>Restriction Summary 9836 / ToC: 9844: Authority Required: Streamlined (9844)</w:t>
      </w:r>
    </w:p>
    <w:p w:rsidR="005345D9" w:rsidRPr="007E5071" w:rsidRDefault="005345D9" w:rsidP="005345D9">
      <w:pPr>
        <w:ind w:left="720" w:firstLine="720"/>
        <w:rPr>
          <w:rFonts w:ascii="Arial Narrow" w:hAnsi="Arial Narrow"/>
          <w:sz w:val="18"/>
          <w:szCs w:val="18"/>
        </w:rPr>
      </w:pPr>
      <w:r w:rsidRPr="007E5071">
        <w:rPr>
          <w:rFonts w:ascii="Arial Narrow" w:hAnsi="Arial Narrow"/>
          <w:sz w:val="18"/>
          <w:szCs w:val="18"/>
        </w:rPr>
        <w:t>PBS item codes: 11532Y (Private) &amp; 11543M (Public)</w:t>
      </w:r>
    </w:p>
    <w:p w:rsidR="005345D9" w:rsidRPr="007E5071" w:rsidRDefault="005345D9" w:rsidP="005345D9">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267"/>
      </w:tblGrid>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[7607]</w:t>
            </w:r>
          </w:p>
        </w:tc>
        <w:tc>
          <w:tcPr>
            <w:tcW w:w="458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r w:rsidRPr="007E5071">
              <w:rPr>
                <w:rFonts w:ascii="Arial Narrow" w:hAnsi="Arial Narrow"/>
                <w:strike/>
                <w:color w:val="333333"/>
                <w:sz w:val="18"/>
                <w:szCs w:val="18"/>
                <w:lang w:eastAsia="en-AU"/>
              </w:rPr>
              <w:t xml:space="preserve"> No increase in the maximum number of repeats may be authorised.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[7608]</w:t>
            </w:r>
          </w:p>
        </w:tc>
        <w:tc>
          <w:tcPr>
            <w:tcW w:w="458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r w:rsidRPr="007E5071">
              <w:rPr>
                <w:rFonts w:ascii="Arial Narrow" w:hAnsi="Arial Narrow"/>
                <w:strike/>
                <w:color w:val="333333"/>
                <w:sz w:val="18"/>
                <w:szCs w:val="18"/>
                <w:lang w:eastAsia="en-AU"/>
              </w:rPr>
              <w:t xml:space="preserve"> Special Pricing Arrangements apply.</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[8676]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Indication:</w:t>
            </w:r>
            <w:r w:rsidRPr="007E5071">
              <w:rPr>
                <w:rFonts w:ascii="Arial Narrow" w:hAnsi="Arial Narrow"/>
                <w:strike/>
                <w:color w:val="333333"/>
                <w:sz w:val="18"/>
                <w:szCs w:val="18"/>
                <w:lang w:eastAsia="en-AU"/>
              </w:rPr>
              <w:t xml:space="preserve">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Treatment Phase:</w:t>
            </w:r>
            <w:r w:rsidRPr="007E5071">
              <w:rPr>
                <w:rFonts w:ascii="Arial Narrow" w:hAnsi="Arial Narrow"/>
                <w:strike/>
                <w:color w:val="333333"/>
                <w:sz w:val="18"/>
                <w:szCs w:val="18"/>
                <w:lang w:eastAsia="en-AU"/>
              </w:rPr>
              <w:t xml:space="preserve"> Induction treatment</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[9245]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[9244]</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positive for a BRAF V600 mutation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[24933]</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progressed following treatment with a BRAF inhibitor (with or without a MEK inhibitor) in the unresectable or metastatic setting unless contraindicated or not tolerated according to the TGA approved Product Information; or</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[24934]</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experienced disease recurrence whilst receiving a BRAF inhibitor with MEK inhibitor as an adjuvant treatment for resected Stage IIIB, IIIC or IIID melanoma; or</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experienced disease recurrence within 6 months of completion of adjuvant BRAF inhibitor with MEK inhibitor treatment</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not have received prior treatment with ipilimumab or a PD-1 (programmed cell death-1) inhibitor for the treatment of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[23067]</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an Eastern Cooperative Oncology Group (ECOG) performance status of 0 or 1</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[23069]</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[23068]</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not be ocular or uveal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[23107]</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[23106]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be in combination with PBS-subsidised treatment with ipilimumab as induction for this condition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[23103]</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Caution:</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Combination treatment with ipilimumab and nivolumab is associated with an increase incidence and severity of immune-related adverse reactions compared with monotherapy with these agents. Monitoring at least prior to each dose is recommended.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[23070]</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Induction treatment with nivolumab must not exceed a total of 4 doses at a maximum dose of 1 mg per kg every 3 weeks.</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[23071]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Induction treatment with ipilimumab must not exceed a total of 4 doses at a maximum dose of 3 mg per kg every 3 weeks.</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[8682]</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patient's body weight must be documented in the patient's medical records at the time treatment is initiated.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[14458]</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5345D9" w:rsidRPr="007E5071" w:rsidRDefault="005345D9" w:rsidP="005345D9">
      <w:pPr>
        <w:rPr>
          <w:rFonts w:ascii="Arial Narrow" w:hAnsi="Arial Narrow"/>
          <w:b/>
          <w:sz w:val="18"/>
          <w:szCs w:val="18"/>
        </w:rPr>
      </w:pPr>
    </w:p>
    <w:p w:rsidR="005345D9" w:rsidRPr="007E5071" w:rsidRDefault="005345D9" w:rsidP="005345D9">
      <w:pPr>
        <w:rPr>
          <w:rFonts w:ascii="Arial Narrow" w:hAnsi="Arial Narrow"/>
          <w:b/>
          <w:sz w:val="18"/>
          <w:szCs w:val="18"/>
        </w:rPr>
      </w:pPr>
    </w:p>
    <w:p w:rsidR="005345D9" w:rsidRPr="007E5071" w:rsidRDefault="005345D9" w:rsidP="005345D9">
      <w:pPr>
        <w:rPr>
          <w:rFonts w:asciiTheme="minorHAnsi" w:hAnsiTheme="minorHAnsi" w:cstheme="minorHAnsi"/>
          <w:i/>
        </w:rPr>
      </w:pPr>
      <w:r w:rsidRPr="007E5071">
        <w:rPr>
          <w:rFonts w:asciiTheme="minorHAnsi" w:hAnsiTheme="minorHAnsi" w:cstheme="minorHAnsi"/>
          <w:i/>
        </w:rPr>
        <w:t xml:space="preserve">Amend nivolumab’s current grandfathering restriction in induction treatment of BRAF negative patients to allow continuing treatment in patients (approximately 25) who commenced with nivolumab as first-line therapy through clinical trials/ patient familiarisation programs/ compassionate supply as follows: </w:t>
      </w:r>
    </w:p>
    <w:p w:rsidR="005345D9" w:rsidRPr="007E5071" w:rsidRDefault="005345D9" w:rsidP="005345D9">
      <w:pPr>
        <w:rPr>
          <w:rFonts w:ascii="Arial Narrow" w:hAnsi="Arial Narrow"/>
          <w:b/>
          <w:sz w:val="18"/>
          <w:szCs w:val="18"/>
        </w:rPr>
      </w:pPr>
    </w:p>
    <w:p w:rsidR="005345D9" w:rsidRPr="007E5071" w:rsidRDefault="005345D9" w:rsidP="005345D9">
      <w:pPr>
        <w:rPr>
          <w:rFonts w:ascii="Arial Narrow" w:hAnsi="Arial Narrow"/>
          <w:b/>
          <w:sz w:val="18"/>
          <w:szCs w:val="18"/>
        </w:rPr>
      </w:pPr>
      <w:r w:rsidRPr="007E5071">
        <w:rPr>
          <w:rFonts w:ascii="Arial Narrow" w:hAnsi="Arial Narrow"/>
          <w:b/>
          <w:sz w:val="18"/>
          <w:szCs w:val="18"/>
        </w:rPr>
        <w:t>Nivolumab:</w:t>
      </w:r>
      <w:r w:rsidRPr="007E5071">
        <w:rPr>
          <w:rFonts w:ascii="Arial Narrow" w:hAnsi="Arial Narrow"/>
          <w:b/>
          <w:sz w:val="18"/>
          <w:szCs w:val="18"/>
        </w:rPr>
        <w:tab/>
        <w:t>Restriction Summary 8145 / ToC: 8146: Authority Required: Streamlined</w:t>
      </w:r>
    </w:p>
    <w:p w:rsidR="005345D9" w:rsidRPr="007E5071" w:rsidRDefault="005345D9" w:rsidP="005345D9">
      <w:pPr>
        <w:ind w:left="720" w:firstLine="720"/>
        <w:rPr>
          <w:rFonts w:ascii="Arial Narrow" w:hAnsi="Arial Narrow"/>
          <w:sz w:val="18"/>
          <w:szCs w:val="18"/>
        </w:rPr>
      </w:pPr>
      <w:r w:rsidRPr="007E5071">
        <w:rPr>
          <w:rFonts w:ascii="Arial Narrow" w:hAnsi="Arial Narrow"/>
          <w:sz w:val="18"/>
          <w:szCs w:val="18"/>
        </w:rPr>
        <w:t>PBS item codes: 11532Y (Private) &amp; 11543M (Public)</w:t>
      </w:r>
    </w:p>
    <w:p w:rsidR="005345D9" w:rsidRPr="007E5071" w:rsidRDefault="005345D9" w:rsidP="005345D9">
      <w:pPr>
        <w:rPr>
          <w:rFonts w:ascii="Arial Narrow" w:hAnsi="Arial Narrow"/>
          <w:b/>
          <w:sz w:val="18"/>
          <w:szCs w:val="18"/>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
        <w:gridCol w:w="8316"/>
      </w:tblGrid>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7607</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No increase in the maximum number of repeats may be authorised.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7608</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Special Pricing Arrangements apply.</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8676</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Indication:</w:t>
            </w:r>
            <w:r w:rsidRPr="007E5071">
              <w:rPr>
                <w:rFonts w:ascii="Arial Narrow" w:hAnsi="Arial Narrow"/>
                <w:color w:val="333333"/>
                <w:sz w:val="18"/>
                <w:szCs w:val="18"/>
                <w:lang w:eastAsia="en-AU"/>
              </w:rPr>
              <w:t xml:space="preserve"> Unresectable Stage III or Stage IV malignant melanoma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FF00FF"/>
                <w:sz w:val="18"/>
                <w:szCs w:val="18"/>
                <w:lang w:eastAsia="en-AU"/>
              </w:rPr>
              <w:t>edit</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Treatment Phase:</w:t>
            </w:r>
          </w:p>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strike/>
                <w:color w:val="333333"/>
                <w:sz w:val="18"/>
                <w:szCs w:val="18"/>
                <w:lang w:eastAsia="en-AU"/>
              </w:rPr>
              <w:t>Induction treatment -</w:t>
            </w:r>
            <w:r w:rsidRPr="007E5071">
              <w:rPr>
                <w:rFonts w:ascii="Arial Narrow" w:hAnsi="Arial Narrow"/>
                <w:color w:val="333333"/>
                <w:sz w:val="18"/>
                <w:szCs w:val="18"/>
                <w:lang w:eastAsia="en-AU"/>
              </w:rPr>
              <w:t xml:space="preserve"> Grandfather</w:t>
            </w:r>
            <w:r w:rsidRPr="007E5071">
              <w:rPr>
                <w:rFonts w:ascii="Arial Narrow" w:hAnsi="Arial Narrow"/>
                <w:i/>
                <w:color w:val="333333"/>
                <w:sz w:val="18"/>
                <w:szCs w:val="18"/>
                <w:lang w:eastAsia="en-AU"/>
              </w:rPr>
              <w:t>ed</w:t>
            </w:r>
            <w:r w:rsidRPr="007E5071">
              <w:rPr>
                <w:rFonts w:ascii="Arial Narrow" w:hAnsi="Arial Narrow"/>
                <w:color w:val="333333"/>
                <w:sz w:val="18"/>
                <w:szCs w:val="18"/>
                <w:lang w:eastAsia="en-AU"/>
              </w:rPr>
              <w:t xml:space="preserve"> patients </w:t>
            </w:r>
            <w:r w:rsidRPr="007E5071">
              <w:rPr>
                <w:rFonts w:ascii="Arial Narrow" w:hAnsi="Arial Narrow"/>
                <w:i/>
                <w:color w:val="333333"/>
                <w:sz w:val="18"/>
                <w:szCs w:val="18"/>
                <w:lang w:eastAsia="en-AU"/>
              </w:rPr>
              <w:t xml:space="preserve">treated with nivolumab as first-line therapy in unresectable Stage III or Stage IV malignant melanoma prior to [1 Month 20XX – insert listing date here] </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16650</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16649</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negative for a BRAF V600 mutation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23079</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23078</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received combined therapy with ipilimumab and nivolumab as induction for this condition prior to 1 December 2018; or</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23111</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received monotherapy with nivolumab as maintenance for this condition prior to 1 December 2018</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23116</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23115</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not have previously received treatment with ipilimumab or a programmed cell death factor 1 (PD-1) inhibitor prior to initiating combined therapy with ipilimumab and nivolumab as induction for this condition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23081</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23080</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not have developed disease progression while being treated with combined therapy with ipilimumab and nivolumab as induction for this condition; or</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23117</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not have developed disease progression while being treated with monotherapy with nivolumab as maintenance for this condition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23112</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23120</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had an Eastern Cooperative Oncology Group (ECOG) performance status of 0 or 1 prior to initiating treatment with this drug for this condition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23069</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23068</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not be ocular or uveal melanoma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23119</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23106</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be in combination with PBS-subsidised treatment with ipilimumab as induction for this condition; or</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23118</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be as monotherapy as maintenance for this condition</w:t>
            </w:r>
          </w:p>
        </w:tc>
      </w:tr>
      <w:tr w:rsidR="005345D9" w:rsidRPr="007E5071" w:rsidTr="00F55C5B">
        <w:tc>
          <w:tcPr>
            <w:tcW w:w="414" w:type="pct"/>
            <w:vAlign w:val="center"/>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FF00FF"/>
                <w:sz w:val="18"/>
                <w:szCs w:val="18"/>
                <w:lang w:eastAsia="en-AU"/>
              </w:rPr>
              <w:t>insert</w:t>
            </w:r>
          </w:p>
        </w:tc>
        <w:tc>
          <w:tcPr>
            <w:tcW w:w="4586"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Clinical criteria:</w:t>
            </w:r>
          </w:p>
        </w:tc>
      </w:tr>
      <w:tr w:rsidR="005345D9" w:rsidRPr="007E5071" w:rsidTr="00F55C5B">
        <w:tc>
          <w:tcPr>
            <w:tcW w:w="414" w:type="pct"/>
            <w:vAlign w:val="center"/>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New</w:t>
            </w:r>
          </w:p>
        </w:tc>
        <w:tc>
          <w:tcPr>
            <w:tcW w:w="4586"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i/>
                <w:color w:val="333333"/>
                <w:sz w:val="18"/>
                <w:szCs w:val="18"/>
                <w:lang w:eastAsia="en-AU"/>
              </w:rPr>
              <w:t xml:space="preserve">Patient must have received non-PBS subsidised supply of this drug as first-line therapy for unresectable Stage III or Stage IV malignant melanoma prior to [1 Month 20XX – insert listing date here] </w:t>
            </w:r>
          </w:p>
        </w:tc>
      </w:tr>
      <w:tr w:rsidR="005345D9" w:rsidRPr="007E5071" w:rsidTr="00F55C5B">
        <w:tc>
          <w:tcPr>
            <w:tcW w:w="414" w:type="pct"/>
            <w:vAlign w:val="center"/>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tcPr>
          <w:p w:rsidR="005345D9" w:rsidRPr="007E5071" w:rsidRDefault="005345D9" w:rsidP="00F55C5B">
            <w:pPr>
              <w:jc w:val="left"/>
              <w:rPr>
                <w:rFonts w:ascii="Arial Narrow" w:hAnsi="Arial Narrow"/>
                <w:b/>
                <w:i/>
                <w:color w:val="333333"/>
                <w:sz w:val="18"/>
                <w:szCs w:val="18"/>
                <w:lang w:eastAsia="en-AU"/>
              </w:rPr>
            </w:pPr>
            <w:r w:rsidRPr="007E5071">
              <w:rPr>
                <w:rFonts w:ascii="Arial Narrow" w:hAnsi="Arial Narrow"/>
                <w:b/>
                <w:i/>
                <w:color w:val="333333"/>
                <w:sz w:val="18"/>
                <w:szCs w:val="18"/>
                <w:lang w:eastAsia="en-AU"/>
              </w:rPr>
              <w:t>AND</w:t>
            </w:r>
          </w:p>
        </w:tc>
      </w:tr>
      <w:tr w:rsidR="005345D9" w:rsidRPr="007E5071" w:rsidTr="00F55C5B">
        <w:tc>
          <w:tcPr>
            <w:tcW w:w="414" w:type="pct"/>
            <w:vAlign w:val="center"/>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insert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7890</w:t>
            </w:r>
          </w:p>
        </w:tc>
        <w:tc>
          <w:tcPr>
            <w:tcW w:w="4586"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7889</w:t>
            </w:r>
          </w:p>
        </w:tc>
        <w:tc>
          <w:tcPr>
            <w:tcW w:w="4586" w:type="pct"/>
            <w:vAlign w:val="center"/>
            <w:hideMark/>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i/>
                <w:color w:val="333333"/>
                <w:sz w:val="18"/>
                <w:szCs w:val="18"/>
                <w:lang w:eastAsia="en-AU"/>
              </w:rPr>
              <w:t>The treatment must be the sole PBS-subsidised therapy for this condition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23070</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Induction treatment with nivolumab must not exceed a total of 4 doses at a maximum dose of 1 mg per kg every 3 weeks.</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23071</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Induction treatment with ipilimumab must not exceed a total of 4 doses at a maximum dose of 3 mg per kg every 3 weeks.</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23108</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Maintenance treatment with nivolumab must not exceed a maximum dose of 3 mg per kg every 2 weeks.</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20162</w:t>
            </w:r>
          </w:p>
          <w:p w:rsidR="005345D9" w:rsidRPr="007E5071" w:rsidRDefault="005345D9" w:rsidP="00F55C5B">
            <w:pPr>
              <w:jc w:val="center"/>
              <w:outlineLvl w:val="4"/>
              <w:rPr>
                <w:rFonts w:ascii="Arial Narrow" w:hAnsi="Arial Narrow"/>
                <w:vanish/>
                <w:color w:val="555555"/>
                <w:sz w:val="18"/>
                <w:szCs w:val="18"/>
                <w:lang w:eastAsia="en-AU"/>
              </w:rPr>
            </w:pPr>
            <w:r w:rsidRPr="007E5071">
              <w:rPr>
                <w:rFonts w:ascii="Arial Narrow" w:hAnsi="Arial Narrow"/>
                <w:vanish/>
                <w:color w:val="555555"/>
                <w:sz w:val="18"/>
                <w:szCs w:val="18"/>
                <w:lang w:eastAsia="en-AU"/>
              </w:rPr>
              <w:t>RETIRED</w:t>
            </w:r>
          </w:p>
          <w:p w:rsidR="005345D9" w:rsidRPr="007E5071" w:rsidRDefault="005345D9" w:rsidP="00F55C5B">
            <w:pPr>
              <w:jc w:val="center"/>
              <w:rPr>
                <w:rFonts w:ascii="Arial Narrow" w:hAnsi="Arial Narrow"/>
                <w:vanish/>
                <w:color w:val="FF00FF"/>
                <w:sz w:val="18"/>
                <w:szCs w:val="18"/>
                <w:lang w:eastAsia="en-AU"/>
              </w:rPr>
            </w:pPr>
          </w:p>
          <w:p w:rsidR="005345D9" w:rsidRPr="007E5071" w:rsidRDefault="005345D9" w:rsidP="00F55C5B">
            <w:pPr>
              <w:jc w:val="center"/>
              <w:rPr>
                <w:rFonts w:ascii="Arial Narrow" w:hAnsi="Arial Narrow"/>
                <w:i/>
                <w:vanish/>
                <w:color w:val="FF00FF"/>
                <w:sz w:val="18"/>
                <w:szCs w:val="18"/>
                <w:lang w:eastAsia="en-AU"/>
              </w:rPr>
            </w:pPr>
            <w:r w:rsidRPr="007E5071">
              <w:rPr>
                <w:rFonts w:ascii="Arial Narrow" w:hAnsi="Arial Narrow"/>
                <w:i/>
                <w:vanish/>
                <w:color w:val="FF00FF"/>
                <w:sz w:val="18"/>
                <w:szCs w:val="18"/>
                <w:lang w:eastAsia="en-AU"/>
              </w:rPr>
              <w:t>insert</w:t>
            </w:r>
          </w:p>
          <w:p w:rsidR="005345D9" w:rsidRPr="007E5071" w:rsidRDefault="005345D9" w:rsidP="00F55C5B">
            <w:pPr>
              <w:jc w:val="center"/>
              <w:rPr>
                <w:rFonts w:ascii="Arial Narrow" w:hAnsi="Arial Narrow"/>
                <w:vanish/>
                <w:color w:val="333333"/>
                <w:sz w:val="18"/>
                <w:szCs w:val="18"/>
                <w:lang w:eastAsia="en-AU"/>
              </w:rPr>
            </w:pPr>
            <w:r w:rsidRPr="007E5071">
              <w:rPr>
                <w:rFonts w:ascii="Arial Narrow" w:hAnsi="Arial Narrow"/>
                <w:vanish/>
                <w:color w:val="333333"/>
                <w:sz w:val="18"/>
                <w:szCs w:val="18"/>
                <w:lang w:eastAsia="en-AU"/>
              </w:rPr>
              <w:t>21046</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 xml:space="preserve">A patient may qualify for PBS-subsidised treatment under this restriction once only. </w:t>
            </w:r>
            <w:r w:rsidRPr="007E5071">
              <w:rPr>
                <w:rFonts w:ascii="Arial Narrow" w:hAnsi="Arial Narrow"/>
                <w:color w:val="333333"/>
                <w:sz w:val="18"/>
                <w:szCs w:val="18"/>
                <w:lang w:eastAsia="en-AU"/>
              </w:rPr>
              <w:br/>
              <w:t>For continuing PBS-subsidised treatment, a Grandfathered patient must qualify under the Continuing treatment criteria.</w:t>
            </w:r>
          </w:p>
        </w:tc>
      </w:tr>
      <w:tr w:rsidR="005345D9" w:rsidRPr="00733305" w:rsidTr="00F55C5B">
        <w:tc>
          <w:tcPr>
            <w:tcW w:w="414" w:type="pct"/>
            <w:vAlign w:val="center"/>
            <w:hideMark/>
          </w:tcPr>
          <w:p w:rsidR="005345D9" w:rsidRPr="00733305" w:rsidRDefault="005345D9" w:rsidP="00F55C5B">
            <w:pPr>
              <w:jc w:val="center"/>
              <w:rPr>
                <w:rFonts w:ascii="Arial Narrow" w:hAnsi="Arial Narrow"/>
                <w:strike/>
                <w:color w:val="333333"/>
                <w:sz w:val="18"/>
                <w:szCs w:val="18"/>
                <w:lang w:eastAsia="en-AU"/>
              </w:rPr>
            </w:pPr>
            <w:r w:rsidRPr="00733305">
              <w:rPr>
                <w:rFonts w:ascii="Arial Narrow" w:hAnsi="Arial Narrow"/>
                <w:strike/>
                <w:color w:val="333333"/>
                <w:sz w:val="18"/>
                <w:szCs w:val="18"/>
                <w:lang w:eastAsia="en-AU"/>
              </w:rPr>
              <w:t>8682</w:t>
            </w:r>
          </w:p>
        </w:tc>
        <w:tc>
          <w:tcPr>
            <w:tcW w:w="4586" w:type="pct"/>
            <w:vAlign w:val="center"/>
            <w:hideMark/>
          </w:tcPr>
          <w:p w:rsidR="005345D9" w:rsidRPr="00733305" w:rsidRDefault="005345D9" w:rsidP="00F55C5B">
            <w:pPr>
              <w:jc w:val="left"/>
              <w:rPr>
                <w:rFonts w:ascii="Arial Narrow" w:hAnsi="Arial Narrow"/>
                <w:strike/>
                <w:color w:val="333333"/>
                <w:sz w:val="18"/>
                <w:szCs w:val="18"/>
                <w:lang w:eastAsia="en-AU"/>
              </w:rPr>
            </w:pPr>
            <w:r w:rsidRPr="00733305">
              <w:rPr>
                <w:rFonts w:ascii="Arial Narrow" w:hAnsi="Arial Narrow"/>
                <w:b/>
                <w:bCs/>
                <w:strike/>
                <w:color w:val="333333"/>
                <w:sz w:val="18"/>
                <w:szCs w:val="18"/>
                <w:lang w:eastAsia="en-AU"/>
              </w:rPr>
              <w:t>Prescribing Instructions:</w:t>
            </w:r>
          </w:p>
          <w:p w:rsidR="005345D9" w:rsidRPr="00733305" w:rsidRDefault="005345D9" w:rsidP="00F55C5B">
            <w:pPr>
              <w:jc w:val="left"/>
              <w:rPr>
                <w:rFonts w:ascii="Arial Narrow" w:hAnsi="Arial Narrow"/>
                <w:strike/>
                <w:color w:val="333333"/>
                <w:sz w:val="18"/>
                <w:szCs w:val="18"/>
                <w:lang w:eastAsia="en-AU"/>
              </w:rPr>
            </w:pPr>
            <w:r w:rsidRPr="00733305">
              <w:rPr>
                <w:rFonts w:ascii="Arial Narrow" w:hAnsi="Arial Narrow"/>
                <w:strike/>
                <w:color w:val="333333"/>
                <w:sz w:val="18"/>
                <w:szCs w:val="18"/>
                <w:lang w:eastAsia="en-AU"/>
              </w:rPr>
              <w:t>The patient's body weight must be documented in the patient's medical records at the time treatment is initiated.</w:t>
            </w:r>
          </w:p>
        </w:tc>
      </w:tr>
      <w:tr w:rsidR="005345D9" w:rsidRPr="007E5071" w:rsidTr="00F55C5B">
        <w:tc>
          <w:tcPr>
            <w:tcW w:w="414" w:type="pct"/>
            <w:vAlign w:val="center"/>
          </w:tcPr>
          <w:p w:rsidR="005345D9" w:rsidRPr="007E5071" w:rsidRDefault="005345D9" w:rsidP="00F55C5B">
            <w:pPr>
              <w:jc w:val="center"/>
              <w:rPr>
                <w:rFonts w:ascii="Arial Narrow" w:hAnsi="Arial Narrow"/>
                <w:i/>
                <w:color w:val="FF00FF"/>
                <w:sz w:val="18"/>
                <w:szCs w:val="18"/>
                <w:lang w:eastAsia="en-AU"/>
              </w:rPr>
            </w:pPr>
            <w:r w:rsidRPr="007E5071">
              <w:rPr>
                <w:rFonts w:ascii="Arial Narrow" w:hAnsi="Arial Narrow"/>
                <w:i/>
                <w:color w:val="FF00FF"/>
                <w:sz w:val="18"/>
                <w:szCs w:val="18"/>
                <w:lang w:eastAsia="en-AU"/>
              </w:rPr>
              <w:t>insert</w:t>
            </w:r>
          </w:p>
          <w:p w:rsidR="005345D9" w:rsidRPr="007E5071" w:rsidRDefault="005345D9" w:rsidP="00F55C5B">
            <w:pPr>
              <w:jc w:val="center"/>
              <w:rPr>
                <w:rFonts w:ascii="Arial Narrow" w:hAnsi="Arial Narrow"/>
                <w:i/>
                <w:color w:val="333333"/>
                <w:sz w:val="18"/>
                <w:szCs w:val="18"/>
                <w:lang w:eastAsia="en-AU"/>
              </w:rPr>
            </w:pPr>
            <w:r w:rsidRPr="007E5071">
              <w:rPr>
                <w:rFonts w:ascii="Arial Narrow" w:hAnsi="Arial Narrow"/>
                <w:i/>
                <w:color w:val="333333"/>
                <w:sz w:val="18"/>
                <w:szCs w:val="18"/>
                <w:lang w:eastAsia="en-AU"/>
              </w:rPr>
              <w:t>24451</w:t>
            </w:r>
          </w:p>
        </w:tc>
        <w:tc>
          <w:tcPr>
            <w:tcW w:w="4586"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Prescribing Instructions:</w:t>
            </w:r>
          </w:p>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i/>
                <w:color w:val="333333"/>
                <w:sz w:val="18"/>
                <w:szCs w:val="18"/>
                <w:lang w:eastAsia="en-AU"/>
              </w:rPr>
              <w:t>Patients must only receive a maximum of 240 mg every two weeks or 480 mg every four weeks under a weight based or flat dosing regimen.</w:t>
            </w:r>
          </w:p>
        </w:tc>
      </w:tr>
    </w:tbl>
    <w:p w:rsidR="005345D9" w:rsidRPr="007E5071" w:rsidRDefault="005345D9" w:rsidP="005345D9">
      <w:pPr>
        <w:rPr>
          <w:rFonts w:ascii="Arial Narrow" w:hAnsi="Arial Narrow"/>
          <w:b/>
          <w:sz w:val="18"/>
          <w:szCs w:val="18"/>
        </w:rPr>
      </w:pPr>
    </w:p>
    <w:p w:rsidR="005345D9" w:rsidRPr="007E5071" w:rsidRDefault="005345D9" w:rsidP="005345D9">
      <w:pPr>
        <w:jc w:val="left"/>
        <w:rPr>
          <w:rFonts w:asciiTheme="minorHAnsi" w:hAnsiTheme="minorHAnsi" w:cstheme="minorHAnsi"/>
          <w:i/>
          <w:lang w:eastAsia="en-AU"/>
        </w:rPr>
      </w:pPr>
      <w:r w:rsidRPr="007E5071">
        <w:rPr>
          <w:rFonts w:asciiTheme="minorHAnsi" w:hAnsiTheme="minorHAnsi" w:cstheme="minorHAnsi"/>
          <w:i/>
          <w:lang w:eastAsia="en-AU"/>
        </w:rPr>
        <w:t>Delete the following nivolumab grandfather restriction in BRAF positive patients (not shown) that is now more than 12 months old:</w:t>
      </w:r>
    </w:p>
    <w:p w:rsidR="005345D9" w:rsidRPr="007E5071" w:rsidRDefault="005345D9" w:rsidP="005345D9">
      <w:pPr>
        <w:jc w:val="left"/>
        <w:rPr>
          <w:rFonts w:ascii="Times New Roman" w:hAnsi="Times New Roman"/>
          <w:szCs w:val="24"/>
          <w:lang w:eastAsia="en-AU"/>
        </w:rPr>
      </w:pPr>
    </w:p>
    <w:p w:rsidR="005345D9" w:rsidRPr="007E5071" w:rsidRDefault="005345D9" w:rsidP="005345D9">
      <w:pPr>
        <w:jc w:val="left"/>
        <w:rPr>
          <w:rFonts w:ascii="Arial Narrow" w:hAnsi="Arial Narrow"/>
          <w:b/>
          <w:sz w:val="18"/>
          <w:szCs w:val="18"/>
          <w:lang w:eastAsia="en-AU"/>
        </w:rPr>
      </w:pPr>
      <w:r w:rsidRPr="007E5071">
        <w:rPr>
          <w:rFonts w:ascii="Arial Narrow" w:hAnsi="Arial Narrow"/>
          <w:b/>
          <w:sz w:val="18"/>
          <w:szCs w:val="18"/>
          <w:lang w:eastAsia="en-AU"/>
        </w:rPr>
        <w:t>Nivolumab:</w:t>
      </w:r>
      <w:r w:rsidRPr="007E5071">
        <w:rPr>
          <w:rFonts w:ascii="Arial Narrow" w:hAnsi="Arial Narrow"/>
          <w:b/>
          <w:sz w:val="18"/>
          <w:szCs w:val="18"/>
          <w:lang w:eastAsia="en-AU"/>
        </w:rPr>
        <w:tab/>
        <w:t>Restriction Summary 8220 / ToC: 8220: Authority Required: Streamlined</w:t>
      </w:r>
    </w:p>
    <w:p w:rsidR="005345D9" w:rsidRPr="007E5071" w:rsidRDefault="005345D9" w:rsidP="005345D9">
      <w:pPr>
        <w:ind w:left="720" w:firstLine="720"/>
        <w:jc w:val="left"/>
        <w:rPr>
          <w:rFonts w:ascii="Arial Narrow" w:hAnsi="Arial Narrow" w:cstheme="minorHAnsi"/>
          <w:sz w:val="18"/>
          <w:szCs w:val="18"/>
          <w:lang w:eastAsia="en-AU"/>
        </w:rPr>
      </w:pPr>
      <w:r w:rsidRPr="007E5071">
        <w:rPr>
          <w:rFonts w:ascii="Arial Narrow" w:hAnsi="Arial Narrow" w:cstheme="minorHAnsi"/>
          <w:sz w:val="18"/>
          <w:szCs w:val="18"/>
          <w:lang w:eastAsia="en-AU"/>
        </w:rPr>
        <w:t>PBS item codes: 11543M (Public) / 11532Y (Private)</w:t>
      </w:r>
    </w:p>
    <w:p w:rsidR="005345D9" w:rsidRPr="007E5071" w:rsidRDefault="005345D9" w:rsidP="005345D9">
      <w:pPr>
        <w:rPr>
          <w:rFonts w:ascii="Arial Narrow" w:hAnsi="Arial Narrow"/>
          <w:b/>
          <w:sz w:val="18"/>
          <w:szCs w:val="18"/>
        </w:rPr>
      </w:pPr>
    </w:p>
    <w:p w:rsidR="005345D9" w:rsidRPr="007E5071" w:rsidRDefault="005345D9" w:rsidP="005345D9">
      <w:pPr>
        <w:rPr>
          <w:rFonts w:ascii="Arial Narrow" w:hAnsi="Arial Narrow"/>
          <w:b/>
          <w:sz w:val="18"/>
          <w:szCs w:val="18"/>
        </w:rPr>
      </w:pPr>
    </w:p>
    <w:p w:rsidR="005345D9" w:rsidRPr="007E5071" w:rsidRDefault="005345D9" w:rsidP="005345D9">
      <w:pPr>
        <w:rPr>
          <w:rFonts w:asciiTheme="minorHAnsi" w:hAnsiTheme="minorHAnsi" w:cstheme="minorHAnsi"/>
          <w:b/>
          <w:u w:val="single"/>
        </w:rPr>
      </w:pPr>
      <w:r w:rsidRPr="007E5071">
        <w:rPr>
          <w:rFonts w:asciiTheme="minorHAnsi" w:hAnsiTheme="minorHAnsi" w:cstheme="minorHAnsi"/>
          <w:b/>
          <w:u w:val="single"/>
        </w:rPr>
        <w:t xml:space="preserve">Induction treatment (IPILIMUMAB, in combination with nivolumab) </w:t>
      </w:r>
    </w:p>
    <w:p w:rsidR="005345D9" w:rsidRPr="007E5071" w:rsidRDefault="005345D9" w:rsidP="005345D9">
      <w:pPr>
        <w:rPr>
          <w:rFonts w:asciiTheme="minorHAnsi" w:hAnsiTheme="minorHAnsi" w:cstheme="minorHAnsi"/>
          <w:i/>
          <w:szCs w:val="24"/>
        </w:rPr>
      </w:pPr>
    </w:p>
    <w:p w:rsidR="005345D9" w:rsidRPr="007E5071" w:rsidRDefault="005345D9" w:rsidP="005345D9">
      <w:pPr>
        <w:rPr>
          <w:rFonts w:asciiTheme="minorHAnsi" w:hAnsiTheme="minorHAnsi" w:cstheme="minorHAnsi"/>
          <w:i/>
        </w:rPr>
      </w:pPr>
      <w:r w:rsidRPr="007E5071">
        <w:rPr>
          <w:rFonts w:asciiTheme="minorHAnsi" w:hAnsiTheme="minorHAnsi" w:cstheme="minorHAnsi"/>
          <w:i/>
        </w:rPr>
        <w:t>Amend as follows:</w:t>
      </w:r>
    </w:p>
    <w:p w:rsidR="005345D9" w:rsidRPr="007E5071" w:rsidRDefault="005345D9" w:rsidP="005345D9">
      <w:pPr>
        <w:rPr>
          <w:rFonts w:ascii="Arial Narrow" w:hAnsi="Arial Narrow"/>
          <w:b/>
          <w:sz w:val="18"/>
          <w:szCs w:val="18"/>
        </w:rPr>
      </w:pPr>
    </w:p>
    <w:p w:rsidR="005345D9" w:rsidRPr="007E5071" w:rsidRDefault="005345D9" w:rsidP="005345D9">
      <w:pPr>
        <w:rPr>
          <w:rFonts w:ascii="Arial Narrow" w:hAnsi="Arial Narrow"/>
          <w:b/>
          <w:sz w:val="18"/>
          <w:szCs w:val="18"/>
        </w:rPr>
      </w:pPr>
      <w:r w:rsidRPr="007E5071">
        <w:rPr>
          <w:rFonts w:ascii="Arial Narrow" w:hAnsi="Arial Narrow"/>
          <w:b/>
          <w:sz w:val="18"/>
          <w:szCs w:val="18"/>
        </w:rPr>
        <w:t xml:space="preserve">Ipilimumab:  </w:t>
      </w:r>
      <w:r w:rsidRPr="007E5071">
        <w:rPr>
          <w:rFonts w:ascii="Arial Narrow" w:hAnsi="Arial Narrow"/>
          <w:b/>
          <w:sz w:val="18"/>
          <w:szCs w:val="18"/>
        </w:rPr>
        <w:tab/>
        <w:t>Restriction Summary 8206 / ToC: 8206: Authority Required: Streamlined (8206)</w:t>
      </w:r>
    </w:p>
    <w:p w:rsidR="005345D9" w:rsidRPr="007E5071" w:rsidRDefault="005345D9" w:rsidP="005345D9">
      <w:pPr>
        <w:ind w:left="720" w:firstLine="720"/>
        <w:rPr>
          <w:rFonts w:ascii="Arial Narrow" w:hAnsi="Arial Narrow"/>
          <w:sz w:val="18"/>
          <w:szCs w:val="18"/>
        </w:rPr>
      </w:pPr>
      <w:r w:rsidRPr="007E5071">
        <w:rPr>
          <w:rFonts w:ascii="Arial Narrow" w:hAnsi="Arial Narrow"/>
          <w:sz w:val="18"/>
          <w:szCs w:val="18"/>
        </w:rPr>
        <w:t>PBS item codes:  2638W (Private) and 2641B (Public)</w:t>
      </w:r>
    </w:p>
    <w:p w:rsidR="005345D9" w:rsidRPr="007E5071" w:rsidRDefault="005345D9" w:rsidP="005345D9">
      <w:pPr>
        <w:rPr>
          <w:rFonts w:ascii="Arial Narrow" w:hAnsi="Arial Narrow"/>
          <w:b/>
          <w:sz w:val="18"/>
          <w:szCs w:val="18"/>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
        <w:gridCol w:w="8316"/>
      </w:tblGrid>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7607</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No increase in the maximum number of repeats may be authorised.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7608</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Special Pricing Arrangements apply.</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8676</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Indication:</w:t>
            </w:r>
            <w:r w:rsidRPr="007E5071">
              <w:rPr>
                <w:rFonts w:ascii="Arial Narrow" w:hAnsi="Arial Narrow"/>
                <w:color w:val="333333"/>
                <w:sz w:val="18"/>
                <w:szCs w:val="18"/>
                <w:lang w:eastAsia="en-AU"/>
              </w:rPr>
              <w:t xml:space="preserve"> Unresectable Stage III or Stage IV malignant melanoma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Treatment Phase:</w:t>
            </w:r>
            <w:r w:rsidRPr="007E5071">
              <w:rPr>
                <w:rFonts w:ascii="Arial Narrow" w:hAnsi="Arial Narrow"/>
                <w:color w:val="333333"/>
                <w:sz w:val="18"/>
                <w:szCs w:val="18"/>
                <w:lang w:eastAsia="en-AU"/>
              </w:rPr>
              <w:t xml:space="preserve"> Induction treatment</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delete</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16650</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16649</w:t>
            </w:r>
          </w:p>
        </w:tc>
        <w:tc>
          <w:tcPr>
            <w:tcW w:w="4586"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negative for a BRAF V600 mutation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18686</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edit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18685</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 xml:space="preserve">Patient must not have received prior treatment with ipilimumab or a PD-1 (programmed cell death-1) inhibitor for </w:t>
            </w:r>
            <w:r w:rsidRPr="007E5071">
              <w:rPr>
                <w:rFonts w:ascii="Arial Narrow" w:hAnsi="Arial Narrow"/>
                <w:strike/>
                <w:color w:val="333333"/>
                <w:sz w:val="18"/>
                <w:szCs w:val="18"/>
                <w:lang w:eastAsia="en-AU"/>
              </w:rPr>
              <w:t>this condition</w:t>
            </w:r>
            <w:r w:rsidRPr="007E5071">
              <w:rPr>
                <w:rFonts w:ascii="Arial Narrow" w:eastAsia="Calibri" w:hAnsi="Arial Narrow"/>
                <w:i/>
                <w:szCs w:val="24"/>
                <w:lang w:eastAsia="en-AU"/>
              </w:rPr>
              <w:t xml:space="preserve"> </w:t>
            </w:r>
            <w:r w:rsidRPr="007E5071">
              <w:rPr>
                <w:rFonts w:ascii="Arial Narrow" w:hAnsi="Arial Narrow"/>
                <w:i/>
                <w:color w:val="333333"/>
                <w:sz w:val="18"/>
                <w:szCs w:val="18"/>
                <w:lang w:eastAsia="en-AU"/>
              </w:rPr>
              <w:t>the treatment of unresectable Stage III or Stage IV malignant melanoma</w:t>
            </w:r>
          </w:p>
        </w:tc>
      </w:tr>
      <w:tr w:rsidR="005345D9" w:rsidRPr="007E5071" w:rsidTr="00F55C5B">
        <w:tc>
          <w:tcPr>
            <w:tcW w:w="414" w:type="pct"/>
            <w:vAlign w:val="center"/>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tcPr>
          <w:p w:rsidR="005345D9" w:rsidRPr="007E5071" w:rsidRDefault="005345D9" w:rsidP="00F55C5B">
            <w:pPr>
              <w:jc w:val="left"/>
              <w:rPr>
                <w:rFonts w:ascii="Arial Narrow" w:hAnsi="Arial Narrow"/>
                <w:b/>
                <w:i/>
                <w:color w:val="333333"/>
                <w:sz w:val="18"/>
                <w:szCs w:val="18"/>
                <w:lang w:eastAsia="en-AU"/>
              </w:rPr>
            </w:pPr>
            <w:r w:rsidRPr="007E5071">
              <w:rPr>
                <w:rFonts w:ascii="Arial Narrow" w:hAnsi="Arial Narrow"/>
                <w:b/>
                <w:i/>
                <w:color w:val="333333"/>
                <w:sz w:val="18"/>
                <w:szCs w:val="18"/>
                <w:lang w:eastAsia="en-AU"/>
              </w:rPr>
              <w:t>AND</w:t>
            </w:r>
          </w:p>
        </w:tc>
      </w:tr>
      <w:tr w:rsidR="005345D9" w:rsidRPr="007E5071" w:rsidTr="00F55C5B">
        <w:trPr>
          <w:trHeight w:val="260"/>
        </w:trPr>
        <w:tc>
          <w:tcPr>
            <w:tcW w:w="414" w:type="pct"/>
            <w:vMerge w:val="restart"/>
            <w:vAlign w:val="center"/>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Insert</w:t>
            </w:r>
          </w:p>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333333"/>
                <w:sz w:val="18"/>
                <w:szCs w:val="18"/>
                <w:lang w:eastAsia="en-AU"/>
              </w:rPr>
              <w:t>New</w:t>
            </w:r>
          </w:p>
        </w:tc>
        <w:tc>
          <w:tcPr>
            <w:tcW w:w="4586"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b/>
                <w:bCs/>
                <w:i/>
                <w:color w:val="333333"/>
                <w:sz w:val="18"/>
                <w:szCs w:val="18"/>
                <w:lang w:eastAsia="en-AU"/>
              </w:rPr>
              <w:t>Clinical criteria:</w:t>
            </w:r>
          </w:p>
        </w:tc>
      </w:tr>
      <w:tr w:rsidR="005345D9" w:rsidRPr="007E5071" w:rsidTr="00F55C5B">
        <w:tc>
          <w:tcPr>
            <w:tcW w:w="414" w:type="pct"/>
            <w:vMerge/>
            <w:vAlign w:val="center"/>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tcPr>
          <w:p w:rsidR="005345D9" w:rsidRPr="007E5071" w:rsidRDefault="005345D9" w:rsidP="00F55C5B">
            <w:pPr>
              <w:jc w:val="left"/>
              <w:rPr>
                <w:rFonts w:ascii="Arial Narrow" w:hAnsi="Arial Narrow"/>
                <w:i/>
                <w:color w:val="333333"/>
                <w:sz w:val="18"/>
                <w:szCs w:val="18"/>
                <w:lang w:eastAsia="en-AU"/>
              </w:rPr>
            </w:pPr>
            <w:r w:rsidRPr="007E5071">
              <w:rPr>
                <w:rFonts w:ascii="Arial Narrow" w:hAnsi="Arial Narrow"/>
                <w:i/>
                <w:color w:val="333333"/>
                <w:sz w:val="18"/>
                <w:szCs w:val="18"/>
                <w:lang w:eastAsia="en-AU"/>
              </w:rPr>
              <w:t xml:space="preserve">Patient must not have experienced disease progression whilst on adjuvant PD-1 inhibitor treatment or disease recurrence within 6 months of completion of adjuvant PD-1 inhibitor treatment for resected Stage IIIB, IIIC, IIID or IV melanoma </w:t>
            </w:r>
            <w:r w:rsidRPr="00677000">
              <w:rPr>
                <w:rFonts w:ascii="Arial Narrow" w:hAnsi="Arial Narrow"/>
                <w:i/>
                <w:strike/>
                <w:color w:val="333333"/>
                <w:sz w:val="18"/>
                <w:szCs w:val="18"/>
                <w:lang w:eastAsia="en-AU"/>
              </w:rPr>
              <w:t>if treated for resected disease</w:t>
            </w:r>
            <w:r w:rsidRPr="007E5071">
              <w:rPr>
                <w:rFonts w:ascii="Arial Narrow" w:hAnsi="Arial Narrow"/>
                <w:i/>
                <w:color w:val="333333"/>
                <w:sz w:val="18"/>
                <w:szCs w:val="18"/>
                <w:lang w:eastAsia="en-AU"/>
              </w:rPr>
              <w:t xml:space="preserve"> </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23067</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23066</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Patient must have an Eastern Cooperative Oncology Group (ECOG) performance status of 0 or 1</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23069</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23068</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condition must not be ocular or uveal melanoma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23102</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23101</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treatment must be in combination with PBS-subsidised treatment with nivolumab as induction therapy for this condition</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23103</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Caution:</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Combination treatment with ipilimumab and nivolumab is associated with an increase incidence and severity of immune-related adverse reactions compared with monotherapy with these agents. Monitoring at least prior to each dose is recommended.</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23070</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Induction treatment with nivolumab must not exceed a total of 4 doses at a maximum dose of 1 mg per kg every 3 weeks.</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23071</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Induction treatment with ipilimumab must not exceed a total of 4 doses at a maximum dose of 3 mg per kg every 3 weeks.</w:t>
            </w:r>
          </w:p>
        </w:tc>
      </w:tr>
      <w:tr w:rsidR="005345D9" w:rsidRPr="007E5071" w:rsidTr="00F55C5B">
        <w:tc>
          <w:tcPr>
            <w:tcW w:w="414"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8682</w:t>
            </w:r>
          </w:p>
        </w:tc>
        <w:tc>
          <w:tcPr>
            <w:tcW w:w="4586"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Prescribing Instructions:</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patient's body weight must be documented in the patient's medical records at the time treatment is initiated.</w:t>
            </w:r>
          </w:p>
        </w:tc>
      </w:tr>
    </w:tbl>
    <w:p w:rsidR="005345D9" w:rsidRPr="007E5071" w:rsidRDefault="005345D9" w:rsidP="005345D9">
      <w:pPr>
        <w:rPr>
          <w:rFonts w:ascii="Arial Narrow" w:hAnsi="Arial Narrow"/>
          <w:b/>
          <w:sz w:val="18"/>
          <w:szCs w:val="18"/>
        </w:rPr>
      </w:pPr>
    </w:p>
    <w:p w:rsidR="005345D9" w:rsidRPr="007E5071" w:rsidRDefault="005345D9" w:rsidP="005345D9">
      <w:pPr>
        <w:rPr>
          <w:rFonts w:asciiTheme="minorHAnsi" w:hAnsiTheme="minorHAnsi" w:cstheme="minorHAnsi"/>
          <w:i/>
        </w:rPr>
      </w:pPr>
      <w:r w:rsidRPr="007E5071">
        <w:rPr>
          <w:rFonts w:asciiTheme="minorHAnsi" w:hAnsiTheme="minorHAnsi" w:cstheme="minorHAnsi"/>
          <w:i/>
        </w:rPr>
        <w:t>Delete restriction:</w:t>
      </w:r>
    </w:p>
    <w:p w:rsidR="005345D9" w:rsidRPr="007E5071" w:rsidRDefault="005345D9" w:rsidP="005345D9">
      <w:pPr>
        <w:rPr>
          <w:rFonts w:asciiTheme="minorHAnsi" w:hAnsiTheme="minorHAnsi" w:cstheme="minorHAnsi"/>
          <w:b/>
        </w:rPr>
      </w:pPr>
    </w:p>
    <w:p w:rsidR="005345D9" w:rsidRPr="007E5071" w:rsidRDefault="005345D9" w:rsidP="005345D9">
      <w:pPr>
        <w:rPr>
          <w:rFonts w:ascii="Arial Narrow" w:hAnsi="Arial Narrow"/>
          <w:b/>
          <w:sz w:val="18"/>
          <w:szCs w:val="18"/>
        </w:rPr>
      </w:pPr>
      <w:r w:rsidRPr="007E5071">
        <w:rPr>
          <w:rFonts w:ascii="Arial Narrow" w:hAnsi="Arial Narrow"/>
          <w:b/>
          <w:sz w:val="18"/>
          <w:szCs w:val="18"/>
        </w:rPr>
        <w:t xml:space="preserve">Ipilimumab:  </w:t>
      </w:r>
      <w:r w:rsidRPr="007E5071">
        <w:rPr>
          <w:rFonts w:ascii="Arial Narrow" w:hAnsi="Arial Narrow"/>
          <w:b/>
          <w:sz w:val="18"/>
          <w:szCs w:val="18"/>
        </w:rPr>
        <w:tab/>
        <w:t>Restriction Summary 9839 / ToC: 9840: Authority Required: Streamlined (9840)</w:t>
      </w:r>
    </w:p>
    <w:p w:rsidR="005345D9" w:rsidRPr="007E5071" w:rsidRDefault="005345D9" w:rsidP="005345D9">
      <w:pPr>
        <w:ind w:left="720" w:firstLine="720"/>
        <w:rPr>
          <w:rFonts w:ascii="Arial Narrow" w:hAnsi="Arial Narrow"/>
          <w:sz w:val="18"/>
          <w:szCs w:val="18"/>
        </w:rPr>
      </w:pPr>
      <w:r w:rsidRPr="007E5071">
        <w:rPr>
          <w:rFonts w:ascii="Arial Narrow" w:hAnsi="Arial Narrow"/>
          <w:sz w:val="18"/>
          <w:szCs w:val="18"/>
        </w:rPr>
        <w:t>PBS item codes: 2638W (Private) &amp; 2641B (Public)</w:t>
      </w:r>
    </w:p>
    <w:p w:rsidR="005345D9" w:rsidRPr="007E5071" w:rsidRDefault="005345D9" w:rsidP="005345D9">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267"/>
      </w:tblGrid>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[7607]</w:t>
            </w:r>
          </w:p>
        </w:tc>
        <w:tc>
          <w:tcPr>
            <w:tcW w:w="458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r w:rsidRPr="007E5071">
              <w:rPr>
                <w:rFonts w:ascii="Arial Narrow" w:hAnsi="Arial Narrow"/>
                <w:strike/>
                <w:color w:val="333333"/>
                <w:sz w:val="18"/>
                <w:szCs w:val="18"/>
                <w:lang w:eastAsia="en-AU"/>
              </w:rPr>
              <w:t xml:space="preserve"> No increase in the maximum number of repeats may be authorised.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[7608]</w:t>
            </w:r>
          </w:p>
        </w:tc>
        <w:tc>
          <w:tcPr>
            <w:tcW w:w="4584" w:type="pct"/>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r w:rsidRPr="007E5071">
              <w:rPr>
                <w:rFonts w:ascii="Arial Narrow" w:hAnsi="Arial Narrow"/>
                <w:strike/>
                <w:color w:val="333333"/>
                <w:sz w:val="18"/>
                <w:szCs w:val="18"/>
                <w:lang w:eastAsia="en-AU"/>
              </w:rPr>
              <w:t xml:space="preserve"> Special Pricing Arrangements apply.</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[8676]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Indication:</w:t>
            </w:r>
            <w:r w:rsidRPr="007E5071">
              <w:rPr>
                <w:rFonts w:ascii="Arial Narrow" w:hAnsi="Arial Narrow"/>
                <w:strike/>
                <w:color w:val="333333"/>
                <w:sz w:val="18"/>
                <w:szCs w:val="18"/>
                <w:lang w:eastAsia="en-AU"/>
              </w:rPr>
              <w:t xml:space="preserve">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Treatment Phase:</w:t>
            </w:r>
            <w:r w:rsidRPr="007E5071">
              <w:rPr>
                <w:rFonts w:ascii="Arial Narrow" w:hAnsi="Arial Narrow"/>
                <w:strike/>
                <w:color w:val="333333"/>
                <w:sz w:val="18"/>
                <w:szCs w:val="18"/>
                <w:lang w:eastAsia="en-AU"/>
              </w:rPr>
              <w:t xml:space="preserve"> Induction treatment</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[9245]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[9244]</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be positive for a BRAF V600 mutation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[24933]</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progressed following treatment with a BRAF inhibitor (with or without a MEK inhibitor) in the unresectable or metastatic setting unless contraindicated or not tolerated according to the TGA approved Product Information; or</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[24934]</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experienced disease recurrence whilst receiving a BRAF inhibitor with MEK inhibitor as an adjuvant treatment for resected Stage IIIB, IIIC or IIID melanoma; or</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[24935]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experienced disease recurrence within 6 months of completion of adjuvant BRAF inhibitor with MEK inhibitor treatment</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[24875]</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not have received prior treatment with ipilimumab or a PD-1 (programmed cell death-1) inhibitor for the treatment of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[23067]</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[23066]</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Patient must have an Eastern Cooperative Oncology Group (ECOG) performance status of 0 or 1</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[23069]</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[23068]</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condition must not be ocular or uveal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[23102]</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[23101]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treatment must be in combination with PBS-subsidised treatment with nivolumab as induction therapy for this condition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[23103]</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Caution:</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Combination treatment with ipilimumab and nivolumab is associated with an increase incidence and severity of immune-related adverse reactions compared with monotherapy with these agents. Monitoring at least prior to each dose is recommended.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[23070]</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Induction treatment with nivolumab must not exceed a total of 4 doses at a maximum dose of 1 mg per kg every 3 weeks.</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[23071]</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Induction treatment with ipilimumab must not exceed a total of 4 doses at a maximum dose of 3 mg per kg every 3 weeks.</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[8682]</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Prescribing Instructions:</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The patient's body weight must be documented in the patient's medical records at the time treatment is initiated.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[14458]</w:t>
            </w:r>
          </w:p>
        </w:tc>
        <w:tc>
          <w:tcPr>
            <w:tcW w:w="0" w:type="auto"/>
            <w:vAlign w:val="center"/>
            <w:hideMark/>
          </w:tcPr>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b/>
                <w:bCs/>
                <w:strike/>
                <w:color w:val="333333"/>
                <w:sz w:val="18"/>
                <w:szCs w:val="18"/>
                <w:lang w:eastAsia="en-AU"/>
              </w:rPr>
              <w:t>Administrative Advice:</w:t>
            </w:r>
          </w:p>
          <w:p w:rsidR="005345D9" w:rsidRPr="007E5071" w:rsidRDefault="005345D9" w:rsidP="00F55C5B">
            <w:pPr>
              <w:jc w:val="left"/>
              <w:rPr>
                <w:rFonts w:ascii="Arial Narrow" w:hAnsi="Arial Narrow"/>
                <w:strike/>
                <w:color w:val="333333"/>
                <w:sz w:val="18"/>
                <w:szCs w:val="18"/>
                <w:lang w:eastAsia="en-AU"/>
              </w:rPr>
            </w:pPr>
            <w:r w:rsidRPr="007E5071">
              <w:rPr>
                <w:rFonts w:ascii="Arial Narrow" w:hAnsi="Arial Narrow"/>
                <w:strike/>
                <w:color w:val="333333"/>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5345D9" w:rsidRPr="007E5071" w:rsidRDefault="005345D9" w:rsidP="005345D9">
      <w:pPr>
        <w:rPr>
          <w:rFonts w:ascii="Arial Narrow" w:hAnsi="Arial Narrow"/>
          <w:b/>
          <w:sz w:val="18"/>
          <w:szCs w:val="18"/>
        </w:rPr>
      </w:pPr>
    </w:p>
    <w:p w:rsidR="005345D9" w:rsidRPr="007E5071" w:rsidRDefault="005345D9" w:rsidP="005345D9">
      <w:pPr>
        <w:jc w:val="left"/>
        <w:rPr>
          <w:rFonts w:asciiTheme="minorHAnsi" w:hAnsiTheme="minorHAnsi" w:cstheme="minorHAnsi"/>
          <w:i/>
          <w:lang w:eastAsia="en-AU"/>
        </w:rPr>
      </w:pPr>
      <w:r w:rsidRPr="007E5071">
        <w:rPr>
          <w:rFonts w:asciiTheme="minorHAnsi" w:hAnsiTheme="minorHAnsi" w:cstheme="minorHAnsi"/>
          <w:i/>
          <w:lang w:eastAsia="en-AU"/>
        </w:rPr>
        <w:t>Delete the following ipilimumab grandfather restrictions (not shown) that will be more than 12 months old:</w:t>
      </w:r>
    </w:p>
    <w:p w:rsidR="005345D9" w:rsidRPr="007E5071" w:rsidRDefault="005345D9" w:rsidP="005345D9">
      <w:pPr>
        <w:jc w:val="left"/>
        <w:rPr>
          <w:rFonts w:ascii="Times New Roman" w:hAnsi="Times New Roman"/>
          <w:szCs w:val="24"/>
          <w:lang w:eastAsia="en-AU"/>
        </w:rPr>
      </w:pPr>
    </w:p>
    <w:p w:rsidR="005345D9" w:rsidRPr="007E5071" w:rsidRDefault="005345D9" w:rsidP="005345D9">
      <w:pPr>
        <w:jc w:val="left"/>
        <w:rPr>
          <w:rFonts w:ascii="Arial Narrow" w:hAnsi="Arial Narrow" w:cstheme="minorHAnsi"/>
          <w:b/>
          <w:sz w:val="18"/>
          <w:szCs w:val="18"/>
          <w:lang w:eastAsia="en-AU"/>
        </w:rPr>
      </w:pPr>
      <w:r w:rsidRPr="007E5071">
        <w:rPr>
          <w:rFonts w:ascii="Arial Narrow" w:hAnsi="Arial Narrow" w:cstheme="minorHAnsi"/>
          <w:b/>
          <w:sz w:val="18"/>
          <w:szCs w:val="18"/>
          <w:lang w:eastAsia="en-AU"/>
        </w:rPr>
        <w:t>Ipilimumab:</w:t>
      </w:r>
      <w:r w:rsidRPr="007E5071">
        <w:rPr>
          <w:rFonts w:ascii="Arial Narrow" w:hAnsi="Arial Narrow" w:cstheme="minorHAnsi"/>
          <w:b/>
          <w:sz w:val="18"/>
          <w:szCs w:val="18"/>
          <w:lang w:eastAsia="en-AU"/>
        </w:rPr>
        <w:tab/>
        <w:t xml:space="preserve">Restriction Summary 8178 / ToC: 8178: Authority Required: Streamlined </w:t>
      </w:r>
      <w:r w:rsidRPr="007E5071">
        <w:rPr>
          <w:rFonts w:ascii="Arial Narrow" w:hAnsi="Arial Narrow" w:cstheme="minorHAnsi"/>
          <w:sz w:val="18"/>
          <w:szCs w:val="18"/>
          <w:lang w:eastAsia="en-AU"/>
        </w:rPr>
        <w:t>(BRAF negative patients)</w:t>
      </w:r>
    </w:p>
    <w:p w:rsidR="005345D9" w:rsidRPr="007E5071" w:rsidRDefault="005345D9" w:rsidP="005345D9">
      <w:pPr>
        <w:ind w:left="720" w:firstLine="720"/>
        <w:jc w:val="left"/>
        <w:rPr>
          <w:rFonts w:ascii="Arial Narrow" w:hAnsi="Arial Narrow" w:cstheme="minorHAnsi"/>
          <w:b/>
          <w:sz w:val="18"/>
          <w:szCs w:val="18"/>
          <w:lang w:eastAsia="en-AU"/>
        </w:rPr>
      </w:pPr>
      <w:r w:rsidRPr="007E5071">
        <w:rPr>
          <w:rFonts w:ascii="Arial Narrow" w:hAnsi="Arial Narrow" w:cstheme="minorHAnsi"/>
          <w:b/>
          <w:sz w:val="18"/>
          <w:szCs w:val="18"/>
          <w:lang w:eastAsia="en-AU"/>
        </w:rPr>
        <w:t xml:space="preserve">Restriction Summary 8180 / ToC: 8180: Authority Required: Streamlined </w:t>
      </w:r>
      <w:r w:rsidRPr="007E5071">
        <w:rPr>
          <w:rFonts w:ascii="Arial Narrow" w:hAnsi="Arial Narrow" w:cstheme="minorHAnsi"/>
          <w:sz w:val="18"/>
          <w:szCs w:val="18"/>
          <w:lang w:eastAsia="en-AU"/>
        </w:rPr>
        <w:t>(BRAF positive patients)</w:t>
      </w:r>
    </w:p>
    <w:p w:rsidR="005345D9" w:rsidRPr="007E5071" w:rsidRDefault="005345D9" w:rsidP="005345D9">
      <w:pPr>
        <w:ind w:left="720" w:firstLine="720"/>
        <w:jc w:val="left"/>
        <w:rPr>
          <w:rFonts w:ascii="Arial Narrow" w:hAnsi="Arial Narrow" w:cstheme="minorHAnsi"/>
          <w:sz w:val="18"/>
          <w:szCs w:val="18"/>
          <w:lang w:eastAsia="en-AU"/>
        </w:rPr>
      </w:pPr>
      <w:r w:rsidRPr="007E5071">
        <w:rPr>
          <w:rFonts w:ascii="Arial Narrow" w:hAnsi="Arial Narrow" w:cstheme="minorHAnsi"/>
          <w:sz w:val="18"/>
          <w:szCs w:val="18"/>
          <w:lang w:eastAsia="en-AU"/>
        </w:rPr>
        <w:t>PBS item codes 2641B (Public) &amp; 2638W (Private)</w:t>
      </w:r>
    </w:p>
    <w:p w:rsidR="005345D9" w:rsidRPr="007E5071" w:rsidRDefault="005345D9" w:rsidP="005345D9">
      <w:pPr>
        <w:ind w:left="720" w:firstLine="720"/>
        <w:jc w:val="left"/>
        <w:rPr>
          <w:rFonts w:asciiTheme="minorHAnsi" w:hAnsiTheme="minorHAnsi" w:cstheme="minorHAnsi"/>
          <w:szCs w:val="24"/>
          <w:lang w:eastAsia="en-AU"/>
        </w:rPr>
      </w:pPr>
    </w:p>
    <w:p w:rsidR="005345D9" w:rsidRPr="007E5071" w:rsidRDefault="005345D9" w:rsidP="005345D9">
      <w:pPr>
        <w:spacing w:after="160" w:line="259" w:lineRule="auto"/>
        <w:jc w:val="left"/>
        <w:rPr>
          <w:rFonts w:asciiTheme="minorHAnsi" w:hAnsiTheme="minorHAnsi" w:cstheme="minorHAnsi"/>
          <w:b/>
          <w:i/>
          <w:sz w:val="16"/>
          <w:szCs w:val="16"/>
        </w:rPr>
      </w:pPr>
      <w:r w:rsidRPr="007E5071">
        <w:rPr>
          <w:rFonts w:asciiTheme="minorHAnsi" w:hAnsiTheme="minorHAnsi" w:cstheme="minorHAnsi"/>
          <w:i/>
        </w:rPr>
        <w:t>Flow-on changes to BRAF inhibitors to allow for first or second-line use, but without cycling through different BRAF inhibitors, in unresectable Stage III or Stage IV disease, are shown as follows:</w:t>
      </w:r>
    </w:p>
    <w:p w:rsidR="005345D9" w:rsidRPr="007E5071" w:rsidRDefault="005345D9" w:rsidP="005345D9">
      <w:pPr>
        <w:rPr>
          <w:rFonts w:ascii="Arial Narrow" w:hAnsi="Arial Narrow"/>
          <w:b/>
          <w:sz w:val="18"/>
          <w:szCs w:val="18"/>
        </w:rPr>
      </w:pPr>
      <w:r w:rsidRPr="007E5071">
        <w:rPr>
          <w:rFonts w:ascii="Arial Narrow" w:hAnsi="Arial Narrow"/>
          <w:b/>
          <w:sz w:val="18"/>
          <w:szCs w:val="18"/>
        </w:rPr>
        <w:t>Restriction summary 9833 / ToC: 9842: Authority Required: Streamlined</w:t>
      </w:r>
    </w:p>
    <w:p w:rsidR="005345D9" w:rsidRPr="007E5071" w:rsidRDefault="005345D9" w:rsidP="005345D9">
      <w:pPr>
        <w:rPr>
          <w:rFonts w:ascii="Arial Narrow" w:hAnsi="Arial Narrow"/>
          <w:b/>
          <w:i/>
          <w:sz w:val="20"/>
        </w:rPr>
      </w:pPr>
    </w:p>
    <w:p w:rsidR="005345D9" w:rsidRPr="007E5071" w:rsidRDefault="005345D9" w:rsidP="005345D9">
      <w:pPr>
        <w:rPr>
          <w:rFonts w:ascii="Arial Narrow" w:hAnsi="Arial Narrow"/>
          <w:sz w:val="18"/>
          <w:szCs w:val="18"/>
          <w:u w:val="single"/>
        </w:rPr>
      </w:pPr>
      <w:r w:rsidRPr="007E5071">
        <w:rPr>
          <w:rFonts w:ascii="Arial Narrow" w:hAnsi="Arial Narrow"/>
          <w:sz w:val="18"/>
          <w:szCs w:val="18"/>
        </w:rPr>
        <w:t>Dabrafenib: PBS item codes:  2846T (75 mg capsules, 120) &amp; 2963Y (50 mg capsules, 120)</w:t>
      </w:r>
    </w:p>
    <w:p w:rsidR="005345D9" w:rsidRPr="007E5071" w:rsidRDefault="005345D9" w:rsidP="005345D9">
      <w:pPr>
        <w:rPr>
          <w:rFonts w:ascii="Arial Narrow" w:hAnsi="Arial Narrow"/>
          <w:sz w:val="18"/>
          <w:szCs w:val="18"/>
        </w:rPr>
      </w:pPr>
    </w:p>
    <w:p w:rsidR="005345D9" w:rsidRPr="007E5071" w:rsidRDefault="005345D9" w:rsidP="005345D9">
      <w:pPr>
        <w:rPr>
          <w:rFonts w:ascii="Arial Narrow" w:hAnsi="Arial Narrow"/>
          <w:sz w:val="18"/>
          <w:szCs w:val="18"/>
          <w:u w:val="single"/>
        </w:rPr>
      </w:pPr>
      <w:r w:rsidRPr="007E5071">
        <w:rPr>
          <w:rFonts w:ascii="Arial Narrow" w:hAnsi="Arial Narrow"/>
          <w:sz w:val="18"/>
          <w:szCs w:val="18"/>
        </w:rPr>
        <w:t>Vemurafenib: PBS item code:  11076Y (240 mg tablets, 56)</w:t>
      </w:r>
    </w:p>
    <w:p w:rsidR="005345D9" w:rsidRPr="007E5071" w:rsidRDefault="005345D9" w:rsidP="005345D9">
      <w:pPr>
        <w:rPr>
          <w:rFonts w:ascii="Arial Narrow" w:hAnsi="Arial Narrow"/>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0"/>
        <w:gridCol w:w="8267"/>
      </w:tblGrid>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7606</w:t>
            </w:r>
          </w:p>
        </w:tc>
        <w:tc>
          <w:tcPr>
            <w:tcW w:w="458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No increase in the maximum quantity or number of units may be authorised.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7607</w:t>
            </w:r>
          </w:p>
        </w:tc>
        <w:tc>
          <w:tcPr>
            <w:tcW w:w="458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No increase in the maximum number of repeats may be authorised.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7608</w:t>
            </w:r>
          </w:p>
        </w:tc>
        <w:tc>
          <w:tcPr>
            <w:tcW w:w="4584" w:type="pct"/>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r w:rsidRPr="007E5071">
              <w:rPr>
                <w:rFonts w:ascii="Arial Narrow" w:hAnsi="Arial Narrow"/>
                <w:color w:val="333333"/>
                <w:sz w:val="18"/>
                <w:szCs w:val="18"/>
                <w:lang w:eastAsia="en-AU"/>
              </w:rPr>
              <w:t xml:space="preserve"> Special Pricing Arrangements apply.</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8676</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Indication:</w:t>
            </w:r>
            <w:r w:rsidRPr="007E5071">
              <w:rPr>
                <w:rFonts w:ascii="Arial Narrow" w:hAnsi="Arial Narrow"/>
                <w:color w:val="333333"/>
                <w:sz w:val="18"/>
                <w:szCs w:val="18"/>
                <w:lang w:eastAsia="en-AU"/>
              </w:rPr>
              <w:t xml:space="preserve"> Unresectable Stage III or Stage IV malignant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Treatment Phase:</w:t>
            </w:r>
            <w:r w:rsidRPr="007E5071">
              <w:rPr>
                <w:rFonts w:ascii="Arial Narrow" w:hAnsi="Arial Narrow"/>
                <w:color w:val="333333"/>
                <w:sz w:val="18"/>
                <w:szCs w:val="18"/>
                <w:lang w:eastAsia="en-AU"/>
              </w:rPr>
              <w:t xml:space="preserve"> Initial treatment</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9245</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9244</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The condition must be positive for a BRAF V600 mutation</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24863</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edit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24865</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 xml:space="preserve">The condition must not have been treated previously with PBS subsidised </w:t>
            </w:r>
            <w:r w:rsidRPr="007E5071">
              <w:rPr>
                <w:rFonts w:ascii="Arial Narrow" w:hAnsi="Arial Narrow"/>
                <w:i/>
                <w:color w:val="333333"/>
                <w:sz w:val="18"/>
                <w:szCs w:val="18"/>
                <w:lang w:eastAsia="en-AU"/>
              </w:rPr>
              <w:t>BRAF inhibitor</w:t>
            </w:r>
            <w:r w:rsidRPr="007E5071">
              <w:rPr>
                <w:rFonts w:ascii="Arial Narrow" w:hAnsi="Arial Narrow"/>
                <w:color w:val="333333"/>
                <w:sz w:val="18"/>
                <w:szCs w:val="18"/>
                <w:lang w:eastAsia="en-AU"/>
              </w:rPr>
              <w:t xml:space="preserve"> therapy for unresectable Stage III or Stage IV disease; or</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9248</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Patient must have developed intolerance to other BRAF inhibitors of a severity necessitating permanent treatment withdrawal</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24931</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FF00FF"/>
                <w:sz w:val="18"/>
                <w:szCs w:val="18"/>
                <w:lang w:eastAsia="en-AU"/>
              </w:rPr>
            </w:pPr>
            <w:r w:rsidRPr="007E5071">
              <w:rPr>
                <w:rFonts w:ascii="Arial Narrow" w:hAnsi="Arial Narrow"/>
                <w:color w:val="FF00FF"/>
                <w:sz w:val="18"/>
                <w:szCs w:val="18"/>
                <w:lang w:eastAsia="en-AU"/>
              </w:rPr>
              <w:t>edit</w:t>
            </w:r>
          </w:p>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24932</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Patient must not have experienced disease</w:t>
            </w:r>
            <w:r w:rsidRPr="007E5071">
              <w:rPr>
                <w:rFonts w:ascii="Arial Narrow" w:hAnsi="Arial Narrow"/>
                <w:i/>
                <w:color w:val="333333"/>
                <w:sz w:val="18"/>
                <w:szCs w:val="18"/>
                <w:lang w:eastAsia="en-AU"/>
              </w:rPr>
              <w:t xml:space="preserve"> progression whilst on adjuvant BRAF inhibitor treatment or disease</w:t>
            </w:r>
            <w:r w:rsidRPr="007E5071">
              <w:rPr>
                <w:rFonts w:ascii="Arial Narrow" w:hAnsi="Arial Narrow"/>
                <w:color w:val="333333"/>
                <w:sz w:val="18"/>
                <w:szCs w:val="18"/>
                <w:lang w:eastAsia="en-AU"/>
              </w:rPr>
              <w:t xml:space="preserve"> recurrence within 6 months of completion of adjuvant BRAF inhibitor with MEK inhibitor treatment if previously treated </w:t>
            </w:r>
            <w:r w:rsidRPr="007E5071">
              <w:rPr>
                <w:rFonts w:ascii="Arial Narrow" w:hAnsi="Arial Narrow"/>
                <w:strike/>
                <w:color w:val="333333"/>
                <w:sz w:val="18"/>
                <w:szCs w:val="18"/>
                <w:lang w:eastAsia="en-AU"/>
              </w:rPr>
              <w:t>with adjuvant BRAF inhibitor with MEK inhibitor</w:t>
            </w:r>
            <w:r w:rsidRPr="007E5071">
              <w:rPr>
                <w:rFonts w:ascii="Arial Narrow" w:hAnsi="Arial Narrow"/>
                <w:color w:val="333333"/>
                <w:sz w:val="18"/>
                <w:szCs w:val="18"/>
                <w:lang w:eastAsia="en-AU"/>
              </w:rPr>
              <w:t xml:space="preserve"> for resected Stage IIIB, IIIC or IIID melanoma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AND</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7601</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Clinical criteria:</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7600</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Patient must have a WHO performance status of 2 or less</w:t>
            </w:r>
          </w:p>
        </w:tc>
      </w:tr>
      <w:tr w:rsidR="005345D9" w:rsidRPr="007E5071" w:rsidTr="00F55C5B">
        <w:tc>
          <w:tcPr>
            <w:tcW w:w="416" w:type="pct"/>
            <w:vAlign w:val="center"/>
            <w:hideMark/>
          </w:tcPr>
          <w:p w:rsidR="005345D9" w:rsidRPr="007E5071" w:rsidRDefault="005345D9" w:rsidP="00F55C5B">
            <w:pPr>
              <w:jc w:val="center"/>
              <w:rPr>
                <w:rFonts w:ascii="Arial Narrow" w:hAnsi="Arial Narrow"/>
                <w:color w:val="333333"/>
                <w:sz w:val="18"/>
                <w:szCs w:val="18"/>
                <w:lang w:eastAsia="en-AU"/>
              </w:rPr>
            </w:pPr>
            <w:r w:rsidRPr="007E5071">
              <w:rPr>
                <w:rFonts w:ascii="Arial Narrow" w:hAnsi="Arial Narrow"/>
                <w:color w:val="333333"/>
                <w:sz w:val="18"/>
                <w:szCs w:val="18"/>
                <w:lang w:eastAsia="en-AU"/>
              </w:rPr>
              <w:t>9251</w:t>
            </w:r>
          </w:p>
        </w:tc>
        <w:tc>
          <w:tcPr>
            <w:tcW w:w="0" w:type="auto"/>
            <w:vAlign w:val="center"/>
            <w:hideMark/>
          </w:tcPr>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b/>
                <w:bCs/>
                <w:color w:val="333333"/>
                <w:sz w:val="18"/>
                <w:szCs w:val="18"/>
                <w:lang w:eastAsia="en-AU"/>
              </w:rPr>
              <w:t>Administrative Advice:</w:t>
            </w:r>
          </w:p>
          <w:p w:rsidR="005345D9" w:rsidRPr="007E5071" w:rsidRDefault="005345D9" w:rsidP="00F55C5B">
            <w:pPr>
              <w:jc w:val="left"/>
              <w:rPr>
                <w:rFonts w:ascii="Arial Narrow" w:hAnsi="Arial Narrow"/>
                <w:color w:val="333333"/>
                <w:sz w:val="18"/>
                <w:szCs w:val="18"/>
                <w:lang w:eastAsia="en-AU"/>
              </w:rPr>
            </w:pPr>
            <w:r w:rsidRPr="007E5071">
              <w:rPr>
                <w:rFonts w:ascii="Arial Narrow" w:hAnsi="Arial Narrow"/>
                <w:color w:val="333333"/>
                <w:sz w:val="18"/>
                <w:szCs w:val="18"/>
                <w:lang w:eastAsia="en-AU"/>
              </w:rPr>
              <w:t>A patient who has had progressive disease when treated with another BRAF inhibitor is not eligible to receive PBS-subsidised treatment with this drug.</w:t>
            </w:r>
          </w:p>
        </w:tc>
      </w:tr>
    </w:tbl>
    <w:p w:rsidR="005345D9" w:rsidRPr="007E5071" w:rsidRDefault="005345D9" w:rsidP="005345D9"/>
    <w:p w:rsidR="00893FD7" w:rsidRPr="007E5071" w:rsidRDefault="00893FD7" w:rsidP="00893FD7">
      <w:pPr>
        <w:rPr>
          <w:rFonts w:asciiTheme="minorHAnsi" w:hAnsiTheme="minorHAnsi" w:cstheme="minorHAnsi"/>
          <w:b/>
          <w:u w:val="single"/>
        </w:rPr>
      </w:pPr>
      <w:r w:rsidRPr="007E5071">
        <w:rPr>
          <w:rFonts w:asciiTheme="minorHAnsi" w:hAnsiTheme="minorHAnsi" w:cstheme="minorHAnsi"/>
          <w:b/>
          <w:u w:val="single"/>
        </w:rPr>
        <w:t>Pembrolizumab in the unresectable or metastatic setting</w:t>
      </w:r>
    </w:p>
    <w:p w:rsidR="00893FD7" w:rsidRPr="007E5071" w:rsidRDefault="00893FD7" w:rsidP="00893FD7">
      <w:pPr>
        <w:rPr>
          <w:rFonts w:asciiTheme="minorHAnsi" w:hAnsiTheme="minorHAnsi" w:cstheme="minorHAnsi"/>
          <w:b/>
          <w:u w:val="single"/>
        </w:rPr>
      </w:pPr>
    </w:p>
    <w:p w:rsidR="00893FD7" w:rsidRPr="007E5071" w:rsidRDefault="00893FD7" w:rsidP="00893FD7">
      <w:pPr>
        <w:rPr>
          <w:rFonts w:asciiTheme="minorHAnsi" w:hAnsiTheme="minorHAnsi" w:cstheme="minorHAnsi"/>
          <w:i/>
        </w:rPr>
      </w:pPr>
      <w:r w:rsidRPr="007E5071">
        <w:rPr>
          <w:rFonts w:asciiTheme="minorHAnsi" w:hAnsiTheme="minorHAnsi" w:cstheme="minorHAnsi"/>
          <w:i/>
        </w:rPr>
        <w:t>Flow-on changes to pembrolizumab restrictions for unresectable Stage III or Stage IV disease:</w:t>
      </w:r>
    </w:p>
    <w:p w:rsidR="00893FD7" w:rsidRPr="007E5071" w:rsidRDefault="00893FD7" w:rsidP="00893FD7">
      <w:pPr>
        <w:rPr>
          <w:rFonts w:asciiTheme="minorHAnsi" w:hAnsiTheme="minorHAnsi" w:cstheme="minorHAnsi"/>
          <w:u w:val="single"/>
        </w:rPr>
      </w:pPr>
    </w:p>
    <w:tbl>
      <w:tblPr>
        <w:tblW w:w="9067" w:type="dxa"/>
        <w:tblLayout w:type="fixed"/>
        <w:tblLook w:val="0000" w:firstRow="0" w:lastRow="0" w:firstColumn="0" w:lastColumn="0" w:noHBand="0" w:noVBand="0"/>
      </w:tblPr>
      <w:tblGrid>
        <w:gridCol w:w="1696"/>
        <w:gridCol w:w="7371"/>
      </w:tblGrid>
      <w:tr w:rsidR="00893FD7" w:rsidRPr="007E5071" w:rsidTr="00F55C5B">
        <w:trPr>
          <w:cantSplit/>
          <w:trHeight w:val="158"/>
        </w:trPr>
        <w:tc>
          <w:tcPr>
            <w:tcW w:w="90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Pembrolizumab</w:t>
            </w:r>
          </w:p>
        </w:tc>
      </w:tr>
      <w:tr w:rsidR="00893FD7" w:rsidRPr="007E5071" w:rsidTr="00F55C5B">
        <w:trPr>
          <w:cantSplit/>
          <w:trHeight w:val="158"/>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Section 100 Efficient Funding of Chemotherapy</w:t>
            </w:r>
          </w:p>
        </w:tc>
      </w:tr>
      <w:tr w:rsidR="00893FD7" w:rsidRPr="007E5071" w:rsidTr="00F55C5B">
        <w:trPr>
          <w:cantSplit/>
          <w:trHeight w:val="91"/>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fldChar w:fldCharType="begin">
                <w:ffData>
                  <w:name w:val="Check1"/>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Dental </w:t>
            </w:r>
            <w:r w:rsidRPr="007E5071">
              <w:rPr>
                <w:rFonts w:eastAsia="Calibri"/>
              </w:rPr>
              <w:fldChar w:fldCharType="begin">
                <w:ffData>
                  <w:name w:val=""/>
                  <w:enabled/>
                  <w:calcOnExit w:val="0"/>
                  <w:checkBox>
                    <w:sizeAuto/>
                    <w:default w:val="1"/>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Medical Practitioners </w:t>
            </w:r>
            <w:r w:rsidRPr="007E5071">
              <w:rPr>
                <w:rFonts w:eastAsia="Calibri"/>
              </w:rPr>
              <w:fldChar w:fldCharType="begin">
                <w:ffData>
                  <w:name w:val="Check3"/>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Nurse practitioners </w:t>
            </w:r>
            <w:r w:rsidRPr="007E5071">
              <w:rPr>
                <w:rFonts w:eastAsia="Calibri"/>
              </w:rPr>
              <w:fldChar w:fldCharType="begin">
                <w:ffData>
                  <w:name w:val=""/>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Optometrists </w:t>
            </w:r>
            <w:r w:rsidRPr="007E5071">
              <w:rPr>
                <w:rFonts w:eastAsia="Calibri"/>
              </w:rPr>
              <w:fldChar w:fldCharType="begin">
                <w:ffData>
                  <w:name w:val="Check5"/>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Midwives</w:t>
            </w:r>
          </w:p>
        </w:tc>
      </w:tr>
      <w:tr w:rsidR="00893FD7" w:rsidRPr="007E5071" w:rsidTr="00F55C5B">
        <w:trPr>
          <w:cantSplit/>
          <w:trHeight w:val="91"/>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Severity:</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 xml:space="preserve">Unresectable Stage III or Stage IV </w:t>
            </w:r>
          </w:p>
        </w:tc>
      </w:tr>
      <w:tr w:rsidR="00893FD7" w:rsidRPr="007E5071" w:rsidTr="00F55C5B">
        <w:trPr>
          <w:cantSplit/>
          <w:trHeight w:val="14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Malignant melanoma</w:t>
            </w:r>
          </w:p>
        </w:tc>
      </w:tr>
      <w:tr w:rsidR="00893FD7" w:rsidRPr="007E5071" w:rsidTr="00F55C5B">
        <w:trPr>
          <w:cantSplit/>
          <w:trHeight w:val="14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Unresectable Stage III or Stage IV malignant melanoma</w:t>
            </w:r>
          </w:p>
        </w:tc>
      </w:tr>
      <w:tr w:rsidR="00893FD7" w:rsidRPr="007E5071" w:rsidTr="00F55C5B">
        <w:trPr>
          <w:cantSplit/>
          <w:trHeight w:val="14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Treatment phase: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Initial treatment 1</w:t>
            </w:r>
          </w:p>
        </w:tc>
      </w:tr>
      <w:tr w:rsidR="00893FD7" w:rsidRPr="007E5071" w:rsidTr="00F55C5B">
        <w:trPr>
          <w:cantSplit/>
          <w:trHeight w:val="186"/>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fldChar w:fldCharType="begin">
                <w:ffData>
                  <w:name w:val=""/>
                  <w:enabled/>
                  <w:calcOnExit w:val="0"/>
                  <w:checkBox>
                    <w:sizeAuto/>
                    <w:default w:val="1"/>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Streamlined</w:t>
            </w:r>
          </w:p>
        </w:tc>
      </w:tr>
      <w:tr w:rsidR="00893FD7" w:rsidRPr="007E5071" w:rsidTr="00F55C5B">
        <w:trPr>
          <w:cantSplit/>
          <w:trHeight w:val="149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Clinical criteria:</w:t>
            </w:r>
          </w:p>
          <w:p w:rsidR="00893FD7" w:rsidRPr="007E5071" w:rsidRDefault="00893FD7" w:rsidP="00F55C5B">
            <w:pPr>
              <w:pStyle w:val="Tabletext"/>
              <w:rPr>
                <w:rFonts w:eastAsia="Calibri"/>
                <w:b/>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pPr>
            <w:r w:rsidRPr="007E5071">
              <w:t>The condition must be positive for a BRAF V600 mutation,</w:t>
            </w:r>
          </w:p>
          <w:p w:rsidR="00893FD7" w:rsidRPr="007E5071" w:rsidRDefault="00893FD7" w:rsidP="00F55C5B">
            <w:pPr>
              <w:pStyle w:val="Tabletext"/>
            </w:pPr>
            <w:r w:rsidRPr="007E5071">
              <w:t>AND</w:t>
            </w:r>
          </w:p>
          <w:p w:rsidR="00893FD7" w:rsidRPr="007E5071" w:rsidRDefault="00893FD7" w:rsidP="00F55C5B">
            <w:pPr>
              <w:pStyle w:val="Tabletext"/>
            </w:pPr>
            <w:r w:rsidRPr="007E5071">
              <w:t>The condition must have progressed following treatment with a BRAF inhibitor (with or without MEK inhibitor) in the unresectable or metastatic setting unless contraindicated or not tolerated according to the TGA approved Product Information, OR</w:t>
            </w:r>
          </w:p>
          <w:p w:rsidR="00893FD7" w:rsidRPr="007E5071" w:rsidRDefault="00893FD7" w:rsidP="00F55C5B">
            <w:pPr>
              <w:pStyle w:val="Tabletext"/>
            </w:pPr>
            <w:r w:rsidRPr="007E5071">
              <w:t>The patient must have experienced disease recurrence whilst receiving a BRAF inhibitor with a MEK inhibitor as an adjuvant treatment for completely resected Stage IIIB, IIIC or IIID melanoma, OR</w:t>
            </w:r>
          </w:p>
          <w:p w:rsidR="00893FD7" w:rsidRPr="007E5071" w:rsidRDefault="00893FD7" w:rsidP="00F55C5B">
            <w:pPr>
              <w:pStyle w:val="Tabletext"/>
            </w:pPr>
            <w:r w:rsidRPr="007E5071">
              <w:t xml:space="preserve">The patient must have experienced disease recurrence within 6 months of completion of adjuvant BRAF inhibitor with MEK inhibitor treatment, </w:t>
            </w:r>
          </w:p>
          <w:p w:rsidR="00893FD7" w:rsidRPr="007E5071" w:rsidRDefault="00893FD7" w:rsidP="00F55C5B">
            <w:pPr>
              <w:pStyle w:val="Tabletext"/>
            </w:pPr>
            <w:r w:rsidRPr="007E5071">
              <w:t>AND</w:t>
            </w:r>
          </w:p>
          <w:p w:rsidR="00893FD7" w:rsidRPr="007E5071" w:rsidRDefault="00893FD7" w:rsidP="00F55C5B">
            <w:pPr>
              <w:pStyle w:val="Tabletext"/>
            </w:pPr>
            <w:r w:rsidRPr="007E5071">
              <w:t>Patient must not have been treated with an adjuvant programmed cell death-1 (PD-1) inhibitor for resected Stage IIIB, IIIC, IIID or IV melanoma, OR</w:t>
            </w:r>
          </w:p>
          <w:p w:rsidR="00893FD7" w:rsidRPr="007E5071" w:rsidRDefault="00893FD7" w:rsidP="00F55C5B">
            <w:pPr>
              <w:pStyle w:val="Tabletext"/>
            </w:pPr>
            <w:r w:rsidRPr="007E5071">
              <w:t>Patient must have experienced disease recurrence after at least 6 months from completion of an adjuvant PD-1 inhibitor for resected Stage IIIB, IIIC, IIID or IV melanoma, followed by disease progression after treatment with a BRAF inhibitor (with or without MEK inhibitor) in the unresectable or metastatic setting unless contraindicated or not tolerated according to the TGA approved Product Information,</w:t>
            </w:r>
          </w:p>
          <w:p w:rsidR="00893FD7" w:rsidRPr="007E5071" w:rsidRDefault="00893FD7" w:rsidP="00F55C5B">
            <w:pPr>
              <w:pStyle w:val="Tabletext"/>
            </w:pPr>
            <w:r w:rsidRPr="007E5071">
              <w:t>AND</w:t>
            </w:r>
          </w:p>
          <w:p w:rsidR="00893FD7" w:rsidRPr="007E5071" w:rsidRDefault="00893FD7" w:rsidP="00F55C5B">
            <w:pPr>
              <w:pStyle w:val="Tabletext"/>
              <w:rPr>
                <w:rFonts w:eastAsia="Calibri"/>
              </w:rPr>
            </w:pPr>
            <w:r w:rsidRPr="007E5071">
              <w:rPr>
                <w:rFonts w:eastAsia="Calibri"/>
              </w:rPr>
              <w:t>Patient must not have received prior treatment with ipilimumab or a PD-1 (programmed cell death-1) inhibitor for the treatment of unresectable Stage III or Stage IV malignant melanoma,</w:t>
            </w:r>
          </w:p>
          <w:p w:rsidR="00893FD7" w:rsidRPr="007E5071" w:rsidRDefault="00893FD7" w:rsidP="00F55C5B">
            <w:pPr>
              <w:pStyle w:val="Tabletext"/>
              <w:rPr>
                <w:rFonts w:eastAsia="Calibri"/>
              </w:rPr>
            </w:pPr>
            <w:r w:rsidRPr="007E5071">
              <w:rPr>
                <w:rFonts w:eastAsia="Calibri"/>
              </w:rPr>
              <w:t>AND</w:t>
            </w:r>
          </w:p>
          <w:p w:rsidR="00893FD7" w:rsidRPr="007E5071" w:rsidRDefault="00893FD7" w:rsidP="00F55C5B">
            <w:pPr>
              <w:pStyle w:val="Tabletext"/>
              <w:rPr>
                <w:rFonts w:eastAsia="Calibri"/>
              </w:rPr>
            </w:pPr>
            <w:r w:rsidRPr="007E5071">
              <w:rPr>
                <w:rFonts w:eastAsia="Calibri"/>
              </w:rPr>
              <w:t>The treatment must be the sole PBS-subsidised therapy for this condition,</w:t>
            </w:r>
          </w:p>
          <w:p w:rsidR="00893FD7" w:rsidRPr="007E5071" w:rsidRDefault="00893FD7" w:rsidP="00F55C5B">
            <w:pPr>
              <w:pStyle w:val="Tabletext"/>
              <w:rPr>
                <w:rFonts w:eastAsia="Calibri"/>
              </w:rPr>
            </w:pPr>
            <w:r w:rsidRPr="007E5071">
              <w:rPr>
                <w:rFonts w:eastAsia="Calibri"/>
              </w:rPr>
              <w:t>AND</w:t>
            </w:r>
          </w:p>
          <w:p w:rsidR="00893FD7" w:rsidRPr="007E5071" w:rsidRDefault="00893FD7" w:rsidP="00F55C5B">
            <w:pPr>
              <w:pStyle w:val="Tabletext"/>
              <w:keepNext/>
              <w:rPr>
                <w:rFonts w:eastAsia="Calibri"/>
              </w:rPr>
            </w:pPr>
            <w:r w:rsidRPr="007E5071">
              <w:rPr>
                <w:rFonts w:eastAsia="Calibri"/>
              </w:rPr>
              <w:t>The treatment must not exceed a total of 6 doses administered every 3 weeks, with each maximum dose fixed at 200 mg.</w:t>
            </w:r>
          </w:p>
        </w:tc>
      </w:tr>
      <w:tr w:rsidR="00893FD7" w:rsidRPr="007E5071" w:rsidTr="00F55C5B">
        <w:trPr>
          <w:cantSplit/>
          <w:trHeight w:val="421"/>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Prescriber instructions:</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pPr>
            <w:r w:rsidRPr="007E5071">
              <w:t>The patient’s body weight must be documented in the patient’s medical records at the time treatment is initiated.</w:t>
            </w:r>
          </w:p>
        </w:tc>
      </w:tr>
      <w:tr w:rsidR="00893FD7" w:rsidRPr="007E5071" w:rsidTr="00F55C5B">
        <w:trPr>
          <w:cantSplit/>
          <w:trHeight w:val="938"/>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Administrative advice: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pPr>
            <w:r w:rsidRPr="007E5071">
              <w:t>No increase in the maximum number or repeats may be authorised.</w:t>
            </w:r>
          </w:p>
          <w:p w:rsidR="00893FD7" w:rsidRPr="007E5071" w:rsidRDefault="00893FD7" w:rsidP="00F55C5B">
            <w:pPr>
              <w:pStyle w:val="Tabletext"/>
            </w:pPr>
            <w:r w:rsidRPr="007E5071">
              <w:t>Special Pricing Arrangements apply.</w:t>
            </w:r>
          </w:p>
          <w:p w:rsidR="00893FD7" w:rsidRPr="007E5071" w:rsidRDefault="00893FD7" w:rsidP="00F55C5B">
            <w:pPr>
              <w:pStyle w:val="Tabletext"/>
            </w:pPr>
            <w:r w:rsidRPr="007E5071">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893FD7" w:rsidRPr="007E5071" w:rsidRDefault="00893FD7" w:rsidP="00893FD7">
      <w:pPr>
        <w:rPr>
          <w:rFonts w:ascii="Arial Narrow" w:hAnsi="Arial Narrow"/>
          <w:sz w:val="20"/>
        </w:rPr>
      </w:pPr>
    </w:p>
    <w:tbl>
      <w:tblPr>
        <w:tblW w:w="9067" w:type="dxa"/>
        <w:tblLayout w:type="fixed"/>
        <w:tblLook w:val="0000" w:firstRow="0" w:lastRow="0" w:firstColumn="0" w:lastColumn="0" w:noHBand="0" w:noVBand="0"/>
      </w:tblPr>
      <w:tblGrid>
        <w:gridCol w:w="1696"/>
        <w:gridCol w:w="7371"/>
      </w:tblGrid>
      <w:tr w:rsidR="00893FD7" w:rsidRPr="007E5071" w:rsidTr="00F55C5B">
        <w:trPr>
          <w:cantSplit/>
          <w:trHeight w:val="158"/>
        </w:trPr>
        <w:tc>
          <w:tcPr>
            <w:tcW w:w="90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 xml:space="preserve">Pembrolizumab </w:t>
            </w:r>
          </w:p>
        </w:tc>
      </w:tr>
      <w:tr w:rsidR="00893FD7" w:rsidRPr="007E5071" w:rsidTr="00F55C5B">
        <w:trPr>
          <w:cantSplit/>
          <w:trHeight w:val="20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Category/Program:</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Section 100 Efficient Funding of Chemotherapy</w:t>
            </w:r>
          </w:p>
        </w:tc>
      </w:tr>
      <w:tr w:rsidR="00893FD7" w:rsidRPr="007E5071" w:rsidTr="00F55C5B">
        <w:trPr>
          <w:cantSplit/>
          <w:trHeight w:val="25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Prescriber type: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fldChar w:fldCharType="begin">
                <w:ffData>
                  <w:name w:val="Check1"/>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Dental </w:t>
            </w:r>
            <w:r w:rsidRPr="007E5071">
              <w:rPr>
                <w:rFonts w:eastAsia="Calibri"/>
              </w:rPr>
              <w:fldChar w:fldCharType="begin">
                <w:ffData>
                  <w:name w:val=""/>
                  <w:enabled/>
                  <w:calcOnExit w:val="0"/>
                  <w:checkBox>
                    <w:sizeAuto/>
                    <w:default w:val="1"/>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Medical Practitioners </w:t>
            </w:r>
            <w:r w:rsidRPr="007E5071">
              <w:rPr>
                <w:rFonts w:eastAsia="Calibri"/>
              </w:rPr>
              <w:fldChar w:fldCharType="begin">
                <w:ffData>
                  <w:name w:val="Check3"/>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Nurse practitioners </w:t>
            </w:r>
            <w:r w:rsidRPr="007E5071">
              <w:rPr>
                <w:rFonts w:eastAsia="Calibri"/>
              </w:rPr>
              <w:fldChar w:fldCharType="begin">
                <w:ffData>
                  <w:name w:val=""/>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 xml:space="preserve">Optometrists </w:t>
            </w:r>
            <w:r w:rsidRPr="007E5071">
              <w:rPr>
                <w:rFonts w:eastAsia="Calibri"/>
              </w:rPr>
              <w:fldChar w:fldCharType="begin">
                <w:ffData>
                  <w:name w:val="Check5"/>
                  <w:enabled/>
                  <w:calcOnExit w:val="0"/>
                  <w:checkBox>
                    <w:sizeAuto/>
                    <w:default w:val="0"/>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Midwives</w:t>
            </w:r>
          </w:p>
        </w:tc>
      </w:tr>
      <w:tr w:rsidR="00893FD7" w:rsidRPr="007E5071" w:rsidTr="00F55C5B">
        <w:trPr>
          <w:cantSplit/>
          <w:trHeight w:val="6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Condition: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Malignant melanoma</w:t>
            </w:r>
          </w:p>
        </w:tc>
      </w:tr>
      <w:tr w:rsidR="00893FD7" w:rsidRPr="007E5071" w:rsidTr="00F55C5B">
        <w:trPr>
          <w:cantSplit/>
          <w:trHeight w:val="171"/>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PBS indication:</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Unresectable Stage III or Stage IV malignant melanoma</w:t>
            </w:r>
          </w:p>
        </w:tc>
      </w:tr>
      <w:tr w:rsidR="00893FD7" w:rsidRPr="007E5071" w:rsidTr="00F55C5B">
        <w:trPr>
          <w:cantSplit/>
          <w:trHeight w:val="76"/>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Treatment phase: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t>Initial treatment 2</w:t>
            </w:r>
          </w:p>
        </w:tc>
      </w:tr>
      <w:tr w:rsidR="00893FD7" w:rsidRPr="007E5071" w:rsidTr="00F55C5B">
        <w:trPr>
          <w:cantSplit/>
          <w:trHeight w:val="21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Restriction level:</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rPr>
            </w:pPr>
            <w:r w:rsidRPr="007E5071">
              <w:rPr>
                <w:rFonts w:eastAsia="Calibri"/>
              </w:rPr>
              <w:fldChar w:fldCharType="begin">
                <w:ffData>
                  <w:name w:val=""/>
                  <w:enabled/>
                  <w:calcOnExit w:val="0"/>
                  <w:checkBox>
                    <w:sizeAuto/>
                    <w:default w:val="1"/>
                  </w:checkBox>
                </w:ffData>
              </w:fldChar>
            </w:r>
            <w:r w:rsidRPr="007E5071">
              <w:rPr>
                <w:rFonts w:eastAsia="Calibri"/>
              </w:rPr>
              <w:instrText xml:space="preserve"> FORMCHECKBOX </w:instrText>
            </w:r>
            <w:r w:rsidR="00BF12D4">
              <w:rPr>
                <w:rFonts w:eastAsia="Calibri"/>
              </w:rPr>
            </w:r>
            <w:r w:rsidR="00BF12D4">
              <w:rPr>
                <w:rFonts w:eastAsia="Calibri"/>
              </w:rPr>
              <w:fldChar w:fldCharType="separate"/>
            </w:r>
            <w:r w:rsidRPr="007E5071">
              <w:rPr>
                <w:rFonts w:eastAsia="Calibri"/>
              </w:rPr>
              <w:fldChar w:fldCharType="end"/>
            </w:r>
            <w:r w:rsidRPr="007E5071">
              <w:rPr>
                <w:rFonts w:eastAsia="Calibri"/>
              </w:rPr>
              <w:t>Streamlined</w:t>
            </w:r>
          </w:p>
        </w:tc>
      </w:tr>
      <w:tr w:rsidR="00893FD7" w:rsidRPr="007E5071" w:rsidTr="00F55C5B">
        <w:trPr>
          <w:cantSplit/>
          <w:trHeight w:val="149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Clinical criteria:</w:t>
            </w:r>
          </w:p>
          <w:p w:rsidR="00893FD7" w:rsidRPr="007E5071" w:rsidRDefault="00893FD7" w:rsidP="00F55C5B">
            <w:pPr>
              <w:pStyle w:val="Tabletext"/>
              <w:rPr>
                <w:rFonts w:eastAsia="Calibri"/>
              </w:rPr>
            </w:pP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pPr>
            <w:r w:rsidRPr="007E5071">
              <w:t>The condition must be negative for a BRAF V600 mutation,</w:t>
            </w:r>
          </w:p>
          <w:p w:rsidR="00893FD7" w:rsidRPr="007E5071" w:rsidRDefault="00893FD7" w:rsidP="00F55C5B">
            <w:pPr>
              <w:pStyle w:val="Tabletext"/>
            </w:pPr>
            <w:r w:rsidRPr="007E5071">
              <w:t>AND</w:t>
            </w:r>
          </w:p>
          <w:p w:rsidR="00893FD7" w:rsidRPr="007E5071" w:rsidRDefault="00893FD7" w:rsidP="00F55C5B">
            <w:pPr>
              <w:pStyle w:val="Tabletext"/>
              <w:rPr>
                <w:rFonts w:eastAsia="Calibri"/>
              </w:rPr>
            </w:pPr>
            <w:r w:rsidRPr="007E5071">
              <w:rPr>
                <w:rFonts w:eastAsia="Calibri"/>
              </w:rPr>
              <w:t>Patient must not have received prior treatment with ipilimumab or a PD-1 (programmed cell death-1) inhibitor for the treatment of unresectable Stage III or Stage IV malignant melanoma, OR</w:t>
            </w:r>
          </w:p>
          <w:p w:rsidR="00893FD7" w:rsidRPr="007E5071" w:rsidRDefault="00893FD7" w:rsidP="00F55C5B">
            <w:pPr>
              <w:pStyle w:val="Tabletext"/>
              <w:rPr>
                <w:rFonts w:eastAsia="Calibri"/>
              </w:rPr>
            </w:pPr>
            <w:r w:rsidRPr="007E5071">
              <w:rPr>
                <w:rFonts w:eastAsia="Calibri"/>
              </w:rPr>
              <w:t>Patient must not have experienced disease recurrence within 6 months of completion of adjuvant PD-1 inhibitor treatment for resected Stage IIIB, IIIC, IIID or IV melanoma,</w:t>
            </w:r>
          </w:p>
          <w:p w:rsidR="00893FD7" w:rsidRPr="007E5071" w:rsidRDefault="00893FD7" w:rsidP="00F55C5B">
            <w:pPr>
              <w:pStyle w:val="Tabletext"/>
              <w:rPr>
                <w:rFonts w:eastAsia="Calibri"/>
              </w:rPr>
            </w:pPr>
            <w:r w:rsidRPr="007E5071">
              <w:rPr>
                <w:rFonts w:eastAsia="Calibri"/>
              </w:rPr>
              <w:t>AND</w:t>
            </w:r>
          </w:p>
          <w:p w:rsidR="00893FD7" w:rsidRPr="007E5071" w:rsidRDefault="00893FD7" w:rsidP="00F55C5B">
            <w:pPr>
              <w:pStyle w:val="Tabletext"/>
              <w:rPr>
                <w:rFonts w:eastAsia="Calibri"/>
              </w:rPr>
            </w:pPr>
            <w:r w:rsidRPr="007E5071">
              <w:rPr>
                <w:rFonts w:eastAsia="Calibri"/>
              </w:rPr>
              <w:t>The treatment must be the sole PBS-subsidised therapy for this condition,</w:t>
            </w:r>
          </w:p>
          <w:p w:rsidR="00893FD7" w:rsidRPr="007E5071" w:rsidRDefault="00893FD7" w:rsidP="00F55C5B">
            <w:pPr>
              <w:pStyle w:val="Tabletext"/>
              <w:rPr>
                <w:rFonts w:eastAsia="Calibri"/>
              </w:rPr>
            </w:pPr>
            <w:r w:rsidRPr="007E5071">
              <w:rPr>
                <w:rFonts w:eastAsia="Calibri"/>
              </w:rPr>
              <w:t>AND</w:t>
            </w:r>
          </w:p>
          <w:p w:rsidR="00893FD7" w:rsidRPr="007E5071" w:rsidRDefault="00893FD7" w:rsidP="00F55C5B">
            <w:pPr>
              <w:pStyle w:val="Tabletext"/>
              <w:rPr>
                <w:rFonts w:eastAsia="Calibri"/>
              </w:rPr>
            </w:pPr>
            <w:r w:rsidRPr="007E5071">
              <w:rPr>
                <w:rFonts w:eastAsia="Calibri"/>
              </w:rPr>
              <w:t>The treatment must not exceed a total of 6 doses administered every 3 weeks, with each maximum dose fixed at 200 mg.</w:t>
            </w:r>
          </w:p>
        </w:tc>
      </w:tr>
      <w:tr w:rsidR="00893FD7" w:rsidRPr="007E5071" w:rsidTr="00F55C5B">
        <w:trPr>
          <w:cantSplit/>
          <w:trHeight w:val="373"/>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Prescriber instructions:</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pPr>
            <w:r w:rsidRPr="007E5071">
              <w:t>The patient’s body weight must be documented in the patient’s medical records at the time treatment is initiated.</w:t>
            </w:r>
          </w:p>
        </w:tc>
      </w:tr>
      <w:tr w:rsidR="00893FD7" w:rsidRPr="007E5071" w:rsidTr="00F55C5B">
        <w:trPr>
          <w:cantSplit/>
          <w:trHeight w:val="890"/>
        </w:trPr>
        <w:tc>
          <w:tcPr>
            <w:tcW w:w="1696"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rPr>
                <w:rFonts w:eastAsia="Calibri"/>
                <w:b/>
              </w:rPr>
            </w:pPr>
            <w:r w:rsidRPr="007E5071">
              <w:rPr>
                <w:rFonts w:eastAsia="Calibri"/>
                <w:b/>
              </w:rPr>
              <w:t>Administrative advice:</w:t>
            </w:r>
          </w:p>
        </w:tc>
        <w:tc>
          <w:tcPr>
            <w:tcW w:w="7371" w:type="dxa"/>
            <w:tcBorders>
              <w:top w:val="single" w:sz="4" w:space="0" w:color="auto"/>
              <w:left w:val="single" w:sz="4" w:space="0" w:color="auto"/>
              <w:bottom w:val="single" w:sz="4" w:space="0" w:color="auto"/>
              <w:right w:val="single" w:sz="4" w:space="0" w:color="auto"/>
            </w:tcBorders>
            <w:tcMar>
              <w:left w:w="28" w:type="dxa"/>
              <w:right w:w="28" w:type="dxa"/>
            </w:tcMar>
          </w:tcPr>
          <w:p w:rsidR="00893FD7" w:rsidRPr="007E5071" w:rsidRDefault="00893FD7" w:rsidP="00F55C5B">
            <w:pPr>
              <w:pStyle w:val="Tabletext"/>
            </w:pPr>
            <w:r w:rsidRPr="007E5071">
              <w:t>No increase in the maximum number or repeats may be authorised.</w:t>
            </w:r>
          </w:p>
          <w:p w:rsidR="00893FD7" w:rsidRPr="007E5071" w:rsidRDefault="00893FD7" w:rsidP="00F55C5B">
            <w:pPr>
              <w:pStyle w:val="Tabletext"/>
            </w:pPr>
            <w:r w:rsidRPr="007E5071">
              <w:t>Special Pricing Arrangements apply.</w:t>
            </w:r>
          </w:p>
          <w:p w:rsidR="00893FD7" w:rsidRPr="007E5071" w:rsidRDefault="00893FD7" w:rsidP="00F55C5B">
            <w:pPr>
              <w:pStyle w:val="Tabletext"/>
            </w:pPr>
            <w:r w:rsidRPr="007E5071">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893FD7" w:rsidRPr="007E5071" w:rsidRDefault="00893FD7" w:rsidP="00893FD7"/>
    <w:p w:rsidR="000375EB" w:rsidRDefault="00C574DB" w:rsidP="00C574DB">
      <w:pPr>
        <w:rPr>
          <w:rFonts w:cs="Calibri"/>
          <w:snapToGrid/>
          <w:color w:val="1F497D"/>
          <w:sz w:val="22"/>
        </w:rPr>
      </w:pPr>
      <w:r w:rsidRPr="00B7213F">
        <w:rPr>
          <w:i/>
          <w:iCs/>
        </w:rPr>
        <w:t>These restrictions may be subject to further review. Should there be any changes made to the restrictions the Sponsor will be informed.</w:t>
      </w:r>
    </w:p>
    <w:p w:rsidR="000375EB" w:rsidRDefault="000375EB" w:rsidP="000375EB">
      <w:pPr>
        <w:rPr>
          <w:rFonts w:cs="Calibri"/>
          <w:sz w:val="22"/>
        </w:rPr>
      </w:pPr>
    </w:p>
    <w:p w:rsidR="000375EB" w:rsidRPr="000375EB" w:rsidRDefault="000375EB" w:rsidP="000375EB">
      <w:pPr>
        <w:pStyle w:val="PBACHeading1"/>
        <w:spacing w:before="240" w:after="120"/>
        <w:rPr>
          <w:b/>
          <w:caps w:val="0"/>
        </w:rPr>
      </w:pPr>
      <w:r w:rsidRPr="000375EB">
        <w:rPr>
          <w:b/>
          <w:caps w:val="0"/>
        </w:rPr>
        <w:t>Context for Decision</w:t>
      </w:r>
    </w:p>
    <w:p w:rsidR="00727D2D" w:rsidRPr="00727D2D" w:rsidRDefault="00727D2D" w:rsidP="00727D2D">
      <w:pPr>
        <w:widowControl/>
        <w:spacing w:after="120" w:line="276" w:lineRule="auto"/>
        <w:rPr>
          <w:rFonts w:eastAsia="Calibri"/>
          <w:bCs/>
          <w:snapToGrid/>
        </w:rPr>
      </w:pPr>
      <w:r w:rsidRPr="00727D2D">
        <w:rPr>
          <w:rFonts w:eastAsia="Calibri"/>
          <w:bCs/>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375EB" w:rsidRPr="000375EB" w:rsidRDefault="000375EB" w:rsidP="000375EB">
      <w:pPr>
        <w:pStyle w:val="PBACHeading1"/>
        <w:spacing w:before="240" w:after="120"/>
        <w:rPr>
          <w:b/>
          <w:caps w:val="0"/>
        </w:rPr>
      </w:pPr>
      <w:r w:rsidRPr="000375EB">
        <w:rPr>
          <w:b/>
          <w:caps w:val="0"/>
        </w:rPr>
        <w:t>Sponsor’s Comment</w:t>
      </w:r>
    </w:p>
    <w:p w:rsidR="000375EB" w:rsidRPr="00727D2D" w:rsidRDefault="000375EB" w:rsidP="00727D2D">
      <w:pPr>
        <w:widowControl/>
        <w:spacing w:after="120" w:line="276" w:lineRule="auto"/>
        <w:rPr>
          <w:rFonts w:eastAsia="Calibri"/>
          <w:bCs/>
          <w:snapToGrid/>
        </w:rPr>
      </w:pPr>
      <w:r w:rsidRPr="000375EB">
        <w:rPr>
          <w:rFonts w:eastAsia="Calibri"/>
          <w:bCs/>
          <w:snapToGrid/>
        </w:rPr>
        <w:t>The sponsor had no comment.</w:t>
      </w:r>
    </w:p>
    <w:sectPr w:rsidR="000375EB" w:rsidRPr="00727D2D" w:rsidSect="002B6C36">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D4" w:rsidRDefault="00BF12D4" w:rsidP="00124A51">
      <w:r>
        <w:separator/>
      </w:r>
    </w:p>
    <w:p w:rsidR="00BF12D4" w:rsidRDefault="00BF12D4"/>
  </w:endnote>
  <w:endnote w:type="continuationSeparator" w:id="0">
    <w:p w:rsidR="00BF12D4" w:rsidRDefault="00BF12D4" w:rsidP="00124A51">
      <w:r>
        <w:continuationSeparator/>
      </w:r>
    </w:p>
    <w:p w:rsidR="00BF12D4" w:rsidRDefault="00BF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17" w:rsidRDefault="005F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80165"/>
      <w:docPartObj>
        <w:docPartGallery w:val="Page Numbers (Bottom of Page)"/>
        <w:docPartUnique/>
      </w:docPartObj>
    </w:sdtPr>
    <w:sdtEndPr>
      <w:rPr>
        <w:b/>
        <w:noProof/>
      </w:rPr>
    </w:sdtEndPr>
    <w:sdtContent>
      <w:p w:rsidR="00F64E53" w:rsidRDefault="00F64E53">
        <w:pPr>
          <w:pStyle w:val="Footer"/>
          <w:jc w:val="center"/>
        </w:pPr>
      </w:p>
      <w:p w:rsidR="00F64E53" w:rsidRPr="00F25571" w:rsidRDefault="00F64E53">
        <w:pPr>
          <w:pStyle w:val="Footer"/>
          <w:jc w:val="center"/>
          <w:rPr>
            <w:b/>
          </w:rPr>
        </w:pPr>
        <w:r w:rsidRPr="00F25571">
          <w:rPr>
            <w:b/>
          </w:rPr>
          <w:fldChar w:fldCharType="begin"/>
        </w:r>
        <w:r w:rsidRPr="00F25571">
          <w:rPr>
            <w:b/>
          </w:rPr>
          <w:instrText xml:space="preserve"> PAGE   \* MERGEFORMAT </w:instrText>
        </w:r>
        <w:r w:rsidRPr="00F25571">
          <w:rPr>
            <w:b/>
          </w:rPr>
          <w:fldChar w:fldCharType="separate"/>
        </w:r>
        <w:r w:rsidR="00BF12D4">
          <w:rPr>
            <w:b/>
            <w:noProof/>
          </w:rPr>
          <w:t>1</w:t>
        </w:r>
        <w:r w:rsidRPr="00F25571">
          <w:rPr>
            <w:b/>
            <w:noProof/>
          </w:rPr>
          <w:fldChar w:fldCharType="end"/>
        </w:r>
      </w:p>
    </w:sdtContent>
  </w:sdt>
  <w:p w:rsidR="00F64E53" w:rsidRPr="00D13A3E" w:rsidRDefault="00F64E53" w:rsidP="00015886">
    <w:pPr>
      <w:ind w:right="360"/>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17" w:rsidRDefault="005F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D4" w:rsidRDefault="00BF12D4" w:rsidP="00124A51">
      <w:r>
        <w:separator/>
      </w:r>
    </w:p>
    <w:p w:rsidR="00BF12D4" w:rsidRDefault="00BF12D4"/>
  </w:footnote>
  <w:footnote w:type="continuationSeparator" w:id="0">
    <w:p w:rsidR="00BF12D4" w:rsidRDefault="00BF12D4" w:rsidP="00124A51">
      <w:r>
        <w:continuationSeparator/>
      </w:r>
    </w:p>
    <w:p w:rsidR="00BF12D4" w:rsidRDefault="00BF12D4"/>
  </w:footnote>
  <w:footnote w:id="1">
    <w:p w:rsidR="00F64E53" w:rsidRPr="004359DE" w:rsidRDefault="00F64E53" w:rsidP="00EE409E">
      <w:pPr>
        <w:pStyle w:val="FootnoteText"/>
        <w:rPr>
          <w:rStyle w:val="Hyperlink"/>
          <w:rFonts w:asciiTheme="minorHAnsi" w:hAnsiTheme="minorHAnsi" w:cstheme="minorHAnsi"/>
        </w:rPr>
      </w:pPr>
      <w:r>
        <w:rPr>
          <w:rStyle w:val="FootnoteReference"/>
        </w:rPr>
        <w:footnoteRef/>
      </w:r>
      <w:r>
        <w:t xml:space="preserve"> </w:t>
      </w:r>
      <w:r w:rsidRPr="004359DE">
        <w:rPr>
          <w:rFonts w:asciiTheme="minorHAnsi" w:hAnsiTheme="minorHAnsi" w:cstheme="minorHAnsi"/>
          <w:noProof/>
        </w:rPr>
        <w:t xml:space="preserve">Long G, Atkinson V, et al. Summary of recommendations and practice points: Clinical practice guidelines for the diagnosis and management of melanoma. Cancer Council of Australia. </w:t>
      </w:r>
      <w:r w:rsidRPr="004359DE">
        <w:rPr>
          <w:rFonts w:asciiTheme="minorHAnsi" w:hAnsiTheme="minorHAnsi" w:cstheme="minorHAnsi"/>
        </w:rPr>
        <w:t>Available from: www</w:t>
      </w:r>
      <w:hyperlink r:id="rId1" w:history="1">
        <w:r w:rsidRPr="004359DE">
          <w:rPr>
            <w:rStyle w:val="Hyperlink"/>
            <w:rFonts w:asciiTheme="minorHAnsi" w:hAnsiTheme="minorHAnsi" w:cstheme="minorHAnsi"/>
          </w:rPr>
          <w:t>.wiki.cancer.org.au/australiawiki/index.php?oldid=199932</w:t>
        </w:r>
      </w:hyperlink>
      <w:r w:rsidRPr="004359DE">
        <w:rPr>
          <w:rStyle w:val="Hyperlink"/>
          <w:rFonts w:asciiTheme="minorHAnsi" w:hAnsiTheme="minorHAnsi" w:cstheme="minorHAnsi"/>
        </w:rPr>
        <w:t>.</w:t>
      </w:r>
    </w:p>
    <w:p w:rsidR="00F64E53" w:rsidRPr="004359DE" w:rsidRDefault="00F64E53" w:rsidP="00EE409E">
      <w:pPr>
        <w:pStyle w:val="FootnoteText"/>
        <w:rPr>
          <w:rFonts w:asciiTheme="minorHAnsi" w:hAnsiTheme="minorHAnsi" w:cstheme="minorHAnsi"/>
          <w:noProof/>
        </w:rPr>
      </w:pPr>
      <w:r w:rsidRPr="00971C5F">
        <w:rPr>
          <w:rStyle w:val="Hyperlink"/>
          <w:rFonts w:asciiTheme="minorHAnsi" w:hAnsiTheme="minorHAnsi" w:cstheme="minorHAnsi"/>
          <w:color w:val="auto"/>
          <w:u w:val="none"/>
        </w:rPr>
        <w:t>Sosman J. Overview of the management of advanced cutaneous melanoma. Available from:</w:t>
      </w:r>
      <w:r w:rsidRPr="00971C5F">
        <w:rPr>
          <w:rStyle w:val="Hyperlink"/>
          <w:rFonts w:asciiTheme="minorHAnsi" w:hAnsiTheme="minorHAnsi" w:cstheme="minorHAnsi"/>
          <w:color w:val="auto"/>
        </w:rPr>
        <w:t xml:space="preserve"> </w:t>
      </w:r>
      <w:hyperlink r:id="rId2" w:history="1">
        <w:r w:rsidRPr="004359DE">
          <w:rPr>
            <w:rStyle w:val="Hyperlink"/>
            <w:rFonts w:asciiTheme="minorHAnsi" w:hAnsiTheme="minorHAnsi" w:cstheme="minorHAnsi"/>
          </w:rPr>
          <w:t>www.uptodate.com/contents/overview-of-the-management-of-advanced-cutaneous-melanoma</w:t>
        </w:r>
      </w:hyperlink>
    </w:p>
    <w:p w:rsidR="00F64E53" w:rsidRDefault="00F64E53" w:rsidP="00EE409E">
      <w:pPr>
        <w:pStyle w:val="FootnoteText"/>
      </w:pPr>
      <w:r w:rsidRPr="004359DE">
        <w:rPr>
          <w:rFonts w:asciiTheme="minorHAnsi" w:hAnsiTheme="minorHAnsi" w:cstheme="minorHAnsi"/>
          <w:noProof/>
        </w:rPr>
        <w:t xml:space="preserve">National Comprehensive Cancer Network. NCCN Clinical Practice Guidelines in Oncology:  Melanoma. Version 2.2019. </w:t>
      </w:r>
      <w:r w:rsidRPr="004359DE">
        <w:rPr>
          <w:rFonts w:asciiTheme="minorHAnsi" w:hAnsiTheme="minorHAnsi" w:cstheme="minorHAnsi"/>
        </w:rPr>
        <w:t>Available from: www.nccn.org/</w:t>
      </w:r>
    </w:p>
  </w:footnote>
  <w:footnote w:id="2">
    <w:p w:rsidR="00F64E53" w:rsidRDefault="00F64E53">
      <w:pPr>
        <w:pStyle w:val="FootnoteText"/>
      </w:pPr>
      <w:r>
        <w:rPr>
          <w:rStyle w:val="FootnoteReference"/>
        </w:rPr>
        <w:footnoteRef/>
      </w:r>
      <w:r>
        <w:t xml:space="preserve"> An Q and Liu Z. Comparative efficacy and safety of combination therapies for advanced melanoma: a network meta-analysis. BMC Cancer. 2019; 19(43): doi.org/10.1186/s12885-018-5259-8</w:t>
      </w:r>
    </w:p>
  </w:footnote>
  <w:footnote w:id="3">
    <w:p w:rsidR="00F64E53" w:rsidRDefault="00F64E53">
      <w:pPr>
        <w:pStyle w:val="FootnoteText"/>
      </w:pPr>
      <w:r>
        <w:rPr>
          <w:rStyle w:val="FootnoteReference"/>
        </w:rPr>
        <w:footnoteRef/>
      </w:r>
      <w:r>
        <w:t xml:space="preserve"> Zoratti MJ, Davji T, Levine O, et al. Network meta-analysis of therapies for previously untreated advanced BRAF-mutated melanoma. Cancer Treatment Reviews. 2019; 74: 43-48.</w:t>
      </w:r>
    </w:p>
  </w:footnote>
  <w:footnote w:id="4">
    <w:p w:rsidR="00F64E53" w:rsidRDefault="00F64E53" w:rsidP="00E82DC6">
      <w:pPr>
        <w:pStyle w:val="FootnoteText"/>
      </w:pPr>
      <w:r>
        <w:rPr>
          <w:rStyle w:val="FootnoteReference"/>
        </w:rPr>
        <w:footnoteRef/>
      </w:r>
      <w:r>
        <w:t xml:space="preserve"> SECOMBIT includes the following treatment arms: ENCO+BINI followed by NIVO+IPI; NIVO+IPI followed by ENCO+BINI; ENCO+BINI for 8 weeks, then NIVO+IPI until progression, followed by ENCO+BINI post-progression.</w:t>
      </w:r>
    </w:p>
  </w:footnote>
  <w:footnote w:id="5">
    <w:p w:rsidR="00F64E53" w:rsidRDefault="00F64E53" w:rsidP="003A150D">
      <w:pPr>
        <w:pStyle w:val="FootnoteText"/>
      </w:pPr>
      <w:r>
        <w:rPr>
          <w:rStyle w:val="FootnoteReference"/>
        </w:rPr>
        <w:footnoteRef/>
      </w:r>
      <w:r>
        <w:t xml:space="preserve"> Robert C, et al. Five-year outcomes with dabrafenib plus trametinib in metastatic melanoma. New Engl J Med. 2019; 381(7): 626-636.</w:t>
      </w:r>
    </w:p>
  </w:footnote>
  <w:footnote w:id="6">
    <w:p w:rsidR="00F64E53" w:rsidRPr="004359DE" w:rsidRDefault="00F64E53" w:rsidP="002D587A">
      <w:pPr>
        <w:pStyle w:val="FootnoteText"/>
      </w:pPr>
      <w:r>
        <w:rPr>
          <w:rStyle w:val="FootnoteReference"/>
        </w:rPr>
        <w:footnoteRef/>
      </w:r>
      <w:r>
        <w:t xml:space="preserve"> </w:t>
      </w:r>
      <w:r w:rsidRPr="004359DE">
        <w:t>158/607 (26%) of patients treated with an anti-PD-1 (nivolumab or pembrolizumab) and 62/286 (21.7%) treated with BRAF targeted therapy as their first drug regimen were censored.</w:t>
      </w:r>
    </w:p>
  </w:footnote>
  <w:footnote w:id="7">
    <w:p w:rsidR="00F64E53" w:rsidRPr="00872F96" w:rsidRDefault="00F64E53" w:rsidP="00F568B6">
      <w:pPr>
        <w:pStyle w:val="FootnoteText"/>
        <w:rPr>
          <w:rFonts w:asciiTheme="minorHAnsi" w:hAnsiTheme="minorHAnsi" w:cstheme="minorHAnsi"/>
        </w:rPr>
      </w:pPr>
      <w:r w:rsidRPr="00872F96">
        <w:rPr>
          <w:rStyle w:val="FootnoteReference"/>
          <w:rFonts w:asciiTheme="minorHAnsi" w:hAnsiTheme="minorHAnsi" w:cstheme="minorHAnsi"/>
        </w:rPr>
        <w:footnoteRef/>
      </w:r>
      <w:r w:rsidRPr="00872F96">
        <w:rPr>
          <w:rFonts w:asciiTheme="minorHAnsi" w:hAnsiTheme="minorHAnsi" w:cstheme="minorHAnsi"/>
        </w:rPr>
        <w:t xml:space="preserve"> Lyle M, Haydu LE, Menzies AM, et al. The molecular profile of metastatic melanoma in Australia. 2016; 48(2): 188-193</w:t>
      </w:r>
    </w:p>
  </w:footnote>
  <w:footnote w:id="8">
    <w:p w:rsidR="00F64E53" w:rsidRDefault="00F64E53">
      <w:pPr>
        <w:pStyle w:val="FootnoteText"/>
      </w:pPr>
      <w:r w:rsidRPr="002077CA">
        <w:rPr>
          <w:rStyle w:val="FootnoteReference"/>
        </w:rPr>
        <w:footnoteRef/>
      </w:r>
      <w:r w:rsidRPr="002077CA">
        <w:t xml:space="preserve"> National Comprehensive Cancer Network. NCCN Clinical Practice Guidelines in Oncology</w:t>
      </w:r>
      <w:r>
        <w:t>:</w:t>
      </w:r>
      <w:r w:rsidRPr="002077CA">
        <w:t xml:space="preserve">  Melanoma. Version 2.2019. Available from: </w:t>
      </w:r>
      <w:hyperlink r:id="rId3" w:history="1">
        <w:r w:rsidRPr="005B4C31">
          <w:rPr>
            <w:rStyle w:val="Hyperlink"/>
          </w:rPr>
          <w:t>https://www.nccn.org/</w:t>
        </w:r>
      </w:hyperlink>
      <w:r w:rsidRPr="005B4C31">
        <w:t>.</w:t>
      </w:r>
    </w:p>
  </w:footnote>
  <w:footnote w:id="9">
    <w:p w:rsidR="00F64E53" w:rsidRDefault="00F64E53" w:rsidP="00EE786A">
      <w:pPr>
        <w:pStyle w:val="FootnoteText"/>
      </w:pPr>
      <w:r>
        <w:rPr>
          <w:rStyle w:val="FootnoteReference"/>
        </w:rPr>
        <w:footnoteRef/>
      </w:r>
      <w:r>
        <w:t xml:space="preserve"> P</w:t>
      </w:r>
      <w:r w:rsidRPr="004359DE">
        <w:t>aragraph 6.37, 7.05 Nivolumab plus ipilimumab PSD, July 2018 PBAC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17" w:rsidRDefault="005F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53" w:rsidRPr="00F25571" w:rsidRDefault="00F64E53" w:rsidP="00F25571">
    <w:pPr>
      <w:pStyle w:val="Header"/>
      <w:tabs>
        <w:tab w:val="clear" w:pos="9026"/>
        <w:tab w:val="left" w:pos="225"/>
        <w:tab w:val="right" w:pos="9027"/>
      </w:tabs>
      <w:jc w:val="center"/>
      <w:rPr>
        <w:i/>
      </w:rPr>
    </w:pPr>
    <w:r>
      <w:rPr>
        <w:i/>
      </w:rPr>
      <w:t>Public Summary Document</w:t>
    </w:r>
    <w:r w:rsidRPr="00F25571">
      <w:rPr>
        <w:i/>
      </w:rPr>
      <w:t xml:space="preserve"> – November 2019 PBAC Meeting</w:t>
    </w:r>
  </w:p>
  <w:p w:rsidR="00F64E53" w:rsidRPr="008C7ECB" w:rsidRDefault="00F64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17" w:rsidRDefault="005F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F82"/>
    <w:multiLevelType w:val="hybridMultilevel"/>
    <w:tmpl w:val="EA0EC3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4966F4"/>
    <w:multiLevelType w:val="hybridMultilevel"/>
    <w:tmpl w:val="F83CA7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0A2B8A"/>
    <w:multiLevelType w:val="hybridMultilevel"/>
    <w:tmpl w:val="26525A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1B228A"/>
    <w:multiLevelType w:val="multilevel"/>
    <w:tmpl w:val="630ACC10"/>
    <w:lvl w:ilvl="0">
      <w:start w:val="1"/>
      <w:numFmt w:val="decimal"/>
      <w:lvlText w:val="%1"/>
      <w:lvlJc w:val="left"/>
      <w:pPr>
        <w:ind w:left="720" w:hanging="720"/>
      </w:pPr>
      <w:rPr>
        <w:rFonts w:hint="default"/>
        <w:b/>
        <w:i w:val="0"/>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424A8F"/>
    <w:multiLevelType w:val="hybridMultilevel"/>
    <w:tmpl w:val="1DF6C1C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3B6649"/>
    <w:multiLevelType w:val="multilevel"/>
    <w:tmpl w:val="C3B8E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6B6BA5"/>
    <w:multiLevelType w:val="multilevel"/>
    <w:tmpl w:val="B4E8A41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127AE"/>
    <w:multiLevelType w:val="multilevel"/>
    <w:tmpl w:val="FC002072"/>
    <w:lvl w:ilvl="0">
      <w:start w:val="1"/>
      <w:numFmt w:val="decimal"/>
      <w:lvlText w:val="%1"/>
      <w:lvlJc w:val="left"/>
      <w:pPr>
        <w:ind w:left="720" w:hanging="720"/>
      </w:pPr>
      <w:rPr>
        <w:rFonts w:hint="default"/>
        <w:b/>
        <w:i w:val="0"/>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B610C1"/>
    <w:multiLevelType w:val="multilevel"/>
    <w:tmpl w:val="D1542B78"/>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E27A63"/>
    <w:multiLevelType w:val="multilevel"/>
    <w:tmpl w:val="630ACC10"/>
    <w:lvl w:ilvl="0">
      <w:start w:val="1"/>
      <w:numFmt w:val="decimal"/>
      <w:lvlText w:val="%1"/>
      <w:lvlJc w:val="left"/>
      <w:pPr>
        <w:ind w:left="720" w:hanging="720"/>
      </w:pPr>
      <w:rPr>
        <w:rFonts w:hint="default"/>
        <w:b/>
        <w:i w:val="0"/>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F3737"/>
    <w:multiLevelType w:val="multilevel"/>
    <w:tmpl w:val="E1121E7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A0065"/>
    <w:multiLevelType w:val="hybridMultilevel"/>
    <w:tmpl w:val="BB9E155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6694DD0"/>
    <w:multiLevelType w:val="multilevel"/>
    <w:tmpl w:val="C3B8E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1A4EAA"/>
    <w:multiLevelType w:val="hybridMultilevel"/>
    <w:tmpl w:val="0D3031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6D7E3EAB"/>
    <w:multiLevelType w:val="hybridMultilevel"/>
    <w:tmpl w:val="D6CE2F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4D033C"/>
    <w:multiLevelType w:val="multilevel"/>
    <w:tmpl w:val="3C6C65B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1769FC"/>
    <w:multiLevelType w:val="hybridMultilevel"/>
    <w:tmpl w:val="485A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8"/>
  </w:num>
  <w:num w:numId="4">
    <w:abstractNumId w:val="16"/>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
  </w:num>
  <w:num w:numId="10">
    <w:abstractNumId w:val="13"/>
  </w:num>
  <w:num w:numId="11">
    <w:abstractNumId w:val="14"/>
  </w:num>
  <w:num w:numId="12">
    <w:abstractNumId w:val="5"/>
  </w:num>
  <w:num w:numId="13">
    <w:abstractNumId w:val="12"/>
  </w:num>
  <w:num w:numId="14">
    <w:abstractNumId w:val="4"/>
  </w:num>
  <w:num w:numId="15">
    <w:abstractNumId w:val="8"/>
  </w:num>
  <w:num w:numId="16">
    <w:abstractNumId w:val="7"/>
  </w:num>
  <w:num w:numId="17">
    <w:abstractNumId w:val="3"/>
  </w:num>
  <w:num w:numId="18">
    <w:abstractNumId w:val="9"/>
  </w:num>
  <w:num w:numId="19">
    <w:abstractNumId w:val="6"/>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te0psahzaw9uedrptx2wtkept0pwt0dazt&quot;&gt;Melanoma Nivo_ipi&lt;record-ids&gt;&lt;item&gt;12&lt;/item&gt;&lt;item&gt;33&lt;/item&gt;&lt;item&gt;109&lt;/item&gt;&lt;item&gt;111&lt;/item&gt;&lt;item&gt;114&lt;/item&gt;&lt;item&gt;141&lt;/item&gt;&lt;item&gt;156&lt;/item&gt;&lt;item&gt;159&lt;/item&gt;&lt;item&gt;161&lt;/item&gt;&lt;item&gt;162&lt;/item&gt;&lt;item&gt;163&lt;/item&gt;&lt;item&gt;164&lt;/item&gt;&lt;item&gt;167&lt;/item&gt;&lt;item&gt;184&lt;/item&gt;&lt;item&gt;185&lt;/item&gt;&lt;item&gt;205&lt;/item&gt;&lt;item&gt;210&lt;/item&gt;&lt;item&gt;224&lt;/item&gt;&lt;item&gt;225&lt;/item&gt;&lt;item&gt;227&lt;/item&gt;&lt;item&gt;228&lt;/item&gt;&lt;item&gt;229&lt;/item&gt;&lt;/record-ids&gt;&lt;/item&gt;&lt;/Libraries&gt;"/>
  </w:docVars>
  <w:rsids>
    <w:rsidRoot w:val="00E65E79"/>
    <w:rsid w:val="0000052F"/>
    <w:rsid w:val="00000790"/>
    <w:rsid w:val="0000110B"/>
    <w:rsid w:val="00001D99"/>
    <w:rsid w:val="00003499"/>
    <w:rsid w:val="0000368D"/>
    <w:rsid w:val="000039B7"/>
    <w:rsid w:val="00004743"/>
    <w:rsid w:val="00004F7B"/>
    <w:rsid w:val="00005111"/>
    <w:rsid w:val="00006CF5"/>
    <w:rsid w:val="00006E55"/>
    <w:rsid w:val="00007250"/>
    <w:rsid w:val="0000768C"/>
    <w:rsid w:val="00011926"/>
    <w:rsid w:val="000122CE"/>
    <w:rsid w:val="0001303B"/>
    <w:rsid w:val="00013247"/>
    <w:rsid w:val="00014A61"/>
    <w:rsid w:val="00014A68"/>
    <w:rsid w:val="00015668"/>
    <w:rsid w:val="00015886"/>
    <w:rsid w:val="00015A6C"/>
    <w:rsid w:val="000162EF"/>
    <w:rsid w:val="00016622"/>
    <w:rsid w:val="00017500"/>
    <w:rsid w:val="0002004E"/>
    <w:rsid w:val="0002029F"/>
    <w:rsid w:val="0002225F"/>
    <w:rsid w:val="000228DB"/>
    <w:rsid w:val="00023763"/>
    <w:rsid w:val="00024EE6"/>
    <w:rsid w:val="000260B8"/>
    <w:rsid w:val="000265F8"/>
    <w:rsid w:val="00026BCA"/>
    <w:rsid w:val="000274E5"/>
    <w:rsid w:val="000301A7"/>
    <w:rsid w:val="000315D5"/>
    <w:rsid w:val="000325AA"/>
    <w:rsid w:val="00033638"/>
    <w:rsid w:val="00033863"/>
    <w:rsid w:val="00034634"/>
    <w:rsid w:val="00035D4A"/>
    <w:rsid w:val="00035DC0"/>
    <w:rsid w:val="00036829"/>
    <w:rsid w:val="00036B9A"/>
    <w:rsid w:val="00036D47"/>
    <w:rsid w:val="000375EB"/>
    <w:rsid w:val="00037689"/>
    <w:rsid w:val="000402D1"/>
    <w:rsid w:val="00040895"/>
    <w:rsid w:val="00041390"/>
    <w:rsid w:val="00041D6A"/>
    <w:rsid w:val="000422E0"/>
    <w:rsid w:val="0004324E"/>
    <w:rsid w:val="00043A04"/>
    <w:rsid w:val="00043C37"/>
    <w:rsid w:val="000440DF"/>
    <w:rsid w:val="00044354"/>
    <w:rsid w:val="00044AFB"/>
    <w:rsid w:val="00044D33"/>
    <w:rsid w:val="00045017"/>
    <w:rsid w:val="00045A2B"/>
    <w:rsid w:val="000467A3"/>
    <w:rsid w:val="0004698F"/>
    <w:rsid w:val="000503DE"/>
    <w:rsid w:val="00050877"/>
    <w:rsid w:val="0005195B"/>
    <w:rsid w:val="00051CA4"/>
    <w:rsid w:val="000527D2"/>
    <w:rsid w:val="000529D0"/>
    <w:rsid w:val="00053067"/>
    <w:rsid w:val="000539D0"/>
    <w:rsid w:val="00053FA7"/>
    <w:rsid w:val="00054621"/>
    <w:rsid w:val="000546D7"/>
    <w:rsid w:val="0005586C"/>
    <w:rsid w:val="00056A92"/>
    <w:rsid w:val="0005709A"/>
    <w:rsid w:val="00060BC8"/>
    <w:rsid w:val="0006288C"/>
    <w:rsid w:val="00062FD8"/>
    <w:rsid w:val="00063C1A"/>
    <w:rsid w:val="0006433D"/>
    <w:rsid w:val="00065A35"/>
    <w:rsid w:val="00065B25"/>
    <w:rsid w:val="00065E17"/>
    <w:rsid w:val="00066237"/>
    <w:rsid w:val="00066360"/>
    <w:rsid w:val="000678B7"/>
    <w:rsid w:val="00070CEC"/>
    <w:rsid w:val="00071248"/>
    <w:rsid w:val="0007139F"/>
    <w:rsid w:val="000720B9"/>
    <w:rsid w:val="000737F7"/>
    <w:rsid w:val="00073DE6"/>
    <w:rsid w:val="00073F56"/>
    <w:rsid w:val="00074B5A"/>
    <w:rsid w:val="00074CE2"/>
    <w:rsid w:val="00074ECA"/>
    <w:rsid w:val="00074FEF"/>
    <w:rsid w:val="00075AFE"/>
    <w:rsid w:val="00075C56"/>
    <w:rsid w:val="0007672F"/>
    <w:rsid w:val="000774F0"/>
    <w:rsid w:val="00077DF5"/>
    <w:rsid w:val="00080909"/>
    <w:rsid w:val="000812CA"/>
    <w:rsid w:val="00081DCC"/>
    <w:rsid w:val="00082457"/>
    <w:rsid w:val="0008258D"/>
    <w:rsid w:val="00082ECF"/>
    <w:rsid w:val="00083711"/>
    <w:rsid w:val="00083CC9"/>
    <w:rsid w:val="00083E99"/>
    <w:rsid w:val="00084005"/>
    <w:rsid w:val="0008485A"/>
    <w:rsid w:val="000856C5"/>
    <w:rsid w:val="00085AF7"/>
    <w:rsid w:val="00090818"/>
    <w:rsid w:val="00090C7E"/>
    <w:rsid w:val="00091064"/>
    <w:rsid w:val="00091E2E"/>
    <w:rsid w:val="00092600"/>
    <w:rsid w:val="0009262B"/>
    <w:rsid w:val="00092A6A"/>
    <w:rsid w:val="00092D46"/>
    <w:rsid w:val="0009303F"/>
    <w:rsid w:val="00093310"/>
    <w:rsid w:val="00093F24"/>
    <w:rsid w:val="000941F2"/>
    <w:rsid w:val="0009444A"/>
    <w:rsid w:val="0009445C"/>
    <w:rsid w:val="00094677"/>
    <w:rsid w:val="00094DC6"/>
    <w:rsid w:val="000957C5"/>
    <w:rsid w:val="00095FE5"/>
    <w:rsid w:val="00096284"/>
    <w:rsid w:val="00096B6A"/>
    <w:rsid w:val="00097420"/>
    <w:rsid w:val="0009750C"/>
    <w:rsid w:val="000A0220"/>
    <w:rsid w:val="000A173A"/>
    <w:rsid w:val="000A186B"/>
    <w:rsid w:val="000A2313"/>
    <w:rsid w:val="000A2540"/>
    <w:rsid w:val="000A2BDC"/>
    <w:rsid w:val="000A37D5"/>
    <w:rsid w:val="000A3B80"/>
    <w:rsid w:val="000A3DA2"/>
    <w:rsid w:val="000A43E5"/>
    <w:rsid w:val="000A7D08"/>
    <w:rsid w:val="000B0670"/>
    <w:rsid w:val="000B0E75"/>
    <w:rsid w:val="000B1280"/>
    <w:rsid w:val="000B1971"/>
    <w:rsid w:val="000B2D7A"/>
    <w:rsid w:val="000B384C"/>
    <w:rsid w:val="000B3E2A"/>
    <w:rsid w:val="000B41A4"/>
    <w:rsid w:val="000B4224"/>
    <w:rsid w:val="000B54B5"/>
    <w:rsid w:val="000B6507"/>
    <w:rsid w:val="000B6CAC"/>
    <w:rsid w:val="000B7400"/>
    <w:rsid w:val="000B7612"/>
    <w:rsid w:val="000B7F1F"/>
    <w:rsid w:val="000C045D"/>
    <w:rsid w:val="000C0A1C"/>
    <w:rsid w:val="000C0A3A"/>
    <w:rsid w:val="000C1534"/>
    <w:rsid w:val="000C22A1"/>
    <w:rsid w:val="000C368B"/>
    <w:rsid w:val="000C3DF9"/>
    <w:rsid w:val="000C445F"/>
    <w:rsid w:val="000C49D6"/>
    <w:rsid w:val="000C57AD"/>
    <w:rsid w:val="000C5952"/>
    <w:rsid w:val="000C5C7D"/>
    <w:rsid w:val="000C6713"/>
    <w:rsid w:val="000D08AC"/>
    <w:rsid w:val="000D1BFC"/>
    <w:rsid w:val="000D281A"/>
    <w:rsid w:val="000D2BD7"/>
    <w:rsid w:val="000D326A"/>
    <w:rsid w:val="000D51FB"/>
    <w:rsid w:val="000D7658"/>
    <w:rsid w:val="000E0D71"/>
    <w:rsid w:val="000E135D"/>
    <w:rsid w:val="000E18F2"/>
    <w:rsid w:val="000E2010"/>
    <w:rsid w:val="000E28EA"/>
    <w:rsid w:val="000E3A6C"/>
    <w:rsid w:val="000E6143"/>
    <w:rsid w:val="000E6FDF"/>
    <w:rsid w:val="000E74ED"/>
    <w:rsid w:val="000E751A"/>
    <w:rsid w:val="000F00BA"/>
    <w:rsid w:val="000F06F8"/>
    <w:rsid w:val="000F0BC8"/>
    <w:rsid w:val="000F0CE9"/>
    <w:rsid w:val="000F1DEC"/>
    <w:rsid w:val="000F316A"/>
    <w:rsid w:val="000F33BC"/>
    <w:rsid w:val="000F3461"/>
    <w:rsid w:val="000F3C74"/>
    <w:rsid w:val="000F3DCB"/>
    <w:rsid w:val="000F4BB8"/>
    <w:rsid w:val="000F53CD"/>
    <w:rsid w:val="000F6519"/>
    <w:rsid w:val="000F66EB"/>
    <w:rsid w:val="000F6F7D"/>
    <w:rsid w:val="000F7127"/>
    <w:rsid w:val="00100F8A"/>
    <w:rsid w:val="0010267B"/>
    <w:rsid w:val="001026EF"/>
    <w:rsid w:val="001032C0"/>
    <w:rsid w:val="001055B7"/>
    <w:rsid w:val="00105AE2"/>
    <w:rsid w:val="00106040"/>
    <w:rsid w:val="00106B80"/>
    <w:rsid w:val="0011032E"/>
    <w:rsid w:val="00110EFF"/>
    <w:rsid w:val="0011348B"/>
    <w:rsid w:val="00113D1A"/>
    <w:rsid w:val="00114B08"/>
    <w:rsid w:val="00115982"/>
    <w:rsid w:val="00116C53"/>
    <w:rsid w:val="001172D8"/>
    <w:rsid w:val="00117DA7"/>
    <w:rsid w:val="00121074"/>
    <w:rsid w:val="00121799"/>
    <w:rsid w:val="0012180B"/>
    <w:rsid w:val="001222FC"/>
    <w:rsid w:val="0012337B"/>
    <w:rsid w:val="001236A4"/>
    <w:rsid w:val="00123BF3"/>
    <w:rsid w:val="00124A51"/>
    <w:rsid w:val="00126621"/>
    <w:rsid w:val="001266F0"/>
    <w:rsid w:val="00127EBD"/>
    <w:rsid w:val="001301E9"/>
    <w:rsid w:val="001309EB"/>
    <w:rsid w:val="00130A23"/>
    <w:rsid w:val="00131D82"/>
    <w:rsid w:val="00132425"/>
    <w:rsid w:val="001324A2"/>
    <w:rsid w:val="00133561"/>
    <w:rsid w:val="00133D36"/>
    <w:rsid w:val="00133F8F"/>
    <w:rsid w:val="001340B7"/>
    <w:rsid w:val="00135138"/>
    <w:rsid w:val="00135FD2"/>
    <w:rsid w:val="0013650B"/>
    <w:rsid w:val="00137580"/>
    <w:rsid w:val="00137645"/>
    <w:rsid w:val="0014015A"/>
    <w:rsid w:val="00140E99"/>
    <w:rsid w:val="00141B97"/>
    <w:rsid w:val="00143377"/>
    <w:rsid w:val="00143505"/>
    <w:rsid w:val="001452AD"/>
    <w:rsid w:val="00145386"/>
    <w:rsid w:val="00145540"/>
    <w:rsid w:val="001456B0"/>
    <w:rsid w:val="001463C1"/>
    <w:rsid w:val="00146D43"/>
    <w:rsid w:val="0015014F"/>
    <w:rsid w:val="001503D6"/>
    <w:rsid w:val="0015190C"/>
    <w:rsid w:val="00152D41"/>
    <w:rsid w:val="001531BB"/>
    <w:rsid w:val="00153895"/>
    <w:rsid w:val="0015393E"/>
    <w:rsid w:val="00153A38"/>
    <w:rsid w:val="00154D55"/>
    <w:rsid w:val="001551F4"/>
    <w:rsid w:val="001560BE"/>
    <w:rsid w:val="0015628F"/>
    <w:rsid w:val="00157055"/>
    <w:rsid w:val="00157130"/>
    <w:rsid w:val="0015760B"/>
    <w:rsid w:val="001576B1"/>
    <w:rsid w:val="00160A4C"/>
    <w:rsid w:val="001624D3"/>
    <w:rsid w:val="00162913"/>
    <w:rsid w:val="0016307C"/>
    <w:rsid w:val="001639C4"/>
    <w:rsid w:val="00163EFF"/>
    <w:rsid w:val="00164C66"/>
    <w:rsid w:val="001661FB"/>
    <w:rsid w:val="001679A4"/>
    <w:rsid w:val="00167C2D"/>
    <w:rsid w:val="0017003C"/>
    <w:rsid w:val="00170DE3"/>
    <w:rsid w:val="00171573"/>
    <w:rsid w:val="00171B46"/>
    <w:rsid w:val="00171E42"/>
    <w:rsid w:val="00172390"/>
    <w:rsid w:val="00173565"/>
    <w:rsid w:val="00173B07"/>
    <w:rsid w:val="00174254"/>
    <w:rsid w:val="0017459D"/>
    <w:rsid w:val="00175A92"/>
    <w:rsid w:val="00175E29"/>
    <w:rsid w:val="00181D9C"/>
    <w:rsid w:val="00181E53"/>
    <w:rsid w:val="00182BF8"/>
    <w:rsid w:val="001847DE"/>
    <w:rsid w:val="00184EA8"/>
    <w:rsid w:val="00184F87"/>
    <w:rsid w:val="00185A31"/>
    <w:rsid w:val="00185AB4"/>
    <w:rsid w:val="00186606"/>
    <w:rsid w:val="0018752F"/>
    <w:rsid w:val="00190A14"/>
    <w:rsid w:val="00195222"/>
    <w:rsid w:val="00195D55"/>
    <w:rsid w:val="001975D8"/>
    <w:rsid w:val="00197743"/>
    <w:rsid w:val="00197A19"/>
    <w:rsid w:val="001A2CD3"/>
    <w:rsid w:val="001A2D7F"/>
    <w:rsid w:val="001A43FA"/>
    <w:rsid w:val="001A5389"/>
    <w:rsid w:val="001A56DA"/>
    <w:rsid w:val="001A59FB"/>
    <w:rsid w:val="001A6354"/>
    <w:rsid w:val="001A6824"/>
    <w:rsid w:val="001A6BDC"/>
    <w:rsid w:val="001A7473"/>
    <w:rsid w:val="001A769E"/>
    <w:rsid w:val="001A7AE8"/>
    <w:rsid w:val="001B0794"/>
    <w:rsid w:val="001B19E6"/>
    <w:rsid w:val="001B204E"/>
    <w:rsid w:val="001B30F5"/>
    <w:rsid w:val="001B3443"/>
    <w:rsid w:val="001B36DE"/>
    <w:rsid w:val="001B3CAD"/>
    <w:rsid w:val="001B4D20"/>
    <w:rsid w:val="001B52E3"/>
    <w:rsid w:val="001B6579"/>
    <w:rsid w:val="001B7A03"/>
    <w:rsid w:val="001C05A7"/>
    <w:rsid w:val="001C116B"/>
    <w:rsid w:val="001C17A6"/>
    <w:rsid w:val="001C2A9B"/>
    <w:rsid w:val="001C3870"/>
    <w:rsid w:val="001C4299"/>
    <w:rsid w:val="001C5A01"/>
    <w:rsid w:val="001C5F94"/>
    <w:rsid w:val="001C6E66"/>
    <w:rsid w:val="001C7D34"/>
    <w:rsid w:val="001D0170"/>
    <w:rsid w:val="001D03D3"/>
    <w:rsid w:val="001D0A78"/>
    <w:rsid w:val="001D1493"/>
    <w:rsid w:val="001D36CE"/>
    <w:rsid w:val="001D4625"/>
    <w:rsid w:val="001D617D"/>
    <w:rsid w:val="001D77CF"/>
    <w:rsid w:val="001E238E"/>
    <w:rsid w:val="001E2483"/>
    <w:rsid w:val="001E2B1E"/>
    <w:rsid w:val="001E2EF1"/>
    <w:rsid w:val="001E30D4"/>
    <w:rsid w:val="001E42DC"/>
    <w:rsid w:val="001E4827"/>
    <w:rsid w:val="001E51F9"/>
    <w:rsid w:val="001E52EB"/>
    <w:rsid w:val="001E5FC0"/>
    <w:rsid w:val="001E6156"/>
    <w:rsid w:val="001E61D2"/>
    <w:rsid w:val="001E62FC"/>
    <w:rsid w:val="001E659C"/>
    <w:rsid w:val="001E740C"/>
    <w:rsid w:val="001F00FD"/>
    <w:rsid w:val="001F0953"/>
    <w:rsid w:val="001F1235"/>
    <w:rsid w:val="001F1CB3"/>
    <w:rsid w:val="001F36B8"/>
    <w:rsid w:val="001F38B5"/>
    <w:rsid w:val="001F420E"/>
    <w:rsid w:val="001F42C2"/>
    <w:rsid w:val="001F43D6"/>
    <w:rsid w:val="001F471E"/>
    <w:rsid w:val="001F63DB"/>
    <w:rsid w:val="001F7361"/>
    <w:rsid w:val="001F7CEC"/>
    <w:rsid w:val="002004A1"/>
    <w:rsid w:val="00200C11"/>
    <w:rsid w:val="00200DA2"/>
    <w:rsid w:val="0020116F"/>
    <w:rsid w:val="002011B0"/>
    <w:rsid w:val="00201476"/>
    <w:rsid w:val="00202958"/>
    <w:rsid w:val="00203181"/>
    <w:rsid w:val="00203783"/>
    <w:rsid w:val="0020385F"/>
    <w:rsid w:val="0020397E"/>
    <w:rsid w:val="002046FC"/>
    <w:rsid w:val="002050ED"/>
    <w:rsid w:val="002067E1"/>
    <w:rsid w:val="00207021"/>
    <w:rsid w:val="0020732F"/>
    <w:rsid w:val="002077CA"/>
    <w:rsid w:val="00207D00"/>
    <w:rsid w:val="002105C1"/>
    <w:rsid w:val="002112EE"/>
    <w:rsid w:val="002117EB"/>
    <w:rsid w:val="00211B05"/>
    <w:rsid w:val="00213571"/>
    <w:rsid w:val="00215CBF"/>
    <w:rsid w:val="00216369"/>
    <w:rsid w:val="00216C4F"/>
    <w:rsid w:val="00223B49"/>
    <w:rsid w:val="00224629"/>
    <w:rsid w:val="00224B5B"/>
    <w:rsid w:val="00224DD4"/>
    <w:rsid w:val="00224FDE"/>
    <w:rsid w:val="0022627F"/>
    <w:rsid w:val="002309BC"/>
    <w:rsid w:val="002309CC"/>
    <w:rsid w:val="0023162C"/>
    <w:rsid w:val="0023209F"/>
    <w:rsid w:val="002322C9"/>
    <w:rsid w:val="002323FF"/>
    <w:rsid w:val="002324C2"/>
    <w:rsid w:val="002325A2"/>
    <w:rsid w:val="00232601"/>
    <w:rsid w:val="0023305A"/>
    <w:rsid w:val="00233B62"/>
    <w:rsid w:val="00234B74"/>
    <w:rsid w:val="002357C0"/>
    <w:rsid w:val="002357E9"/>
    <w:rsid w:val="0023629D"/>
    <w:rsid w:val="002364C9"/>
    <w:rsid w:val="00237255"/>
    <w:rsid w:val="002373E3"/>
    <w:rsid w:val="00241540"/>
    <w:rsid w:val="00241A5D"/>
    <w:rsid w:val="00241C11"/>
    <w:rsid w:val="002420C2"/>
    <w:rsid w:val="002422BA"/>
    <w:rsid w:val="002424AF"/>
    <w:rsid w:val="00242B92"/>
    <w:rsid w:val="00242BB2"/>
    <w:rsid w:val="002439DC"/>
    <w:rsid w:val="0024400C"/>
    <w:rsid w:val="00244DC8"/>
    <w:rsid w:val="002458BA"/>
    <w:rsid w:val="0024636C"/>
    <w:rsid w:val="00246C07"/>
    <w:rsid w:val="00246E02"/>
    <w:rsid w:val="00247925"/>
    <w:rsid w:val="00251CE2"/>
    <w:rsid w:val="00252407"/>
    <w:rsid w:val="0025283F"/>
    <w:rsid w:val="00252B92"/>
    <w:rsid w:val="00252E64"/>
    <w:rsid w:val="00254DCF"/>
    <w:rsid w:val="0025534B"/>
    <w:rsid w:val="00255BB7"/>
    <w:rsid w:val="00255DA7"/>
    <w:rsid w:val="00256149"/>
    <w:rsid w:val="00256987"/>
    <w:rsid w:val="0025705E"/>
    <w:rsid w:val="00257541"/>
    <w:rsid w:val="002575F4"/>
    <w:rsid w:val="00261C1E"/>
    <w:rsid w:val="00262A1A"/>
    <w:rsid w:val="00262A87"/>
    <w:rsid w:val="00262C32"/>
    <w:rsid w:val="00263501"/>
    <w:rsid w:val="00263513"/>
    <w:rsid w:val="00263A5B"/>
    <w:rsid w:val="002643EA"/>
    <w:rsid w:val="00264D26"/>
    <w:rsid w:val="00264EB7"/>
    <w:rsid w:val="00265071"/>
    <w:rsid w:val="00265858"/>
    <w:rsid w:val="002663E7"/>
    <w:rsid w:val="00267642"/>
    <w:rsid w:val="00267AEA"/>
    <w:rsid w:val="002700E6"/>
    <w:rsid w:val="00270121"/>
    <w:rsid w:val="00271231"/>
    <w:rsid w:val="002715EE"/>
    <w:rsid w:val="00272007"/>
    <w:rsid w:val="0027294B"/>
    <w:rsid w:val="00274441"/>
    <w:rsid w:val="00274537"/>
    <w:rsid w:val="00275C5A"/>
    <w:rsid w:val="00276BD3"/>
    <w:rsid w:val="002808C4"/>
    <w:rsid w:val="00280CA2"/>
    <w:rsid w:val="00280FF5"/>
    <w:rsid w:val="00281014"/>
    <w:rsid w:val="00282B75"/>
    <w:rsid w:val="00283A04"/>
    <w:rsid w:val="00283D3A"/>
    <w:rsid w:val="00285355"/>
    <w:rsid w:val="00286E9B"/>
    <w:rsid w:val="00291080"/>
    <w:rsid w:val="002913EF"/>
    <w:rsid w:val="00294C85"/>
    <w:rsid w:val="00294DC1"/>
    <w:rsid w:val="002953D6"/>
    <w:rsid w:val="002959D3"/>
    <w:rsid w:val="0029653C"/>
    <w:rsid w:val="00296903"/>
    <w:rsid w:val="00296E0F"/>
    <w:rsid w:val="00297793"/>
    <w:rsid w:val="002A14AB"/>
    <w:rsid w:val="002A21A6"/>
    <w:rsid w:val="002A2F50"/>
    <w:rsid w:val="002A440D"/>
    <w:rsid w:val="002A498C"/>
    <w:rsid w:val="002A60CB"/>
    <w:rsid w:val="002A6E0E"/>
    <w:rsid w:val="002A6F1D"/>
    <w:rsid w:val="002B01FA"/>
    <w:rsid w:val="002B09A4"/>
    <w:rsid w:val="002B12E7"/>
    <w:rsid w:val="002B1A17"/>
    <w:rsid w:val="002B1AFB"/>
    <w:rsid w:val="002B1C1F"/>
    <w:rsid w:val="002B3A53"/>
    <w:rsid w:val="002B432F"/>
    <w:rsid w:val="002B43F3"/>
    <w:rsid w:val="002B4CDF"/>
    <w:rsid w:val="002B5530"/>
    <w:rsid w:val="002B5E8A"/>
    <w:rsid w:val="002B62B3"/>
    <w:rsid w:val="002B6754"/>
    <w:rsid w:val="002B6C36"/>
    <w:rsid w:val="002B6CCE"/>
    <w:rsid w:val="002B7394"/>
    <w:rsid w:val="002B7550"/>
    <w:rsid w:val="002C0690"/>
    <w:rsid w:val="002C2268"/>
    <w:rsid w:val="002C2510"/>
    <w:rsid w:val="002C25D1"/>
    <w:rsid w:val="002C2775"/>
    <w:rsid w:val="002C27C1"/>
    <w:rsid w:val="002C36D9"/>
    <w:rsid w:val="002C5099"/>
    <w:rsid w:val="002C5889"/>
    <w:rsid w:val="002C6BD1"/>
    <w:rsid w:val="002C71CE"/>
    <w:rsid w:val="002D39F0"/>
    <w:rsid w:val="002D41A6"/>
    <w:rsid w:val="002D577C"/>
    <w:rsid w:val="002D587A"/>
    <w:rsid w:val="002D638F"/>
    <w:rsid w:val="002D7271"/>
    <w:rsid w:val="002E15B9"/>
    <w:rsid w:val="002E1636"/>
    <w:rsid w:val="002E19D7"/>
    <w:rsid w:val="002E2158"/>
    <w:rsid w:val="002E3416"/>
    <w:rsid w:val="002E3866"/>
    <w:rsid w:val="002E44DC"/>
    <w:rsid w:val="002E44F9"/>
    <w:rsid w:val="002E60B0"/>
    <w:rsid w:val="002E6CBD"/>
    <w:rsid w:val="002E7722"/>
    <w:rsid w:val="002E791A"/>
    <w:rsid w:val="002F0359"/>
    <w:rsid w:val="002F07BA"/>
    <w:rsid w:val="002F0941"/>
    <w:rsid w:val="002F0DA9"/>
    <w:rsid w:val="002F1FD5"/>
    <w:rsid w:val="002F2F81"/>
    <w:rsid w:val="002F3301"/>
    <w:rsid w:val="002F3B4B"/>
    <w:rsid w:val="002F643C"/>
    <w:rsid w:val="002F6506"/>
    <w:rsid w:val="002F6BFD"/>
    <w:rsid w:val="002F7102"/>
    <w:rsid w:val="002F71C0"/>
    <w:rsid w:val="002F733E"/>
    <w:rsid w:val="00301017"/>
    <w:rsid w:val="0030155F"/>
    <w:rsid w:val="00301E30"/>
    <w:rsid w:val="003028C5"/>
    <w:rsid w:val="003029BA"/>
    <w:rsid w:val="00302C41"/>
    <w:rsid w:val="00304A19"/>
    <w:rsid w:val="0030587B"/>
    <w:rsid w:val="00305961"/>
    <w:rsid w:val="00305A04"/>
    <w:rsid w:val="003064DE"/>
    <w:rsid w:val="0030698D"/>
    <w:rsid w:val="00306AB9"/>
    <w:rsid w:val="00306D98"/>
    <w:rsid w:val="00307405"/>
    <w:rsid w:val="0030786C"/>
    <w:rsid w:val="0031031A"/>
    <w:rsid w:val="00310981"/>
    <w:rsid w:val="00312098"/>
    <w:rsid w:val="00312FDA"/>
    <w:rsid w:val="0031328F"/>
    <w:rsid w:val="00313953"/>
    <w:rsid w:val="003152C5"/>
    <w:rsid w:val="00315498"/>
    <w:rsid w:val="00320BF0"/>
    <w:rsid w:val="00321BF4"/>
    <w:rsid w:val="003220AF"/>
    <w:rsid w:val="00322107"/>
    <w:rsid w:val="00322846"/>
    <w:rsid w:val="003236F1"/>
    <w:rsid w:val="00323DFC"/>
    <w:rsid w:val="0032478C"/>
    <w:rsid w:val="0032604A"/>
    <w:rsid w:val="00326DA7"/>
    <w:rsid w:val="003270E4"/>
    <w:rsid w:val="00330F5C"/>
    <w:rsid w:val="003317F6"/>
    <w:rsid w:val="0033466A"/>
    <w:rsid w:val="00334779"/>
    <w:rsid w:val="00334BE5"/>
    <w:rsid w:val="00334F39"/>
    <w:rsid w:val="0033548B"/>
    <w:rsid w:val="003364B2"/>
    <w:rsid w:val="003366C9"/>
    <w:rsid w:val="003371B0"/>
    <w:rsid w:val="0033795F"/>
    <w:rsid w:val="00340A43"/>
    <w:rsid w:val="00340DF1"/>
    <w:rsid w:val="003424F0"/>
    <w:rsid w:val="0034565C"/>
    <w:rsid w:val="003456E4"/>
    <w:rsid w:val="00345B3C"/>
    <w:rsid w:val="003463CE"/>
    <w:rsid w:val="00347340"/>
    <w:rsid w:val="00347DF5"/>
    <w:rsid w:val="003517F9"/>
    <w:rsid w:val="00353CD2"/>
    <w:rsid w:val="003544C8"/>
    <w:rsid w:val="0035620E"/>
    <w:rsid w:val="003602A2"/>
    <w:rsid w:val="003611A5"/>
    <w:rsid w:val="003616DB"/>
    <w:rsid w:val="003624C4"/>
    <w:rsid w:val="003648F6"/>
    <w:rsid w:val="003654AC"/>
    <w:rsid w:val="00365C4B"/>
    <w:rsid w:val="00366575"/>
    <w:rsid w:val="0036675D"/>
    <w:rsid w:val="0037034D"/>
    <w:rsid w:val="00370937"/>
    <w:rsid w:val="003710CF"/>
    <w:rsid w:val="0037200C"/>
    <w:rsid w:val="003720C4"/>
    <w:rsid w:val="0037358A"/>
    <w:rsid w:val="003737A2"/>
    <w:rsid w:val="00374350"/>
    <w:rsid w:val="003748E7"/>
    <w:rsid w:val="003750F6"/>
    <w:rsid w:val="00375255"/>
    <w:rsid w:val="00375554"/>
    <w:rsid w:val="003760FC"/>
    <w:rsid w:val="00376950"/>
    <w:rsid w:val="003769BE"/>
    <w:rsid w:val="00381994"/>
    <w:rsid w:val="003824EC"/>
    <w:rsid w:val="0038365C"/>
    <w:rsid w:val="0038369B"/>
    <w:rsid w:val="00383B78"/>
    <w:rsid w:val="00385A9D"/>
    <w:rsid w:val="00387BC1"/>
    <w:rsid w:val="003902B1"/>
    <w:rsid w:val="0039225F"/>
    <w:rsid w:val="003932D9"/>
    <w:rsid w:val="0039397D"/>
    <w:rsid w:val="00394974"/>
    <w:rsid w:val="0039519F"/>
    <w:rsid w:val="00395B09"/>
    <w:rsid w:val="00396896"/>
    <w:rsid w:val="00396FD0"/>
    <w:rsid w:val="00397FA7"/>
    <w:rsid w:val="003A064B"/>
    <w:rsid w:val="003A0833"/>
    <w:rsid w:val="003A150D"/>
    <w:rsid w:val="003A1A7A"/>
    <w:rsid w:val="003A2392"/>
    <w:rsid w:val="003A282F"/>
    <w:rsid w:val="003A2831"/>
    <w:rsid w:val="003A2C74"/>
    <w:rsid w:val="003A2DA7"/>
    <w:rsid w:val="003A3417"/>
    <w:rsid w:val="003A3ED1"/>
    <w:rsid w:val="003A65F9"/>
    <w:rsid w:val="003A6718"/>
    <w:rsid w:val="003A692F"/>
    <w:rsid w:val="003A6C3F"/>
    <w:rsid w:val="003A6C73"/>
    <w:rsid w:val="003A6F7A"/>
    <w:rsid w:val="003A76C0"/>
    <w:rsid w:val="003B18AE"/>
    <w:rsid w:val="003B2DE1"/>
    <w:rsid w:val="003B4B7E"/>
    <w:rsid w:val="003B57A7"/>
    <w:rsid w:val="003B59F2"/>
    <w:rsid w:val="003B5B61"/>
    <w:rsid w:val="003B7B99"/>
    <w:rsid w:val="003C0937"/>
    <w:rsid w:val="003C1654"/>
    <w:rsid w:val="003C2798"/>
    <w:rsid w:val="003C279B"/>
    <w:rsid w:val="003C29DE"/>
    <w:rsid w:val="003C43E3"/>
    <w:rsid w:val="003C4F1F"/>
    <w:rsid w:val="003C50A5"/>
    <w:rsid w:val="003C537C"/>
    <w:rsid w:val="003C6D1C"/>
    <w:rsid w:val="003C7D19"/>
    <w:rsid w:val="003D02D3"/>
    <w:rsid w:val="003D1828"/>
    <w:rsid w:val="003D1DE4"/>
    <w:rsid w:val="003D2422"/>
    <w:rsid w:val="003D246E"/>
    <w:rsid w:val="003D2C4F"/>
    <w:rsid w:val="003D39A1"/>
    <w:rsid w:val="003D3FBF"/>
    <w:rsid w:val="003D48C1"/>
    <w:rsid w:val="003D4A30"/>
    <w:rsid w:val="003D5597"/>
    <w:rsid w:val="003D589E"/>
    <w:rsid w:val="003D59F4"/>
    <w:rsid w:val="003D79BB"/>
    <w:rsid w:val="003D7C98"/>
    <w:rsid w:val="003E0543"/>
    <w:rsid w:val="003E11B5"/>
    <w:rsid w:val="003E1270"/>
    <w:rsid w:val="003E1697"/>
    <w:rsid w:val="003E2FAD"/>
    <w:rsid w:val="003E3100"/>
    <w:rsid w:val="003E36D7"/>
    <w:rsid w:val="003E5865"/>
    <w:rsid w:val="003E624B"/>
    <w:rsid w:val="003E6E5F"/>
    <w:rsid w:val="003E75EA"/>
    <w:rsid w:val="003E7A57"/>
    <w:rsid w:val="003F0FA4"/>
    <w:rsid w:val="003F163C"/>
    <w:rsid w:val="003F17C4"/>
    <w:rsid w:val="003F17FE"/>
    <w:rsid w:val="003F19F1"/>
    <w:rsid w:val="003F2BEF"/>
    <w:rsid w:val="003F340B"/>
    <w:rsid w:val="003F39A9"/>
    <w:rsid w:val="003F3B0B"/>
    <w:rsid w:val="003F4156"/>
    <w:rsid w:val="003F4208"/>
    <w:rsid w:val="003F45C7"/>
    <w:rsid w:val="003F5CCF"/>
    <w:rsid w:val="003F7675"/>
    <w:rsid w:val="004001A0"/>
    <w:rsid w:val="00400348"/>
    <w:rsid w:val="00400B29"/>
    <w:rsid w:val="00401384"/>
    <w:rsid w:val="004020A7"/>
    <w:rsid w:val="00402283"/>
    <w:rsid w:val="004041DF"/>
    <w:rsid w:val="00404672"/>
    <w:rsid w:val="00404A59"/>
    <w:rsid w:val="00404D24"/>
    <w:rsid w:val="0040504B"/>
    <w:rsid w:val="00406682"/>
    <w:rsid w:val="00406BA1"/>
    <w:rsid w:val="004074E0"/>
    <w:rsid w:val="00410708"/>
    <w:rsid w:val="004108D2"/>
    <w:rsid w:val="00410EC7"/>
    <w:rsid w:val="00411B39"/>
    <w:rsid w:val="00413A1E"/>
    <w:rsid w:val="00414476"/>
    <w:rsid w:val="00414C2E"/>
    <w:rsid w:val="004151CF"/>
    <w:rsid w:val="0041601D"/>
    <w:rsid w:val="00416364"/>
    <w:rsid w:val="0041778F"/>
    <w:rsid w:val="00420AA6"/>
    <w:rsid w:val="00420B9F"/>
    <w:rsid w:val="004213AE"/>
    <w:rsid w:val="00422260"/>
    <w:rsid w:val="00422983"/>
    <w:rsid w:val="004229C3"/>
    <w:rsid w:val="00422E27"/>
    <w:rsid w:val="00423AE1"/>
    <w:rsid w:val="00423B80"/>
    <w:rsid w:val="0042413F"/>
    <w:rsid w:val="0042450A"/>
    <w:rsid w:val="00424C0B"/>
    <w:rsid w:val="004251B9"/>
    <w:rsid w:val="00425478"/>
    <w:rsid w:val="00426088"/>
    <w:rsid w:val="00426C26"/>
    <w:rsid w:val="00426EEE"/>
    <w:rsid w:val="004273E2"/>
    <w:rsid w:val="004319F8"/>
    <w:rsid w:val="00431E55"/>
    <w:rsid w:val="004321F6"/>
    <w:rsid w:val="00433044"/>
    <w:rsid w:val="004344A7"/>
    <w:rsid w:val="004359DE"/>
    <w:rsid w:val="004375B9"/>
    <w:rsid w:val="0044067F"/>
    <w:rsid w:val="004408BA"/>
    <w:rsid w:val="00440EF3"/>
    <w:rsid w:val="0044123C"/>
    <w:rsid w:val="00441E84"/>
    <w:rsid w:val="00442356"/>
    <w:rsid w:val="00442556"/>
    <w:rsid w:val="004428D0"/>
    <w:rsid w:val="00442972"/>
    <w:rsid w:val="00443798"/>
    <w:rsid w:val="004443A7"/>
    <w:rsid w:val="0044442C"/>
    <w:rsid w:val="00444A3F"/>
    <w:rsid w:val="004452CA"/>
    <w:rsid w:val="00445941"/>
    <w:rsid w:val="00445B87"/>
    <w:rsid w:val="004464EB"/>
    <w:rsid w:val="00447D26"/>
    <w:rsid w:val="00447FB1"/>
    <w:rsid w:val="004503FA"/>
    <w:rsid w:val="00452759"/>
    <w:rsid w:val="004530C3"/>
    <w:rsid w:val="00453D43"/>
    <w:rsid w:val="0045414C"/>
    <w:rsid w:val="004548A9"/>
    <w:rsid w:val="00455135"/>
    <w:rsid w:val="004556BF"/>
    <w:rsid w:val="00455D45"/>
    <w:rsid w:val="00455D79"/>
    <w:rsid w:val="00456AE6"/>
    <w:rsid w:val="00456E19"/>
    <w:rsid w:val="004574D5"/>
    <w:rsid w:val="004575EF"/>
    <w:rsid w:val="00460D13"/>
    <w:rsid w:val="00460D74"/>
    <w:rsid w:val="00460E82"/>
    <w:rsid w:val="00463198"/>
    <w:rsid w:val="00464595"/>
    <w:rsid w:val="00467971"/>
    <w:rsid w:val="00467BBB"/>
    <w:rsid w:val="00467EE1"/>
    <w:rsid w:val="004712AC"/>
    <w:rsid w:val="00471EC9"/>
    <w:rsid w:val="004728D8"/>
    <w:rsid w:val="00472A79"/>
    <w:rsid w:val="004734ED"/>
    <w:rsid w:val="00473AE2"/>
    <w:rsid w:val="00473F19"/>
    <w:rsid w:val="00474221"/>
    <w:rsid w:val="0047436F"/>
    <w:rsid w:val="00475E22"/>
    <w:rsid w:val="00476611"/>
    <w:rsid w:val="00476FF5"/>
    <w:rsid w:val="0047759C"/>
    <w:rsid w:val="00480275"/>
    <w:rsid w:val="0048088E"/>
    <w:rsid w:val="00480F32"/>
    <w:rsid w:val="0048136E"/>
    <w:rsid w:val="00481853"/>
    <w:rsid w:val="00481DBA"/>
    <w:rsid w:val="00482720"/>
    <w:rsid w:val="00482729"/>
    <w:rsid w:val="00482886"/>
    <w:rsid w:val="00482A60"/>
    <w:rsid w:val="004835E7"/>
    <w:rsid w:val="00483707"/>
    <w:rsid w:val="004841DB"/>
    <w:rsid w:val="00485475"/>
    <w:rsid w:val="004867E2"/>
    <w:rsid w:val="00490B8C"/>
    <w:rsid w:val="00490C0D"/>
    <w:rsid w:val="00491B3A"/>
    <w:rsid w:val="00492A52"/>
    <w:rsid w:val="00492CFD"/>
    <w:rsid w:val="004931D0"/>
    <w:rsid w:val="0049372D"/>
    <w:rsid w:val="00494236"/>
    <w:rsid w:val="00494770"/>
    <w:rsid w:val="00494DD5"/>
    <w:rsid w:val="004956F0"/>
    <w:rsid w:val="004962D2"/>
    <w:rsid w:val="00496CE6"/>
    <w:rsid w:val="004A048B"/>
    <w:rsid w:val="004A0626"/>
    <w:rsid w:val="004A0DA1"/>
    <w:rsid w:val="004A0E12"/>
    <w:rsid w:val="004A1DEA"/>
    <w:rsid w:val="004A1EB6"/>
    <w:rsid w:val="004A1F16"/>
    <w:rsid w:val="004A3B57"/>
    <w:rsid w:val="004A4B79"/>
    <w:rsid w:val="004A4DDA"/>
    <w:rsid w:val="004A52E9"/>
    <w:rsid w:val="004A52FE"/>
    <w:rsid w:val="004A6183"/>
    <w:rsid w:val="004A6597"/>
    <w:rsid w:val="004A7848"/>
    <w:rsid w:val="004B0197"/>
    <w:rsid w:val="004B0739"/>
    <w:rsid w:val="004B1530"/>
    <w:rsid w:val="004B1CB4"/>
    <w:rsid w:val="004B2F18"/>
    <w:rsid w:val="004B3B9F"/>
    <w:rsid w:val="004B3CB2"/>
    <w:rsid w:val="004B3DDB"/>
    <w:rsid w:val="004B3F72"/>
    <w:rsid w:val="004B41C8"/>
    <w:rsid w:val="004B44FD"/>
    <w:rsid w:val="004B5CFC"/>
    <w:rsid w:val="004B5FF3"/>
    <w:rsid w:val="004B774D"/>
    <w:rsid w:val="004C00CC"/>
    <w:rsid w:val="004C16AB"/>
    <w:rsid w:val="004C18DD"/>
    <w:rsid w:val="004C25D3"/>
    <w:rsid w:val="004C2BC8"/>
    <w:rsid w:val="004C351D"/>
    <w:rsid w:val="004C3BE9"/>
    <w:rsid w:val="004C3C28"/>
    <w:rsid w:val="004C4AED"/>
    <w:rsid w:val="004C76BC"/>
    <w:rsid w:val="004C7E54"/>
    <w:rsid w:val="004D14D8"/>
    <w:rsid w:val="004D1818"/>
    <w:rsid w:val="004D2C2D"/>
    <w:rsid w:val="004D2C5C"/>
    <w:rsid w:val="004D4488"/>
    <w:rsid w:val="004D4C70"/>
    <w:rsid w:val="004D4E1C"/>
    <w:rsid w:val="004D5A2F"/>
    <w:rsid w:val="004D5F78"/>
    <w:rsid w:val="004D7227"/>
    <w:rsid w:val="004D79E0"/>
    <w:rsid w:val="004D7EC3"/>
    <w:rsid w:val="004E0390"/>
    <w:rsid w:val="004E0E7F"/>
    <w:rsid w:val="004E0EB8"/>
    <w:rsid w:val="004E2ADC"/>
    <w:rsid w:val="004E4018"/>
    <w:rsid w:val="004E404C"/>
    <w:rsid w:val="004E43B2"/>
    <w:rsid w:val="004E5AEC"/>
    <w:rsid w:val="004E5DE1"/>
    <w:rsid w:val="004E7384"/>
    <w:rsid w:val="004F1D02"/>
    <w:rsid w:val="004F22FD"/>
    <w:rsid w:val="004F2679"/>
    <w:rsid w:val="004F2F21"/>
    <w:rsid w:val="004F4F1F"/>
    <w:rsid w:val="004F617B"/>
    <w:rsid w:val="004F6913"/>
    <w:rsid w:val="004F6E02"/>
    <w:rsid w:val="004F7865"/>
    <w:rsid w:val="004F792B"/>
    <w:rsid w:val="0050219B"/>
    <w:rsid w:val="005026FC"/>
    <w:rsid w:val="00502B18"/>
    <w:rsid w:val="00502FE3"/>
    <w:rsid w:val="00503F17"/>
    <w:rsid w:val="0050413C"/>
    <w:rsid w:val="00505C6A"/>
    <w:rsid w:val="00505E10"/>
    <w:rsid w:val="00506928"/>
    <w:rsid w:val="00506D57"/>
    <w:rsid w:val="005073D0"/>
    <w:rsid w:val="005075EE"/>
    <w:rsid w:val="005107DD"/>
    <w:rsid w:val="00511164"/>
    <w:rsid w:val="00511435"/>
    <w:rsid w:val="00511AC5"/>
    <w:rsid w:val="00511EF0"/>
    <w:rsid w:val="0051228C"/>
    <w:rsid w:val="005152B5"/>
    <w:rsid w:val="00515626"/>
    <w:rsid w:val="00520F90"/>
    <w:rsid w:val="00521319"/>
    <w:rsid w:val="00521E4E"/>
    <w:rsid w:val="00522212"/>
    <w:rsid w:val="00522282"/>
    <w:rsid w:val="00522BC8"/>
    <w:rsid w:val="00523C28"/>
    <w:rsid w:val="00523FE8"/>
    <w:rsid w:val="0052469A"/>
    <w:rsid w:val="00524AF4"/>
    <w:rsid w:val="00525BA5"/>
    <w:rsid w:val="00525DFB"/>
    <w:rsid w:val="0052661F"/>
    <w:rsid w:val="00526D55"/>
    <w:rsid w:val="00527941"/>
    <w:rsid w:val="00530B73"/>
    <w:rsid w:val="00532598"/>
    <w:rsid w:val="005329D0"/>
    <w:rsid w:val="00532B8E"/>
    <w:rsid w:val="00533ECF"/>
    <w:rsid w:val="005345D9"/>
    <w:rsid w:val="00534A51"/>
    <w:rsid w:val="00534C6A"/>
    <w:rsid w:val="005359FA"/>
    <w:rsid w:val="00535D4A"/>
    <w:rsid w:val="00536F42"/>
    <w:rsid w:val="00537182"/>
    <w:rsid w:val="005372DE"/>
    <w:rsid w:val="00540AD5"/>
    <w:rsid w:val="00542743"/>
    <w:rsid w:val="00542C2D"/>
    <w:rsid w:val="005440D2"/>
    <w:rsid w:val="00544793"/>
    <w:rsid w:val="00545921"/>
    <w:rsid w:val="00545B12"/>
    <w:rsid w:val="00546141"/>
    <w:rsid w:val="00546CD4"/>
    <w:rsid w:val="00546F37"/>
    <w:rsid w:val="00547944"/>
    <w:rsid w:val="00551834"/>
    <w:rsid w:val="00551985"/>
    <w:rsid w:val="00552BD3"/>
    <w:rsid w:val="005537DC"/>
    <w:rsid w:val="005543E4"/>
    <w:rsid w:val="00554820"/>
    <w:rsid w:val="00554841"/>
    <w:rsid w:val="00554EDF"/>
    <w:rsid w:val="00555109"/>
    <w:rsid w:val="00556016"/>
    <w:rsid w:val="005577BF"/>
    <w:rsid w:val="005619C1"/>
    <w:rsid w:val="0056305C"/>
    <w:rsid w:val="005648A4"/>
    <w:rsid w:val="0056582A"/>
    <w:rsid w:val="0056696F"/>
    <w:rsid w:val="00566999"/>
    <w:rsid w:val="00567763"/>
    <w:rsid w:val="00567794"/>
    <w:rsid w:val="00570CD0"/>
    <w:rsid w:val="005710D9"/>
    <w:rsid w:val="005713C6"/>
    <w:rsid w:val="00572269"/>
    <w:rsid w:val="0057244A"/>
    <w:rsid w:val="0057269B"/>
    <w:rsid w:val="0057341F"/>
    <w:rsid w:val="005735F2"/>
    <w:rsid w:val="00573E81"/>
    <w:rsid w:val="00574365"/>
    <w:rsid w:val="005747C8"/>
    <w:rsid w:val="00574A8A"/>
    <w:rsid w:val="00575055"/>
    <w:rsid w:val="00575D8D"/>
    <w:rsid w:val="00576972"/>
    <w:rsid w:val="00577D4E"/>
    <w:rsid w:val="0058046D"/>
    <w:rsid w:val="005804C8"/>
    <w:rsid w:val="005805E6"/>
    <w:rsid w:val="0058316B"/>
    <w:rsid w:val="005834AF"/>
    <w:rsid w:val="005834FA"/>
    <w:rsid w:val="00583699"/>
    <w:rsid w:val="005837D8"/>
    <w:rsid w:val="00583E7B"/>
    <w:rsid w:val="00584DD6"/>
    <w:rsid w:val="00585CDD"/>
    <w:rsid w:val="00586655"/>
    <w:rsid w:val="00586A20"/>
    <w:rsid w:val="00586F19"/>
    <w:rsid w:val="00587058"/>
    <w:rsid w:val="005900F2"/>
    <w:rsid w:val="00591151"/>
    <w:rsid w:val="00591896"/>
    <w:rsid w:val="00591957"/>
    <w:rsid w:val="00591AE5"/>
    <w:rsid w:val="00592716"/>
    <w:rsid w:val="00592E89"/>
    <w:rsid w:val="00593301"/>
    <w:rsid w:val="00593619"/>
    <w:rsid w:val="00593ED7"/>
    <w:rsid w:val="00594330"/>
    <w:rsid w:val="005947DB"/>
    <w:rsid w:val="0059556E"/>
    <w:rsid w:val="005974D6"/>
    <w:rsid w:val="00597BF9"/>
    <w:rsid w:val="00597DF5"/>
    <w:rsid w:val="005A174C"/>
    <w:rsid w:val="005A27C5"/>
    <w:rsid w:val="005A36DC"/>
    <w:rsid w:val="005A373D"/>
    <w:rsid w:val="005A48F6"/>
    <w:rsid w:val="005A4BB2"/>
    <w:rsid w:val="005A4DC1"/>
    <w:rsid w:val="005A614F"/>
    <w:rsid w:val="005A78CA"/>
    <w:rsid w:val="005A7C12"/>
    <w:rsid w:val="005B1157"/>
    <w:rsid w:val="005B17DD"/>
    <w:rsid w:val="005B4C31"/>
    <w:rsid w:val="005B5857"/>
    <w:rsid w:val="005B6ACD"/>
    <w:rsid w:val="005B6DBB"/>
    <w:rsid w:val="005C03FC"/>
    <w:rsid w:val="005C1B83"/>
    <w:rsid w:val="005C2D55"/>
    <w:rsid w:val="005C346B"/>
    <w:rsid w:val="005C352E"/>
    <w:rsid w:val="005C4E09"/>
    <w:rsid w:val="005C5C4C"/>
    <w:rsid w:val="005C670A"/>
    <w:rsid w:val="005D044D"/>
    <w:rsid w:val="005D0ABD"/>
    <w:rsid w:val="005D0D09"/>
    <w:rsid w:val="005D0F21"/>
    <w:rsid w:val="005D1699"/>
    <w:rsid w:val="005D18AD"/>
    <w:rsid w:val="005D1915"/>
    <w:rsid w:val="005D216F"/>
    <w:rsid w:val="005D26B4"/>
    <w:rsid w:val="005D2C73"/>
    <w:rsid w:val="005D3075"/>
    <w:rsid w:val="005D3548"/>
    <w:rsid w:val="005D3C39"/>
    <w:rsid w:val="005D3DB9"/>
    <w:rsid w:val="005D581B"/>
    <w:rsid w:val="005E00D0"/>
    <w:rsid w:val="005E0E2C"/>
    <w:rsid w:val="005E1D5B"/>
    <w:rsid w:val="005E25D6"/>
    <w:rsid w:val="005E2BA6"/>
    <w:rsid w:val="005E6CBC"/>
    <w:rsid w:val="005E73C0"/>
    <w:rsid w:val="005E77B4"/>
    <w:rsid w:val="005E7AE5"/>
    <w:rsid w:val="005F0217"/>
    <w:rsid w:val="005F1EF7"/>
    <w:rsid w:val="005F2706"/>
    <w:rsid w:val="005F3017"/>
    <w:rsid w:val="005F3574"/>
    <w:rsid w:val="005F6A8F"/>
    <w:rsid w:val="005F6CC3"/>
    <w:rsid w:val="005F6D62"/>
    <w:rsid w:val="005F7DE4"/>
    <w:rsid w:val="00600C3F"/>
    <w:rsid w:val="00600E69"/>
    <w:rsid w:val="006013E7"/>
    <w:rsid w:val="0060372D"/>
    <w:rsid w:val="00603C62"/>
    <w:rsid w:val="00603CA0"/>
    <w:rsid w:val="00603DB9"/>
    <w:rsid w:val="00605DBE"/>
    <w:rsid w:val="00606CFE"/>
    <w:rsid w:val="00606F99"/>
    <w:rsid w:val="00607669"/>
    <w:rsid w:val="00607AFD"/>
    <w:rsid w:val="00610025"/>
    <w:rsid w:val="006104CC"/>
    <w:rsid w:val="00610AC8"/>
    <w:rsid w:val="0061169F"/>
    <w:rsid w:val="00611794"/>
    <w:rsid w:val="006118D2"/>
    <w:rsid w:val="00611CE0"/>
    <w:rsid w:val="0061241B"/>
    <w:rsid w:val="00612F97"/>
    <w:rsid w:val="0061345D"/>
    <w:rsid w:val="00615371"/>
    <w:rsid w:val="00616802"/>
    <w:rsid w:val="0061724F"/>
    <w:rsid w:val="00617E12"/>
    <w:rsid w:val="0062055F"/>
    <w:rsid w:val="00620F0C"/>
    <w:rsid w:val="00620FEE"/>
    <w:rsid w:val="00621477"/>
    <w:rsid w:val="00622579"/>
    <w:rsid w:val="006225AA"/>
    <w:rsid w:val="00623527"/>
    <w:rsid w:val="006240AB"/>
    <w:rsid w:val="00624B4A"/>
    <w:rsid w:val="00624F07"/>
    <w:rsid w:val="00625545"/>
    <w:rsid w:val="00625B93"/>
    <w:rsid w:val="00626436"/>
    <w:rsid w:val="00627A99"/>
    <w:rsid w:val="00627BAA"/>
    <w:rsid w:val="0063158F"/>
    <w:rsid w:val="00631920"/>
    <w:rsid w:val="00631D6B"/>
    <w:rsid w:val="0063213A"/>
    <w:rsid w:val="00632D83"/>
    <w:rsid w:val="006330A1"/>
    <w:rsid w:val="00633E3E"/>
    <w:rsid w:val="0063479F"/>
    <w:rsid w:val="006348FC"/>
    <w:rsid w:val="00635374"/>
    <w:rsid w:val="006353F0"/>
    <w:rsid w:val="00635538"/>
    <w:rsid w:val="006364A1"/>
    <w:rsid w:val="00636E3F"/>
    <w:rsid w:val="00637BFD"/>
    <w:rsid w:val="00640867"/>
    <w:rsid w:val="00641B91"/>
    <w:rsid w:val="00641C4E"/>
    <w:rsid w:val="00643495"/>
    <w:rsid w:val="00643BC9"/>
    <w:rsid w:val="00644037"/>
    <w:rsid w:val="0064476A"/>
    <w:rsid w:val="00644C5E"/>
    <w:rsid w:val="006453CD"/>
    <w:rsid w:val="00646DDC"/>
    <w:rsid w:val="006471CC"/>
    <w:rsid w:val="006472BD"/>
    <w:rsid w:val="0065079F"/>
    <w:rsid w:val="006526DC"/>
    <w:rsid w:val="00652796"/>
    <w:rsid w:val="0065379F"/>
    <w:rsid w:val="0065387A"/>
    <w:rsid w:val="006566C2"/>
    <w:rsid w:val="006577B1"/>
    <w:rsid w:val="006577E1"/>
    <w:rsid w:val="00657F13"/>
    <w:rsid w:val="00660AEB"/>
    <w:rsid w:val="00660C9E"/>
    <w:rsid w:val="00660F57"/>
    <w:rsid w:val="00661C6B"/>
    <w:rsid w:val="0066265A"/>
    <w:rsid w:val="00662AFF"/>
    <w:rsid w:val="00663375"/>
    <w:rsid w:val="006640DE"/>
    <w:rsid w:val="00664BBE"/>
    <w:rsid w:val="00666E6A"/>
    <w:rsid w:val="00667D24"/>
    <w:rsid w:val="00670DE9"/>
    <w:rsid w:val="006716D8"/>
    <w:rsid w:val="006733D4"/>
    <w:rsid w:val="0067384C"/>
    <w:rsid w:val="00674E42"/>
    <w:rsid w:val="006759F9"/>
    <w:rsid w:val="00676225"/>
    <w:rsid w:val="00676F8E"/>
    <w:rsid w:val="00677000"/>
    <w:rsid w:val="00677860"/>
    <w:rsid w:val="00677B0F"/>
    <w:rsid w:val="00680521"/>
    <w:rsid w:val="0068117C"/>
    <w:rsid w:val="00682112"/>
    <w:rsid w:val="0068273A"/>
    <w:rsid w:val="006832CC"/>
    <w:rsid w:val="0068441B"/>
    <w:rsid w:val="00685C59"/>
    <w:rsid w:val="00686957"/>
    <w:rsid w:val="00686B87"/>
    <w:rsid w:val="00686E47"/>
    <w:rsid w:val="006872BA"/>
    <w:rsid w:val="006875CA"/>
    <w:rsid w:val="00687BFE"/>
    <w:rsid w:val="006909AC"/>
    <w:rsid w:val="00691388"/>
    <w:rsid w:val="00691648"/>
    <w:rsid w:val="006917D7"/>
    <w:rsid w:val="00691EE2"/>
    <w:rsid w:val="0069267D"/>
    <w:rsid w:val="00692740"/>
    <w:rsid w:val="00692E9C"/>
    <w:rsid w:val="00694504"/>
    <w:rsid w:val="006946B8"/>
    <w:rsid w:val="00694F44"/>
    <w:rsid w:val="006950C0"/>
    <w:rsid w:val="00695CDA"/>
    <w:rsid w:val="00695F77"/>
    <w:rsid w:val="00696679"/>
    <w:rsid w:val="00696741"/>
    <w:rsid w:val="00696E63"/>
    <w:rsid w:val="006A0987"/>
    <w:rsid w:val="006A14A7"/>
    <w:rsid w:val="006A1876"/>
    <w:rsid w:val="006A220C"/>
    <w:rsid w:val="006A2B88"/>
    <w:rsid w:val="006A3AD7"/>
    <w:rsid w:val="006A3D31"/>
    <w:rsid w:val="006A46F0"/>
    <w:rsid w:val="006A4779"/>
    <w:rsid w:val="006A48A6"/>
    <w:rsid w:val="006A48B5"/>
    <w:rsid w:val="006A5484"/>
    <w:rsid w:val="006A563B"/>
    <w:rsid w:val="006A6E02"/>
    <w:rsid w:val="006A7E5F"/>
    <w:rsid w:val="006B024A"/>
    <w:rsid w:val="006B0684"/>
    <w:rsid w:val="006B261B"/>
    <w:rsid w:val="006B2C90"/>
    <w:rsid w:val="006B4569"/>
    <w:rsid w:val="006B5532"/>
    <w:rsid w:val="006B596F"/>
    <w:rsid w:val="006B624F"/>
    <w:rsid w:val="006B6DD0"/>
    <w:rsid w:val="006C10AC"/>
    <w:rsid w:val="006C15AA"/>
    <w:rsid w:val="006C1608"/>
    <w:rsid w:val="006C20A5"/>
    <w:rsid w:val="006C2A8E"/>
    <w:rsid w:val="006C2ADF"/>
    <w:rsid w:val="006C2B6E"/>
    <w:rsid w:val="006C3627"/>
    <w:rsid w:val="006C469C"/>
    <w:rsid w:val="006C4843"/>
    <w:rsid w:val="006C5D15"/>
    <w:rsid w:val="006C7A16"/>
    <w:rsid w:val="006D0BAF"/>
    <w:rsid w:val="006D3C7D"/>
    <w:rsid w:val="006D4F61"/>
    <w:rsid w:val="006D500F"/>
    <w:rsid w:val="006D541A"/>
    <w:rsid w:val="006D5D5F"/>
    <w:rsid w:val="006D63A0"/>
    <w:rsid w:val="006D6EDF"/>
    <w:rsid w:val="006E01AC"/>
    <w:rsid w:val="006E0BD2"/>
    <w:rsid w:val="006E1004"/>
    <w:rsid w:val="006E3037"/>
    <w:rsid w:val="006E3204"/>
    <w:rsid w:val="006E624D"/>
    <w:rsid w:val="006E75C0"/>
    <w:rsid w:val="006F097F"/>
    <w:rsid w:val="006F12D1"/>
    <w:rsid w:val="006F15C2"/>
    <w:rsid w:val="006F2C71"/>
    <w:rsid w:val="006F2ED0"/>
    <w:rsid w:val="006F306C"/>
    <w:rsid w:val="006F40A8"/>
    <w:rsid w:val="006F4AB3"/>
    <w:rsid w:val="006F5BA1"/>
    <w:rsid w:val="006F63A5"/>
    <w:rsid w:val="00700653"/>
    <w:rsid w:val="0070142B"/>
    <w:rsid w:val="007015FB"/>
    <w:rsid w:val="00701F69"/>
    <w:rsid w:val="0070276E"/>
    <w:rsid w:val="00702F8F"/>
    <w:rsid w:val="007042B8"/>
    <w:rsid w:val="00707238"/>
    <w:rsid w:val="007072C9"/>
    <w:rsid w:val="00710246"/>
    <w:rsid w:val="00710353"/>
    <w:rsid w:val="00710510"/>
    <w:rsid w:val="0071072E"/>
    <w:rsid w:val="00711A36"/>
    <w:rsid w:val="007123E7"/>
    <w:rsid w:val="007126D4"/>
    <w:rsid w:val="00712779"/>
    <w:rsid w:val="007129FE"/>
    <w:rsid w:val="0071529C"/>
    <w:rsid w:val="00715C37"/>
    <w:rsid w:val="007172AD"/>
    <w:rsid w:val="00721126"/>
    <w:rsid w:val="00721DEE"/>
    <w:rsid w:val="00722093"/>
    <w:rsid w:val="00722AC2"/>
    <w:rsid w:val="00722B1B"/>
    <w:rsid w:val="00722BBE"/>
    <w:rsid w:val="00723781"/>
    <w:rsid w:val="0072416F"/>
    <w:rsid w:val="00727C94"/>
    <w:rsid w:val="00727D2D"/>
    <w:rsid w:val="00730E68"/>
    <w:rsid w:val="00730F11"/>
    <w:rsid w:val="00731EAE"/>
    <w:rsid w:val="00733305"/>
    <w:rsid w:val="00734902"/>
    <w:rsid w:val="00734E1E"/>
    <w:rsid w:val="00735033"/>
    <w:rsid w:val="00735328"/>
    <w:rsid w:val="0073571E"/>
    <w:rsid w:val="0073626A"/>
    <w:rsid w:val="00736636"/>
    <w:rsid w:val="0073685B"/>
    <w:rsid w:val="00737778"/>
    <w:rsid w:val="00737900"/>
    <w:rsid w:val="00737ED4"/>
    <w:rsid w:val="00740614"/>
    <w:rsid w:val="00740B8D"/>
    <w:rsid w:val="00741328"/>
    <w:rsid w:val="00741F4B"/>
    <w:rsid w:val="00742649"/>
    <w:rsid w:val="007436B1"/>
    <w:rsid w:val="0074407B"/>
    <w:rsid w:val="0074435E"/>
    <w:rsid w:val="007451DC"/>
    <w:rsid w:val="0074542F"/>
    <w:rsid w:val="00745B55"/>
    <w:rsid w:val="0074623D"/>
    <w:rsid w:val="00746F88"/>
    <w:rsid w:val="007472A5"/>
    <w:rsid w:val="0075007E"/>
    <w:rsid w:val="007500AC"/>
    <w:rsid w:val="00750BE0"/>
    <w:rsid w:val="00750C7C"/>
    <w:rsid w:val="00750DDE"/>
    <w:rsid w:val="00750E27"/>
    <w:rsid w:val="007510F9"/>
    <w:rsid w:val="00752142"/>
    <w:rsid w:val="007523F9"/>
    <w:rsid w:val="00752D8F"/>
    <w:rsid w:val="007530A0"/>
    <w:rsid w:val="00753DBB"/>
    <w:rsid w:val="007541B3"/>
    <w:rsid w:val="007548F9"/>
    <w:rsid w:val="00755205"/>
    <w:rsid w:val="007573E8"/>
    <w:rsid w:val="00760C4E"/>
    <w:rsid w:val="00760E38"/>
    <w:rsid w:val="0076172E"/>
    <w:rsid w:val="00762846"/>
    <w:rsid w:val="00762934"/>
    <w:rsid w:val="007636B9"/>
    <w:rsid w:val="007639CD"/>
    <w:rsid w:val="00764418"/>
    <w:rsid w:val="00764435"/>
    <w:rsid w:val="0076445B"/>
    <w:rsid w:val="00765453"/>
    <w:rsid w:val="00765592"/>
    <w:rsid w:val="00765B1A"/>
    <w:rsid w:val="00766724"/>
    <w:rsid w:val="00767FCB"/>
    <w:rsid w:val="00770D09"/>
    <w:rsid w:val="00770D2F"/>
    <w:rsid w:val="00771B22"/>
    <w:rsid w:val="00771C66"/>
    <w:rsid w:val="00771CBC"/>
    <w:rsid w:val="007746BB"/>
    <w:rsid w:val="00774D79"/>
    <w:rsid w:val="007755B1"/>
    <w:rsid w:val="00777CA3"/>
    <w:rsid w:val="00780EFA"/>
    <w:rsid w:val="00781019"/>
    <w:rsid w:val="007824CA"/>
    <w:rsid w:val="007825E5"/>
    <w:rsid w:val="007833ED"/>
    <w:rsid w:val="0078414E"/>
    <w:rsid w:val="007843F2"/>
    <w:rsid w:val="00784E47"/>
    <w:rsid w:val="007852DA"/>
    <w:rsid w:val="007870C9"/>
    <w:rsid w:val="00787390"/>
    <w:rsid w:val="00787934"/>
    <w:rsid w:val="00787D75"/>
    <w:rsid w:val="007905D9"/>
    <w:rsid w:val="007914C9"/>
    <w:rsid w:val="00792A15"/>
    <w:rsid w:val="00793211"/>
    <w:rsid w:val="00794219"/>
    <w:rsid w:val="00794E1B"/>
    <w:rsid w:val="00794EE5"/>
    <w:rsid w:val="00794FDF"/>
    <w:rsid w:val="00794FFB"/>
    <w:rsid w:val="007954C5"/>
    <w:rsid w:val="007963E1"/>
    <w:rsid w:val="007A0A12"/>
    <w:rsid w:val="007A132D"/>
    <w:rsid w:val="007A213C"/>
    <w:rsid w:val="007A3092"/>
    <w:rsid w:val="007A3F2F"/>
    <w:rsid w:val="007B0D68"/>
    <w:rsid w:val="007B251D"/>
    <w:rsid w:val="007B2964"/>
    <w:rsid w:val="007B4900"/>
    <w:rsid w:val="007B4F58"/>
    <w:rsid w:val="007B528D"/>
    <w:rsid w:val="007B63E8"/>
    <w:rsid w:val="007B77D1"/>
    <w:rsid w:val="007C1CD9"/>
    <w:rsid w:val="007C24F3"/>
    <w:rsid w:val="007C35FD"/>
    <w:rsid w:val="007C361D"/>
    <w:rsid w:val="007C4349"/>
    <w:rsid w:val="007C4A79"/>
    <w:rsid w:val="007C4B84"/>
    <w:rsid w:val="007C4C88"/>
    <w:rsid w:val="007C4EDE"/>
    <w:rsid w:val="007C5974"/>
    <w:rsid w:val="007C6346"/>
    <w:rsid w:val="007C6A02"/>
    <w:rsid w:val="007C6A55"/>
    <w:rsid w:val="007C73CF"/>
    <w:rsid w:val="007D004F"/>
    <w:rsid w:val="007D0076"/>
    <w:rsid w:val="007D0B38"/>
    <w:rsid w:val="007D1111"/>
    <w:rsid w:val="007D1467"/>
    <w:rsid w:val="007D1524"/>
    <w:rsid w:val="007D3FC1"/>
    <w:rsid w:val="007D4514"/>
    <w:rsid w:val="007D4567"/>
    <w:rsid w:val="007D4904"/>
    <w:rsid w:val="007D4E1C"/>
    <w:rsid w:val="007D5440"/>
    <w:rsid w:val="007D7211"/>
    <w:rsid w:val="007E1AE6"/>
    <w:rsid w:val="007E1C9A"/>
    <w:rsid w:val="007E1E02"/>
    <w:rsid w:val="007E2C40"/>
    <w:rsid w:val="007E5071"/>
    <w:rsid w:val="007E7510"/>
    <w:rsid w:val="007E7CEE"/>
    <w:rsid w:val="007E7EF1"/>
    <w:rsid w:val="007F018F"/>
    <w:rsid w:val="007F03C9"/>
    <w:rsid w:val="007F0AFE"/>
    <w:rsid w:val="007F1017"/>
    <w:rsid w:val="007F233D"/>
    <w:rsid w:val="007F4A3F"/>
    <w:rsid w:val="007F4A61"/>
    <w:rsid w:val="007F609E"/>
    <w:rsid w:val="007F61C2"/>
    <w:rsid w:val="007F61D8"/>
    <w:rsid w:val="007F6ADB"/>
    <w:rsid w:val="00802079"/>
    <w:rsid w:val="00802C36"/>
    <w:rsid w:val="008040D2"/>
    <w:rsid w:val="00804F4A"/>
    <w:rsid w:val="00805142"/>
    <w:rsid w:val="00805A90"/>
    <w:rsid w:val="00807296"/>
    <w:rsid w:val="00807A8B"/>
    <w:rsid w:val="008107FD"/>
    <w:rsid w:val="00811383"/>
    <w:rsid w:val="00812149"/>
    <w:rsid w:val="00812CAC"/>
    <w:rsid w:val="00814B3C"/>
    <w:rsid w:val="00815743"/>
    <w:rsid w:val="008166EF"/>
    <w:rsid w:val="00817203"/>
    <w:rsid w:val="008222EC"/>
    <w:rsid w:val="0082252F"/>
    <w:rsid w:val="00822579"/>
    <w:rsid w:val="0082498E"/>
    <w:rsid w:val="00825751"/>
    <w:rsid w:val="00825856"/>
    <w:rsid w:val="00826448"/>
    <w:rsid w:val="008264EB"/>
    <w:rsid w:val="00826634"/>
    <w:rsid w:val="00827330"/>
    <w:rsid w:val="00830966"/>
    <w:rsid w:val="00833B05"/>
    <w:rsid w:val="00833E98"/>
    <w:rsid w:val="008352D8"/>
    <w:rsid w:val="008362B4"/>
    <w:rsid w:val="00837A51"/>
    <w:rsid w:val="00837D54"/>
    <w:rsid w:val="0084092A"/>
    <w:rsid w:val="00840CA2"/>
    <w:rsid w:val="008434D6"/>
    <w:rsid w:val="0084374F"/>
    <w:rsid w:val="00843AC0"/>
    <w:rsid w:val="00844B9B"/>
    <w:rsid w:val="00847231"/>
    <w:rsid w:val="00847AD7"/>
    <w:rsid w:val="00847DF5"/>
    <w:rsid w:val="0085012B"/>
    <w:rsid w:val="00850A1B"/>
    <w:rsid w:val="0085309D"/>
    <w:rsid w:val="00853379"/>
    <w:rsid w:val="0085527E"/>
    <w:rsid w:val="0085563F"/>
    <w:rsid w:val="0085608B"/>
    <w:rsid w:val="00856897"/>
    <w:rsid w:val="00856CE0"/>
    <w:rsid w:val="00856E9A"/>
    <w:rsid w:val="0086075D"/>
    <w:rsid w:val="00860A14"/>
    <w:rsid w:val="008613BF"/>
    <w:rsid w:val="00862493"/>
    <w:rsid w:val="00862502"/>
    <w:rsid w:val="0086286F"/>
    <w:rsid w:val="00862A0D"/>
    <w:rsid w:val="00862C39"/>
    <w:rsid w:val="00863371"/>
    <w:rsid w:val="008633BE"/>
    <w:rsid w:val="008648F3"/>
    <w:rsid w:val="0086593E"/>
    <w:rsid w:val="00865A20"/>
    <w:rsid w:val="00866084"/>
    <w:rsid w:val="008660D4"/>
    <w:rsid w:val="008677AC"/>
    <w:rsid w:val="00870EBE"/>
    <w:rsid w:val="00871A1C"/>
    <w:rsid w:val="00871FA9"/>
    <w:rsid w:val="008728E9"/>
    <w:rsid w:val="008736C7"/>
    <w:rsid w:val="00873A0D"/>
    <w:rsid w:val="00874A2E"/>
    <w:rsid w:val="008758E4"/>
    <w:rsid w:val="00876078"/>
    <w:rsid w:val="00876D6F"/>
    <w:rsid w:val="00877AC9"/>
    <w:rsid w:val="0088062B"/>
    <w:rsid w:val="00880631"/>
    <w:rsid w:val="0088081B"/>
    <w:rsid w:val="00881B87"/>
    <w:rsid w:val="00882874"/>
    <w:rsid w:val="00883787"/>
    <w:rsid w:val="00883B9E"/>
    <w:rsid w:val="00886CD2"/>
    <w:rsid w:val="008919DE"/>
    <w:rsid w:val="00892A36"/>
    <w:rsid w:val="00893239"/>
    <w:rsid w:val="00893FD7"/>
    <w:rsid w:val="00894489"/>
    <w:rsid w:val="0089469A"/>
    <w:rsid w:val="008950AD"/>
    <w:rsid w:val="00895E1E"/>
    <w:rsid w:val="008963A5"/>
    <w:rsid w:val="00896DC2"/>
    <w:rsid w:val="008A103E"/>
    <w:rsid w:val="008A129C"/>
    <w:rsid w:val="008A291B"/>
    <w:rsid w:val="008A2FE3"/>
    <w:rsid w:val="008A3363"/>
    <w:rsid w:val="008A3371"/>
    <w:rsid w:val="008A3568"/>
    <w:rsid w:val="008A3C3E"/>
    <w:rsid w:val="008A453B"/>
    <w:rsid w:val="008A49AD"/>
    <w:rsid w:val="008A5044"/>
    <w:rsid w:val="008A5EAF"/>
    <w:rsid w:val="008A69DD"/>
    <w:rsid w:val="008A7341"/>
    <w:rsid w:val="008A79DE"/>
    <w:rsid w:val="008B1757"/>
    <w:rsid w:val="008B1EE4"/>
    <w:rsid w:val="008B21C3"/>
    <w:rsid w:val="008B2797"/>
    <w:rsid w:val="008B3363"/>
    <w:rsid w:val="008B33D8"/>
    <w:rsid w:val="008B36FA"/>
    <w:rsid w:val="008B4CA0"/>
    <w:rsid w:val="008B4DA5"/>
    <w:rsid w:val="008B53B3"/>
    <w:rsid w:val="008B5E2C"/>
    <w:rsid w:val="008B6AA0"/>
    <w:rsid w:val="008B73EB"/>
    <w:rsid w:val="008B7D7E"/>
    <w:rsid w:val="008C18BD"/>
    <w:rsid w:val="008C334C"/>
    <w:rsid w:val="008C3F1E"/>
    <w:rsid w:val="008C4115"/>
    <w:rsid w:val="008C46EF"/>
    <w:rsid w:val="008C4C3C"/>
    <w:rsid w:val="008C4F89"/>
    <w:rsid w:val="008C67C8"/>
    <w:rsid w:val="008C7ECB"/>
    <w:rsid w:val="008D2148"/>
    <w:rsid w:val="008D3171"/>
    <w:rsid w:val="008D4755"/>
    <w:rsid w:val="008D4C3D"/>
    <w:rsid w:val="008D4E44"/>
    <w:rsid w:val="008D5588"/>
    <w:rsid w:val="008E0D3C"/>
    <w:rsid w:val="008E0E46"/>
    <w:rsid w:val="008E1197"/>
    <w:rsid w:val="008E1AFA"/>
    <w:rsid w:val="008E1B9E"/>
    <w:rsid w:val="008E1FB4"/>
    <w:rsid w:val="008E35EB"/>
    <w:rsid w:val="008E4B9A"/>
    <w:rsid w:val="008E55AB"/>
    <w:rsid w:val="008E5672"/>
    <w:rsid w:val="008E6873"/>
    <w:rsid w:val="008E6B5C"/>
    <w:rsid w:val="008E7060"/>
    <w:rsid w:val="008E73F5"/>
    <w:rsid w:val="008F120A"/>
    <w:rsid w:val="008F2238"/>
    <w:rsid w:val="008F27E0"/>
    <w:rsid w:val="008F45AD"/>
    <w:rsid w:val="008F48EB"/>
    <w:rsid w:val="008F4F0B"/>
    <w:rsid w:val="008F5B9E"/>
    <w:rsid w:val="0090130E"/>
    <w:rsid w:val="009027F0"/>
    <w:rsid w:val="009045A0"/>
    <w:rsid w:val="009046C4"/>
    <w:rsid w:val="00904C29"/>
    <w:rsid w:val="00905DCD"/>
    <w:rsid w:val="00905E4A"/>
    <w:rsid w:val="009062A5"/>
    <w:rsid w:val="00907BCE"/>
    <w:rsid w:val="00907DFD"/>
    <w:rsid w:val="00910DDE"/>
    <w:rsid w:val="00911272"/>
    <w:rsid w:val="009120D4"/>
    <w:rsid w:val="009135D6"/>
    <w:rsid w:val="009146C2"/>
    <w:rsid w:val="00914C77"/>
    <w:rsid w:val="009162B1"/>
    <w:rsid w:val="009173BF"/>
    <w:rsid w:val="009205A5"/>
    <w:rsid w:val="00920B20"/>
    <w:rsid w:val="00920BDA"/>
    <w:rsid w:val="00922978"/>
    <w:rsid w:val="00922F14"/>
    <w:rsid w:val="0092369B"/>
    <w:rsid w:val="00923AC6"/>
    <w:rsid w:val="009241DE"/>
    <w:rsid w:val="0092576B"/>
    <w:rsid w:val="00925CEE"/>
    <w:rsid w:val="0092700C"/>
    <w:rsid w:val="009271DB"/>
    <w:rsid w:val="00930A91"/>
    <w:rsid w:val="00930C07"/>
    <w:rsid w:val="009321F8"/>
    <w:rsid w:val="009328B0"/>
    <w:rsid w:val="00932D51"/>
    <w:rsid w:val="0093411C"/>
    <w:rsid w:val="00934371"/>
    <w:rsid w:val="009355F4"/>
    <w:rsid w:val="009365C7"/>
    <w:rsid w:val="009370BB"/>
    <w:rsid w:val="00937101"/>
    <w:rsid w:val="009403B8"/>
    <w:rsid w:val="00941F76"/>
    <w:rsid w:val="00942EAD"/>
    <w:rsid w:val="009465D6"/>
    <w:rsid w:val="00946741"/>
    <w:rsid w:val="00951045"/>
    <w:rsid w:val="009510A2"/>
    <w:rsid w:val="0095110E"/>
    <w:rsid w:val="00951200"/>
    <w:rsid w:val="00952E76"/>
    <w:rsid w:val="00953257"/>
    <w:rsid w:val="009536E9"/>
    <w:rsid w:val="00957078"/>
    <w:rsid w:val="0095757E"/>
    <w:rsid w:val="009600C9"/>
    <w:rsid w:val="00960969"/>
    <w:rsid w:val="009619B1"/>
    <w:rsid w:val="00962CB9"/>
    <w:rsid w:val="0096428C"/>
    <w:rsid w:val="00964312"/>
    <w:rsid w:val="00964659"/>
    <w:rsid w:val="00965B8A"/>
    <w:rsid w:val="00965DF9"/>
    <w:rsid w:val="00966A7E"/>
    <w:rsid w:val="00967413"/>
    <w:rsid w:val="00970084"/>
    <w:rsid w:val="009717AC"/>
    <w:rsid w:val="00971A61"/>
    <w:rsid w:val="00971C5F"/>
    <w:rsid w:val="00972C80"/>
    <w:rsid w:val="00973DF0"/>
    <w:rsid w:val="00976305"/>
    <w:rsid w:val="00976A71"/>
    <w:rsid w:val="00980DA8"/>
    <w:rsid w:val="00981072"/>
    <w:rsid w:val="0098133E"/>
    <w:rsid w:val="0098161A"/>
    <w:rsid w:val="009818FA"/>
    <w:rsid w:val="00981D0A"/>
    <w:rsid w:val="00982F9F"/>
    <w:rsid w:val="00983502"/>
    <w:rsid w:val="00983C3B"/>
    <w:rsid w:val="00983E57"/>
    <w:rsid w:val="00983E93"/>
    <w:rsid w:val="00985854"/>
    <w:rsid w:val="00986143"/>
    <w:rsid w:val="0098675D"/>
    <w:rsid w:val="00986D27"/>
    <w:rsid w:val="009872C3"/>
    <w:rsid w:val="00987D4B"/>
    <w:rsid w:val="00990080"/>
    <w:rsid w:val="00991CDE"/>
    <w:rsid w:val="00991FE5"/>
    <w:rsid w:val="00992438"/>
    <w:rsid w:val="00992DCD"/>
    <w:rsid w:val="00994859"/>
    <w:rsid w:val="00994FB0"/>
    <w:rsid w:val="00996B1A"/>
    <w:rsid w:val="0099710F"/>
    <w:rsid w:val="00997F17"/>
    <w:rsid w:val="009A04A7"/>
    <w:rsid w:val="009A1643"/>
    <w:rsid w:val="009A1F7F"/>
    <w:rsid w:val="009A2784"/>
    <w:rsid w:val="009A27BA"/>
    <w:rsid w:val="009A2936"/>
    <w:rsid w:val="009A2B02"/>
    <w:rsid w:val="009A411C"/>
    <w:rsid w:val="009A4736"/>
    <w:rsid w:val="009A7F10"/>
    <w:rsid w:val="009B0010"/>
    <w:rsid w:val="009B0870"/>
    <w:rsid w:val="009B0E0D"/>
    <w:rsid w:val="009B1232"/>
    <w:rsid w:val="009B2401"/>
    <w:rsid w:val="009B32FB"/>
    <w:rsid w:val="009B3379"/>
    <w:rsid w:val="009B3E26"/>
    <w:rsid w:val="009B4DA6"/>
    <w:rsid w:val="009B5590"/>
    <w:rsid w:val="009C086A"/>
    <w:rsid w:val="009C287C"/>
    <w:rsid w:val="009C34E8"/>
    <w:rsid w:val="009C3D36"/>
    <w:rsid w:val="009C47AD"/>
    <w:rsid w:val="009C4AF1"/>
    <w:rsid w:val="009C5799"/>
    <w:rsid w:val="009C6402"/>
    <w:rsid w:val="009C6C31"/>
    <w:rsid w:val="009C6CEA"/>
    <w:rsid w:val="009C741B"/>
    <w:rsid w:val="009C7A63"/>
    <w:rsid w:val="009C7B85"/>
    <w:rsid w:val="009C7E01"/>
    <w:rsid w:val="009C7F5F"/>
    <w:rsid w:val="009D02C5"/>
    <w:rsid w:val="009D1585"/>
    <w:rsid w:val="009D1781"/>
    <w:rsid w:val="009D2562"/>
    <w:rsid w:val="009D2B48"/>
    <w:rsid w:val="009D5B91"/>
    <w:rsid w:val="009D6AA3"/>
    <w:rsid w:val="009D792E"/>
    <w:rsid w:val="009E02C1"/>
    <w:rsid w:val="009E0DFE"/>
    <w:rsid w:val="009E1B26"/>
    <w:rsid w:val="009E2E93"/>
    <w:rsid w:val="009E322F"/>
    <w:rsid w:val="009E3D2D"/>
    <w:rsid w:val="009E4727"/>
    <w:rsid w:val="009E4C07"/>
    <w:rsid w:val="009E56F6"/>
    <w:rsid w:val="009E6062"/>
    <w:rsid w:val="009F01B1"/>
    <w:rsid w:val="009F0239"/>
    <w:rsid w:val="009F100C"/>
    <w:rsid w:val="009F1A88"/>
    <w:rsid w:val="009F2317"/>
    <w:rsid w:val="009F2504"/>
    <w:rsid w:val="009F3AA2"/>
    <w:rsid w:val="009F5A79"/>
    <w:rsid w:val="009F5E91"/>
    <w:rsid w:val="009F7138"/>
    <w:rsid w:val="009F7AA8"/>
    <w:rsid w:val="009F7AFA"/>
    <w:rsid w:val="009F7D1D"/>
    <w:rsid w:val="00A01184"/>
    <w:rsid w:val="00A02588"/>
    <w:rsid w:val="00A03D43"/>
    <w:rsid w:val="00A04380"/>
    <w:rsid w:val="00A052EF"/>
    <w:rsid w:val="00A0743B"/>
    <w:rsid w:val="00A1098C"/>
    <w:rsid w:val="00A11CD0"/>
    <w:rsid w:val="00A13948"/>
    <w:rsid w:val="00A14512"/>
    <w:rsid w:val="00A14572"/>
    <w:rsid w:val="00A14628"/>
    <w:rsid w:val="00A1472F"/>
    <w:rsid w:val="00A1499B"/>
    <w:rsid w:val="00A1555B"/>
    <w:rsid w:val="00A155C5"/>
    <w:rsid w:val="00A159C0"/>
    <w:rsid w:val="00A16AD8"/>
    <w:rsid w:val="00A170C5"/>
    <w:rsid w:val="00A201C0"/>
    <w:rsid w:val="00A2022B"/>
    <w:rsid w:val="00A2140A"/>
    <w:rsid w:val="00A21CF3"/>
    <w:rsid w:val="00A223F1"/>
    <w:rsid w:val="00A238B0"/>
    <w:rsid w:val="00A24BBC"/>
    <w:rsid w:val="00A26332"/>
    <w:rsid w:val="00A26DF6"/>
    <w:rsid w:val="00A27AEC"/>
    <w:rsid w:val="00A31BA0"/>
    <w:rsid w:val="00A320DB"/>
    <w:rsid w:val="00A33616"/>
    <w:rsid w:val="00A33D83"/>
    <w:rsid w:val="00A346AA"/>
    <w:rsid w:val="00A35D16"/>
    <w:rsid w:val="00A36B6D"/>
    <w:rsid w:val="00A3780F"/>
    <w:rsid w:val="00A37BCD"/>
    <w:rsid w:val="00A40890"/>
    <w:rsid w:val="00A42519"/>
    <w:rsid w:val="00A43C59"/>
    <w:rsid w:val="00A44A10"/>
    <w:rsid w:val="00A44A2A"/>
    <w:rsid w:val="00A45648"/>
    <w:rsid w:val="00A4578C"/>
    <w:rsid w:val="00A460EF"/>
    <w:rsid w:val="00A47553"/>
    <w:rsid w:val="00A50E2E"/>
    <w:rsid w:val="00A50ECD"/>
    <w:rsid w:val="00A51596"/>
    <w:rsid w:val="00A518F3"/>
    <w:rsid w:val="00A51BB4"/>
    <w:rsid w:val="00A52663"/>
    <w:rsid w:val="00A52729"/>
    <w:rsid w:val="00A52EAD"/>
    <w:rsid w:val="00A53028"/>
    <w:rsid w:val="00A53347"/>
    <w:rsid w:val="00A53675"/>
    <w:rsid w:val="00A53858"/>
    <w:rsid w:val="00A55EEF"/>
    <w:rsid w:val="00A564D7"/>
    <w:rsid w:val="00A568EE"/>
    <w:rsid w:val="00A56B6A"/>
    <w:rsid w:val="00A578DC"/>
    <w:rsid w:val="00A60098"/>
    <w:rsid w:val="00A61EE7"/>
    <w:rsid w:val="00A62F8A"/>
    <w:rsid w:val="00A6387A"/>
    <w:rsid w:val="00A65C8D"/>
    <w:rsid w:val="00A65F1E"/>
    <w:rsid w:val="00A6642F"/>
    <w:rsid w:val="00A6725B"/>
    <w:rsid w:val="00A700A4"/>
    <w:rsid w:val="00A70605"/>
    <w:rsid w:val="00A71FD9"/>
    <w:rsid w:val="00A72D1E"/>
    <w:rsid w:val="00A73134"/>
    <w:rsid w:val="00A73947"/>
    <w:rsid w:val="00A73A91"/>
    <w:rsid w:val="00A751FA"/>
    <w:rsid w:val="00A7605F"/>
    <w:rsid w:val="00A776BE"/>
    <w:rsid w:val="00A777B2"/>
    <w:rsid w:val="00A77959"/>
    <w:rsid w:val="00A77EA3"/>
    <w:rsid w:val="00A8021E"/>
    <w:rsid w:val="00A80B4A"/>
    <w:rsid w:val="00A821AB"/>
    <w:rsid w:val="00A82D49"/>
    <w:rsid w:val="00A83752"/>
    <w:rsid w:val="00A83E78"/>
    <w:rsid w:val="00A852C7"/>
    <w:rsid w:val="00A8555D"/>
    <w:rsid w:val="00A85D1F"/>
    <w:rsid w:val="00A8644A"/>
    <w:rsid w:val="00A8649B"/>
    <w:rsid w:val="00A867EE"/>
    <w:rsid w:val="00A86891"/>
    <w:rsid w:val="00A86E8B"/>
    <w:rsid w:val="00A87164"/>
    <w:rsid w:val="00A90646"/>
    <w:rsid w:val="00A907FF"/>
    <w:rsid w:val="00A90BAA"/>
    <w:rsid w:val="00A93072"/>
    <w:rsid w:val="00A9337A"/>
    <w:rsid w:val="00A93953"/>
    <w:rsid w:val="00A93E64"/>
    <w:rsid w:val="00A959D8"/>
    <w:rsid w:val="00A97CE4"/>
    <w:rsid w:val="00A97EF6"/>
    <w:rsid w:val="00AA0392"/>
    <w:rsid w:val="00AA05AF"/>
    <w:rsid w:val="00AA0A6D"/>
    <w:rsid w:val="00AA113D"/>
    <w:rsid w:val="00AA127F"/>
    <w:rsid w:val="00AA13EB"/>
    <w:rsid w:val="00AA1AF3"/>
    <w:rsid w:val="00AA1C34"/>
    <w:rsid w:val="00AA37C4"/>
    <w:rsid w:val="00AA3B8A"/>
    <w:rsid w:val="00AA3D89"/>
    <w:rsid w:val="00AA5A78"/>
    <w:rsid w:val="00AA684F"/>
    <w:rsid w:val="00AA6C7D"/>
    <w:rsid w:val="00AA7FD6"/>
    <w:rsid w:val="00AB042A"/>
    <w:rsid w:val="00AB1400"/>
    <w:rsid w:val="00AB1C04"/>
    <w:rsid w:val="00AB2D34"/>
    <w:rsid w:val="00AB3430"/>
    <w:rsid w:val="00AB34B8"/>
    <w:rsid w:val="00AB41B0"/>
    <w:rsid w:val="00AB4AD1"/>
    <w:rsid w:val="00AB4DFB"/>
    <w:rsid w:val="00AB52DA"/>
    <w:rsid w:val="00AB7CFA"/>
    <w:rsid w:val="00AC0B52"/>
    <w:rsid w:val="00AC0E0C"/>
    <w:rsid w:val="00AC195E"/>
    <w:rsid w:val="00AC5928"/>
    <w:rsid w:val="00AC5937"/>
    <w:rsid w:val="00AC5B48"/>
    <w:rsid w:val="00AC5C52"/>
    <w:rsid w:val="00AC6222"/>
    <w:rsid w:val="00AC6DD4"/>
    <w:rsid w:val="00AD00DA"/>
    <w:rsid w:val="00AD026F"/>
    <w:rsid w:val="00AD31CE"/>
    <w:rsid w:val="00AD36D2"/>
    <w:rsid w:val="00AD4CEC"/>
    <w:rsid w:val="00AD4DC9"/>
    <w:rsid w:val="00AD55F6"/>
    <w:rsid w:val="00AD6502"/>
    <w:rsid w:val="00AD673B"/>
    <w:rsid w:val="00AD7933"/>
    <w:rsid w:val="00AE245F"/>
    <w:rsid w:val="00AE39B6"/>
    <w:rsid w:val="00AE5BB2"/>
    <w:rsid w:val="00AE5C01"/>
    <w:rsid w:val="00AE6376"/>
    <w:rsid w:val="00AE64B5"/>
    <w:rsid w:val="00AE758D"/>
    <w:rsid w:val="00AE77E0"/>
    <w:rsid w:val="00AE7D85"/>
    <w:rsid w:val="00AF1315"/>
    <w:rsid w:val="00AF1946"/>
    <w:rsid w:val="00AF19BF"/>
    <w:rsid w:val="00AF2DC3"/>
    <w:rsid w:val="00AF3B66"/>
    <w:rsid w:val="00AF4332"/>
    <w:rsid w:val="00AF5006"/>
    <w:rsid w:val="00AF62BC"/>
    <w:rsid w:val="00B00184"/>
    <w:rsid w:val="00B00221"/>
    <w:rsid w:val="00B00A94"/>
    <w:rsid w:val="00B00D4B"/>
    <w:rsid w:val="00B023DF"/>
    <w:rsid w:val="00B03078"/>
    <w:rsid w:val="00B03357"/>
    <w:rsid w:val="00B033E5"/>
    <w:rsid w:val="00B039CC"/>
    <w:rsid w:val="00B03A63"/>
    <w:rsid w:val="00B03B88"/>
    <w:rsid w:val="00B05842"/>
    <w:rsid w:val="00B06028"/>
    <w:rsid w:val="00B06798"/>
    <w:rsid w:val="00B06A68"/>
    <w:rsid w:val="00B07177"/>
    <w:rsid w:val="00B07771"/>
    <w:rsid w:val="00B07AED"/>
    <w:rsid w:val="00B07C9B"/>
    <w:rsid w:val="00B118B2"/>
    <w:rsid w:val="00B146DC"/>
    <w:rsid w:val="00B14932"/>
    <w:rsid w:val="00B1592A"/>
    <w:rsid w:val="00B15BBD"/>
    <w:rsid w:val="00B166ED"/>
    <w:rsid w:val="00B17093"/>
    <w:rsid w:val="00B1787A"/>
    <w:rsid w:val="00B201A4"/>
    <w:rsid w:val="00B207CC"/>
    <w:rsid w:val="00B213A6"/>
    <w:rsid w:val="00B236AF"/>
    <w:rsid w:val="00B23870"/>
    <w:rsid w:val="00B23CC7"/>
    <w:rsid w:val="00B24704"/>
    <w:rsid w:val="00B24DF6"/>
    <w:rsid w:val="00B2546E"/>
    <w:rsid w:val="00B25A79"/>
    <w:rsid w:val="00B269DB"/>
    <w:rsid w:val="00B31D37"/>
    <w:rsid w:val="00B33E0A"/>
    <w:rsid w:val="00B34C9D"/>
    <w:rsid w:val="00B34FE2"/>
    <w:rsid w:val="00B357D8"/>
    <w:rsid w:val="00B37BFC"/>
    <w:rsid w:val="00B40358"/>
    <w:rsid w:val="00B4104B"/>
    <w:rsid w:val="00B41614"/>
    <w:rsid w:val="00B42851"/>
    <w:rsid w:val="00B42F80"/>
    <w:rsid w:val="00B435CB"/>
    <w:rsid w:val="00B43D02"/>
    <w:rsid w:val="00B45429"/>
    <w:rsid w:val="00B468E8"/>
    <w:rsid w:val="00B469CD"/>
    <w:rsid w:val="00B46C75"/>
    <w:rsid w:val="00B50DB8"/>
    <w:rsid w:val="00B50E5D"/>
    <w:rsid w:val="00B527EF"/>
    <w:rsid w:val="00B52921"/>
    <w:rsid w:val="00B53654"/>
    <w:rsid w:val="00B53905"/>
    <w:rsid w:val="00B544B5"/>
    <w:rsid w:val="00B54B5B"/>
    <w:rsid w:val="00B54C1B"/>
    <w:rsid w:val="00B555CD"/>
    <w:rsid w:val="00B5562E"/>
    <w:rsid w:val="00B56A80"/>
    <w:rsid w:val="00B57000"/>
    <w:rsid w:val="00B57E13"/>
    <w:rsid w:val="00B60939"/>
    <w:rsid w:val="00B60AF1"/>
    <w:rsid w:val="00B60AFD"/>
    <w:rsid w:val="00B61664"/>
    <w:rsid w:val="00B6181C"/>
    <w:rsid w:val="00B62715"/>
    <w:rsid w:val="00B63C08"/>
    <w:rsid w:val="00B63CA8"/>
    <w:rsid w:val="00B64608"/>
    <w:rsid w:val="00B64F16"/>
    <w:rsid w:val="00B65B07"/>
    <w:rsid w:val="00B66E8C"/>
    <w:rsid w:val="00B678F2"/>
    <w:rsid w:val="00B704F9"/>
    <w:rsid w:val="00B7095D"/>
    <w:rsid w:val="00B70B51"/>
    <w:rsid w:val="00B7172E"/>
    <w:rsid w:val="00B7213F"/>
    <w:rsid w:val="00B73042"/>
    <w:rsid w:val="00B73399"/>
    <w:rsid w:val="00B75403"/>
    <w:rsid w:val="00B755B8"/>
    <w:rsid w:val="00B77AB1"/>
    <w:rsid w:val="00B80B8A"/>
    <w:rsid w:val="00B818A4"/>
    <w:rsid w:val="00B82707"/>
    <w:rsid w:val="00B84117"/>
    <w:rsid w:val="00B8554B"/>
    <w:rsid w:val="00B85AA2"/>
    <w:rsid w:val="00B85FE4"/>
    <w:rsid w:val="00B8649C"/>
    <w:rsid w:val="00B8687D"/>
    <w:rsid w:val="00B87F0A"/>
    <w:rsid w:val="00B9189E"/>
    <w:rsid w:val="00B91EBF"/>
    <w:rsid w:val="00B923C4"/>
    <w:rsid w:val="00B92D0B"/>
    <w:rsid w:val="00B93068"/>
    <w:rsid w:val="00B93488"/>
    <w:rsid w:val="00B940F2"/>
    <w:rsid w:val="00B944B6"/>
    <w:rsid w:val="00B94945"/>
    <w:rsid w:val="00B94F3B"/>
    <w:rsid w:val="00B963D7"/>
    <w:rsid w:val="00BA1800"/>
    <w:rsid w:val="00BA227A"/>
    <w:rsid w:val="00BA322D"/>
    <w:rsid w:val="00BA3563"/>
    <w:rsid w:val="00BA48F4"/>
    <w:rsid w:val="00BA5DA1"/>
    <w:rsid w:val="00BA73BA"/>
    <w:rsid w:val="00BB0BDD"/>
    <w:rsid w:val="00BB0EDB"/>
    <w:rsid w:val="00BB1A70"/>
    <w:rsid w:val="00BB239C"/>
    <w:rsid w:val="00BB244E"/>
    <w:rsid w:val="00BB248B"/>
    <w:rsid w:val="00BB24A0"/>
    <w:rsid w:val="00BB2845"/>
    <w:rsid w:val="00BB2A73"/>
    <w:rsid w:val="00BB4ACC"/>
    <w:rsid w:val="00BB5520"/>
    <w:rsid w:val="00BB5BFF"/>
    <w:rsid w:val="00BB5DE2"/>
    <w:rsid w:val="00BB703E"/>
    <w:rsid w:val="00BB7405"/>
    <w:rsid w:val="00BC28E6"/>
    <w:rsid w:val="00BC2CC3"/>
    <w:rsid w:val="00BC33B5"/>
    <w:rsid w:val="00BC3631"/>
    <w:rsid w:val="00BC3C30"/>
    <w:rsid w:val="00BC5AC4"/>
    <w:rsid w:val="00BC60BA"/>
    <w:rsid w:val="00BC722C"/>
    <w:rsid w:val="00BC7557"/>
    <w:rsid w:val="00BD0123"/>
    <w:rsid w:val="00BD0C2E"/>
    <w:rsid w:val="00BD0E6D"/>
    <w:rsid w:val="00BD2578"/>
    <w:rsid w:val="00BD28E0"/>
    <w:rsid w:val="00BD2EAD"/>
    <w:rsid w:val="00BD3592"/>
    <w:rsid w:val="00BD3A88"/>
    <w:rsid w:val="00BD43E4"/>
    <w:rsid w:val="00BD4405"/>
    <w:rsid w:val="00BD5747"/>
    <w:rsid w:val="00BD5E76"/>
    <w:rsid w:val="00BD6502"/>
    <w:rsid w:val="00BD68A3"/>
    <w:rsid w:val="00BD6938"/>
    <w:rsid w:val="00BD6CF3"/>
    <w:rsid w:val="00BD74E4"/>
    <w:rsid w:val="00BE00D3"/>
    <w:rsid w:val="00BE01CC"/>
    <w:rsid w:val="00BE0277"/>
    <w:rsid w:val="00BE1CB2"/>
    <w:rsid w:val="00BE1EAB"/>
    <w:rsid w:val="00BE2180"/>
    <w:rsid w:val="00BE21F2"/>
    <w:rsid w:val="00BE3112"/>
    <w:rsid w:val="00BE4275"/>
    <w:rsid w:val="00BE44E6"/>
    <w:rsid w:val="00BE5741"/>
    <w:rsid w:val="00BE6D6A"/>
    <w:rsid w:val="00BF0F95"/>
    <w:rsid w:val="00BF12D4"/>
    <w:rsid w:val="00BF17DE"/>
    <w:rsid w:val="00BF2433"/>
    <w:rsid w:val="00BF3217"/>
    <w:rsid w:val="00BF36A3"/>
    <w:rsid w:val="00BF571E"/>
    <w:rsid w:val="00BF61C9"/>
    <w:rsid w:val="00BF6B66"/>
    <w:rsid w:val="00BF6C94"/>
    <w:rsid w:val="00BF6D58"/>
    <w:rsid w:val="00BF712E"/>
    <w:rsid w:val="00C001E5"/>
    <w:rsid w:val="00C00424"/>
    <w:rsid w:val="00C00E82"/>
    <w:rsid w:val="00C010AE"/>
    <w:rsid w:val="00C01B1D"/>
    <w:rsid w:val="00C01BFF"/>
    <w:rsid w:val="00C021FC"/>
    <w:rsid w:val="00C0301A"/>
    <w:rsid w:val="00C0373E"/>
    <w:rsid w:val="00C04208"/>
    <w:rsid w:val="00C0444C"/>
    <w:rsid w:val="00C070BD"/>
    <w:rsid w:val="00C102D6"/>
    <w:rsid w:val="00C10DA9"/>
    <w:rsid w:val="00C11B2D"/>
    <w:rsid w:val="00C11D6F"/>
    <w:rsid w:val="00C12C14"/>
    <w:rsid w:val="00C12F26"/>
    <w:rsid w:val="00C13975"/>
    <w:rsid w:val="00C154D4"/>
    <w:rsid w:val="00C15B1E"/>
    <w:rsid w:val="00C200AA"/>
    <w:rsid w:val="00C209BC"/>
    <w:rsid w:val="00C20C76"/>
    <w:rsid w:val="00C21AFE"/>
    <w:rsid w:val="00C21E30"/>
    <w:rsid w:val="00C228B7"/>
    <w:rsid w:val="00C237ED"/>
    <w:rsid w:val="00C24632"/>
    <w:rsid w:val="00C25418"/>
    <w:rsid w:val="00C25C1A"/>
    <w:rsid w:val="00C25D42"/>
    <w:rsid w:val="00C25D9C"/>
    <w:rsid w:val="00C262F0"/>
    <w:rsid w:val="00C26594"/>
    <w:rsid w:val="00C268A4"/>
    <w:rsid w:val="00C27788"/>
    <w:rsid w:val="00C2778B"/>
    <w:rsid w:val="00C279AF"/>
    <w:rsid w:val="00C27AB2"/>
    <w:rsid w:val="00C31649"/>
    <w:rsid w:val="00C33093"/>
    <w:rsid w:val="00C3510A"/>
    <w:rsid w:val="00C3588A"/>
    <w:rsid w:val="00C36602"/>
    <w:rsid w:val="00C37B17"/>
    <w:rsid w:val="00C40385"/>
    <w:rsid w:val="00C4056A"/>
    <w:rsid w:val="00C433F7"/>
    <w:rsid w:val="00C435B4"/>
    <w:rsid w:val="00C444AA"/>
    <w:rsid w:val="00C44934"/>
    <w:rsid w:val="00C473EC"/>
    <w:rsid w:val="00C475AA"/>
    <w:rsid w:val="00C502DB"/>
    <w:rsid w:val="00C51AFB"/>
    <w:rsid w:val="00C51C95"/>
    <w:rsid w:val="00C52494"/>
    <w:rsid w:val="00C52BCF"/>
    <w:rsid w:val="00C5562B"/>
    <w:rsid w:val="00C556C2"/>
    <w:rsid w:val="00C56FC0"/>
    <w:rsid w:val="00C574DB"/>
    <w:rsid w:val="00C579B0"/>
    <w:rsid w:val="00C57C84"/>
    <w:rsid w:val="00C60A33"/>
    <w:rsid w:val="00C6172D"/>
    <w:rsid w:val="00C636EF"/>
    <w:rsid w:val="00C6415A"/>
    <w:rsid w:val="00C65576"/>
    <w:rsid w:val="00C65F5E"/>
    <w:rsid w:val="00C66165"/>
    <w:rsid w:val="00C6677B"/>
    <w:rsid w:val="00C66885"/>
    <w:rsid w:val="00C7111D"/>
    <w:rsid w:val="00C7151A"/>
    <w:rsid w:val="00C71D11"/>
    <w:rsid w:val="00C71E6A"/>
    <w:rsid w:val="00C71F60"/>
    <w:rsid w:val="00C72241"/>
    <w:rsid w:val="00C741BD"/>
    <w:rsid w:val="00C750C8"/>
    <w:rsid w:val="00C7560F"/>
    <w:rsid w:val="00C7578F"/>
    <w:rsid w:val="00C75854"/>
    <w:rsid w:val="00C762BF"/>
    <w:rsid w:val="00C7642E"/>
    <w:rsid w:val="00C76AB6"/>
    <w:rsid w:val="00C7756B"/>
    <w:rsid w:val="00C77EB8"/>
    <w:rsid w:val="00C801DD"/>
    <w:rsid w:val="00C802CA"/>
    <w:rsid w:val="00C80795"/>
    <w:rsid w:val="00C80A0E"/>
    <w:rsid w:val="00C80D5E"/>
    <w:rsid w:val="00C8213F"/>
    <w:rsid w:val="00C82B2D"/>
    <w:rsid w:val="00C83898"/>
    <w:rsid w:val="00C84403"/>
    <w:rsid w:val="00C84467"/>
    <w:rsid w:val="00C844E1"/>
    <w:rsid w:val="00C84C39"/>
    <w:rsid w:val="00C85A67"/>
    <w:rsid w:val="00C8797A"/>
    <w:rsid w:val="00C87EA2"/>
    <w:rsid w:val="00C900B8"/>
    <w:rsid w:val="00C903CF"/>
    <w:rsid w:val="00C90BD4"/>
    <w:rsid w:val="00C90C71"/>
    <w:rsid w:val="00C90DB2"/>
    <w:rsid w:val="00C931CF"/>
    <w:rsid w:val="00C938CF"/>
    <w:rsid w:val="00C938EB"/>
    <w:rsid w:val="00C9624D"/>
    <w:rsid w:val="00C96446"/>
    <w:rsid w:val="00C969DA"/>
    <w:rsid w:val="00C972E9"/>
    <w:rsid w:val="00C977AA"/>
    <w:rsid w:val="00C97F0A"/>
    <w:rsid w:val="00CA05C9"/>
    <w:rsid w:val="00CA1758"/>
    <w:rsid w:val="00CA1E22"/>
    <w:rsid w:val="00CA282C"/>
    <w:rsid w:val="00CA2C77"/>
    <w:rsid w:val="00CA39FA"/>
    <w:rsid w:val="00CA444F"/>
    <w:rsid w:val="00CA4536"/>
    <w:rsid w:val="00CA4543"/>
    <w:rsid w:val="00CA509A"/>
    <w:rsid w:val="00CA5245"/>
    <w:rsid w:val="00CA541A"/>
    <w:rsid w:val="00CA5D6B"/>
    <w:rsid w:val="00CA619E"/>
    <w:rsid w:val="00CA61E0"/>
    <w:rsid w:val="00CA71F4"/>
    <w:rsid w:val="00CA79DF"/>
    <w:rsid w:val="00CA7B09"/>
    <w:rsid w:val="00CB048A"/>
    <w:rsid w:val="00CB0505"/>
    <w:rsid w:val="00CB1069"/>
    <w:rsid w:val="00CB2F2A"/>
    <w:rsid w:val="00CB3774"/>
    <w:rsid w:val="00CB4436"/>
    <w:rsid w:val="00CB4C2B"/>
    <w:rsid w:val="00CB5542"/>
    <w:rsid w:val="00CB5B1A"/>
    <w:rsid w:val="00CB5DF3"/>
    <w:rsid w:val="00CB6B22"/>
    <w:rsid w:val="00CB72F5"/>
    <w:rsid w:val="00CB7F5F"/>
    <w:rsid w:val="00CC000E"/>
    <w:rsid w:val="00CC17AD"/>
    <w:rsid w:val="00CC1B39"/>
    <w:rsid w:val="00CC405C"/>
    <w:rsid w:val="00CC4422"/>
    <w:rsid w:val="00CC499D"/>
    <w:rsid w:val="00CC5005"/>
    <w:rsid w:val="00CC7563"/>
    <w:rsid w:val="00CD0435"/>
    <w:rsid w:val="00CD0D9A"/>
    <w:rsid w:val="00CD2C61"/>
    <w:rsid w:val="00CD3ABA"/>
    <w:rsid w:val="00CD4F57"/>
    <w:rsid w:val="00CD563C"/>
    <w:rsid w:val="00CD564A"/>
    <w:rsid w:val="00CD5C7F"/>
    <w:rsid w:val="00CD6ADC"/>
    <w:rsid w:val="00CD6AEA"/>
    <w:rsid w:val="00CD6F01"/>
    <w:rsid w:val="00CD72B8"/>
    <w:rsid w:val="00CD7413"/>
    <w:rsid w:val="00CE0555"/>
    <w:rsid w:val="00CE2050"/>
    <w:rsid w:val="00CE29EB"/>
    <w:rsid w:val="00CE4B68"/>
    <w:rsid w:val="00CE56B7"/>
    <w:rsid w:val="00CE622B"/>
    <w:rsid w:val="00CE6274"/>
    <w:rsid w:val="00CE7219"/>
    <w:rsid w:val="00CF04F4"/>
    <w:rsid w:val="00CF05D6"/>
    <w:rsid w:val="00CF0DEC"/>
    <w:rsid w:val="00CF0E7C"/>
    <w:rsid w:val="00CF1292"/>
    <w:rsid w:val="00CF2393"/>
    <w:rsid w:val="00CF2AF8"/>
    <w:rsid w:val="00CF2B8D"/>
    <w:rsid w:val="00CF3358"/>
    <w:rsid w:val="00CF37BD"/>
    <w:rsid w:val="00CF456B"/>
    <w:rsid w:val="00CF47D5"/>
    <w:rsid w:val="00CF5287"/>
    <w:rsid w:val="00CF5A22"/>
    <w:rsid w:val="00CF5A99"/>
    <w:rsid w:val="00CF7125"/>
    <w:rsid w:val="00CF73E6"/>
    <w:rsid w:val="00CF7B12"/>
    <w:rsid w:val="00D000BD"/>
    <w:rsid w:val="00D00E91"/>
    <w:rsid w:val="00D025FD"/>
    <w:rsid w:val="00D0262E"/>
    <w:rsid w:val="00D02C0F"/>
    <w:rsid w:val="00D039AC"/>
    <w:rsid w:val="00D062FF"/>
    <w:rsid w:val="00D06623"/>
    <w:rsid w:val="00D10504"/>
    <w:rsid w:val="00D110BD"/>
    <w:rsid w:val="00D12B46"/>
    <w:rsid w:val="00D12B61"/>
    <w:rsid w:val="00D13675"/>
    <w:rsid w:val="00D13B3D"/>
    <w:rsid w:val="00D141E1"/>
    <w:rsid w:val="00D155D5"/>
    <w:rsid w:val="00D157F9"/>
    <w:rsid w:val="00D15FE3"/>
    <w:rsid w:val="00D16C7D"/>
    <w:rsid w:val="00D16CC9"/>
    <w:rsid w:val="00D17D6C"/>
    <w:rsid w:val="00D208A9"/>
    <w:rsid w:val="00D21946"/>
    <w:rsid w:val="00D2228E"/>
    <w:rsid w:val="00D22E80"/>
    <w:rsid w:val="00D234CA"/>
    <w:rsid w:val="00D23BF7"/>
    <w:rsid w:val="00D2486C"/>
    <w:rsid w:val="00D24D49"/>
    <w:rsid w:val="00D24FE4"/>
    <w:rsid w:val="00D25A94"/>
    <w:rsid w:val="00D271BA"/>
    <w:rsid w:val="00D2754D"/>
    <w:rsid w:val="00D279EE"/>
    <w:rsid w:val="00D27B27"/>
    <w:rsid w:val="00D3361A"/>
    <w:rsid w:val="00D33BE9"/>
    <w:rsid w:val="00D3444E"/>
    <w:rsid w:val="00D35380"/>
    <w:rsid w:val="00D357FF"/>
    <w:rsid w:val="00D40B4E"/>
    <w:rsid w:val="00D424C7"/>
    <w:rsid w:val="00D436BA"/>
    <w:rsid w:val="00D43B2A"/>
    <w:rsid w:val="00D453BB"/>
    <w:rsid w:val="00D46A34"/>
    <w:rsid w:val="00D47575"/>
    <w:rsid w:val="00D507A7"/>
    <w:rsid w:val="00D51A48"/>
    <w:rsid w:val="00D52347"/>
    <w:rsid w:val="00D53764"/>
    <w:rsid w:val="00D54C1F"/>
    <w:rsid w:val="00D54C9B"/>
    <w:rsid w:val="00D54FC9"/>
    <w:rsid w:val="00D55B3E"/>
    <w:rsid w:val="00D567EB"/>
    <w:rsid w:val="00D623A7"/>
    <w:rsid w:val="00D625E6"/>
    <w:rsid w:val="00D63428"/>
    <w:rsid w:val="00D63789"/>
    <w:rsid w:val="00D668FE"/>
    <w:rsid w:val="00D6753A"/>
    <w:rsid w:val="00D70F16"/>
    <w:rsid w:val="00D71A72"/>
    <w:rsid w:val="00D72E29"/>
    <w:rsid w:val="00D7342B"/>
    <w:rsid w:val="00D74495"/>
    <w:rsid w:val="00D75CD0"/>
    <w:rsid w:val="00D76A44"/>
    <w:rsid w:val="00D7788E"/>
    <w:rsid w:val="00D80A02"/>
    <w:rsid w:val="00D8116D"/>
    <w:rsid w:val="00D815EF"/>
    <w:rsid w:val="00D830B6"/>
    <w:rsid w:val="00D83FCB"/>
    <w:rsid w:val="00D84787"/>
    <w:rsid w:val="00D85587"/>
    <w:rsid w:val="00D85EA0"/>
    <w:rsid w:val="00D86116"/>
    <w:rsid w:val="00D86259"/>
    <w:rsid w:val="00D9041C"/>
    <w:rsid w:val="00D916FF"/>
    <w:rsid w:val="00D91923"/>
    <w:rsid w:val="00D92A4A"/>
    <w:rsid w:val="00D92D20"/>
    <w:rsid w:val="00D93753"/>
    <w:rsid w:val="00D95078"/>
    <w:rsid w:val="00D9645E"/>
    <w:rsid w:val="00DA0037"/>
    <w:rsid w:val="00DA1A3A"/>
    <w:rsid w:val="00DA28B0"/>
    <w:rsid w:val="00DA303B"/>
    <w:rsid w:val="00DA3167"/>
    <w:rsid w:val="00DA3AF6"/>
    <w:rsid w:val="00DA4B9C"/>
    <w:rsid w:val="00DA4D7D"/>
    <w:rsid w:val="00DA4DC3"/>
    <w:rsid w:val="00DA4DE2"/>
    <w:rsid w:val="00DA635A"/>
    <w:rsid w:val="00DA6512"/>
    <w:rsid w:val="00DA70A9"/>
    <w:rsid w:val="00DA77A5"/>
    <w:rsid w:val="00DB2A05"/>
    <w:rsid w:val="00DB383D"/>
    <w:rsid w:val="00DB440D"/>
    <w:rsid w:val="00DB484F"/>
    <w:rsid w:val="00DB48C8"/>
    <w:rsid w:val="00DB733A"/>
    <w:rsid w:val="00DB7618"/>
    <w:rsid w:val="00DB7EEC"/>
    <w:rsid w:val="00DC04F6"/>
    <w:rsid w:val="00DC3C57"/>
    <w:rsid w:val="00DC457D"/>
    <w:rsid w:val="00DC4DF6"/>
    <w:rsid w:val="00DC52FB"/>
    <w:rsid w:val="00DC5501"/>
    <w:rsid w:val="00DD007C"/>
    <w:rsid w:val="00DD0867"/>
    <w:rsid w:val="00DD1157"/>
    <w:rsid w:val="00DD17BC"/>
    <w:rsid w:val="00DD1F78"/>
    <w:rsid w:val="00DD218F"/>
    <w:rsid w:val="00DD23D0"/>
    <w:rsid w:val="00DD273C"/>
    <w:rsid w:val="00DD322C"/>
    <w:rsid w:val="00DD3F28"/>
    <w:rsid w:val="00DD4537"/>
    <w:rsid w:val="00DD4E15"/>
    <w:rsid w:val="00DD50BF"/>
    <w:rsid w:val="00DD542E"/>
    <w:rsid w:val="00DD6018"/>
    <w:rsid w:val="00DD666C"/>
    <w:rsid w:val="00DD6F7B"/>
    <w:rsid w:val="00DE3138"/>
    <w:rsid w:val="00DE3422"/>
    <w:rsid w:val="00DE3454"/>
    <w:rsid w:val="00DE37F8"/>
    <w:rsid w:val="00DE3CD8"/>
    <w:rsid w:val="00DE4CB1"/>
    <w:rsid w:val="00DE4FCB"/>
    <w:rsid w:val="00DE5DF1"/>
    <w:rsid w:val="00DE6A2E"/>
    <w:rsid w:val="00DE70A1"/>
    <w:rsid w:val="00DE7832"/>
    <w:rsid w:val="00DE79A4"/>
    <w:rsid w:val="00DF18FC"/>
    <w:rsid w:val="00DF37A8"/>
    <w:rsid w:val="00DF3948"/>
    <w:rsid w:val="00DF5BA3"/>
    <w:rsid w:val="00DF5D2B"/>
    <w:rsid w:val="00DF6F4E"/>
    <w:rsid w:val="00DF70D7"/>
    <w:rsid w:val="00DF74D1"/>
    <w:rsid w:val="00DF7919"/>
    <w:rsid w:val="00E00E8E"/>
    <w:rsid w:val="00E01B4C"/>
    <w:rsid w:val="00E02E3B"/>
    <w:rsid w:val="00E05630"/>
    <w:rsid w:val="00E059DD"/>
    <w:rsid w:val="00E05D36"/>
    <w:rsid w:val="00E06DBB"/>
    <w:rsid w:val="00E07F15"/>
    <w:rsid w:val="00E10145"/>
    <w:rsid w:val="00E10149"/>
    <w:rsid w:val="00E102E0"/>
    <w:rsid w:val="00E103BE"/>
    <w:rsid w:val="00E10703"/>
    <w:rsid w:val="00E11255"/>
    <w:rsid w:val="00E11475"/>
    <w:rsid w:val="00E1310F"/>
    <w:rsid w:val="00E16372"/>
    <w:rsid w:val="00E17C7A"/>
    <w:rsid w:val="00E20E4D"/>
    <w:rsid w:val="00E20E64"/>
    <w:rsid w:val="00E20ED6"/>
    <w:rsid w:val="00E2108C"/>
    <w:rsid w:val="00E21358"/>
    <w:rsid w:val="00E2249B"/>
    <w:rsid w:val="00E22A0D"/>
    <w:rsid w:val="00E238BD"/>
    <w:rsid w:val="00E268AF"/>
    <w:rsid w:val="00E26F68"/>
    <w:rsid w:val="00E2771E"/>
    <w:rsid w:val="00E303CF"/>
    <w:rsid w:val="00E30D80"/>
    <w:rsid w:val="00E31194"/>
    <w:rsid w:val="00E324C8"/>
    <w:rsid w:val="00E3296E"/>
    <w:rsid w:val="00E32B2D"/>
    <w:rsid w:val="00E32CD4"/>
    <w:rsid w:val="00E34000"/>
    <w:rsid w:val="00E34948"/>
    <w:rsid w:val="00E34BBE"/>
    <w:rsid w:val="00E34EDD"/>
    <w:rsid w:val="00E37473"/>
    <w:rsid w:val="00E37569"/>
    <w:rsid w:val="00E40724"/>
    <w:rsid w:val="00E41069"/>
    <w:rsid w:val="00E41E30"/>
    <w:rsid w:val="00E42FC9"/>
    <w:rsid w:val="00E43D70"/>
    <w:rsid w:val="00E44510"/>
    <w:rsid w:val="00E46567"/>
    <w:rsid w:val="00E466F3"/>
    <w:rsid w:val="00E47B2C"/>
    <w:rsid w:val="00E510BB"/>
    <w:rsid w:val="00E51560"/>
    <w:rsid w:val="00E51ADC"/>
    <w:rsid w:val="00E51E41"/>
    <w:rsid w:val="00E52317"/>
    <w:rsid w:val="00E53974"/>
    <w:rsid w:val="00E542B4"/>
    <w:rsid w:val="00E54347"/>
    <w:rsid w:val="00E55424"/>
    <w:rsid w:val="00E555DF"/>
    <w:rsid w:val="00E55BB5"/>
    <w:rsid w:val="00E60333"/>
    <w:rsid w:val="00E627B2"/>
    <w:rsid w:val="00E63527"/>
    <w:rsid w:val="00E649E5"/>
    <w:rsid w:val="00E6583B"/>
    <w:rsid w:val="00E65E79"/>
    <w:rsid w:val="00E65EF5"/>
    <w:rsid w:val="00E662FD"/>
    <w:rsid w:val="00E66B8A"/>
    <w:rsid w:val="00E66BA2"/>
    <w:rsid w:val="00E66D73"/>
    <w:rsid w:val="00E66E94"/>
    <w:rsid w:val="00E67416"/>
    <w:rsid w:val="00E70224"/>
    <w:rsid w:val="00E7041B"/>
    <w:rsid w:val="00E70C87"/>
    <w:rsid w:val="00E713BF"/>
    <w:rsid w:val="00E718B6"/>
    <w:rsid w:val="00E723BA"/>
    <w:rsid w:val="00E7261D"/>
    <w:rsid w:val="00E73217"/>
    <w:rsid w:val="00E73581"/>
    <w:rsid w:val="00E73B5D"/>
    <w:rsid w:val="00E75253"/>
    <w:rsid w:val="00E758AE"/>
    <w:rsid w:val="00E76DEB"/>
    <w:rsid w:val="00E808FB"/>
    <w:rsid w:val="00E823EB"/>
    <w:rsid w:val="00E82DC6"/>
    <w:rsid w:val="00E833F7"/>
    <w:rsid w:val="00E83BDF"/>
    <w:rsid w:val="00E84BA3"/>
    <w:rsid w:val="00E85A26"/>
    <w:rsid w:val="00E8758A"/>
    <w:rsid w:val="00E87974"/>
    <w:rsid w:val="00E87A1D"/>
    <w:rsid w:val="00E906F2"/>
    <w:rsid w:val="00E9097B"/>
    <w:rsid w:val="00E926A5"/>
    <w:rsid w:val="00E94B87"/>
    <w:rsid w:val="00E953C6"/>
    <w:rsid w:val="00E95F5D"/>
    <w:rsid w:val="00E966F6"/>
    <w:rsid w:val="00EA05AA"/>
    <w:rsid w:val="00EA0C5D"/>
    <w:rsid w:val="00EA161D"/>
    <w:rsid w:val="00EA17C3"/>
    <w:rsid w:val="00EA2644"/>
    <w:rsid w:val="00EA2738"/>
    <w:rsid w:val="00EA2871"/>
    <w:rsid w:val="00EA2911"/>
    <w:rsid w:val="00EA2CAA"/>
    <w:rsid w:val="00EA2DD8"/>
    <w:rsid w:val="00EA3864"/>
    <w:rsid w:val="00EA3D8D"/>
    <w:rsid w:val="00EA4A4D"/>
    <w:rsid w:val="00EA610C"/>
    <w:rsid w:val="00EA687E"/>
    <w:rsid w:val="00EA77A5"/>
    <w:rsid w:val="00EB15B6"/>
    <w:rsid w:val="00EB29D2"/>
    <w:rsid w:val="00EB3799"/>
    <w:rsid w:val="00EB4854"/>
    <w:rsid w:val="00EB4869"/>
    <w:rsid w:val="00EB4916"/>
    <w:rsid w:val="00EB4B41"/>
    <w:rsid w:val="00EB5179"/>
    <w:rsid w:val="00EB518A"/>
    <w:rsid w:val="00EB5B58"/>
    <w:rsid w:val="00EB6258"/>
    <w:rsid w:val="00EB6DF0"/>
    <w:rsid w:val="00EB75AE"/>
    <w:rsid w:val="00EB7DA6"/>
    <w:rsid w:val="00EB7FA4"/>
    <w:rsid w:val="00EC00C9"/>
    <w:rsid w:val="00EC103E"/>
    <w:rsid w:val="00EC2649"/>
    <w:rsid w:val="00EC2EC8"/>
    <w:rsid w:val="00EC36F9"/>
    <w:rsid w:val="00EC406E"/>
    <w:rsid w:val="00EC4129"/>
    <w:rsid w:val="00EC4E17"/>
    <w:rsid w:val="00EC59B6"/>
    <w:rsid w:val="00EC73F6"/>
    <w:rsid w:val="00ED048D"/>
    <w:rsid w:val="00ED32F9"/>
    <w:rsid w:val="00ED43B1"/>
    <w:rsid w:val="00ED4A37"/>
    <w:rsid w:val="00ED4FD9"/>
    <w:rsid w:val="00ED52C8"/>
    <w:rsid w:val="00ED57EA"/>
    <w:rsid w:val="00ED5FB2"/>
    <w:rsid w:val="00ED6632"/>
    <w:rsid w:val="00ED6772"/>
    <w:rsid w:val="00ED68D5"/>
    <w:rsid w:val="00ED756C"/>
    <w:rsid w:val="00ED7FE0"/>
    <w:rsid w:val="00EE0465"/>
    <w:rsid w:val="00EE07D3"/>
    <w:rsid w:val="00EE22AF"/>
    <w:rsid w:val="00EE322B"/>
    <w:rsid w:val="00EE3B52"/>
    <w:rsid w:val="00EE409E"/>
    <w:rsid w:val="00EE56F7"/>
    <w:rsid w:val="00EE6FD1"/>
    <w:rsid w:val="00EE786A"/>
    <w:rsid w:val="00EF0171"/>
    <w:rsid w:val="00EF0F95"/>
    <w:rsid w:val="00EF1B25"/>
    <w:rsid w:val="00EF3815"/>
    <w:rsid w:val="00EF38D6"/>
    <w:rsid w:val="00EF4481"/>
    <w:rsid w:val="00EF4747"/>
    <w:rsid w:val="00EF4923"/>
    <w:rsid w:val="00EF4BF8"/>
    <w:rsid w:val="00EF4EB5"/>
    <w:rsid w:val="00EF55BE"/>
    <w:rsid w:val="00EF635B"/>
    <w:rsid w:val="00EF63EB"/>
    <w:rsid w:val="00EF7C94"/>
    <w:rsid w:val="00F00190"/>
    <w:rsid w:val="00F01151"/>
    <w:rsid w:val="00F02253"/>
    <w:rsid w:val="00F03C2E"/>
    <w:rsid w:val="00F03D16"/>
    <w:rsid w:val="00F04A66"/>
    <w:rsid w:val="00F04B45"/>
    <w:rsid w:val="00F0516C"/>
    <w:rsid w:val="00F059D0"/>
    <w:rsid w:val="00F05B93"/>
    <w:rsid w:val="00F067A2"/>
    <w:rsid w:val="00F068E9"/>
    <w:rsid w:val="00F104F3"/>
    <w:rsid w:val="00F12129"/>
    <w:rsid w:val="00F1263A"/>
    <w:rsid w:val="00F137F2"/>
    <w:rsid w:val="00F139E2"/>
    <w:rsid w:val="00F160BB"/>
    <w:rsid w:val="00F1694B"/>
    <w:rsid w:val="00F1707D"/>
    <w:rsid w:val="00F1767C"/>
    <w:rsid w:val="00F17ADD"/>
    <w:rsid w:val="00F20165"/>
    <w:rsid w:val="00F20D27"/>
    <w:rsid w:val="00F21742"/>
    <w:rsid w:val="00F226A1"/>
    <w:rsid w:val="00F2384C"/>
    <w:rsid w:val="00F2391A"/>
    <w:rsid w:val="00F24837"/>
    <w:rsid w:val="00F25223"/>
    <w:rsid w:val="00F25571"/>
    <w:rsid w:val="00F2575F"/>
    <w:rsid w:val="00F25957"/>
    <w:rsid w:val="00F25A5B"/>
    <w:rsid w:val="00F25E78"/>
    <w:rsid w:val="00F27565"/>
    <w:rsid w:val="00F27F7C"/>
    <w:rsid w:val="00F30135"/>
    <w:rsid w:val="00F30E5F"/>
    <w:rsid w:val="00F310D4"/>
    <w:rsid w:val="00F31D5A"/>
    <w:rsid w:val="00F31DC0"/>
    <w:rsid w:val="00F33DE9"/>
    <w:rsid w:val="00F3619A"/>
    <w:rsid w:val="00F3707C"/>
    <w:rsid w:val="00F377FB"/>
    <w:rsid w:val="00F40AAA"/>
    <w:rsid w:val="00F40BA7"/>
    <w:rsid w:val="00F41634"/>
    <w:rsid w:val="00F429F9"/>
    <w:rsid w:val="00F42AF7"/>
    <w:rsid w:val="00F43A94"/>
    <w:rsid w:val="00F43CE8"/>
    <w:rsid w:val="00F43E84"/>
    <w:rsid w:val="00F44EA9"/>
    <w:rsid w:val="00F451AA"/>
    <w:rsid w:val="00F46CB6"/>
    <w:rsid w:val="00F47D06"/>
    <w:rsid w:val="00F47DE8"/>
    <w:rsid w:val="00F51149"/>
    <w:rsid w:val="00F51E64"/>
    <w:rsid w:val="00F51F5D"/>
    <w:rsid w:val="00F52C31"/>
    <w:rsid w:val="00F52C38"/>
    <w:rsid w:val="00F5311D"/>
    <w:rsid w:val="00F53F5C"/>
    <w:rsid w:val="00F542C1"/>
    <w:rsid w:val="00F5508E"/>
    <w:rsid w:val="00F555AA"/>
    <w:rsid w:val="00F55C5B"/>
    <w:rsid w:val="00F55E73"/>
    <w:rsid w:val="00F55EDA"/>
    <w:rsid w:val="00F55F76"/>
    <w:rsid w:val="00F568A5"/>
    <w:rsid w:val="00F568B6"/>
    <w:rsid w:val="00F60092"/>
    <w:rsid w:val="00F60656"/>
    <w:rsid w:val="00F60B3C"/>
    <w:rsid w:val="00F626C2"/>
    <w:rsid w:val="00F64E53"/>
    <w:rsid w:val="00F654FF"/>
    <w:rsid w:val="00F65899"/>
    <w:rsid w:val="00F65F4B"/>
    <w:rsid w:val="00F672F6"/>
    <w:rsid w:val="00F67ED3"/>
    <w:rsid w:val="00F70C9D"/>
    <w:rsid w:val="00F710E7"/>
    <w:rsid w:val="00F711A5"/>
    <w:rsid w:val="00F7350B"/>
    <w:rsid w:val="00F73692"/>
    <w:rsid w:val="00F745A6"/>
    <w:rsid w:val="00F74CD9"/>
    <w:rsid w:val="00F74FE9"/>
    <w:rsid w:val="00F75726"/>
    <w:rsid w:val="00F76666"/>
    <w:rsid w:val="00F80A7B"/>
    <w:rsid w:val="00F80E5D"/>
    <w:rsid w:val="00F811DF"/>
    <w:rsid w:val="00F82353"/>
    <w:rsid w:val="00F82369"/>
    <w:rsid w:val="00F82B61"/>
    <w:rsid w:val="00F83539"/>
    <w:rsid w:val="00F8407F"/>
    <w:rsid w:val="00F851CE"/>
    <w:rsid w:val="00F8534D"/>
    <w:rsid w:val="00F87EAC"/>
    <w:rsid w:val="00F91219"/>
    <w:rsid w:val="00F93E52"/>
    <w:rsid w:val="00F93ED8"/>
    <w:rsid w:val="00F94401"/>
    <w:rsid w:val="00F94CC6"/>
    <w:rsid w:val="00F94F7E"/>
    <w:rsid w:val="00F9530A"/>
    <w:rsid w:val="00F959CA"/>
    <w:rsid w:val="00F96491"/>
    <w:rsid w:val="00F96B3C"/>
    <w:rsid w:val="00F973BF"/>
    <w:rsid w:val="00F97A4B"/>
    <w:rsid w:val="00F97A78"/>
    <w:rsid w:val="00FA01B3"/>
    <w:rsid w:val="00FA0663"/>
    <w:rsid w:val="00FA0A1F"/>
    <w:rsid w:val="00FA0B20"/>
    <w:rsid w:val="00FA0D3B"/>
    <w:rsid w:val="00FA1AD1"/>
    <w:rsid w:val="00FA23EE"/>
    <w:rsid w:val="00FA24E7"/>
    <w:rsid w:val="00FA271F"/>
    <w:rsid w:val="00FA411C"/>
    <w:rsid w:val="00FA4339"/>
    <w:rsid w:val="00FA4E5E"/>
    <w:rsid w:val="00FA503A"/>
    <w:rsid w:val="00FA68B3"/>
    <w:rsid w:val="00FB166F"/>
    <w:rsid w:val="00FB2FCB"/>
    <w:rsid w:val="00FB46F6"/>
    <w:rsid w:val="00FB5494"/>
    <w:rsid w:val="00FB5BAC"/>
    <w:rsid w:val="00FB65EF"/>
    <w:rsid w:val="00FB7CCE"/>
    <w:rsid w:val="00FC022C"/>
    <w:rsid w:val="00FC1074"/>
    <w:rsid w:val="00FC11EB"/>
    <w:rsid w:val="00FC1884"/>
    <w:rsid w:val="00FC371D"/>
    <w:rsid w:val="00FC3B59"/>
    <w:rsid w:val="00FC5195"/>
    <w:rsid w:val="00FC5A0E"/>
    <w:rsid w:val="00FC5F0B"/>
    <w:rsid w:val="00FC77AF"/>
    <w:rsid w:val="00FC7D62"/>
    <w:rsid w:val="00FD0FB7"/>
    <w:rsid w:val="00FD1BAB"/>
    <w:rsid w:val="00FD2100"/>
    <w:rsid w:val="00FD260A"/>
    <w:rsid w:val="00FD3320"/>
    <w:rsid w:val="00FD436C"/>
    <w:rsid w:val="00FD446D"/>
    <w:rsid w:val="00FD4E54"/>
    <w:rsid w:val="00FD505B"/>
    <w:rsid w:val="00FD6394"/>
    <w:rsid w:val="00FD643F"/>
    <w:rsid w:val="00FE0E6C"/>
    <w:rsid w:val="00FE31C5"/>
    <w:rsid w:val="00FE3B53"/>
    <w:rsid w:val="00FE48A7"/>
    <w:rsid w:val="00FE5B02"/>
    <w:rsid w:val="00FE68A3"/>
    <w:rsid w:val="00FE70C3"/>
    <w:rsid w:val="00FE753C"/>
    <w:rsid w:val="00FF204D"/>
    <w:rsid w:val="00FF27FB"/>
    <w:rsid w:val="00FF3DCF"/>
    <w:rsid w:val="00FF492C"/>
    <w:rsid w:val="00FF4A21"/>
    <w:rsid w:val="00FF53F8"/>
    <w:rsid w:val="00FF5954"/>
    <w:rsid w:val="00FF5AA3"/>
    <w:rsid w:val="00FF5AD8"/>
    <w:rsid w:val="00FF5C2C"/>
    <w:rsid w:val="00FF6277"/>
    <w:rsid w:val="00FF7D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6577E1"/>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6577E1"/>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ES Paragraph,PBAC ES Paragraph,PBAC normal points,Bullet List,Footnote"/>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ES Paragraph Char,PBAC ES Paragraph Char,PBAC normal points Char,Bullet List Char,Footnote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qFormat/>
    <w:rsid w:val="00B03A63"/>
    <w:pPr>
      <w:numPr>
        <w:numId w:val="1"/>
      </w:numPr>
    </w:pPr>
    <w:rPr>
      <w:b w:val="0"/>
      <w:snapToGrid/>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uiPriority w:val="99"/>
    <w:qFormat/>
    <w:rsid w:val="00A60098"/>
    <w:pPr>
      <w:keepNext/>
      <w:widowControl/>
      <w:spacing w:before="40" w:after="40"/>
      <w:jc w:val="left"/>
    </w:pPr>
    <w:rPr>
      <w:rFonts w:ascii="Arial Narrow" w:eastAsiaTheme="minorHAnsi" w:hAnsi="Arial Narrow" w:cstheme="minorBidi"/>
      <w:snapToGrid/>
      <w:sz w:val="20"/>
    </w:rPr>
  </w:style>
  <w:style w:type="paragraph" w:customStyle="1" w:styleId="TableText1">
    <w:name w:val="TableText"/>
    <w:basedOn w:val="Normal"/>
    <w:link w:val="TableTextChar1"/>
    <w:qFormat/>
    <w:rsid w:val="0029653C"/>
    <w:pPr>
      <w:keepNext/>
      <w:spacing w:before="60" w:after="40"/>
      <w:jc w:val="left"/>
    </w:pPr>
    <w:rPr>
      <w:rFonts w:asciiTheme="majorHAnsi" w:eastAsia="SimSun" w:hAnsiTheme="majorHAnsi" w:cstheme="majorHAnsi"/>
      <w:snapToGrid/>
      <w:color w:val="000000"/>
      <w:sz w:val="18"/>
      <w:szCs w:val="18"/>
    </w:rPr>
  </w:style>
  <w:style w:type="character" w:customStyle="1" w:styleId="TableTextChar1">
    <w:name w:val="TableText Char"/>
    <w:link w:val="TableText1"/>
    <w:rsid w:val="0029653C"/>
    <w:rPr>
      <w:rFonts w:asciiTheme="majorHAnsi" w:eastAsia="SimSun" w:hAnsiTheme="majorHAnsi" w:cstheme="majorHAnsi"/>
      <w:color w:val="000000"/>
      <w:sz w:val="18"/>
      <w:szCs w:val="18"/>
      <w:lang w:eastAsia="en-US"/>
    </w:rPr>
  </w:style>
  <w:style w:type="character" w:customStyle="1" w:styleId="Small">
    <w:name w:val="Small"/>
    <w:basedOn w:val="DefaultParagraphFont"/>
    <w:uiPriority w:val="4"/>
    <w:rsid w:val="000B3E2A"/>
    <w:rPr>
      <w:rFonts w:ascii="Calibri" w:hAnsi="Calibri"/>
      <w:sz w:val="18"/>
    </w:rPr>
  </w:style>
  <w:style w:type="character" w:customStyle="1" w:styleId="TableTextChar0">
    <w:name w:val="Table Text Char"/>
    <w:link w:val="TableText0"/>
    <w:uiPriority w:val="99"/>
    <w:rsid w:val="003769BE"/>
    <w:rPr>
      <w:rFonts w:ascii="Arial Narrow" w:eastAsiaTheme="minorHAnsi" w:hAnsi="Arial Narrow" w:cstheme="minorBidi"/>
      <w:szCs w:val="22"/>
      <w:lang w:eastAsia="en-US"/>
    </w:rPr>
  </w:style>
  <w:style w:type="character" w:styleId="Strong">
    <w:name w:val="Strong"/>
    <w:uiPriority w:val="22"/>
    <w:rsid w:val="003769BE"/>
  </w:style>
  <w:style w:type="paragraph" w:styleId="FootnoteText">
    <w:name w:val="footnote text"/>
    <w:basedOn w:val="Normal"/>
    <w:link w:val="FootnoteTextChar"/>
    <w:semiHidden/>
    <w:unhideWhenUsed/>
    <w:rsid w:val="00CA1E22"/>
    <w:rPr>
      <w:sz w:val="20"/>
      <w:szCs w:val="20"/>
    </w:rPr>
  </w:style>
  <w:style w:type="character" w:customStyle="1" w:styleId="FootnoteTextChar">
    <w:name w:val="Footnote Text Char"/>
    <w:basedOn w:val="DefaultParagraphFont"/>
    <w:link w:val="FootnoteText"/>
    <w:semiHidden/>
    <w:rsid w:val="00CA1E22"/>
    <w:rPr>
      <w:rFonts w:ascii="Calibri" w:hAnsi="Calibri" w:cs="Arial"/>
      <w:snapToGrid w:val="0"/>
      <w:lang w:eastAsia="en-US"/>
    </w:rPr>
  </w:style>
  <w:style w:type="character" w:styleId="FootnoteReference">
    <w:name w:val="footnote reference"/>
    <w:basedOn w:val="DefaultParagraphFont"/>
    <w:semiHidden/>
    <w:unhideWhenUsed/>
    <w:rsid w:val="00CA1E22"/>
    <w:rPr>
      <w:vertAlign w:val="superscript"/>
    </w:rPr>
  </w:style>
  <w:style w:type="paragraph" w:customStyle="1" w:styleId="EndNoteBibliographyTitle">
    <w:name w:val="EndNote Bibliography Title"/>
    <w:basedOn w:val="Normal"/>
    <w:link w:val="EndNoteBibliographyTitleChar"/>
    <w:rsid w:val="00286E9B"/>
    <w:pPr>
      <w:jc w:val="center"/>
    </w:pPr>
    <w:rPr>
      <w:rFonts w:cs="Calibri"/>
      <w:noProof/>
      <w:lang w:val="en-US"/>
    </w:rPr>
  </w:style>
  <w:style w:type="character" w:customStyle="1" w:styleId="EndNoteBibliographyTitleChar">
    <w:name w:val="EndNote Bibliography Title Char"/>
    <w:basedOn w:val="ListParagraphChar"/>
    <w:link w:val="EndNoteBibliographyTitle"/>
    <w:rsid w:val="00286E9B"/>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286E9B"/>
    <w:rPr>
      <w:rFonts w:cs="Calibri"/>
      <w:noProof/>
      <w:lang w:val="en-US"/>
    </w:rPr>
  </w:style>
  <w:style w:type="character" w:customStyle="1" w:styleId="EndNoteBibliographyChar">
    <w:name w:val="EndNote Bibliography Char"/>
    <w:basedOn w:val="ListParagraphChar"/>
    <w:link w:val="EndNoteBibliography"/>
    <w:rsid w:val="00286E9B"/>
    <w:rPr>
      <w:rFonts w:ascii="Calibri" w:hAnsi="Calibri" w:cs="Calibri"/>
      <w:noProof/>
      <w:snapToGrid w:val="0"/>
      <w:sz w:val="24"/>
      <w:szCs w:val="22"/>
      <w:lang w:val="en-US" w:eastAsia="en-US"/>
    </w:rPr>
  </w:style>
  <w:style w:type="paragraph" w:customStyle="1" w:styleId="Tableheading0">
    <w:name w:val="Table heading"/>
    <w:basedOn w:val="TableHeading"/>
    <w:link w:val="TableheadingChar"/>
    <w:qFormat/>
    <w:rsid w:val="00211B05"/>
    <w:pPr>
      <w:keepNext w:val="0"/>
      <w:widowControl w:val="0"/>
      <w:spacing w:before="0" w:after="0"/>
    </w:pPr>
    <w:rPr>
      <w:rFonts w:asciiTheme="majorHAnsi" w:eastAsiaTheme="minorHAnsi" w:hAnsiTheme="majorHAnsi" w:cs="Times New Roman"/>
      <w:bCs w:val="0"/>
      <w:color w:val="000000" w:themeColor="text1"/>
      <w:sz w:val="22"/>
      <w:szCs w:val="18"/>
    </w:rPr>
  </w:style>
  <w:style w:type="character" w:customStyle="1" w:styleId="TableheadingChar">
    <w:name w:val="Table heading Char"/>
    <w:link w:val="Tableheading0"/>
    <w:locked/>
    <w:rsid w:val="00211B05"/>
    <w:rPr>
      <w:rFonts w:asciiTheme="majorHAnsi" w:eastAsiaTheme="minorHAnsi" w:hAnsiTheme="majorHAnsi"/>
      <w:b/>
      <w:color w:val="000000" w:themeColor="text1"/>
      <w:sz w:val="22"/>
      <w:szCs w:val="18"/>
      <w:lang w:eastAsia="en-US"/>
    </w:rPr>
  </w:style>
  <w:style w:type="paragraph" w:customStyle="1" w:styleId="Tablenotes">
    <w:name w:val="Table notes"/>
    <w:basedOn w:val="Normal"/>
    <w:link w:val="TablenotesChar"/>
    <w:qFormat/>
    <w:rsid w:val="00A52EAD"/>
    <w:pPr>
      <w:jc w:val="left"/>
    </w:pPr>
    <w:rPr>
      <w:rFonts w:asciiTheme="minorHAnsi" w:hAnsiTheme="minorHAnsi" w:cs="Times New Roman"/>
      <w:snapToGrid/>
      <w:color w:val="000000"/>
      <w:sz w:val="16"/>
      <w:szCs w:val="20"/>
      <w:lang w:eastAsia="en-AU"/>
    </w:rPr>
  </w:style>
  <w:style w:type="character" w:customStyle="1" w:styleId="TablenotesChar">
    <w:name w:val="Table notes Char"/>
    <w:basedOn w:val="DefaultParagraphFont"/>
    <w:link w:val="Tablenotes"/>
    <w:rsid w:val="00A52EAD"/>
    <w:rPr>
      <w:rFonts w:asciiTheme="minorHAnsi" w:hAnsiTheme="minorHAnsi"/>
      <w:color w:val="000000"/>
      <w:sz w:val="16"/>
    </w:rPr>
  </w:style>
  <w:style w:type="table" w:customStyle="1" w:styleId="Summarybox11">
    <w:name w:val="Summary box11"/>
    <w:basedOn w:val="TableNormal"/>
    <w:next w:val="TableGrid"/>
    <w:uiPriority w:val="59"/>
    <w:rsid w:val="00A52EAD"/>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2EAD"/>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 Notes"/>
    <w:basedOn w:val="Normal"/>
    <w:next w:val="Normal"/>
    <w:link w:val="TableNotesChar0"/>
    <w:qFormat/>
    <w:rsid w:val="00A52EAD"/>
    <w:pPr>
      <w:keepNext/>
      <w:keepLines/>
    </w:pPr>
    <w:rPr>
      <w:rFonts w:asciiTheme="minorHAnsi" w:hAnsiTheme="minorHAnsi" w:cs="Times New Roman"/>
      <w:snapToGrid/>
      <w:color w:val="000000"/>
      <w:sz w:val="16"/>
      <w:szCs w:val="24"/>
      <w:lang w:eastAsia="en-AU"/>
    </w:rPr>
  </w:style>
  <w:style w:type="character" w:customStyle="1" w:styleId="TableNotesChar0">
    <w:name w:val="Table Notes Char"/>
    <w:link w:val="TableNotes1"/>
    <w:rsid w:val="00A52EAD"/>
    <w:rPr>
      <w:rFonts w:asciiTheme="minorHAnsi" w:hAnsiTheme="minorHAnsi"/>
      <w:color w:val="000000"/>
      <w:sz w:val="16"/>
      <w:szCs w:val="24"/>
    </w:rPr>
  </w:style>
  <w:style w:type="paragraph" w:customStyle="1" w:styleId="TableParagraph">
    <w:name w:val="Table Paragraph"/>
    <w:basedOn w:val="Normal"/>
    <w:uiPriority w:val="1"/>
    <w:qFormat/>
    <w:rsid w:val="009328B0"/>
    <w:pPr>
      <w:jc w:val="left"/>
    </w:pPr>
    <w:rPr>
      <w:rFonts w:asciiTheme="minorHAnsi" w:eastAsiaTheme="minorHAnsi" w:hAnsiTheme="minorHAnsi" w:cstheme="minorBidi"/>
      <w:snapToGrid/>
      <w:sz w:val="22"/>
      <w:lang w:val="en-US"/>
    </w:rPr>
  </w:style>
  <w:style w:type="paragraph" w:customStyle="1" w:styleId="2Sections">
    <w:name w:val="2. Sections"/>
    <w:qFormat/>
    <w:rsid w:val="00972C80"/>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972C80"/>
    <w:pPr>
      <w:widowControl/>
      <w:spacing w:after="120"/>
      <w:ind w:hanging="720"/>
    </w:pPr>
    <w:rPr>
      <w:rFonts w:asciiTheme="minorHAnsi" w:eastAsiaTheme="minorHAnsi" w:hAnsiTheme="minorHAnsi" w:cstheme="minorBidi"/>
      <w:snapToGrid/>
    </w:rPr>
  </w:style>
  <w:style w:type="character" w:customStyle="1" w:styleId="3BodytextChar">
    <w:name w:val="3. Body text Char"/>
    <w:basedOn w:val="ListParagraphChar"/>
    <w:link w:val="3Bodytext"/>
    <w:rsid w:val="00F568B6"/>
    <w:rPr>
      <w:rFonts w:asciiTheme="minorHAnsi" w:eastAsiaTheme="minorHAnsi" w:hAnsiTheme="minorHAnsi" w:cstheme="minorBidi"/>
      <w:snapToGrid/>
      <w:sz w:val="24"/>
      <w:szCs w:val="22"/>
      <w:lang w:eastAsia="en-US"/>
    </w:rPr>
  </w:style>
  <w:style w:type="paragraph" w:customStyle="1" w:styleId="1MainTitle">
    <w:name w:val="1. Main Title"/>
    <w:basedOn w:val="Title"/>
    <w:link w:val="1MainTitleChar"/>
    <w:qFormat/>
    <w:rsid w:val="005834FA"/>
    <w:pPr>
      <w:widowControl/>
      <w:spacing w:before="120" w:after="160"/>
      <w:ind w:left="720" w:hanging="720"/>
      <w:contextualSpacing/>
      <w:jc w:val="left"/>
    </w:pPr>
    <w:rPr>
      <w:rFonts w:asciiTheme="minorHAnsi" w:eastAsiaTheme="majorEastAsia" w:hAnsiTheme="minorHAnsi" w:cstheme="majorBidi"/>
      <w:bCs w:val="0"/>
      <w:snapToGrid/>
      <w:spacing w:val="5"/>
      <w:sz w:val="36"/>
      <w:szCs w:val="36"/>
    </w:rPr>
  </w:style>
  <w:style w:type="character" w:customStyle="1" w:styleId="1MainTitleChar">
    <w:name w:val="1. Main Title Char"/>
    <w:basedOn w:val="TitleChar"/>
    <w:link w:val="1MainTitle"/>
    <w:rsid w:val="005834FA"/>
    <w:rPr>
      <w:rFonts w:asciiTheme="minorHAnsi" w:eastAsiaTheme="majorEastAsia" w:hAnsiTheme="minorHAnsi" w:cstheme="majorBidi"/>
      <w:b/>
      <w:bCs w:val="0"/>
      <w:snapToGrid/>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1991">
      <w:bodyDiv w:val="1"/>
      <w:marLeft w:val="0"/>
      <w:marRight w:val="0"/>
      <w:marTop w:val="0"/>
      <w:marBottom w:val="0"/>
      <w:divBdr>
        <w:top w:val="none" w:sz="0" w:space="0" w:color="auto"/>
        <w:left w:val="none" w:sz="0" w:space="0" w:color="auto"/>
        <w:bottom w:val="none" w:sz="0" w:space="0" w:color="auto"/>
        <w:right w:val="none" w:sz="0" w:space="0" w:color="auto"/>
      </w:divBdr>
    </w:div>
    <w:div w:id="989216085">
      <w:bodyDiv w:val="1"/>
      <w:marLeft w:val="0"/>
      <w:marRight w:val="0"/>
      <w:marTop w:val="0"/>
      <w:marBottom w:val="0"/>
      <w:divBdr>
        <w:top w:val="none" w:sz="0" w:space="0" w:color="auto"/>
        <w:left w:val="none" w:sz="0" w:space="0" w:color="auto"/>
        <w:bottom w:val="none" w:sz="0" w:space="0" w:color="auto"/>
        <w:right w:val="none" w:sz="0" w:space="0" w:color="auto"/>
      </w:divBdr>
    </w:div>
    <w:div w:id="1163936675">
      <w:bodyDiv w:val="1"/>
      <w:marLeft w:val="0"/>
      <w:marRight w:val="0"/>
      <w:marTop w:val="0"/>
      <w:marBottom w:val="0"/>
      <w:divBdr>
        <w:top w:val="none" w:sz="0" w:space="0" w:color="auto"/>
        <w:left w:val="none" w:sz="0" w:space="0" w:color="auto"/>
        <w:bottom w:val="none" w:sz="0" w:space="0" w:color="auto"/>
        <w:right w:val="none" w:sz="0" w:space="0" w:color="auto"/>
      </w:divBdr>
    </w:div>
    <w:div w:id="1646740550">
      <w:bodyDiv w:val="1"/>
      <w:marLeft w:val="0"/>
      <w:marRight w:val="0"/>
      <w:marTop w:val="0"/>
      <w:marBottom w:val="0"/>
      <w:divBdr>
        <w:top w:val="none" w:sz="0" w:space="0" w:color="auto"/>
        <w:left w:val="none" w:sz="0" w:space="0" w:color="auto"/>
        <w:bottom w:val="none" w:sz="0" w:space="0" w:color="auto"/>
        <w:right w:val="none" w:sz="0" w:space="0" w:color="auto"/>
      </w:divBdr>
    </w:div>
    <w:div w:id="16532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cn.org/" TargetMode="External"/><Relationship Id="rId2" Type="http://schemas.openxmlformats.org/officeDocument/2006/relationships/hyperlink" Target="http://www.uptodate.com/contents/overview-of-the-management-of-advanced-cutaneous-melanoma" TargetMode="External"/><Relationship Id="rId1" Type="http://schemas.openxmlformats.org/officeDocument/2006/relationships/hyperlink" Target="https://wiki.cancer.org.au/australiawiki/index.php?oldid=199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17390</Words>
  <Characters>100539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2020-02-27T01:30:00Z</dcterms:created>
  <dcterms:modified xsi:type="dcterms:W3CDTF">2020-02-27T01:31:00Z</dcterms:modified>
</cp:coreProperties>
</file>