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47" w:rsidRPr="00936522" w:rsidRDefault="0044502A" w:rsidP="00936522">
      <w:pPr>
        <w:pStyle w:val="1MainTitle"/>
      </w:pPr>
      <w:bookmarkStart w:id="0" w:name="_GoBack"/>
      <w:bookmarkEnd w:id="0"/>
      <w:r>
        <w:t>5.22</w:t>
      </w:r>
      <w:r w:rsidR="00FC3647" w:rsidRPr="002B5596">
        <w:tab/>
      </w:r>
      <w:r>
        <w:t>PEGFILGRASTIM</w:t>
      </w:r>
      <w:r w:rsidR="00FC3647" w:rsidRPr="002B5596">
        <w:t xml:space="preserve"> </w:t>
      </w:r>
      <w:r w:rsidR="00FC3647" w:rsidRPr="002B5596">
        <w:br/>
      </w:r>
      <w:r>
        <w:t xml:space="preserve">Injection 6 mg in 0.6 mL single use pre-filled syringe, </w:t>
      </w:r>
      <w:r w:rsidR="00FC3647" w:rsidRPr="002B5596">
        <w:br/>
      </w:r>
      <w:r>
        <w:t>Ziextenzo</w:t>
      </w:r>
      <w:r w:rsidR="00FC3647" w:rsidRPr="002B5596">
        <w:rPr>
          <w:vertAlign w:val="superscript"/>
        </w:rPr>
        <w:t>®</w:t>
      </w:r>
      <w:r w:rsidR="00FC3647">
        <w:t xml:space="preserve">, </w:t>
      </w:r>
      <w:r w:rsidR="004A6EAD">
        <w:br/>
      </w:r>
      <w:r w:rsidR="00FC3647">
        <w:t>S</w:t>
      </w:r>
      <w:r>
        <w:t>andoz Pty Ltd</w:t>
      </w:r>
    </w:p>
    <w:p w:rsidR="00FC3647" w:rsidRPr="00D4572C" w:rsidRDefault="00FC3647" w:rsidP="00FC3647">
      <w:pPr>
        <w:pStyle w:val="2Sections"/>
        <w:numPr>
          <w:ilvl w:val="0"/>
          <w:numId w:val="5"/>
        </w:numPr>
      </w:pPr>
      <w:r w:rsidRPr="0033263D">
        <w:t>Purpose of Application</w:t>
      </w:r>
      <w:r>
        <w:t xml:space="preserve"> </w:t>
      </w:r>
    </w:p>
    <w:p w:rsidR="009A1D5E" w:rsidRPr="008321C3" w:rsidRDefault="009A1D5E" w:rsidP="00605BD5">
      <w:pPr>
        <w:pStyle w:val="3Bodytext"/>
        <w:rPr>
          <w:snapToGrid/>
        </w:rPr>
      </w:pPr>
      <w:r w:rsidRPr="008321C3">
        <w:rPr>
          <w:snapToGrid/>
        </w:rPr>
        <w:t xml:space="preserve">The minor submission sought </w:t>
      </w:r>
      <w:r w:rsidR="00983E94">
        <w:rPr>
          <w:snapToGrid/>
        </w:rPr>
        <w:t xml:space="preserve">a Section 100 Highly Specialised Drugs (HSD) program </w:t>
      </w:r>
      <w:r w:rsidRPr="008321C3">
        <w:rPr>
          <w:snapToGrid/>
        </w:rPr>
        <w:t xml:space="preserve">listing for a new biosimilar </w:t>
      </w:r>
      <w:r w:rsidR="00A62FB3">
        <w:rPr>
          <w:snapToGrid/>
        </w:rPr>
        <w:t>brand of pegfilgrastim (Ziextenzo</w:t>
      </w:r>
      <w:r w:rsidRPr="008321C3">
        <w:rPr>
          <w:snapToGrid/>
        </w:rPr>
        <w:t>®) for all indicat</w:t>
      </w:r>
      <w:r w:rsidR="004A6EAD">
        <w:rPr>
          <w:snapToGrid/>
        </w:rPr>
        <w:t>ions for which the</w:t>
      </w:r>
      <w:r w:rsidRPr="008321C3">
        <w:rPr>
          <w:snapToGrid/>
        </w:rPr>
        <w:t xml:space="preserve"> reference brand (Neul</w:t>
      </w:r>
      <w:r w:rsidR="00566E1B">
        <w:rPr>
          <w:snapToGrid/>
        </w:rPr>
        <w:t>asta®) is currently PBS listed</w:t>
      </w:r>
      <w:r w:rsidRPr="008321C3">
        <w:rPr>
          <w:snapToGrid/>
        </w:rPr>
        <w:t xml:space="preserve">. </w:t>
      </w:r>
    </w:p>
    <w:p w:rsidR="00FC3647" w:rsidRPr="00577C4D" w:rsidRDefault="00FC3647" w:rsidP="00FC3647">
      <w:pPr>
        <w:pStyle w:val="2Sections"/>
        <w:numPr>
          <w:ilvl w:val="0"/>
          <w:numId w:val="5"/>
        </w:numPr>
      </w:pPr>
      <w:r w:rsidRPr="002B5596">
        <w:t>Requested listing</w:t>
      </w:r>
    </w:p>
    <w:p w:rsidR="000104DB" w:rsidRDefault="00676426" w:rsidP="00605BD5">
      <w:pPr>
        <w:pStyle w:val="3Bodytext"/>
      </w:pPr>
      <w:r w:rsidRPr="006B50B9">
        <w:t xml:space="preserve">The </w:t>
      </w:r>
      <w:r w:rsidRPr="00605BD5">
        <w:t>submission</w:t>
      </w:r>
      <w:r w:rsidRPr="006B50B9">
        <w:t xml:space="preserve"> requested </w:t>
      </w:r>
      <w:r w:rsidR="00983E94">
        <w:t xml:space="preserve">the following </w:t>
      </w:r>
      <w:r w:rsidR="004A6EAD">
        <w:t>listing for pegfilgrastim</w:t>
      </w:r>
      <w:r w:rsidR="00DA5C92">
        <w:t>,</w:t>
      </w:r>
      <w:r w:rsidRPr="006B50B9">
        <w:t xml:space="preserve"> 6 mg in 0.6 mL single use pre-filled syringe</w:t>
      </w:r>
      <w:r w:rsidR="00651A74">
        <w:t>.</w:t>
      </w:r>
      <w:r w:rsidR="00DA5C92">
        <w:t xml:space="preserve"> The proposed dosage</w:t>
      </w:r>
      <w:r w:rsidR="0073225D">
        <w:t>,</w:t>
      </w:r>
      <w:r w:rsidR="00DA5C92">
        <w:t xml:space="preserve"> form</w:t>
      </w:r>
      <w:r w:rsidR="00983E94">
        <w:t>,</w:t>
      </w:r>
      <w:r w:rsidR="00DA5C92">
        <w:t xml:space="preserve"> strength</w:t>
      </w:r>
      <w:r w:rsidR="00983E94">
        <w:t>, maximum quantity and number of repeats</w:t>
      </w:r>
      <w:r w:rsidR="00DA5C92">
        <w:t xml:space="preserve"> is the same as for the comparator.</w:t>
      </w:r>
      <w:r w:rsidRPr="00CD6F0E">
        <w:t xml:space="preserve"> </w:t>
      </w:r>
    </w:p>
    <w:p w:rsidR="00A1243A" w:rsidRDefault="007002CC" w:rsidP="00605BD5">
      <w:pPr>
        <w:pStyle w:val="3Bodytext"/>
      </w:pPr>
      <w:r w:rsidRPr="00D358E2">
        <w:t>Additions proposed by the Secretariat to the requested listing are in italics.</w:t>
      </w:r>
    </w:p>
    <w:p w:rsidR="00E6107B" w:rsidRPr="00D358E2" w:rsidRDefault="00E6107B" w:rsidP="00E6107B">
      <w:pPr>
        <w:pStyle w:val="3Bodytext"/>
        <w:numPr>
          <w:ilvl w:val="0"/>
          <w:numId w:val="0"/>
        </w:num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310"/>
        <w:gridCol w:w="1525"/>
      </w:tblGrid>
      <w:tr w:rsidR="00FC3647" w:rsidRPr="00C254D9" w:rsidTr="00C42C51">
        <w:trPr>
          <w:cantSplit/>
          <w:trHeight w:val="471"/>
        </w:trPr>
        <w:tc>
          <w:tcPr>
            <w:tcW w:w="3261" w:type="dxa"/>
            <w:gridSpan w:val="2"/>
            <w:tcBorders>
              <w:bottom w:val="single" w:sz="4" w:space="0" w:color="auto"/>
            </w:tcBorders>
          </w:tcPr>
          <w:p w:rsidR="00FC3647" w:rsidRPr="00C254D9" w:rsidRDefault="00FC3647" w:rsidP="00C42C51">
            <w:pPr>
              <w:keepNext/>
              <w:ind w:left="-108"/>
              <w:jc w:val="both"/>
              <w:rPr>
                <w:rFonts w:ascii="Arial Narrow" w:hAnsi="Arial Narrow" w:cs="Arial"/>
                <w:sz w:val="20"/>
                <w:szCs w:val="20"/>
              </w:rPr>
            </w:pPr>
            <w:r w:rsidRPr="00C254D9">
              <w:rPr>
                <w:rFonts w:ascii="Arial Narrow" w:hAnsi="Arial Narrow" w:cs="Arial"/>
                <w:sz w:val="20"/>
                <w:szCs w:val="20"/>
              </w:rPr>
              <w:t>Name, Restriction,</w:t>
            </w:r>
          </w:p>
          <w:p w:rsidR="00FC3647" w:rsidRPr="00C254D9" w:rsidRDefault="00FC3647" w:rsidP="00C42C51">
            <w:pPr>
              <w:keepNext/>
              <w:ind w:left="-108"/>
              <w:jc w:val="both"/>
              <w:rPr>
                <w:rFonts w:ascii="Arial Narrow" w:hAnsi="Arial Narrow" w:cs="Arial"/>
                <w:sz w:val="20"/>
                <w:szCs w:val="20"/>
              </w:rPr>
            </w:pPr>
            <w:r w:rsidRPr="00C254D9">
              <w:rPr>
                <w:rFonts w:ascii="Arial Narrow" w:hAnsi="Arial Narrow" w:cs="Arial"/>
                <w:sz w:val="20"/>
                <w:szCs w:val="20"/>
              </w:rPr>
              <w:t>Manner of administration and form</w:t>
            </w:r>
          </w:p>
        </w:tc>
        <w:tc>
          <w:tcPr>
            <w:tcW w:w="567" w:type="dxa"/>
            <w:tcBorders>
              <w:bottom w:val="single" w:sz="4" w:space="0" w:color="auto"/>
            </w:tcBorders>
          </w:tcPr>
          <w:p w:rsidR="00FC3647" w:rsidRPr="00C254D9" w:rsidRDefault="00FC3647" w:rsidP="00C42C51">
            <w:pPr>
              <w:keepNext/>
              <w:ind w:left="-108"/>
              <w:jc w:val="both"/>
              <w:rPr>
                <w:rFonts w:ascii="Arial Narrow" w:hAnsi="Arial Narrow" w:cs="Arial"/>
                <w:sz w:val="20"/>
                <w:szCs w:val="20"/>
              </w:rPr>
            </w:pPr>
            <w:r w:rsidRPr="00C254D9">
              <w:rPr>
                <w:rFonts w:ascii="Arial Narrow" w:hAnsi="Arial Narrow" w:cs="Arial"/>
                <w:sz w:val="20"/>
                <w:szCs w:val="20"/>
              </w:rPr>
              <w:t>Max.</w:t>
            </w:r>
          </w:p>
          <w:p w:rsidR="00FC3647" w:rsidRPr="00C254D9" w:rsidRDefault="00FC3647" w:rsidP="00C42C51">
            <w:pPr>
              <w:keepNext/>
              <w:ind w:left="-108"/>
              <w:jc w:val="both"/>
              <w:rPr>
                <w:rFonts w:ascii="Arial Narrow" w:hAnsi="Arial Narrow" w:cs="Arial"/>
                <w:sz w:val="20"/>
                <w:szCs w:val="20"/>
              </w:rPr>
            </w:pPr>
            <w:r w:rsidRPr="00C254D9">
              <w:rPr>
                <w:rFonts w:ascii="Arial Narrow" w:hAnsi="Arial Narrow" w:cs="Arial"/>
                <w:sz w:val="20"/>
                <w:szCs w:val="20"/>
              </w:rPr>
              <w:t>Qty</w:t>
            </w:r>
          </w:p>
        </w:tc>
        <w:tc>
          <w:tcPr>
            <w:tcW w:w="850" w:type="dxa"/>
            <w:tcBorders>
              <w:bottom w:val="single" w:sz="4" w:space="0" w:color="auto"/>
            </w:tcBorders>
          </w:tcPr>
          <w:p w:rsidR="00FC3647" w:rsidRPr="00C254D9" w:rsidRDefault="00FC3647" w:rsidP="00C42C51">
            <w:pPr>
              <w:keepNext/>
              <w:ind w:left="-108"/>
              <w:jc w:val="both"/>
              <w:rPr>
                <w:rFonts w:ascii="Arial Narrow" w:hAnsi="Arial Narrow" w:cs="Arial"/>
                <w:sz w:val="20"/>
                <w:szCs w:val="20"/>
              </w:rPr>
            </w:pPr>
            <w:r w:rsidRPr="00C254D9">
              <w:rPr>
                <w:rFonts w:ascii="Arial Narrow" w:hAnsi="Arial Narrow" w:cs="Arial"/>
                <w:sz w:val="20"/>
                <w:szCs w:val="20"/>
              </w:rPr>
              <w:t>№.of</w:t>
            </w:r>
          </w:p>
          <w:p w:rsidR="00FC3647" w:rsidRPr="00C254D9" w:rsidRDefault="00FC3647" w:rsidP="00C42C51">
            <w:pPr>
              <w:keepNext/>
              <w:ind w:left="-108"/>
              <w:jc w:val="both"/>
              <w:rPr>
                <w:rFonts w:ascii="Arial Narrow" w:hAnsi="Arial Narrow" w:cs="Arial"/>
                <w:sz w:val="20"/>
                <w:szCs w:val="20"/>
              </w:rPr>
            </w:pPr>
            <w:r w:rsidRPr="00C254D9">
              <w:rPr>
                <w:rFonts w:ascii="Arial Narrow" w:hAnsi="Arial Narrow" w:cs="Arial"/>
                <w:sz w:val="20"/>
                <w:szCs w:val="20"/>
              </w:rPr>
              <w:t>Rpts</w:t>
            </w:r>
          </w:p>
        </w:tc>
        <w:tc>
          <w:tcPr>
            <w:tcW w:w="1701" w:type="dxa"/>
            <w:tcBorders>
              <w:bottom w:val="single" w:sz="4" w:space="0" w:color="auto"/>
            </w:tcBorders>
          </w:tcPr>
          <w:p w:rsidR="00FC3647" w:rsidRPr="00C254D9" w:rsidRDefault="00FC3647" w:rsidP="00C42C51">
            <w:pPr>
              <w:keepNext/>
              <w:ind w:left="-108"/>
              <w:jc w:val="both"/>
              <w:rPr>
                <w:rFonts w:ascii="Arial Narrow" w:hAnsi="Arial Narrow" w:cs="Arial"/>
                <w:sz w:val="20"/>
                <w:szCs w:val="20"/>
              </w:rPr>
            </w:pPr>
            <w:r w:rsidRPr="00C254D9">
              <w:rPr>
                <w:rFonts w:ascii="Arial Narrow" w:hAnsi="Arial Narrow" w:cs="Arial"/>
                <w:sz w:val="20"/>
                <w:szCs w:val="20"/>
              </w:rPr>
              <w:t>Dispensed Price for Max. Qty</w:t>
            </w:r>
          </w:p>
        </w:tc>
        <w:tc>
          <w:tcPr>
            <w:tcW w:w="2835" w:type="dxa"/>
            <w:gridSpan w:val="2"/>
            <w:tcBorders>
              <w:bottom w:val="single" w:sz="4" w:space="0" w:color="auto"/>
            </w:tcBorders>
          </w:tcPr>
          <w:p w:rsidR="00FC3647" w:rsidRPr="00C254D9" w:rsidRDefault="00FC3647" w:rsidP="00C42C51">
            <w:pPr>
              <w:keepNext/>
              <w:jc w:val="both"/>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FC3647" w:rsidRPr="00C254D9" w:rsidTr="009D173A">
        <w:trPr>
          <w:cantSplit/>
          <w:trHeight w:val="577"/>
        </w:trPr>
        <w:tc>
          <w:tcPr>
            <w:tcW w:w="3261" w:type="dxa"/>
            <w:gridSpan w:val="2"/>
          </w:tcPr>
          <w:p w:rsidR="00FC3647" w:rsidRPr="00BD02C3" w:rsidRDefault="009D173A" w:rsidP="00C42C51">
            <w:pPr>
              <w:keepNext/>
              <w:ind w:left="-108"/>
              <w:jc w:val="both"/>
              <w:rPr>
                <w:rFonts w:ascii="Arial Narrow" w:hAnsi="Arial Narrow" w:cs="Arial"/>
                <w:sz w:val="20"/>
                <w:szCs w:val="20"/>
              </w:rPr>
            </w:pPr>
            <w:r>
              <w:rPr>
                <w:rFonts w:ascii="Arial Narrow" w:hAnsi="Arial Narrow" w:cs="Arial"/>
                <w:smallCaps/>
                <w:sz w:val="20"/>
                <w:szCs w:val="20"/>
              </w:rPr>
              <w:t xml:space="preserve">PEGFILGRASTIM </w:t>
            </w:r>
          </w:p>
          <w:p w:rsidR="00FC3647" w:rsidRDefault="009D173A" w:rsidP="00C42C51">
            <w:pPr>
              <w:keepNext/>
              <w:ind w:left="-108"/>
              <w:jc w:val="both"/>
              <w:rPr>
                <w:rFonts w:ascii="Arial Narrow" w:hAnsi="Arial Narrow" w:cs="Arial"/>
                <w:sz w:val="20"/>
                <w:szCs w:val="20"/>
              </w:rPr>
            </w:pPr>
            <w:r>
              <w:rPr>
                <w:rFonts w:ascii="Arial Narrow" w:hAnsi="Arial Narrow" w:cs="Arial"/>
                <w:sz w:val="20"/>
                <w:szCs w:val="20"/>
              </w:rPr>
              <w:t>6 mg/0.6 mL injection, 0.6 mL syringe</w:t>
            </w:r>
          </w:p>
          <w:p w:rsidR="00566E1B" w:rsidRPr="008B3257" w:rsidRDefault="00566E1B" w:rsidP="00C42C51">
            <w:pPr>
              <w:keepNext/>
              <w:ind w:left="-108"/>
              <w:jc w:val="both"/>
              <w:rPr>
                <w:rFonts w:ascii="Arial Narrow" w:hAnsi="Arial Narrow" w:cs="Arial"/>
                <w:color w:val="FF0000"/>
                <w:sz w:val="20"/>
                <w:szCs w:val="20"/>
              </w:rPr>
            </w:pPr>
          </w:p>
        </w:tc>
        <w:tc>
          <w:tcPr>
            <w:tcW w:w="567" w:type="dxa"/>
          </w:tcPr>
          <w:p w:rsidR="00FC3647" w:rsidRPr="00C254D9" w:rsidRDefault="00FC3647" w:rsidP="00C42C51">
            <w:pPr>
              <w:keepNext/>
              <w:ind w:left="-108"/>
              <w:jc w:val="both"/>
              <w:rPr>
                <w:rFonts w:ascii="Arial Narrow" w:hAnsi="Arial Narrow" w:cs="Arial"/>
                <w:sz w:val="20"/>
                <w:szCs w:val="20"/>
              </w:rPr>
            </w:pPr>
          </w:p>
          <w:p w:rsidR="00FC3647" w:rsidRPr="00C254D9" w:rsidRDefault="009D173A" w:rsidP="00C42C51">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FC3647" w:rsidRPr="00C254D9" w:rsidRDefault="00FC3647" w:rsidP="00C42C51">
            <w:pPr>
              <w:keepNext/>
              <w:ind w:left="-108"/>
              <w:jc w:val="both"/>
              <w:rPr>
                <w:rFonts w:ascii="Arial Narrow" w:hAnsi="Arial Narrow" w:cs="Arial"/>
                <w:sz w:val="20"/>
                <w:szCs w:val="20"/>
              </w:rPr>
            </w:pPr>
          </w:p>
          <w:p w:rsidR="00FC3647" w:rsidRPr="00C254D9" w:rsidRDefault="009D173A" w:rsidP="00C42C51">
            <w:pPr>
              <w:keepNext/>
              <w:ind w:left="-108"/>
              <w:jc w:val="both"/>
              <w:rPr>
                <w:rFonts w:ascii="Arial Narrow" w:hAnsi="Arial Narrow" w:cs="Arial"/>
                <w:sz w:val="20"/>
                <w:szCs w:val="20"/>
              </w:rPr>
            </w:pPr>
            <w:r>
              <w:rPr>
                <w:rFonts w:ascii="Arial Narrow" w:hAnsi="Arial Narrow" w:cs="Arial"/>
                <w:sz w:val="20"/>
                <w:szCs w:val="20"/>
              </w:rPr>
              <w:t>11</w:t>
            </w:r>
          </w:p>
        </w:tc>
        <w:tc>
          <w:tcPr>
            <w:tcW w:w="1701" w:type="dxa"/>
          </w:tcPr>
          <w:p w:rsidR="00FC3647" w:rsidRPr="00C254D9" w:rsidRDefault="009D173A" w:rsidP="00C42C51">
            <w:pPr>
              <w:keepNext/>
              <w:ind w:left="-108"/>
              <w:jc w:val="both"/>
              <w:rPr>
                <w:rFonts w:ascii="Arial Narrow" w:hAnsi="Arial Narrow" w:cs="Arial"/>
                <w:sz w:val="20"/>
                <w:szCs w:val="20"/>
              </w:rPr>
            </w:pPr>
            <w:r>
              <w:rPr>
                <w:rFonts w:ascii="Arial Narrow" w:hAnsi="Arial Narrow" w:cs="Arial"/>
                <w:sz w:val="20"/>
                <w:szCs w:val="20"/>
              </w:rPr>
              <w:t>$1</w:t>
            </w:r>
            <w:r w:rsidR="002F363E">
              <w:rPr>
                <w:rFonts w:ascii="Arial Narrow" w:hAnsi="Arial Narrow" w:cs="Arial"/>
                <w:sz w:val="20"/>
                <w:szCs w:val="20"/>
              </w:rPr>
              <w:t>,</w:t>
            </w:r>
            <w:r>
              <w:rPr>
                <w:rFonts w:ascii="Arial Narrow" w:hAnsi="Arial Narrow" w:cs="Arial"/>
                <w:sz w:val="20"/>
                <w:szCs w:val="20"/>
              </w:rPr>
              <w:t>175.00 (Public)</w:t>
            </w:r>
          </w:p>
          <w:p w:rsidR="00FC3647" w:rsidRPr="00C254D9" w:rsidRDefault="009D173A" w:rsidP="00C42C51">
            <w:pPr>
              <w:keepNext/>
              <w:ind w:left="-108"/>
              <w:jc w:val="both"/>
              <w:rPr>
                <w:rFonts w:ascii="Arial Narrow" w:hAnsi="Arial Narrow" w:cs="Arial"/>
                <w:sz w:val="20"/>
                <w:szCs w:val="20"/>
              </w:rPr>
            </w:pPr>
            <w:r>
              <w:rPr>
                <w:rFonts w:ascii="Arial Narrow" w:hAnsi="Arial Narrow" w:cs="Arial"/>
                <w:sz w:val="20"/>
                <w:szCs w:val="20"/>
              </w:rPr>
              <w:t>$1</w:t>
            </w:r>
            <w:r w:rsidR="002F363E">
              <w:rPr>
                <w:rFonts w:ascii="Arial Narrow" w:hAnsi="Arial Narrow" w:cs="Arial"/>
                <w:sz w:val="20"/>
                <w:szCs w:val="20"/>
              </w:rPr>
              <w:t>,</w:t>
            </w:r>
            <w:r>
              <w:rPr>
                <w:rFonts w:ascii="Arial Narrow" w:hAnsi="Arial Narrow" w:cs="Arial"/>
                <w:sz w:val="20"/>
                <w:szCs w:val="20"/>
              </w:rPr>
              <w:t>222.39 (Private)</w:t>
            </w:r>
          </w:p>
        </w:tc>
        <w:tc>
          <w:tcPr>
            <w:tcW w:w="1310" w:type="dxa"/>
          </w:tcPr>
          <w:p w:rsidR="00566E1B" w:rsidRDefault="00566E1B" w:rsidP="009D173A">
            <w:pPr>
              <w:keepNext/>
              <w:jc w:val="both"/>
              <w:rPr>
                <w:rFonts w:ascii="Arial Narrow" w:hAnsi="Arial Narrow" w:cs="Arial"/>
                <w:sz w:val="20"/>
                <w:szCs w:val="20"/>
              </w:rPr>
            </w:pPr>
          </w:p>
          <w:p w:rsidR="00FC3647" w:rsidRPr="004A6EAD" w:rsidRDefault="009D173A" w:rsidP="009D173A">
            <w:pPr>
              <w:keepNext/>
              <w:jc w:val="both"/>
              <w:rPr>
                <w:rFonts w:ascii="Arial Narrow" w:hAnsi="Arial Narrow" w:cs="Arial"/>
                <w:sz w:val="20"/>
                <w:szCs w:val="20"/>
                <w:vertAlign w:val="superscript"/>
              </w:rPr>
            </w:pPr>
            <w:r>
              <w:rPr>
                <w:rFonts w:ascii="Arial Narrow" w:hAnsi="Arial Narrow" w:cs="Arial"/>
                <w:sz w:val="20"/>
                <w:szCs w:val="20"/>
              </w:rPr>
              <w:t>Ziextenzo</w:t>
            </w:r>
            <w:r w:rsidR="004A6EAD">
              <w:rPr>
                <w:rFonts w:ascii="Arial Narrow" w:hAnsi="Arial Narrow" w:cs="Arial"/>
                <w:sz w:val="20"/>
                <w:szCs w:val="20"/>
                <w:vertAlign w:val="superscript"/>
              </w:rPr>
              <w:t>®</w:t>
            </w:r>
          </w:p>
        </w:tc>
        <w:tc>
          <w:tcPr>
            <w:tcW w:w="1525" w:type="dxa"/>
          </w:tcPr>
          <w:p w:rsidR="00566E1B" w:rsidRDefault="00566E1B" w:rsidP="009D173A">
            <w:pPr>
              <w:keepNext/>
              <w:jc w:val="both"/>
              <w:rPr>
                <w:rFonts w:ascii="Arial Narrow" w:hAnsi="Arial Narrow" w:cs="Arial"/>
                <w:sz w:val="20"/>
                <w:szCs w:val="20"/>
              </w:rPr>
            </w:pPr>
          </w:p>
          <w:p w:rsidR="00FC3647" w:rsidRPr="00C254D9" w:rsidRDefault="00FC3647" w:rsidP="009D173A">
            <w:pPr>
              <w:keepNext/>
              <w:jc w:val="both"/>
              <w:rPr>
                <w:rFonts w:ascii="Arial Narrow" w:hAnsi="Arial Narrow" w:cs="Arial"/>
                <w:sz w:val="20"/>
                <w:szCs w:val="20"/>
              </w:rPr>
            </w:pPr>
            <w:r w:rsidRPr="00C254D9">
              <w:rPr>
                <w:rFonts w:ascii="Arial Narrow" w:hAnsi="Arial Narrow" w:cs="Arial"/>
                <w:sz w:val="20"/>
                <w:szCs w:val="20"/>
              </w:rPr>
              <w:t>S</w:t>
            </w:r>
            <w:r w:rsidR="009D173A">
              <w:rPr>
                <w:rFonts w:ascii="Arial Narrow" w:hAnsi="Arial Narrow" w:cs="Arial"/>
                <w:sz w:val="20"/>
                <w:szCs w:val="20"/>
              </w:rPr>
              <w:t>andoz Pty Ltd</w:t>
            </w:r>
          </w:p>
        </w:tc>
      </w:tr>
      <w:tr w:rsidR="00FC3647" w:rsidRPr="00C254D9" w:rsidTr="00C42C51">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C254D9" w:rsidRDefault="00FC3647" w:rsidP="00C42C51">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C254D9" w:rsidRDefault="00FC3647" w:rsidP="00C42C51">
            <w:pPr>
              <w:rPr>
                <w:rFonts w:ascii="Arial Narrow" w:hAnsi="Arial Narrow" w:cs="Arial"/>
                <w:sz w:val="20"/>
                <w:szCs w:val="20"/>
              </w:rPr>
            </w:pPr>
            <w:r w:rsidRPr="00C254D9">
              <w:rPr>
                <w:rFonts w:ascii="Arial Narrow" w:hAnsi="Arial Narrow" w:cs="Arial"/>
                <w:sz w:val="20"/>
                <w:szCs w:val="20"/>
              </w:rPr>
              <w:t>Section 100 – Highly Specialised Drugs Program</w:t>
            </w:r>
            <w:r w:rsidR="009D173A">
              <w:rPr>
                <w:rFonts w:ascii="Arial Narrow" w:hAnsi="Arial Narrow" w:cs="Arial"/>
                <w:sz w:val="20"/>
                <w:szCs w:val="20"/>
              </w:rPr>
              <w:t xml:space="preserve"> – Public and Private</w:t>
            </w:r>
          </w:p>
        </w:tc>
      </w:tr>
      <w:tr w:rsidR="00FC3647" w:rsidRPr="00C254D9" w:rsidTr="00C42C51">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C254D9" w:rsidRDefault="00FC3647" w:rsidP="00C42C51">
            <w:pPr>
              <w:jc w:val="both"/>
              <w:rPr>
                <w:rFonts w:ascii="Arial Narrow" w:hAnsi="Arial Narrow" w:cs="Arial"/>
                <w:b/>
                <w:sz w:val="20"/>
                <w:szCs w:val="20"/>
              </w:rPr>
            </w:pPr>
            <w:r w:rsidRPr="00C254D9">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C254D9" w:rsidRDefault="00FC3647" w:rsidP="00C42C51">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00AE0C3B">
              <w:rPr>
                <w:rFonts w:ascii="Arial Narrow" w:hAnsi="Arial Narrow" w:cs="Arial"/>
                <w:sz w:val="20"/>
                <w:szCs w:val="20"/>
              </w:rPr>
              <w:t>Dental</w:t>
            </w:r>
            <w:r w:rsidRPr="00C254D9">
              <w:rPr>
                <w:rFonts w:ascii="Arial Narrow" w:hAnsi="Arial Narrow" w:cs="Arial"/>
                <w:sz w:val="20"/>
                <w:szCs w:val="20"/>
              </w:rPr>
              <w:t xml:space="preserve"> </w:t>
            </w:r>
            <w:r w:rsidR="009D173A">
              <w:rPr>
                <w:rFonts w:ascii="Arial Narrow" w:hAnsi="Arial Narrow" w:cs="Arial"/>
                <w:sz w:val="20"/>
                <w:szCs w:val="20"/>
              </w:rPr>
              <w:fldChar w:fldCharType="begin">
                <w:ffData>
                  <w:name w:val=""/>
                  <w:enabled/>
                  <w:calcOnExit w:val="0"/>
                  <w:checkBox>
                    <w:sizeAuto/>
                    <w:default w:val="1"/>
                  </w:checkBox>
                </w:ffData>
              </w:fldChar>
            </w:r>
            <w:r w:rsidR="009D173A">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009D173A">
              <w:rPr>
                <w:rFonts w:ascii="Arial Narrow" w:hAnsi="Arial Narrow" w:cs="Arial"/>
                <w:sz w:val="20"/>
                <w:szCs w:val="20"/>
              </w:rPr>
              <w:fldChar w:fldCharType="end"/>
            </w:r>
            <w:r w:rsidR="00AE0C3B">
              <w:rPr>
                <w:rFonts w:ascii="Arial Narrow" w:hAnsi="Arial Narrow" w:cs="Arial"/>
                <w:sz w:val="20"/>
                <w:szCs w:val="20"/>
              </w:rPr>
              <w:t>Medical Practitioners</w:t>
            </w:r>
            <w:r w:rsidRPr="00C254D9">
              <w:rPr>
                <w:rFonts w:ascii="Arial Narrow" w:hAnsi="Arial Narrow" w:cs="Arial"/>
                <w:sz w:val="20"/>
                <w:szCs w:val="20"/>
              </w:rPr>
              <w:t xml:space="preserve"> </w:t>
            </w: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00AE0C3B">
              <w:rPr>
                <w:rFonts w:ascii="Arial Narrow" w:hAnsi="Arial Narrow" w:cs="Arial"/>
                <w:sz w:val="20"/>
                <w:szCs w:val="20"/>
              </w:rPr>
              <w:t>Nurse practitioners</w:t>
            </w:r>
            <w:r w:rsidRPr="00C254D9">
              <w:rPr>
                <w:rFonts w:ascii="Arial Narrow" w:hAnsi="Arial Narrow" w:cs="Arial"/>
                <w:sz w:val="20"/>
                <w:szCs w:val="20"/>
              </w:rPr>
              <w:t xml:space="preserve"> </w:t>
            </w: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Optometrists</w:t>
            </w:r>
          </w:p>
          <w:p w:rsidR="00FC3647" w:rsidRPr="00C254D9" w:rsidRDefault="00FC3647" w:rsidP="00C42C51">
            <w:pPr>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Midwives</w:t>
            </w:r>
          </w:p>
        </w:tc>
      </w:tr>
      <w:tr w:rsidR="00FC3647" w:rsidRPr="00C254D9" w:rsidTr="00C42C51">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C254D9" w:rsidRDefault="00FC3647" w:rsidP="00C42C51">
            <w:pPr>
              <w:jc w:val="both"/>
              <w:rPr>
                <w:rFonts w:ascii="Arial Narrow" w:hAnsi="Arial Narrow" w:cs="Arial"/>
                <w:b/>
                <w:sz w:val="20"/>
                <w:szCs w:val="20"/>
              </w:rPr>
            </w:pPr>
            <w:r w:rsidRPr="00C254D9">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C254D9" w:rsidRDefault="009D173A" w:rsidP="00C42C51">
            <w:pPr>
              <w:rPr>
                <w:rFonts w:ascii="Arial Narrow" w:hAnsi="Arial Narrow" w:cs="Arial"/>
                <w:sz w:val="20"/>
                <w:szCs w:val="20"/>
              </w:rPr>
            </w:pPr>
            <w:r>
              <w:rPr>
                <w:rFonts w:ascii="Arial Narrow" w:hAnsi="Arial Narrow" w:cs="Arial"/>
                <w:sz w:val="20"/>
                <w:szCs w:val="20"/>
              </w:rPr>
              <w:t>Chemotherapy-induced neutropenia</w:t>
            </w:r>
          </w:p>
        </w:tc>
      </w:tr>
      <w:tr w:rsidR="00FC3647" w:rsidRPr="00C254D9" w:rsidTr="00566E1B">
        <w:trPr>
          <w:cantSplit/>
          <w:trHeight w:val="398"/>
        </w:trPr>
        <w:tc>
          <w:tcPr>
            <w:tcW w:w="2835" w:type="dxa"/>
            <w:tcBorders>
              <w:top w:val="single" w:sz="4" w:space="0" w:color="auto"/>
              <w:left w:val="single" w:sz="4" w:space="0" w:color="auto"/>
              <w:bottom w:val="single" w:sz="4" w:space="0" w:color="auto"/>
              <w:right w:val="single" w:sz="4" w:space="0" w:color="auto"/>
            </w:tcBorders>
          </w:tcPr>
          <w:p w:rsidR="00FC3647" w:rsidRPr="00566E1B" w:rsidRDefault="00FC3647" w:rsidP="00C42C51">
            <w:pPr>
              <w:jc w:val="both"/>
              <w:rPr>
                <w:rFonts w:ascii="Arial Narrow" w:hAnsi="Arial Narrow" w:cs="Arial"/>
                <w:b/>
                <w:sz w:val="20"/>
                <w:szCs w:val="20"/>
              </w:rPr>
            </w:pPr>
            <w:r w:rsidRPr="00C254D9">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C254D9" w:rsidRDefault="009D173A" w:rsidP="00C42C51">
            <w:pPr>
              <w:rPr>
                <w:rFonts w:ascii="Arial Narrow" w:hAnsi="Arial Narrow" w:cs="Arial"/>
                <w:sz w:val="20"/>
                <w:szCs w:val="20"/>
              </w:rPr>
            </w:pPr>
            <w:r>
              <w:rPr>
                <w:rFonts w:ascii="Arial Narrow" w:hAnsi="Arial Narrow" w:cs="Arial"/>
                <w:sz w:val="20"/>
                <w:szCs w:val="20"/>
              </w:rPr>
              <w:t>Chemotherapy-induced neutropenia</w:t>
            </w:r>
          </w:p>
        </w:tc>
      </w:tr>
      <w:tr w:rsidR="00FC3647" w:rsidRPr="00C254D9" w:rsidTr="00C42C51">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C254D9" w:rsidRDefault="00FC3647" w:rsidP="00C42C51">
            <w:pPr>
              <w:jc w:val="both"/>
              <w:rPr>
                <w:rFonts w:ascii="Arial Narrow" w:hAnsi="Arial Narrow" w:cs="Arial"/>
                <w:b/>
                <w:sz w:val="20"/>
                <w:szCs w:val="20"/>
              </w:rPr>
            </w:pPr>
            <w:r w:rsidRPr="00C254D9">
              <w:rPr>
                <w:rFonts w:ascii="Arial Narrow" w:hAnsi="Arial Narrow" w:cs="Arial"/>
                <w:b/>
                <w:sz w:val="20"/>
                <w:szCs w:val="20"/>
              </w:rPr>
              <w:t>Restriction Level / Method:</w:t>
            </w:r>
          </w:p>
          <w:p w:rsidR="00FC3647" w:rsidRPr="00C254D9" w:rsidRDefault="00FC3647" w:rsidP="00C42C51">
            <w:pPr>
              <w:rPr>
                <w:rFonts w:ascii="Arial Narrow" w:hAnsi="Arial Narrow" w:cs="Arial"/>
                <w:i/>
                <w:sz w:val="20"/>
                <w:szCs w:val="20"/>
              </w:rPr>
            </w:pPr>
          </w:p>
          <w:p w:rsidR="00FC3647" w:rsidRPr="00C254D9" w:rsidRDefault="00FC3647" w:rsidP="00C42C51">
            <w:pPr>
              <w:rPr>
                <w:rFonts w:ascii="Arial Narrow" w:hAnsi="Arial Narrow" w:cs="Arial"/>
                <w:i/>
                <w:sz w:val="20"/>
                <w:szCs w:val="20"/>
              </w:rPr>
            </w:pPr>
          </w:p>
          <w:p w:rsidR="00FC3647" w:rsidRPr="00C254D9" w:rsidRDefault="00FC3647" w:rsidP="00C42C51">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C254D9" w:rsidRDefault="00FC3647" w:rsidP="00C42C51">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Restricted benefit</w:t>
            </w:r>
          </w:p>
          <w:p w:rsidR="00FC3647" w:rsidRPr="00C254D9" w:rsidRDefault="00FC3647" w:rsidP="00C42C51">
            <w:pPr>
              <w:rPr>
                <w:rFonts w:ascii="Arial Narrow" w:hAnsi="Arial Narrow" w:cs="Arial"/>
                <w:sz w:val="20"/>
                <w:szCs w:val="20"/>
              </w:rPr>
            </w:pP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Pr>
                <w:rFonts w:ascii="Arial Narrow" w:hAnsi="Arial Narrow" w:cs="Arial"/>
                <w:sz w:val="20"/>
                <w:szCs w:val="20"/>
              </w:rPr>
              <w:t>Authority Required –</w:t>
            </w:r>
            <w:r w:rsidRPr="00C254D9">
              <w:rPr>
                <w:rFonts w:ascii="Arial Narrow" w:hAnsi="Arial Narrow" w:cs="Arial"/>
                <w:sz w:val="20"/>
                <w:szCs w:val="20"/>
              </w:rPr>
              <w:t xml:space="preserve"> In Writing</w:t>
            </w:r>
          </w:p>
          <w:p w:rsidR="00FC3647" w:rsidRPr="00C254D9" w:rsidRDefault="00FC3647" w:rsidP="00C42C51">
            <w:pPr>
              <w:rPr>
                <w:rFonts w:ascii="Arial Narrow" w:hAnsi="Arial Narrow" w:cs="Arial"/>
                <w:sz w:val="20"/>
                <w:szCs w:val="20"/>
              </w:rPr>
            </w:pP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Authority Required </w:t>
            </w:r>
            <w:r>
              <w:rPr>
                <w:rFonts w:ascii="Arial Narrow" w:hAnsi="Arial Narrow" w:cs="Arial"/>
                <w:sz w:val="20"/>
                <w:szCs w:val="20"/>
              </w:rPr>
              <w:t>–</w:t>
            </w:r>
            <w:r w:rsidRPr="00C254D9">
              <w:rPr>
                <w:rFonts w:ascii="Arial Narrow" w:hAnsi="Arial Narrow" w:cs="Arial"/>
                <w:sz w:val="20"/>
                <w:szCs w:val="20"/>
              </w:rPr>
              <w:t xml:space="preserve"> Telephone</w:t>
            </w:r>
            <w:r>
              <w:rPr>
                <w:rFonts w:ascii="Arial Narrow" w:hAnsi="Arial Narrow" w:cs="Arial"/>
                <w:sz w:val="20"/>
                <w:szCs w:val="20"/>
              </w:rPr>
              <w:t>/</w:t>
            </w:r>
            <w:r w:rsidRPr="00C254D9">
              <w:rPr>
                <w:rFonts w:ascii="Arial Narrow" w:hAnsi="Arial Narrow" w:cs="Arial"/>
                <w:sz w:val="20"/>
                <w:szCs w:val="20"/>
              </w:rPr>
              <w:t>Electronic</w:t>
            </w:r>
            <w:r>
              <w:rPr>
                <w:rFonts w:ascii="Arial Narrow" w:hAnsi="Arial Narrow" w:cs="Arial"/>
                <w:sz w:val="20"/>
                <w:szCs w:val="20"/>
              </w:rPr>
              <w:t>/Emergency</w:t>
            </w:r>
          </w:p>
          <w:p w:rsidR="00FC3647" w:rsidRPr="00C254D9" w:rsidRDefault="009D173A" w:rsidP="00C42C51">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Pr>
                <w:rFonts w:ascii="Arial Narrow" w:hAnsi="Arial Narrow" w:cs="Arial"/>
                <w:sz w:val="20"/>
                <w:szCs w:val="20"/>
              </w:rPr>
              <w:fldChar w:fldCharType="end"/>
            </w:r>
            <w:bookmarkEnd w:id="1"/>
            <w:r w:rsidR="00FC3647" w:rsidRPr="00C254D9">
              <w:rPr>
                <w:rFonts w:ascii="Arial Narrow" w:hAnsi="Arial Narrow" w:cs="Arial"/>
                <w:sz w:val="20"/>
                <w:szCs w:val="20"/>
              </w:rPr>
              <w:t>Streamlined</w:t>
            </w:r>
          </w:p>
        </w:tc>
      </w:tr>
      <w:tr w:rsidR="00FC3647" w:rsidRPr="00C254D9" w:rsidTr="00C42C51">
        <w:trPr>
          <w:cantSplit/>
          <w:trHeight w:val="657"/>
        </w:trPr>
        <w:tc>
          <w:tcPr>
            <w:tcW w:w="2835" w:type="dxa"/>
            <w:tcBorders>
              <w:top w:val="single" w:sz="4" w:space="0" w:color="auto"/>
              <w:left w:val="single" w:sz="4" w:space="0" w:color="auto"/>
              <w:bottom w:val="single" w:sz="4" w:space="0" w:color="auto"/>
              <w:right w:val="single" w:sz="4" w:space="0" w:color="auto"/>
            </w:tcBorders>
          </w:tcPr>
          <w:p w:rsidR="00FC3647" w:rsidRDefault="00FC3647" w:rsidP="00C42C51">
            <w:pPr>
              <w:jc w:val="both"/>
              <w:rPr>
                <w:rFonts w:ascii="Arial Narrow" w:hAnsi="Arial Narrow" w:cs="Arial"/>
                <w:b/>
                <w:sz w:val="20"/>
                <w:szCs w:val="20"/>
              </w:rPr>
            </w:pPr>
            <w:r w:rsidRPr="00C254D9">
              <w:rPr>
                <w:rFonts w:ascii="Arial Narrow" w:hAnsi="Arial Narrow" w:cs="Arial"/>
                <w:b/>
                <w:sz w:val="20"/>
                <w:szCs w:val="20"/>
              </w:rPr>
              <w:t>Clinical criteria:</w:t>
            </w:r>
          </w:p>
          <w:p w:rsidR="00FC3647" w:rsidRPr="00F70F81" w:rsidRDefault="00FC3647" w:rsidP="00C42C5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Default="00836441" w:rsidP="00C42C51">
            <w:pPr>
              <w:rPr>
                <w:rFonts w:ascii="Arial Narrow" w:hAnsi="Arial Narrow" w:cs="Arial"/>
                <w:sz w:val="20"/>
                <w:szCs w:val="20"/>
              </w:rPr>
            </w:pPr>
            <w:r>
              <w:rPr>
                <w:rFonts w:ascii="Arial Narrow" w:hAnsi="Arial Narrow" w:cs="Arial"/>
                <w:sz w:val="20"/>
                <w:szCs w:val="20"/>
              </w:rPr>
              <w:t xml:space="preserve">Patient must be receiving chemotherapy with the intention of achieving a cure or a substantial remission, </w:t>
            </w:r>
          </w:p>
          <w:p w:rsidR="00836441" w:rsidRDefault="00836441" w:rsidP="00C42C51">
            <w:pPr>
              <w:rPr>
                <w:rFonts w:ascii="Arial Narrow" w:hAnsi="Arial Narrow" w:cs="Arial"/>
                <w:sz w:val="20"/>
                <w:szCs w:val="20"/>
              </w:rPr>
            </w:pPr>
            <w:r>
              <w:rPr>
                <w:rFonts w:ascii="Arial Narrow" w:hAnsi="Arial Narrow" w:cs="Arial"/>
                <w:sz w:val="20"/>
                <w:szCs w:val="20"/>
              </w:rPr>
              <w:t xml:space="preserve">AND </w:t>
            </w:r>
          </w:p>
          <w:p w:rsidR="00605BD5" w:rsidRDefault="00836441" w:rsidP="00C42C51">
            <w:pPr>
              <w:rPr>
                <w:rFonts w:ascii="Arial Narrow" w:hAnsi="Arial Narrow" w:cs="Arial"/>
                <w:sz w:val="20"/>
                <w:szCs w:val="20"/>
              </w:rPr>
            </w:pPr>
            <w:r>
              <w:rPr>
                <w:rFonts w:ascii="Arial Narrow" w:hAnsi="Arial Narrow" w:cs="Arial"/>
                <w:sz w:val="20"/>
                <w:szCs w:val="20"/>
              </w:rPr>
              <w:t xml:space="preserve">Patient must be at greater than 20% risk of developing febrile neutropenia; </w:t>
            </w:r>
          </w:p>
          <w:p w:rsidR="00836441" w:rsidRDefault="00836441" w:rsidP="00C42C51">
            <w:pPr>
              <w:rPr>
                <w:rFonts w:ascii="Arial Narrow" w:hAnsi="Arial Narrow" w:cs="Arial"/>
                <w:sz w:val="20"/>
                <w:szCs w:val="20"/>
              </w:rPr>
            </w:pPr>
            <w:r>
              <w:rPr>
                <w:rFonts w:ascii="Arial Narrow" w:hAnsi="Arial Narrow" w:cs="Arial"/>
                <w:sz w:val="20"/>
                <w:szCs w:val="20"/>
              </w:rPr>
              <w:t>OR</w:t>
            </w:r>
          </w:p>
          <w:p w:rsidR="00FC3647" w:rsidRPr="00C254D9" w:rsidRDefault="00836441" w:rsidP="00234871">
            <w:pPr>
              <w:rPr>
                <w:rFonts w:ascii="Arial Narrow" w:hAnsi="Arial Narrow" w:cs="Arial"/>
                <w:sz w:val="20"/>
                <w:szCs w:val="20"/>
              </w:rPr>
            </w:pPr>
            <w:r>
              <w:rPr>
                <w:rFonts w:ascii="Arial Narrow" w:hAnsi="Arial Narrow" w:cs="Arial"/>
                <w:sz w:val="20"/>
                <w:szCs w:val="20"/>
              </w:rPr>
              <w:t xml:space="preserve">Patient must be at substantial risk (greater than 20%) of prolonged severe neutropenia for more than or equal to seven days. </w:t>
            </w:r>
          </w:p>
        </w:tc>
      </w:tr>
      <w:tr w:rsidR="00A84441" w:rsidRPr="00C254D9" w:rsidTr="00C42C51">
        <w:trPr>
          <w:cantSplit/>
          <w:trHeight w:val="657"/>
        </w:trPr>
        <w:tc>
          <w:tcPr>
            <w:tcW w:w="2835" w:type="dxa"/>
            <w:tcBorders>
              <w:top w:val="single" w:sz="4" w:space="0" w:color="auto"/>
              <w:left w:val="single" w:sz="4" w:space="0" w:color="auto"/>
              <w:bottom w:val="single" w:sz="4" w:space="0" w:color="auto"/>
              <w:right w:val="single" w:sz="4" w:space="0" w:color="auto"/>
            </w:tcBorders>
          </w:tcPr>
          <w:p w:rsidR="00A84441" w:rsidRPr="00EC6E26" w:rsidRDefault="00A84441" w:rsidP="00C42C51">
            <w:pPr>
              <w:jc w:val="both"/>
              <w:rPr>
                <w:rFonts w:ascii="Arial Narrow" w:hAnsi="Arial Narrow" w:cs="Arial"/>
                <w:b/>
                <w:i/>
                <w:sz w:val="20"/>
                <w:szCs w:val="20"/>
              </w:rPr>
            </w:pPr>
            <w:r w:rsidRPr="00EC6E26">
              <w:rPr>
                <w:rFonts w:ascii="Arial Narrow" w:hAnsi="Arial Narrow" w:cs="Arial"/>
                <w:b/>
                <w:i/>
                <w:sz w:val="20"/>
                <w:szCs w:val="20"/>
              </w:rPr>
              <w:lastRenderedPageBreak/>
              <w:t xml:space="preserve">Administrative Advice: </w:t>
            </w:r>
          </w:p>
        </w:tc>
        <w:tc>
          <w:tcPr>
            <w:tcW w:w="6379" w:type="dxa"/>
            <w:gridSpan w:val="6"/>
            <w:tcBorders>
              <w:top w:val="single" w:sz="4" w:space="0" w:color="auto"/>
              <w:left w:val="single" w:sz="4" w:space="0" w:color="auto"/>
              <w:bottom w:val="single" w:sz="4" w:space="0" w:color="auto"/>
              <w:right w:val="single" w:sz="4" w:space="0" w:color="auto"/>
            </w:tcBorders>
          </w:tcPr>
          <w:p w:rsidR="00A84441" w:rsidRPr="00EC6E26" w:rsidRDefault="00A84441" w:rsidP="00A84441">
            <w:pPr>
              <w:spacing w:before="40" w:after="40"/>
              <w:rPr>
                <w:rFonts w:ascii="Arial Narrow" w:hAnsi="Arial Narrow" w:cs="Arial"/>
                <w:b/>
                <w:i/>
                <w:sz w:val="20"/>
                <w:szCs w:val="20"/>
              </w:rPr>
            </w:pPr>
            <w:r w:rsidRPr="00EC6E26">
              <w:rPr>
                <w:rFonts w:ascii="Arial Narrow" w:hAnsi="Arial Narrow" w:cs="Arial"/>
                <w:b/>
                <w:i/>
                <w:sz w:val="20"/>
                <w:szCs w:val="20"/>
              </w:rPr>
              <w:t>Biosimilar prescribing policy</w:t>
            </w:r>
          </w:p>
          <w:p w:rsidR="00A84441" w:rsidRPr="00EC6E26" w:rsidRDefault="00A84441" w:rsidP="00A84441">
            <w:pPr>
              <w:rPr>
                <w:rFonts w:ascii="Arial Narrow" w:hAnsi="Arial Narrow" w:cs="Arial"/>
                <w:sz w:val="20"/>
                <w:szCs w:val="20"/>
              </w:rPr>
            </w:pPr>
            <w:r w:rsidRPr="00EC6E26">
              <w:rPr>
                <w:rFonts w:ascii="Arial Narrow" w:hAnsi="Arial Narrow" w:cs="Arial"/>
                <w:i/>
                <w:sz w:val="20"/>
                <w:szCs w:val="20"/>
              </w:rPr>
              <w:t xml:space="preserve">Prescribing of the biosimilar brand </w:t>
            </w:r>
            <w:r w:rsidR="004006B6" w:rsidRPr="00EC6E26">
              <w:rPr>
                <w:rFonts w:ascii="Arial Narrow" w:hAnsi="Arial Narrow" w:cs="Arial"/>
                <w:i/>
                <w:sz w:val="20"/>
                <w:szCs w:val="20"/>
              </w:rPr>
              <w:t>ZIEXTENZO</w:t>
            </w:r>
            <w:r w:rsidRPr="00EC6E26">
              <w:rPr>
                <w:rFonts w:ascii="Arial Narrow" w:hAnsi="Arial Narrow" w:cs="Arial"/>
                <w:i/>
                <w:sz w:val="20"/>
                <w:szCs w:val="20"/>
              </w:rPr>
              <w:t>® is encouraged for treatment naïve patients. 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2E4125">
              <w:rPr>
                <w:rFonts w:ascii="Arial Narrow" w:hAnsi="Arial Narrow"/>
                <w:i/>
                <w:sz w:val="20"/>
                <w:szCs w:val="20"/>
              </w:rPr>
              <w:t>www.health.gov.au/biosimilars</w:t>
            </w:r>
            <w:r w:rsidRPr="00EC6E26">
              <w:rPr>
                <w:rFonts w:ascii="Arial Narrow" w:hAnsi="Arial Narrow" w:cs="Arial"/>
                <w:i/>
                <w:sz w:val="20"/>
                <w:szCs w:val="20"/>
              </w:rPr>
              <w:t>).</w:t>
            </w:r>
          </w:p>
        </w:tc>
      </w:tr>
    </w:tbl>
    <w:p w:rsidR="00D358E2" w:rsidRPr="00D358E2" w:rsidRDefault="00D358E2" w:rsidP="003077EE">
      <w:pPr>
        <w:pStyle w:val="normal2"/>
      </w:pPr>
      <w:r w:rsidRPr="00D358E2">
        <w:t xml:space="preserve"> </w:t>
      </w:r>
    </w:p>
    <w:tbl>
      <w:tblPr>
        <w:tblW w:w="9214" w:type="dxa"/>
        <w:tblInd w:w="108" w:type="dxa"/>
        <w:tblLayout w:type="fixed"/>
        <w:tblLook w:val="0000" w:firstRow="0" w:lastRow="0" w:firstColumn="0" w:lastColumn="0" w:noHBand="0" w:noVBand="0"/>
      </w:tblPr>
      <w:tblGrid>
        <w:gridCol w:w="2835"/>
        <w:gridCol w:w="426"/>
        <w:gridCol w:w="567"/>
        <w:gridCol w:w="850"/>
        <w:gridCol w:w="1701"/>
        <w:gridCol w:w="1310"/>
        <w:gridCol w:w="1525"/>
      </w:tblGrid>
      <w:tr w:rsidR="00D358E2" w:rsidRPr="00C254D9" w:rsidTr="00C74759">
        <w:trPr>
          <w:cantSplit/>
          <w:trHeight w:val="471"/>
        </w:trPr>
        <w:tc>
          <w:tcPr>
            <w:tcW w:w="3261" w:type="dxa"/>
            <w:gridSpan w:val="2"/>
            <w:tcBorders>
              <w:bottom w:val="single" w:sz="4" w:space="0" w:color="auto"/>
            </w:tcBorders>
          </w:tcPr>
          <w:p w:rsidR="00D358E2" w:rsidRPr="00C254D9" w:rsidRDefault="00D358E2" w:rsidP="00C74759">
            <w:pPr>
              <w:keepNext/>
              <w:ind w:left="-108"/>
              <w:jc w:val="both"/>
              <w:rPr>
                <w:rFonts w:ascii="Arial Narrow" w:hAnsi="Arial Narrow" w:cs="Arial"/>
                <w:sz w:val="20"/>
                <w:szCs w:val="20"/>
              </w:rPr>
            </w:pPr>
            <w:r w:rsidRPr="00C254D9">
              <w:rPr>
                <w:rFonts w:ascii="Arial Narrow" w:hAnsi="Arial Narrow" w:cs="Arial"/>
                <w:sz w:val="20"/>
                <w:szCs w:val="20"/>
              </w:rPr>
              <w:t>Name, Restriction,</w:t>
            </w:r>
          </w:p>
          <w:p w:rsidR="00D358E2" w:rsidRPr="00C254D9" w:rsidRDefault="00D358E2" w:rsidP="00C74759">
            <w:pPr>
              <w:keepNext/>
              <w:ind w:left="-108"/>
              <w:jc w:val="both"/>
              <w:rPr>
                <w:rFonts w:ascii="Arial Narrow" w:hAnsi="Arial Narrow" w:cs="Arial"/>
                <w:sz w:val="20"/>
                <w:szCs w:val="20"/>
              </w:rPr>
            </w:pPr>
            <w:r w:rsidRPr="00C254D9">
              <w:rPr>
                <w:rFonts w:ascii="Arial Narrow" w:hAnsi="Arial Narrow" w:cs="Arial"/>
                <w:sz w:val="20"/>
                <w:szCs w:val="20"/>
              </w:rPr>
              <w:t>Manner of administration and form</w:t>
            </w:r>
          </w:p>
        </w:tc>
        <w:tc>
          <w:tcPr>
            <w:tcW w:w="567" w:type="dxa"/>
            <w:tcBorders>
              <w:bottom w:val="single" w:sz="4" w:space="0" w:color="auto"/>
            </w:tcBorders>
          </w:tcPr>
          <w:p w:rsidR="00D358E2" w:rsidRPr="00C254D9" w:rsidRDefault="00D358E2" w:rsidP="00C74759">
            <w:pPr>
              <w:keepNext/>
              <w:ind w:left="-108"/>
              <w:jc w:val="both"/>
              <w:rPr>
                <w:rFonts w:ascii="Arial Narrow" w:hAnsi="Arial Narrow" w:cs="Arial"/>
                <w:sz w:val="20"/>
                <w:szCs w:val="20"/>
              </w:rPr>
            </w:pPr>
            <w:r w:rsidRPr="00C254D9">
              <w:rPr>
                <w:rFonts w:ascii="Arial Narrow" w:hAnsi="Arial Narrow" w:cs="Arial"/>
                <w:sz w:val="20"/>
                <w:szCs w:val="20"/>
              </w:rPr>
              <w:t>Max.</w:t>
            </w:r>
          </w:p>
          <w:p w:rsidR="00D358E2" w:rsidRPr="00C254D9" w:rsidRDefault="00D358E2" w:rsidP="00C74759">
            <w:pPr>
              <w:keepNext/>
              <w:ind w:left="-108"/>
              <w:jc w:val="both"/>
              <w:rPr>
                <w:rFonts w:ascii="Arial Narrow" w:hAnsi="Arial Narrow" w:cs="Arial"/>
                <w:sz w:val="20"/>
                <w:szCs w:val="20"/>
              </w:rPr>
            </w:pPr>
            <w:r w:rsidRPr="00C254D9">
              <w:rPr>
                <w:rFonts w:ascii="Arial Narrow" w:hAnsi="Arial Narrow" w:cs="Arial"/>
                <w:sz w:val="20"/>
                <w:szCs w:val="20"/>
              </w:rPr>
              <w:t>Qty</w:t>
            </w:r>
          </w:p>
        </w:tc>
        <w:tc>
          <w:tcPr>
            <w:tcW w:w="850" w:type="dxa"/>
            <w:tcBorders>
              <w:bottom w:val="single" w:sz="4" w:space="0" w:color="auto"/>
            </w:tcBorders>
          </w:tcPr>
          <w:p w:rsidR="00D358E2" w:rsidRPr="00C254D9" w:rsidRDefault="00D358E2" w:rsidP="00C74759">
            <w:pPr>
              <w:keepNext/>
              <w:ind w:left="-108"/>
              <w:jc w:val="both"/>
              <w:rPr>
                <w:rFonts w:ascii="Arial Narrow" w:hAnsi="Arial Narrow" w:cs="Arial"/>
                <w:sz w:val="20"/>
                <w:szCs w:val="20"/>
              </w:rPr>
            </w:pPr>
            <w:r w:rsidRPr="00C254D9">
              <w:rPr>
                <w:rFonts w:ascii="Arial Narrow" w:hAnsi="Arial Narrow" w:cs="Arial"/>
                <w:sz w:val="20"/>
                <w:szCs w:val="20"/>
              </w:rPr>
              <w:t>№.of</w:t>
            </w:r>
          </w:p>
          <w:p w:rsidR="00D358E2" w:rsidRPr="00C254D9" w:rsidRDefault="00D358E2" w:rsidP="00C74759">
            <w:pPr>
              <w:keepNext/>
              <w:ind w:left="-108"/>
              <w:jc w:val="both"/>
              <w:rPr>
                <w:rFonts w:ascii="Arial Narrow" w:hAnsi="Arial Narrow" w:cs="Arial"/>
                <w:sz w:val="20"/>
                <w:szCs w:val="20"/>
              </w:rPr>
            </w:pPr>
            <w:r w:rsidRPr="00C254D9">
              <w:rPr>
                <w:rFonts w:ascii="Arial Narrow" w:hAnsi="Arial Narrow" w:cs="Arial"/>
                <w:sz w:val="20"/>
                <w:szCs w:val="20"/>
              </w:rPr>
              <w:t>Rpts</w:t>
            </w:r>
          </w:p>
        </w:tc>
        <w:tc>
          <w:tcPr>
            <w:tcW w:w="1701" w:type="dxa"/>
            <w:tcBorders>
              <w:bottom w:val="single" w:sz="4" w:space="0" w:color="auto"/>
            </w:tcBorders>
          </w:tcPr>
          <w:p w:rsidR="00D358E2" w:rsidRPr="00C254D9" w:rsidRDefault="00D358E2" w:rsidP="00C74759">
            <w:pPr>
              <w:keepNext/>
              <w:ind w:left="-108"/>
              <w:jc w:val="both"/>
              <w:rPr>
                <w:rFonts w:ascii="Arial Narrow" w:hAnsi="Arial Narrow" w:cs="Arial"/>
                <w:sz w:val="20"/>
                <w:szCs w:val="20"/>
              </w:rPr>
            </w:pPr>
            <w:r w:rsidRPr="00C254D9">
              <w:rPr>
                <w:rFonts w:ascii="Arial Narrow" w:hAnsi="Arial Narrow" w:cs="Arial"/>
                <w:sz w:val="20"/>
                <w:szCs w:val="20"/>
              </w:rPr>
              <w:t>Dispensed Price for Max. Qty</w:t>
            </w:r>
          </w:p>
        </w:tc>
        <w:tc>
          <w:tcPr>
            <w:tcW w:w="2835" w:type="dxa"/>
            <w:gridSpan w:val="2"/>
            <w:tcBorders>
              <w:bottom w:val="single" w:sz="4" w:space="0" w:color="auto"/>
            </w:tcBorders>
          </w:tcPr>
          <w:p w:rsidR="00D358E2" w:rsidRPr="00C254D9" w:rsidRDefault="00D358E2" w:rsidP="00C74759">
            <w:pPr>
              <w:keepNext/>
              <w:jc w:val="both"/>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D358E2" w:rsidRPr="00C254D9" w:rsidTr="00C74759">
        <w:trPr>
          <w:cantSplit/>
          <w:trHeight w:val="577"/>
        </w:trPr>
        <w:tc>
          <w:tcPr>
            <w:tcW w:w="3261" w:type="dxa"/>
            <w:gridSpan w:val="2"/>
          </w:tcPr>
          <w:p w:rsidR="00D358E2" w:rsidRPr="00BD02C3" w:rsidRDefault="00D358E2" w:rsidP="00C74759">
            <w:pPr>
              <w:keepNext/>
              <w:ind w:left="-108"/>
              <w:jc w:val="both"/>
              <w:rPr>
                <w:rFonts w:ascii="Arial Narrow" w:hAnsi="Arial Narrow" w:cs="Arial"/>
                <w:sz w:val="20"/>
                <w:szCs w:val="20"/>
              </w:rPr>
            </w:pPr>
            <w:r>
              <w:rPr>
                <w:rFonts w:ascii="Arial Narrow" w:hAnsi="Arial Narrow" w:cs="Arial"/>
                <w:smallCaps/>
                <w:sz w:val="20"/>
                <w:szCs w:val="20"/>
              </w:rPr>
              <w:t xml:space="preserve">PEGFILGRASTIM </w:t>
            </w:r>
          </w:p>
          <w:p w:rsidR="00D358E2" w:rsidRDefault="00D358E2" w:rsidP="00C74759">
            <w:pPr>
              <w:keepNext/>
              <w:ind w:left="-108"/>
              <w:jc w:val="both"/>
              <w:rPr>
                <w:rFonts w:ascii="Arial Narrow" w:hAnsi="Arial Narrow" w:cs="Arial"/>
                <w:sz w:val="20"/>
                <w:szCs w:val="20"/>
              </w:rPr>
            </w:pPr>
            <w:r>
              <w:rPr>
                <w:rFonts w:ascii="Arial Narrow" w:hAnsi="Arial Narrow" w:cs="Arial"/>
                <w:sz w:val="20"/>
                <w:szCs w:val="20"/>
              </w:rPr>
              <w:t>6 mg/0.6 mL injection, 0.6 mL syringe</w:t>
            </w:r>
          </w:p>
          <w:p w:rsidR="00D358E2" w:rsidRPr="008B3257" w:rsidRDefault="00D358E2" w:rsidP="00C74759">
            <w:pPr>
              <w:keepNext/>
              <w:ind w:left="-108"/>
              <w:jc w:val="both"/>
              <w:rPr>
                <w:rFonts w:ascii="Arial Narrow" w:hAnsi="Arial Narrow" w:cs="Arial"/>
                <w:color w:val="FF0000"/>
                <w:sz w:val="20"/>
                <w:szCs w:val="20"/>
              </w:rPr>
            </w:pPr>
          </w:p>
        </w:tc>
        <w:tc>
          <w:tcPr>
            <w:tcW w:w="567" w:type="dxa"/>
          </w:tcPr>
          <w:p w:rsidR="00D358E2" w:rsidRPr="00C254D9" w:rsidRDefault="00D358E2" w:rsidP="00C74759">
            <w:pPr>
              <w:keepNext/>
              <w:ind w:left="-108"/>
              <w:jc w:val="both"/>
              <w:rPr>
                <w:rFonts w:ascii="Arial Narrow" w:hAnsi="Arial Narrow" w:cs="Arial"/>
                <w:sz w:val="20"/>
                <w:szCs w:val="20"/>
              </w:rPr>
            </w:pPr>
          </w:p>
          <w:p w:rsidR="00D358E2" w:rsidRPr="00C254D9" w:rsidRDefault="00D358E2" w:rsidP="00C74759">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D358E2" w:rsidRPr="00C254D9" w:rsidRDefault="00D358E2" w:rsidP="00C74759">
            <w:pPr>
              <w:keepNext/>
              <w:ind w:left="-108"/>
              <w:jc w:val="both"/>
              <w:rPr>
                <w:rFonts w:ascii="Arial Narrow" w:hAnsi="Arial Narrow" w:cs="Arial"/>
                <w:sz w:val="20"/>
                <w:szCs w:val="20"/>
              </w:rPr>
            </w:pPr>
          </w:p>
          <w:p w:rsidR="00D358E2" w:rsidRPr="00C254D9" w:rsidRDefault="00D358E2" w:rsidP="00C74759">
            <w:pPr>
              <w:keepNext/>
              <w:ind w:left="-108"/>
              <w:jc w:val="both"/>
              <w:rPr>
                <w:rFonts w:ascii="Arial Narrow" w:hAnsi="Arial Narrow" w:cs="Arial"/>
                <w:sz w:val="20"/>
                <w:szCs w:val="20"/>
              </w:rPr>
            </w:pPr>
            <w:r>
              <w:rPr>
                <w:rFonts w:ascii="Arial Narrow" w:hAnsi="Arial Narrow" w:cs="Arial"/>
                <w:sz w:val="20"/>
                <w:szCs w:val="20"/>
              </w:rPr>
              <w:t>11</w:t>
            </w:r>
          </w:p>
        </w:tc>
        <w:tc>
          <w:tcPr>
            <w:tcW w:w="1701" w:type="dxa"/>
          </w:tcPr>
          <w:p w:rsidR="00D358E2" w:rsidRPr="00C254D9" w:rsidRDefault="00D358E2" w:rsidP="00C74759">
            <w:pPr>
              <w:keepNext/>
              <w:ind w:left="-108"/>
              <w:jc w:val="both"/>
              <w:rPr>
                <w:rFonts w:ascii="Arial Narrow" w:hAnsi="Arial Narrow" w:cs="Arial"/>
                <w:sz w:val="20"/>
                <w:szCs w:val="20"/>
              </w:rPr>
            </w:pPr>
            <w:r>
              <w:rPr>
                <w:rFonts w:ascii="Arial Narrow" w:hAnsi="Arial Narrow" w:cs="Arial"/>
                <w:sz w:val="20"/>
                <w:szCs w:val="20"/>
              </w:rPr>
              <w:t>$1,175.00 (Public)</w:t>
            </w:r>
          </w:p>
          <w:p w:rsidR="00D358E2" w:rsidRPr="00C254D9" w:rsidRDefault="00D358E2" w:rsidP="00C74759">
            <w:pPr>
              <w:keepNext/>
              <w:ind w:left="-108"/>
              <w:jc w:val="both"/>
              <w:rPr>
                <w:rFonts w:ascii="Arial Narrow" w:hAnsi="Arial Narrow" w:cs="Arial"/>
                <w:sz w:val="20"/>
                <w:szCs w:val="20"/>
              </w:rPr>
            </w:pPr>
            <w:r>
              <w:rPr>
                <w:rFonts w:ascii="Arial Narrow" w:hAnsi="Arial Narrow" w:cs="Arial"/>
                <w:sz w:val="20"/>
                <w:szCs w:val="20"/>
              </w:rPr>
              <w:t>$1,222.39 (Private)</w:t>
            </w:r>
          </w:p>
        </w:tc>
        <w:tc>
          <w:tcPr>
            <w:tcW w:w="1310" w:type="dxa"/>
          </w:tcPr>
          <w:p w:rsidR="00510A6E" w:rsidRDefault="00510A6E" w:rsidP="00C74759">
            <w:pPr>
              <w:keepNext/>
              <w:jc w:val="both"/>
              <w:rPr>
                <w:rFonts w:ascii="Arial Narrow" w:hAnsi="Arial Narrow" w:cs="Arial"/>
                <w:sz w:val="20"/>
                <w:szCs w:val="20"/>
              </w:rPr>
            </w:pPr>
          </w:p>
          <w:p w:rsidR="00D358E2" w:rsidRPr="00C254D9" w:rsidRDefault="00510A6E" w:rsidP="00C74759">
            <w:pPr>
              <w:keepNext/>
              <w:jc w:val="both"/>
              <w:rPr>
                <w:rFonts w:ascii="Arial Narrow" w:hAnsi="Arial Narrow" w:cs="Arial"/>
                <w:sz w:val="20"/>
                <w:szCs w:val="20"/>
              </w:rPr>
            </w:pPr>
            <w:r>
              <w:rPr>
                <w:rFonts w:ascii="Arial Narrow" w:hAnsi="Arial Narrow" w:cs="Arial"/>
                <w:sz w:val="20"/>
                <w:szCs w:val="20"/>
              </w:rPr>
              <w:t>Ziextenzo</w:t>
            </w:r>
            <w:r>
              <w:rPr>
                <w:rFonts w:ascii="Arial Narrow" w:hAnsi="Arial Narrow" w:cs="Arial"/>
                <w:sz w:val="20"/>
                <w:szCs w:val="20"/>
                <w:vertAlign w:val="superscript"/>
              </w:rPr>
              <w:t>®</w:t>
            </w:r>
          </w:p>
        </w:tc>
        <w:tc>
          <w:tcPr>
            <w:tcW w:w="1525" w:type="dxa"/>
          </w:tcPr>
          <w:p w:rsidR="00510A6E" w:rsidRDefault="00510A6E" w:rsidP="00C74759">
            <w:pPr>
              <w:keepNext/>
              <w:jc w:val="both"/>
              <w:rPr>
                <w:rFonts w:ascii="Arial Narrow" w:hAnsi="Arial Narrow" w:cs="Arial"/>
                <w:sz w:val="20"/>
                <w:szCs w:val="20"/>
              </w:rPr>
            </w:pPr>
          </w:p>
          <w:p w:rsidR="00D358E2" w:rsidRPr="00C254D9" w:rsidRDefault="00D358E2" w:rsidP="00C74759">
            <w:pPr>
              <w:keepNext/>
              <w:jc w:val="both"/>
              <w:rPr>
                <w:rFonts w:ascii="Arial Narrow" w:hAnsi="Arial Narrow" w:cs="Arial"/>
                <w:sz w:val="20"/>
                <w:szCs w:val="20"/>
              </w:rPr>
            </w:pPr>
            <w:r w:rsidRPr="00C254D9">
              <w:rPr>
                <w:rFonts w:ascii="Arial Narrow" w:hAnsi="Arial Narrow" w:cs="Arial"/>
                <w:sz w:val="20"/>
                <w:szCs w:val="20"/>
              </w:rPr>
              <w:t>S</w:t>
            </w:r>
            <w:r>
              <w:rPr>
                <w:rFonts w:ascii="Arial Narrow" w:hAnsi="Arial Narrow" w:cs="Arial"/>
                <w:sz w:val="20"/>
                <w:szCs w:val="20"/>
              </w:rPr>
              <w:t>andoz Pty Ltd</w:t>
            </w:r>
          </w:p>
        </w:tc>
      </w:tr>
      <w:tr w:rsidR="00D358E2"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58E2" w:rsidRPr="00C254D9" w:rsidRDefault="00D358E2" w:rsidP="00C74759">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D358E2" w:rsidRPr="00C254D9" w:rsidRDefault="00D358E2" w:rsidP="00C74759">
            <w:pPr>
              <w:rPr>
                <w:rFonts w:ascii="Arial Narrow" w:hAnsi="Arial Narrow" w:cs="Arial"/>
                <w:sz w:val="20"/>
                <w:szCs w:val="20"/>
              </w:rPr>
            </w:pPr>
            <w:r w:rsidRPr="00C254D9">
              <w:rPr>
                <w:rFonts w:ascii="Arial Narrow" w:hAnsi="Arial Narrow" w:cs="Arial"/>
                <w:sz w:val="20"/>
                <w:szCs w:val="20"/>
              </w:rPr>
              <w:t>Section 100 – Highly Specialised Drugs Program</w:t>
            </w:r>
            <w:r>
              <w:rPr>
                <w:rFonts w:ascii="Arial Narrow" w:hAnsi="Arial Narrow" w:cs="Arial"/>
                <w:sz w:val="20"/>
                <w:szCs w:val="20"/>
              </w:rPr>
              <w:t xml:space="preserve"> – Public and Private</w:t>
            </w:r>
          </w:p>
        </w:tc>
      </w:tr>
      <w:tr w:rsidR="00D358E2"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58E2" w:rsidRPr="00C254D9" w:rsidRDefault="00D358E2" w:rsidP="00C74759">
            <w:pPr>
              <w:jc w:val="both"/>
              <w:rPr>
                <w:rFonts w:ascii="Arial Narrow" w:hAnsi="Arial Narrow" w:cs="Arial"/>
                <w:b/>
                <w:sz w:val="20"/>
                <w:szCs w:val="20"/>
              </w:rPr>
            </w:pPr>
            <w:r w:rsidRPr="00C254D9">
              <w:rPr>
                <w:rFonts w:ascii="Arial Narrow" w:hAnsi="Arial Narrow" w:cs="Arial"/>
                <w:b/>
                <w:sz w:val="20"/>
                <w:szCs w:val="20"/>
              </w:rPr>
              <w:t>Prescriber type:</w:t>
            </w:r>
          </w:p>
          <w:p w:rsidR="00D358E2" w:rsidRPr="00C254D9" w:rsidRDefault="00D358E2" w:rsidP="00C74759">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D358E2" w:rsidRPr="00C254D9" w:rsidRDefault="00D358E2" w:rsidP="00C74759">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 xml:space="preserve">Medical Practitioners  </w:t>
            </w: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Optometrists</w:t>
            </w:r>
          </w:p>
          <w:p w:rsidR="00D358E2" w:rsidRPr="00C254D9" w:rsidRDefault="00D358E2" w:rsidP="00C74759">
            <w:pPr>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Midwives</w:t>
            </w:r>
          </w:p>
        </w:tc>
      </w:tr>
      <w:tr w:rsidR="00D358E2"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58E2" w:rsidRPr="00C254D9" w:rsidRDefault="00D358E2" w:rsidP="00C74759">
            <w:pPr>
              <w:jc w:val="both"/>
              <w:rPr>
                <w:rFonts w:ascii="Arial Narrow" w:hAnsi="Arial Narrow" w:cs="Arial"/>
                <w:b/>
                <w:sz w:val="20"/>
                <w:szCs w:val="20"/>
              </w:rPr>
            </w:pPr>
            <w:r w:rsidRPr="00C254D9">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D358E2" w:rsidRPr="00C254D9" w:rsidRDefault="00D358E2" w:rsidP="00C74759">
            <w:pPr>
              <w:rPr>
                <w:rFonts w:ascii="Arial Narrow" w:hAnsi="Arial Narrow" w:cs="Arial"/>
                <w:sz w:val="20"/>
                <w:szCs w:val="20"/>
              </w:rPr>
            </w:pPr>
            <w:r>
              <w:rPr>
                <w:rFonts w:ascii="Arial Narrow" w:hAnsi="Arial Narrow" w:cs="Arial"/>
                <w:sz w:val="20"/>
                <w:szCs w:val="20"/>
              </w:rPr>
              <w:t>Chemotherapy-induced neutropenia</w:t>
            </w:r>
          </w:p>
        </w:tc>
      </w:tr>
      <w:tr w:rsidR="00D358E2" w:rsidRPr="00C254D9" w:rsidTr="00C74759">
        <w:trPr>
          <w:cantSplit/>
          <w:trHeight w:val="369"/>
        </w:trPr>
        <w:tc>
          <w:tcPr>
            <w:tcW w:w="2835" w:type="dxa"/>
            <w:tcBorders>
              <w:top w:val="single" w:sz="4" w:space="0" w:color="auto"/>
              <w:left w:val="single" w:sz="4" w:space="0" w:color="auto"/>
              <w:bottom w:val="single" w:sz="4" w:space="0" w:color="auto"/>
              <w:right w:val="single" w:sz="4" w:space="0" w:color="auto"/>
            </w:tcBorders>
          </w:tcPr>
          <w:p w:rsidR="00D358E2" w:rsidRPr="00566E1B" w:rsidRDefault="00D358E2" w:rsidP="00C74759">
            <w:pPr>
              <w:jc w:val="both"/>
              <w:rPr>
                <w:rFonts w:ascii="Arial Narrow" w:hAnsi="Arial Narrow" w:cs="Arial"/>
                <w:b/>
                <w:sz w:val="20"/>
                <w:szCs w:val="20"/>
              </w:rPr>
            </w:pPr>
            <w:r w:rsidRPr="00C254D9">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D358E2" w:rsidRPr="00C254D9" w:rsidRDefault="00D358E2" w:rsidP="00C74759">
            <w:pPr>
              <w:rPr>
                <w:rFonts w:ascii="Arial Narrow" w:hAnsi="Arial Narrow" w:cs="Arial"/>
                <w:sz w:val="20"/>
                <w:szCs w:val="20"/>
              </w:rPr>
            </w:pPr>
            <w:r>
              <w:rPr>
                <w:rFonts w:ascii="Arial Narrow" w:hAnsi="Arial Narrow" w:cs="Arial"/>
                <w:sz w:val="20"/>
                <w:szCs w:val="20"/>
              </w:rPr>
              <w:t>Chemotherapy-induced neutropenia</w:t>
            </w:r>
          </w:p>
        </w:tc>
      </w:tr>
      <w:tr w:rsidR="00D358E2"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D358E2" w:rsidRPr="00C254D9" w:rsidRDefault="00D358E2" w:rsidP="00C74759">
            <w:pPr>
              <w:jc w:val="both"/>
              <w:rPr>
                <w:rFonts w:ascii="Arial Narrow" w:hAnsi="Arial Narrow" w:cs="Arial"/>
                <w:b/>
                <w:sz w:val="20"/>
                <w:szCs w:val="20"/>
              </w:rPr>
            </w:pPr>
            <w:r w:rsidRPr="00C254D9">
              <w:rPr>
                <w:rFonts w:ascii="Arial Narrow" w:hAnsi="Arial Narrow" w:cs="Arial"/>
                <w:b/>
                <w:sz w:val="20"/>
                <w:szCs w:val="20"/>
              </w:rPr>
              <w:t>Restriction Level / Method:</w:t>
            </w:r>
          </w:p>
          <w:p w:rsidR="00D358E2" w:rsidRPr="00C254D9" w:rsidRDefault="00D358E2" w:rsidP="00C74759">
            <w:pPr>
              <w:rPr>
                <w:rFonts w:ascii="Arial Narrow" w:hAnsi="Arial Narrow" w:cs="Arial"/>
                <w:i/>
                <w:sz w:val="20"/>
                <w:szCs w:val="20"/>
              </w:rPr>
            </w:pPr>
          </w:p>
          <w:p w:rsidR="00D358E2" w:rsidRPr="00C254D9" w:rsidRDefault="00D358E2" w:rsidP="00C74759">
            <w:pPr>
              <w:rPr>
                <w:rFonts w:ascii="Arial Narrow" w:hAnsi="Arial Narrow" w:cs="Arial"/>
                <w:i/>
                <w:sz w:val="20"/>
                <w:szCs w:val="20"/>
              </w:rPr>
            </w:pPr>
          </w:p>
          <w:p w:rsidR="00D358E2" w:rsidRPr="00C254D9" w:rsidRDefault="00D358E2" w:rsidP="00C74759">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D358E2" w:rsidRPr="00C254D9" w:rsidRDefault="00D358E2" w:rsidP="00C74759">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Restricted benefit</w:t>
            </w:r>
          </w:p>
          <w:p w:rsidR="00D358E2" w:rsidRPr="00C254D9" w:rsidRDefault="00D358E2" w:rsidP="00C74759">
            <w:pPr>
              <w:rPr>
                <w:rFonts w:ascii="Arial Narrow" w:hAnsi="Arial Narrow" w:cs="Arial"/>
                <w:sz w:val="20"/>
                <w:szCs w:val="20"/>
              </w:rPr>
            </w:pP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Pr>
                <w:rFonts w:ascii="Arial Narrow" w:hAnsi="Arial Narrow" w:cs="Arial"/>
                <w:sz w:val="20"/>
                <w:szCs w:val="20"/>
              </w:rPr>
              <w:t>Authority Required –</w:t>
            </w:r>
            <w:r w:rsidRPr="00C254D9">
              <w:rPr>
                <w:rFonts w:ascii="Arial Narrow" w:hAnsi="Arial Narrow" w:cs="Arial"/>
                <w:sz w:val="20"/>
                <w:szCs w:val="20"/>
              </w:rPr>
              <w:t xml:space="preserve"> In Writing</w:t>
            </w:r>
          </w:p>
          <w:p w:rsidR="00D358E2" w:rsidRPr="00C254D9" w:rsidRDefault="00D358E2" w:rsidP="00C74759">
            <w:pPr>
              <w:rPr>
                <w:rFonts w:ascii="Arial Narrow" w:hAnsi="Arial Narrow" w:cs="Arial"/>
                <w:sz w:val="20"/>
                <w:szCs w:val="20"/>
              </w:rPr>
            </w:pP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Authority Required </w:t>
            </w:r>
            <w:r>
              <w:rPr>
                <w:rFonts w:ascii="Arial Narrow" w:hAnsi="Arial Narrow" w:cs="Arial"/>
                <w:sz w:val="20"/>
                <w:szCs w:val="20"/>
              </w:rPr>
              <w:t>–</w:t>
            </w:r>
            <w:r w:rsidRPr="00C254D9">
              <w:rPr>
                <w:rFonts w:ascii="Arial Narrow" w:hAnsi="Arial Narrow" w:cs="Arial"/>
                <w:sz w:val="20"/>
                <w:szCs w:val="20"/>
              </w:rPr>
              <w:t xml:space="preserve"> Telephone</w:t>
            </w:r>
            <w:r>
              <w:rPr>
                <w:rFonts w:ascii="Arial Narrow" w:hAnsi="Arial Narrow" w:cs="Arial"/>
                <w:sz w:val="20"/>
                <w:szCs w:val="20"/>
              </w:rPr>
              <w:t>/</w:t>
            </w:r>
            <w:r w:rsidRPr="00C254D9">
              <w:rPr>
                <w:rFonts w:ascii="Arial Narrow" w:hAnsi="Arial Narrow" w:cs="Arial"/>
                <w:sz w:val="20"/>
                <w:szCs w:val="20"/>
              </w:rPr>
              <w:t>Electronic</w:t>
            </w:r>
            <w:r>
              <w:rPr>
                <w:rFonts w:ascii="Arial Narrow" w:hAnsi="Arial Narrow" w:cs="Arial"/>
                <w:sz w:val="20"/>
                <w:szCs w:val="20"/>
              </w:rPr>
              <w:t>/Emergency</w:t>
            </w:r>
          </w:p>
          <w:p w:rsidR="00D358E2" w:rsidRPr="00C254D9" w:rsidRDefault="00D358E2" w:rsidP="00C74759">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Streamlined</w:t>
            </w:r>
          </w:p>
        </w:tc>
      </w:tr>
      <w:tr w:rsidR="00D358E2" w:rsidRPr="00C254D9" w:rsidTr="00C74759">
        <w:trPr>
          <w:cantSplit/>
          <w:trHeight w:val="657"/>
        </w:trPr>
        <w:tc>
          <w:tcPr>
            <w:tcW w:w="2835" w:type="dxa"/>
            <w:tcBorders>
              <w:top w:val="single" w:sz="4" w:space="0" w:color="auto"/>
              <w:left w:val="single" w:sz="4" w:space="0" w:color="auto"/>
              <w:bottom w:val="single" w:sz="4" w:space="0" w:color="auto"/>
              <w:right w:val="single" w:sz="4" w:space="0" w:color="auto"/>
            </w:tcBorders>
          </w:tcPr>
          <w:p w:rsidR="00D358E2" w:rsidRDefault="00D358E2" w:rsidP="00C74759">
            <w:pPr>
              <w:jc w:val="both"/>
              <w:rPr>
                <w:rFonts w:ascii="Arial Narrow" w:hAnsi="Arial Narrow" w:cs="Arial"/>
                <w:b/>
                <w:sz w:val="20"/>
                <w:szCs w:val="20"/>
              </w:rPr>
            </w:pPr>
            <w:r w:rsidRPr="00C254D9">
              <w:rPr>
                <w:rFonts w:ascii="Arial Narrow" w:hAnsi="Arial Narrow" w:cs="Arial"/>
                <w:b/>
                <w:sz w:val="20"/>
                <w:szCs w:val="20"/>
              </w:rPr>
              <w:t>Clinical criteria:</w:t>
            </w:r>
          </w:p>
          <w:p w:rsidR="00D358E2" w:rsidRPr="00F70F81" w:rsidRDefault="00D358E2" w:rsidP="00C74759">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D358E2" w:rsidRDefault="00D358E2" w:rsidP="00C74759">
            <w:pPr>
              <w:rPr>
                <w:rFonts w:ascii="Arial Narrow" w:hAnsi="Arial Narrow" w:cs="Arial"/>
                <w:sz w:val="20"/>
                <w:szCs w:val="20"/>
              </w:rPr>
            </w:pPr>
            <w:r>
              <w:rPr>
                <w:rFonts w:ascii="Arial Narrow" w:hAnsi="Arial Narrow" w:cs="Arial"/>
                <w:sz w:val="20"/>
                <w:szCs w:val="20"/>
              </w:rPr>
              <w:t xml:space="preserve">Patient must be receiving chemotherapy with the intention of achieving a cure or a substantial remission, </w:t>
            </w:r>
          </w:p>
          <w:p w:rsidR="00D358E2" w:rsidRDefault="00D358E2" w:rsidP="00C74759">
            <w:pPr>
              <w:rPr>
                <w:rFonts w:ascii="Arial Narrow" w:hAnsi="Arial Narrow" w:cs="Arial"/>
                <w:sz w:val="20"/>
                <w:szCs w:val="20"/>
              </w:rPr>
            </w:pPr>
            <w:r>
              <w:rPr>
                <w:rFonts w:ascii="Arial Narrow" w:hAnsi="Arial Narrow" w:cs="Arial"/>
                <w:sz w:val="20"/>
                <w:szCs w:val="20"/>
              </w:rPr>
              <w:t xml:space="preserve">AND </w:t>
            </w:r>
          </w:p>
          <w:p w:rsidR="00605BD5" w:rsidRDefault="00D358E2" w:rsidP="00C74759">
            <w:pPr>
              <w:rPr>
                <w:rFonts w:ascii="Arial Narrow" w:hAnsi="Arial Narrow" w:cs="Arial"/>
                <w:sz w:val="20"/>
                <w:szCs w:val="20"/>
              </w:rPr>
            </w:pPr>
            <w:r>
              <w:rPr>
                <w:rFonts w:ascii="Arial Narrow" w:hAnsi="Arial Narrow" w:cs="Arial"/>
                <w:sz w:val="20"/>
                <w:szCs w:val="20"/>
              </w:rPr>
              <w:t xml:space="preserve">Patient must have had a prior episode of febrile neutropenia; </w:t>
            </w:r>
          </w:p>
          <w:p w:rsidR="00D358E2" w:rsidRDefault="00D358E2" w:rsidP="00C74759">
            <w:pPr>
              <w:rPr>
                <w:rFonts w:ascii="Arial Narrow" w:hAnsi="Arial Narrow" w:cs="Arial"/>
                <w:sz w:val="20"/>
                <w:szCs w:val="20"/>
              </w:rPr>
            </w:pPr>
            <w:r>
              <w:rPr>
                <w:rFonts w:ascii="Arial Narrow" w:hAnsi="Arial Narrow" w:cs="Arial"/>
                <w:sz w:val="20"/>
                <w:szCs w:val="20"/>
              </w:rPr>
              <w:t>OR</w:t>
            </w:r>
          </w:p>
          <w:p w:rsidR="00D358E2" w:rsidRPr="00C254D9" w:rsidRDefault="00D358E2" w:rsidP="00C74759">
            <w:pPr>
              <w:rPr>
                <w:rFonts w:ascii="Arial Narrow" w:hAnsi="Arial Narrow" w:cs="Arial"/>
                <w:sz w:val="20"/>
                <w:szCs w:val="20"/>
              </w:rPr>
            </w:pPr>
            <w:r>
              <w:rPr>
                <w:rFonts w:ascii="Arial Narrow" w:hAnsi="Arial Narrow" w:cs="Arial"/>
                <w:sz w:val="20"/>
                <w:szCs w:val="20"/>
              </w:rPr>
              <w:t xml:space="preserve">Patient must have had a prior episode of prolonged severe neutropenia for more than or equal to seven days. </w:t>
            </w:r>
          </w:p>
        </w:tc>
      </w:tr>
      <w:tr w:rsidR="00D358E2" w:rsidRPr="00C254D9" w:rsidTr="00C74759">
        <w:trPr>
          <w:cantSplit/>
          <w:trHeight w:val="657"/>
        </w:trPr>
        <w:tc>
          <w:tcPr>
            <w:tcW w:w="2835" w:type="dxa"/>
            <w:tcBorders>
              <w:top w:val="single" w:sz="4" w:space="0" w:color="auto"/>
              <w:left w:val="single" w:sz="4" w:space="0" w:color="auto"/>
              <w:bottom w:val="single" w:sz="4" w:space="0" w:color="auto"/>
              <w:right w:val="single" w:sz="4" w:space="0" w:color="auto"/>
            </w:tcBorders>
          </w:tcPr>
          <w:p w:rsidR="00D358E2" w:rsidRPr="00EC6E26" w:rsidRDefault="00D358E2" w:rsidP="00C74759">
            <w:pPr>
              <w:jc w:val="both"/>
              <w:rPr>
                <w:rFonts w:ascii="Arial Narrow" w:hAnsi="Arial Narrow" w:cs="Arial"/>
                <w:b/>
                <w:sz w:val="20"/>
                <w:szCs w:val="20"/>
              </w:rPr>
            </w:pPr>
            <w:r w:rsidRPr="00EC6E26">
              <w:rPr>
                <w:rFonts w:ascii="Arial Narrow" w:hAnsi="Arial Narrow" w:cs="Arial"/>
                <w:b/>
                <w:i/>
                <w:sz w:val="20"/>
                <w:szCs w:val="20"/>
              </w:rPr>
              <w:t xml:space="preserve">Administrative Advice: </w:t>
            </w:r>
          </w:p>
        </w:tc>
        <w:tc>
          <w:tcPr>
            <w:tcW w:w="6379" w:type="dxa"/>
            <w:gridSpan w:val="6"/>
            <w:tcBorders>
              <w:top w:val="single" w:sz="4" w:space="0" w:color="auto"/>
              <w:left w:val="single" w:sz="4" w:space="0" w:color="auto"/>
              <w:bottom w:val="single" w:sz="4" w:space="0" w:color="auto"/>
              <w:right w:val="single" w:sz="4" w:space="0" w:color="auto"/>
            </w:tcBorders>
          </w:tcPr>
          <w:p w:rsidR="00D358E2" w:rsidRPr="00A928D1" w:rsidRDefault="00D358E2" w:rsidP="00C74759">
            <w:pPr>
              <w:spacing w:before="40" w:after="40"/>
              <w:rPr>
                <w:rFonts w:ascii="Arial Narrow" w:hAnsi="Arial Narrow" w:cs="Arial"/>
                <w:b/>
                <w:i/>
                <w:sz w:val="20"/>
                <w:szCs w:val="20"/>
              </w:rPr>
            </w:pPr>
            <w:r w:rsidRPr="00A928D1">
              <w:rPr>
                <w:rFonts w:ascii="Arial Narrow" w:hAnsi="Arial Narrow" w:cs="Arial"/>
                <w:b/>
                <w:i/>
                <w:sz w:val="20"/>
                <w:szCs w:val="20"/>
              </w:rPr>
              <w:t>Biosimilar prescribing policy</w:t>
            </w:r>
          </w:p>
          <w:p w:rsidR="00D358E2" w:rsidRPr="00605BD5" w:rsidRDefault="00D358E2" w:rsidP="00C74759">
            <w:pPr>
              <w:rPr>
                <w:rFonts w:ascii="Arial Narrow" w:hAnsi="Arial Narrow" w:cs="Arial"/>
                <w:i/>
                <w:sz w:val="20"/>
                <w:szCs w:val="20"/>
              </w:rPr>
            </w:pPr>
            <w:r w:rsidRPr="00A928D1">
              <w:rPr>
                <w:rFonts w:ascii="Arial Narrow" w:hAnsi="Arial Narrow" w:cs="Arial"/>
                <w:i/>
                <w:sz w:val="20"/>
                <w:szCs w:val="20"/>
              </w:rPr>
              <w:t>Prescribing of the biosimilar brand ZIEXTENZO® is encouraged for treatment naïve patients. 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2E4125">
              <w:rPr>
                <w:rFonts w:ascii="Arial Narrow" w:hAnsi="Arial Narrow"/>
                <w:i/>
                <w:sz w:val="20"/>
                <w:szCs w:val="20"/>
              </w:rPr>
              <w:t>www.health.gov.au/biosimilars</w:t>
            </w:r>
            <w:r w:rsidRPr="00EC6E26">
              <w:rPr>
                <w:rFonts w:ascii="Arial Narrow" w:hAnsi="Arial Narrow" w:cs="Arial"/>
                <w:i/>
                <w:sz w:val="20"/>
                <w:szCs w:val="20"/>
              </w:rPr>
              <w:t>).</w:t>
            </w:r>
          </w:p>
        </w:tc>
      </w:tr>
    </w:tbl>
    <w:p w:rsidR="00E6107B" w:rsidRDefault="00E6107B" w:rsidP="00605BD5">
      <w:pPr>
        <w:pStyle w:val="3Bodytext"/>
        <w:numPr>
          <w:ilvl w:val="0"/>
          <w:numId w:val="0"/>
        </w:numPr>
        <w:ind w:left="720"/>
        <w:rPr>
          <w:i/>
        </w:rPr>
      </w:pPr>
    </w:p>
    <w:p w:rsidR="00605BD5" w:rsidRPr="007002CC" w:rsidRDefault="00605BD5" w:rsidP="00605BD5">
      <w:pPr>
        <w:pStyle w:val="3Bodytext"/>
        <w:numPr>
          <w:ilvl w:val="0"/>
          <w:numId w:val="0"/>
        </w:numPr>
        <w:ind w:left="720"/>
      </w:pPr>
      <w:r w:rsidRPr="00605BD5">
        <w:rPr>
          <w:i/>
        </w:rPr>
        <w:t xml:space="preserve">For more detail on PBAC’s view, see </w:t>
      </w:r>
      <w:r w:rsidRPr="00F4218E">
        <w:rPr>
          <w:i/>
        </w:rPr>
        <w:t xml:space="preserve">section </w:t>
      </w:r>
      <w:r w:rsidR="00F4218E">
        <w:rPr>
          <w:i/>
        </w:rPr>
        <w:t>6</w:t>
      </w:r>
      <w:r w:rsidRPr="00605BD5">
        <w:rPr>
          <w:i/>
        </w:rPr>
        <w:t xml:space="preserve"> PBAC outcome.</w:t>
      </w:r>
    </w:p>
    <w:p w:rsidR="00E6107B" w:rsidRDefault="00E6107B">
      <w:pPr>
        <w:rPr>
          <w:rFonts w:asciiTheme="minorHAnsi" w:hAnsiTheme="minorHAnsi" w:cs="Arial"/>
          <w:b/>
          <w:snapToGrid w:val="0"/>
          <w:sz w:val="32"/>
          <w:szCs w:val="32"/>
          <w:lang w:eastAsia="en-US"/>
        </w:rPr>
      </w:pPr>
      <w:r>
        <w:br w:type="page"/>
      </w:r>
    </w:p>
    <w:p w:rsidR="00C603D4" w:rsidRPr="00145877" w:rsidRDefault="00CE10C4" w:rsidP="00605BD5">
      <w:pPr>
        <w:pStyle w:val="2Sections"/>
      </w:pPr>
      <w:r w:rsidRPr="00145877">
        <w:lastRenderedPageBreak/>
        <w:t>Background</w:t>
      </w:r>
    </w:p>
    <w:p w:rsidR="00E702CC" w:rsidRPr="00252528" w:rsidRDefault="00E702CC" w:rsidP="00605BD5">
      <w:pPr>
        <w:pStyle w:val="3Bodytext"/>
        <w:rPr>
          <w:i/>
        </w:rPr>
      </w:pPr>
      <w:r w:rsidRPr="00252528">
        <w:t xml:space="preserve">Pegfilgrastim is currently listed on the Section 100 HSD program as an Authority Required (STREAMLINED) listing for chemotherapy-induced neutropenia. </w:t>
      </w:r>
    </w:p>
    <w:p w:rsidR="00E702CC" w:rsidRPr="00E702CC" w:rsidRDefault="009B2470" w:rsidP="00605BD5">
      <w:pPr>
        <w:pStyle w:val="3Bodytext"/>
      </w:pPr>
      <w:r>
        <w:t xml:space="preserve">The reference brand, </w:t>
      </w:r>
      <w:r w:rsidR="00E702CC">
        <w:t>Neulasta</w:t>
      </w:r>
      <w:r>
        <w:t>,</w:t>
      </w:r>
      <w:r w:rsidR="00E702CC">
        <w:t xml:space="preserve"> and the other </w:t>
      </w:r>
      <w:r w:rsidR="00E702CC" w:rsidRPr="00E702CC">
        <w:t xml:space="preserve">existing ‘a’ flagged brands </w:t>
      </w:r>
      <w:r w:rsidR="00A54C02">
        <w:t xml:space="preserve">of pegfilgrastim </w:t>
      </w:r>
      <w:r w:rsidR="003D367C">
        <w:t xml:space="preserve">on the PBS </w:t>
      </w:r>
      <w:r w:rsidR="00E702CC">
        <w:t>(Ristempa</w:t>
      </w:r>
      <w:r w:rsidR="007A0BC1">
        <w:t>®</w:t>
      </w:r>
      <w:r w:rsidR="00E702CC">
        <w:t xml:space="preserve"> and Tezmota</w:t>
      </w:r>
      <w:r w:rsidR="007A0BC1">
        <w:t>®</w:t>
      </w:r>
      <w:r w:rsidR="00E702CC">
        <w:t>) have the same S</w:t>
      </w:r>
      <w:r w:rsidR="00E702CC" w:rsidRPr="00E702CC">
        <w:t>ponsor</w:t>
      </w:r>
      <w:r w:rsidR="00AF59EF">
        <w:t>, Juno Pharmaceuticals</w:t>
      </w:r>
      <w:r w:rsidR="00E702CC">
        <w:t>.</w:t>
      </w:r>
      <w:r w:rsidR="00E127B5">
        <w:t xml:space="preserve"> Ristempa and Tezmota are not biosimilar brands. </w:t>
      </w:r>
      <w:r w:rsidR="00E702CC">
        <w:t xml:space="preserve"> </w:t>
      </w:r>
    </w:p>
    <w:p w:rsidR="00D42968" w:rsidRPr="008F202C" w:rsidRDefault="00D42968" w:rsidP="008F202C">
      <w:pPr>
        <w:pStyle w:val="Heading2"/>
        <w:rPr>
          <w:snapToGrid w:val="0"/>
        </w:rPr>
      </w:pPr>
      <w:r w:rsidRPr="008F202C">
        <w:rPr>
          <w:snapToGrid w:val="0"/>
        </w:rPr>
        <w:t>Registration status</w:t>
      </w:r>
    </w:p>
    <w:p w:rsidR="00513897" w:rsidRDefault="00513897" w:rsidP="00605BD5">
      <w:pPr>
        <w:pStyle w:val="3Bodytext"/>
        <w:rPr>
          <w:i/>
        </w:rPr>
      </w:pPr>
      <w:r>
        <w:t xml:space="preserve">The </w:t>
      </w:r>
      <w:r w:rsidR="00587203" w:rsidRPr="00651A74">
        <w:t xml:space="preserve">Ziextenzo </w:t>
      </w:r>
      <w:r>
        <w:t xml:space="preserve">brand of pegfilgrastim </w:t>
      </w:r>
      <w:r w:rsidR="00587203" w:rsidRPr="00651A74">
        <w:t>was approved</w:t>
      </w:r>
      <w:r>
        <w:t xml:space="preserve"> by the Therapeutic Goods Administration (TGA)</w:t>
      </w:r>
      <w:r w:rsidR="00587203" w:rsidRPr="00651A74">
        <w:t xml:space="preserve"> on 9 July 2019 </w:t>
      </w:r>
      <w:r>
        <w:t xml:space="preserve">and was determined to be biosimilar to the reference brand, Neulasta. It was listed on the Australian Register of Therapeutic Goods (ARTG) on 6 September 2019 with the same </w:t>
      </w:r>
      <w:r w:rsidR="003077EE">
        <w:t>indication as</w:t>
      </w:r>
      <w:r>
        <w:t xml:space="preserve"> Neulasta</w:t>
      </w:r>
      <w:r w:rsidR="00EE217B">
        <w:t>:</w:t>
      </w:r>
      <w:r>
        <w:t xml:space="preserve"> </w:t>
      </w:r>
      <w:r w:rsidR="00587203" w:rsidRPr="00651A74">
        <w:t>for</w:t>
      </w:r>
      <w:r w:rsidR="00587203" w:rsidRPr="00651A74" w:rsidDel="009A61CA">
        <w:t xml:space="preserve"> </w:t>
      </w:r>
      <w:r w:rsidR="00587203" w:rsidRPr="00651A74">
        <w:t xml:space="preserve">the treatment of cancer patients following chemotherapy, to decrease the duration of severe neutropenia and so reduce the incidence of infections, as manifested by febrile neutropenia. </w:t>
      </w:r>
    </w:p>
    <w:p w:rsidR="00587203" w:rsidRPr="00651A74" w:rsidRDefault="00811BA7" w:rsidP="00605BD5">
      <w:pPr>
        <w:pStyle w:val="3Bodytext"/>
        <w:rPr>
          <w:i/>
        </w:rPr>
      </w:pPr>
      <w:r>
        <w:t>The TGA Delegate</w:t>
      </w:r>
      <w:r w:rsidRPr="00587203">
        <w:t xml:space="preserve"> concluded that the biosimilarity between Ziextenzo and Neulasta was well supported</w:t>
      </w:r>
      <w:r>
        <w:t xml:space="preserve"> by the evidence presented</w:t>
      </w:r>
      <w:r w:rsidRPr="00587203">
        <w:t>.</w:t>
      </w:r>
    </w:p>
    <w:p w:rsidR="00D42968" w:rsidRPr="008F202C" w:rsidRDefault="00D42968" w:rsidP="008F202C">
      <w:pPr>
        <w:pStyle w:val="Heading2"/>
        <w:rPr>
          <w:snapToGrid w:val="0"/>
        </w:rPr>
      </w:pPr>
      <w:r w:rsidRPr="008F202C">
        <w:rPr>
          <w:snapToGrid w:val="0"/>
        </w:rPr>
        <w:t xml:space="preserve">Previous PBAC consideration </w:t>
      </w:r>
    </w:p>
    <w:p w:rsidR="00D42968" w:rsidRDefault="00811465" w:rsidP="00605BD5">
      <w:pPr>
        <w:pStyle w:val="3Bodytext"/>
      </w:pPr>
      <w:r w:rsidRPr="00811465">
        <w:t>Ziextenzo</w:t>
      </w:r>
      <w:r w:rsidR="00D42968" w:rsidRPr="00811465">
        <w:t xml:space="preserve"> has not been considered by the PBAC previously. </w:t>
      </w:r>
    </w:p>
    <w:p w:rsidR="009B2470" w:rsidRDefault="00A30AD9" w:rsidP="00605BD5">
      <w:pPr>
        <w:pStyle w:val="3Bodytext"/>
      </w:pPr>
      <w:r>
        <w:t>The PBAC recommended a different</w:t>
      </w:r>
      <w:r w:rsidR="009B2470">
        <w:t xml:space="preserve"> biosimilar </w:t>
      </w:r>
      <w:r>
        <w:t xml:space="preserve">brand of </w:t>
      </w:r>
      <w:r w:rsidR="009B2470">
        <w:t>pegfilgrastim, Fulphila, sponsored by Alphapharm</w:t>
      </w:r>
      <w:r w:rsidR="00D625F2">
        <w:t xml:space="preserve"> Pty Ltd</w:t>
      </w:r>
      <w:r w:rsidR="009B2470">
        <w:t xml:space="preserve">, at </w:t>
      </w:r>
      <w:r>
        <w:t xml:space="preserve">its </w:t>
      </w:r>
      <w:r w:rsidR="009B2470">
        <w:t>November 2018 meeting</w:t>
      </w:r>
      <w:r w:rsidR="009B2470" w:rsidRPr="00063469">
        <w:t>.</w:t>
      </w:r>
      <w:r w:rsidR="009B2470">
        <w:t xml:space="preserve"> </w:t>
      </w:r>
    </w:p>
    <w:p w:rsidR="00E663E9" w:rsidRPr="003C2FB5" w:rsidRDefault="00E663E9" w:rsidP="00605BD5">
      <w:pPr>
        <w:pStyle w:val="2Sections"/>
      </w:pPr>
      <w:r w:rsidRPr="003C2FB5">
        <w:t>C</w:t>
      </w:r>
      <w:r>
        <w:t>omparator</w:t>
      </w:r>
    </w:p>
    <w:p w:rsidR="00D42968" w:rsidRPr="00605BD5" w:rsidRDefault="00D42968" w:rsidP="00605BD5">
      <w:pPr>
        <w:pStyle w:val="3Bodytext"/>
        <w:rPr>
          <w:i/>
        </w:rPr>
      </w:pPr>
      <w:r w:rsidRPr="000B44C3">
        <w:t xml:space="preserve">The minor submission nominated </w:t>
      </w:r>
      <w:r w:rsidR="00304B63">
        <w:t xml:space="preserve">the </w:t>
      </w:r>
      <w:r w:rsidR="009B2470">
        <w:t xml:space="preserve">reference </w:t>
      </w:r>
      <w:r w:rsidR="00304B63">
        <w:t xml:space="preserve">brand of pegfilgrastim, Neulasta, as </w:t>
      </w:r>
      <w:r w:rsidRPr="000B44C3">
        <w:t>the main comparator</w:t>
      </w:r>
      <w:r w:rsidR="00304B63">
        <w:t>, which was appropriate</w:t>
      </w:r>
      <w:r w:rsidRPr="000B44C3">
        <w:t>.</w:t>
      </w:r>
      <w:r>
        <w:t xml:space="preserve"> </w:t>
      </w:r>
    </w:p>
    <w:p w:rsidR="00605BD5" w:rsidRPr="00304B63" w:rsidRDefault="00605BD5" w:rsidP="00605BD5">
      <w:pPr>
        <w:pStyle w:val="3Bodytext"/>
        <w:numPr>
          <w:ilvl w:val="0"/>
          <w:numId w:val="0"/>
        </w:numPr>
        <w:ind w:left="720"/>
        <w:rPr>
          <w:i/>
        </w:rPr>
      </w:pPr>
      <w:r w:rsidRPr="00605BD5">
        <w:rPr>
          <w:i/>
        </w:rPr>
        <w:t xml:space="preserve">For more detail on PBAC’s view, see </w:t>
      </w:r>
      <w:r w:rsidRPr="00551FD4">
        <w:rPr>
          <w:i/>
        </w:rPr>
        <w:t xml:space="preserve">section </w:t>
      </w:r>
      <w:r w:rsidR="00551FD4">
        <w:rPr>
          <w:i/>
        </w:rPr>
        <w:t>6</w:t>
      </w:r>
      <w:r w:rsidRPr="00605BD5">
        <w:rPr>
          <w:i/>
        </w:rPr>
        <w:t xml:space="preserve"> PBAC outcome.  </w:t>
      </w:r>
    </w:p>
    <w:p w:rsidR="00FC3647" w:rsidRPr="003C2FB5" w:rsidRDefault="00FC3647" w:rsidP="00605BD5">
      <w:pPr>
        <w:pStyle w:val="2Sections"/>
      </w:pPr>
      <w:r w:rsidRPr="003C2FB5">
        <w:t>Consideration of the evidence</w:t>
      </w:r>
    </w:p>
    <w:p w:rsidR="00605BD5" w:rsidRPr="00836F75" w:rsidRDefault="00605BD5" w:rsidP="006234D9">
      <w:pPr>
        <w:pStyle w:val="Heading2"/>
        <w:rPr>
          <w:snapToGrid w:val="0"/>
        </w:rPr>
      </w:pPr>
      <w:r w:rsidRPr="00836F75">
        <w:rPr>
          <w:snapToGrid w:val="0"/>
        </w:rPr>
        <w:t>Sponsor hearing</w:t>
      </w:r>
    </w:p>
    <w:p w:rsidR="00605BD5" w:rsidRPr="00836F75" w:rsidRDefault="00605BD5" w:rsidP="006234D9">
      <w:pPr>
        <w:pStyle w:val="3Bodytext"/>
      </w:pPr>
      <w:r w:rsidRPr="00836F75">
        <w:t>There was no hearing for this ite</w:t>
      </w:r>
      <w:r w:rsidR="006234D9">
        <w:t>m as it was a minor submission.</w:t>
      </w:r>
    </w:p>
    <w:p w:rsidR="00605BD5" w:rsidRPr="00836F75" w:rsidRDefault="00605BD5" w:rsidP="006234D9">
      <w:pPr>
        <w:pStyle w:val="Heading2"/>
        <w:rPr>
          <w:snapToGrid w:val="0"/>
        </w:rPr>
      </w:pPr>
      <w:r w:rsidRPr="00836F75">
        <w:rPr>
          <w:snapToGrid w:val="0"/>
        </w:rPr>
        <w:t>Consumer comments</w:t>
      </w:r>
    </w:p>
    <w:p w:rsidR="00513897" w:rsidRPr="006234D9" w:rsidRDefault="00605BD5" w:rsidP="006234D9">
      <w:pPr>
        <w:pStyle w:val="3Bodytext"/>
      </w:pPr>
      <w:r w:rsidRPr="00836F75">
        <w:t>The PBAC noted that no consumer comments were rec</w:t>
      </w:r>
      <w:r w:rsidR="006234D9">
        <w:t>eived for this item</w:t>
      </w:r>
      <w:r w:rsidRPr="00836F75">
        <w:t>.</w:t>
      </w:r>
    </w:p>
    <w:p w:rsidR="006234D9" w:rsidRDefault="00D42968" w:rsidP="006234D9">
      <w:pPr>
        <w:pStyle w:val="Heading2"/>
      </w:pPr>
      <w:r w:rsidRPr="00605BD5">
        <w:lastRenderedPageBreak/>
        <w:t>Clinical</w:t>
      </w:r>
      <w:r w:rsidRPr="003C2FB5">
        <w:t xml:space="preserve"> trials</w:t>
      </w:r>
      <w:r>
        <w:t xml:space="preserve"> </w:t>
      </w:r>
    </w:p>
    <w:p w:rsidR="006234D9" w:rsidRDefault="006234D9" w:rsidP="00605BD5">
      <w:pPr>
        <w:pStyle w:val="3Bodytext"/>
      </w:pPr>
      <w:r w:rsidRPr="00D64DAB">
        <w:t xml:space="preserve">As a minor submission, no </w:t>
      </w:r>
      <w:r w:rsidR="00F72ABC">
        <w:t xml:space="preserve">independent </w:t>
      </w:r>
      <w:r w:rsidRPr="00D64DAB">
        <w:t>evaluation of the clinical evidence was undertaken.</w:t>
      </w:r>
    </w:p>
    <w:p w:rsidR="00D42968" w:rsidRPr="00980B0E" w:rsidRDefault="001B35C5" w:rsidP="00605BD5">
      <w:pPr>
        <w:pStyle w:val="3Bodytext"/>
      </w:pPr>
      <w:r w:rsidRPr="001B35C5">
        <w:t xml:space="preserve">The </w:t>
      </w:r>
      <w:r>
        <w:t xml:space="preserve">minor </w:t>
      </w:r>
      <w:r w:rsidRPr="001B35C5">
        <w:t xml:space="preserve">submission </w:t>
      </w:r>
      <w:r w:rsidR="00343EF5">
        <w:t>presented</w:t>
      </w:r>
      <w:r w:rsidRPr="001B35C5">
        <w:t xml:space="preserve"> </w:t>
      </w:r>
      <w:r w:rsidR="00343EF5">
        <w:t>four</w:t>
      </w:r>
      <w:r w:rsidRPr="001B35C5">
        <w:t xml:space="preserve"> studies to sup</w:t>
      </w:r>
      <w:r>
        <w:t>port its claim of biosimilarity</w:t>
      </w:r>
      <w:r w:rsidR="00DA5C92">
        <w:t>,</w:t>
      </w:r>
      <w:r>
        <w:t xml:space="preserve"> and equivalent efficacy</w:t>
      </w:r>
      <w:r w:rsidRPr="001B35C5">
        <w:t xml:space="preserve"> and safety of </w:t>
      </w:r>
      <w:r>
        <w:t>Ziextenzo</w:t>
      </w:r>
      <w:r w:rsidRPr="001B35C5">
        <w:t xml:space="preserve"> compared to Neulasta</w:t>
      </w:r>
      <w:r w:rsidR="00D64DAB">
        <w:t>:</w:t>
      </w:r>
    </w:p>
    <w:p w:rsidR="004F37E3" w:rsidRPr="00605BD5" w:rsidRDefault="00413E67" w:rsidP="00605BD5">
      <w:pPr>
        <w:pStyle w:val="ListParagraph"/>
      </w:pPr>
      <w:r w:rsidRPr="00605BD5">
        <w:t>T</w:t>
      </w:r>
      <w:r w:rsidR="004F37E3" w:rsidRPr="00605BD5">
        <w:t xml:space="preserve">wo </w:t>
      </w:r>
      <w:r w:rsidR="000A0BAF" w:rsidRPr="00605BD5">
        <w:t xml:space="preserve">bioequivalence studies </w:t>
      </w:r>
      <w:r w:rsidR="004F37E3" w:rsidRPr="00605BD5">
        <w:t>und</w:t>
      </w:r>
      <w:r w:rsidRPr="00605BD5">
        <w:t>ertaken in health</w:t>
      </w:r>
      <w:r w:rsidR="00D64DAB" w:rsidRPr="00605BD5">
        <w:t>y</w:t>
      </w:r>
      <w:r w:rsidRPr="00605BD5">
        <w:t xml:space="preserve"> subjects</w:t>
      </w:r>
      <w:r w:rsidR="004F37E3" w:rsidRPr="00605BD5">
        <w:t xml:space="preserve"> focused on comparing the pharmacokinetic (PK) and pharmacodynamic (PD) similarity between Ziextenzo and Neulasta medicines from </w:t>
      </w:r>
      <w:r w:rsidR="0054738C" w:rsidRPr="00605BD5">
        <w:t xml:space="preserve">the </w:t>
      </w:r>
      <w:r w:rsidR="004F37E3" w:rsidRPr="00605BD5">
        <w:t>EU</w:t>
      </w:r>
      <w:r w:rsidR="002F363E" w:rsidRPr="00605BD5">
        <w:t xml:space="preserve"> (Neulasta EU)</w:t>
      </w:r>
      <w:r w:rsidR="004F37E3" w:rsidRPr="00605BD5">
        <w:t xml:space="preserve"> and US</w:t>
      </w:r>
      <w:r w:rsidR="002F363E" w:rsidRPr="00605BD5">
        <w:t xml:space="preserve"> (Neulasta US)</w:t>
      </w:r>
      <w:r w:rsidR="004F37E3" w:rsidRPr="00605BD5">
        <w:t xml:space="preserve"> (LA-EP06-101), and </w:t>
      </w:r>
      <w:r w:rsidR="00D34196" w:rsidRPr="00605BD5">
        <w:t xml:space="preserve">the </w:t>
      </w:r>
      <w:r w:rsidR="004F37E3" w:rsidRPr="00605BD5">
        <w:t xml:space="preserve">EU </w:t>
      </w:r>
      <w:r w:rsidR="00D34196" w:rsidRPr="00605BD5">
        <w:t xml:space="preserve">only </w:t>
      </w:r>
      <w:r w:rsidR="004F37E3" w:rsidRPr="00605BD5">
        <w:t>(LA-EP06-103).</w:t>
      </w:r>
      <w:r w:rsidR="00EC6DA4" w:rsidRPr="00605BD5">
        <w:t xml:space="preserve"> </w:t>
      </w:r>
    </w:p>
    <w:p w:rsidR="00B767FC" w:rsidRPr="00605BD5" w:rsidRDefault="0054738C" w:rsidP="00605BD5">
      <w:pPr>
        <w:pStyle w:val="ListParagraph"/>
      </w:pPr>
      <w:r w:rsidRPr="00605BD5">
        <w:t xml:space="preserve">Two studies </w:t>
      </w:r>
      <w:r w:rsidR="00EC6DA4" w:rsidRPr="00605BD5">
        <w:t>investigating efficacy and safety</w:t>
      </w:r>
      <w:r w:rsidR="00E30809" w:rsidRPr="00605BD5">
        <w:t xml:space="preserve"> (LA-EP06-301 and LA-EP06-302) were also presented</w:t>
      </w:r>
      <w:r w:rsidR="00EC6DA4" w:rsidRPr="00605BD5">
        <w:t xml:space="preserve">, </w:t>
      </w:r>
      <w:r w:rsidR="00E30809" w:rsidRPr="00605BD5">
        <w:t>comparing</w:t>
      </w:r>
      <w:r w:rsidRPr="00605BD5">
        <w:t xml:space="preserve"> the PK properties of</w:t>
      </w:r>
      <w:r w:rsidR="006E7948" w:rsidRPr="00605BD5">
        <w:t xml:space="preserve"> Ziextenzo and Neulasta </w:t>
      </w:r>
      <w:r w:rsidRPr="00605BD5">
        <w:t xml:space="preserve">EU </w:t>
      </w:r>
      <w:r w:rsidR="00E30809" w:rsidRPr="00605BD5">
        <w:t xml:space="preserve">in breast cancer patients undergoing </w:t>
      </w:r>
      <w:r w:rsidR="0079677C">
        <w:t xml:space="preserve">TAC </w:t>
      </w:r>
      <w:r w:rsidR="00E30809" w:rsidRPr="00605BD5">
        <w:t>chemotherapy</w:t>
      </w:r>
      <w:r w:rsidR="00D34196" w:rsidRPr="00605BD5">
        <w:t xml:space="preserve"> </w:t>
      </w:r>
      <w:r w:rsidR="0079677C">
        <w:t>(i</w:t>
      </w:r>
      <w:r w:rsidR="002B6258">
        <w:t>.</w:t>
      </w:r>
      <w:r w:rsidR="0079677C">
        <w:t>e.</w:t>
      </w:r>
      <w:r w:rsidR="0079677C" w:rsidRPr="00605BD5">
        <w:t xml:space="preserve"> </w:t>
      </w:r>
      <w:r w:rsidR="00641A82">
        <w:t xml:space="preserve">chemotherapy regimen with </w:t>
      </w:r>
      <w:r w:rsidR="00D34196" w:rsidRPr="00605BD5">
        <w:t>docetaxel, doxorubicin and cyclophosphamide</w:t>
      </w:r>
      <w:r w:rsidR="002B6258">
        <w:t>)</w:t>
      </w:r>
      <w:r w:rsidR="00E30809" w:rsidRPr="00605BD5">
        <w:t>.</w:t>
      </w:r>
      <w:r w:rsidRPr="00605BD5">
        <w:t xml:space="preserve"> </w:t>
      </w:r>
    </w:p>
    <w:p w:rsidR="00D42968" w:rsidRPr="00BF092C" w:rsidRDefault="00D42968" w:rsidP="00605BD5">
      <w:pPr>
        <w:pStyle w:val="3Bodytext"/>
        <w:rPr>
          <w:i/>
        </w:rPr>
      </w:pPr>
      <w:r w:rsidRPr="009722B3">
        <w:t xml:space="preserve">Details of the trials presented in the submission </w:t>
      </w:r>
      <w:r w:rsidR="001B35C5">
        <w:t>are provided in the table below:</w:t>
      </w:r>
    </w:p>
    <w:p w:rsidR="000553FA" w:rsidRPr="000553FA" w:rsidRDefault="000553FA" w:rsidP="0079677C">
      <w:pPr>
        <w:pStyle w:val="NoSpacing"/>
        <w:rPr>
          <w:rFonts w:ascii="Arial Narrow" w:hAnsi="Arial Narrow"/>
          <w:b/>
          <w:sz w:val="20"/>
        </w:rPr>
      </w:pPr>
      <w:r w:rsidRPr="000553FA">
        <w:rPr>
          <w:rFonts w:ascii="Arial Narrow" w:hAnsi="Arial Narrow"/>
          <w:b/>
          <w:sz w:val="20"/>
        </w:rPr>
        <w:t>Table 1: Trials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submission"/>
      </w:tblPr>
      <w:tblGrid>
        <w:gridCol w:w="1410"/>
        <w:gridCol w:w="4396"/>
        <w:gridCol w:w="3053"/>
      </w:tblGrid>
      <w:tr w:rsidR="00D42968" w:rsidRPr="00F36CCB" w:rsidTr="00A21EB2">
        <w:trPr>
          <w:cantSplit/>
          <w:trHeight w:val="539"/>
          <w:tblHeader/>
        </w:trPr>
        <w:tc>
          <w:tcPr>
            <w:tcW w:w="796" w:type="pct"/>
          </w:tcPr>
          <w:p w:rsidR="00D42968" w:rsidRPr="00F36CCB" w:rsidRDefault="00D42968" w:rsidP="00C42C51">
            <w:pPr>
              <w:pStyle w:val="NoSpacing"/>
              <w:spacing w:before="40" w:after="40"/>
              <w:jc w:val="left"/>
              <w:rPr>
                <w:rFonts w:ascii="Arial Narrow" w:hAnsi="Arial Narrow"/>
                <w:b/>
                <w:sz w:val="20"/>
              </w:rPr>
            </w:pPr>
            <w:r w:rsidRPr="00F36CCB">
              <w:rPr>
                <w:rFonts w:ascii="Arial Narrow" w:hAnsi="Arial Narrow"/>
                <w:b/>
                <w:sz w:val="20"/>
              </w:rPr>
              <w:t>Trial ID</w:t>
            </w:r>
            <w:r>
              <w:rPr>
                <w:rFonts w:ascii="Arial Narrow" w:hAnsi="Arial Narrow"/>
                <w:b/>
                <w:sz w:val="20"/>
              </w:rPr>
              <w:t>/First Author</w:t>
            </w:r>
          </w:p>
        </w:tc>
        <w:tc>
          <w:tcPr>
            <w:tcW w:w="2481" w:type="pct"/>
          </w:tcPr>
          <w:p w:rsidR="00D42968" w:rsidRPr="00F36CCB" w:rsidRDefault="00D42968" w:rsidP="0056695E">
            <w:pPr>
              <w:keepNext/>
              <w:spacing w:before="40" w:after="40"/>
              <w:jc w:val="center"/>
              <w:rPr>
                <w:rFonts w:ascii="Arial Narrow" w:hAnsi="Arial Narrow"/>
                <w:b/>
                <w:sz w:val="20"/>
              </w:rPr>
            </w:pPr>
            <w:r w:rsidRPr="00F36CCB">
              <w:rPr>
                <w:rFonts w:ascii="Arial Narrow" w:hAnsi="Arial Narrow"/>
                <w:b/>
                <w:sz w:val="20"/>
              </w:rPr>
              <w:t xml:space="preserve">Protocol </w:t>
            </w:r>
          </w:p>
        </w:tc>
        <w:tc>
          <w:tcPr>
            <w:tcW w:w="1723" w:type="pct"/>
          </w:tcPr>
          <w:p w:rsidR="00D42968" w:rsidRPr="00F36CCB" w:rsidRDefault="0056695E" w:rsidP="0056695E">
            <w:pPr>
              <w:keepNext/>
              <w:spacing w:before="40" w:after="40"/>
              <w:jc w:val="center"/>
              <w:rPr>
                <w:rFonts w:ascii="Arial Narrow" w:hAnsi="Arial Narrow"/>
                <w:b/>
                <w:sz w:val="20"/>
              </w:rPr>
            </w:pPr>
            <w:r>
              <w:rPr>
                <w:rFonts w:ascii="Arial Narrow" w:hAnsi="Arial Narrow"/>
                <w:b/>
                <w:sz w:val="20"/>
              </w:rPr>
              <w:t>Result</w:t>
            </w:r>
          </w:p>
        </w:tc>
      </w:tr>
      <w:tr w:rsidR="00D42968" w:rsidRPr="00F36CCB" w:rsidTr="00A21EB2">
        <w:trPr>
          <w:cantSplit/>
          <w:trHeight w:val="317"/>
          <w:tblHeader/>
        </w:trPr>
        <w:tc>
          <w:tcPr>
            <w:tcW w:w="5000" w:type="pct"/>
            <w:gridSpan w:val="3"/>
          </w:tcPr>
          <w:p w:rsidR="00D42968" w:rsidRPr="00F36CCB" w:rsidRDefault="00D42968" w:rsidP="00C42C51">
            <w:pPr>
              <w:pStyle w:val="NoSpacing"/>
              <w:spacing w:before="40" w:after="40"/>
              <w:rPr>
                <w:rFonts w:ascii="Arial Narrow" w:hAnsi="Arial Narrow"/>
                <w:b/>
                <w:sz w:val="20"/>
              </w:rPr>
            </w:pPr>
            <w:r w:rsidRPr="00F36CCB">
              <w:rPr>
                <w:rFonts w:ascii="Arial Narrow" w:hAnsi="Arial Narrow"/>
                <w:b/>
                <w:sz w:val="20"/>
              </w:rPr>
              <w:t>Direct randomised trial</w:t>
            </w:r>
            <w:r>
              <w:rPr>
                <w:rFonts w:ascii="Arial Narrow" w:hAnsi="Arial Narrow"/>
                <w:b/>
                <w:sz w:val="20"/>
              </w:rPr>
              <w:t>(</w:t>
            </w:r>
            <w:r w:rsidRPr="00F36CCB">
              <w:rPr>
                <w:rFonts w:ascii="Arial Narrow" w:hAnsi="Arial Narrow"/>
                <w:b/>
                <w:sz w:val="20"/>
              </w:rPr>
              <w:t>s</w:t>
            </w:r>
            <w:r>
              <w:rPr>
                <w:rFonts w:ascii="Arial Narrow" w:hAnsi="Arial Narrow"/>
                <w:b/>
                <w:sz w:val="20"/>
              </w:rPr>
              <w:t>)</w:t>
            </w:r>
            <w:r w:rsidR="0054738C">
              <w:rPr>
                <w:rFonts w:ascii="Arial Narrow" w:hAnsi="Arial Narrow"/>
                <w:b/>
                <w:sz w:val="20"/>
              </w:rPr>
              <w:t xml:space="preserve"> demonstrating bioequivalence</w:t>
            </w:r>
          </w:p>
        </w:tc>
      </w:tr>
      <w:tr w:rsidR="00D42968" w:rsidRPr="00F36CCB" w:rsidTr="00A21EB2">
        <w:trPr>
          <w:cantSplit/>
          <w:trHeight w:val="317"/>
          <w:tblHeader/>
        </w:trPr>
        <w:tc>
          <w:tcPr>
            <w:tcW w:w="796" w:type="pct"/>
          </w:tcPr>
          <w:p w:rsidR="00D42968" w:rsidRPr="000A44B2" w:rsidRDefault="00DA5C92" w:rsidP="00C42C51">
            <w:pPr>
              <w:pStyle w:val="TableText0"/>
            </w:pPr>
            <w:r w:rsidRPr="00587203">
              <w:rPr>
                <w:szCs w:val="24"/>
              </w:rPr>
              <w:t>LA-EP06-10</w:t>
            </w:r>
            <w:r w:rsidR="00AE1D40">
              <w:rPr>
                <w:szCs w:val="24"/>
              </w:rPr>
              <w:t>1</w:t>
            </w:r>
          </w:p>
        </w:tc>
        <w:tc>
          <w:tcPr>
            <w:tcW w:w="2481" w:type="pct"/>
          </w:tcPr>
          <w:p w:rsidR="00D42968" w:rsidRPr="00AE1D40" w:rsidRDefault="008F3DDC" w:rsidP="0056695E">
            <w:pPr>
              <w:keepNext/>
              <w:rPr>
                <w:rFonts w:ascii="Arial Narrow" w:hAnsi="Arial Narrow"/>
                <w:sz w:val="20"/>
              </w:rPr>
            </w:pPr>
            <w:r>
              <w:rPr>
                <w:rFonts w:ascii="Arial Narrow" w:hAnsi="Arial Narrow"/>
                <w:sz w:val="20"/>
              </w:rPr>
              <w:t xml:space="preserve">Randomised, </w:t>
            </w:r>
            <w:r w:rsidR="009935CD">
              <w:rPr>
                <w:rFonts w:ascii="Arial Narrow" w:hAnsi="Arial Narrow"/>
                <w:sz w:val="20"/>
              </w:rPr>
              <w:t>double</w:t>
            </w:r>
            <w:r>
              <w:rPr>
                <w:rFonts w:ascii="Arial Narrow" w:hAnsi="Arial Narrow"/>
                <w:sz w:val="20"/>
              </w:rPr>
              <w:t xml:space="preserve">-blind, three-arm, parallel-group, Phase 1 study, in which 279 healthy </w:t>
            </w:r>
            <w:r w:rsidR="004E1EB3">
              <w:rPr>
                <w:rFonts w:ascii="Arial Narrow" w:hAnsi="Arial Narrow"/>
                <w:sz w:val="20"/>
              </w:rPr>
              <w:t xml:space="preserve">adult </w:t>
            </w:r>
            <w:r>
              <w:rPr>
                <w:rFonts w:ascii="Arial Narrow" w:hAnsi="Arial Narrow"/>
                <w:sz w:val="20"/>
              </w:rPr>
              <w:t>patients were randomised to receive either LA-EP2006 (Ziextenzo)</w:t>
            </w:r>
            <w:r w:rsidR="009935CD">
              <w:rPr>
                <w:rFonts w:ascii="Arial Narrow" w:hAnsi="Arial Narrow"/>
                <w:sz w:val="20"/>
              </w:rPr>
              <w:t xml:space="preserve">, Neulasta EU, or Neulasta </w:t>
            </w:r>
            <w:r>
              <w:rPr>
                <w:rFonts w:ascii="Arial Narrow" w:hAnsi="Arial Narrow"/>
                <w:sz w:val="20"/>
              </w:rPr>
              <w:t xml:space="preserve">US. </w:t>
            </w:r>
          </w:p>
        </w:tc>
        <w:tc>
          <w:tcPr>
            <w:tcW w:w="1723" w:type="pct"/>
          </w:tcPr>
          <w:p w:rsidR="00D42968" w:rsidRPr="00F36CCB" w:rsidRDefault="0056695E" w:rsidP="00C42C51">
            <w:pPr>
              <w:keepNext/>
              <w:rPr>
                <w:rFonts w:ascii="Arial Narrow" w:hAnsi="Arial Narrow"/>
                <w:b/>
                <w:sz w:val="20"/>
              </w:rPr>
            </w:pPr>
            <w:r>
              <w:rPr>
                <w:rFonts w:ascii="Arial Narrow" w:hAnsi="Arial Narrow"/>
                <w:sz w:val="20"/>
              </w:rPr>
              <w:t>The AUC and Cmax were not found to be bioequivalent between LA-EP2006 and either of the Neulasta products.</w:t>
            </w:r>
          </w:p>
        </w:tc>
      </w:tr>
      <w:tr w:rsidR="00D42968" w:rsidRPr="00F36CCB" w:rsidTr="00A21EB2">
        <w:trPr>
          <w:cantSplit/>
          <w:trHeight w:val="317"/>
          <w:tblHeader/>
        </w:trPr>
        <w:tc>
          <w:tcPr>
            <w:tcW w:w="796" w:type="pct"/>
          </w:tcPr>
          <w:p w:rsidR="00D42968" w:rsidRPr="00AE1D40" w:rsidRDefault="00AE1D40" w:rsidP="00C42C51">
            <w:pPr>
              <w:pStyle w:val="NoSpacing"/>
              <w:rPr>
                <w:rFonts w:ascii="Arial Narrow" w:hAnsi="Arial Narrow"/>
                <w:sz w:val="20"/>
                <w:szCs w:val="24"/>
              </w:rPr>
            </w:pPr>
            <w:r w:rsidRPr="00AE1D40">
              <w:rPr>
                <w:rFonts w:ascii="Arial Narrow" w:hAnsi="Arial Narrow"/>
                <w:sz w:val="20"/>
                <w:szCs w:val="24"/>
              </w:rPr>
              <w:t>LA-EP06-103</w:t>
            </w:r>
          </w:p>
        </w:tc>
        <w:tc>
          <w:tcPr>
            <w:tcW w:w="2481" w:type="pct"/>
          </w:tcPr>
          <w:p w:rsidR="00D42968" w:rsidRPr="00AE1D40" w:rsidRDefault="00AE1D40" w:rsidP="0056695E">
            <w:pPr>
              <w:keepNext/>
              <w:rPr>
                <w:rFonts w:ascii="Arial Narrow" w:hAnsi="Arial Narrow"/>
                <w:sz w:val="20"/>
              </w:rPr>
            </w:pPr>
            <w:r w:rsidRPr="00AE1D40">
              <w:rPr>
                <w:rFonts w:ascii="Arial Narrow" w:hAnsi="Arial Narrow"/>
                <w:sz w:val="20"/>
              </w:rPr>
              <w:t>Randomised</w:t>
            </w:r>
            <w:r>
              <w:rPr>
                <w:rFonts w:ascii="Arial Narrow" w:hAnsi="Arial Narrow"/>
                <w:sz w:val="20"/>
              </w:rPr>
              <w:t>, double-blind, two-period crosso</w:t>
            </w:r>
            <w:r w:rsidR="008F3DDC">
              <w:rPr>
                <w:rFonts w:ascii="Arial Narrow" w:hAnsi="Arial Narrow"/>
                <w:sz w:val="20"/>
              </w:rPr>
              <w:t>ver, P</w:t>
            </w:r>
            <w:r>
              <w:rPr>
                <w:rFonts w:ascii="Arial Narrow" w:hAnsi="Arial Narrow"/>
                <w:sz w:val="20"/>
              </w:rPr>
              <w:t>hase 1 study</w:t>
            </w:r>
            <w:r w:rsidR="008F3DDC">
              <w:rPr>
                <w:rFonts w:ascii="Arial Narrow" w:hAnsi="Arial Narrow"/>
                <w:sz w:val="20"/>
              </w:rPr>
              <w:t xml:space="preserve">, of which 184 </w:t>
            </w:r>
            <w:r w:rsidR="004E1EB3">
              <w:rPr>
                <w:rFonts w:ascii="Arial Narrow" w:hAnsi="Arial Narrow"/>
                <w:sz w:val="20"/>
              </w:rPr>
              <w:t xml:space="preserve">healthy adult </w:t>
            </w:r>
            <w:r w:rsidR="008F3DDC">
              <w:rPr>
                <w:rFonts w:ascii="Arial Narrow" w:hAnsi="Arial Narrow"/>
                <w:sz w:val="20"/>
              </w:rPr>
              <w:t xml:space="preserve">patients received either LA-EP2006 </w:t>
            </w:r>
            <w:r w:rsidR="009935CD">
              <w:rPr>
                <w:rFonts w:ascii="Arial Narrow" w:hAnsi="Arial Narrow"/>
                <w:sz w:val="20"/>
              </w:rPr>
              <w:t xml:space="preserve">or Neulasta </w:t>
            </w:r>
            <w:r w:rsidR="008F3DDC">
              <w:rPr>
                <w:rFonts w:ascii="Arial Narrow" w:hAnsi="Arial Narrow"/>
                <w:sz w:val="20"/>
              </w:rPr>
              <w:t xml:space="preserve">EU on Day 1 of Periods I and II following at least a 10 hour fast. </w:t>
            </w:r>
          </w:p>
        </w:tc>
        <w:tc>
          <w:tcPr>
            <w:tcW w:w="1723" w:type="pct"/>
          </w:tcPr>
          <w:p w:rsidR="00D42968" w:rsidRPr="00F36CCB" w:rsidRDefault="0056695E" w:rsidP="00C42C51">
            <w:pPr>
              <w:keepNext/>
              <w:rPr>
                <w:rFonts w:ascii="Arial Narrow" w:hAnsi="Arial Narrow"/>
                <w:b/>
                <w:sz w:val="20"/>
              </w:rPr>
            </w:pPr>
            <w:r>
              <w:rPr>
                <w:rFonts w:ascii="Arial Narrow" w:hAnsi="Arial Narrow"/>
                <w:sz w:val="20"/>
              </w:rPr>
              <w:t>They were found to be bioequivalent within the pre-defined limits for the ratios of the geometric means, for Cmax, and AUC.</w:t>
            </w:r>
          </w:p>
        </w:tc>
      </w:tr>
      <w:tr w:rsidR="009935CD" w:rsidRPr="00F36CCB" w:rsidTr="00A21EB2">
        <w:trPr>
          <w:cantSplit/>
          <w:tblHeader/>
        </w:trPr>
        <w:tc>
          <w:tcPr>
            <w:tcW w:w="5000" w:type="pct"/>
            <w:gridSpan w:val="3"/>
          </w:tcPr>
          <w:p w:rsidR="009935CD" w:rsidRPr="00F36CCB" w:rsidRDefault="0054738C" w:rsidP="009935CD">
            <w:pPr>
              <w:pStyle w:val="NoSpacing"/>
              <w:spacing w:before="40" w:after="40"/>
              <w:rPr>
                <w:rFonts w:ascii="Arial Narrow" w:hAnsi="Arial Narrow"/>
                <w:b/>
                <w:sz w:val="20"/>
              </w:rPr>
            </w:pPr>
            <w:r>
              <w:rPr>
                <w:rFonts w:ascii="Arial Narrow" w:hAnsi="Arial Narrow"/>
                <w:b/>
                <w:sz w:val="20"/>
              </w:rPr>
              <w:t>Direct</w:t>
            </w:r>
            <w:r w:rsidR="009935CD" w:rsidRPr="00F36CCB">
              <w:rPr>
                <w:rFonts w:ascii="Arial Narrow" w:hAnsi="Arial Narrow"/>
                <w:b/>
                <w:sz w:val="20"/>
              </w:rPr>
              <w:t xml:space="preserve"> randomised trial</w:t>
            </w:r>
            <w:r w:rsidR="009935CD">
              <w:rPr>
                <w:rFonts w:ascii="Arial Narrow" w:hAnsi="Arial Narrow"/>
                <w:b/>
                <w:sz w:val="20"/>
              </w:rPr>
              <w:t>(s)</w:t>
            </w:r>
            <w:r>
              <w:rPr>
                <w:rFonts w:ascii="Arial Narrow" w:hAnsi="Arial Narrow"/>
                <w:b/>
                <w:sz w:val="20"/>
              </w:rPr>
              <w:t xml:space="preserve"> demonstrating efficacy and safety</w:t>
            </w:r>
          </w:p>
        </w:tc>
      </w:tr>
      <w:tr w:rsidR="009935CD" w:rsidRPr="00F36CCB" w:rsidTr="00A21EB2">
        <w:trPr>
          <w:cantSplit/>
          <w:tblHeader/>
        </w:trPr>
        <w:tc>
          <w:tcPr>
            <w:tcW w:w="796" w:type="pct"/>
          </w:tcPr>
          <w:p w:rsidR="009935CD" w:rsidRPr="004A71D1" w:rsidRDefault="009935CD" w:rsidP="009935CD">
            <w:pPr>
              <w:pStyle w:val="NoSpacing"/>
              <w:tabs>
                <w:tab w:val="left" w:pos="1289"/>
              </w:tabs>
              <w:jc w:val="left"/>
              <w:rPr>
                <w:rFonts w:ascii="Arial Narrow" w:hAnsi="Arial Narrow"/>
                <w:sz w:val="20"/>
              </w:rPr>
            </w:pPr>
            <w:r>
              <w:rPr>
                <w:rFonts w:ascii="Arial Narrow" w:hAnsi="Arial Narrow"/>
                <w:sz w:val="20"/>
                <w:szCs w:val="24"/>
              </w:rPr>
              <w:t>LA-EP06-301</w:t>
            </w:r>
          </w:p>
        </w:tc>
        <w:tc>
          <w:tcPr>
            <w:tcW w:w="2481" w:type="pct"/>
          </w:tcPr>
          <w:p w:rsidR="009935CD" w:rsidRPr="00F36CCB" w:rsidRDefault="009935CD" w:rsidP="00893EFC">
            <w:pPr>
              <w:keepNext/>
              <w:rPr>
                <w:rFonts w:ascii="Arial Narrow" w:hAnsi="Arial Narrow"/>
                <w:b/>
                <w:sz w:val="20"/>
              </w:rPr>
            </w:pPr>
            <w:r>
              <w:rPr>
                <w:rFonts w:ascii="Arial Narrow" w:hAnsi="Arial Narrow"/>
                <w:sz w:val="20"/>
              </w:rPr>
              <w:t>Randomised, double-blind, parallel group, multi-centre study, in which 316 adult women with histologically proven breast cancer who were eligible for neo-adjuvant or adjuvant treatment with TAC chemotherapy</w:t>
            </w:r>
            <w:r w:rsidR="00893EFC">
              <w:rPr>
                <w:rFonts w:ascii="Arial Narrow" w:hAnsi="Arial Narrow"/>
                <w:sz w:val="20"/>
              </w:rPr>
              <w:t>*</w:t>
            </w:r>
            <w:r>
              <w:rPr>
                <w:rFonts w:ascii="Arial Narrow" w:hAnsi="Arial Narrow"/>
                <w:sz w:val="20"/>
              </w:rPr>
              <w:t xml:space="preserve"> and had a life </w:t>
            </w:r>
            <w:r w:rsidR="0056695E">
              <w:rPr>
                <w:rFonts w:ascii="Arial Narrow" w:hAnsi="Arial Narrow"/>
                <w:sz w:val="20"/>
              </w:rPr>
              <w:t>expectancy</w:t>
            </w:r>
            <w:r>
              <w:rPr>
                <w:rFonts w:ascii="Arial Narrow" w:hAnsi="Arial Narrow"/>
                <w:sz w:val="20"/>
              </w:rPr>
              <w:t xml:space="preserve"> of more than 6 months, were to receive either LA-EP2006 or Neulasta EU</w:t>
            </w:r>
            <w:r w:rsidR="0056695E">
              <w:rPr>
                <w:rFonts w:ascii="Arial Narrow" w:hAnsi="Arial Narrow"/>
                <w:sz w:val="20"/>
              </w:rPr>
              <w:t xml:space="preserve"> on the day following TAC chemotherapy</w:t>
            </w:r>
            <w:r w:rsidR="00893EFC">
              <w:rPr>
                <w:rFonts w:ascii="Arial Narrow" w:hAnsi="Arial Narrow"/>
                <w:sz w:val="20"/>
              </w:rPr>
              <w:t>*</w:t>
            </w:r>
            <w:r w:rsidR="0056695E">
              <w:rPr>
                <w:rFonts w:ascii="Arial Narrow" w:hAnsi="Arial Narrow"/>
                <w:sz w:val="20"/>
              </w:rPr>
              <w:t xml:space="preserve"> for up to six weeks.</w:t>
            </w:r>
          </w:p>
        </w:tc>
        <w:tc>
          <w:tcPr>
            <w:tcW w:w="1723" w:type="pct"/>
          </w:tcPr>
          <w:p w:rsidR="009935CD" w:rsidRDefault="0056695E" w:rsidP="009935CD">
            <w:pPr>
              <w:keepNext/>
              <w:rPr>
                <w:rFonts w:ascii="Arial Narrow" w:hAnsi="Arial Narrow"/>
                <w:sz w:val="20"/>
              </w:rPr>
            </w:pPr>
            <w:r w:rsidRPr="0056695E">
              <w:rPr>
                <w:rFonts w:ascii="Arial Narrow" w:hAnsi="Arial Narrow"/>
                <w:sz w:val="20"/>
              </w:rPr>
              <w:t>The results of the inferential statistics from an ANCOVA model demonstrated that LA-EP2006 is equivalent to Neulasta EU as assessed by the DSN.</w:t>
            </w:r>
          </w:p>
          <w:p w:rsidR="0054738C" w:rsidRPr="0056695E" w:rsidRDefault="0054738C" w:rsidP="009935CD">
            <w:pPr>
              <w:keepNext/>
              <w:rPr>
                <w:rFonts w:ascii="Arial Narrow" w:hAnsi="Arial Narrow"/>
                <w:sz w:val="20"/>
              </w:rPr>
            </w:pPr>
            <w:r>
              <w:rPr>
                <w:rFonts w:ascii="Arial Narrow" w:hAnsi="Arial Narrow"/>
                <w:sz w:val="20"/>
              </w:rPr>
              <w:t xml:space="preserve">Adverse events and treatment-related adverse events occurred at similar rates between the two treatments. </w:t>
            </w:r>
          </w:p>
        </w:tc>
      </w:tr>
      <w:tr w:rsidR="0054738C" w:rsidRPr="00F36CCB" w:rsidTr="00A21EB2">
        <w:trPr>
          <w:cantSplit/>
          <w:tblHeader/>
        </w:trPr>
        <w:tc>
          <w:tcPr>
            <w:tcW w:w="796" w:type="pct"/>
          </w:tcPr>
          <w:p w:rsidR="0054738C" w:rsidRPr="004A71D1" w:rsidRDefault="0054738C" w:rsidP="0054738C">
            <w:pPr>
              <w:pStyle w:val="NoSpacing"/>
              <w:tabs>
                <w:tab w:val="left" w:pos="1289"/>
              </w:tabs>
              <w:jc w:val="left"/>
              <w:rPr>
                <w:rFonts w:ascii="Arial Narrow" w:hAnsi="Arial Narrow"/>
                <w:sz w:val="20"/>
              </w:rPr>
            </w:pPr>
            <w:r>
              <w:rPr>
                <w:rFonts w:ascii="Arial Narrow" w:hAnsi="Arial Narrow"/>
                <w:sz w:val="20"/>
                <w:szCs w:val="24"/>
              </w:rPr>
              <w:t>LA-EP06-302</w:t>
            </w:r>
          </w:p>
        </w:tc>
        <w:tc>
          <w:tcPr>
            <w:tcW w:w="2481" w:type="pct"/>
          </w:tcPr>
          <w:p w:rsidR="0054738C" w:rsidRPr="00F36CCB" w:rsidRDefault="0054738C" w:rsidP="0054738C">
            <w:pPr>
              <w:keepNext/>
              <w:rPr>
                <w:rFonts w:ascii="Arial Narrow" w:hAnsi="Arial Narrow"/>
                <w:b/>
                <w:sz w:val="20"/>
              </w:rPr>
            </w:pPr>
            <w:r>
              <w:rPr>
                <w:rFonts w:ascii="Arial Narrow" w:hAnsi="Arial Narrow"/>
                <w:sz w:val="20"/>
              </w:rPr>
              <w:t>Randomised, double-blind, parallel group, multi-centre study, in which 308 adult women with histologically proven breast cancer who were eligible for neo-adjuvant or adjuvant treatment with TAC chemotherapy</w:t>
            </w:r>
            <w:r w:rsidR="00893EFC">
              <w:rPr>
                <w:rFonts w:ascii="Arial Narrow" w:hAnsi="Arial Narrow"/>
                <w:sz w:val="20"/>
              </w:rPr>
              <w:t>*</w:t>
            </w:r>
            <w:r>
              <w:rPr>
                <w:rFonts w:ascii="Arial Narrow" w:hAnsi="Arial Narrow"/>
                <w:sz w:val="20"/>
              </w:rPr>
              <w:t xml:space="preserve"> and had a life expectancy of more than 6 months, were to receive either LA-EP2006 or Neulasta EU on the day following TAC chemotherapy</w:t>
            </w:r>
            <w:r w:rsidR="00893EFC">
              <w:rPr>
                <w:rFonts w:ascii="Arial Narrow" w:hAnsi="Arial Narrow"/>
                <w:sz w:val="20"/>
              </w:rPr>
              <w:t>*</w:t>
            </w:r>
            <w:r>
              <w:rPr>
                <w:rFonts w:ascii="Arial Narrow" w:hAnsi="Arial Narrow"/>
                <w:sz w:val="20"/>
              </w:rPr>
              <w:t xml:space="preserve"> for up to six weeks. </w:t>
            </w:r>
          </w:p>
        </w:tc>
        <w:tc>
          <w:tcPr>
            <w:tcW w:w="1723" w:type="pct"/>
          </w:tcPr>
          <w:p w:rsidR="0054738C" w:rsidRDefault="0054738C" w:rsidP="0054738C">
            <w:pPr>
              <w:keepNext/>
              <w:rPr>
                <w:rFonts w:ascii="Arial Narrow" w:hAnsi="Arial Narrow"/>
                <w:sz w:val="20"/>
              </w:rPr>
            </w:pPr>
            <w:r w:rsidRPr="0056695E">
              <w:rPr>
                <w:rFonts w:ascii="Arial Narrow" w:hAnsi="Arial Narrow"/>
                <w:sz w:val="20"/>
              </w:rPr>
              <w:t>The results of the inferential statistics from an ANCOVA model demonstrated that LA-EP2006 is equivalent to Neulasta EU as assessed by the DSN.</w:t>
            </w:r>
          </w:p>
          <w:p w:rsidR="0054738C" w:rsidRPr="0056695E" w:rsidRDefault="0054738C" w:rsidP="0054738C">
            <w:pPr>
              <w:keepNext/>
              <w:rPr>
                <w:rFonts w:ascii="Arial Narrow" w:hAnsi="Arial Narrow"/>
                <w:sz w:val="20"/>
              </w:rPr>
            </w:pPr>
            <w:r>
              <w:rPr>
                <w:rFonts w:ascii="Arial Narrow" w:hAnsi="Arial Narrow"/>
                <w:sz w:val="20"/>
              </w:rPr>
              <w:t xml:space="preserve">Adverse events and treatment-related adverse events occurred at similar rates between the two treatments. </w:t>
            </w:r>
          </w:p>
        </w:tc>
      </w:tr>
    </w:tbl>
    <w:p w:rsidR="00893EFC" w:rsidRDefault="00893EFC" w:rsidP="00B621E7">
      <w:pPr>
        <w:pStyle w:val="tablenotes"/>
        <w:rPr>
          <w:rFonts w:ascii="Arial Narrow" w:hAnsi="Arial Narrow"/>
          <w:sz w:val="18"/>
          <w:szCs w:val="18"/>
        </w:rPr>
      </w:pPr>
      <w:r>
        <w:rPr>
          <w:rFonts w:ascii="Arial Narrow" w:hAnsi="Arial Narrow"/>
          <w:sz w:val="18"/>
          <w:szCs w:val="18"/>
        </w:rPr>
        <w:t>* Docetaxel, Doxorubicin and Cyclophosphamide</w:t>
      </w:r>
    </w:p>
    <w:p w:rsidR="00B621E7" w:rsidRDefault="00CA7D52" w:rsidP="00B621E7">
      <w:pPr>
        <w:pStyle w:val="tablenotes"/>
        <w:rPr>
          <w:rFonts w:ascii="Arial Narrow" w:hAnsi="Arial Narrow"/>
          <w:sz w:val="18"/>
          <w:szCs w:val="18"/>
        </w:rPr>
      </w:pPr>
      <w:r>
        <w:rPr>
          <w:rFonts w:ascii="Arial Narrow" w:hAnsi="Arial Narrow"/>
          <w:sz w:val="18"/>
          <w:szCs w:val="18"/>
        </w:rPr>
        <w:t>Source: pg 4-5 of the Submission</w:t>
      </w:r>
      <w:r w:rsidR="00B621E7">
        <w:rPr>
          <w:rFonts w:ascii="Arial Narrow" w:hAnsi="Arial Narrow"/>
          <w:sz w:val="18"/>
          <w:szCs w:val="18"/>
        </w:rPr>
        <w:t>;</w:t>
      </w:r>
      <w:r>
        <w:rPr>
          <w:rFonts w:ascii="Arial Narrow" w:hAnsi="Arial Narrow"/>
          <w:sz w:val="18"/>
          <w:szCs w:val="18"/>
        </w:rPr>
        <w:t xml:space="preserve"> pg 15-16 of Attachment 3: Clinical Evaluation Report</w:t>
      </w:r>
      <w:r w:rsidR="00B621E7">
        <w:rPr>
          <w:rFonts w:ascii="Arial Narrow" w:hAnsi="Arial Narrow"/>
          <w:sz w:val="18"/>
          <w:szCs w:val="18"/>
        </w:rPr>
        <w:t>;</w:t>
      </w:r>
      <w:r>
        <w:rPr>
          <w:rFonts w:ascii="Arial Narrow" w:hAnsi="Arial Narrow"/>
          <w:sz w:val="18"/>
          <w:szCs w:val="18"/>
        </w:rPr>
        <w:t xml:space="preserve"> pg </w:t>
      </w:r>
      <w:r w:rsidR="00B621E7">
        <w:rPr>
          <w:rFonts w:ascii="Arial Narrow" w:hAnsi="Arial Narrow"/>
          <w:sz w:val="18"/>
          <w:szCs w:val="18"/>
        </w:rPr>
        <w:t>3-</w:t>
      </w:r>
      <w:r>
        <w:rPr>
          <w:rFonts w:ascii="Arial Narrow" w:hAnsi="Arial Narrow"/>
          <w:sz w:val="18"/>
          <w:szCs w:val="18"/>
        </w:rPr>
        <w:t>4 of Attachment 4: Delegates Overview</w:t>
      </w:r>
      <w:r w:rsidR="00B621E7">
        <w:rPr>
          <w:rFonts w:ascii="Arial Narrow" w:hAnsi="Arial Narrow"/>
          <w:sz w:val="18"/>
          <w:szCs w:val="18"/>
        </w:rPr>
        <w:t>;</w:t>
      </w:r>
      <w:r>
        <w:rPr>
          <w:rFonts w:ascii="Arial Narrow" w:hAnsi="Arial Narrow"/>
          <w:sz w:val="18"/>
          <w:szCs w:val="18"/>
        </w:rPr>
        <w:t xml:space="preserve"> </w:t>
      </w:r>
    </w:p>
    <w:p w:rsidR="00D42968" w:rsidRPr="000214D1" w:rsidRDefault="00CA7D52" w:rsidP="00B621E7">
      <w:pPr>
        <w:pStyle w:val="tablenotes"/>
        <w:rPr>
          <w:rFonts w:ascii="Arial Narrow" w:hAnsi="Arial Narrow"/>
          <w:sz w:val="18"/>
          <w:szCs w:val="18"/>
        </w:rPr>
      </w:pPr>
      <w:r>
        <w:rPr>
          <w:rFonts w:ascii="Arial Narrow" w:hAnsi="Arial Narrow"/>
          <w:sz w:val="18"/>
          <w:szCs w:val="18"/>
        </w:rPr>
        <w:t>pg 9</w:t>
      </w:r>
      <w:r w:rsidR="00B621E7">
        <w:rPr>
          <w:rFonts w:ascii="Arial Narrow" w:hAnsi="Arial Narrow"/>
          <w:sz w:val="18"/>
          <w:szCs w:val="18"/>
        </w:rPr>
        <w:t>-11</w:t>
      </w:r>
      <w:r>
        <w:rPr>
          <w:rFonts w:ascii="Arial Narrow" w:hAnsi="Arial Narrow"/>
          <w:sz w:val="18"/>
          <w:szCs w:val="18"/>
        </w:rPr>
        <w:t xml:space="preserve"> of Attachment 5: Clinical Overview</w:t>
      </w:r>
    </w:p>
    <w:p w:rsidR="00D42968" w:rsidRPr="000214D1" w:rsidRDefault="00D42968" w:rsidP="00605BD5">
      <w:pPr>
        <w:pStyle w:val="Heading2"/>
      </w:pPr>
      <w:r w:rsidRPr="00605BD5">
        <w:lastRenderedPageBreak/>
        <w:t>Comparative</w:t>
      </w:r>
      <w:r>
        <w:t xml:space="preserve"> </w:t>
      </w:r>
      <w:r w:rsidRPr="000214D1">
        <w:t>effectiveness</w:t>
      </w:r>
    </w:p>
    <w:p w:rsidR="000553FA" w:rsidRPr="000553FA" w:rsidRDefault="000553FA" w:rsidP="00605BD5">
      <w:pPr>
        <w:pStyle w:val="3Bodytext"/>
      </w:pPr>
      <w:r w:rsidRPr="00587203">
        <w:t xml:space="preserve">After </w:t>
      </w:r>
      <w:r w:rsidR="008D194D">
        <w:t>a</w:t>
      </w:r>
      <w:r w:rsidR="008D194D" w:rsidRPr="00587203">
        <w:t xml:space="preserve"> </w:t>
      </w:r>
      <w:r w:rsidRPr="00587203">
        <w:t xml:space="preserve">first trial in a healthy population (LA-EP06-101) failed to demonstrate PK similarity, a follow up trial (LA-EP06-103) </w:t>
      </w:r>
      <w:r w:rsidR="006E7948">
        <w:t>demonstrated</w:t>
      </w:r>
      <w:r w:rsidRPr="00587203">
        <w:t xml:space="preserve"> evidence of PK/PD similarity</w:t>
      </w:r>
      <w:r w:rsidR="006E7948">
        <w:t xml:space="preserve"> (biosimilarity) of Ziextenzo to Neulasta EU. </w:t>
      </w:r>
    </w:p>
    <w:p w:rsidR="006E7948" w:rsidRPr="00E30809" w:rsidRDefault="006E7948" w:rsidP="00605BD5">
      <w:pPr>
        <w:pStyle w:val="3Bodytext"/>
      </w:pPr>
      <w:r>
        <w:t>T</w:t>
      </w:r>
      <w:r w:rsidRPr="00E30809">
        <w:t>he primary endpoint</w:t>
      </w:r>
      <w:r>
        <w:t xml:space="preserve"> for </w:t>
      </w:r>
      <w:r w:rsidRPr="00587203">
        <w:rPr>
          <w:szCs w:val="24"/>
        </w:rPr>
        <w:t>L</w:t>
      </w:r>
      <w:r>
        <w:rPr>
          <w:szCs w:val="24"/>
        </w:rPr>
        <w:t xml:space="preserve">A-EP06-301 and </w:t>
      </w:r>
      <w:r w:rsidRPr="00587203">
        <w:rPr>
          <w:szCs w:val="24"/>
        </w:rPr>
        <w:t>L</w:t>
      </w:r>
      <w:r>
        <w:rPr>
          <w:szCs w:val="24"/>
        </w:rPr>
        <w:t>A-EP06-302</w:t>
      </w:r>
      <w:r w:rsidRPr="00E30809">
        <w:t xml:space="preserve"> was the mean duration of severe neutropenia (DSN) defined as the presence of a total neutrophil count of &lt;0.5x10</w:t>
      </w:r>
      <w:r w:rsidRPr="00E30809">
        <w:rPr>
          <w:vertAlign w:val="superscript"/>
        </w:rPr>
        <w:t>9</w:t>
      </w:r>
      <w:r w:rsidRPr="00E30809">
        <w:t xml:space="preserve"> /L. The two treatments were considered equivalent as there was no more than 1 day difference in DSN</w:t>
      </w:r>
      <w:r>
        <w:t xml:space="preserve"> for Ziextenzo and Neulasta EU</w:t>
      </w:r>
      <w:r w:rsidRPr="00E30809">
        <w:t>.</w:t>
      </w:r>
    </w:p>
    <w:p w:rsidR="00AF5CE2" w:rsidRPr="00AF5CE2" w:rsidRDefault="00AF5CE2" w:rsidP="00605BD5">
      <w:pPr>
        <w:pStyle w:val="3Bodytext"/>
      </w:pPr>
      <w:r>
        <w:t>Although the comparators used in the trials were either Neulasta EU or US or both, Neulasta EU, US and AU were determined to be indistinguishable, and therefore the</w:t>
      </w:r>
      <w:r w:rsidR="00723C91">
        <w:t xml:space="preserve"> Sponsor claimed the</w:t>
      </w:r>
      <w:r>
        <w:t xml:space="preserve"> results of the studies </w:t>
      </w:r>
      <w:r w:rsidR="00723C91">
        <w:t xml:space="preserve">show </w:t>
      </w:r>
      <w:r>
        <w:t xml:space="preserve">the biosimilarity </w:t>
      </w:r>
      <w:r w:rsidR="00723C91">
        <w:t>between</w:t>
      </w:r>
      <w:r>
        <w:t xml:space="preserve"> Ziextenzo</w:t>
      </w:r>
      <w:r w:rsidR="00723C91">
        <w:t xml:space="preserve"> and</w:t>
      </w:r>
      <w:r>
        <w:t xml:space="preserve"> Neulasta AU. </w:t>
      </w:r>
    </w:p>
    <w:p w:rsidR="00893EFC" w:rsidRPr="000553FA" w:rsidRDefault="00893EFC" w:rsidP="00605BD5">
      <w:pPr>
        <w:pStyle w:val="3Bodytext"/>
      </w:pPr>
      <w:r>
        <w:t xml:space="preserve">The </w:t>
      </w:r>
      <w:r w:rsidR="002509BD">
        <w:t xml:space="preserve">TGA found that the efficacy results were supportive of comparable therapeutic effect between Ziextenzo and Neulasta. </w:t>
      </w:r>
    </w:p>
    <w:p w:rsidR="00D42968" w:rsidRPr="000214D1" w:rsidRDefault="00D42968" w:rsidP="00605BD5">
      <w:pPr>
        <w:pStyle w:val="Heading2"/>
      </w:pPr>
      <w:r w:rsidRPr="00605BD5">
        <w:t>Comparative</w:t>
      </w:r>
      <w:r>
        <w:t xml:space="preserve"> </w:t>
      </w:r>
      <w:r w:rsidRPr="000214D1">
        <w:t>harms</w:t>
      </w:r>
    </w:p>
    <w:p w:rsidR="00AE1C69" w:rsidRDefault="00D0407D" w:rsidP="00605BD5">
      <w:pPr>
        <w:pStyle w:val="3Bodytext"/>
      </w:pPr>
      <w:r>
        <w:t xml:space="preserve">The submission claimed that the </w:t>
      </w:r>
      <w:r w:rsidR="00AE1C69">
        <w:t>safety endpoints were similar across treatment groups in both studies (</w:t>
      </w:r>
      <w:r w:rsidR="00AE1C69" w:rsidRPr="00587203">
        <w:rPr>
          <w:szCs w:val="24"/>
        </w:rPr>
        <w:t>L</w:t>
      </w:r>
      <w:r w:rsidR="00AE1C69">
        <w:rPr>
          <w:szCs w:val="24"/>
        </w:rPr>
        <w:t xml:space="preserve">A-EP06-301 and </w:t>
      </w:r>
      <w:r w:rsidR="00AE1C69" w:rsidRPr="00587203">
        <w:rPr>
          <w:szCs w:val="24"/>
        </w:rPr>
        <w:t>L</w:t>
      </w:r>
      <w:r w:rsidR="00AE1C69">
        <w:rPr>
          <w:szCs w:val="24"/>
        </w:rPr>
        <w:t>A-EP06-302).</w:t>
      </w:r>
    </w:p>
    <w:p w:rsidR="00C42C51" w:rsidRPr="000951C4" w:rsidRDefault="00E30809" w:rsidP="00605BD5">
      <w:pPr>
        <w:pStyle w:val="3Bodytext"/>
      </w:pPr>
      <w:r>
        <w:t xml:space="preserve">The TGA </w:t>
      </w:r>
      <w:r w:rsidR="00AE1C69">
        <w:t>Delegate stated that the adverse events observed were consistent with the known adverse event profile of Neulasta</w:t>
      </w:r>
      <w:r w:rsidR="00E631F1">
        <w:t>, and</w:t>
      </w:r>
      <w:r w:rsidR="00C07682">
        <w:t xml:space="preserve"> </w:t>
      </w:r>
      <w:r>
        <w:t xml:space="preserve">that the risk-benefit balance for Ziextenzo </w:t>
      </w:r>
      <w:r w:rsidR="0079677C">
        <w:t xml:space="preserve">was </w:t>
      </w:r>
      <w:r>
        <w:t xml:space="preserve">positive for the proposed use. </w:t>
      </w:r>
    </w:p>
    <w:p w:rsidR="00D42968" w:rsidRPr="008306F3" w:rsidRDefault="00D42968" w:rsidP="00605BD5">
      <w:pPr>
        <w:pStyle w:val="Heading2"/>
      </w:pPr>
      <w:r w:rsidRPr="003C2FB5">
        <w:t>Clinical claim</w:t>
      </w:r>
    </w:p>
    <w:p w:rsidR="00D42968" w:rsidRPr="0033233B" w:rsidRDefault="00FE0FD9" w:rsidP="00605BD5">
      <w:pPr>
        <w:pStyle w:val="3Bodytext"/>
      </w:pPr>
      <w:r>
        <w:t>T</w:t>
      </w:r>
      <w:r w:rsidR="00D42968" w:rsidRPr="00C42C51">
        <w:t xml:space="preserve">he submission claimed non-inferior comparative effectiveness and non-inferior comparative safety of </w:t>
      </w:r>
      <w:r w:rsidR="00C42C51" w:rsidRPr="00C42C51">
        <w:t xml:space="preserve">Ziextenzo </w:t>
      </w:r>
      <w:r w:rsidR="00D42968" w:rsidRPr="00C42C51">
        <w:t xml:space="preserve">compared with </w:t>
      </w:r>
      <w:r w:rsidR="00C42C51" w:rsidRPr="00C42C51">
        <w:t>Neulasta</w:t>
      </w:r>
      <w:r>
        <w:t xml:space="preserve"> EU</w:t>
      </w:r>
      <w:r w:rsidR="00D42968" w:rsidRPr="00C42C51">
        <w:rPr>
          <w:i/>
        </w:rPr>
        <w:t xml:space="preserve">. </w:t>
      </w:r>
    </w:p>
    <w:p w:rsidR="001738FB" w:rsidRDefault="001738FB" w:rsidP="00605BD5">
      <w:pPr>
        <w:pStyle w:val="3Bodytext"/>
      </w:pPr>
      <w:r>
        <w:t xml:space="preserve">The TGA </w:t>
      </w:r>
      <w:r w:rsidR="00C328CA">
        <w:t>Delegate concluded that biosimilarity between</w:t>
      </w:r>
      <w:r>
        <w:t xml:space="preserve"> </w:t>
      </w:r>
      <w:r w:rsidR="00C328CA">
        <w:t>Ziextenzo and Neulasta was well supported by the chemistry, pre-clinical and clinical data evaluated which supported registration of Ziextenzo as a biosimilar product to Neulasta</w:t>
      </w:r>
      <w:r>
        <w:t xml:space="preserve">. </w:t>
      </w:r>
    </w:p>
    <w:p w:rsidR="006234D9" w:rsidRPr="00A5639D" w:rsidRDefault="006234D9" w:rsidP="00551FD4">
      <w:pPr>
        <w:pStyle w:val="3Bodytext"/>
        <w:rPr>
          <w:lang w:eastAsia="en-US"/>
        </w:rPr>
      </w:pPr>
      <w:r w:rsidRPr="00A5639D">
        <w:rPr>
          <w:lang w:eastAsia="en-US"/>
        </w:rPr>
        <w:t>The PBAC considered that the claim</w:t>
      </w:r>
      <w:r w:rsidR="00551FD4" w:rsidRPr="00A5639D">
        <w:rPr>
          <w:lang w:eastAsia="en-US"/>
        </w:rPr>
        <w:t>s</w:t>
      </w:r>
      <w:r w:rsidRPr="00A5639D">
        <w:rPr>
          <w:lang w:eastAsia="en-US"/>
        </w:rPr>
        <w:t xml:space="preserve"> of non-inferior comparative effectiveness </w:t>
      </w:r>
      <w:r w:rsidR="00551FD4" w:rsidRPr="00A5639D">
        <w:rPr>
          <w:lang w:eastAsia="en-US"/>
        </w:rPr>
        <w:t>and non-inferior comparative safety were</w:t>
      </w:r>
      <w:r w:rsidRPr="00A5639D">
        <w:rPr>
          <w:lang w:eastAsia="en-US"/>
        </w:rPr>
        <w:t xml:space="preserve"> reasonable.</w:t>
      </w:r>
    </w:p>
    <w:p w:rsidR="00FC3647" w:rsidRPr="008306F3" w:rsidRDefault="00C04484" w:rsidP="00605BD5">
      <w:pPr>
        <w:pStyle w:val="Heading2"/>
      </w:pPr>
      <w:r>
        <w:t>F</w:t>
      </w:r>
      <w:r w:rsidR="00FC3647" w:rsidRPr="003C2FB5">
        <w:t>inancial implications</w:t>
      </w:r>
    </w:p>
    <w:p w:rsidR="00BD4273" w:rsidRDefault="00C42C51" w:rsidP="00605BD5">
      <w:pPr>
        <w:pStyle w:val="3Bodytext"/>
      </w:pPr>
      <w:r w:rsidRPr="00C04484">
        <w:t xml:space="preserve">The submission </w:t>
      </w:r>
      <w:r w:rsidR="007836F4" w:rsidRPr="00C04484">
        <w:t>requested listing Ziextenzo on</w:t>
      </w:r>
      <w:r w:rsidRPr="00C04484">
        <w:t xml:space="preserve"> a cost-minimisation </w:t>
      </w:r>
      <w:r w:rsidR="007836F4" w:rsidRPr="00C04484">
        <w:t>basis</w:t>
      </w:r>
      <w:r w:rsidRPr="00C04484">
        <w:t xml:space="preserve"> to the Neulasta brand of pegfilgrastim</w:t>
      </w:r>
      <w:r w:rsidR="007836F4" w:rsidRPr="00C04484">
        <w:t>.</w:t>
      </w:r>
      <w:r w:rsidRPr="00C04484">
        <w:t xml:space="preserve"> </w:t>
      </w:r>
      <w:r w:rsidR="00BD4273">
        <w:t xml:space="preserve">The submission </w:t>
      </w:r>
      <w:r w:rsidR="00BD4273" w:rsidRPr="00C04484">
        <w:t>expected that Ziextenzo would meet the new lower price of pegfilgrastim at time of listing, which would result in no net cost to the Government.</w:t>
      </w:r>
      <w:r w:rsidR="00BD4273">
        <w:t xml:space="preserve"> </w:t>
      </w:r>
    </w:p>
    <w:p w:rsidR="00605BD5" w:rsidRDefault="00C42C51" w:rsidP="00605BD5">
      <w:pPr>
        <w:pStyle w:val="3Bodytext"/>
      </w:pPr>
      <w:r w:rsidRPr="00C04484">
        <w:t xml:space="preserve">The </w:t>
      </w:r>
      <w:r w:rsidR="00C04484" w:rsidRPr="00C04484">
        <w:t>submission claimed that the listing of Ziextenzo is not expected to cause market growth of pegfilgrastim</w:t>
      </w:r>
      <w:r w:rsidR="00622611">
        <w:t xml:space="preserve"> because </w:t>
      </w:r>
      <w:r w:rsidR="00C04484" w:rsidRPr="00C04484">
        <w:t>no increase in</w:t>
      </w:r>
      <w:r w:rsidR="00622611">
        <w:t xml:space="preserve"> the</w:t>
      </w:r>
      <w:r w:rsidR="00C04484" w:rsidRPr="00C04484">
        <w:t xml:space="preserve"> market </w:t>
      </w:r>
      <w:r w:rsidR="00622611">
        <w:t>occurred</w:t>
      </w:r>
      <w:r w:rsidR="00C04484" w:rsidRPr="00C04484">
        <w:t xml:space="preserve"> when </w:t>
      </w:r>
      <w:r w:rsidR="00622611">
        <w:t xml:space="preserve">other </w:t>
      </w:r>
      <w:r w:rsidR="00C04484" w:rsidRPr="00C04484">
        <w:t>new brands of pegfilgrastim were listed. The</w:t>
      </w:r>
      <w:r w:rsidR="00622611">
        <w:t xml:space="preserve"> submission </w:t>
      </w:r>
      <w:r w:rsidR="00C61A80">
        <w:t xml:space="preserve">stated </w:t>
      </w:r>
      <w:r w:rsidR="00622611">
        <w:t>that the</w:t>
      </w:r>
      <w:r w:rsidR="00C04484" w:rsidRPr="00C04484">
        <w:t xml:space="preserve">re was predictable </w:t>
      </w:r>
      <w:r w:rsidR="00C04484" w:rsidRPr="00C04484">
        <w:lastRenderedPageBreak/>
        <w:t xml:space="preserve">growth in </w:t>
      </w:r>
      <w:r w:rsidR="00622611">
        <w:t xml:space="preserve">the </w:t>
      </w:r>
      <w:r w:rsidR="00C04484" w:rsidRPr="00C04484">
        <w:t xml:space="preserve">pegfilgrastim </w:t>
      </w:r>
      <w:r w:rsidR="00622611">
        <w:t xml:space="preserve">market </w:t>
      </w:r>
      <w:r w:rsidR="00C04484" w:rsidRPr="00C04484">
        <w:t>in August 2018</w:t>
      </w:r>
      <w:r w:rsidR="00622611">
        <w:t xml:space="preserve"> </w:t>
      </w:r>
      <w:r w:rsidR="00C04484" w:rsidRPr="00C04484">
        <w:t xml:space="preserve">related to the broadening of the </w:t>
      </w:r>
      <w:r w:rsidR="00B33903">
        <w:t>restriction</w:t>
      </w:r>
      <w:r w:rsidR="00C04484" w:rsidRPr="00C04484">
        <w:t xml:space="preserve"> for pegfilgrastim recommended </w:t>
      </w:r>
      <w:r w:rsidR="00622611">
        <w:t>at the</w:t>
      </w:r>
      <w:r w:rsidR="00C04484" w:rsidRPr="00C04484">
        <w:t xml:space="preserve"> March 2018</w:t>
      </w:r>
      <w:r w:rsidR="00622611">
        <w:t xml:space="preserve"> PBAC meeting</w:t>
      </w:r>
      <w:r w:rsidR="00C04484" w:rsidRPr="00C04484">
        <w:t xml:space="preserve">. </w:t>
      </w:r>
    </w:p>
    <w:p w:rsidR="00FC3647" w:rsidRDefault="00605BD5" w:rsidP="00605BD5">
      <w:pPr>
        <w:pStyle w:val="3Bodytext"/>
        <w:numPr>
          <w:ilvl w:val="0"/>
          <w:numId w:val="0"/>
        </w:numPr>
        <w:ind w:left="720"/>
      </w:pPr>
      <w:r w:rsidRPr="00525B39">
        <w:rPr>
          <w:i/>
        </w:rPr>
        <w:t xml:space="preserve">For more detail on PBAC’s view, see </w:t>
      </w:r>
      <w:r w:rsidRPr="00551FD4">
        <w:rPr>
          <w:i/>
        </w:rPr>
        <w:t xml:space="preserve">section </w:t>
      </w:r>
      <w:r w:rsidR="00551FD4" w:rsidRPr="00551FD4">
        <w:rPr>
          <w:i/>
        </w:rPr>
        <w:t>6</w:t>
      </w:r>
      <w:r w:rsidRPr="00525B39">
        <w:rPr>
          <w:i/>
        </w:rPr>
        <w:t xml:space="preserve"> PBAC outcome.</w:t>
      </w:r>
      <w:r w:rsidR="00C04484" w:rsidRPr="00C04484">
        <w:t xml:space="preserve">  </w:t>
      </w:r>
    </w:p>
    <w:p w:rsidR="006234D9" w:rsidRPr="00D52702" w:rsidRDefault="006234D9" w:rsidP="006234D9">
      <w:pPr>
        <w:pStyle w:val="2Sections"/>
      </w:pPr>
      <w:r w:rsidRPr="00D52702">
        <w:t>PBAC Outcome</w:t>
      </w:r>
    </w:p>
    <w:p w:rsidR="00C74759" w:rsidRPr="008978A7" w:rsidRDefault="006234D9" w:rsidP="006234D9">
      <w:pPr>
        <w:pStyle w:val="3Bodytext"/>
        <w:rPr>
          <w:lang w:val="en-GB"/>
        </w:rPr>
      </w:pPr>
      <w:r w:rsidRPr="00525B39">
        <w:rPr>
          <w:lang w:val="en-GB"/>
        </w:rPr>
        <w:t xml:space="preserve">The PBAC recommended the listing of </w:t>
      </w:r>
      <w:r w:rsidR="00C74759">
        <w:rPr>
          <w:lang w:val="en-GB"/>
        </w:rPr>
        <w:t xml:space="preserve">the </w:t>
      </w:r>
      <w:r w:rsidR="00C74759" w:rsidRPr="00423492">
        <w:rPr>
          <w:rFonts w:cs="Arial"/>
          <w:bCs/>
          <w:lang w:val="en-GB"/>
        </w:rPr>
        <w:t xml:space="preserve">biosimilar brand </w:t>
      </w:r>
      <w:r w:rsidR="00C74759">
        <w:rPr>
          <w:rFonts w:cs="Arial"/>
          <w:bCs/>
          <w:lang w:val="en-GB"/>
        </w:rPr>
        <w:t xml:space="preserve">of </w:t>
      </w:r>
      <w:r w:rsidR="008978A7">
        <w:rPr>
          <w:snapToGrid/>
        </w:rPr>
        <w:t>pegfilgrastim, Ziextenzo</w:t>
      </w:r>
      <w:r w:rsidR="00C74759">
        <w:rPr>
          <w:snapToGrid/>
        </w:rPr>
        <w:t>,</w:t>
      </w:r>
      <w:r w:rsidR="00F4218E">
        <w:rPr>
          <w:snapToGrid/>
        </w:rPr>
        <w:t xml:space="preserve"> </w:t>
      </w:r>
      <w:r w:rsidRPr="00525B39">
        <w:rPr>
          <w:lang w:val="en-GB"/>
        </w:rPr>
        <w:t xml:space="preserve">on the </w:t>
      </w:r>
      <w:r w:rsidR="00591DDF">
        <w:rPr>
          <w:lang w:val="en-GB"/>
        </w:rPr>
        <w:t xml:space="preserve">basis that it should only be available under special arrangements under </w:t>
      </w:r>
      <w:r w:rsidRPr="00525B39">
        <w:rPr>
          <w:lang w:val="en-GB"/>
        </w:rPr>
        <w:t xml:space="preserve">Section 100 </w:t>
      </w:r>
      <w:r w:rsidR="00591DDF">
        <w:rPr>
          <w:lang w:val="en-GB"/>
        </w:rPr>
        <w:t>(</w:t>
      </w:r>
      <w:r w:rsidR="00F4218E">
        <w:rPr>
          <w:snapToGrid/>
        </w:rPr>
        <w:t>Highly Specialised Drugs program</w:t>
      </w:r>
      <w:r w:rsidR="00591DDF">
        <w:rPr>
          <w:snapToGrid/>
        </w:rPr>
        <w:t>)</w:t>
      </w:r>
      <w:r w:rsidR="00C74759">
        <w:rPr>
          <w:snapToGrid/>
        </w:rPr>
        <w:t xml:space="preserve"> </w:t>
      </w:r>
      <w:r w:rsidR="00C74759" w:rsidRPr="00423492">
        <w:rPr>
          <w:rFonts w:cs="Arial"/>
          <w:bCs/>
          <w:lang w:val="en-GB"/>
        </w:rPr>
        <w:t>for all indications for which the reference bra</w:t>
      </w:r>
      <w:r w:rsidR="00C74759">
        <w:rPr>
          <w:rFonts w:cs="Arial"/>
          <w:bCs/>
          <w:lang w:val="en-GB"/>
        </w:rPr>
        <w:t>nd (Neul</w:t>
      </w:r>
      <w:r w:rsidR="008978A7">
        <w:rPr>
          <w:rFonts w:cs="Arial"/>
          <w:bCs/>
          <w:lang w:val="en-GB"/>
        </w:rPr>
        <w:t>asta</w:t>
      </w:r>
      <w:r w:rsidR="00C74759">
        <w:rPr>
          <w:rFonts w:cs="Arial"/>
          <w:bCs/>
          <w:lang w:val="en-GB"/>
        </w:rPr>
        <w:t>) is currently PBS-</w:t>
      </w:r>
      <w:r w:rsidR="00C74759" w:rsidRPr="00423492">
        <w:rPr>
          <w:rFonts w:cs="Arial"/>
          <w:bCs/>
          <w:lang w:val="en-GB"/>
        </w:rPr>
        <w:t>listed</w:t>
      </w:r>
      <w:r w:rsidR="00F4218E">
        <w:rPr>
          <w:snapToGrid/>
        </w:rPr>
        <w:t xml:space="preserve">. </w:t>
      </w:r>
    </w:p>
    <w:p w:rsidR="00916267" w:rsidRDefault="00916267" w:rsidP="00916267">
      <w:pPr>
        <w:pStyle w:val="3Bodytext"/>
        <w:rPr>
          <w:lang w:val="en-GB"/>
        </w:rPr>
      </w:pPr>
      <w:r>
        <w:rPr>
          <w:lang w:val="en-GB"/>
        </w:rPr>
        <w:t xml:space="preserve">The PBAC recommended </w:t>
      </w:r>
      <w:r w:rsidRPr="00C04484">
        <w:t>listing Ziextenzo on a cost-minimisation basis to the Neulasta brand of pegfilgrastim</w:t>
      </w:r>
      <w:r>
        <w:t>, and noted that this would</w:t>
      </w:r>
      <w:r w:rsidRPr="00C04484">
        <w:t xml:space="preserve"> result in no net cost to the Government</w:t>
      </w:r>
      <w:r>
        <w:t xml:space="preserve"> because</w:t>
      </w:r>
      <w:r w:rsidRPr="00C04484">
        <w:t xml:space="preserve"> the listing of Ziextenzo is not ex</w:t>
      </w:r>
      <w:r>
        <w:t xml:space="preserve">pected to grow the market. </w:t>
      </w:r>
    </w:p>
    <w:p w:rsidR="00641A82" w:rsidRDefault="00641A82" w:rsidP="009F04C4">
      <w:pPr>
        <w:pStyle w:val="3Bodytext"/>
        <w:rPr>
          <w:lang w:val="en-GB"/>
        </w:rPr>
      </w:pPr>
      <w:r>
        <w:rPr>
          <w:lang w:val="en-GB"/>
        </w:rPr>
        <w:t xml:space="preserve">The PBAC noted the TGA </w:t>
      </w:r>
      <w:r>
        <w:t xml:space="preserve">Delegate conclusion that </w:t>
      </w:r>
      <w:r w:rsidR="008978A7">
        <w:t xml:space="preserve">the </w:t>
      </w:r>
      <w:r>
        <w:t>biosimilarity between Ziexten</w:t>
      </w:r>
      <w:r w:rsidR="008978A7">
        <w:t>zo and Neulasta</w:t>
      </w:r>
      <w:r>
        <w:t xml:space="preserve"> was well supported by the chemistry, pre-clinical and clinical data evaluated, which supp</w:t>
      </w:r>
      <w:r w:rsidR="008978A7">
        <w:t>orted registration of Ziextenzo</w:t>
      </w:r>
      <w:r>
        <w:t xml:space="preserve"> as a</w:t>
      </w:r>
      <w:r w:rsidR="008978A7">
        <w:t xml:space="preserve"> biosimilar product to Neulasta</w:t>
      </w:r>
      <w:r>
        <w:t>.</w:t>
      </w:r>
    </w:p>
    <w:p w:rsidR="00CC4AD8" w:rsidRDefault="00CC4AD8" w:rsidP="009F04C4">
      <w:pPr>
        <w:pStyle w:val="3Bodytext"/>
        <w:rPr>
          <w:lang w:val="en-GB"/>
        </w:rPr>
      </w:pPr>
      <w:r w:rsidRPr="00525B39">
        <w:rPr>
          <w:lang w:val="en-GB"/>
        </w:rPr>
        <w:t xml:space="preserve">The PBAC advised, under </w:t>
      </w:r>
      <w:r w:rsidR="006D6E5F">
        <w:rPr>
          <w:lang w:val="en-GB"/>
        </w:rPr>
        <w:t xml:space="preserve">Section 101 (4AACD) of </w:t>
      </w:r>
      <w:r w:rsidR="00EB56F3">
        <w:rPr>
          <w:rFonts w:ascii="Calibri" w:hAnsi="Calibri" w:cs="Calibri"/>
        </w:rPr>
        <w:t xml:space="preserve">the </w:t>
      </w:r>
      <w:r w:rsidR="00510A6E" w:rsidRPr="00CC4AD8">
        <w:rPr>
          <w:i/>
          <w:lang w:val="en-GB"/>
        </w:rPr>
        <w:t>National Health Act</w:t>
      </w:r>
      <w:r w:rsidR="00510A6E">
        <w:rPr>
          <w:i/>
          <w:lang w:val="en-GB"/>
        </w:rPr>
        <w:t xml:space="preserve"> 1953</w:t>
      </w:r>
      <w:r w:rsidR="00EB56F3">
        <w:rPr>
          <w:rFonts w:ascii="Calibri" w:hAnsi="Calibri" w:cs="Calibri"/>
        </w:rPr>
        <w:t xml:space="preserve">, </w:t>
      </w:r>
      <w:r w:rsidRPr="00525B39">
        <w:rPr>
          <w:lang w:val="en-GB"/>
        </w:rPr>
        <w:t>that</w:t>
      </w:r>
      <w:r>
        <w:rPr>
          <w:lang w:val="en-GB"/>
        </w:rPr>
        <w:t xml:space="preserve"> </w:t>
      </w:r>
      <w:r w:rsidR="00A5639D">
        <w:rPr>
          <w:lang w:val="en-GB"/>
        </w:rPr>
        <w:t xml:space="preserve">the </w:t>
      </w:r>
      <w:r>
        <w:rPr>
          <w:lang w:val="en-GB"/>
        </w:rPr>
        <w:t>Ziextenzo</w:t>
      </w:r>
      <w:r w:rsidR="00C74759" w:rsidRPr="00423492">
        <w:rPr>
          <w:rFonts w:cs="Arial"/>
          <w:bCs/>
          <w:lang w:val="en-GB"/>
        </w:rPr>
        <w:t>, Neulasta</w:t>
      </w:r>
      <w:r w:rsidR="00C74759">
        <w:rPr>
          <w:rFonts w:cs="Arial"/>
          <w:bCs/>
          <w:lang w:val="en-GB"/>
        </w:rPr>
        <w:t>,</w:t>
      </w:r>
      <w:r w:rsidR="00C74759" w:rsidRPr="00C74759">
        <w:rPr>
          <w:rFonts w:cs="Arial"/>
          <w:bCs/>
          <w:lang w:val="en-GB"/>
        </w:rPr>
        <w:t xml:space="preserve"> </w:t>
      </w:r>
      <w:r w:rsidR="00C74759">
        <w:rPr>
          <w:rFonts w:cs="Arial"/>
          <w:bCs/>
          <w:lang w:val="en-GB"/>
        </w:rPr>
        <w:t>Ristempa,</w:t>
      </w:r>
      <w:r w:rsidR="00C74759" w:rsidRPr="00423492">
        <w:rPr>
          <w:rFonts w:cs="Arial"/>
          <w:bCs/>
          <w:lang w:val="en-GB"/>
        </w:rPr>
        <w:t xml:space="preserve"> </w:t>
      </w:r>
      <w:r w:rsidR="00C74759">
        <w:t>Tezmota</w:t>
      </w:r>
      <w:r w:rsidR="00C74759">
        <w:rPr>
          <w:rFonts w:cs="Arial"/>
          <w:bCs/>
          <w:lang w:val="en-GB"/>
        </w:rPr>
        <w:t xml:space="preserve"> and</w:t>
      </w:r>
      <w:r w:rsidR="00C74759" w:rsidRPr="00423492">
        <w:rPr>
          <w:rFonts w:cs="Arial"/>
          <w:bCs/>
          <w:lang w:val="en-GB"/>
        </w:rPr>
        <w:t xml:space="preserve"> Fulphila</w:t>
      </w:r>
      <w:r w:rsidR="00C74759">
        <w:rPr>
          <w:rFonts w:cs="Arial"/>
          <w:bCs/>
          <w:lang w:val="en-GB"/>
        </w:rPr>
        <w:t xml:space="preserve"> </w:t>
      </w:r>
      <w:r w:rsidR="00C74759" w:rsidRPr="00423492">
        <w:rPr>
          <w:rFonts w:cs="Arial"/>
          <w:bCs/>
          <w:lang w:val="en-GB"/>
        </w:rPr>
        <w:t xml:space="preserve">brands of pegfilgrastim </w:t>
      </w:r>
      <w:r>
        <w:rPr>
          <w:lang w:val="en-GB"/>
        </w:rPr>
        <w:t xml:space="preserve">should be </w:t>
      </w:r>
      <w:r w:rsidRPr="00525B39">
        <w:rPr>
          <w:lang w:val="en-GB"/>
        </w:rPr>
        <w:t xml:space="preserve">considered equivalent </w:t>
      </w:r>
      <w:r w:rsidR="009F04C4" w:rsidRPr="00525B39">
        <w:rPr>
          <w:lang w:val="en-GB"/>
        </w:rPr>
        <w:t>for the purposes of substitution</w:t>
      </w:r>
      <w:r w:rsidR="00E84F55">
        <w:rPr>
          <w:lang w:val="en-GB"/>
        </w:rPr>
        <w:t xml:space="preserve"> (i.e. </w:t>
      </w:r>
      <w:r w:rsidR="009F04C4">
        <w:t>‘a’ flagged</w:t>
      </w:r>
      <w:r w:rsidR="00E84F55">
        <w:t>)</w:t>
      </w:r>
      <w:r w:rsidR="009F04C4">
        <w:rPr>
          <w:lang w:val="en-GB"/>
        </w:rPr>
        <w:t>.</w:t>
      </w:r>
      <w:r w:rsidRPr="00525B39">
        <w:rPr>
          <w:lang w:val="en-GB"/>
        </w:rPr>
        <w:t xml:space="preserve"> </w:t>
      </w:r>
    </w:p>
    <w:p w:rsidR="00510A6E" w:rsidRPr="00605BD5" w:rsidRDefault="00510A6E" w:rsidP="00510A6E">
      <w:pPr>
        <w:pStyle w:val="3Bodytext"/>
        <w:rPr>
          <w:rFonts w:cs="Arial"/>
        </w:rPr>
      </w:pPr>
      <w:r w:rsidRPr="00605BD5">
        <w:t xml:space="preserve">The PBAC </w:t>
      </w:r>
      <w:r w:rsidR="00A5639D">
        <w:t xml:space="preserve">recalled that, at its March 2018 meeting, it had </w:t>
      </w:r>
      <w:r w:rsidRPr="00605BD5">
        <w:t>advised</w:t>
      </w:r>
      <w:r w:rsidR="00A5639D">
        <w:t xml:space="preserve"> </w:t>
      </w:r>
      <w:r>
        <w:t xml:space="preserve">under Section 101(3BA) </w:t>
      </w:r>
      <w:r w:rsidRPr="009F04C4">
        <w:rPr>
          <w:lang w:val="en-GB"/>
        </w:rPr>
        <w:t>of the</w:t>
      </w:r>
      <w:r w:rsidRPr="00CC4AD8">
        <w:rPr>
          <w:i/>
          <w:lang w:val="en-GB"/>
        </w:rPr>
        <w:t xml:space="preserve"> National Health Act</w:t>
      </w:r>
      <w:r>
        <w:rPr>
          <w:i/>
          <w:lang w:val="en-GB"/>
        </w:rPr>
        <w:t xml:space="preserve"> 1953</w:t>
      </w:r>
      <w:r>
        <w:rPr>
          <w:rFonts w:ascii="Calibri" w:hAnsi="Calibri" w:cs="Calibri"/>
        </w:rPr>
        <w:t xml:space="preserve">, </w:t>
      </w:r>
      <w:r w:rsidRPr="00605BD5">
        <w:t>that pegfilgrastim, lipegfilgrastim and filgrastim should be treated as interchangeable on an individual patient basis</w:t>
      </w:r>
      <w:r>
        <w:t xml:space="preserve"> (paragraph 7.5, pegfilgrastim</w:t>
      </w:r>
      <w:r w:rsidR="00EC4BBA">
        <w:t xml:space="preserve"> Public Summary Document</w:t>
      </w:r>
      <w:r>
        <w:t xml:space="preserve"> </w:t>
      </w:r>
      <w:r w:rsidR="00EC4BBA">
        <w:t>(</w:t>
      </w:r>
      <w:r w:rsidR="004B6354">
        <w:t>PSD</w:t>
      </w:r>
      <w:r w:rsidR="00EC4BBA">
        <w:t>)</w:t>
      </w:r>
      <w:r>
        <w:t>, March 2018 PBAC meeting)</w:t>
      </w:r>
      <w:r w:rsidRPr="00605BD5">
        <w:t>.</w:t>
      </w:r>
      <w:r w:rsidRPr="00605BD5">
        <w:rPr>
          <w:rFonts w:cs="Arial"/>
        </w:rPr>
        <w:t xml:space="preserve"> </w:t>
      </w:r>
    </w:p>
    <w:p w:rsidR="00BD4273" w:rsidRDefault="00BD4273" w:rsidP="00510A6E">
      <w:pPr>
        <w:pStyle w:val="3Bodytext"/>
        <w:rPr>
          <w:lang w:val="en-GB"/>
        </w:rPr>
      </w:pPr>
      <w:r>
        <w:rPr>
          <w:lang w:val="en-GB"/>
        </w:rPr>
        <w:t xml:space="preserve">The PBAC </w:t>
      </w:r>
      <w:r w:rsidR="00E84F55">
        <w:rPr>
          <w:lang w:val="en-GB"/>
        </w:rPr>
        <w:t xml:space="preserve">recommended </w:t>
      </w:r>
      <w:r w:rsidR="00A25B32">
        <w:rPr>
          <w:lang w:val="en-GB"/>
        </w:rPr>
        <w:t>the addition of an</w:t>
      </w:r>
      <w:r>
        <w:rPr>
          <w:lang w:val="en-GB"/>
        </w:rPr>
        <w:t xml:space="preserve"> administrative note </w:t>
      </w:r>
      <w:r>
        <w:t xml:space="preserve">to encourage the uptake of biosimilar prescribing for treatment-naïve patients, in accordance with the </w:t>
      </w:r>
      <w:r w:rsidR="003D367C">
        <w:t>Australian Government’s Biosimilar Uptake Driver policy</w:t>
      </w:r>
      <w:r>
        <w:t>.</w:t>
      </w:r>
      <w:r w:rsidR="009752BE">
        <w:t xml:space="preserve"> The PBAC recalled it recommended the </w:t>
      </w:r>
      <w:r w:rsidR="009752BE" w:rsidRPr="00423492">
        <w:rPr>
          <w:rFonts w:cs="Arial"/>
          <w:bCs/>
          <w:lang w:val="en-GB"/>
        </w:rPr>
        <w:t>Fulphila</w:t>
      </w:r>
      <w:r w:rsidR="009752BE">
        <w:rPr>
          <w:rFonts w:cs="Arial"/>
          <w:bCs/>
          <w:lang w:val="en-GB"/>
        </w:rPr>
        <w:t xml:space="preserve"> biosimilar brand with a similar note (Recommended lsiting, pegfilgrastim PSD, July 2018). Once a second biosimilar brand is listed on the PBS (whether that is Ziextenzo or Fulphila) the note should refer to both biosimilar brands. </w:t>
      </w:r>
    </w:p>
    <w:p w:rsidR="006234D9" w:rsidRPr="00525B39" w:rsidRDefault="006234D9" w:rsidP="00CC4AD8">
      <w:pPr>
        <w:pStyle w:val="3Bodytext"/>
        <w:rPr>
          <w:rFonts w:cs="Arial"/>
          <w:bCs/>
          <w:lang w:val="en-GB"/>
        </w:rPr>
      </w:pPr>
      <w:r w:rsidRPr="00525B39">
        <w:rPr>
          <w:rFonts w:cs="Arial"/>
          <w:bCs/>
          <w:lang w:val="en-GB"/>
        </w:rPr>
        <w:t xml:space="preserve">The PBAC </w:t>
      </w:r>
      <w:r w:rsidR="009168ED">
        <w:rPr>
          <w:rFonts w:cs="Arial"/>
          <w:bCs/>
          <w:lang w:val="en-GB"/>
        </w:rPr>
        <w:t>noted</w:t>
      </w:r>
      <w:r w:rsidR="003077EE">
        <w:rPr>
          <w:rFonts w:cs="Arial"/>
          <w:bCs/>
          <w:lang w:val="en-GB"/>
        </w:rPr>
        <w:t xml:space="preserve"> </w:t>
      </w:r>
      <w:r w:rsidRPr="00525B39">
        <w:rPr>
          <w:rFonts w:cs="Arial"/>
          <w:bCs/>
          <w:lang w:val="en-GB"/>
        </w:rPr>
        <w:t xml:space="preserve">that </w:t>
      </w:r>
      <w:r w:rsidR="003077EE" w:rsidRPr="00605BD5">
        <w:t xml:space="preserve">pegfilgrastim </w:t>
      </w:r>
      <w:r w:rsidR="00CC4AD8" w:rsidRPr="00605BD5">
        <w:t xml:space="preserve">is not </w:t>
      </w:r>
      <w:r w:rsidR="009168ED">
        <w:t xml:space="preserve">included on the list of PBS medicines </w:t>
      </w:r>
      <w:r w:rsidR="00CC4AD8" w:rsidRPr="00605BD5">
        <w:t>suitable for nurse practitioner prescribing.</w:t>
      </w:r>
      <w:r w:rsidRPr="00525B39">
        <w:rPr>
          <w:rFonts w:cs="Arial"/>
          <w:bCs/>
          <w:lang w:val="en-GB"/>
        </w:rPr>
        <w:t xml:space="preserve"> </w:t>
      </w:r>
    </w:p>
    <w:p w:rsidR="006234D9" w:rsidRPr="00EB56F3" w:rsidRDefault="006234D9" w:rsidP="00CC4AD8">
      <w:pPr>
        <w:pStyle w:val="3Bodytext"/>
        <w:rPr>
          <w:rFonts w:cs="Arial"/>
        </w:rPr>
      </w:pPr>
      <w:r w:rsidRPr="00525B39">
        <w:rPr>
          <w:rFonts w:cs="Arial"/>
          <w:bCs/>
          <w:lang w:val="en-GB"/>
        </w:rPr>
        <w:t xml:space="preserve">The PBAC </w:t>
      </w:r>
      <w:r w:rsidR="009168ED">
        <w:rPr>
          <w:rFonts w:cs="Arial"/>
          <w:bCs/>
          <w:lang w:val="en-GB"/>
        </w:rPr>
        <w:t>noted that</w:t>
      </w:r>
      <w:r w:rsidRPr="00525B39">
        <w:rPr>
          <w:rFonts w:cs="Arial"/>
          <w:bCs/>
          <w:lang w:val="en-GB"/>
        </w:rPr>
        <w:t xml:space="preserve"> the Early Supply Rule </w:t>
      </w:r>
      <w:r w:rsidR="009168ED">
        <w:rPr>
          <w:rFonts w:cs="Arial"/>
          <w:bCs/>
          <w:lang w:val="en-GB"/>
        </w:rPr>
        <w:t xml:space="preserve">does </w:t>
      </w:r>
      <w:r w:rsidRPr="00525B39">
        <w:rPr>
          <w:rFonts w:cs="Arial"/>
          <w:bCs/>
          <w:lang w:val="en-GB"/>
        </w:rPr>
        <w:t>not apply</w:t>
      </w:r>
      <w:r w:rsidR="00DE2E72">
        <w:rPr>
          <w:rFonts w:cs="Arial"/>
          <w:bCs/>
          <w:lang w:val="en-GB"/>
        </w:rPr>
        <w:t xml:space="preserve"> </w:t>
      </w:r>
      <w:r w:rsidR="009168ED">
        <w:rPr>
          <w:rFonts w:cs="Arial"/>
          <w:bCs/>
          <w:lang w:val="en-GB"/>
        </w:rPr>
        <w:t>to</w:t>
      </w:r>
      <w:r w:rsidR="00DE2E72">
        <w:rPr>
          <w:rFonts w:cs="Arial"/>
          <w:bCs/>
          <w:lang w:val="en-GB"/>
        </w:rPr>
        <w:t xml:space="preserve"> pegfilgrastim</w:t>
      </w:r>
      <w:r w:rsidR="003077EE">
        <w:rPr>
          <w:rFonts w:cs="Arial"/>
          <w:bCs/>
          <w:lang w:val="en-GB"/>
        </w:rPr>
        <w:t>.</w:t>
      </w:r>
      <w:r w:rsidR="00CC4AD8" w:rsidRPr="00605BD5">
        <w:t xml:space="preserve"> </w:t>
      </w:r>
    </w:p>
    <w:p w:rsidR="00DE6E59" w:rsidRDefault="00DE6E59" w:rsidP="00DE6E59">
      <w:pPr>
        <w:pStyle w:val="3Bodytext"/>
        <w:rPr>
          <w:rFonts w:cs="Arial"/>
          <w:bCs/>
          <w:lang w:val="en-GB"/>
        </w:rPr>
      </w:pPr>
      <w:r w:rsidRPr="00DE6E59">
        <w:t>The PBAC noted that its recommendation was on a cost-minimisation basis and advised</w:t>
      </w:r>
      <w:r w:rsidR="00CC4AD8">
        <w:t xml:space="preserve"> that, because</w:t>
      </w:r>
      <w:r>
        <w:t xml:space="preserve"> </w:t>
      </w:r>
      <w:r w:rsidR="00510A6E">
        <w:rPr>
          <w:lang w:val="en-GB"/>
        </w:rPr>
        <w:t>Ziextenzo</w:t>
      </w:r>
      <w:r w:rsidR="00510A6E" w:rsidRPr="00423492">
        <w:rPr>
          <w:rFonts w:cs="Arial"/>
          <w:bCs/>
          <w:lang w:val="en-GB"/>
        </w:rPr>
        <w:t>®</w:t>
      </w:r>
      <w:r w:rsidR="00510A6E">
        <w:rPr>
          <w:rFonts w:cs="Arial"/>
          <w:bCs/>
          <w:lang w:val="en-GB"/>
        </w:rPr>
        <w:t xml:space="preserve"> </w:t>
      </w:r>
      <w:r w:rsidRPr="00DE6E59">
        <w:t>is not expected to provide a substantial and clinically relevant improvement in eff</w:t>
      </w:r>
      <w:r w:rsidR="006D6E5F">
        <w:t>icacy, or reduction of toxicity</w:t>
      </w:r>
      <w:r w:rsidRPr="00DE6E59">
        <w:t xml:space="preserve"> over </w:t>
      </w:r>
      <w:r>
        <w:t>Neulasta</w:t>
      </w:r>
      <w:r w:rsidR="007A0BC1">
        <w:t>®</w:t>
      </w:r>
      <w:r w:rsidRPr="00DE6E59">
        <w:t xml:space="preserve">, or not expected to address a high and urgent unmet clinical need given the presence of an </w:t>
      </w:r>
      <w:r w:rsidRPr="00DE6E59">
        <w:lastRenderedPageBreak/>
        <w:t xml:space="preserve">alternative therapy, the criteria prescribed by the </w:t>
      </w:r>
      <w:r w:rsidRPr="00DE6E59">
        <w:rPr>
          <w:i/>
        </w:rPr>
        <w:t xml:space="preserve">National Health (Pharmaceuticals and Vaccines – Cost Recovery) Regulations 2009 </w:t>
      </w:r>
      <w:r w:rsidRPr="00DE6E59">
        <w:t>for Pricing Pathway A were not met</w:t>
      </w:r>
      <w:r>
        <w:t>.</w:t>
      </w:r>
    </w:p>
    <w:p w:rsidR="008A453A" w:rsidRPr="00525B39" w:rsidRDefault="006234D9" w:rsidP="008A453A">
      <w:pPr>
        <w:widowControl w:val="0"/>
        <w:numPr>
          <w:ilvl w:val="1"/>
          <w:numId w:val="5"/>
        </w:numPr>
        <w:spacing w:after="120"/>
        <w:jc w:val="both"/>
        <w:rPr>
          <w:rFonts w:asciiTheme="minorHAnsi" w:hAnsiTheme="minorHAnsi" w:cs="Arial"/>
          <w:bCs/>
          <w:i/>
          <w:snapToGrid w:val="0"/>
          <w:lang w:val="en-GB"/>
        </w:rPr>
      </w:pPr>
      <w:r w:rsidRPr="00525B39">
        <w:rPr>
          <w:rFonts w:asciiTheme="minorHAnsi" w:hAnsiTheme="minorHAnsi" w:cs="Arial"/>
          <w:bCs/>
          <w:snapToGrid w:val="0"/>
          <w:lang w:val="en-GB"/>
        </w:rPr>
        <w:t>The PBAC noted that this submission is not eligible for an Independent Review</w:t>
      </w:r>
      <w:r w:rsidR="008A453A">
        <w:rPr>
          <w:rFonts w:asciiTheme="minorHAnsi" w:hAnsiTheme="minorHAnsi" w:cs="Arial"/>
          <w:bCs/>
          <w:snapToGrid w:val="0"/>
          <w:lang w:val="en-GB"/>
        </w:rPr>
        <w:t xml:space="preserve"> </w:t>
      </w:r>
      <w:r w:rsidR="00EB56F3">
        <w:rPr>
          <w:rFonts w:asciiTheme="minorHAnsi" w:hAnsiTheme="minorHAnsi" w:cs="Arial"/>
          <w:bCs/>
          <w:snapToGrid w:val="0"/>
          <w:lang w:val="en-GB"/>
        </w:rPr>
        <w:t>as it</w:t>
      </w:r>
      <w:r w:rsidR="008A453A">
        <w:rPr>
          <w:rFonts w:asciiTheme="minorHAnsi" w:hAnsiTheme="minorHAnsi" w:cs="Arial"/>
          <w:bCs/>
          <w:snapToGrid w:val="0"/>
          <w:lang w:val="en-GB"/>
        </w:rPr>
        <w:t xml:space="preserve"> received a positive recommendation. </w:t>
      </w:r>
    </w:p>
    <w:p w:rsidR="006234D9" w:rsidRPr="00EC4BBA" w:rsidRDefault="006234D9" w:rsidP="00EC4BBA">
      <w:pPr>
        <w:rPr>
          <w:rFonts w:asciiTheme="minorHAnsi" w:hAnsiTheme="minorHAnsi" w:cstheme="minorHAnsi"/>
          <w:b/>
        </w:rPr>
      </w:pPr>
      <w:r w:rsidRPr="00EC4BBA">
        <w:rPr>
          <w:rFonts w:asciiTheme="minorHAnsi" w:hAnsiTheme="minorHAnsi" w:cstheme="minorHAnsi"/>
          <w:b/>
        </w:rPr>
        <w:t>Outcome:</w:t>
      </w:r>
    </w:p>
    <w:p w:rsidR="006234D9" w:rsidRPr="00525B39" w:rsidRDefault="006234D9" w:rsidP="00EC4BBA">
      <w:pPr>
        <w:rPr>
          <w:rFonts w:asciiTheme="minorHAnsi" w:hAnsiTheme="minorHAnsi"/>
          <w:snapToGrid w:val="0"/>
          <w:lang w:val="en-GB"/>
        </w:rPr>
      </w:pPr>
      <w:r w:rsidRPr="00525B39">
        <w:rPr>
          <w:rFonts w:asciiTheme="minorHAnsi" w:hAnsiTheme="minorHAnsi"/>
          <w:snapToGrid w:val="0"/>
          <w:lang w:val="en-GB"/>
        </w:rPr>
        <w:t xml:space="preserve">Recommended </w:t>
      </w:r>
    </w:p>
    <w:p w:rsidR="006234D9" w:rsidRPr="00525B39" w:rsidRDefault="006234D9" w:rsidP="00C74759">
      <w:pPr>
        <w:pStyle w:val="2Sections"/>
        <w:rPr>
          <w:i/>
          <w:lang w:val="en-GB"/>
        </w:rPr>
      </w:pPr>
      <w:r w:rsidRPr="00525B39">
        <w:rPr>
          <w:lang w:val="en-GB"/>
        </w:rPr>
        <w:t>Recommended listing</w:t>
      </w:r>
    </w:p>
    <w:p w:rsidR="006234D9" w:rsidRPr="005F254C" w:rsidRDefault="006234D9" w:rsidP="00C74759">
      <w:pPr>
        <w:pStyle w:val="3Bodytext"/>
        <w:rPr>
          <w:b/>
        </w:rPr>
      </w:pPr>
      <w:r w:rsidRPr="00751E9D">
        <w:t xml:space="preserve">Add new </w:t>
      </w:r>
      <w:r w:rsidR="009752BE">
        <w:t xml:space="preserve">brand and </w:t>
      </w:r>
      <w:r w:rsidR="002B6AC7">
        <w:t xml:space="preserve">add an </w:t>
      </w:r>
      <w:r w:rsidR="009752BE">
        <w:t>administrative note to PBS items 6363X and 9514R</w:t>
      </w:r>
      <w:r w:rsidRPr="00751E9D">
        <w:t>:</w:t>
      </w:r>
    </w:p>
    <w:p w:rsidR="005F254C" w:rsidRPr="00751E9D" w:rsidRDefault="005F254C" w:rsidP="005F254C">
      <w:pPr>
        <w:pStyle w:val="3Bodytext"/>
        <w:numPr>
          <w:ilvl w:val="0"/>
          <w:numId w:val="0"/>
        </w:numPr>
        <w:rPr>
          <w:b/>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310"/>
        <w:gridCol w:w="1525"/>
      </w:tblGrid>
      <w:tr w:rsidR="00751E9D" w:rsidRPr="00C254D9" w:rsidTr="00C74759">
        <w:trPr>
          <w:cantSplit/>
          <w:trHeight w:val="471"/>
        </w:trPr>
        <w:tc>
          <w:tcPr>
            <w:tcW w:w="3261" w:type="dxa"/>
            <w:gridSpan w:val="2"/>
            <w:tcBorders>
              <w:bottom w:val="single" w:sz="4" w:space="0" w:color="auto"/>
            </w:tcBorders>
          </w:tcPr>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Name, Restriction,</w:t>
            </w:r>
          </w:p>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Manner of administration and form</w:t>
            </w:r>
          </w:p>
        </w:tc>
        <w:tc>
          <w:tcPr>
            <w:tcW w:w="567" w:type="dxa"/>
            <w:tcBorders>
              <w:bottom w:val="single" w:sz="4" w:space="0" w:color="auto"/>
            </w:tcBorders>
          </w:tcPr>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Max.</w:t>
            </w:r>
          </w:p>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Qty</w:t>
            </w:r>
          </w:p>
        </w:tc>
        <w:tc>
          <w:tcPr>
            <w:tcW w:w="850" w:type="dxa"/>
            <w:tcBorders>
              <w:bottom w:val="single" w:sz="4" w:space="0" w:color="auto"/>
            </w:tcBorders>
          </w:tcPr>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№.of</w:t>
            </w:r>
          </w:p>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Rpts</w:t>
            </w:r>
          </w:p>
        </w:tc>
        <w:tc>
          <w:tcPr>
            <w:tcW w:w="1701" w:type="dxa"/>
            <w:tcBorders>
              <w:bottom w:val="single" w:sz="4" w:space="0" w:color="auto"/>
            </w:tcBorders>
          </w:tcPr>
          <w:p w:rsidR="00751E9D" w:rsidRPr="00C254D9" w:rsidRDefault="00751E9D" w:rsidP="00C74759">
            <w:pPr>
              <w:keepNext/>
              <w:ind w:left="-108"/>
              <w:jc w:val="both"/>
              <w:rPr>
                <w:rFonts w:ascii="Arial Narrow" w:hAnsi="Arial Narrow" w:cs="Arial"/>
                <w:sz w:val="20"/>
                <w:szCs w:val="20"/>
              </w:rPr>
            </w:pPr>
          </w:p>
        </w:tc>
        <w:tc>
          <w:tcPr>
            <w:tcW w:w="2835" w:type="dxa"/>
            <w:gridSpan w:val="2"/>
            <w:tcBorders>
              <w:bottom w:val="single" w:sz="4" w:space="0" w:color="auto"/>
            </w:tcBorders>
          </w:tcPr>
          <w:p w:rsidR="00751E9D" w:rsidRPr="00C254D9" w:rsidRDefault="00751E9D" w:rsidP="00C74759">
            <w:pPr>
              <w:keepNext/>
              <w:jc w:val="both"/>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751E9D" w:rsidRPr="00C254D9" w:rsidTr="00C74759">
        <w:trPr>
          <w:cantSplit/>
          <w:trHeight w:val="577"/>
        </w:trPr>
        <w:tc>
          <w:tcPr>
            <w:tcW w:w="3261" w:type="dxa"/>
            <w:gridSpan w:val="2"/>
          </w:tcPr>
          <w:p w:rsidR="00751E9D" w:rsidRPr="00BD02C3" w:rsidRDefault="00751E9D" w:rsidP="00C74759">
            <w:pPr>
              <w:keepNext/>
              <w:ind w:left="-108"/>
              <w:jc w:val="both"/>
              <w:rPr>
                <w:rFonts w:ascii="Arial Narrow" w:hAnsi="Arial Narrow" w:cs="Arial"/>
                <w:sz w:val="20"/>
                <w:szCs w:val="20"/>
              </w:rPr>
            </w:pPr>
            <w:r>
              <w:rPr>
                <w:rFonts w:ascii="Arial Narrow" w:hAnsi="Arial Narrow" w:cs="Arial"/>
                <w:smallCaps/>
                <w:sz w:val="20"/>
                <w:szCs w:val="20"/>
              </w:rPr>
              <w:t xml:space="preserve">PEGFILGRASTIM </w:t>
            </w:r>
          </w:p>
          <w:p w:rsidR="00751E9D" w:rsidRDefault="00751E9D" w:rsidP="00C74759">
            <w:pPr>
              <w:keepNext/>
              <w:ind w:left="-108"/>
              <w:jc w:val="both"/>
              <w:rPr>
                <w:rFonts w:ascii="Arial Narrow" w:hAnsi="Arial Narrow" w:cs="Arial"/>
                <w:sz w:val="20"/>
                <w:szCs w:val="20"/>
              </w:rPr>
            </w:pPr>
            <w:r>
              <w:rPr>
                <w:rFonts w:ascii="Arial Narrow" w:hAnsi="Arial Narrow" w:cs="Arial"/>
                <w:sz w:val="20"/>
                <w:szCs w:val="20"/>
              </w:rPr>
              <w:t>6 mg/0.6 mL injection, 0.6 mL syringe</w:t>
            </w:r>
          </w:p>
          <w:p w:rsidR="00751E9D" w:rsidRPr="008B3257" w:rsidRDefault="00751E9D" w:rsidP="00C74759">
            <w:pPr>
              <w:keepNext/>
              <w:ind w:left="-108"/>
              <w:jc w:val="both"/>
              <w:rPr>
                <w:rFonts w:ascii="Arial Narrow" w:hAnsi="Arial Narrow" w:cs="Arial"/>
                <w:color w:val="FF0000"/>
                <w:sz w:val="20"/>
                <w:szCs w:val="20"/>
              </w:rPr>
            </w:pPr>
          </w:p>
        </w:tc>
        <w:tc>
          <w:tcPr>
            <w:tcW w:w="567" w:type="dxa"/>
          </w:tcPr>
          <w:p w:rsidR="00751E9D" w:rsidRPr="00C254D9" w:rsidRDefault="00751E9D" w:rsidP="00C74759">
            <w:pPr>
              <w:keepNext/>
              <w:ind w:left="-108"/>
              <w:jc w:val="both"/>
              <w:rPr>
                <w:rFonts w:ascii="Arial Narrow" w:hAnsi="Arial Narrow" w:cs="Arial"/>
                <w:sz w:val="20"/>
                <w:szCs w:val="20"/>
              </w:rPr>
            </w:pPr>
          </w:p>
          <w:p w:rsidR="00751E9D" w:rsidRPr="00C254D9" w:rsidRDefault="00751E9D" w:rsidP="00C74759">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751E9D" w:rsidRPr="00C254D9" w:rsidRDefault="00751E9D" w:rsidP="00C74759">
            <w:pPr>
              <w:keepNext/>
              <w:ind w:left="-108"/>
              <w:jc w:val="both"/>
              <w:rPr>
                <w:rFonts w:ascii="Arial Narrow" w:hAnsi="Arial Narrow" w:cs="Arial"/>
                <w:sz w:val="20"/>
                <w:szCs w:val="20"/>
              </w:rPr>
            </w:pPr>
          </w:p>
          <w:p w:rsidR="00751E9D" w:rsidRPr="00C254D9" w:rsidRDefault="00751E9D" w:rsidP="00C74759">
            <w:pPr>
              <w:keepNext/>
              <w:ind w:left="-108"/>
              <w:jc w:val="both"/>
              <w:rPr>
                <w:rFonts w:ascii="Arial Narrow" w:hAnsi="Arial Narrow" w:cs="Arial"/>
                <w:sz w:val="20"/>
                <w:szCs w:val="20"/>
              </w:rPr>
            </w:pPr>
            <w:r>
              <w:rPr>
                <w:rFonts w:ascii="Arial Narrow" w:hAnsi="Arial Narrow" w:cs="Arial"/>
                <w:sz w:val="20"/>
                <w:szCs w:val="20"/>
              </w:rPr>
              <w:t>11</w:t>
            </w:r>
          </w:p>
        </w:tc>
        <w:tc>
          <w:tcPr>
            <w:tcW w:w="1701" w:type="dxa"/>
          </w:tcPr>
          <w:p w:rsidR="00751E9D" w:rsidRPr="00C254D9" w:rsidRDefault="00751E9D" w:rsidP="00C74759">
            <w:pPr>
              <w:keepNext/>
              <w:ind w:left="-108"/>
              <w:jc w:val="both"/>
              <w:rPr>
                <w:rFonts w:ascii="Arial Narrow" w:hAnsi="Arial Narrow" w:cs="Arial"/>
                <w:sz w:val="20"/>
                <w:szCs w:val="20"/>
              </w:rPr>
            </w:pPr>
          </w:p>
        </w:tc>
        <w:tc>
          <w:tcPr>
            <w:tcW w:w="1310" w:type="dxa"/>
          </w:tcPr>
          <w:p w:rsidR="00751E9D" w:rsidRDefault="00751E9D" w:rsidP="00C74759">
            <w:pPr>
              <w:keepNext/>
              <w:jc w:val="both"/>
              <w:rPr>
                <w:rFonts w:ascii="Arial Narrow" w:hAnsi="Arial Narrow" w:cs="Arial"/>
                <w:sz w:val="20"/>
                <w:szCs w:val="20"/>
              </w:rPr>
            </w:pPr>
          </w:p>
          <w:p w:rsidR="00751E9D" w:rsidRPr="004A6EAD" w:rsidRDefault="00751E9D" w:rsidP="00C74759">
            <w:pPr>
              <w:keepNext/>
              <w:jc w:val="both"/>
              <w:rPr>
                <w:rFonts w:ascii="Arial Narrow" w:hAnsi="Arial Narrow" w:cs="Arial"/>
                <w:sz w:val="20"/>
                <w:szCs w:val="20"/>
                <w:vertAlign w:val="superscript"/>
              </w:rPr>
            </w:pPr>
            <w:r>
              <w:rPr>
                <w:rFonts w:ascii="Arial Narrow" w:hAnsi="Arial Narrow" w:cs="Arial"/>
                <w:sz w:val="20"/>
                <w:szCs w:val="20"/>
              </w:rPr>
              <w:t>Ziextenzo</w:t>
            </w:r>
            <w:r>
              <w:rPr>
                <w:rFonts w:ascii="Arial Narrow" w:hAnsi="Arial Narrow" w:cs="Arial"/>
                <w:sz w:val="20"/>
                <w:szCs w:val="20"/>
                <w:vertAlign w:val="superscript"/>
              </w:rPr>
              <w:t>®</w:t>
            </w:r>
          </w:p>
        </w:tc>
        <w:tc>
          <w:tcPr>
            <w:tcW w:w="1525" w:type="dxa"/>
          </w:tcPr>
          <w:p w:rsidR="00751E9D" w:rsidRDefault="00751E9D" w:rsidP="00C74759">
            <w:pPr>
              <w:keepNext/>
              <w:jc w:val="both"/>
              <w:rPr>
                <w:rFonts w:ascii="Arial Narrow" w:hAnsi="Arial Narrow" w:cs="Arial"/>
                <w:sz w:val="20"/>
                <w:szCs w:val="20"/>
              </w:rPr>
            </w:pPr>
          </w:p>
          <w:p w:rsidR="00751E9D" w:rsidRPr="00C254D9" w:rsidRDefault="00751E9D" w:rsidP="00C74759">
            <w:pPr>
              <w:keepNext/>
              <w:jc w:val="both"/>
              <w:rPr>
                <w:rFonts w:ascii="Arial Narrow" w:hAnsi="Arial Narrow" w:cs="Arial"/>
                <w:sz w:val="20"/>
                <w:szCs w:val="20"/>
              </w:rPr>
            </w:pPr>
            <w:r w:rsidRPr="00C254D9">
              <w:rPr>
                <w:rFonts w:ascii="Arial Narrow" w:hAnsi="Arial Narrow" w:cs="Arial"/>
                <w:sz w:val="20"/>
                <w:szCs w:val="20"/>
              </w:rPr>
              <w:t>S</w:t>
            </w:r>
            <w:r>
              <w:rPr>
                <w:rFonts w:ascii="Arial Narrow" w:hAnsi="Arial Narrow" w:cs="Arial"/>
                <w:sz w:val="20"/>
                <w:szCs w:val="20"/>
              </w:rPr>
              <w:t>andoz Pty Ltd</w:t>
            </w:r>
          </w:p>
        </w:tc>
      </w:tr>
      <w:tr w:rsidR="00751E9D"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1E9D" w:rsidRPr="00C254D9" w:rsidRDefault="00751E9D" w:rsidP="00C74759">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t>Section 100 – Highly Specialised Drugs Program</w:t>
            </w:r>
            <w:r>
              <w:rPr>
                <w:rFonts w:ascii="Arial Narrow" w:hAnsi="Arial Narrow" w:cs="Arial"/>
                <w:sz w:val="20"/>
                <w:szCs w:val="20"/>
              </w:rPr>
              <w:t xml:space="preserve"> – Public and Private</w:t>
            </w:r>
          </w:p>
        </w:tc>
      </w:tr>
      <w:tr w:rsidR="00751E9D"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1E9D" w:rsidRPr="00C254D9" w:rsidRDefault="00751E9D" w:rsidP="00C74759">
            <w:pPr>
              <w:jc w:val="both"/>
              <w:rPr>
                <w:rFonts w:ascii="Arial Narrow" w:hAnsi="Arial Narrow" w:cs="Arial"/>
                <w:b/>
                <w:sz w:val="20"/>
                <w:szCs w:val="20"/>
              </w:rPr>
            </w:pPr>
            <w:r w:rsidRPr="00C254D9">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 xml:space="preserve">Medical Practitioners  </w:t>
            </w: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Optometrists</w:t>
            </w:r>
          </w:p>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Midwives</w:t>
            </w:r>
          </w:p>
        </w:tc>
      </w:tr>
      <w:tr w:rsidR="00751E9D"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1E9D" w:rsidRPr="00C254D9" w:rsidRDefault="00751E9D" w:rsidP="00C74759">
            <w:pPr>
              <w:jc w:val="both"/>
              <w:rPr>
                <w:rFonts w:ascii="Arial Narrow" w:hAnsi="Arial Narrow" w:cs="Arial"/>
                <w:b/>
                <w:sz w:val="20"/>
                <w:szCs w:val="20"/>
              </w:rPr>
            </w:pPr>
            <w:r w:rsidRPr="00C254D9">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Pr>
                <w:rFonts w:ascii="Arial Narrow" w:hAnsi="Arial Narrow" w:cs="Arial"/>
                <w:sz w:val="20"/>
                <w:szCs w:val="20"/>
              </w:rPr>
              <w:t>Chemotherapy-induced neutropenia</w:t>
            </w:r>
          </w:p>
        </w:tc>
      </w:tr>
      <w:tr w:rsidR="00751E9D" w:rsidRPr="00C254D9" w:rsidTr="00C74759">
        <w:trPr>
          <w:cantSplit/>
          <w:trHeight w:val="398"/>
        </w:trPr>
        <w:tc>
          <w:tcPr>
            <w:tcW w:w="2835" w:type="dxa"/>
            <w:tcBorders>
              <w:top w:val="single" w:sz="4" w:space="0" w:color="auto"/>
              <w:left w:val="single" w:sz="4" w:space="0" w:color="auto"/>
              <w:bottom w:val="single" w:sz="4" w:space="0" w:color="auto"/>
              <w:right w:val="single" w:sz="4" w:space="0" w:color="auto"/>
            </w:tcBorders>
          </w:tcPr>
          <w:p w:rsidR="00751E9D" w:rsidRPr="00566E1B" w:rsidRDefault="00751E9D" w:rsidP="00C74759">
            <w:pPr>
              <w:jc w:val="both"/>
              <w:rPr>
                <w:rFonts w:ascii="Arial Narrow" w:hAnsi="Arial Narrow" w:cs="Arial"/>
                <w:b/>
                <w:sz w:val="20"/>
                <w:szCs w:val="20"/>
              </w:rPr>
            </w:pPr>
            <w:r w:rsidRPr="00C254D9">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Pr>
                <w:rFonts w:ascii="Arial Narrow" w:hAnsi="Arial Narrow" w:cs="Arial"/>
                <w:sz w:val="20"/>
                <w:szCs w:val="20"/>
              </w:rPr>
              <w:t>Chemotherapy-induced neutropenia</w:t>
            </w:r>
          </w:p>
        </w:tc>
      </w:tr>
      <w:tr w:rsidR="00751E9D"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1E9D" w:rsidRPr="00C254D9" w:rsidRDefault="00751E9D" w:rsidP="00C74759">
            <w:pPr>
              <w:jc w:val="both"/>
              <w:rPr>
                <w:rFonts w:ascii="Arial Narrow" w:hAnsi="Arial Narrow" w:cs="Arial"/>
                <w:b/>
                <w:sz w:val="20"/>
                <w:szCs w:val="20"/>
              </w:rPr>
            </w:pPr>
            <w:r w:rsidRPr="00C254D9">
              <w:rPr>
                <w:rFonts w:ascii="Arial Narrow" w:hAnsi="Arial Narrow" w:cs="Arial"/>
                <w:b/>
                <w:sz w:val="20"/>
                <w:szCs w:val="20"/>
              </w:rPr>
              <w:t>Restriction Level / Method:</w:t>
            </w:r>
          </w:p>
          <w:p w:rsidR="00751E9D" w:rsidRPr="00C254D9" w:rsidRDefault="00751E9D" w:rsidP="00C74759">
            <w:pPr>
              <w:rPr>
                <w:rFonts w:ascii="Arial Narrow" w:hAnsi="Arial Narrow" w:cs="Arial"/>
                <w:i/>
                <w:sz w:val="20"/>
                <w:szCs w:val="20"/>
              </w:rPr>
            </w:pPr>
          </w:p>
          <w:p w:rsidR="00751E9D" w:rsidRPr="00C254D9" w:rsidRDefault="00751E9D" w:rsidP="00C74759">
            <w:pPr>
              <w:rPr>
                <w:rFonts w:ascii="Arial Narrow" w:hAnsi="Arial Narrow" w:cs="Arial"/>
                <w:i/>
                <w:sz w:val="20"/>
                <w:szCs w:val="20"/>
              </w:rPr>
            </w:pPr>
          </w:p>
          <w:p w:rsidR="00751E9D" w:rsidRPr="00C254D9" w:rsidRDefault="00751E9D" w:rsidP="00C74759">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Restricted benefit</w:t>
            </w:r>
          </w:p>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Pr>
                <w:rFonts w:ascii="Arial Narrow" w:hAnsi="Arial Narrow" w:cs="Arial"/>
                <w:sz w:val="20"/>
                <w:szCs w:val="20"/>
              </w:rPr>
              <w:t>Authority Required –</w:t>
            </w:r>
            <w:r w:rsidRPr="00C254D9">
              <w:rPr>
                <w:rFonts w:ascii="Arial Narrow" w:hAnsi="Arial Narrow" w:cs="Arial"/>
                <w:sz w:val="20"/>
                <w:szCs w:val="20"/>
              </w:rPr>
              <w:t xml:space="preserve"> In Writing</w:t>
            </w:r>
          </w:p>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Authority Required </w:t>
            </w:r>
            <w:r>
              <w:rPr>
                <w:rFonts w:ascii="Arial Narrow" w:hAnsi="Arial Narrow" w:cs="Arial"/>
                <w:sz w:val="20"/>
                <w:szCs w:val="20"/>
              </w:rPr>
              <w:t>–</w:t>
            </w:r>
            <w:r w:rsidRPr="00C254D9">
              <w:rPr>
                <w:rFonts w:ascii="Arial Narrow" w:hAnsi="Arial Narrow" w:cs="Arial"/>
                <w:sz w:val="20"/>
                <w:szCs w:val="20"/>
              </w:rPr>
              <w:t xml:space="preserve"> Telephone</w:t>
            </w:r>
            <w:r>
              <w:rPr>
                <w:rFonts w:ascii="Arial Narrow" w:hAnsi="Arial Narrow" w:cs="Arial"/>
                <w:sz w:val="20"/>
                <w:szCs w:val="20"/>
              </w:rPr>
              <w:t>/</w:t>
            </w:r>
            <w:r w:rsidRPr="00C254D9">
              <w:rPr>
                <w:rFonts w:ascii="Arial Narrow" w:hAnsi="Arial Narrow" w:cs="Arial"/>
                <w:sz w:val="20"/>
                <w:szCs w:val="20"/>
              </w:rPr>
              <w:t>Electronic</w:t>
            </w:r>
            <w:r>
              <w:rPr>
                <w:rFonts w:ascii="Arial Narrow" w:hAnsi="Arial Narrow" w:cs="Arial"/>
                <w:sz w:val="20"/>
                <w:szCs w:val="20"/>
              </w:rPr>
              <w:t>/Emergency</w:t>
            </w:r>
          </w:p>
          <w:p w:rsidR="00751E9D" w:rsidRPr="00C254D9" w:rsidRDefault="00751E9D" w:rsidP="00C74759">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Streamlined</w:t>
            </w:r>
          </w:p>
        </w:tc>
      </w:tr>
      <w:tr w:rsidR="00751E9D" w:rsidRPr="00C254D9" w:rsidTr="00C74759">
        <w:trPr>
          <w:cantSplit/>
          <w:trHeight w:val="657"/>
        </w:trPr>
        <w:tc>
          <w:tcPr>
            <w:tcW w:w="2835" w:type="dxa"/>
            <w:tcBorders>
              <w:top w:val="single" w:sz="4" w:space="0" w:color="auto"/>
              <w:left w:val="single" w:sz="4" w:space="0" w:color="auto"/>
              <w:bottom w:val="single" w:sz="4" w:space="0" w:color="auto"/>
              <w:right w:val="single" w:sz="4" w:space="0" w:color="auto"/>
            </w:tcBorders>
          </w:tcPr>
          <w:p w:rsidR="00751E9D" w:rsidRDefault="00751E9D" w:rsidP="00C74759">
            <w:pPr>
              <w:jc w:val="both"/>
              <w:rPr>
                <w:rFonts w:ascii="Arial Narrow" w:hAnsi="Arial Narrow" w:cs="Arial"/>
                <w:b/>
                <w:sz w:val="20"/>
                <w:szCs w:val="20"/>
              </w:rPr>
            </w:pPr>
            <w:r w:rsidRPr="00C254D9">
              <w:rPr>
                <w:rFonts w:ascii="Arial Narrow" w:hAnsi="Arial Narrow" w:cs="Arial"/>
                <w:b/>
                <w:sz w:val="20"/>
                <w:szCs w:val="20"/>
              </w:rPr>
              <w:t>Clinical criteria:</w:t>
            </w:r>
          </w:p>
          <w:p w:rsidR="00751E9D" w:rsidRPr="00F70F81" w:rsidRDefault="00751E9D" w:rsidP="00C74759">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51E9D" w:rsidRDefault="00751E9D" w:rsidP="00C74759">
            <w:pPr>
              <w:rPr>
                <w:rFonts w:ascii="Arial Narrow" w:hAnsi="Arial Narrow" w:cs="Arial"/>
                <w:sz w:val="20"/>
                <w:szCs w:val="20"/>
              </w:rPr>
            </w:pPr>
            <w:r>
              <w:rPr>
                <w:rFonts w:ascii="Arial Narrow" w:hAnsi="Arial Narrow" w:cs="Arial"/>
                <w:sz w:val="20"/>
                <w:szCs w:val="20"/>
              </w:rPr>
              <w:t xml:space="preserve">Patient must be receiving chemotherapy with the intention of achieving a cure or a substantial remission, </w:t>
            </w:r>
          </w:p>
          <w:p w:rsidR="00751E9D" w:rsidRDefault="00751E9D" w:rsidP="00C74759">
            <w:pPr>
              <w:rPr>
                <w:rFonts w:ascii="Arial Narrow" w:hAnsi="Arial Narrow" w:cs="Arial"/>
                <w:sz w:val="20"/>
                <w:szCs w:val="20"/>
              </w:rPr>
            </w:pPr>
            <w:r>
              <w:rPr>
                <w:rFonts w:ascii="Arial Narrow" w:hAnsi="Arial Narrow" w:cs="Arial"/>
                <w:sz w:val="20"/>
                <w:szCs w:val="20"/>
              </w:rPr>
              <w:t xml:space="preserve">AND </w:t>
            </w:r>
          </w:p>
          <w:p w:rsidR="00751E9D" w:rsidRDefault="00751E9D" w:rsidP="00C74759">
            <w:pPr>
              <w:rPr>
                <w:rFonts w:ascii="Arial Narrow" w:hAnsi="Arial Narrow" w:cs="Arial"/>
                <w:sz w:val="20"/>
                <w:szCs w:val="20"/>
              </w:rPr>
            </w:pPr>
            <w:r>
              <w:rPr>
                <w:rFonts w:ascii="Arial Narrow" w:hAnsi="Arial Narrow" w:cs="Arial"/>
                <w:sz w:val="20"/>
                <w:szCs w:val="20"/>
              </w:rPr>
              <w:t xml:space="preserve">Patient must be at greater than 20% risk of developing febrile neutropenia; </w:t>
            </w:r>
          </w:p>
          <w:p w:rsidR="00751E9D" w:rsidRDefault="00751E9D" w:rsidP="00C74759">
            <w:pPr>
              <w:rPr>
                <w:rFonts w:ascii="Arial Narrow" w:hAnsi="Arial Narrow" w:cs="Arial"/>
                <w:sz w:val="20"/>
                <w:szCs w:val="20"/>
              </w:rPr>
            </w:pPr>
            <w:r>
              <w:rPr>
                <w:rFonts w:ascii="Arial Narrow" w:hAnsi="Arial Narrow" w:cs="Arial"/>
                <w:sz w:val="20"/>
                <w:szCs w:val="20"/>
              </w:rPr>
              <w:t>OR</w:t>
            </w:r>
          </w:p>
          <w:p w:rsidR="00751E9D" w:rsidRPr="00C254D9" w:rsidRDefault="00751E9D" w:rsidP="00C74759">
            <w:pPr>
              <w:rPr>
                <w:rFonts w:ascii="Arial Narrow" w:hAnsi="Arial Narrow" w:cs="Arial"/>
                <w:sz w:val="20"/>
                <w:szCs w:val="20"/>
              </w:rPr>
            </w:pPr>
            <w:r>
              <w:rPr>
                <w:rFonts w:ascii="Arial Narrow" w:hAnsi="Arial Narrow" w:cs="Arial"/>
                <w:sz w:val="20"/>
                <w:szCs w:val="20"/>
              </w:rPr>
              <w:t xml:space="preserve">Patient must be at substantial risk (greater than 20%) of prolonged severe neutropenia for more than or equal to seven days. </w:t>
            </w:r>
          </w:p>
        </w:tc>
      </w:tr>
      <w:tr w:rsidR="00751E9D" w:rsidRPr="00C254D9" w:rsidTr="00C74759">
        <w:trPr>
          <w:cantSplit/>
          <w:trHeight w:val="657"/>
        </w:trPr>
        <w:tc>
          <w:tcPr>
            <w:tcW w:w="2835" w:type="dxa"/>
            <w:tcBorders>
              <w:top w:val="single" w:sz="4" w:space="0" w:color="auto"/>
              <w:left w:val="single" w:sz="4" w:space="0" w:color="auto"/>
              <w:bottom w:val="single" w:sz="4" w:space="0" w:color="auto"/>
              <w:right w:val="single" w:sz="4" w:space="0" w:color="auto"/>
            </w:tcBorders>
          </w:tcPr>
          <w:p w:rsidR="00751E9D" w:rsidRPr="00751E9D" w:rsidRDefault="00751E9D" w:rsidP="00C74759">
            <w:pPr>
              <w:jc w:val="both"/>
              <w:rPr>
                <w:rFonts w:ascii="Arial Narrow" w:hAnsi="Arial Narrow" w:cs="Arial"/>
                <w:b/>
                <w:sz w:val="20"/>
                <w:szCs w:val="20"/>
              </w:rPr>
            </w:pPr>
            <w:r w:rsidRPr="00751E9D">
              <w:rPr>
                <w:rFonts w:ascii="Arial Narrow" w:hAnsi="Arial Narrow" w:cs="Arial"/>
                <w:b/>
                <w:sz w:val="20"/>
                <w:szCs w:val="20"/>
              </w:rPr>
              <w:t xml:space="preserve">Administrative Advice: </w:t>
            </w:r>
          </w:p>
        </w:tc>
        <w:tc>
          <w:tcPr>
            <w:tcW w:w="6379" w:type="dxa"/>
            <w:gridSpan w:val="6"/>
            <w:tcBorders>
              <w:top w:val="single" w:sz="4" w:space="0" w:color="auto"/>
              <w:left w:val="single" w:sz="4" w:space="0" w:color="auto"/>
              <w:bottom w:val="single" w:sz="4" w:space="0" w:color="auto"/>
              <w:right w:val="single" w:sz="4" w:space="0" w:color="auto"/>
            </w:tcBorders>
          </w:tcPr>
          <w:p w:rsidR="00751E9D" w:rsidRPr="00095938" w:rsidRDefault="00751E9D" w:rsidP="00C74759">
            <w:pPr>
              <w:spacing w:before="40" w:after="40"/>
              <w:rPr>
                <w:rFonts w:ascii="Arial Narrow" w:hAnsi="Arial Narrow" w:cs="Arial"/>
                <w:b/>
                <w:sz w:val="20"/>
                <w:szCs w:val="20"/>
              </w:rPr>
            </w:pPr>
            <w:r w:rsidRPr="00095938">
              <w:rPr>
                <w:rFonts w:ascii="Arial Narrow" w:hAnsi="Arial Narrow" w:cs="Arial"/>
                <w:b/>
                <w:sz w:val="20"/>
                <w:szCs w:val="20"/>
              </w:rPr>
              <w:t>Biosimilar prescribing policy</w:t>
            </w:r>
          </w:p>
          <w:p w:rsidR="00751E9D" w:rsidRDefault="00751E9D" w:rsidP="00C74759">
            <w:pPr>
              <w:rPr>
                <w:rFonts w:ascii="Arial Narrow" w:hAnsi="Arial Narrow" w:cs="Arial"/>
                <w:sz w:val="20"/>
                <w:szCs w:val="20"/>
              </w:rPr>
            </w:pPr>
            <w:r w:rsidRPr="00095938">
              <w:rPr>
                <w:rFonts w:ascii="Arial Narrow" w:hAnsi="Arial Narrow" w:cs="Arial"/>
                <w:sz w:val="20"/>
                <w:szCs w:val="20"/>
              </w:rPr>
              <w:t>Prescribing of the biosimilar brand ZIEXTENZO® is encouraged for treatment naïve patients. 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2E4125">
              <w:rPr>
                <w:rFonts w:ascii="Arial Narrow" w:hAnsi="Arial Narrow"/>
                <w:sz w:val="20"/>
                <w:szCs w:val="20"/>
              </w:rPr>
              <w:t>www.health.gov.au/biosimilars</w:t>
            </w:r>
            <w:r w:rsidRPr="00095938">
              <w:rPr>
                <w:rFonts w:ascii="Arial Narrow" w:hAnsi="Arial Narrow" w:cs="Arial"/>
                <w:sz w:val="20"/>
                <w:szCs w:val="20"/>
              </w:rPr>
              <w:t>).</w:t>
            </w:r>
          </w:p>
          <w:p w:rsidR="003D367C" w:rsidRDefault="003D367C" w:rsidP="00C74759">
            <w:pPr>
              <w:rPr>
                <w:rFonts w:ascii="Arial Narrow" w:hAnsi="Arial Narrow" w:cs="Arial"/>
                <w:sz w:val="20"/>
                <w:szCs w:val="20"/>
              </w:rPr>
            </w:pPr>
          </w:p>
          <w:p w:rsidR="003D367C" w:rsidRPr="00095938" w:rsidRDefault="003D367C" w:rsidP="00C74759">
            <w:pPr>
              <w:rPr>
                <w:rFonts w:ascii="Arial Narrow" w:hAnsi="Arial Narrow" w:cs="Arial"/>
                <w:sz w:val="20"/>
                <w:szCs w:val="20"/>
              </w:rPr>
            </w:pPr>
            <w:r w:rsidRPr="003D367C">
              <w:rPr>
                <w:rFonts w:ascii="Arial Narrow" w:hAnsi="Arial Narrow" w:cs="Arial"/>
                <w:sz w:val="20"/>
                <w:szCs w:val="20"/>
              </w:rPr>
              <w:t>Prescribers must include the proprietary name (brand) on the prescription to ensure the appropriate item is approved.</w:t>
            </w:r>
          </w:p>
        </w:tc>
      </w:tr>
    </w:tbl>
    <w:p w:rsidR="00751E9D" w:rsidRDefault="00751E9D" w:rsidP="00751E9D">
      <w:pPr>
        <w:pStyle w:val="normal2"/>
      </w:pPr>
      <w:r w:rsidRPr="00D358E2">
        <w:t xml:space="preserve"> </w:t>
      </w:r>
    </w:p>
    <w:p w:rsidR="00751E9D" w:rsidRPr="00D358E2" w:rsidRDefault="00751E9D" w:rsidP="00751E9D">
      <w:pPr>
        <w:rPr>
          <w:rFonts w:asciiTheme="minorHAnsi" w:eastAsiaTheme="majorEastAsia" w:hAnsiTheme="minorHAnsi" w:cstheme="minorHAnsi"/>
          <w:lang w:eastAsia="en-US"/>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310"/>
        <w:gridCol w:w="1525"/>
      </w:tblGrid>
      <w:tr w:rsidR="00751E9D" w:rsidRPr="00C254D9" w:rsidTr="00C74759">
        <w:trPr>
          <w:cantSplit/>
          <w:trHeight w:val="471"/>
        </w:trPr>
        <w:tc>
          <w:tcPr>
            <w:tcW w:w="3261" w:type="dxa"/>
            <w:gridSpan w:val="2"/>
            <w:tcBorders>
              <w:bottom w:val="single" w:sz="4" w:space="0" w:color="auto"/>
            </w:tcBorders>
          </w:tcPr>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lastRenderedPageBreak/>
              <w:t>Name, Restriction,</w:t>
            </w:r>
          </w:p>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Manner of administration and form</w:t>
            </w:r>
          </w:p>
        </w:tc>
        <w:tc>
          <w:tcPr>
            <w:tcW w:w="567" w:type="dxa"/>
            <w:tcBorders>
              <w:bottom w:val="single" w:sz="4" w:space="0" w:color="auto"/>
            </w:tcBorders>
          </w:tcPr>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Max.</w:t>
            </w:r>
          </w:p>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Qty</w:t>
            </w:r>
          </w:p>
        </w:tc>
        <w:tc>
          <w:tcPr>
            <w:tcW w:w="850" w:type="dxa"/>
            <w:tcBorders>
              <w:bottom w:val="single" w:sz="4" w:space="0" w:color="auto"/>
            </w:tcBorders>
          </w:tcPr>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№.of</w:t>
            </w:r>
          </w:p>
          <w:p w:rsidR="00751E9D" w:rsidRPr="00C254D9" w:rsidRDefault="00751E9D" w:rsidP="00C74759">
            <w:pPr>
              <w:keepNext/>
              <w:ind w:left="-108"/>
              <w:jc w:val="both"/>
              <w:rPr>
                <w:rFonts w:ascii="Arial Narrow" w:hAnsi="Arial Narrow" w:cs="Arial"/>
                <w:sz w:val="20"/>
                <w:szCs w:val="20"/>
              </w:rPr>
            </w:pPr>
            <w:r w:rsidRPr="00C254D9">
              <w:rPr>
                <w:rFonts w:ascii="Arial Narrow" w:hAnsi="Arial Narrow" w:cs="Arial"/>
                <w:sz w:val="20"/>
                <w:szCs w:val="20"/>
              </w:rPr>
              <w:t>Rpts</w:t>
            </w:r>
          </w:p>
        </w:tc>
        <w:tc>
          <w:tcPr>
            <w:tcW w:w="1701" w:type="dxa"/>
            <w:tcBorders>
              <w:bottom w:val="single" w:sz="4" w:space="0" w:color="auto"/>
            </w:tcBorders>
          </w:tcPr>
          <w:p w:rsidR="00751E9D" w:rsidRPr="00C254D9" w:rsidRDefault="00751E9D" w:rsidP="00C74759">
            <w:pPr>
              <w:keepNext/>
              <w:ind w:left="-108"/>
              <w:jc w:val="both"/>
              <w:rPr>
                <w:rFonts w:ascii="Arial Narrow" w:hAnsi="Arial Narrow" w:cs="Arial"/>
                <w:sz w:val="20"/>
                <w:szCs w:val="20"/>
              </w:rPr>
            </w:pPr>
          </w:p>
        </w:tc>
        <w:tc>
          <w:tcPr>
            <w:tcW w:w="2835" w:type="dxa"/>
            <w:gridSpan w:val="2"/>
            <w:tcBorders>
              <w:bottom w:val="single" w:sz="4" w:space="0" w:color="auto"/>
            </w:tcBorders>
          </w:tcPr>
          <w:p w:rsidR="00751E9D" w:rsidRPr="00C254D9" w:rsidRDefault="00751E9D" w:rsidP="00C74759">
            <w:pPr>
              <w:keepNext/>
              <w:jc w:val="both"/>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751E9D" w:rsidRPr="00C254D9" w:rsidTr="00C74759">
        <w:trPr>
          <w:cantSplit/>
          <w:trHeight w:val="577"/>
        </w:trPr>
        <w:tc>
          <w:tcPr>
            <w:tcW w:w="3261" w:type="dxa"/>
            <w:gridSpan w:val="2"/>
          </w:tcPr>
          <w:p w:rsidR="00751E9D" w:rsidRPr="00BD02C3" w:rsidRDefault="00751E9D" w:rsidP="00C74759">
            <w:pPr>
              <w:keepNext/>
              <w:ind w:left="-108"/>
              <w:jc w:val="both"/>
              <w:rPr>
                <w:rFonts w:ascii="Arial Narrow" w:hAnsi="Arial Narrow" w:cs="Arial"/>
                <w:sz w:val="20"/>
                <w:szCs w:val="20"/>
              </w:rPr>
            </w:pPr>
            <w:r>
              <w:rPr>
                <w:rFonts w:ascii="Arial Narrow" w:hAnsi="Arial Narrow" w:cs="Arial"/>
                <w:smallCaps/>
                <w:sz w:val="20"/>
                <w:szCs w:val="20"/>
              </w:rPr>
              <w:t xml:space="preserve">PEGFILGRASTIM </w:t>
            </w:r>
          </w:p>
          <w:p w:rsidR="00751E9D" w:rsidRDefault="00751E9D" w:rsidP="00C74759">
            <w:pPr>
              <w:keepNext/>
              <w:ind w:left="-108"/>
              <w:jc w:val="both"/>
              <w:rPr>
                <w:rFonts w:ascii="Arial Narrow" w:hAnsi="Arial Narrow" w:cs="Arial"/>
                <w:sz w:val="20"/>
                <w:szCs w:val="20"/>
              </w:rPr>
            </w:pPr>
            <w:r>
              <w:rPr>
                <w:rFonts w:ascii="Arial Narrow" w:hAnsi="Arial Narrow" w:cs="Arial"/>
                <w:sz w:val="20"/>
                <w:szCs w:val="20"/>
              </w:rPr>
              <w:t>6 mg/0.6 mL injection, 0.6 mL syringe</w:t>
            </w:r>
          </w:p>
          <w:p w:rsidR="00751E9D" w:rsidRPr="008B3257" w:rsidRDefault="00751E9D" w:rsidP="00C74759">
            <w:pPr>
              <w:keepNext/>
              <w:ind w:left="-108"/>
              <w:jc w:val="both"/>
              <w:rPr>
                <w:rFonts w:ascii="Arial Narrow" w:hAnsi="Arial Narrow" w:cs="Arial"/>
                <w:color w:val="FF0000"/>
                <w:sz w:val="20"/>
                <w:szCs w:val="20"/>
              </w:rPr>
            </w:pPr>
          </w:p>
        </w:tc>
        <w:tc>
          <w:tcPr>
            <w:tcW w:w="567" w:type="dxa"/>
          </w:tcPr>
          <w:p w:rsidR="00751E9D" w:rsidRPr="00C254D9" w:rsidRDefault="00751E9D" w:rsidP="00C74759">
            <w:pPr>
              <w:keepNext/>
              <w:ind w:left="-108"/>
              <w:jc w:val="both"/>
              <w:rPr>
                <w:rFonts w:ascii="Arial Narrow" w:hAnsi="Arial Narrow" w:cs="Arial"/>
                <w:sz w:val="20"/>
                <w:szCs w:val="20"/>
              </w:rPr>
            </w:pPr>
          </w:p>
          <w:p w:rsidR="00751E9D" w:rsidRPr="00C254D9" w:rsidRDefault="00751E9D" w:rsidP="00C74759">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751E9D" w:rsidRPr="00C254D9" w:rsidRDefault="00751E9D" w:rsidP="00C74759">
            <w:pPr>
              <w:keepNext/>
              <w:ind w:left="-108"/>
              <w:jc w:val="both"/>
              <w:rPr>
                <w:rFonts w:ascii="Arial Narrow" w:hAnsi="Arial Narrow" w:cs="Arial"/>
                <w:sz w:val="20"/>
                <w:szCs w:val="20"/>
              </w:rPr>
            </w:pPr>
          </w:p>
          <w:p w:rsidR="00751E9D" w:rsidRPr="00C254D9" w:rsidRDefault="00751E9D" w:rsidP="00C74759">
            <w:pPr>
              <w:keepNext/>
              <w:ind w:left="-108"/>
              <w:jc w:val="both"/>
              <w:rPr>
                <w:rFonts w:ascii="Arial Narrow" w:hAnsi="Arial Narrow" w:cs="Arial"/>
                <w:sz w:val="20"/>
                <w:szCs w:val="20"/>
              </w:rPr>
            </w:pPr>
            <w:r>
              <w:rPr>
                <w:rFonts w:ascii="Arial Narrow" w:hAnsi="Arial Narrow" w:cs="Arial"/>
                <w:sz w:val="20"/>
                <w:szCs w:val="20"/>
              </w:rPr>
              <w:t>11</w:t>
            </w:r>
          </w:p>
        </w:tc>
        <w:tc>
          <w:tcPr>
            <w:tcW w:w="1701" w:type="dxa"/>
          </w:tcPr>
          <w:p w:rsidR="00751E9D" w:rsidRPr="00C254D9" w:rsidRDefault="00751E9D" w:rsidP="00C74759">
            <w:pPr>
              <w:keepNext/>
              <w:ind w:left="-108"/>
              <w:jc w:val="both"/>
              <w:rPr>
                <w:rFonts w:ascii="Arial Narrow" w:hAnsi="Arial Narrow" w:cs="Arial"/>
                <w:sz w:val="20"/>
                <w:szCs w:val="20"/>
              </w:rPr>
            </w:pPr>
          </w:p>
        </w:tc>
        <w:tc>
          <w:tcPr>
            <w:tcW w:w="1310" w:type="dxa"/>
          </w:tcPr>
          <w:p w:rsidR="007A0BC1" w:rsidRDefault="007A0BC1" w:rsidP="00C74759">
            <w:pPr>
              <w:keepNext/>
              <w:jc w:val="both"/>
              <w:rPr>
                <w:rFonts w:ascii="Arial Narrow" w:hAnsi="Arial Narrow" w:cs="Arial"/>
                <w:sz w:val="20"/>
                <w:szCs w:val="20"/>
              </w:rPr>
            </w:pPr>
          </w:p>
          <w:p w:rsidR="00751E9D" w:rsidRPr="00C254D9" w:rsidRDefault="00751E9D" w:rsidP="00C74759">
            <w:pPr>
              <w:keepNext/>
              <w:jc w:val="both"/>
              <w:rPr>
                <w:rFonts w:ascii="Arial Narrow" w:hAnsi="Arial Narrow" w:cs="Arial"/>
                <w:sz w:val="20"/>
                <w:szCs w:val="20"/>
              </w:rPr>
            </w:pPr>
            <w:r>
              <w:rPr>
                <w:rFonts w:ascii="Arial Narrow" w:hAnsi="Arial Narrow" w:cs="Arial"/>
                <w:sz w:val="20"/>
                <w:szCs w:val="20"/>
              </w:rPr>
              <w:t>Ziextenzo</w:t>
            </w:r>
            <w:r w:rsidR="007A0BC1">
              <w:rPr>
                <w:rFonts w:ascii="Arial Narrow" w:hAnsi="Arial Narrow" w:cs="Arial"/>
                <w:sz w:val="20"/>
                <w:szCs w:val="20"/>
                <w:vertAlign w:val="superscript"/>
              </w:rPr>
              <w:t>®</w:t>
            </w:r>
          </w:p>
        </w:tc>
        <w:tc>
          <w:tcPr>
            <w:tcW w:w="1525" w:type="dxa"/>
          </w:tcPr>
          <w:p w:rsidR="007A0BC1" w:rsidRDefault="007A0BC1" w:rsidP="00C74759">
            <w:pPr>
              <w:keepNext/>
              <w:jc w:val="both"/>
              <w:rPr>
                <w:rFonts w:ascii="Arial Narrow" w:hAnsi="Arial Narrow" w:cs="Arial"/>
                <w:sz w:val="20"/>
                <w:szCs w:val="20"/>
              </w:rPr>
            </w:pPr>
          </w:p>
          <w:p w:rsidR="00751E9D" w:rsidRPr="00C254D9" w:rsidRDefault="00751E9D" w:rsidP="00C74759">
            <w:pPr>
              <w:keepNext/>
              <w:jc w:val="both"/>
              <w:rPr>
                <w:rFonts w:ascii="Arial Narrow" w:hAnsi="Arial Narrow" w:cs="Arial"/>
                <w:sz w:val="20"/>
                <w:szCs w:val="20"/>
              </w:rPr>
            </w:pPr>
            <w:r w:rsidRPr="00C254D9">
              <w:rPr>
                <w:rFonts w:ascii="Arial Narrow" w:hAnsi="Arial Narrow" w:cs="Arial"/>
                <w:sz w:val="20"/>
                <w:szCs w:val="20"/>
              </w:rPr>
              <w:t>S</w:t>
            </w:r>
            <w:r>
              <w:rPr>
                <w:rFonts w:ascii="Arial Narrow" w:hAnsi="Arial Narrow" w:cs="Arial"/>
                <w:sz w:val="20"/>
                <w:szCs w:val="20"/>
              </w:rPr>
              <w:t>andoz Pty Ltd</w:t>
            </w:r>
          </w:p>
        </w:tc>
      </w:tr>
      <w:tr w:rsidR="00751E9D"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1E9D" w:rsidRPr="00C254D9" w:rsidRDefault="00751E9D" w:rsidP="00C74759">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t>Section 100 – Highly Specialised Drugs Program</w:t>
            </w:r>
            <w:r>
              <w:rPr>
                <w:rFonts w:ascii="Arial Narrow" w:hAnsi="Arial Narrow" w:cs="Arial"/>
                <w:sz w:val="20"/>
                <w:szCs w:val="20"/>
              </w:rPr>
              <w:t xml:space="preserve"> – Public and Private</w:t>
            </w:r>
          </w:p>
        </w:tc>
      </w:tr>
      <w:tr w:rsidR="00751E9D"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1E9D" w:rsidRPr="00C254D9" w:rsidRDefault="00751E9D" w:rsidP="00C74759">
            <w:pPr>
              <w:jc w:val="both"/>
              <w:rPr>
                <w:rFonts w:ascii="Arial Narrow" w:hAnsi="Arial Narrow" w:cs="Arial"/>
                <w:b/>
                <w:sz w:val="20"/>
                <w:szCs w:val="20"/>
              </w:rPr>
            </w:pPr>
            <w:r w:rsidRPr="00C254D9">
              <w:rPr>
                <w:rFonts w:ascii="Arial Narrow" w:hAnsi="Arial Narrow" w:cs="Arial"/>
                <w:b/>
                <w:sz w:val="20"/>
                <w:szCs w:val="20"/>
              </w:rPr>
              <w:t>Prescriber type:</w:t>
            </w:r>
          </w:p>
          <w:p w:rsidR="00751E9D" w:rsidRPr="00C254D9" w:rsidRDefault="00751E9D" w:rsidP="00C74759">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 xml:space="preserve">Medical Practitioners  </w:t>
            </w: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Optometrists</w:t>
            </w:r>
          </w:p>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Midwives</w:t>
            </w:r>
          </w:p>
        </w:tc>
      </w:tr>
      <w:tr w:rsidR="00751E9D"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1E9D" w:rsidRPr="00C254D9" w:rsidRDefault="00751E9D" w:rsidP="00C74759">
            <w:pPr>
              <w:jc w:val="both"/>
              <w:rPr>
                <w:rFonts w:ascii="Arial Narrow" w:hAnsi="Arial Narrow" w:cs="Arial"/>
                <w:b/>
                <w:sz w:val="20"/>
                <w:szCs w:val="20"/>
              </w:rPr>
            </w:pPr>
            <w:r w:rsidRPr="00C254D9">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Pr>
                <w:rFonts w:ascii="Arial Narrow" w:hAnsi="Arial Narrow" w:cs="Arial"/>
                <w:sz w:val="20"/>
                <w:szCs w:val="20"/>
              </w:rPr>
              <w:t>Chemotherapy-induced neutropenia</w:t>
            </w:r>
          </w:p>
        </w:tc>
      </w:tr>
      <w:tr w:rsidR="00751E9D" w:rsidRPr="00C254D9" w:rsidTr="00C74759">
        <w:trPr>
          <w:cantSplit/>
          <w:trHeight w:val="369"/>
        </w:trPr>
        <w:tc>
          <w:tcPr>
            <w:tcW w:w="2835" w:type="dxa"/>
            <w:tcBorders>
              <w:top w:val="single" w:sz="4" w:space="0" w:color="auto"/>
              <w:left w:val="single" w:sz="4" w:space="0" w:color="auto"/>
              <w:bottom w:val="single" w:sz="4" w:space="0" w:color="auto"/>
              <w:right w:val="single" w:sz="4" w:space="0" w:color="auto"/>
            </w:tcBorders>
          </w:tcPr>
          <w:p w:rsidR="00751E9D" w:rsidRPr="00566E1B" w:rsidRDefault="00751E9D" w:rsidP="00C74759">
            <w:pPr>
              <w:jc w:val="both"/>
              <w:rPr>
                <w:rFonts w:ascii="Arial Narrow" w:hAnsi="Arial Narrow" w:cs="Arial"/>
                <w:b/>
                <w:sz w:val="20"/>
                <w:szCs w:val="20"/>
              </w:rPr>
            </w:pPr>
            <w:r w:rsidRPr="00C254D9">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Pr>
                <w:rFonts w:ascii="Arial Narrow" w:hAnsi="Arial Narrow" w:cs="Arial"/>
                <w:sz w:val="20"/>
                <w:szCs w:val="20"/>
              </w:rPr>
              <w:t>Chemotherapy-induced neutropenia</w:t>
            </w:r>
          </w:p>
        </w:tc>
      </w:tr>
      <w:tr w:rsidR="00751E9D" w:rsidRPr="00C254D9" w:rsidTr="00C74759">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1E9D" w:rsidRPr="00C254D9" w:rsidRDefault="00751E9D" w:rsidP="00C74759">
            <w:pPr>
              <w:jc w:val="both"/>
              <w:rPr>
                <w:rFonts w:ascii="Arial Narrow" w:hAnsi="Arial Narrow" w:cs="Arial"/>
                <w:b/>
                <w:sz w:val="20"/>
                <w:szCs w:val="20"/>
              </w:rPr>
            </w:pPr>
            <w:r w:rsidRPr="00C254D9">
              <w:rPr>
                <w:rFonts w:ascii="Arial Narrow" w:hAnsi="Arial Narrow" w:cs="Arial"/>
                <w:b/>
                <w:sz w:val="20"/>
                <w:szCs w:val="20"/>
              </w:rPr>
              <w:t>Restriction Level / Method:</w:t>
            </w:r>
          </w:p>
          <w:p w:rsidR="00751E9D" w:rsidRPr="00C254D9" w:rsidRDefault="00751E9D" w:rsidP="00C74759">
            <w:pPr>
              <w:rPr>
                <w:rFonts w:ascii="Arial Narrow" w:hAnsi="Arial Narrow" w:cs="Arial"/>
                <w:i/>
                <w:sz w:val="20"/>
                <w:szCs w:val="20"/>
              </w:rPr>
            </w:pPr>
          </w:p>
          <w:p w:rsidR="00751E9D" w:rsidRPr="00C254D9" w:rsidRDefault="00751E9D" w:rsidP="00C74759">
            <w:pPr>
              <w:rPr>
                <w:rFonts w:ascii="Arial Narrow" w:hAnsi="Arial Narrow" w:cs="Arial"/>
                <w:i/>
                <w:sz w:val="20"/>
                <w:szCs w:val="20"/>
              </w:rPr>
            </w:pPr>
          </w:p>
          <w:p w:rsidR="00751E9D" w:rsidRPr="00C254D9" w:rsidRDefault="00751E9D" w:rsidP="00C74759">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Restricted benefit</w:t>
            </w:r>
          </w:p>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Pr>
                <w:rFonts w:ascii="Arial Narrow" w:hAnsi="Arial Narrow" w:cs="Arial"/>
                <w:sz w:val="20"/>
                <w:szCs w:val="20"/>
              </w:rPr>
              <w:t>Authority Required –</w:t>
            </w:r>
            <w:r w:rsidRPr="00C254D9">
              <w:rPr>
                <w:rFonts w:ascii="Arial Narrow" w:hAnsi="Arial Narrow" w:cs="Arial"/>
                <w:sz w:val="20"/>
                <w:szCs w:val="20"/>
              </w:rPr>
              <w:t xml:space="preserve"> In Writing</w:t>
            </w:r>
          </w:p>
          <w:p w:rsidR="00751E9D" w:rsidRPr="00C254D9" w:rsidRDefault="00751E9D" w:rsidP="00C74759">
            <w:pPr>
              <w:rPr>
                <w:rFonts w:ascii="Arial Narrow" w:hAnsi="Arial Narrow" w:cs="Arial"/>
                <w:sz w:val="20"/>
                <w:szCs w:val="20"/>
              </w:rPr>
            </w:pP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Authority Required </w:t>
            </w:r>
            <w:r>
              <w:rPr>
                <w:rFonts w:ascii="Arial Narrow" w:hAnsi="Arial Narrow" w:cs="Arial"/>
                <w:sz w:val="20"/>
                <w:szCs w:val="20"/>
              </w:rPr>
              <w:t>–</w:t>
            </w:r>
            <w:r w:rsidRPr="00C254D9">
              <w:rPr>
                <w:rFonts w:ascii="Arial Narrow" w:hAnsi="Arial Narrow" w:cs="Arial"/>
                <w:sz w:val="20"/>
                <w:szCs w:val="20"/>
              </w:rPr>
              <w:t xml:space="preserve"> Telephone</w:t>
            </w:r>
            <w:r>
              <w:rPr>
                <w:rFonts w:ascii="Arial Narrow" w:hAnsi="Arial Narrow" w:cs="Arial"/>
                <w:sz w:val="20"/>
                <w:szCs w:val="20"/>
              </w:rPr>
              <w:t>/</w:t>
            </w:r>
            <w:r w:rsidRPr="00C254D9">
              <w:rPr>
                <w:rFonts w:ascii="Arial Narrow" w:hAnsi="Arial Narrow" w:cs="Arial"/>
                <w:sz w:val="20"/>
                <w:szCs w:val="20"/>
              </w:rPr>
              <w:t>Electronic</w:t>
            </w:r>
            <w:r>
              <w:rPr>
                <w:rFonts w:ascii="Arial Narrow" w:hAnsi="Arial Narrow" w:cs="Arial"/>
                <w:sz w:val="20"/>
                <w:szCs w:val="20"/>
              </w:rPr>
              <w:t>/Emergency</w:t>
            </w:r>
          </w:p>
          <w:p w:rsidR="00751E9D" w:rsidRPr="00C254D9" w:rsidRDefault="00751E9D" w:rsidP="00C74759">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E4125">
              <w:rPr>
                <w:rFonts w:ascii="Arial Narrow" w:hAnsi="Arial Narrow" w:cs="Arial"/>
                <w:sz w:val="20"/>
                <w:szCs w:val="20"/>
              </w:rPr>
            </w:r>
            <w:r w:rsidR="002E4125">
              <w:rPr>
                <w:rFonts w:ascii="Arial Narrow" w:hAnsi="Arial Narrow" w:cs="Arial"/>
                <w:sz w:val="20"/>
                <w:szCs w:val="20"/>
              </w:rPr>
              <w:fldChar w:fldCharType="separate"/>
            </w:r>
            <w:r>
              <w:rPr>
                <w:rFonts w:ascii="Arial Narrow" w:hAnsi="Arial Narrow" w:cs="Arial"/>
                <w:sz w:val="20"/>
                <w:szCs w:val="20"/>
              </w:rPr>
              <w:fldChar w:fldCharType="end"/>
            </w:r>
            <w:r w:rsidRPr="00C254D9">
              <w:rPr>
                <w:rFonts w:ascii="Arial Narrow" w:hAnsi="Arial Narrow" w:cs="Arial"/>
                <w:sz w:val="20"/>
                <w:szCs w:val="20"/>
              </w:rPr>
              <w:t>Streamlined</w:t>
            </w:r>
          </w:p>
        </w:tc>
      </w:tr>
      <w:tr w:rsidR="00751E9D" w:rsidRPr="00C254D9" w:rsidTr="00C74759">
        <w:trPr>
          <w:cantSplit/>
          <w:trHeight w:val="657"/>
        </w:trPr>
        <w:tc>
          <w:tcPr>
            <w:tcW w:w="2835" w:type="dxa"/>
            <w:tcBorders>
              <w:top w:val="single" w:sz="4" w:space="0" w:color="auto"/>
              <w:left w:val="single" w:sz="4" w:space="0" w:color="auto"/>
              <w:bottom w:val="single" w:sz="4" w:space="0" w:color="auto"/>
              <w:right w:val="single" w:sz="4" w:space="0" w:color="auto"/>
            </w:tcBorders>
          </w:tcPr>
          <w:p w:rsidR="00751E9D" w:rsidRDefault="00751E9D" w:rsidP="00C74759">
            <w:pPr>
              <w:jc w:val="both"/>
              <w:rPr>
                <w:rFonts w:ascii="Arial Narrow" w:hAnsi="Arial Narrow" w:cs="Arial"/>
                <w:b/>
                <w:sz w:val="20"/>
                <w:szCs w:val="20"/>
              </w:rPr>
            </w:pPr>
            <w:r w:rsidRPr="00C254D9">
              <w:rPr>
                <w:rFonts w:ascii="Arial Narrow" w:hAnsi="Arial Narrow" w:cs="Arial"/>
                <w:b/>
                <w:sz w:val="20"/>
                <w:szCs w:val="20"/>
              </w:rPr>
              <w:t>Clinical criteria:</w:t>
            </w:r>
          </w:p>
          <w:p w:rsidR="00751E9D" w:rsidRPr="00F70F81" w:rsidRDefault="00751E9D" w:rsidP="00C74759">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751E9D" w:rsidRDefault="00751E9D" w:rsidP="00C74759">
            <w:pPr>
              <w:rPr>
                <w:rFonts w:ascii="Arial Narrow" w:hAnsi="Arial Narrow" w:cs="Arial"/>
                <w:sz w:val="20"/>
                <w:szCs w:val="20"/>
              </w:rPr>
            </w:pPr>
            <w:r>
              <w:rPr>
                <w:rFonts w:ascii="Arial Narrow" w:hAnsi="Arial Narrow" w:cs="Arial"/>
                <w:sz w:val="20"/>
                <w:szCs w:val="20"/>
              </w:rPr>
              <w:t xml:space="preserve">Patient must be receiving chemotherapy with the intention of achieving a cure or a substantial remission, </w:t>
            </w:r>
          </w:p>
          <w:p w:rsidR="00751E9D" w:rsidRDefault="00751E9D" w:rsidP="00C74759">
            <w:pPr>
              <w:rPr>
                <w:rFonts w:ascii="Arial Narrow" w:hAnsi="Arial Narrow" w:cs="Arial"/>
                <w:sz w:val="20"/>
                <w:szCs w:val="20"/>
              </w:rPr>
            </w:pPr>
            <w:r>
              <w:rPr>
                <w:rFonts w:ascii="Arial Narrow" w:hAnsi="Arial Narrow" w:cs="Arial"/>
                <w:sz w:val="20"/>
                <w:szCs w:val="20"/>
              </w:rPr>
              <w:t xml:space="preserve">AND </w:t>
            </w:r>
          </w:p>
          <w:p w:rsidR="00751E9D" w:rsidRDefault="00751E9D" w:rsidP="00C74759">
            <w:pPr>
              <w:rPr>
                <w:rFonts w:ascii="Arial Narrow" w:hAnsi="Arial Narrow" w:cs="Arial"/>
                <w:sz w:val="20"/>
                <w:szCs w:val="20"/>
              </w:rPr>
            </w:pPr>
            <w:r>
              <w:rPr>
                <w:rFonts w:ascii="Arial Narrow" w:hAnsi="Arial Narrow" w:cs="Arial"/>
                <w:sz w:val="20"/>
                <w:szCs w:val="20"/>
              </w:rPr>
              <w:t xml:space="preserve">Patient must have had a prior episode of febrile neutropenia; </w:t>
            </w:r>
          </w:p>
          <w:p w:rsidR="00751E9D" w:rsidRDefault="00751E9D" w:rsidP="00C74759">
            <w:pPr>
              <w:rPr>
                <w:rFonts w:ascii="Arial Narrow" w:hAnsi="Arial Narrow" w:cs="Arial"/>
                <w:sz w:val="20"/>
                <w:szCs w:val="20"/>
              </w:rPr>
            </w:pPr>
            <w:r>
              <w:rPr>
                <w:rFonts w:ascii="Arial Narrow" w:hAnsi="Arial Narrow" w:cs="Arial"/>
                <w:sz w:val="20"/>
                <w:szCs w:val="20"/>
              </w:rPr>
              <w:t>OR</w:t>
            </w:r>
          </w:p>
          <w:p w:rsidR="00751E9D" w:rsidRPr="00C254D9" w:rsidRDefault="00751E9D" w:rsidP="00C74759">
            <w:pPr>
              <w:rPr>
                <w:rFonts w:ascii="Arial Narrow" w:hAnsi="Arial Narrow" w:cs="Arial"/>
                <w:sz w:val="20"/>
                <w:szCs w:val="20"/>
              </w:rPr>
            </w:pPr>
            <w:r>
              <w:rPr>
                <w:rFonts w:ascii="Arial Narrow" w:hAnsi="Arial Narrow" w:cs="Arial"/>
                <w:sz w:val="20"/>
                <w:szCs w:val="20"/>
              </w:rPr>
              <w:t xml:space="preserve">Patient must have had a prior episode of prolonged severe neutropenia for more than or equal to seven days. </w:t>
            </w:r>
          </w:p>
        </w:tc>
      </w:tr>
      <w:tr w:rsidR="00751E9D" w:rsidRPr="00C254D9" w:rsidTr="00C74759">
        <w:trPr>
          <w:cantSplit/>
          <w:trHeight w:val="657"/>
        </w:trPr>
        <w:tc>
          <w:tcPr>
            <w:tcW w:w="2835" w:type="dxa"/>
            <w:tcBorders>
              <w:top w:val="single" w:sz="4" w:space="0" w:color="auto"/>
              <w:left w:val="single" w:sz="4" w:space="0" w:color="auto"/>
              <w:bottom w:val="single" w:sz="4" w:space="0" w:color="auto"/>
              <w:right w:val="single" w:sz="4" w:space="0" w:color="auto"/>
            </w:tcBorders>
          </w:tcPr>
          <w:p w:rsidR="00751E9D" w:rsidRPr="00751E9D" w:rsidRDefault="00751E9D" w:rsidP="00C74759">
            <w:pPr>
              <w:jc w:val="both"/>
              <w:rPr>
                <w:rFonts w:ascii="Arial Narrow" w:hAnsi="Arial Narrow" w:cs="Arial"/>
                <w:b/>
                <w:sz w:val="20"/>
                <w:szCs w:val="20"/>
              </w:rPr>
            </w:pPr>
            <w:r w:rsidRPr="00751E9D">
              <w:rPr>
                <w:rFonts w:ascii="Arial Narrow" w:hAnsi="Arial Narrow" w:cs="Arial"/>
                <w:b/>
                <w:sz w:val="20"/>
                <w:szCs w:val="20"/>
              </w:rPr>
              <w:t xml:space="preserve">Administrative Advice: </w:t>
            </w:r>
          </w:p>
        </w:tc>
        <w:tc>
          <w:tcPr>
            <w:tcW w:w="6379" w:type="dxa"/>
            <w:gridSpan w:val="6"/>
            <w:tcBorders>
              <w:top w:val="single" w:sz="4" w:space="0" w:color="auto"/>
              <w:left w:val="single" w:sz="4" w:space="0" w:color="auto"/>
              <w:bottom w:val="single" w:sz="4" w:space="0" w:color="auto"/>
              <w:right w:val="single" w:sz="4" w:space="0" w:color="auto"/>
            </w:tcBorders>
          </w:tcPr>
          <w:p w:rsidR="00751E9D" w:rsidRPr="00095938" w:rsidRDefault="00751E9D" w:rsidP="00C74759">
            <w:pPr>
              <w:spacing w:before="40" w:after="40"/>
              <w:rPr>
                <w:rFonts w:ascii="Arial Narrow" w:hAnsi="Arial Narrow" w:cs="Arial"/>
                <w:b/>
                <w:sz w:val="20"/>
                <w:szCs w:val="20"/>
              </w:rPr>
            </w:pPr>
            <w:r w:rsidRPr="00095938">
              <w:rPr>
                <w:rFonts w:ascii="Arial Narrow" w:hAnsi="Arial Narrow" w:cs="Arial"/>
                <w:b/>
                <w:sz w:val="20"/>
                <w:szCs w:val="20"/>
              </w:rPr>
              <w:t>Biosimilar prescribing policy</w:t>
            </w:r>
          </w:p>
          <w:p w:rsidR="00751E9D" w:rsidRDefault="00751E9D" w:rsidP="00C74759">
            <w:pPr>
              <w:rPr>
                <w:rFonts w:ascii="Arial Narrow" w:hAnsi="Arial Narrow" w:cs="Arial"/>
                <w:sz w:val="20"/>
                <w:szCs w:val="20"/>
              </w:rPr>
            </w:pPr>
            <w:r w:rsidRPr="00095938">
              <w:rPr>
                <w:rFonts w:ascii="Arial Narrow" w:hAnsi="Arial Narrow" w:cs="Arial"/>
                <w:sz w:val="20"/>
                <w:szCs w:val="20"/>
              </w:rPr>
              <w:t>Prescribing of the biosimilar brand ZIEXTENZO® is encouraged for treatment naïve patients. 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2E4125">
              <w:rPr>
                <w:rFonts w:ascii="Arial Narrow" w:hAnsi="Arial Narrow"/>
                <w:sz w:val="20"/>
                <w:szCs w:val="20"/>
              </w:rPr>
              <w:t>www.health.gov.au/biosimilars</w:t>
            </w:r>
            <w:r w:rsidRPr="00095938">
              <w:rPr>
                <w:rFonts w:ascii="Arial Narrow" w:hAnsi="Arial Narrow" w:cs="Arial"/>
                <w:sz w:val="20"/>
                <w:szCs w:val="20"/>
              </w:rPr>
              <w:t>).</w:t>
            </w:r>
          </w:p>
          <w:p w:rsidR="003D367C" w:rsidRDefault="003D367C" w:rsidP="00C74759">
            <w:pPr>
              <w:rPr>
                <w:rFonts w:ascii="Arial Narrow" w:hAnsi="Arial Narrow" w:cs="Arial"/>
                <w:sz w:val="20"/>
                <w:szCs w:val="20"/>
              </w:rPr>
            </w:pPr>
          </w:p>
          <w:p w:rsidR="003D367C" w:rsidRPr="00095938" w:rsidRDefault="003D367C" w:rsidP="003D367C">
            <w:pPr>
              <w:rPr>
                <w:rFonts w:ascii="Arial Narrow" w:hAnsi="Arial Narrow" w:cs="Arial"/>
                <w:sz w:val="20"/>
                <w:szCs w:val="20"/>
              </w:rPr>
            </w:pPr>
            <w:r w:rsidRPr="003D367C">
              <w:rPr>
                <w:rFonts w:ascii="Arial Narrow" w:hAnsi="Arial Narrow" w:cs="Arial"/>
                <w:sz w:val="20"/>
                <w:szCs w:val="20"/>
              </w:rPr>
              <w:t>Prescribers must include the proprietary name (brand) on the prescription to ensure the appropriate item is approved.</w:t>
            </w:r>
          </w:p>
        </w:tc>
      </w:tr>
    </w:tbl>
    <w:p w:rsidR="00751E9D" w:rsidRDefault="00751E9D" w:rsidP="00FC3647">
      <w:pPr>
        <w:jc w:val="both"/>
        <w:rPr>
          <w:rFonts w:asciiTheme="minorHAnsi" w:hAnsiTheme="minorHAnsi"/>
          <w:b/>
          <w:sz w:val="22"/>
          <w:szCs w:val="22"/>
        </w:rPr>
      </w:pPr>
    </w:p>
    <w:p w:rsidR="00095938" w:rsidRPr="00EC4BBA" w:rsidRDefault="002A1E93" w:rsidP="00EC4BBA">
      <w:pPr>
        <w:pStyle w:val="3Bodytext"/>
        <w:numPr>
          <w:ilvl w:val="0"/>
          <w:numId w:val="0"/>
        </w:numPr>
        <w:rPr>
          <w:i/>
        </w:rPr>
      </w:pPr>
      <w:r w:rsidRPr="007A3FA3">
        <w:rPr>
          <w:bCs/>
          <w:i/>
          <w:iCs/>
        </w:rPr>
        <w:t>This restriction may be subject to further review. Should there be any changes made to the restriction the Sponsor will be informed.</w:t>
      </w:r>
    </w:p>
    <w:p w:rsidR="0012336E" w:rsidRDefault="0012336E" w:rsidP="0012336E">
      <w:pPr>
        <w:pStyle w:val="2Sections"/>
        <w:rPr>
          <w:lang w:val="en-GB"/>
        </w:rPr>
      </w:pPr>
      <w:r w:rsidRPr="0012336E">
        <w:rPr>
          <w:lang w:val="en-GB"/>
        </w:rPr>
        <w:t>Context for Decision</w:t>
      </w:r>
    </w:p>
    <w:p w:rsidR="00703410" w:rsidRPr="00703410" w:rsidRDefault="00703410" w:rsidP="00703410">
      <w:pPr>
        <w:spacing w:after="120" w:line="276" w:lineRule="auto"/>
        <w:jc w:val="both"/>
        <w:rPr>
          <w:rFonts w:ascii="Calibri" w:eastAsia="Calibri" w:hAnsi="Calibri" w:cs="Arial"/>
          <w:bCs/>
          <w:szCs w:val="22"/>
          <w:lang w:eastAsia="en-US"/>
        </w:rPr>
      </w:pPr>
      <w:r w:rsidRPr="00703410">
        <w:rPr>
          <w:rFonts w:ascii="Calibri" w:eastAsia="Calibri" w:hAnsi="Calibri" w:cs="Arial"/>
          <w:bCs/>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2336E" w:rsidRPr="0012336E" w:rsidRDefault="0012336E" w:rsidP="0012336E">
      <w:pPr>
        <w:pStyle w:val="2Sections"/>
        <w:rPr>
          <w:lang w:val="en-GB"/>
        </w:rPr>
      </w:pPr>
      <w:r w:rsidRPr="0012336E">
        <w:rPr>
          <w:lang w:val="en-GB"/>
        </w:rPr>
        <w:t>10 Sponsor’s Comment</w:t>
      </w:r>
    </w:p>
    <w:p w:rsidR="00095938" w:rsidRPr="008F18A8" w:rsidRDefault="0012336E" w:rsidP="008F18A8">
      <w:pPr>
        <w:spacing w:after="120" w:line="276" w:lineRule="auto"/>
        <w:jc w:val="both"/>
        <w:rPr>
          <w:rFonts w:ascii="Calibri" w:eastAsia="Calibri" w:hAnsi="Calibri" w:cs="Arial"/>
          <w:bCs/>
          <w:szCs w:val="22"/>
          <w:lang w:eastAsia="en-US"/>
        </w:rPr>
      </w:pPr>
      <w:r w:rsidRPr="0012336E">
        <w:rPr>
          <w:rFonts w:ascii="Calibri" w:eastAsia="Calibri" w:hAnsi="Calibri" w:cs="Arial"/>
          <w:bCs/>
          <w:szCs w:val="22"/>
          <w:lang w:eastAsia="en-US"/>
        </w:rPr>
        <w:t>The sponsor had no comment.</w:t>
      </w:r>
    </w:p>
    <w:sectPr w:rsidR="00095938" w:rsidRPr="008F18A8" w:rsidSect="00C27B5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125" w:rsidRDefault="002E4125">
      <w:r>
        <w:separator/>
      </w:r>
    </w:p>
    <w:p w:rsidR="002E4125" w:rsidRDefault="002E4125"/>
    <w:p w:rsidR="002E4125" w:rsidRDefault="002E4125"/>
  </w:endnote>
  <w:endnote w:type="continuationSeparator" w:id="0">
    <w:p w:rsidR="002E4125" w:rsidRDefault="002E4125">
      <w:r>
        <w:continuationSeparator/>
      </w:r>
    </w:p>
    <w:p w:rsidR="002E4125" w:rsidRDefault="002E4125"/>
    <w:p w:rsidR="002E4125" w:rsidRDefault="002E4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E2E72" w:rsidTr="005A3173">
      <w:trPr>
        <w:trHeight w:val="151"/>
      </w:trPr>
      <w:tc>
        <w:tcPr>
          <w:tcW w:w="2250" w:type="pct"/>
          <w:tcBorders>
            <w:top w:val="nil"/>
            <w:left w:val="nil"/>
            <w:bottom w:val="single" w:sz="4" w:space="0" w:color="4F81BD"/>
            <w:right w:val="nil"/>
          </w:tcBorders>
        </w:tcPr>
        <w:p w:rsidR="00DE2E72" w:rsidRPr="005A3173" w:rsidRDefault="00DE2E7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E2E72" w:rsidRPr="005A3173" w:rsidRDefault="00DE2E7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E2E72" w:rsidRPr="005A3173" w:rsidRDefault="00DE2E72" w:rsidP="005A3173">
          <w:pPr>
            <w:pStyle w:val="Header"/>
            <w:spacing w:line="276" w:lineRule="auto"/>
            <w:rPr>
              <w:rFonts w:ascii="Calibri" w:eastAsia="MS Gothic" w:hAnsi="Calibri"/>
              <w:b/>
              <w:bCs/>
              <w:color w:val="4F81BD"/>
            </w:rPr>
          </w:pPr>
        </w:p>
      </w:tc>
    </w:tr>
    <w:tr w:rsidR="00DE2E72" w:rsidTr="005A3173">
      <w:trPr>
        <w:trHeight w:val="150"/>
      </w:trPr>
      <w:tc>
        <w:tcPr>
          <w:tcW w:w="2250" w:type="pct"/>
          <w:tcBorders>
            <w:top w:val="single" w:sz="4" w:space="0" w:color="4F81BD"/>
            <w:left w:val="nil"/>
            <w:bottom w:val="nil"/>
            <w:right w:val="nil"/>
          </w:tcBorders>
        </w:tcPr>
        <w:p w:rsidR="00DE2E72" w:rsidRPr="005A3173" w:rsidRDefault="00DE2E72" w:rsidP="005A3173">
          <w:pPr>
            <w:pStyle w:val="Header"/>
            <w:spacing w:line="276" w:lineRule="auto"/>
            <w:rPr>
              <w:rFonts w:ascii="Calibri" w:eastAsia="MS Gothic" w:hAnsi="Calibri"/>
              <w:b/>
              <w:bCs/>
              <w:color w:val="4F81BD"/>
            </w:rPr>
          </w:pPr>
        </w:p>
      </w:tc>
      <w:tc>
        <w:tcPr>
          <w:tcW w:w="0" w:type="auto"/>
          <w:vMerge/>
          <w:vAlign w:val="center"/>
          <w:hideMark/>
        </w:tcPr>
        <w:p w:rsidR="00DE2E72" w:rsidRPr="005A3173" w:rsidRDefault="00DE2E72" w:rsidP="005A3173">
          <w:pPr>
            <w:rPr>
              <w:rFonts w:ascii="Calibri" w:hAnsi="Calibri"/>
              <w:color w:val="365F91"/>
              <w:sz w:val="22"/>
              <w:szCs w:val="22"/>
            </w:rPr>
          </w:pPr>
        </w:p>
      </w:tc>
      <w:tc>
        <w:tcPr>
          <w:tcW w:w="2250" w:type="pct"/>
          <w:tcBorders>
            <w:top w:val="single" w:sz="4" w:space="0" w:color="4F81BD"/>
            <w:left w:val="nil"/>
            <w:bottom w:val="nil"/>
            <w:right w:val="nil"/>
          </w:tcBorders>
        </w:tcPr>
        <w:p w:rsidR="00DE2E72" w:rsidRPr="005A3173" w:rsidRDefault="00DE2E72" w:rsidP="005A3173">
          <w:pPr>
            <w:pStyle w:val="Header"/>
            <w:spacing w:line="276" w:lineRule="auto"/>
            <w:rPr>
              <w:rFonts w:ascii="Calibri" w:eastAsia="MS Gothic" w:hAnsi="Calibri"/>
              <w:b/>
              <w:bCs/>
              <w:color w:val="4F81BD"/>
            </w:rPr>
          </w:pPr>
        </w:p>
      </w:tc>
    </w:tr>
  </w:tbl>
  <w:p w:rsidR="00DE2E72" w:rsidRDefault="00DE2E7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2E72" w:rsidRDefault="00DE2E72">
    <w:pPr>
      <w:pStyle w:val="Footer"/>
    </w:pPr>
  </w:p>
  <w:p w:rsidR="00DE2E72" w:rsidRDefault="00DE2E72"/>
  <w:p w:rsidR="00DE2E72" w:rsidRDefault="00DE2E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72" w:rsidRDefault="00DE2E72">
    <w:pPr>
      <w:pStyle w:val="Footer"/>
      <w:jc w:val="center"/>
    </w:pPr>
  </w:p>
  <w:p w:rsidR="00DE2E72" w:rsidRDefault="002E4125" w:rsidP="00605BD5">
    <w:pPr>
      <w:pStyle w:val="Footer"/>
      <w:jc w:val="center"/>
    </w:pPr>
    <w:sdt>
      <w:sdtPr>
        <w:id w:val="110102418"/>
        <w:docPartObj>
          <w:docPartGallery w:val="Page Numbers (Bottom of Page)"/>
          <w:docPartUnique/>
        </w:docPartObj>
      </w:sdtPr>
      <w:sdtEndPr>
        <w:rPr>
          <w:noProof/>
        </w:rPr>
      </w:sdtEndPr>
      <w:sdtContent>
        <w:r w:rsidR="00DE2E72" w:rsidRPr="00D358E2">
          <w:rPr>
            <w:rFonts w:asciiTheme="minorHAnsi" w:hAnsiTheme="minorHAnsi" w:cstheme="minorHAnsi"/>
            <w:b/>
          </w:rPr>
          <w:fldChar w:fldCharType="begin"/>
        </w:r>
        <w:r w:rsidR="00DE2E72" w:rsidRPr="00D358E2">
          <w:rPr>
            <w:rFonts w:asciiTheme="minorHAnsi" w:hAnsiTheme="minorHAnsi" w:cstheme="minorHAnsi"/>
            <w:b/>
          </w:rPr>
          <w:instrText xml:space="preserve"> PAGE   \* MERGEFORMAT </w:instrText>
        </w:r>
        <w:r w:rsidR="00DE2E72" w:rsidRPr="00D358E2">
          <w:rPr>
            <w:rFonts w:asciiTheme="minorHAnsi" w:hAnsiTheme="minorHAnsi" w:cstheme="minorHAnsi"/>
            <w:b/>
          </w:rPr>
          <w:fldChar w:fldCharType="separate"/>
        </w:r>
        <w:r>
          <w:rPr>
            <w:rFonts w:asciiTheme="minorHAnsi" w:hAnsiTheme="minorHAnsi" w:cstheme="minorHAnsi"/>
            <w:b/>
            <w:noProof/>
          </w:rPr>
          <w:t>1</w:t>
        </w:r>
        <w:r w:rsidR="00DE2E72" w:rsidRPr="00D358E2">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E2E72" w:rsidTr="005A3173">
      <w:trPr>
        <w:trHeight w:val="151"/>
      </w:trPr>
      <w:tc>
        <w:tcPr>
          <w:tcW w:w="2250" w:type="pct"/>
          <w:tcBorders>
            <w:top w:val="nil"/>
            <w:left w:val="nil"/>
            <w:bottom w:val="single" w:sz="4" w:space="0" w:color="4F81BD"/>
            <w:right w:val="nil"/>
          </w:tcBorders>
        </w:tcPr>
        <w:p w:rsidR="00DE2E72" w:rsidRPr="005A3173" w:rsidRDefault="00DE2E7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E2E72" w:rsidRPr="005A3173" w:rsidRDefault="00DE2E7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E2E72" w:rsidRPr="005A3173" w:rsidRDefault="00DE2E72" w:rsidP="005A3173">
          <w:pPr>
            <w:pStyle w:val="Header"/>
            <w:spacing w:line="276" w:lineRule="auto"/>
            <w:rPr>
              <w:rFonts w:ascii="Calibri" w:eastAsia="MS Gothic" w:hAnsi="Calibri"/>
              <w:b/>
              <w:bCs/>
              <w:color w:val="4F81BD"/>
            </w:rPr>
          </w:pPr>
        </w:p>
      </w:tc>
    </w:tr>
    <w:tr w:rsidR="00DE2E72" w:rsidTr="005A3173">
      <w:trPr>
        <w:trHeight w:val="150"/>
      </w:trPr>
      <w:tc>
        <w:tcPr>
          <w:tcW w:w="2250" w:type="pct"/>
          <w:tcBorders>
            <w:top w:val="single" w:sz="4" w:space="0" w:color="4F81BD"/>
            <w:left w:val="nil"/>
            <w:bottom w:val="nil"/>
            <w:right w:val="nil"/>
          </w:tcBorders>
        </w:tcPr>
        <w:p w:rsidR="00DE2E72" w:rsidRPr="005A3173" w:rsidRDefault="00DE2E72" w:rsidP="005A3173">
          <w:pPr>
            <w:pStyle w:val="Header"/>
            <w:spacing w:line="276" w:lineRule="auto"/>
            <w:rPr>
              <w:rFonts w:ascii="Calibri" w:eastAsia="MS Gothic" w:hAnsi="Calibri"/>
              <w:b/>
              <w:bCs/>
              <w:color w:val="4F81BD"/>
            </w:rPr>
          </w:pPr>
        </w:p>
      </w:tc>
      <w:tc>
        <w:tcPr>
          <w:tcW w:w="0" w:type="auto"/>
          <w:vMerge/>
          <w:vAlign w:val="center"/>
          <w:hideMark/>
        </w:tcPr>
        <w:p w:rsidR="00DE2E72" w:rsidRPr="005A3173" w:rsidRDefault="00DE2E72" w:rsidP="005A3173">
          <w:pPr>
            <w:rPr>
              <w:rFonts w:ascii="Calibri" w:hAnsi="Calibri"/>
              <w:color w:val="365F91"/>
              <w:sz w:val="22"/>
              <w:szCs w:val="22"/>
            </w:rPr>
          </w:pPr>
        </w:p>
      </w:tc>
      <w:tc>
        <w:tcPr>
          <w:tcW w:w="2250" w:type="pct"/>
          <w:tcBorders>
            <w:top w:val="single" w:sz="4" w:space="0" w:color="4F81BD"/>
            <w:left w:val="nil"/>
            <w:bottom w:val="nil"/>
            <w:right w:val="nil"/>
          </w:tcBorders>
        </w:tcPr>
        <w:p w:rsidR="00DE2E72" w:rsidRPr="005A3173" w:rsidRDefault="00DE2E7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E2E72" w:rsidTr="005A3173">
      <w:trPr>
        <w:trHeight w:val="151"/>
      </w:trPr>
      <w:tc>
        <w:tcPr>
          <w:tcW w:w="2250" w:type="pct"/>
          <w:tcBorders>
            <w:top w:val="nil"/>
            <w:left w:val="nil"/>
            <w:bottom w:val="single" w:sz="4" w:space="0" w:color="4F81BD"/>
            <w:right w:val="nil"/>
          </w:tcBorders>
        </w:tcPr>
        <w:p w:rsidR="00DE2E72" w:rsidRPr="005A3173" w:rsidRDefault="00DE2E7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E2E72" w:rsidRPr="005A3173" w:rsidRDefault="00DE2E7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E2E72" w:rsidRPr="005A3173" w:rsidRDefault="00DE2E72" w:rsidP="005A3173">
          <w:pPr>
            <w:pStyle w:val="Header"/>
            <w:spacing w:line="276" w:lineRule="auto"/>
            <w:rPr>
              <w:rFonts w:ascii="Calibri" w:eastAsia="MS Gothic" w:hAnsi="Calibri"/>
              <w:b/>
              <w:bCs/>
              <w:color w:val="4F81BD"/>
            </w:rPr>
          </w:pPr>
        </w:p>
      </w:tc>
    </w:tr>
    <w:tr w:rsidR="00DE2E72" w:rsidTr="005A3173">
      <w:trPr>
        <w:trHeight w:val="150"/>
      </w:trPr>
      <w:tc>
        <w:tcPr>
          <w:tcW w:w="2250" w:type="pct"/>
          <w:tcBorders>
            <w:top w:val="single" w:sz="4" w:space="0" w:color="4F81BD"/>
            <w:left w:val="nil"/>
            <w:bottom w:val="nil"/>
            <w:right w:val="nil"/>
          </w:tcBorders>
        </w:tcPr>
        <w:p w:rsidR="00DE2E72" w:rsidRPr="005A3173" w:rsidRDefault="00DE2E72" w:rsidP="005A3173">
          <w:pPr>
            <w:pStyle w:val="Header"/>
            <w:spacing w:line="276" w:lineRule="auto"/>
            <w:rPr>
              <w:rFonts w:ascii="Calibri" w:eastAsia="MS Gothic" w:hAnsi="Calibri"/>
              <w:b/>
              <w:bCs/>
              <w:color w:val="4F81BD"/>
            </w:rPr>
          </w:pPr>
        </w:p>
      </w:tc>
      <w:tc>
        <w:tcPr>
          <w:tcW w:w="0" w:type="auto"/>
          <w:vMerge/>
          <w:vAlign w:val="center"/>
          <w:hideMark/>
        </w:tcPr>
        <w:p w:rsidR="00DE2E72" w:rsidRPr="005A3173" w:rsidRDefault="00DE2E72" w:rsidP="005A3173">
          <w:pPr>
            <w:rPr>
              <w:rFonts w:ascii="Calibri" w:hAnsi="Calibri"/>
              <w:color w:val="365F91"/>
              <w:sz w:val="22"/>
              <w:szCs w:val="22"/>
            </w:rPr>
          </w:pPr>
        </w:p>
      </w:tc>
      <w:tc>
        <w:tcPr>
          <w:tcW w:w="2250" w:type="pct"/>
          <w:tcBorders>
            <w:top w:val="single" w:sz="4" w:space="0" w:color="4F81BD"/>
            <w:left w:val="nil"/>
            <w:bottom w:val="nil"/>
            <w:right w:val="nil"/>
          </w:tcBorders>
        </w:tcPr>
        <w:p w:rsidR="00DE2E72" w:rsidRPr="005A3173" w:rsidRDefault="00DE2E72" w:rsidP="005A3173">
          <w:pPr>
            <w:pStyle w:val="Header"/>
            <w:spacing w:line="276" w:lineRule="auto"/>
            <w:rPr>
              <w:rFonts w:ascii="Calibri" w:eastAsia="MS Gothic" w:hAnsi="Calibri"/>
              <w:b/>
              <w:bCs/>
              <w:color w:val="4F81BD"/>
            </w:rPr>
          </w:pPr>
        </w:p>
      </w:tc>
    </w:tr>
  </w:tbl>
  <w:p w:rsidR="00DE2E72" w:rsidRPr="007C0F57" w:rsidRDefault="00DE2E7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E2E72" w:rsidRPr="007C0F57" w:rsidRDefault="00DE2E72" w:rsidP="007C0F57">
    <w:pPr>
      <w:pStyle w:val="Footer"/>
      <w:jc w:val="center"/>
      <w:rPr>
        <w:b/>
        <w:i/>
        <w:sz w:val="20"/>
        <w:szCs w:val="20"/>
      </w:rPr>
    </w:pPr>
    <w:r w:rsidRPr="007C0F57">
      <w:rPr>
        <w:b/>
        <w:i/>
        <w:sz w:val="20"/>
        <w:szCs w:val="20"/>
      </w:rPr>
      <w:t>Commercial-in-Confidence</w:t>
    </w:r>
  </w:p>
  <w:p w:rsidR="00DE2E72" w:rsidRDefault="00DE2E72"/>
  <w:p w:rsidR="00DE2E72" w:rsidRDefault="00DE2E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125" w:rsidRDefault="002E4125">
      <w:r>
        <w:separator/>
      </w:r>
    </w:p>
    <w:p w:rsidR="002E4125" w:rsidRDefault="002E4125"/>
    <w:p w:rsidR="002E4125" w:rsidRDefault="002E4125"/>
  </w:footnote>
  <w:footnote w:type="continuationSeparator" w:id="0">
    <w:p w:rsidR="002E4125" w:rsidRDefault="002E4125">
      <w:r>
        <w:continuationSeparator/>
      </w:r>
    </w:p>
    <w:p w:rsidR="002E4125" w:rsidRDefault="002E4125"/>
    <w:p w:rsidR="002E4125" w:rsidRDefault="002E41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E2E72" w:rsidRPr="008E0D90" w:rsidTr="00A06225">
      <w:trPr>
        <w:trHeight w:val="151"/>
      </w:trPr>
      <w:tc>
        <w:tcPr>
          <w:tcW w:w="2389" w:type="pct"/>
          <w:tcBorders>
            <w:top w:val="nil"/>
            <w:left w:val="nil"/>
            <w:bottom w:val="single" w:sz="4" w:space="0" w:color="4F81BD"/>
            <w:right w:val="nil"/>
          </w:tcBorders>
        </w:tcPr>
        <w:p w:rsidR="00DE2E72" w:rsidRPr="00A06225" w:rsidRDefault="00DE2E72">
          <w:pPr>
            <w:pStyle w:val="Header"/>
            <w:spacing w:line="276" w:lineRule="auto"/>
            <w:rPr>
              <w:rFonts w:ascii="Cambria" w:eastAsia="MS Gothic" w:hAnsi="Cambria"/>
              <w:b/>
              <w:bCs/>
              <w:color w:val="4F81BD"/>
            </w:rPr>
          </w:pPr>
        </w:p>
      </w:tc>
      <w:tc>
        <w:tcPr>
          <w:tcW w:w="333" w:type="pct"/>
          <w:vMerge w:val="restart"/>
          <w:noWrap/>
          <w:vAlign w:val="center"/>
          <w:hideMark/>
        </w:tcPr>
        <w:p w:rsidR="00DE2E72" w:rsidRPr="00A06225" w:rsidRDefault="00DE2E7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E2E72" w:rsidRPr="00A06225" w:rsidRDefault="00DE2E72">
          <w:pPr>
            <w:pStyle w:val="Header"/>
            <w:spacing w:line="276" w:lineRule="auto"/>
            <w:rPr>
              <w:rFonts w:ascii="Cambria" w:eastAsia="MS Gothic" w:hAnsi="Cambria"/>
              <w:b/>
              <w:bCs/>
              <w:color w:val="4F81BD"/>
            </w:rPr>
          </w:pPr>
        </w:p>
      </w:tc>
    </w:tr>
    <w:tr w:rsidR="00DE2E72" w:rsidRPr="008E0D90" w:rsidTr="00A06225">
      <w:trPr>
        <w:trHeight w:val="150"/>
      </w:trPr>
      <w:tc>
        <w:tcPr>
          <w:tcW w:w="2389" w:type="pct"/>
          <w:tcBorders>
            <w:top w:val="single" w:sz="4" w:space="0" w:color="4F81BD"/>
            <w:left w:val="nil"/>
            <w:bottom w:val="nil"/>
            <w:right w:val="nil"/>
          </w:tcBorders>
        </w:tcPr>
        <w:p w:rsidR="00DE2E72" w:rsidRPr="00A06225" w:rsidRDefault="00DE2E72">
          <w:pPr>
            <w:pStyle w:val="Header"/>
            <w:spacing w:line="276" w:lineRule="auto"/>
            <w:rPr>
              <w:rFonts w:ascii="Cambria" w:eastAsia="MS Gothic" w:hAnsi="Cambria"/>
              <w:b/>
              <w:bCs/>
              <w:color w:val="4F81BD"/>
            </w:rPr>
          </w:pPr>
        </w:p>
      </w:tc>
      <w:tc>
        <w:tcPr>
          <w:tcW w:w="0" w:type="auto"/>
          <w:vMerge/>
          <w:vAlign w:val="center"/>
          <w:hideMark/>
        </w:tcPr>
        <w:p w:rsidR="00DE2E72" w:rsidRPr="00A06225" w:rsidRDefault="00DE2E72">
          <w:pPr>
            <w:rPr>
              <w:rFonts w:ascii="Cambria" w:hAnsi="Cambria"/>
              <w:color w:val="4F81BD"/>
              <w:sz w:val="22"/>
              <w:szCs w:val="22"/>
            </w:rPr>
          </w:pPr>
        </w:p>
      </w:tc>
      <w:tc>
        <w:tcPr>
          <w:tcW w:w="2278" w:type="pct"/>
          <w:tcBorders>
            <w:top w:val="single" w:sz="4" w:space="0" w:color="4F81BD"/>
            <w:left w:val="nil"/>
            <w:bottom w:val="nil"/>
            <w:right w:val="nil"/>
          </w:tcBorders>
        </w:tcPr>
        <w:p w:rsidR="00DE2E72" w:rsidRPr="00A06225" w:rsidRDefault="00DE2E72">
          <w:pPr>
            <w:pStyle w:val="Header"/>
            <w:spacing w:line="276" w:lineRule="auto"/>
            <w:rPr>
              <w:rFonts w:ascii="Cambria" w:eastAsia="MS Gothic" w:hAnsi="Cambria"/>
              <w:b/>
              <w:bCs/>
              <w:color w:val="4F81BD"/>
            </w:rPr>
          </w:pPr>
        </w:p>
      </w:tc>
    </w:tr>
  </w:tbl>
  <w:p w:rsidR="00DE2E72" w:rsidRDefault="00DE2E72">
    <w:pPr>
      <w:pStyle w:val="Header"/>
    </w:pPr>
  </w:p>
  <w:p w:rsidR="00DE2E72" w:rsidRDefault="00DE2E72"/>
  <w:p w:rsidR="00DE2E72" w:rsidRDefault="00DE2E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72" w:rsidRPr="00D358E2" w:rsidRDefault="0012336E" w:rsidP="00D358E2">
    <w:pPr>
      <w:pStyle w:val="Header"/>
      <w:keepNext/>
      <w:ind w:left="360"/>
      <w:jc w:val="center"/>
      <w:rPr>
        <w:rFonts w:asciiTheme="minorHAnsi" w:hAnsiTheme="minorHAnsi" w:cs="Arial"/>
        <w:i/>
      </w:rPr>
    </w:pPr>
    <w:r>
      <w:rPr>
        <w:rFonts w:asciiTheme="minorHAnsi" w:hAnsiTheme="minorHAnsi" w:cs="Arial"/>
        <w:i/>
      </w:rPr>
      <w:t>Public Summary Document</w:t>
    </w:r>
    <w:r w:rsidR="00DE2E72">
      <w:rPr>
        <w:rFonts w:asciiTheme="minorHAnsi" w:hAnsiTheme="minorHAnsi" w:cs="Arial"/>
        <w:i/>
      </w:rPr>
      <w:t xml:space="preserve"> </w:t>
    </w:r>
    <w:r w:rsidR="00DE2E72" w:rsidRPr="00D358E2">
      <w:rPr>
        <w:rFonts w:asciiTheme="minorHAnsi" w:hAnsiTheme="minorHAnsi" w:cs="Arial"/>
        <w:i/>
      </w:rPr>
      <w:t xml:space="preserve">– </w:t>
    </w:r>
    <w:r w:rsidR="00DE2E72">
      <w:rPr>
        <w:rFonts w:asciiTheme="minorHAnsi" w:hAnsiTheme="minorHAnsi" w:cs="Arial"/>
        <w:i/>
      </w:rPr>
      <w:t>November</w:t>
    </w:r>
    <w:r w:rsidR="00DE2E72" w:rsidRPr="00D358E2">
      <w:rPr>
        <w:rFonts w:asciiTheme="minorHAnsi" w:hAnsiTheme="minorHAnsi" w:cs="Arial"/>
        <w:i/>
      </w:rPr>
      <w:t xml:space="preserve"> 2019 PBAC Meeting</w:t>
    </w:r>
  </w:p>
  <w:p w:rsidR="00DE2E72" w:rsidRDefault="00DE2E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FA" w:rsidRDefault="00F3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26BD5"/>
    <w:multiLevelType w:val="hybridMultilevel"/>
    <w:tmpl w:val="0C020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62D55"/>
    <w:multiLevelType w:val="multilevel"/>
    <w:tmpl w:val="20D29E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pStyle w:val="ListParagraph"/>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732A42"/>
    <w:multiLevelType w:val="hybridMultilevel"/>
    <w:tmpl w:val="C0D41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6F6A2E"/>
    <w:multiLevelType w:val="hybridMultilevel"/>
    <w:tmpl w:val="43DA7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F782E8E2"/>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FD2CBA"/>
    <w:multiLevelType w:val="hybridMultilevel"/>
    <w:tmpl w:val="3FF61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6"/>
  </w:num>
  <w:num w:numId="4">
    <w:abstractNumId w:val="22"/>
  </w:num>
  <w:num w:numId="5">
    <w:abstractNumId w:val="27"/>
  </w:num>
  <w:num w:numId="6">
    <w:abstractNumId w:val="10"/>
  </w:num>
  <w:num w:numId="7">
    <w:abstractNumId w:val="18"/>
  </w:num>
  <w:num w:numId="8">
    <w:abstractNumId w:val="4"/>
  </w:num>
  <w:num w:numId="9">
    <w:abstractNumId w:val="17"/>
  </w:num>
  <w:num w:numId="10">
    <w:abstractNumId w:val="16"/>
  </w:num>
  <w:num w:numId="11">
    <w:abstractNumId w:val="14"/>
  </w:num>
  <w:num w:numId="12">
    <w:abstractNumId w:val="1"/>
  </w:num>
  <w:num w:numId="13">
    <w:abstractNumId w:val="0"/>
  </w:num>
  <w:num w:numId="14">
    <w:abstractNumId w:val="27"/>
  </w:num>
  <w:num w:numId="15">
    <w:abstractNumId w:val="27"/>
  </w:num>
  <w:num w:numId="16">
    <w:abstractNumId w:val="27"/>
  </w:num>
  <w:num w:numId="17">
    <w:abstractNumId w:val="25"/>
  </w:num>
  <w:num w:numId="18">
    <w:abstractNumId w:val="23"/>
  </w:num>
  <w:num w:numId="19">
    <w:abstractNumId w:val="20"/>
  </w:num>
  <w:num w:numId="20">
    <w:abstractNumId w:val="8"/>
  </w:num>
  <w:num w:numId="21">
    <w:abstractNumId w:val="2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7"/>
  </w:num>
  <w:num w:numId="25">
    <w:abstractNumId w:val="28"/>
  </w:num>
  <w:num w:numId="26">
    <w:abstractNumId w:val="27"/>
  </w:num>
  <w:num w:numId="27">
    <w:abstractNumId w:val="9"/>
  </w:num>
  <w:num w:numId="28">
    <w:abstractNumId w:val="24"/>
  </w:num>
  <w:num w:numId="29">
    <w:abstractNumId w:val="5"/>
  </w:num>
  <w:num w:numId="30">
    <w:abstractNumId w:val="2"/>
  </w:num>
  <w:num w:numId="31">
    <w:abstractNumId w:val="13"/>
  </w:num>
  <w:num w:numId="32">
    <w:abstractNumId w:val="15"/>
  </w:num>
  <w:num w:numId="33">
    <w:abstractNumId w:val="12"/>
  </w:num>
  <w:num w:numId="34">
    <w:abstractNumId w:val="19"/>
  </w:num>
  <w:num w:numId="35">
    <w:abstractNumId w:val="27"/>
  </w:num>
  <w:num w:numId="3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3B05"/>
    <w:rsid w:val="000104DB"/>
    <w:rsid w:val="0002464A"/>
    <w:rsid w:val="0003106B"/>
    <w:rsid w:val="00033C03"/>
    <w:rsid w:val="00034905"/>
    <w:rsid w:val="000421A1"/>
    <w:rsid w:val="0004240E"/>
    <w:rsid w:val="00045E26"/>
    <w:rsid w:val="000514B5"/>
    <w:rsid w:val="000553FA"/>
    <w:rsid w:val="00060E64"/>
    <w:rsid w:val="00063469"/>
    <w:rsid w:val="00064B0C"/>
    <w:rsid w:val="00066755"/>
    <w:rsid w:val="00074A84"/>
    <w:rsid w:val="000763D5"/>
    <w:rsid w:val="00077143"/>
    <w:rsid w:val="00082094"/>
    <w:rsid w:val="00082169"/>
    <w:rsid w:val="000833F2"/>
    <w:rsid w:val="00095938"/>
    <w:rsid w:val="000969AD"/>
    <w:rsid w:val="000A0BAF"/>
    <w:rsid w:val="000A44B2"/>
    <w:rsid w:val="000B558D"/>
    <w:rsid w:val="000C40FF"/>
    <w:rsid w:val="000C6996"/>
    <w:rsid w:val="000D23BA"/>
    <w:rsid w:val="000E681E"/>
    <w:rsid w:val="000F0003"/>
    <w:rsid w:val="000F3384"/>
    <w:rsid w:val="000F4E6A"/>
    <w:rsid w:val="000F7354"/>
    <w:rsid w:val="00104227"/>
    <w:rsid w:val="001107BF"/>
    <w:rsid w:val="0012336E"/>
    <w:rsid w:val="0012417C"/>
    <w:rsid w:val="00142395"/>
    <w:rsid w:val="00142714"/>
    <w:rsid w:val="001452ED"/>
    <w:rsid w:val="00145877"/>
    <w:rsid w:val="00162D4E"/>
    <w:rsid w:val="00163329"/>
    <w:rsid w:val="00164623"/>
    <w:rsid w:val="00165B64"/>
    <w:rsid w:val="001674E5"/>
    <w:rsid w:val="001738FB"/>
    <w:rsid w:val="00180713"/>
    <w:rsid w:val="001830CE"/>
    <w:rsid w:val="0018643B"/>
    <w:rsid w:val="00196307"/>
    <w:rsid w:val="001A33EA"/>
    <w:rsid w:val="001B017F"/>
    <w:rsid w:val="001B2BBC"/>
    <w:rsid w:val="001B35C5"/>
    <w:rsid w:val="001B5129"/>
    <w:rsid w:val="001C0B4C"/>
    <w:rsid w:val="001C1195"/>
    <w:rsid w:val="001D2FB7"/>
    <w:rsid w:val="001E3AB9"/>
    <w:rsid w:val="001F1850"/>
    <w:rsid w:val="00203FAC"/>
    <w:rsid w:val="00212A68"/>
    <w:rsid w:val="00213CFB"/>
    <w:rsid w:val="0021553C"/>
    <w:rsid w:val="0021557B"/>
    <w:rsid w:val="00217BE1"/>
    <w:rsid w:val="00234871"/>
    <w:rsid w:val="002509BD"/>
    <w:rsid w:val="00252528"/>
    <w:rsid w:val="00253499"/>
    <w:rsid w:val="00261A00"/>
    <w:rsid w:val="00271BA1"/>
    <w:rsid w:val="002762FA"/>
    <w:rsid w:val="00277505"/>
    <w:rsid w:val="00290C35"/>
    <w:rsid w:val="0029458F"/>
    <w:rsid w:val="002A104C"/>
    <w:rsid w:val="002A1E93"/>
    <w:rsid w:val="002A4960"/>
    <w:rsid w:val="002B1AE6"/>
    <w:rsid w:val="002B2DE8"/>
    <w:rsid w:val="002B30F8"/>
    <w:rsid w:val="002B39DD"/>
    <w:rsid w:val="002B5596"/>
    <w:rsid w:val="002B6258"/>
    <w:rsid w:val="002B6AC7"/>
    <w:rsid w:val="002C212F"/>
    <w:rsid w:val="002D4543"/>
    <w:rsid w:val="002E3153"/>
    <w:rsid w:val="002E3DDC"/>
    <w:rsid w:val="002E4125"/>
    <w:rsid w:val="002E72CA"/>
    <w:rsid w:val="002F363E"/>
    <w:rsid w:val="002F600D"/>
    <w:rsid w:val="00300AD6"/>
    <w:rsid w:val="00304B63"/>
    <w:rsid w:val="003077EE"/>
    <w:rsid w:val="00317C6C"/>
    <w:rsid w:val="00326E79"/>
    <w:rsid w:val="003301B1"/>
    <w:rsid w:val="0033233B"/>
    <w:rsid w:val="0033263D"/>
    <w:rsid w:val="0033518A"/>
    <w:rsid w:val="003367EF"/>
    <w:rsid w:val="00341AE4"/>
    <w:rsid w:val="00343EF5"/>
    <w:rsid w:val="00344C56"/>
    <w:rsid w:val="00345637"/>
    <w:rsid w:val="00347D47"/>
    <w:rsid w:val="00381573"/>
    <w:rsid w:val="0038160F"/>
    <w:rsid w:val="00384988"/>
    <w:rsid w:val="003872CF"/>
    <w:rsid w:val="0039782C"/>
    <w:rsid w:val="003A5B4A"/>
    <w:rsid w:val="003B23C5"/>
    <w:rsid w:val="003B2A75"/>
    <w:rsid w:val="003B4B92"/>
    <w:rsid w:val="003B6124"/>
    <w:rsid w:val="003C1ECF"/>
    <w:rsid w:val="003C2FB5"/>
    <w:rsid w:val="003C3647"/>
    <w:rsid w:val="003D367C"/>
    <w:rsid w:val="003D4AC4"/>
    <w:rsid w:val="003D63B7"/>
    <w:rsid w:val="003E0BF8"/>
    <w:rsid w:val="003E4012"/>
    <w:rsid w:val="003E468B"/>
    <w:rsid w:val="003E5A34"/>
    <w:rsid w:val="003F2985"/>
    <w:rsid w:val="003F3228"/>
    <w:rsid w:val="003F5C8C"/>
    <w:rsid w:val="004006B6"/>
    <w:rsid w:val="00402198"/>
    <w:rsid w:val="00413E67"/>
    <w:rsid w:val="004252EC"/>
    <w:rsid w:val="00430D39"/>
    <w:rsid w:val="0044502A"/>
    <w:rsid w:val="004465BD"/>
    <w:rsid w:val="00465563"/>
    <w:rsid w:val="00466ADA"/>
    <w:rsid w:val="0047494B"/>
    <w:rsid w:val="0047611C"/>
    <w:rsid w:val="00476245"/>
    <w:rsid w:val="0048298D"/>
    <w:rsid w:val="00483035"/>
    <w:rsid w:val="00485940"/>
    <w:rsid w:val="004A2484"/>
    <w:rsid w:val="004A5A85"/>
    <w:rsid w:val="004A6EAD"/>
    <w:rsid w:val="004A71D1"/>
    <w:rsid w:val="004B5640"/>
    <w:rsid w:val="004B6354"/>
    <w:rsid w:val="004C1BD7"/>
    <w:rsid w:val="004C31FE"/>
    <w:rsid w:val="004C691D"/>
    <w:rsid w:val="004C6C07"/>
    <w:rsid w:val="004E1EB3"/>
    <w:rsid w:val="004E692D"/>
    <w:rsid w:val="004F37E3"/>
    <w:rsid w:val="004F65BD"/>
    <w:rsid w:val="00501554"/>
    <w:rsid w:val="00504E0C"/>
    <w:rsid w:val="00510A6E"/>
    <w:rsid w:val="00513897"/>
    <w:rsid w:val="00514CD7"/>
    <w:rsid w:val="00522DB6"/>
    <w:rsid w:val="005319B2"/>
    <w:rsid w:val="00532402"/>
    <w:rsid w:val="00532C74"/>
    <w:rsid w:val="00534E2E"/>
    <w:rsid w:val="00544552"/>
    <w:rsid w:val="0054738C"/>
    <w:rsid w:val="00551FD4"/>
    <w:rsid w:val="0055224D"/>
    <w:rsid w:val="0056695E"/>
    <w:rsid w:val="00566E1B"/>
    <w:rsid w:val="00570D64"/>
    <w:rsid w:val="00577C4D"/>
    <w:rsid w:val="00581932"/>
    <w:rsid w:val="00587203"/>
    <w:rsid w:val="00591DDF"/>
    <w:rsid w:val="005963BB"/>
    <w:rsid w:val="005A3173"/>
    <w:rsid w:val="005A3223"/>
    <w:rsid w:val="005A3DA3"/>
    <w:rsid w:val="005A52C4"/>
    <w:rsid w:val="005D03AB"/>
    <w:rsid w:val="005D5017"/>
    <w:rsid w:val="005E1333"/>
    <w:rsid w:val="005F254C"/>
    <w:rsid w:val="00601A91"/>
    <w:rsid w:val="00602BA3"/>
    <w:rsid w:val="00603177"/>
    <w:rsid w:val="00603CCF"/>
    <w:rsid w:val="00605B63"/>
    <w:rsid w:val="00605BD5"/>
    <w:rsid w:val="00606EED"/>
    <w:rsid w:val="00612E34"/>
    <w:rsid w:val="00614159"/>
    <w:rsid w:val="00617C00"/>
    <w:rsid w:val="00622611"/>
    <w:rsid w:val="006234D9"/>
    <w:rsid w:val="006263BF"/>
    <w:rsid w:val="0062748A"/>
    <w:rsid w:val="00630A2C"/>
    <w:rsid w:val="00632670"/>
    <w:rsid w:val="0063682E"/>
    <w:rsid w:val="00641A82"/>
    <w:rsid w:val="006436CD"/>
    <w:rsid w:val="006449A4"/>
    <w:rsid w:val="00651169"/>
    <w:rsid w:val="00651A74"/>
    <w:rsid w:val="00653D69"/>
    <w:rsid w:val="006552E6"/>
    <w:rsid w:val="006670BE"/>
    <w:rsid w:val="00670A76"/>
    <w:rsid w:val="006711AA"/>
    <w:rsid w:val="00672B57"/>
    <w:rsid w:val="00675622"/>
    <w:rsid w:val="00676426"/>
    <w:rsid w:val="0067747D"/>
    <w:rsid w:val="0069039D"/>
    <w:rsid w:val="006906DB"/>
    <w:rsid w:val="00691E6C"/>
    <w:rsid w:val="0069501D"/>
    <w:rsid w:val="00696129"/>
    <w:rsid w:val="00697CF2"/>
    <w:rsid w:val="006A12A5"/>
    <w:rsid w:val="006B0D94"/>
    <w:rsid w:val="006B485D"/>
    <w:rsid w:val="006C708E"/>
    <w:rsid w:val="006D0381"/>
    <w:rsid w:val="006D14E7"/>
    <w:rsid w:val="006D6493"/>
    <w:rsid w:val="006D6E5F"/>
    <w:rsid w:val="006D6EC7"/>
    <w:rsid w:val="006E1BCD"/>
    <w:rsid w:val="006E24F7"/>
    <w:rsid w:val="006E7948"/>
    <w:rsid w:val="006F5125"/>
    <w:rsid w:val="007002CC"/>
    <w:rsid w:val="00700772"/>
    <w:rsid w:val="00702B6F"/>
    <w:rsid w:val="00703410"/>
    <w:rsid w:val="00705FDC"/>
    <w:rsid w:val="00706A2F"/>
    <w:rsid w:val="0070718E"/>
    <w:rsid w:val="0071340B"/>
    <w:rsid w:val="007174BB"/>
    <w:rsid w:val="0072025D"/>
    <w:rsid w:val="00723C91"/>
    <w:rsid w:val="00730B6B"/>
    <w:rsid w:val="0073225D"/>
    <w:rsid w:val="007353D3"/>
    <w:rsid w:val="00751E9D"/>
    <w:rsid w:val="0076420C"/>
    <w:rsid w:val="00774E2C"/>
    <w:rsid w:val="007753C2"/>
    <w:rsid w:val="007836F4"/>
    <w:rsid w:val="007838B8"/>
    <w:rsid w:val="00783DD5"/>
    <w:rsid w:val="0079229B"/>
    <w:rsid w:val="0079677C"/>
    <w:rsid w:val="007A0BC1"/>
    <w:rsid w:val="007A3FA3"/>
    <w:rsid w:val="007C0F57"/>
    <w:rsid w:val="007C40B6"/>
    <w:rsid w:val="007C729F"/>
    <w:rsid w:val="007D19FA"/>
    <w:rsid w:val="007E1D28"/>
    <w:rsid w:val="007F2641"/>
    <w:rsid w:val="007F66B7"/>
    <w:rsid w:val="007F70EF"/>
    <w:rsid w:val="007F7C36"/>
    <w:rsid w:val="0080424B"/>
    <w:rsid w:val="00806796"/>
    <w:rsid w:val="00811465"/>
    <w:rsid w:val="00811BA7"/>
    <w:rsid w:val="008151D6"/>
    <w:rsid w:val="00822D1F"/>
    <w:rsid w:val="008268BB"/>
    <w:rsid w:val="00826F6D"/>
    <w:rsid w:val="008306F3"/>
    <w:rsid w:val="00830E40"/>
    <w:rsid w:val="008321C3"/>
    <w:rsid w:val="00836441"/>
    <w:rsid w:val="00856DDD"/>
    <w:rsid w:val="00863E68"/>
    <w:rsid w:val="00882085"/>
    <w:rsid w:val="00883188"/>
    <w:rsid w:val="008843C9"/>
    <w:rsid w:val="00893EFC"/>
    <w:rsid w:val="00893F7C"/>
    <w:rsid w:val="008978A7"/>
    <w:rsid w:val="00897D58"/>
    <w:rsid w:val="00897F22"/>
    <w:rsid w:val="008A1956"/>
    <w:rsid w:val="008A453A"/>
    <w:rsid w:val="008A4937"/>
    <w:rsid w:val="008A50F1"/>
    <w:rsid w:val="008D11D6"/>
    <w:rsid w:val="008D194D"/>
    <w:rsid w:val="008D1B5C"/>
    <w:rsid w:val="008D3C82"/>
    <w:rsid w:val="008D447E"/>
    <w:rsid w:val="008D7A41"/>
    <w:rsid w:val="008E2C72"/>
    <w:rsid w:val="008E363D"/>
    <w:rsid w:val="008E3680"/>
    <w:rsid w:val="008E3C9E"/>
    <w:rsid w:val="008E5870"/>
    <w:rsid w:val="008F1434"/>
    <w:rsid w:val="008F18A8"/>
    <w:rsid w:val="008F202C"/>
    <w:rsid w:val="008F3DDC"/>
    <w:rsid w:val="008F7355"/>
    <w:rsid w:val="008F7D51"/>
    <w:rsid w:val="009067B7"/>
    <w:rsid w:val="00916267"/>
    <w:rsid w:val="009168ED"/>
    <w:rsid w:val="009305D0"/>
    <w:rsid w:val="00930937"/>
    <w:rsid w:val="00933E6C"/>
    <w:rsid w:val="00936522"/>
    <w:rsid w:val="00937958"/>
    <w:rsid w:val="00941602"/>
    <w:rsid w:val="00942160"/>
    <w:rsid w:val="0095146F"/>
    <w:rsid w:val="009602C5"/>
    <w:rsid w:val="00962223"/>
    <w:rsid w:val="00966D0D"/>
    <w:rsid w:val="00974C21"/>
    <w:rsid w:val="009752BE"/>
    <w:rsid w:val="00983E94"/>
    <w:rsid w:val="009935CD"/>
    <w:rsid w:val="009A1D5E"/>
    <w:rsid w:val="009A61CA"/>
    <w:rsid w:val="009B0F67"/>
    <w:rsid w:val="009B2470"/>
    <w:rsid w:val="009B5C0F"/>
    <w:rsid w:val="009C703C"/>
    <w:rsid w:val="009D173A"/>
    <w:rsid w:val="009D3CAA"/>
    <w:rsid w:val="009D4D0F"/>
    <w:rsid w:val="009E40E1"/>
    <w:rsid w:val="009F04C4"/>
    <w:rsid w:val="009F0EFA"/>
    <w:rsid w:val="009F4E46"/>
    <w:rsid w:val="009F5B65"/>
    <w:rsid w:val="009F5F2E"/>
    <w:rsid w:val="00A06225"/>
    <w:rsid w:val="00A1243A"/>
    <w:rsid w:val="00A128E6"/>
    <w:rsid w:val="00A21EB2"/>
    <w:rsid w:val="00A25B32"/>
    <w:rsid w:val="00A30AD9"/>
    <w:rsid w:val="00A34E6C"/>
    <w:rsid w:val="00A376FE"/>
    <w:rsid w:val="00A37C8D"/>
    <w:rsid w:val="00A5273B"/>
    <w:rsid w:val="00A53A9D"/>
    <w:rsid w:val="00A54C02"/>
    <w:rsid w:val="00A55FEE"/>
    <w:rsid w:val="00A5639D"/>
    <w:rsid w:val="00A62C1A"/>
    <w:rsid w:val="00A62FB3"/>
    <w:rsid w:val="00A6426D"/>
    <w:rsid w:val="00A665C1"/>
    <w:rsid w:val="00A6682C"/>
    <w:rsid w:val="00A70622"/>
    <w:rsid w:val="00A70977"/>
    <w:rsid w:val="00A744F9"/>
    <w:rsid w:val="00A75CDB"/>
    <w:rsid w:val="00A77613"/>
    <w:rsid w:val="00A8390C"/>
    <w:rsid w:val="00A84441"/>
    <w:rsid w:val="00A928BD"/>
    <w:rsid w:val="00A928D1"/>
    <w:rsid w:val="00AA12CD"/>
    <w:rsid w:val="00AA4D1C"/>
    <w:rsid w:val="00AC01F5"/>
    <w:rsid w:val="00AC193C"/>
    <w:rsid w:val="00AC5206"/>
    <w:rsid w:val="00AD4322"/>
    <w:rsid w:val="00AE0B52"/>
    <w:rsid w:val="00AE0C3B"/>
    <w:rsid w:val="00AE11A5"/>
    <w:rsid w:val="00AE13E2"/>
    <w:rsid w:val="00AE1C69"/>
    <w:rsid w:val="00AE1D40"/>
    <w:rsid w:val="00AE22D3"/>
    <w:rsid w:val="00AF59EF"/>
    <w:rsid w:val="00AF5CE2"/>
    <w:rsid w:val="00AF62DF"/>
    <w:rsid w:val="00AF68CC"/>
    <w:rsid w:val="00B06D08"/>
    <w:rsid w:val="00B1059E"/>
    <w:rsid w:val="00B15224"/>
    <w:rsid w:val="00B176C8"/>
    <w:rsid w:val="00B205AA"/>
    <w:rsid w:val="00B22E84"/>
    <w:rsid w:val="00B233AD"/>
    <w:rsid w:val="00B25F75"/>
    <w:rsid w:val="00B2617B"/>
    <w:rsid w:val="00B26B3F"/>
    <w:rsid w:val="00B2778F"/>
    <w:rsid w:val="00B33635"/>
    <w:rsid w:val="00B33903"/>
    <w:rsid w:val="00B43E90"/>
    <w:rsid w:val="00B450D5"/>
    <w:rsid w:val="00B467DC"/>
    <w:rsid w:val="00B56118"/>
    <w:rsid w:val="00B621E7"/>
    <w:rsid w:val="00B6773F"/>
    <w:rsid w:val="00B71E26"/>
    <w:rsid w:val="00B76427"/>
    <w:rsid w:val="00B767FC"/>
    <w:rsid w:val="00B801BA"/>
    <w:rsid w:val="00B84D5C"/>
    <w:rsid w:val="00BB69F5"/>
    <w:rsid w:val="00BB7EC3"/>
    <w:rsid w:val="00BC4B9A"/>
    <w:rsid w:val="00BD4273"/>
    <w:rsid w:val="00BD4D42"/>
    <w:rsid w:val="00BD62E1"/>
    <w:rsid w:val="00BD784C"/>
    <w:rsid w:val="00BE4F58"/>
    <w:rsid w:val="00BE5E0B"/>
    <w:rsid w:val="00BF0274"/>
    <w:rsid w:val="00BF4CB6"/>
    <w:rsid w:val="00C00DA7"/>
    <w:rsid w:val="00C04484"/>
    <w:rsid w:val="00C07682"/>
    <w:rsid w:val="00C12768"/>
    <w:rsid w:val="00C27B58"/>
    <w:rsid w:val="00C328CA"/>
    <w:rsid w:val="00C35996"/>
    <w:rsid w:val="00C42C51"/>
    <w:rsid w:val="00C4747E"/>
    <w:rsid w:val="00C5342C"/>
    <w:rsid w:val="00C60272"/>
    <w:rsid w:val="00C603D4"/>
    <w:rsid w:val="00C61A80"/>
    <w:rsid w:val="00C6256A"/>
    <w:rsid w:val="00C71C3F"/>
    <w:rsid w:val="00C74759"/>
    <w:rsid w:val="00C77891"/>
    <w:rsid w:val="00C91449"/>
    <w:rsid w:val="00C92D10"/>
    <w:rsid w:val="00CA7D52"/>
    <w:rsid w:val="00CB1193"/>
    <w:rsid w:val="00CC4AD8"/>
    <w:rsid w:val="00CE10C4"/>
    <w:rsid w:val="00CE27B5"/>
    <w:rsid w:val="00CE3439"/>
    <w:rsid w:val="00D0321E"/>
    <w:rsid w:val="00D0407D"/>
    <w:rsid w:val="00D1455A"/>
    <w:rsid w:val="00D2067B"/>
    <w:rsid w:val="00D2280D"/>
    <w:rsid w:val="00D22B42"/>
    <w:rsid w:val="00D31150"/>
    <w:rsid w:val="00D3138B"/>
    <w:rsid w:val="00D3280C"/>
    <w:rsid w:val="00D33A7F"/>
    <w:rsid w:val="00D3406A"/>
    <w:rsid w:val="00D34196"/>
    <w:rsid w:val="00D358E2"/>
    <w:rsid w:val="00D414C2"/>
    <w:rsid w:val="00D42968"/>
    <w:rsid w:val="00D4572C"/>
    <w:rsid w:val="00D469B2"/>
    <w:rsid w:val="00D51C62"/>
    <w:rsid w:val="00D625F2"/>
    <w:rsid w:val="00D6394E"/>
    <w:rsid w:val="00D64DAB"/>
    <w:rsid w:val="00D741EB"/>
    <w:rsid w:val="00D820F3"/>
    <w:rsid w:val="00D826E5"/>
    <w:rsid w:val="00D83605"/>
    <w:rsid w:val="00D84934"/>
    <w:rsid w:val="00D91271"/>
    <w:rsid w:val="00D919F5"/>
    <w:rsid w:val="00D94F03"/>
    <w:rsid w:val="00DA2CB5"/>
    <w:rsid w:val="00DA4BAC"/>
    <w:rsid w:val="00DA5C92"/>
    <w:rsid w:val="00DB0151"/>
    <w:rsid w:val="00DB7696"/>
    <w:rsid w:val="00DE2E72"/>
    <w:rsid w:val="00DE2F3C"/>
    <w:rsid w:val="00DE6D27"/>
    <w:rsid w:val="00DE6E59"/>
    <w:rsid w:val="00DF1267"/>
    <w:rsid w:val="00DF217D"/>
    <w:rsid w:val="00DF26A7"/>
    <w:rsid w:val="00E127B5"/>
    <w:rsid w:val="00E15627"/>
    <w:rsid w:val="00E164B3"/>
    <w:rsid w:val="00E16910"/>
    <w:rsid w:val="00E27234"/>
    <w:rsid w:val="00E30809"/>
    <w:rsid w:val="00E42BDB"/>
    <w:rsid w:val="00E5020B"/>
    <w:rsid w:val="00E57EEB"/>
    <w:rsid w:val="00E6107B"/>
    <w:rsid w:val="00E61AE5"/>
    <w:rsid w:val="00E62D94"/>
    <w:rsid w:val="00E631F1"/>
    <w:rsid w:val="00E65E54"/>
    <w:rsid w:val="00E663E9"/>
    <w:rsid w:val="00E702CC"/>
    <w:rsid w:val="00E75D2A"/>
    <w:rsid w:val="00E80155"/>
    <w:rsid w:val="00E810B6"/>
    <w:rsid w:val="00E81F28"/>
    <w:rsid w:val="00E83843"/>
    <w:rsid w:val="00E848C0"/>
    <w:rsid w:val="00E84F55"/>
    <w:rsid w:val="00E91B96"/>
    <w:rsid w:val="00E94139"/>
    <w:rsid w:val="00E941A1"/>
    <w:rsid w:val="00E95CE3"/>
    <w:rsid w:val="00EA2825"/>
    <w:rsid w:val="00EB0B63"/>
    <w:rsid w:val="00EB1936"/>
    <w:rsid w:val="00EB5088"/>
    <w:rsid w:val="00EB56F3"/>
    <w:rsid w:val="00EC4BBA"/>
    <w:rsid w:val="00EC6DA4"/>
    <w:rsid w:val="00EC6E26"/>
    <w:rsid w:val="00ED1644"/>
    <w:rsid w:val="00ED2593"/>
    <w:rsid w:val="00ED7D9C"/>
    <w:rsid w:val="00EE217B"/>
    <w:rsid w:val="00EE7EF2"/>
    <w:rsid w:val="00EF0069"/>
    <w:rsid w:val="00EF44A0"/>
    <w:rsid w:val="00EF4FED"/>
    <w:rsid w:val="00EF70B5"/>
    <w:rsid w:val="00F0172E"/>
    <w:rsid w:val="00F050BD"/>
    <w:rsid w:val="00F05657"/>
    <w:rsid w:val="00F1561F"/>
    <w:rsid w:val="00F25578"/>
    <w:rsid w:val="00F258E5"/>
    <w:rsid w:val="00F300BC"/>
    <w:rsid w:val="00F307FA"/>
    <w:rsid w:val="00F30A60"/>
    <w:rsid w:val="00F3334E"/>
    <w:rsid w:val="00F36CCB"/>
    <w:rsid w:val="00F374E5"/>
    <w:rsid w:val="00F4218E"/>
    <w:rsid w:val="00F4332F"/>
    <w:rsid w:val="00F43AF2"/>
    <w:rsid w:val="00F5007E"/>
    <w:rsid w:val="00F50EC4"/>
    <w:rsid w:val="00F52232"/>
    <w:rsid w:val="00F550CF"/>
    <w:rsid w:val="00F57A6D"/>
    <w:rsid w:val="00F638CC"/>
    <w:rsid w:val="00F64CC1"/>
    <w:rsid w:val="00F72317"/>
    <w:rsid w:val="00F72ABC"/>
    <w:rsid w:val="00F80475"/>
    <w:rsid w:val="00F8247A"/>
    <w:rsid w:val="00F86066"/>
    <w:rsid w:val="00F9629A"/>
    <w:rsid w:val="00F97EFC"/>
    <w:rsid w:val="00FA4DD5"/>
    <w:rsid w:val="00FA5883"/>
    <w:rsid w:val="00FA6055"/>
    <w:rsid w:val="00FB322F"/>
    <w:rsid w:val="00FB442F"/>
    <w:rsid w:val="00FC1929"/>
    <w:rsid w:val="00FC3647"/>
    <w:rsid w:val="00FC5B46"/>
    <w:rsid w:val="00FD621E"/>
    <w:rsid w:val="00FD6D8E"/>
    <w:rsid w:val="00FE0DF3"/>
    <w:rsid w:val="00FE0E94"/>
    <w:rsid w:val="00FE0FD9"/>
    <w:rsid w:val="00FE43EC"/>
    <w:rsid w:val="00FF00BD"/>
    <w:rsid w:val="00FF1ED4"/>
    <w:rsid w:val="00FF2801"/>
    <w:rsid w:val="00FF5AE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rPr>
  </w:style>
  <w:style w:type="paragraph" w:styleId="Heading2">
    <w:name w:val="heading 2"/>
    <w:aliases w:val="Subsection Headings"/>
    <w:basedOn w:val="Normal"/>
    <w:next w:val="Normal"/>
    <w:link w:val="Heading2Char"/>
    <w:uiPriority w:val="1"/>
    <w:qFormat/>
    <w:rsid w:val="00605BD5"/>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basedOn w:val="Bodytextitalics"/>
    <w:link w:val="ListParagraphChar"/>
    <w:uiPriority w:val="34"/>
    <w:qFormat/>
    <w:rsid w:val="00605BD5"/>
    <w:pPr>
      <w:numPr>
        <w:ilvl w:val="2"/>
        <w:numId w:val="27"/>
      </w:numPr>
      <w:ind w:left="1134" w:hanging="283"/>
      <w:jc w:val="both"/>
    </w:pPr>
    <w:rPr>
      <w:i w:val="0"/>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34"/>
    <w:qFormat/>
    <w:rsid w:val="00605BD5"/>
    <w:rPr>
      <w:rFonts w:asciiTheme="minorHAnsi" w:eastAsiaTheme="minorHAnsi" w:hAnsiTheme="minorHAnsi" w:cstheme="minorBidi"/>
      <w:sz w:val="24"/>
      <w:szCs w:val="22"/>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605BD5"/>
    <w:rPr>
      <w:rFonts w:asciiTheme="minorHAnsi" w:eastAsiaTheme="majorEastAsia" w:hAnsiTheme="minorHAnsi" w:cstheme="majorBidi"/>
      <w:b/>
      <w:i/>
      <w:sz w:val="28"/>
      <w:szCs w:val="28"/>
      <w:lang w:eastAsia="en-US"/>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numPr>
        <w:ilvl w:val="1"/>
        <w:numId w:val="14"/>
      </w:numPr>
    </w:pPr>
    <w:rPr>
      <w:snapToGrid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val="0"/>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val="0"/>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customStyle="1" w:styleId="Bodytextitalics">
    <w:name w:val="Body text italics"/>
    <w:basedOn w:val="BodyText"/>
    <w:qFormat/>
    <w:rsid w:val="00D42968"/>
    <w:pPr>
      <w:ind w:left="720" w:hanging="720"/>
    </w:pPr>
    <w:rPr>
      <w:rFonts w:asciiTheme="minorHAnsi" w:eastAsiaTheme="minorHAnsi" w:hAnsiTheme="minorHAnsi" w:cstheme="minorBidi"/>
      <w:i/>
      <w:szCs w:val="22"/>
    </w:rPr>
  </w:style>
  <w:style w:type="paragraph" w:styleId="BodyText">
    <w:name w:val="Body Text"/>
    <w:basedOn w:val="Normal"/>
    <w:link w:val="BodyTextChar"/>
    <w:semiHidden/>
    <w:unhideWhenUsed/>
    <w:rsid w:val="00D42968"/>
    <w:pPr>
      <w:spacing w:after="120"/>
    </w:pPr>
  </w:style>
  <w:style w:type="character" w:customStyle="1" w:styleId="BodyTextChar">
    <w:name w:val="Body Text Char"/>
    <w:basedOn w:val="DefaultParagraphFont"/>
    <w:link w:val="BodyText"/>
    <w:semiHidden/>
    <w:rsid w:val="00D42968"/>
    <w:rPr>
      <w:sz w:val="24"/>
      <w:szCs w:val="24"/>
    </w:rPr>
  </w:style>
  <w:style w:type="paragraph" w:styleId="Caption">
    <w:name w:val="caption"/>
    <w:basedOn w:val="Normal"/>
    <w:next w:val="Normal"/>
    <w:unhideWhenUsed/>
    <w:qFormat/>
    <w:rsid w:val="00D42968"/>
    <w:pPr>
      <w:spacing w:after="200"/>
    </w:pPr>
    <w:rPr>
      <w:rFonts w:ascii="Calibri" w:hAnsi="Calibri"/>
      <w:i/>
      <w:iCs/>
      <w:color w:val="000000" w:themeColor="text1"/>
      <w:sz w:val="18"/>
      <w:szCs w:val="18"/>
    </w:rPr>
  </w:style>
  <w:style w:type="paragraph" w:styleId="NormalWeb">
    <w:name w:val="Normal (Web)"/>
    <w:basedOn w:val="Normal"/>
    <w:uiPriority w:val="99"/>
    <w:unhideWhenUsed/>
    <w:rsid w:val="009B5C0F"/>
    <w:pPr>
      <w:spacing w:before="100" w:beforeAutospacing="1" w:after="100" w:afterAutospacing="1"/>
    </w:pPr>
    <w:rPr>
      <w:lang w:val="en-US" w:eastAsia="en-US"/>
    </w:rPr>
  </w:style>
  <w:style w:type="paragraph" w:styleId="FootnoteText">
    <w:name w:val="footnote text"/>
    <w:basedOn w:val="Normal"/>
    <w:link w:val="FootnoteTextChar"/>
    <w:rsid w:val="00C42C51"/>
    <w:rPr>
      <w:sz w:val="20"/>
      <w:szCs w:val="20"/>
    </w:rPr>
  </w:style>
  <w:style w:type="character" w:customStyle="1" w:styleId="FootnoteTextChar">
    <w:name w:val="Footnote Text Char"/>
    <w:basedOn w:val="DefaultParagraphFont"/>
    <w:link w:val="FootnoteText"/>
    <w:rsid w:val="00C42C51"/>
  </w:style>
  <w:style w:type="character" w:styleId="FootnoteReference">
    <w:name w:val="footnote reference"/>
    <w:basedOn w:val="DefaultParagraphFont"/>
    <w:rsid w:val="00C42C51"/>
    <w:rPr>
      <w:vertAlign w:val="superscript"/>
    </w:rPr>
  </w:style>
  <w:style w:type="character" w:styleId="Emphasis">
    <w:name w:val="Emphasis"/>
    <w:basedOn w:val="DefaultParagraphFont"/>
    <w:qFormat/>
    <w:rsid w:val="00C42C51"/>
    <w:rPr>
      <w:i/>
      <w:iCs/>
    </w:rPr>
  </w:style>
  <w:style w:type="paragraph" w:customStyle="1" w:styleId="PBACheading10">
    <w:name w:val="PBAC heading 1"/>
    <w:qFormat/>
    <w:rsid w:val="00C42C51"/>
    <w:pPr>
      <w:ind w:left="720" w:hanging="720"/>
      <w:outlineLvl w:val="0"/>
    </w:pPr>
    <w:rPr>
      <w:rFonts w:ascii="Arial" w:hAnsi="Arial" w:cs="Arial"/>
      <w:b/>
      <w:snapToGrid w:val="0"/>
      <w:sz w:val="22"/>
      <w:szCs w:val="22"/>
      <w:lang w:eastAsia="en-US"/>
    </w:rPr>
  </w:style>
  <w:style w:type="paragraph" w:customStyle="1" w:styleId="normal2">
    <w:name w:val="normal2"/>
    <w:basedOn w:val="Normal"/>
    <w:link w:val="normal2Char"/>
    <w:qFormat/>
    <w:rsid w:val="00605BD5"/>
    <w:rPr>
      <w:rFonts w:asciiTheme="minorHAnsi" w:eastAsiaTheme="majorEastAsia" w:hAnsiTheme="minorHAnsi" w:cstheme="minorHAnsi"/>
      <w:lang w:eastAsia="en-US"/>
    </w:rPr>
  </w:style>
  <w:style w:type="paragraph" w:customStyle="1" w:styleId="subsection2">
    <w:name w:val="subsection2"/>
    <w:basedOn w:val="Normal"/>
    <w:link w:val="subsection2Char"/>
    <w:qFormat/>
    <w:rsid w:val="00605BD5"/>
    <w:pPr>
      <w:spacing w:after="120"/>
    </w:pPr>
    <w:rPr>
      <w:rFonts w:asciiTheme="minorHAnsi" w:hAnsiTheme="minorHAnsi"/>
      <w:b/>
      <w:i/>
    </w:rPr>
  </w:style>
  <w:style w:type="character" w:customStyle="1" w:styleId="normal2Char">
    <w:name w:val="normal2 Char"/>
    <w:basedOn w:val="DefaultParagraphFont"/>
    <w:link w:val="normal2"/>
    <w:rsid w:val="00605BD5"/>
    <w:rPr>
      <w:rFonts w:asciiTheme="minorHAnsi" w:eastAsiaTheme="majorEastAsia" w:hAnsiTheme="minorHAnsi" w:cstheme="minorHAnsi"/>
      <w:sz w:val="24"/>
      <w:szCs w:val="24"/>
      <w:lang w:eastAsia="en-US"/>
    </w:rPr>
  </w:style>
  <w:style w:type="paragraph" w:customStyle="1" w:styleId="subsection3">
    <w:name w:val="subsection3"/>
    <w:basedOn w:val="subsection2"/>
    <w:link w:val="subsection3Char"/>
    <w:qFormat/>
    <w:rsid w:val="006234D9"/>
    <w:pPr>
      <w:keepNext/>
      <w:keepLines/>
      <w:spacing w:before="120" w:after="0"/>
      <w:outlineLvl w:val="1"/>
    </w:pPr>
    <w:rPr>
      <w:rFonts w:eastAsiaTheme="majorEastAsia" w:cstheme="majorBidi"/>
      <w:i w:val="0"/>
      <w:snapToGrid w:val="0"/>
      <w:szCs w:val="28"/>
      <w:lang w:val="en-GB" w:eastAsia="en-US"/>
    </w:rPr>
  </w:style>
  <w:style w:type="character" w:customStyle="1" w:styleId="subsection2Char">
    <w:name w:val="subsection2 Char"/>
    <w:basedOn w:val="DefaultParagraphFont"/>
    <w:link w:val="subsection2"/>
    <w:rsid w:val="00605BD5"/>
    <w:rPr>
      <w:rFonts w:asciiTheme="minorHAnsi" w:hAnsiTheme="minorHAnsi"/>
      <w:b/>
      <w:i/>
      <w:sz w:val="24"/>
      <w:szCs w:val="24"/>
    </w:rPr>
  </w:style>
  <w:style w:type="character" w:customStyle="1" w:styleId="subsection3Char">
    <w:name w:val="subsection3 Char"/>
    <w:basedOn w:val="subsection2Char"/>
    <w:link w:val="subsection3"/>
    <w:rsid w:val="006234D9"/>
    <w:rPr>
      <w:rFonts w:asciiTheme="minorHAnsi" w:eastAsiaTheme="majorEastAsia" w:hAnsiTheme="minorHAnsi" w:cstheme="majorBidi"/>
      <w:b/>
      <w:i w:val="0"/>
      <w:snapToGrid w:val="0"/>
      <w:sz w:val="24"/>
      <w:szCs w:val="28"/>
      <w:lang w:val="en-GB" w:eastAsia="en-US"/>
    </w:rPr>
  </w:style>
  <w:style w:type="paragraph" w:styleId="Revision">
    <w:name w:val="Revision"/>
    <w:hidden/>
    <w:uiPriority w:val="71"/>
    <w:semiHidden/>
    <w:rsid w:val="007034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92316916">
      <w:bodyDiv w:val="1"/>
      <w:marLeft w:val="0"/>
      <w:marRight w:val="0"/>
      <w:marTop w:val="0"/>
      <w:marBottom w:val="0"/>
      <w:divBdr>
        <w:top w:val="none" w:sz="0" w:space="0" w:color="auto"/>
        <w:left w:val="none" w:sz="0" w:space="0" w:color="auto"/>
        <w:bottom w:val="none" w:sz="0" w:space="0" w:color="auto"/>
        <w:right w:val="none" w:sz="0" w:space="0" w:color="auto"/>
      </w:divBdr>
    </w:div>
    <w:div w:id="114308048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738792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463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2020-02-26T02:10:00Z</dcterms:created>
  <dcterms:modified xsi:type="dcterms:W3CDTF">2020-02-26T02:11:00Z</dcterms:modified>
</cp:coreProperties>
</file>