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BE" w:rsidRDefault="00E41677" w:rsidP="00683562">
      <w:pPr>
        <w:widowControl/>
        <w:ind w:left="720" w:hanging="720"/>
        <w:jc w:val="left"/>
        <w:outlineLvl w:val="0"/>
        <w:rPr>
          <w:b/>
          <w:sz w:val="36"/>
          <w:szCs w:val="36"/>
        </w:rPr>
      </w:pPr>
      <w:r>
        <w:rPr>
          <w:b/>
          <w:sz w:val="36"/>
          <w:szCs w:val="36"/>
        </w:rPr>
        <w:t>5</w:t>
      </w:r>
      <w:r w:rsidR="00433044" w:rsidRPr="00C12C14">
        <w:rPr>
          <w:b/>
          <w:sz w:val="36"/>
          <w:szCs w:val="36"/>
        </w:rPr>
        <w:t>.</w:t>
      </w:r>
      <w:r>
        <w:rPr>
          <w:b/>
          <w:sz w:val="36"/>
          <w:szCs w:val="36"/>
        </w:rPr>
        <w:t>09</w:t>
      </w:r>
      <w:r w:rsidR="00B60939" w:rsidRPr="00C12C14">
        <w:rPr>
          <w:b/>
          <w:sz w:val="36"/>
          <w:szCs w:val="36"/>
        </w:rPr>
        <w:tab/>
      </w:r>
      <w:r w:rsidR="00544A14" w:rsidRPr="006D6FE4">
        <w:rPr>
          <w:b/>
          <w:caps/>
          <w:sz w:val="36"/>
          <w:szCs w:val="36"/>
        </w:rPr>
        <w:t>Polatuzumab vedotin</w:t>
      </w:r>
      <w:r w:rsidR="00B60939" w:rsidRPr="00C12C14">
        <w:rPr>
          <w:b/>
          <w:sz w:val="36"/>
          <w:szCs w:val="36"/>
        </w:rPr>
        <w:t>,</w:t>
      </w:r>
      <w:r w:rsidR="002B5CBE">
        <w:rPr>
          <w:b/>
          <w:sz w:val="36"/>
          <w:szCs w:val="36"/>
        </w:rPr>
        <w:t xml:space="preserve"> </w:t>
      </w:r>
    </w:p>
    <w:p w:rsidR="002B5CBE" w:rsidRDefault="004A5BFF" w:rsidP="002B5CBE">
      <w:pPr>
        <w:ind w:left="720"/>
        <w:rPr>
          <w:b/>
          <w:sz w:val="36"/>
          <w:szCs w:val="36"/>
        </w:rPr>
      </w:pPr>
      <w:r>
        <w:rPr>
          <w:b/>
          <w:sz w:val="36"/>
          <w:szCs w:val="36"/>
        </w:rPr>
        <w:t>Powder</w:t>
      </w:r>
      <w:r w:rsidR="00544A14">
        <w:rPr>
          <w:b/>
          <w:sz w:val="36"/>
          <w:szCs w:val="36"/>
        </w:rPr>
        <w:t xml:space="preserve"> for </w:t>
      </w:r>
      <w:r w:rsidR="00054092">
        <w:rPr>
          <w:b/>
          <w:sz w:val="36"/>
          <w:szCs w:val="36"/>
        </w:rPr>
        <w:t>injection</w:t>
      </w:r>
      <w:r w:rsidR="00B60939" w:rsidRPr="00C12C14">
        <w:rPr>
          <w:b/>
          <w:sz w:val="36"/>
          <w:szCs w:val="36"/>
        </w:rPr>
        <w:t xml:space="preserve">, </w:t>
      </w:r>
      <w:r w:rsidR="00544A14">
        <w:rPr>
          <w:b/>
          <w:sz w:val="36"/>
          <w:szCs w:val="36"/>
        </w:rPr>
        <w:t>140 mg</w:t>
      </w:r>
      <w:r w:rsidR="00054092">
        <w:rPr>
          <w:b/>
          <w:sz w:val="36"/>
          <w:szCs w:val="36"/>
        </w:rPr>
        <w:t xml:space="preserve"> vial</w:t>
      </w:r>
      <w:r w:rsidR="00B60939" w:rsidRPr="00C12C14">
        <w:rPr>
          <w:b/>
          <w:sz w:val="36"/>
          <w:szCs w:val="36"/>
        </w:rPr>
        <w:t xml:space="preserve">, </w:t>
      </w:r>
    </w:p>
    <w:p w:rsidR="002B5CBE" w:rsidRDefault="00544A14" w:rsidP="002B5CBE">
      <w:pPr>
        <w:ind w:left="720"/>
        <w:rPr>
          <w:b/>
          <w:sz w:val="36"/>
          <w:szCs w:val="36"/>
        </w:rPr>
      </w:pPr>
      <w:proofErr w:type="spellStart"/>
      <w:r>
        <w:rPr>
          <w:b/>
          <w:sz w:val="36"/>
          <w:szCs w:val="36"/>
        </w:rPr>
        <w:t>Polivy</w:t>
      </w:r>
      <w:proofErr w:type="spellEnd"/>
      <w:r w:rsidR="00B60939" w:rsidRPr="00C12C14">
        <w:rPr>
          <w:b/>
          <w:sz w:val="36"/>
          <w:szCs w:val="36"/>
          <w:vertAlign w:val="superscript"/>
        </w:rPr>
        <w:t>®</w:t>
      </w:r>
      <w:r w:rsidR="00B60939" w:rsidRPr="00C12C14">
        <w:rPr>
          <w:b/>
          <w:sz w:val="36"/>
          <w:szCs w:val="36"/>
        </w:rPr>
        <w:t xml:space="preserve">, </w:t>
      </w:r>
    </w:p>
    <w:p w:rsidR="00433044" w:rsidRDefault="00544A14" w:rsidP="00A75AFB">
      <w:pPr>
        <w:ind w:left="720"/>
      </w:pPr>
      <w:r w:rsidRPr="00544A14">
        <w:rPr>
          <w:b/>
          <w:sz w:val="36"/>
          <w:szCs w:val="36"/>
        </w:rPr>
        <w:t>Roche Products Pty Limited</w:t>
      </w:r>
      <w:r w:rsidR="00B60939" w:rsidRPr="00C12C14">
        <w:rPr>
          <w:b/>
          <w:sz w:val="36"/>
          <w:szCs w:val="36"/>
        </w:rPr>
        <w:t>.</w:t>
      </w:r>
    </w:p>
    <w:p w:rsidR="00B60939" w:rsidRPr="00882085" w:rsidRDefault="00B50DB8" w:rsidP="00B60939">
      <w:pPr>
        <w:pStyle w:val="PBACHeading1"/>
        <w:spacing w:before="240" w:after="120"/>
        <w:outlineLvl w:val="0"/>
      </w:pPr>
      <w:bookmarkStart w:id="0" w:name="_Toc19627186"/>
      <w:r w:rsidRPr="00407F2D">
        <w:t>Purpose of Application</w:t>
      </w:r>
      <w:bookmarkEnd w:id="0"/>
    </w:p>
    <w:p w:rsidR="002C2775" w:rsidRPr="008B1757" w:rsidRDefault="00AD48C4" w:rsidP="00095881">
      <w:pPr>
        <w:pStyle w:val="ListParagraph"/>
        <w:widowControl/>
        <w:numPr>
          <w:ilvl w:val="1"/>
          <w:numId w:val="2"/>
        </w:numPr>
      </w:pPr>
      <w:r>
        <w:t xml:space="preserve">The submission requested a </w:t>
      </w:r>
      <w:r w:rsidR="008B1757" w:rsidRPr="004B3DDB">
        <w:t xml:space="preserve">Section 100, </w:t>
      </w:r>
      <w:r>
        <w:t xml:space="preserve">Efficient Funding of Chemotherapy </w:t>
      </w:r>
      <w:r w:rsidR="008B1757" w:rsidRPr="004B3DDB">
        <w:t xml:space="preserve">listing for </w:t>
      </w:r>
      <w:proofErr w:type="spellStart"/>
      <w:r>
        <w:t>polatuzumab</w:t>
      </w:r>
      <w:proofErr w:type="spellEnd"/>
      <w:r>
        <w:t xml:space="preserve"> </w:t>
      </w:r>
      <w:proofErr w:type="spellStart"/>
      <w:r>
        <w:t>vedotin</w:t>
      </w:r>
      <w:proofErr w:type="spellEnd"/>
      <w:r>
        <w:t xml:space="preserve"> in combination with </w:t>
      </w:r>
      <w:proofErr w:type="spellStart"/>
      <w:r>
        <w:t>bendamustine</w:t>
      </w:r>
      <w:proofErr w:type="spellEnd"/>
      <w:r>
        <w:t xml:space="preserve"> and rituximab (</w:t>
      </w:r>
      <w:proofErr w:type="spellStart"/>
      <w:r>
        <w:t>Pola+BR</w:t>
      </w:r>
      <w:proofErr w:type="spellEnd"/>
      <w:r>
        <w:t xml:space="preserve">) </w:t>
      </w:r>
      <w:r w:rsidR="008B1757" w:rsidRPr="004B3DDB">
        <w:t xml:space="preserve">for treatment of </w:t>
      </w:r>
      <w:r>
        <w:t>relapsed or refractory diffuse large B-cell lymphoma (R/R DLBCL</w:t>
      </w:r>
      <w:r w:rsidR="008C4A50">
        <w:t xml:space="preserve">) that are </w:t>
      </w:r>
      <w:r w:rsidR="009B56E0">
        <w:t>in</w:t>
      </w:r>
      <w:r w:rsidR="008C4A50">
        <w:t>eligible for stem cell transplant</w:t>
      </w:r>
      <w:r w:rsidR="0014534E">
        <w:t>ation</w:t>
      </w:r>
      <w:r w:rsidR="008C4A50">
        <w:t xml:space="preserve"> (SCT). </w:t>
      </w:r>
      <w:proofErr w:type="spellStart"/>
      <w:r w:rsidRPr="00AD48C4">
        <w:t>Polatuzumab</w:t>
      </w:r>
      <w:proofErr w:type="spellEnd"/>
      <w:r w:rsidRPr="00AD48C4">
        <w:t xml:space="preserve"> </w:t>
      </w:r>
      <w:proofErr w:type="spellStart"/>
      <w:r w:rsidRPr="00AD48C4">
        <w:t>vedotin</w:t>
      </w:r>
      <w:proofErr w:type="spellEnd"/>
      <w:r w:rsidRPr="00AD48C4">
        <w:t xml:space="preserve"> has not previously been considered by the PBAC in this or any other indication.</w:t>
      </w:r>
    </w:p>
    <w:p w:rsidR="00C2778B" w:rsidRDefault="008C4A50" w:rsidP="00095881">
      <w:pPr>
        <w:pStyle w:val="ListParagraph"/>
        <w:widowControl/>
        <w:numPr>
          <w:ilvl w:val="1"/>
          <w:numId w:val="2"/>
        </w:numPr>
        <w:spacing w:after="120"/>
      </w:pPr>
      <w:r>
        <w:t xml:space="preserve">The requested listing was based on a cost-effectiveness analysis of </w:t>
      </w:r>
      <w:proofErr w:type="spellStart"/>
      <w:r>
        <w:t>Pola+BR</w:t>
      </w:r>
      <w:proofErr w:type="spellEnd"/>
      <w:r>
        <w:t xml:space="preserve"> compared with </w:t>
      </w:r>
      <w:proofErr w:type="spellStart"/>
      <w:r>
        <w:t>bendamustine</w:t>
      </w:r>
      <w:proofErr w:type="spellEnd"/>
      <w:r>
        <w:t xml:space="preserve"> in combination with rituximab (BR) in patients with R/R DLBCL who are ineligible for SCT. The key components of the clinical issue addressed by the submission are summarised below.</w:t>
      </w:r>
    </w:p>
    <w:p w:rsidR="00A957B4" w:rsidRDefault="00A957B4" w:rsidP="002C5100"/>
    <w:p w:rsidR="008B1757" w:rsidRPr="008246B1" w:rsidRDefault="008246B1" w:rsidP="00F52438">
      <w:pPr>
        <w:pStyle w:val="Caption"/>
        <w:keepNext/>
        <w:keepLines/>
        <w:rPr>
          <w:rStyle w:val="CommentReference"/>
          <w:b/>
          <w:szCs w:val="18"/>
        </w:rPr>
      </w:pPr>
      <w:r w:rsidRPr="008246B1">
        <w:t xml:space="preserve">Table </w:t>
      </w:r>
      <w:r w:rsidR="00273E9C">
        <w:rPr>
          <w:noProof/>
        </w:rPr>
        <w:t>1</w:t>
      </w:r>
      <w:r w:rsidRPr="008246B1">
        <w:t xml:space="preserve">: </w:t>
      </w:r>
      <w:r w:rsidR="008B1757" w:rsidRPr="008246B1">
        <w:rPr>
          <w:rStyle w:val="CommentReference"/>
          <w:b/>
          <w:szCs w:val="18"/>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7693"/>
      </w:tblGrid>
      <w:tr w:rsidR="008C4A50" w:rsidRPr="0014534E" w:rsidTr="008E27B5">
        <w:trPr>
          <w:cantSplit/>
          <w:tblHeader/>
        </w:trPr>
        <w:tc>
          <w:tcPr>
            <w:tcW w:w="734" w:type="pct"/>
          </w:tcPr>
          <w:p w:rsidR="008C4A50" w:rsidRPr="0014534E" w:rsidRDefault="008C4A50" w:rsidP="00F52438">
            <w:pPr>
              <w:keepNext/>
              <w:keepLines/>
              <w:widowControl/>
              <w:spacing w:before="20" w:after="20"/>
              <w:jc w:val="left"/>
              <w:rPr>
                <w:rFonts w:ascii="Arial Narrow" w:hAnsi="Arial Narrow" w:cs="Calibri"/>
                <w:b/>
                <w:bCs/>
                <w:snapToGrid/>
                <w:sz w:val="20"/>
                <w:szCs w:val="20"/>
                <w:lang w:eastAsia="zh-CN"/>
              </w:rPr>
            </w:pPr>
            <w:r w:rsidRPr="0014534E">
              <w:rPr>
                <w:rFonts w:ascii="Arial Narrow" w:hAnsi="Arial Narrow" w:cs="Calibri"/>
                <w:b/>
                <w:bCs/>
                <w:snapToGrid/>
                <w:sz w:val="20"/>
                <w:szCs w:val="20"/>
                <w:lang w:eastAsia="zh-CN"/>
              </w:rPr>
              <w:t>Component</w:t>
            </w:r>
          </w:p>
        </w:tc>
        <w:tc>
          <w:tcPr>
            <w:tcW w:w="4266" w:type="pct"/>
          </w:tcPr>
          <w:p w:rsidR="008C4A50" w:rsidRPr="0014534E" w:rsidRDefault="008C4A50" w:rsidP="00F52438">
            <w:pPr>
              <w:keepNext/>
              <w:keepLines/>
              <w:widowControl/>
              <w:spacing w:before="20" w:after="20"/>
              <w:jc w:val="left"/>
              <w:rPr>
                <w:rFonts w:ascii="Arial Narrow" w:hAnsi="Arial Narrow" w:cs="Calibri"/>
                <w:b/>
                <w:bCs/>
                <w:snapToGrid/>
                <w:sz w:val="20"/>
                <w:szCs w:val="20"/>
                <w:lang w:eastAsia="zh-CN"/>
              </w:rPr>
            </w:pPr>
            <w:r w:rsidRPr="0014534E">
              <w:rPr>
                <w:rFonts w:ascii="Arial Narrow" w:hAnsi="Arial Narrow" w:cs="Calibri"/>
                <w:b/>
                <w:bCs/>
                <w:snapToGrid/>
                <w:sz w:val="20"/>
                <w:szCs w:val="20"/>
                <w:lang w:eastAsia="zh-CN"/>
              </w:rPr>
              <w:t>Description</w:t>
            </w:r>
          </w:p>
        </w:tc>
      </w:tr>
      <w:tr w:rsidR="008C4A50" w:rsidRPr="0014534E" w:rsidTr="008E27B5">
        <w:trPr>
          <w:cantSplit/>
        </w:trPr>
        <w:tc>
          <w:tcPr>
            <w:tcW w:w="734"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Population</w:t>
            </w:r>
          </w:p>
        </w:tc>
        <w:tc>
          <w:tcPr>
            <w:tcW w:w="4266"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Patients with R/R DLBCL who are ineligible for SCT.</w:t>
            </w:r>
          </w:p>
        </w:tc>
      </w:tr>
      <w:tr w:rsidR="008C4A50" w:rsidRPr="0014534E" w:rsidTr="008E27B5">
        <w:trPr>
          <w:cantSplit/>
        </w:trPr>
        <w:tc>
          <w:tcPr>
            <w:tcW w:w="734"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Intervention</w:t>
            </w:r>
          </w:p>
        </w:tc>
        <w:tc>
          <w:tcPr>
            <w:tcW w:w="4266"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proofErr w:type="spellStart"/>
            <w:r w:rsidRPr="0014534E">
              <w:rPr>
                <w:rFonts w:ascii="Arial Narrow" w:hAnsi="Arial Narrow" w:cs="Calibri"/>
                <w:bCs/>
                <w:snapToGrid/>
                <w:sz w:val="20"/>
                <w:szCs w:val="20"/>
                <w:lang w:eastAsia="zh-CN"/>
              </w:rPr>
              <w:t>Pola+BR</w:t>
            </w:r>
            <w:proofErr w:type="spellEnd"/>
            <w:r w:rsidRPr="0014534E">
              <w:rPr>
                <w:rFonts w:ascii="Arial Narrow" w:hAnsi="Arial Narrow" w:cs="Calibri"/>
                <w:bCs/>
                <w:snapToGrid/>
                <w:sz w:val="20"/>
                <w:szCs w:val="20"/>
                <w:lang w:eastAsia="zh-CN"/>
              </w:rPr>
              <w:t xml:space="preserve"> for up to 6 cycles.</w:t>
            </w:r>
          </w:p>
        </w:tc>
      </w:tr>
      <w:tr w:rsidR="008C4A50" w:rsidRPr="0014534E" w:rsidTr="008E27B5">
        <w:trPr>
          <w:cantSplit/>
        </w:trPr>
        <w:tc>
          <w:tcPr>
            <w:tcW w:w="734"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Comparator</w:t>
            </w:r>
          </w:p>
        </w:tc>
        <w:tc>
          <w:tcPr>
            <w:tcW w:w="4266"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proofErr w:type="spellStart"/>
            <w:r w:rsidRPr="0014534E">
              <w:rPr>
                <w:rFonts w:ascii="Arial Narrow" w:hAnsi="Arial Narrow" w:cs="Calibri"/>
                <w:bCs/>
                <w:snapToGrid/>
                <w:sz w:val="20"/>
                <w:szCs w:val="20"/>
                <w:lang w:eastAsia="zh-CN"/>
              </w:rPr>
              <w:t>Bendamustine</w:t>
            </w:r>
            <w:proofErr w:type="spellEnd"/>
            <w:r w:rsidRPr="0014534E">
              <w:rPr>
                <w:rFonts w:ascii="Arial Narrow" w:hAnsi="Arial Narrow" w:cs="Calibri"/>
                <w:bCs/>
                <w:snapToGrid/>
                <w:sz w:val="20"/>
                <w:szCs w:val="20"/>
                <w:lang w:eastAsia="zh-CN"/>
              </w:rPr>
              <w:t xml:space="preserve"> in combination with rituximab (BR) as proxy for </w:t>
            </w:r>
            <w:r w:rsidR="00770024">
              <w:rPr>
                <w:rFonts w:ascii="Arial Narrow" w:hAnsi="Arial Narrow" w:cs="Calibri"/>
                <w:bCs/>
                <w:snapToGrid/>
                <w:sz w:val="20"/>
                <w:szCs w:val="20"/>
                <w:lang w:eastAsia="zh-CN"/>
              </w:rPr>
              <w:t>standard practice</w:t>
            </w:r>
            <w:r w:rsidR="00E41677">
              <w:rPr>
                <w:rFonts w:ascii="Arial Narrow" w:hAnsi="Arial Narrow" w:cs="Calibri"/>
                <w:bCs/>
                <w:snapToGrid/>
                <w:sz w:val="20"/>
                <w:szCs w:val="20"/>
                <w:lang w:eastAsia="zh-CN"/>
              </w:rPr>
              <w:t>.</w:t>
            </w:r>
          </w:p>
        </w:tc>
      </w:tr>
      <w:tr w:rsidR="008C4A50" w:rsidRPr="0014534E" w:rsidTr="008E27B5">
        <w:trPr>
          <w:cantSplit/>
        </w:trPr>
        <w:tc>
          <w:tcPr>
            <w:tcW w:w="734"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Outcomes</w:t>
            </w:r>
          </w:p>
        </w:tc>
        <w:tc>
          <w:tcPr>
            <w:tcW w:w="4266"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
                <w:bCs/>
                <w:snapToGrid/>
                <w:sz w:val="20"/>
                <w:szCs w:val="20"/>
                <w:lang w:eastAsia="zh-CN"/>
              </w:rPr>
              <w:t xml:space="preserve">Primary endpoint: </w:t>
            </w:r>
            <w:r w:rsidRPr="0014534E">
              <w:rPr>
                <w:rFonts w:ascii="Arial Narrow" w:hAnsi="Arial Narrow" w:cs="Calibri"/>
                <w:bCs/>
                <w:snapToGrid/>
                <w:sz w:val="20"/>
                <w:szCs w:val="20"/>
                <w:lang w:eastAsia="zh-CN"/>
              </w:rPr>
              <w:t>Complete Response</w:t>
            </w:r>
          </w:p>
          <w:p w:rsidR="008C4A50" w:rsidRPr="0014534E" w:rsidRDefault="008C4A50" w:rsidP="00F52438">
            <w:pPr>
              <w:keepNext/>
              <w:keepLines/>
              <w:widowControl/>
              <w:spacing w:before="20" w:after="20"/>
              <w:jc w:val="left"/>
              <w:rPr>
                <w:rFonts w:ascii="Arial Narrow" w:hAnsi="Arial Narrow" w:cs="Calibri"/>
                <w:b/>
                <w:bCs/>
                <w:snapToGrid/>
                <w:sz w:val="20"/>
                <w:szCs w:val="20"/>
                <w:lang w:eastAsia="zh-CN"/>
              </w:rPr>
            </w:pPr>
            <w:r w:rsidRPr="0014534E">
              <w:rPr>
                <w:rFonts w:ascii="Arial Narrow" w:hAnsi="Arial Narrow" w:cs="Calibri"/>
                <w:b/>
                <w:bCs/>
                <w:snapToGrid/>
                <w:sz w:val="20"/>
                <w:szCs w:val="20"/>
                <w:lang w:eastAsia="zh-CN"/>
              </w:rPr>
              <w:t>Secondary/exploratory endpoints:</w:t>
            </w:r>
          </w:p>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w:t>
            </w:r>
            <w:r w:rsidRPr="0014534E">
              <w:rPr>
                <w:rFonts w:ascii="Arial Narrow" w:hAnsi="Arial Narrow" w:cs="Calibri"/>
                <w:bCs/>
                <w:snapToGrid/>
                <w:sz w:val="20"/>
                <w:szCs w:val="20"/>
                <w:lang w:eastAsia="zh-CN"/>
              </w:rPr>
              <w:tab/>
              <w:t>Progression-free survival</w:t>
            </w:r>
            <w:r w:rsidRPr="0014534E">
              <w:rPr>
                <w:rFonts w:ascii="Arial Narrow" w:hAnsi="Arial Narrow" w:cs="Calibri"/>
                <w:bCs/>
                <w:snapToGrid/>
                <w:sz w:val="20"/>
                <w:szCs w:val="20"/>
                <w:lang w:eastAsia="zh-CN"/>
              </w:rPr>
              <w:tab/>
            </w:r>
            <w:r w:rsidRPr="0014534E">
              <w:rPr>
                <w:rFonts w:ascii="Arial Narrow" w:hAnsi="Arial Narrow" w:cs="Calibri"/>
                <w:bCs/>
                <w:snapToGrid/>
                <w:sz w:val="20"/>
                <w:szCs w:val="20"/>
                <w:lang w:eastAsia="zh-CN"/>
              </w:rPr>
              <w:tab/>
              <w:t>•</w:t>
            </w:r>
            <w:r w:rsidRPr="0014534E">
              <w:rPr>
                <w:rFonts w:ascii="Arial Narrow" w:hAnsi="Arial Narrow" w:cs="Calibri"/>
                <w:bCs/>
                <w:snapToGrid/>
                <w:sz w:val="20"/>
                <w:szCs w:val="20"/>
                <w:lang w:eastAsia="zh-CN"/>
              </w:rPr>
              <w:tab/>
              <w:t>Overall survival</w:t>
            </w:r>
          </w:p>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w:t>
            </w:r>
            <w:r w:rsidRPr="0014534E">
              <w:rPr>
                <w:rFonts w:ascii="Arial Narrow" w:hAnsi="Arial Narrow" w:cs="Calibri"/>
                <w:bCs/>
                <w:snapToGrid/>
                <w:sz w:val="20"/>
                <w:szCs w:val="20"/>
                <w:lang w:eastAsia="zh-CN"/>
              </w:rPr>
              <w:tab/>
              <w:t>Best overall response</w:t>
            </w:r>
            <w:r w:rsidRPr="0014534E">
              <w:rPr>
                <w:rFonts w:ascii="Arial Narrow" w:hAnsi="Arial Narrow" w:cs="Calibri"/>
                <w:bCs/>
                <w:snapToGrid/>
                <w:sz w:val="20"/>
                <w:szCs w:val="20"/>
                <w:lang w:eastAsia="zh-CN"/>
              </w:rPr>
              <w:tab/>
            </w:r>
            <w:r w:rsidRPr="0014534E">
              <w:rPr>
                <w:rFonts w:ascii="Arial Narrow" w:hAnsi="Arial Narrow" w:cs="Calibri"/>
                <w:bCs/>
                <w:snapToGrid/>
                <w:sz w:val="20"/>
                <w:szCs w:val="20"/>
                <w:lang w:eastAsia="zh-CN"/>
              </w:rPr>
              <w:tab/>
              <w:t>•</w:t>
            </w:r>
            <w:r w:rsidRPr="0014534E">
              <w:rPr>
                <w:rFonts w:ascii="Arial Narrow" w:hAnsi="Arial Narrow" w:cs="Calibri"/>
                <w:bCs/>
                <w:snapToGrid/>
                <w:sz w:val="20"/>
                <w:szCs w:val="20"/>
                <w:lang w:eastAsia="zh-CN"/>
              </w:rPr>
              <w:tab/>
              <w:t>Duration of response</w:t>
            </w:r>
          </w:p>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w:t>
            </w:r>
            <w:r w:rsidRPr="0014534E">
              <w:rPr>
                <w:rFonts w:ascii="Arial Narrow" w:hAnsi="Arial Narrow" w:cs="Calibri"/>
                <w:bCs/>
                <w:snapToGrid/>
                <w:sz w:val="20"/>
                <w:szCs w:val="20"/>
                <w:lang w:eastAsia="zh-CN"/>
              </w:rPr>
              <w:tab/>
              <w:t>Adverse Events</w:t>
            </w:r>
          </w:p>
        </w:tc>
      </w:tr>
      <w:tr w:rsidR="008C4A50" w:rsidRPr="0014534E" w:rsidTr="008E27B5">
        <w:trPr>
          <w:cantSplit/>
        </w:trPr>
        <w:tc>
          <w:tcPr>
            <w:tcW w:w="734" w:type="pct"/>
          </w:tcPr>
          <w:p w:rsidR="008C4A50" w:rsidRPr="0014534E" w:rsidRDefault="008C4A50" w:rsidP="00F52438">
            <w:pPr>
              <w:keepNext/>
              <w:keepLines/>
              <w:widowControl/>
              <w:spacing w:before="20" w:after="20"/>
              <w:jc w:val="left"/>
              <w:rPr>
                <w:rFonts w:ascii="Arial Narrow" w:hAnsi="Arial Narrow" w:cs="Calibri"/>
                <w:bCs/>
                <w:snapToGrid/>
                <w:sz w:val="20"/>
                <w:szCs w:val="20"/>
                <w:lang w:eastAsia="zh-CN"/>
              </w:rPr>
            </w:pPr>
            <w:r w:rsidRPr="0014534E">
              <w:rPr>
                <w:rFonts w:ascii="Arial Narrow" w:hAnsi="Arial Narrow" w:cs="Calibri"/>
                <w:bCs/>
                <w:snapToGrid/>
                <w:sz w:val="20"/>
                <w:szCs w:val="20"/>
                <w:lang w:eastAsia="zh-CN"/>
              </w:rPr>
              <w:t>Clinical claim</w:t>
            </w:r>
          </w:p>
        </w:tc>
        <w:tc>
          <w:tcPr>
            <w:tcW w:w="4266" w:type="pct"/>
          </w:tcPr>
          <w:p w:rsidR="008C4A50" w:rsidRPr="0014534E" w:rsidRDefault="00C3120C" w:rsidP="00F52438">
            <w:pPr>
              <w:keepNext/>
              <w:keepLines/>
              <w:widowControl/>
              <w:spacing w:before="20" w:after="20"/>
              <w:jc w:val="left"/>
              <w:rPr>
                <w:rFonts w:ascii="Arial Narrow" w:hAnsi="Arial Narrow" w:cs="Calibri"/>
                <w:bCs/>
                <w:snapToGrid/>
                <w:sz w:val="20"/>
                <w:szCs w:val="20"/>
                <w:highlight w:val="yellow"/>
                <w:lang w:eastAsia="zh-CN"/>
              </w:rPr>
            </w:pPr>
            <w:proofErr w:type="spellStart"/>
            <w:r w:rsidRPr="00C3120C">
              <w:rPr>
                <w:rFonts w:ascii="Arial Narrow" w:hAnsi="Arial Narrow" w:cs="Calibri"/>
                <w:bCs/>
                <w:snapToGrid/>
                <w:sz w:val="20"/>
                <w:szCs w:val="20"/>
                <w:lang w:eastAsia="zh-CN"/>
              </w:rPr>
              <w:t>Pol</w:t>
            </w:r>
            <w:r>
              <w:rPr>
                <w:rFonts w:ascii="Arial Narrow" w:hAnsi="Arial Narrow" w:cs="Calibri"/>
                <w:bCs/>
                <w:snapToGrid/>
                <w:sz w:val="20"/>
                <w:szCs w:val="20"/>
                <w:lang w:eastAsia="zh-CN"/>
              </w:rPr>
              <w:t>a</w:t>
            </w:r>
            <w:r w:rsidRPr="00C3120C">
              <w:rPr>
                <w:rFonts w:ascii="Arial Narrow" w:hAnsi="Arial Narrow" w:cs="Calibri"/>
                <w:bCs/>
                <w:snapToGrid/>
                <w:sz w:val="20"/>
                <w:szCs w:val="20"/>
                <w:lang w:eastAsia="zh-CN"/>
              </w:rPr>
              <w:t>+BR</w:t>
            </w:r>
            <w:proofErr w:type="spellEnd"/>
            <w:r w:rsidRPr="00C3120C">
              <w:rPr>
                <w:rFonts w:ascii="Arial Narrow" w:hAnsi="Arial Narrow" w:cs="Calibri"/>
                <w:bCs/>
                <w:snapToGrid/>
                <w:sz w:val="20"/>
                <w:szCs w:val="20"/>
                <w:lang w:eastAsia="zh-CN"/>
              </w:rPr>
              <w:t xml:space="preserve"> is associated with superior comparative efficacy and inferior, but acceptable, comparative safety to standard practice in patients with R/R DLBCL who are ineligible for SCT. </w:t>
            </w:r>
          </w:p>
        </w:tc>
      </w:tr>
    </w:tbl>
    <w:p w:rsidR="008C4A50" w:rsidRDefault="008C4A50" w:rsidP="00F52438">
      <w:pPr>
        <w:pStyle w:val="TableFooter"/>
        <w:keepNext/>
        <w:keepLines/>
        <w:rPr>
          <w:rStyle w:val="CommentReference"/>
          <w:b w:val="0"/>
          <w:sz w:val="18"/>
          <w:szCs w:val="22"/>
        </w:rPr>
      </w:pPr>
      <w:r w:rsidRPr="008C4A50">
        <w:rPr>
          <w:rStyle w:val="CommentReference"/>
          <w:b w:val="0"/>
          <w:sz w:val="18"/>
          <w:szCs w:val="22"/>
        </w:rPr>
        <w:t xml:space="preserve">R/R = </w:t>
      </w:r>
      <w:r>
        <w:rPr>
          <w:rStyle w:val="CommentReference"/>
          <w:b w:val="0"/>
          <w:sz w:val="18"/>
          <w:szCs w:val="22"/>
        </w:rPr>
        <w:t xml:space="preserve">relapsed or refractory; DLBCL = diffuse large B-cell lymphoma; SCT = stem cell transplant. </w:t>
      </w:r>
      <w:proofErr w:type="spellStart"/>
      <w:r>
        <w:rPr>
          <w:rStyle w:val="CommentReference"/>
          <w:b w:val="0"/>
          <w:sz w:val="18"/>
          <w:szCs w:val="22"/>
        </w:rPr>
        <w:t>Pola+BR</w:t>
      </w:r>
      <w:proofErr w:type="spellEnd"/>
      <w:r>
        <w:rPr>
          <w:rStyle w:val="CommentReference"/>
          <w:b w:val="0"/>
          <w:sz w:val="18"/>
          <w:szCs w:val="22"/>
        </w:rPr>
        <w:t xml:space="preserve"> = </w:t>
      </w:r>
      <w:proofErr w:type="spellStart"/>
      <w:r>
        <w:rPr>
          <w:rStyle w:val="CommentReference"/>
          <w:b w:val="0"/>
          <w:sz w:val="18"/>
          <w:szCs w:val="22"/>
        </w:rPr>
        <w:t>polatuzumab</w:t>
      </w:r>
      <w:proofErr w:type="spellEnd"/>
      <w:r>
        <w:rPr>
          <w:rStyle w:val="CommentReference"/>
          <w:b w:val="0"/>
          <w:sz w:val="18"/>
          <w:szCs w:val="22"/>
        </w:rPr>
        <w:t xml:space="preserve"> </w:t>
      </w:r>
      <w:proofErr w:type="spellStart"/>
      <w:r w:rsidR="00195CD0">
        <w:rPr>
          <w:rStyle w:val="CommentReference"/>
          <w:b w:val="0"/>
          <w:sz w:val="18"/>
          <w:szCs w:val="22"/>
        </w:rPr>
        <w:t>vedotin</w:t>
      </w:r>
      <w:proofErr w:type="spellEnd"/>
      <w:r w:rsidR="00195CD0">
        <w:rPr>
          <w:rStyle w:val="CommentReference"/>
          <w:b w:val="0"/>
          <w:sz w:val="18"/>
          <w:szCs w:val="22"/>
        </w:rPr>
        <w:t xml:space="preserve"> in combination with </w:t>
      </w:r>
      <w:proofErr w:type="spellStart"/>
      <w:r w:rsidR="00195CD0">
        <w:rPr>
          <w:rStyle w:val="CommentReference"/>
          <w:b w:val="0"/>
          <w:sz w:val="18"/>
          <w:szCs w:val="22"/>
        </w:rPr>
        <w:t>bendamustine</w:t>
      </w:r>
      <w:proofErr w:type="spellEnd"/>
      <w:r w:rsidR="00195CD0">
        <w:rPr>
          <w:rStyle w:val="CommentReference"/>
          <w:b w:val="0"/>
          <w:sz w:val="18"/>
          <w:szCs w:val="22"/>
        </w:rPr>
        <w:t xml:space="preserve"> and rituximab.</w:t>
      </w:r>
    </w:p>
    <w:p w:rsidR="004E43B2" w:rsidRPr="00882085" w:rsidRDefault="00195CD0" w:rsidP="00904CDF">
      <w:pPr>
        <w:pStyle w:val="TableFooter"/>
        <w:keepNext/>
        <w:keepLines/>
      </w:pPr>
      <w:r>
        <w:rPr>
          <w:rStyle w:val="CommentReference"/>
          <w:b w:val="0"/>
          <w:sz w:val="18"/>
          <w:szCs w:val="22"/>
        </w:rPr>
        <w:t xml:space="preserve">Source: Table 1.1, p12 of the submission. </w:t>
      </w:r>
    </w:p>
    <w:p w:rsidR="002B5CBE" w:rsidRDefault="00B50DB8" w:rsidP="00904CDF">
      <w:pPr>
        <w:pStyle w:val="PBACHeading1"/>
        <w:spacing w:before="240" w:after="120"/>
        <w:outlineLvl w:val="0"/>
      </w:pPr>
      <w:bookmarkStart w:id="1" w:name="_Toc19627187"/>
      <w:r w:rsidRPr="00407F2D">
        <w:t>Requested listing</w:t>
      </w:r>
      <w:bookmarkEnd w:id="1"/>
    </w:p>
    <w:p w:rsidR="002B5CBE" w:rsidRPr="0016784B" w:rsidRDefault="00490809" w:rsidP="00095881">
      <w:pPr>
        <w:pStyle w:val="ListParagraph"/>
        <w:widowControl/>
        <w:numPr>
          <w:ilvl w:val="1"/>
          <w:numId w:val="2"/>
        </w:numPr>
        <w:spacing w:after="120"/>
      </w:pPr>
      <w:r w:rsidRPr="0016784B">
        <w:t xml:space="preserve">The </w:t>
      </w:r>
      <w:r w:rsidR="00BF4A6C">
        <w:t xml:space="preserve">submission </w:t>
      </w:r>
      <w:r w:rsidRPr="0016784B">
        <w:t xml:space="preserve">requested </w:t>
      </w:r>
      <w:r w:rsidR="00BF4A6C">
        <w:t xml:space="preserve">the </w:t>
      </w:r>
      <w:r w:rsidRPr="0016784B">
        <w:t>listing provided below</w:t>
      </w:r>
      <w:r w:rsidR="00BF4A6C">
        <w:t xml:space="preserve"> and a Grandfathering restriction</w:t>
      </w:r>
      <w:r w:rsidRPr="0016784B">
        <w:t>. Suggestions and additions proposed by the Secretariat are added in italics and suggested deletions are crossed out with strikethrough.</w:t>
      </w:r>
      <w:r w:rsidR="00200597">
        <w:t xml:space="preserve"> As per the suggestions and additions proposed by the Secretariat the Grandfathering restriction has been incorporated in the requested listing provided below</w:t>
      </w:r>
      <w:r w:rsidR="00D4381D">
        <w:t xml:space="preserve"> and hence is not presented separately</w:t>
      </w:r>
      <w:r w:rsidR="00200597">
        <w:t xml:space="preserve">. </w:t>
      </w:r>
    </w:p>
    <w:tbl>
      <w:tblPr>
        <w:tblW w:w="8755" w:type="dxa"/>
        <w:tblLayout w:type="fixed"/>
        <w:tblLook w:val="0000" w:firstRow="0" w:lastRow="0" w:firstColumn="0" w:lastColumn="0" w:noHBand="0" w:noVBand="0"/>
      </w:tblPr>
      <w:tblGrid>
        <w:gridCol w:w="1985"/>
        <w:gridCol w:w="992"/>
        <w:gridCol w:w="851"/>
        <w:gridCol w:w="708"/>
        <w:gridCol w:w="1843"/>
        <w:gridCol w:w="1559"/>
        <w:gridCol w:w="817"/>
      </w:tblGrid>
      <w:tr w:rsidR="00897FB2" w:rsidRPr="00C651DB" w:rsidTr="000969CE">
        <w:trPr>
          <w:cantSplit/>
          <w:trHeight w:val="471"/>
        </w:trPr>
        <w:tc>
          <w:tcPr>
            <w:tcW w:w="2977" w:type="dxa"/>
            <w:gridSpan w:val="2"/>
            <w:tcBorders>
              <w:bottom w:val="single" w:sz="4" w:space="0" w:color="auto"/>
            </w:tcBorders>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lastRenderedPageBreak/>
              <w:t>Name, Restriction,</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Manner of administration and form</w:t>
            </w:r>
          </w:p>
        </w:tc>
        <w:tc>
          <w:tcPr>
            <w:tcW w:w="851" w:type="dxa"/>
            <w:tcBorders>
              <w:bottom w:val="single" w:sz="4" w:space="0" w:color="auto"/>
            </w:tcBorders>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Max.</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Amount</w:t>
            </w:r>
          </w:p>
        </w:tc>
        <w:tc>
          <w:tcPr>
            <w:tcW w:w="708" w:type="dxa"/>
            <w:tcBorders>
              <w:bottom w:val="single" w:sz="4" w:space="0" w:color="auto"/>
            </w:tcBorders>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№.of</w:t>
            </w:r>
          </w:p>
          <w:p w:rsidR="00897FB2" w:rsidRPr="00C651DB" w:rsidRDefault="00897FB2" w:rsidP="009053DE">
            <w:pPr>
              <w:keepNext/>
              <w:widowControl/>
              <w:ind w:left="-108"/>
              <w:rPr>
                <w:rFonts w:ascii="Arial Narrow" w:hAnsi="Arial Narrow"/>
                <w:sz w:val="20"/>
                <w:szCs w:val="20"/>
              </w:rPr>
            </w:pPr>
            <w:proofErr w:type="spellStart"/>
            <w:r w:rsidRPr="00C651DB">
              <w:rPr>
                <w:rFonts w:ascii="Arial Narrow" w:hAnsi="Arial Narrow"/>
                <w:sz w:val="20"/>
                <w:szCs w:val="20"/>
              </w:rPr>
              <w:t>Rpts</w:t>
            </w:r>
            <w:proofErr w:type="spellEnd"/>
          </w:p>
        </w:tc>
        <w:tc>
          <w:tcPr>
            <w:tcW w:w="1843" w:type="dxa"/>
            <w:tcBorders>
              <w:bottom w:val="single" w:sz="4" w:space="0" w:color="auto"/>
            </w:tcBorders>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 xml:space="preserve">Dispensed Price for Max. </w:t>
            </w:r>
            <w:proofErr w:type="spellStart"/>
            <w:r w:rsidRPr="00C651DB">
              <w:rPr>
                <w:rFonts w:ascii="Arial Narrow" w:hAnsi="Arial Narrow"/>
                <w:sz w:val="20"/>
                <w:szCs w:val="20"/>
              </w:rPr>
              <w:t>Qty</w:t>
            </w:r>
            <w:proofErr w:type="spellEnd"/>
          </w:p>
        </w:tc>
        <w:tc>
          <w:tcPr>
            <w:tcW w:w="2376" w:type="dxa"/>
            <w:gridSpan w:val="2"/>
            <w:tcBorders>
              <w:bottom w:val="single" w:sz="4" w:space="0" w:color="auto"/>
            </w:tcBorders>
          </w:tcPr>
          <w:p w:rsidR="00897FB2" w:rsidRPr="00C651DB" w:rsidRDefault="00897FB2" w:rsidP="009053DE">
            <w:pPr>
              <w:keepNext/>
              <w:widowControl/>
              <w:rPr>
                <w:rFonts w:ascii="Arial Narrow" w:hAnsi="Arial Narrow"/>
                <w:sz w:val="20"/>
                <w:szCs w:val="20"/>
                <w:lang w:val="fr-FR"/>
              </w:rPr>
            </w:pPr>
            <w:r w:rsidRPr="00C651DB">
              <w:rPr>
                <w:rFonts w:ascii="Arial Narrow" w:hAnsi="Arial Narrow"/>
                <w:sz w:val="20"/>
                <w:szCs w:val="20"/>
              </w:rPr>
              <w:t>Proprietary Name and Manufacturer</w:t>
            </w:r>
          </w:p>
        </w:tc>
      </w:tr>
      <w:tr w:rsidR="00897FB2" w:rsidRPr="00C651DB" w:rsidTr="000969CE">
        <w:trPr>
          <w:trHeight w:val="577"/>
        </w:trPr>
        <w:tc>
          <w:tcPr>
            <w:tcW w:w="2977" w:type="dxa"/>
            <w:gridSpan w:val="2"/>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POLATUZUMAB VEDOTIN</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Powder for injection,</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140mg vial</w:t>
            </w:r>
          </w:p>
        </w:tc>
        <w:tc>
          <w:tcPr>
            <w:tcW w:w="851" w:type="dxa"/>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trike/>
                <w:sz w:val="20"/>
                <w:szCs w:val="20"/>
              </w:rPr>
              <w:t>200 mg</w:t>
            </w:r>
          </w:p>
          <w:p w:rsidR="00897FB2" w:rsidRPr="00C651DB" w:rsidRDefault="00897FB2" w:rsidP="009053DE">
            <w:pPr>
              <w:keepNext/>
              <w:widowControl/>
              <w:ind w:left="-108"/>
              <w:rPr>
                <w:rFonts w:ascii="Arial Narrow" w:hAnsi="Arial Narrow"/>
                <w:i/>
                <w:sz w:val="20"/>
                <w:szCs w:val="20"/>
              </w:rPr>
            </w:pPr>
            <w:r w:rsidRPr="00C651DB">
              <w:rPr>
                <w:rFonts w:ascii="Arial Narrow" w:hAnsi="Arial Narrow"/>
                <w:i/>
                <w:sz w:val="20"/>
                <w:szCs w:val="20"/>
              </w:rPr>
              <w:t>210 mg</w:t>
            </w:r>
          </w:p>
        </w:tc>
        <w:tc>
          <w:tcPr>
            <w:tcW w:w="708" w:type="dxa"/>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5</w:t>
            </w:r>
          </w:p>
        </w:tc>
        <w:tc>
          <w:tcPr>
            <w:tcW w:w="1843" w:type="dxa"/>
          </w:tcPr>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Published price:</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w:t>
            </w:r>
            <w:r w:rsidR="00E77FA0">
              <w:rPr>
                <w:rFonts w:ascii="Arial Narrow" w:hAnsi="Arial Narrow"/>
                <w:noProof/>
                <w:color w:val="000000"/>
                <w:sz w:val="20"/>
                <w:szCs w:val="20"/>
                <w:highlight w:val="black"/>
              </w:rPr>
              <w:t>''''''''''''''''</w:t>
            </w:r>
            <w:r w:rsidRPr="00C651DB">
              <w:rPr>
                <w:rFonts w:ascii="Arial Narrow" w:hAnsi="Arial Narrow"/>
                <w:sz w:val="20"/>
                <w:szCs w:val="20"/>
              </w:rPr>
              <w:t xml:space="preserve"> (public)</w:t>
            </w:r>
          </w:p>
          <w:p w:rsidR="00897FB2" w:rsidRPr="00C651DB" w:rsidRDefault="00897FB2" w:rsidP="009053DE">
            <w:pPr>
              <w:keepNext/>
              <w:widowControl/>
              <w:ind w:left="-108"/>
              <w:rPr>
                <w:rFonts w:ascii="Arial Narrow" w:hAnsi="Arial Narrow"/>
                <w:i/>
                <w:sz w:val="20"/>
                <w:szCs w:val="20"/>
              </w:rPr>
            </w:pPr>
            <w:r w:rsidRPr="00C651DB">
              <w:rPr>
                <w:rFonts w:ascii="Arial Narrow" w:hAnsi="Arial Narrow"/>
                <w:i/>
                <w:sz w:val="20"/>
                <w:szCs w:val="20"/>
              </w:rPr>
              <w:t>$</w:t>
            </w:r>
            <w:r w:rsidR="00E77FA0">
              <w:rPr>
                <w:rFonts w:ascii="Arial Narrow" w:hAnsi="Arial Narrow"/>
                <w:i/>
                <w:noProof/>
                <w:color w:val="000000"/>
                <w:sz w:val="20"/>
                <w:szCs w:val="20"/>
                <w:highlight w:val="black"/>
              </w:rPr>
              <w:t>''''''''''''''''''''''</w:t>
            </w:r>
            <w:r w:rsidRPr="00C651DB">
              <w:rPr>
                <w:rFonts w:ascii="Arial Narrow" w:hAnsi="Arial Narrow"/>
                <w:i/>
                <w:sz w:val="20"/>
                <w:szCs w:val="20"/>
              </w:rPr>
              <w:t xml:space="preserve"> (revised)</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w:t>
            </w:r>
            <w:r w:rsidR="00E77FA0">
              <w:rPr>
                <w:rFonts w:ascii="Arial Narrow" w:hAnsi="Arial Narrow"/>
                <w:noProof/>
                <w:color w:val="000000"/>
                <w:sz w:val="20"/>
                <w:szCs w:val="20"/>
                <w:highlight w:val="black"/>
              </w:rPr>
              <w:t>'''''''''''''''''</w:t>
            </w:r>
            <w:r w:rsidRPr="00C651DB">
              <w:rPr>
                <w:rFonts w:ascii="Arial Narrow" w:hAnsi="Arial Narrow"/>
                <w:sz w:val="20"/>
                <w:szCs w:val="20"/>
              </w:rPr>
              <w:t>private)</w:t>
            </w:r>
          </w:p>
          <w:p w:rsidR="00897FB2" w:rsidRPr="00C651DB" w:rsidRDefault="00897FB2" w:rsidP="009053DE">
            <w:pPr>
              <w:keepNext/>
              <w:widowControl/>
              <w:ind w:left="-108"/>
              <w:rPr>
                <w:rFonts w:ascii="Arial Narrow" w:hAnsi="Arial Narrow"/>
                <w:i/>
                <w:sz w:val="20"/>
                <w:szCs w:val="20"/>
              </w:rPr>
            </w:pPr>
            <w:r w:rsidRPr="00C651DB">
              <w:rPr>
                <w:rFonts w:ascii="Arial Narrow" w:hAnsi="Arial Narrow"/>
                <w:i/>
                <w:sz w:val="20"/>
                <w:szCs w:val="20"/>
              </w:rPr>
              <w:t>$</w:t>
            </w:r>
            <w:r w:rsidR="00E77FA0">
              <w:rPr>
                <w:rFonts w:ascii="Arial Narrow" w:hAnsi="Arial Narrow"/>
                <w:i/>
                <w:noProof/>
                <w:color w:val="000000"/>
                <w:sz w:val="20"/>
                <w:szCs w:val="20"/>
                <w:highlight w:val="black"/>
              </w:rPr>
              <w:t>'''''''''''''''''''''''</w:t>
            </w:r>
            <w:r w:rsidRPr="00C651DB">
              <w:rPr>
                <w:rFonts w:ascii="Arial Narrow" w:hAnsi="Arial Narrow"/>
                <w:i/>
                <w:sz w:val="20"/>
                <w:szCs w:val="20"/>
              </w:rPr>
              <w:t xml:space="preserve"> (revised)</w:t>
            </w:r>
          </w:p>
          <w:p w:rsidR="00897FB2" w:rsidRPr="00C651DB" w:rsidRDefault="00897FB2" w:rsidP="009053DE">
            <w:pPr>
              <w:keepNext/>
              <w:widowControl/>
              <w:ind w:left="-108"/>
              <w:rPr>
                <w:rFonts w:ascii="Arial Narrow" w:hAnsi="Arial Narrow"/>
                <w:sz w:val="20"/>
                <w:szCs w:val="20"/>
              </w:rPr>
            </w:pP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Effective price (</w:t>
            </w:r>
            <w:r w:rsidR="00E77FA0">
              <w:rPr>
                <w:rFonts w:ascii="Arial Narrow" w:hAnsi="Arial Narrow"/>
                <w:noProof/>
                <w:color w:val="000000"/>
                <w:sz w:val="20"/>
                <w:szCs w:val="20"/>
                <w:highlight w:val="black"/>
              </w:rPr>
              <w:t>''''''</w:t>
            </w:r>
            <w:r w:rsidRPr="00C651DB">
              <w:rPr>
                <w:rFonts w:ascii="Arial Narrow" w:hAnsi="Arial Narrow"/>
                <w:sz w:val="20"/>
                <w:szCs w:val="20"/>
              </w:rPr>
              <w:t>% rebate):</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w:t>
            </w:r>
            <w:r w:rsidR="00E77FA0">
              <w:rPr>
                <w:rFonts w:ascii="Arial Narrow" w:hAnsi="Arial Narrow"/>
                <w:noProof/>
                <w:color w:val="000000"/>
                <w:sz w:val="20"/>
                <w:szCs w:val="20"/>
                <w:highlight w:val="black"/>
              </w:rPr>
              <w:t>''''''''''''''''</w:t>
            </w:r>
            <w:r w:rsidRPr="00C651DB">
              <w:rPr>
                <w:rFonts w:ascii="Arial Narrow" w:hAnsi="Arial Narrow"/>
                <w:sz w:val="20"/>
                <w:szCs w:val="20"/>
              </w:rPr>
              <w:t xml:space="preserve"> (public)</w:t>
            </w:r>
          </w:p>
          <w:p w:rsidR="00897FB2" w:rsidRPr="00C651DB" w:rsidRDefault="00897FB2" w:rsidP="009053DE">
            <w:pPr>
              <w:keepNext/>
              <w:widowControl/>
              <w:ind w:left="-108"/>
              <w:rPr>
                <w:rFonts w:ascii="Arial Narrow" w:hAnsi="Arial Narrow"/>
                <w:i/>
                <w:sz w:val="20"/>
                <w:szCs w:val="20"/>
              </w:rPr>
            </w:pPr>
            <w:r w:rsidRPr="00C651DB">
              <w:rPr>
                <w:rFonts w:ascii="Arial Narrow" w:hAnsi="Arial Narrow"/>
                <w:i/>
                <w:sz w:val="20"/>
                <w:szCs w:val="20"/>
              </w:rPr>
              <w:t>$</w:t>
            </w:r>
            <w:r w:rsidR="00E77FA0">
              <w:rPr>
                <w:rFonts w:ascii="Arial Narrow" w:hAnsi="Arial Narrow"/>
                <w:i/>
                <w:noProof/>
                <w:color w:val="000000"/>
                <w:sz w:val="20"/>
                <w:szCs w:val="20"/>
                <w:highlight w:val="black"/>
              </w:rPr>
              <w:t>'''''''''''''''''''''''''</w:t>
            </w:r>
            <w:r w:rsidRPr="00C651DB">
              <w:rPr>
                <w:rFonts w:ascii="Arial Narrow" w:hAnsi="Arial Narrow"/>
                <w:i/>
                <w:sz w:val="20"/>
                <w:szCs w:val="20"/>
              </w:rPr>
              <w:t xml:space="preserve"> (revised)</w:t>
            </w:r>
          </w:p>
          <w:p w:rsidR="00897FB2" w:rsidRPr="00C651DB" w:rsidRDefault="00897FB2" w:rsidP="009053DE">
            <w:pPr>
              <w:keepNext/>
              <w:widowControl/>
              <w:ind w:left="-108"/>
              <w:rPr>
                <w:rFonts w:ascii="Arial Narrow" w:hAnsi="Arial Narrow"/>
                <w:sz w:val="20"/>
                <w:szCs w:val="20"/>
              </w:rPr>
            </w:pPr>
            <w:r w:rsidRPr="00C651DB">
              <w:rPr>
                <w:rFonts w:ascii="Arial Narrow" w:hAnsi="Arial Narrow"/>
                <w:sz w:val="20"/>
                <w:szCs w:val="20"/>
              </w:rPr>
              <w:t>$</w:t>
            </w:r>
            <w:r w:rsidR="00E77FA0">
              <w:rPr>
                <w:rFonts w:ascii="Arial Narrow" w:hAnsi="Arial Narrow"/>
                <w:noProof/>
                <w:color w:val="000000"/>
                <w:sz w:val="20"/>
                <w:szCs w:val="20"/>
                <w:highlight w:val="black"/>
              </w:rPr>
              <w:t>''''''''''''''''</w:t>
            </w:r>
            <w:r w:rsidRPr="00C651DB">
              <w:rPr>
                <w:rFonts w:ascii="Arial Narrow" w:hAnsi="Arial Narrow"/>
                <w:sz w:val="20"/>
                <w:szCs w:val="20"/>
              </w:rPr>
              <w:t xml:space="preserve"> (private)</w:t>
            </w:r>
          </w:p>
          <w:p w:rsidR="00897FB2" w:rsidRPr="00C651DB" w:rsidRDefault="00897FB2" w:rsidP="009053DE">
            <w:pPr>
              <w:keepNext/>
              <w:widowControl/>
              <w:ind w:left="-108"/>
              <w:rPr>
                <w:rFonts w:ascii="Arial Narrow" w:hAnsi="Arial Narrow"/>
                <w:i/>
                <w:sz w:val="20"/>
                <w:szCs w:val="20"/>
              </w:rPr>
            </w:pPr>
            <w:r w:rsidRPr="00C651DB">
              <w:rPr>
                <w:rFonts w:ascii="Arial Narrow" w:hAnsi="Arial Narrow"/>
                <w:i/>
                <w:sz w:val="20"/>
                <w:szCs w:val="20"/>
              </w:rPr>
              <w:t>$</w:t>
            </w:r>
            <w:r w:rsidR="00E77FA0">
              <w:rPr>
                <w:rFonts w:ascii="Arial Narrow" w:hAnsi="Arial Narrow"/>
                <w:i/>
                <w:noProof/>
                <w:color w:val="000000"/>
                <w:sz w:val="20"/>
                <w:szCs w:val="20"/>
                <w:highlight w:val="black"/>
              </w:rPr>
              <w:t>''''''''''''''''''''''''</w:t>
            </w:r>
            <w:r w:rsidRPr="00C651DB">
              <w:rPr>
                <w:rFonts w:ascii="Arial Narrow" w:hAnsi="Arial Narrow"/>
                <w:i/>
                <w:sz w:val="20"/>
                <w:szCs w:val="20"/>
              </w:rPr>
              <w:t xml:space="preserve"> (revised)</w:t>
            </w:r>
          </w:p>
        </w:tc>
        <w:tc>
          <w:tcPr>
            <w:tcW w:w="1559" w:type="dxa"/>
          </w:tcPr>
          <w:p w:rsidR="00897FB2" w:rsidRPr="00C651DB" w:rsidRDefault="00897FB2" w:rsidP="009053DE">
            <w:pPr>
              <w:keepNext/>
              <w:widowControl/>
              <w:rPr>
                <w:rFonts w:ascii="Arial Narrow" w:hAnsi="Arial Narrow"/>
                <w:sz w:val="20"/>
                <w:szCs w:val="20"/>
              </w:rPr>
            </w:pPr>
            <w:proofErr w:type="spellStart"/>
            <w:r w:rsidRPr="00C651DB">
              <w:rPr>
                <w:rFonts w:ascii="Arial Narrow" w:hAnsi="Arial Narrow"/>
                <w:sz w:val="20"/>
                <w:szCs w:val="20"/>
              </w:rPr>
              <w:t>Polivy</w:t>
            </w:r>
            <w:proofErr w:type="spellEnd"/>
          </w:p>
          <w:p w:rsidR="00897FB2" w:rsidRPr="00C651DB" w:rsidRDefault="00897FB2" w:rsidP="009053DE">
            <w:pPr>
              <w:keepNext/>
              <w:widowControl/>
              <w:rPr>
                <w:rFonts w:ascii="Arial Narrow" w:hAnsi="Arial Narrow"/>
                <w:sz w:val="20"/>
                <w:szCs w:val="20"/>
              </w:rPr>
            </w:pPr>
          </w:p>
        </w:tc>
        <w:tc>
          <w:tcPr>
            <w:tcW w:w="817" w:type="dxa"/>
          </w:tcPr>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t>Roche Products Pty Limited</w:t>
            </w:r>
          </w:p>
        </w:tc>
      </w:tr>
      <w:tr w:rsidR="00897FB2" w:rsidRPr="00C651DB" w:rsidTr="000969CE">
        <w:trPr>
          <w:trHeight w:val="360"/>
        </w:trPr>
        <w:tc>
          <w:tcPr>
            <w:tcW w:w="8755" w:type="dxa"/>
            <w:gridSpan w:val="7"/>
            <w:tcBorders>
              <w:bottom w:val="single" w:sz="4" w:space="0" w:color="auto"/>
            </w:tcBorders>
          </w:tcPr>
          <w:p w:rsidR="00897FB2" w:rsidRPr="00C651DB" w:rsidRDefault="00897FB2" w:rsidP="009053DE">
            <w:pPr>
              <w:keepNext/>
              <w:widowControl/>
              <w:rPr>
                <w:rFonts w:ascii="Arial Narrow" w:hAnsi="Arial Narrow"/>
                <w:sz w:val="20"/>
                <w:szCs w:val="20"/>
              </w:rPr>
            </w:pP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Category / Program:</w:t>
            </w: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t>Section 100 – Efficient Funding of Chemotherapy</w:t>
            </w: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Prescriber type:</w:t>
            </w:r>
          </w:p>
          <w:p w:rsidR="00897FB2" w:rsidRPr="00C651DB" w:rsidRDefault="00897FB2" w:rsidP="009053DE">
            <w:pPr>
              <w:keepNext/>
              <w:widowControl/>
              <w:rPr>
                <w:rFonts w:ascii="Arial Narrow" w:hAnsi="Arial Narrow"/>
                <w:b/>
                <w:sz w:val="20"/>
                <w:szCs w:val="20"/>
              </w:rPr>
            </w:pP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fldChar w:fldCharType="begin">
                <w:ffData>
                  <w:name w:val="Check1"/>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 xml:space="preserve">Dental  </w:t>
            </w:r>
            <w:r w:rsidRPr="00C651DB">
              <w:rPr>
                <w:rFonts w:ascii="Arial Narrow" w:hAnsi="Arial Narrow"/>
                <w:sz w:val="20"/>
                <w:szCs w:val="20"/>
              </w:rPr>
              <w:fldChar w:fldCharType="begin">
                <w:ffData>
                  <w:name w:val=""/>
                  <w:enabled/>
                  <w:calcOnExit w:val="0"/>
                  <w:checkBox>
                    <w:sizeAuto/>
                    <w:default w:val="1"/>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 xml:space="preserve">Medical Practitioners  </w:t>
            </w:r>
            <w:r w:rsidRPr="00C651DB">
              <w:rPr>
                <w:rFonts w:ascii="Arial Narrow" w:hAnsi="Arial Narrow"/>
                <w:sz w:val="20"/>
                <w:szCs w:val="20"/>
              </w:rPr>
              <w:fldChar w:fldCharType="begin">
                <w:ffData>
                  <w:name w:val="Check3"/>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 xml:space="preserve">Nurse practitioners  </w:t>
            </w:r>
            <w:r w:rsidRPr="00C651DB">
              <w:rPr>
                <w:rFonts w:ascii="Arial Narrow" w:hAnsi="Arial Narrow"/>
                <w:sz w:val="20"/>
                <w:szCs w:val="20"/>
              </w:rPr>
              <w:fldChar w:fldCharType="begin">
                <w:ffData>
                  <w:name w:val=""/>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005831DD">
              <w:rPr>
                <w:rFonts w:ascii="Arial Narrow" w:hAnsi="Arial Narrow"/>
                <w:sz w:val="20"/>
                <w:szCs w:val="20"/>
              </w:rPr>
              <w:t xml:space="preserve">Optometrists  </w:t>
            </w:r>
            <w:r w:rsidRPr="00C651DB">
              <w:rPr>
                <w:rFonts w:ascii="Arial Narrow" w:hAnsi="Arial Narrow"/>
                <w:sz w:val="20"/>
                <w:szCs w:val="20"/>
              </w:rPr>
              <w:fldChar w:fldCharType="begin">
                <w:ffData>
                  <w:name w:val="Check5"/>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Midwives</w:t>
            </w: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Severity:</w:t>
            </w: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t>Relapsed or refractory</w:t>
            </w: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Condition:</w:t>
            </w: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z w:val="20"/>
                <w:szCs w:val="20"/>
              </w:rPr>
            </w:pPr>
            <w:proofErr w:type="spellStart"/>
            <w:r w:rsidRPr="00C651DB">
              <w:rPr>
                <w:rFonts w:ascii="Arial Narrow" w:hAnsi="Arial Narrow"/>
                <w:bCs/>
                <w:strike/>
                <w:sz w:val="20"/>
                <w:szCs w:val="20"/>
              </w:rPr>
              <w:t>D</w:t>
            </w:r>
            <w:r w:rsidRPr="00C651DB">
              <w:rPr>
                <w:rFonts w:ascii="Arial Narrow" w:hAnsi="Arial Narrow"/>
                <w:bCs/>
                <w:i/>
                <w:sz w:val="20"/>
                <w:szCs w:val="20"/>
                <w:u w:val="single"/>
              </w:rPr>
              <w:t>d</w:t>
            </w:r>
            <w:r w:rsidRPr="00C651DB">
              <w:rPr>
                <w:rFonts w:ascii="Arial Narrow" w:hAnsi="Arial Narrow"/>
                <w:bCs/>
                <w:sz w:val="20"/>
                <w:szCs w:val="20"/>
              </w:rPr>
              <w:t>iffuse</w:t>
            </w:r>
            <w:proofErr w:type="spellEnd"/>
            <w:r w:rsidRPr="00C651DB">
              <w:rPr>
                <w:rFonts w:ascii="Arial Narrow" w:hAnsi="Arial Narrow"/>
                <w:bCs/>
                <w:sz w:val="20"/>
                <w:szCs w:val="20"/>
              </w:rPr>
              <w:t xml:space="preserve"> </w:t>
            </w:r>
            <w:proofErr w:type="spellStart"/>
            <w:r w:rsidRPr="00C651DB">
              <w:rPr>
                <w:rFonts w:ascii="Arial Narrow" w:hAnsi="Arial Narrow"/>
                <w:bCs/>
                <w:strike/>
                <w:sz w:val="20"/>
                <w:szCs w:val="20"/>
              </w:rPr>
              <w:t>L</w:t>
            </w:r>
            <w:r w:rsidRPr="00C651DB">
              <w:rPr>
                <w:rFonts w:ascii="Arial Narrow" w:hAnsi="Arial Narrow"/>
                <w:bCs/>
                <w:i/>
                <w:sz w:val="20"/>
                <w:szCs w:val="20"/>
              </w:rPr>
              <w:t>l</w:t>
            </w:r>
            <w:r w:rsidRPr="00C651DB">
              <w:rPr>
                <w:rFonts w:ascii="Arial Narrow" w:hAnsi="Arial Narrow"/>
                <w:bCs/>
                <w:sz w:val="20"/>
                <w:szCs w:val="20"/>
              </w:rPr>
              <w:t>arge</w:t>
            </w:r>
            <w:proofErr w:type="spellEnd"/>
            <w:r w:rsidRPr="00C651DB">
              <w:rPr>
                <w:rFonts w:ascii="Arial Narrow" w:hAnsi="Arial Narrow"/>
                <w:bCs/>
                <w:sz w:val="20"/>
                <w:szCs w:val="20"/>
              </w:rPr>
              <w:t xml:space="preserve"> B-</w:t>
            </w:r>
            <w:proofErr w:type="spellStart"/>
            <w:r w:rsidRPr="00C651DB">
              <w:rPr>
                <w:rFonts w:ascii="Arial Narrow" w:hAnsi="Arial Narrow"/>
                <w:bCs/>
                <w:strike/>
                <w:sz w:val="20"/>
                <w:szCs w:val="20"/>
              </w:rPr>
              <w:t>C</w:t>
            </w:r>
            <w:r w:rsidRPr="00C651DB">
              <w:rPr>
                <w:rFonts w:ascii="Arial Narrow" w:hAnsi="Arial Narrow"/>
                <w:bCs/>
                <w:i/>
                <w:sz w:val="20"/>
                <w:szCs w:val="20"/>
              </w:rPr>
              <w:t>c</w:t>
            </w:r>
            <w:r w:rsidRPr="00C651DB">
              <w:rPr>
                <w:rFonts w:ascii="Arial Narrow" w:hAnsi="Arial Narrow"/>
                <w:bCs/>
                <w:sz w:val="20"/>
                <w:szCs w:val="20"/>
              </w:rPr>
              <w:t>ell</w:t>
            </w:r>
            <w:proofErr w:type="spellEnd"/>
            <w:r w:rsidRPr="00C651DB">
              <w:rPr>
                <w:rFonts w:ascii="Arial Narrow" w:hAnsi="Arial Narrow"/>
                <w:bCs/>
                <w:sz w:val="20"/>
                <w:szCs w:val="20"/>
              </w:rPr>
              <w:t xml:space="preserve"> </w:t>
            </w:r>
            <w:proofErr w:type="spellStart"/>
            <w:r w:rsidRPr="00C651DB">
              <w:rPr>
                <w:rFonts w:ascii="Arial Narrow" w:hAnsi="Arial Narrow"/>
                <w:bCs/>
                <w:strike/>
                <w:sz w:val="20"/>
                <w:szCs w:val="20"/>
              </w:rPr>
              <w:t>L</w:t>
            </w:r>
            <w:r w:rsidRPr="00C651DB">
              <w:rPr>
                <w:rFonts w:ascii="Arial Narrow" w:hAnsi="Arial Narrow"/>
                <w:bCs/>
                <w:i/>
                <w:sz w:val="20"/>
                <w:szCs w:val="20"/>
              </w:rPr>
              <w:t>l</w:t>
            </w:r>
            <w:r w:rsidRPr="00C651DB">
              <w:rPr>
                <w:rFonts w:ascii="Arial Narrow" w:hAnsi="Arial Narrow"/>
                <w:bCs/>
                <w:sz w:val="20"/>
                <w:szCs w:val="20"/>
              </w:rPr>
              <w:t>ymphoma</w:t>
            </w:r>
            <w:proofErr w:type="spellEnd"/>
          </w:p>
        </w:tc>
      </w:tr>
      <w:tr w:rsidR="00897FB2" w:rsidRPr="00C651DB" w:rsidTr="000969CE">
        <w:trPr>
          <w:trHeight w:val="369"/>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PBS Indication:</w:t>
            </w:r>
          </w:p>
          <w:p w:rsidR="00897FB2" w:rsidRPr="00C651DB" w:rsidRDefault="00897FB2" w:rsidP="009053DE">
            <w:pPr>
              <w:keepNext/>
              <w:widowControl/>
              <w:rPr>
                <w:rFonts w:ascii="Arial Narrow" w:hAnsi="Arial Narrow"/>
                <w:i/>
                <w:sz w:val="20"/>
                <w:szCs w:val="20"/>
              </w:rPr>
            </w:pP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t>Relapsed or refractory diffuse large B-cell lymphoma [new concept]</w:t>
            </w: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Treatment phase:</w:t>
            </w: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trike/>
                <w:sz w:val="20"/>
                <w:szCs w:val="20"/>
              </w:rPr>
            </w:pPr>
            <w:r w:rsidRPr="00C651DB">
              <w:rPr>
                <w:rFonts w:ascii="Arial Narrow" w:hAnsi="Arial Narrow"/>
                <w:strike/>
                <w:sz w:val="20"/>
                <w:szCs w:val="20"/>
              </w:rPr>
              <w:t>Initial and continuing treatment</w:t>
            </w: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5831DD" w:rsidRDefault="005831DD" w:rsidP="005831DD">
            <w:pPr>
              <w:keepNext/>
              <w:widowControl/>
              <w:rPr>
                <w:rFonts w:ascii="Arial Narrow" w:hAnsi="Arial Narrow"/>
                <w:b/>
                <w:sz w:val="20"/>
                <w:szCs w:val="20"/>
              </w:rPr>
            </w:pPr>
            <w:r>
              <w:rPr>
                <w:rFonts w:ascii="Arial Narrow" w:hAnsi="Arial Narrow"/>
                <w:b/>
                <w:sz w:val="20"/>
                <w:szCs w:val="20"/>
              </w:rPr>
              <w:t>Restriction Level / Method:</w:t>
            </w:r>
          </w:p>
          <w:p w:rsidR="00897FB2" w:rsidRPr="00C651DB" w:rsidRDefault="00897FB2" w:rsidP="009053DE">
            <w:pPr>
              <w:keepNext/>
              <w:widowControl/>
              <w:rPr>
                <w:rFonts w:ascii="Arial Narrow" w:hAnsi="Arial Narrow"/>
                <w:i/>
                <w:sz w:val="20"/>
                <w:szCs w:val="20"/>
              </w:rPr>
            </w:pP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fldChar w:fldCharType="begin">
                <w:ffData>
                  <w:name w:val="Check1"/>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Restricted benefit</w:t>
            </w:r>
          </w:p>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fldChar w:fldCharType="begin">
                <w:ffData>
                  <w:name w:val=""/>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Authority Required – In Writing</w:t>
            </w:r>
          </w:p>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fldChar w:fldCharType="begin">
                <w:ffData>
                  <w:name w:val="Check3"/>
                  <w:enabled/>
                  <w:calcOnExit w:val="0"/>
                  <w:checkBox>
                    <w:sizeAuto/>
                    <w:default w:val="0"/>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Authority Required – Telephone/Electronic/Emergency</w:t>
            </w:r>
          </w:p>
          <w:p w:rsidR="00897FB2" w:rsidRPr="00C651DB" w:rsidRDefault="00897FB2" w:rsidP="009053DE">
            <w:pPr>
              <w:keepNext/>
              <w:widowControl/>
              <w:rPr>
                <w:rFonts w:ascii="Arial Narrow" w:hAnsi="Arial Narrow"/>
                <w:sz w:val="20"/>
                <w:szCs w:val="20"/>
              </w:rPr>
            </w:pPr>
            <w:r w:rsidRPr="00C651DB">
              <w:rPr>
                <w:rFonts w:ascii="Arial Narrow" w:hAnsi="Arial Narrow"/>
                <w:sz w:val="20"/>
                <w:szCs w:val="20"/>
              </w:rPr>
              <w:fldChar w:fldCharType="begin">
                <w:ffData>
                  <w:name w:val="Check5"/>
                  <w:enabled/>
                  <w:calcOnExit w:val="0"/>
                  <w:checkBox>
                    <w:sizeAuto/>
                    <w:default w:val="1"/>
                  </w:checkBox>
                </w:ffData>
              </w:fldChar>
            </w:r>
            <w:r w:rsidRPr="00C651DB">
              <w:rPr>
                <w:rFonts w:ascii="Arial Narrow" w:hAnsi="Arial Narrow"/>
                <w:sz w:val="20"/>
                <w:szCs w:val="20"/>
              </w:rPr>
              <w:instrText xml:space="preserve"> FORMCHECKBOX </w:instrText>
            </w:r>
            <w:r w:rsidR="00D64D5F">
              <w:rPr>
                <w:rFonts w:ascii="Arial Narrow" w:hAnsi="Arial Narrow"/>
                <w:sz w:val="20"/>
                <w:szCs w:val="20"/>
              </w:rPr>
            </w:r>
            <w:r w:rsidR="00D64D5F">
              <w:rPr>
                <w:rFonts w:ascii="Arial Narrow" w:hAnsi="Arial Narrow"/>
                <w:sz w:val="20"/>
                <w:szCs w:val="20"/>
              </w:rPr>
              <w:fldChar w:fldCharType="separate"/>
            </w:r>
            <w:r w:rsidRPr="00C651DB">
              <w:rPr>
                <w:rFonts w:ascii="Arial Narrow" w:hAnsi="Arial Narrow"/>
                <w:sz w:val="20"/>
                <w:szCs w:val="20"/>
              </w:rPr>
              <w:fldChar w:fldCharType="end"/>
            </w:r>
            <w:r w:rsidRPr="00C651DB">
              <w:rPr>
                <w:rFonts w:ascii="Arial Narrow" w:hAnsi="Arial Narrow"/>
                <w:sz w:val="20"/>
                <w:szCs w:val="20"/>
              </w:rPr>
              <w:t>Streamlined</w:t>
            </w:r>
          </w:p>
        </w:tc>
      </w:tr>
      <w:tr w:rsidR="00897FB2" w:rsidRPr="00C651DB" w:rsidTr="000969CE">
        <w:trPr>
          <w:trHeight w:val="657"/>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lastRenderedPageBreak/>
              <w:t>Clinical criteria:</w:t>
            </w:r>
          </w:p>
          <w:p w:rsidR="00897FB2" w:rsidRPr="00C651DB" w:rsidRDefault="00897FB2" w:rsidP="009053DE">
            <w:pPr>
              <w:keepNext/>
              <w:widowControl/>
              <w:rPr>
                <w:rFonts w:ascii="Arial Narrow" w:hAnsi="Arial Narrow"/>
                <w:b/>
                <w:sz w:val="20"/>
                <w:szCs w:val="20"/>
              </w:rPr>
            </w:pP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The condition must have relapsed or be refractory to at least one prior therapy [17702]</w:t>
            </w:r>
          </w:p>
          <w:p w:rsidR="00897FB2" w:rsidRPr="00C651DB" w:rsidRDefault="00897FB2" w:rsidP="009053DE">
            <w:pPr>
              <w:keepNext/>
              <w:widowControl/>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AND</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 xml:space="preserve">The treatment must be in combination with </w:t>
            </w:r>
            <w:proofErr w:type="spellStart"/>
            <w:r w:rsidRPr="00C651DB">
              <w:rPr>
                <w:rFonts w:ascii="Arial Narrow" w:hAnsi="Arial Narrow" w:cs="Calibri"/>
                <w:bCs/>
                <w:sz w:val="20"/>
                <w:szCs w:val="20"/>
                <w:lang w:eastAsia="zh-CN"/>
              </w:rPr>
              <w:t>bendamustine</w:t>
            </w:r>
            <w:proofErr w:type="spellEnd"/>
            <w:r w:rsidRPr="00C651DB">
              <w:rPr>
                <w:rFonts w:ascii="Arial Narrow" w:hAnsi="Arial Narrow" w:cs="Calibri"/>
                <w:bCs/>
                <w:sz w:val="20"/>
                <w:szCs w:val="20"/>
                <w:lang w:eastAsia="zh-CN"/>
              </w:rPr>
              <w:t xml:space="preserve"> [18817]</w:t>
            </w:r>
          </w:p>
          <w:p w:rsidR="00897FB2" w:rsidRPr="00C651DB" w:rsidRDefault="00897FB2" w:rsidP="009053DE">
            <w:pPr>
              <w:keepNext/>
              <w:widowControl/>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AND</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The treatment must be in combination with rituximab [17325]</w:t>
            </w:r>
            <w:r w:rsidRPr="00C651DB">
              <w:rPr>
                <w:rFonts w:ascii="Arial Narrow" w:hAnsi="Arial Narrow" w:cs="Calibri"/>
                <w:bCs/>
                <w:sz w:val="20"/>
                <w:szCs w:val="20"/>
                <w:lang w:eastAsia="zh-CN"/>
              </w:rPr>
              <w:tab/>
            </w:r>
          </w:p>
          <w:p w:rsidR="00897FB2" w:rsidRPr="00C651DB" w:rsidRDefault="00897FB2" w:rsidP="009053DE">
            <w:pPr>
              <w:keepNext/>
              <w:widowControl/>
              <w:spacing w:before="20" w:after="20"/>
              <w:rPr>
                <w:rFonts w:ascii="Arial Narrow" w:hAnsi="Arial Narrow" w:cs="Calibri"/>
                <w:bCs/>
                <w:i/>
                <w:sz w:val="20"/>
                <w:szCs w:val="20"/>
                <w:lang w:eastAsia="zh-CN"/>
              </w:rPr>
            </w:pPr>
            <w:r w:rsidRPr="00C651DB">
              <w:rPr>
                <w:rFonts w:ascii="Arial Narrow" w:hAnsi="Arial Narrow" w:cs="Calibri"/>
                <w:bCs/>
                <w:i/>
                <w:sz w:val="20"/>
                <w:szCs w:val="20"/>
                <w:lang w:eastAsia="zh-CN"/>
              </w:rPr>
              <w:t>AND</w:t>
            </w:r>
          </w:p>
          <w:p w:rsidR="00897FB2" w:rsidRPr="00C651DB" w:rsidRDefault="00897FB2" w:rsidP="009053DE">
            <w:pPr>
              <w:keepNext/>
              <w:widowControl/>
              <w:pBdr>
                <w:bottom w:val="dashed" w:sz="4" w:space="1" w:color="auto"/>
              </w:pBdr>
              <w:rPr>
                <w:rFonts w:ascii="Arial Narrow" w:eastAsia="Calibri" w:hAnsi="Arial Narrow"/>
                <w:bCs/>
                <w:i/>
                <w:sz w:val="20"/>
                <w:szCs w:val="20"/>
              </w:rPr>
            </w:pPr>
            <w:r w:rsidRPr="00C651DB">
              <w:rPr>
                <w:rFonts w:ascii="Arial Narrow" w:eastAsia="Calibri" w:hAnsi="Arial Narrow"/>
                <w:bCs/>
                <w:i/>
                <w:sz w:val="20"/>
                <w:szCs w:val="20"/>
              </w:rPr>
              <w:t xml:space="preserve">Patient must not have received an allogeneic haematopoietic stem cell transplant </w:t>
            </w:r>
            <w:r w:rsidRPr="00C651DB">
              <w:rPr>
                <w:rFonts w:ascii="Arial Narrow" w:eastAsia="Calibri" w:hAnsi="Arial Narrow"/>
                <w:bCs/>
                <w:sz w:val="20"/>
                <w:szCs w:val="20"/>
              </w:rPr>
              <w:t>[new concept]</w:t>
            </w:r>
          </w:p>
          <w:p w:rsidR="00897FB2" w:rsidRPr="00C651DB" w:rsidRDefault="00897FB2" w:rsidP="009053DE">
            <w:pPr>
              <w:keepNext/>
              <w:widowControl/>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AND</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Patient must not be eligible for stem cell transplantation [17329]</w:t>
            </w:r>
          </w:p>
          <w:p w:rsidR="00897FB2" w:rsidRPr="00C651DB" w:rsidRDefault="00897FB2" w:rsidP="009053DE">
            <w:pPr>
              <w:keepNext/>
              <w:widowControl/>
              <w:spacing w:before="20" w:after="20"/>
              <w:rPr>
                <w:rFonts w:ascii="Arial Narrow" w:hAnsi="Arial Narrow" w:cs="Calibri"/>
                <w:bCs/>
                <w:i/>
                <w:sz w:val="20"/>
                <w:szCs w:val="20"/>
                <w:lang w:eastAsia="zh-CN"/>
              </w:rPr>
            </w:pPr>
            <w:r w:rsidRPr="00C651DB">
              <w:rPr>
                <w:rFonts w:ascii="Arial Narrow" w:hAnsi="Arial Narrow" w:cs="Calibri"/>
                <w:bCs/>
                <w:i/>
                <w:sz w:val="20"/>
                <w:szCs w:val="20"/>
                <w:lang w:eastAsia="zh-CN"/>
              </w:rPr>
              <w:t>AND</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i/>
                <w:sz w:val="20"/>
                <w:szCs w:val="20"/>
                <w:lang w:eastAsia="zh-CN"/>
              </w:rPr>
              <w:t>Patient must have had a World Health Organisation (WHO) Eastern Cooperative Oncology Group (ECOG) performance status score of 2 or less prior to initiating treatment with this drug for this condition.</w:t>
            </w:r>
            <w:r w:rsidRPr="00C651DB">
              <w:rPr>
                <w:rFonts w:ascii="Arial Narrow" w:hAnsi="Arial Narrow" w:cs="Calibri"/>
                <w:bCs/>
                <w:sz w:val="20"/>
                <w:szCs w:val="20"/>
                <w:lang w:eastAsia="zh-CN"/>
              </w:rPr>
              <w:t xml:space="preserve"> [22209]</w:t>
            </w:r>
          </w:p>
          <w:p w:rsidR="00897FB2" w:rsidRPr="00C651DB" w:rsidRDefault="00897FB2" w:rsidP="009053DE">
            <w:pPr>
              <w:keepNext/>
              <w:widowControl/>
              <w:spacing w:before="20" w:after="20"/>
              <w:rPr>
                <w:rFonts w:ascii="Arial Narrow" w:hAnsi="Arial Narrow" w:cs="Calibri"/>
                <w:bCs/>
                <w:i/>
                <w:sz w:val="20"/>
                <w:szCs w:val="20"/>
                <w:lang w:eastAsia="zh-CN"/>
              </w:rPr>
            </w:pPr>
            <w:r w:rsidRPr="00C651DB">
              <w:rPr>
                <w:rFonts w:ascii="Arial Narrow" w:hAnsi="Arial Narrow" w:cs="Calibri"/>
                <w:bCs/>
                <w:i/>
                <w:sz w:val="20"/>
                <w:szCs w:val="20"/>
                <w:lang w:eastAsia="zh-CN"/>
              </w:rPr>
              <w:t>AND</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i/>
                <w:sz w:val="20"/>
                <w:szCs w:val="20"/>
                <w:lang w:eastAsia="zh-CN"/>
              </w:rPr>
              <w:t xml:space="preserve">The condition must not be central nervous system lymphoma, transformed follicular lymphoma or grade 3b follicular lymphoma </w:t>
            </w:r>
            <w:r w:rsidRPr="00C651DB">
              <w:rPr>
                <w:rFonts w:ascii="Arial Narrow" w:hAnsi="Arial Narrow" w:cs="Calibri"/>
                <w:bCs/>
                <w:sz w:val="20"/>
                <w:szCs w:val="20"/>
                <w:lang w:eastAsia="zh-CN"/>
              </w:rPr>
              <w:t>[new concept]</w:t>
            </w:r>
          </w:p>
          <w:p w:rsidR="00897FB2" w:rsidRPr="00C651DB" w:rsidRDefault="00897FB2" w:rsidP="009053DE">
            <w:pPr>
              <w:keepNext/>
              <w:widowControl/>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AND</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strike/>
                <w:sz w:val="20"/>
                <w:szCs w:val="20"/>
                <w:lang w:eastAsia="zh-CN"/>
              </w:rPr>
              <w:t>Patient must not receive more than 6 cycles of treatment under this restriction</w:t>
            </w:r>
            <w:r w:rsidRPr="00C651DB">
              <w:rPr>
                <w:rFonts w:ascii="Arial Narrow" w:hAnsi="Arial Narrow" w:cs="Calibri"/>
                <w:bCs/>
                <w:sz w:val="20"/>
                <w:szCs w:val="20"/>
                <w:lang w:eastAsia="zh-CN"/>
              </w:rPr>
              <w:t xml:space="preserve"> [18819]</w:t>
            </w: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i/>
                <w:sz w:val="20"/>
                <w:szCs w:val="20"/>
                <w:lang w:eastAsia="zh-CN"/>
              </w:rPr>
              <w:t xml:space="preserve">Patient must not receive more than 6 doses in </w:t>
            </w:r>
            <w:r>
              <w:rPr>
                <w:rFonts w:ascii="Arial Narrow" w:hAnsi="Arial Narrow" w:cs="Calibri"/>
                <w:bCs/>
                <w:sz w:val="20"/>
                <w:szCs w:val="20"/>
                <w:lang w:eastAsia="zh-CN"/>
              </w:rPr>
              <w:t>a lifetime for this condition</w:t>
            </w:r>
            <w:r w:rsidRPr="00C651DB">
              <w:rPr>
                <w:rFonts w:ascii="Arial Narrow" w:hAnsi="Arial Narrow" w:cs="Calibri"/>
                <w:bCs/>
                <w:sz w:val="20"/>
                <w:szCs w:val="20"/>
                <w:lang w:eastAsia="zh-CN"/>
              </w:rPr>
              <w:t xml:space="preserve">[21587] </w:t>
            </w:r>
          </w:p>
          <w:p w:rsidR="00897FB2" w:rsidRPr="00C651DB" w:rsidRDefault="00897FB2" w:rsidP="009053DE">
            <w:pPr>
              <w:keepNext/>
              <w:widowControl/>
              <w:spacing w:before="20" w:after="20"/>
              <w:rPr>
                <w:rFonts w:ascii="Arial Narrow" w:hAnsi="Arial Narrow" w:cs="Calibri"/>
                <w:bCs/>
                <w:i/>
                <w:sz w:val="20"/>
                <w:szCs w:val="20"/>
                <w:lang w:eastAsia="zh-CN"/>
              </w:rPr>
            </w:pPr>
            <w:r w:rsidRPr="00C651DB">
              <w:rPr>
                <w:rFonts w:ascii="Arial Narrow" w:hAnsi="Arial Narrow" w:cs="Calibri"/>
                <w:bCs/>
                <w:i/>
                <w:sz w:val="20"/>
                <w:szCs w:val="20"/>
                <w:lang w:eastAsia="zh-CN"/>
              </w:rPr>
              <w:t>AND</w:t>
            </w:r>
          </w:p>
          <w:p w:rsidR="00897FB2" w:rsidRPr="00C651DB" w:rsidRDefault="00897FB2" w:rsidP="009053DE">
            <w:pPr>
              <w:keepNext/>
              <w:widowControl/>
              <w:rPr>
                <w:rFonts w:ascii="Arial Narrow" w:hAnsi="Arial Narrow"/>
                <w:sz w:val="20"/>
                <w:szCs w:val="20"/>
              </w:rPr>
            </w:pPr>
            <w:r w:rsidRPr="00C651DB">
              <w:rPr>
                <w:rFonts w:ascii="Arial Narrow" w:hAnsi="Arial Narrow" w:cs="Calibri"/>
                <w:bCs/>
                <w:i/>
                <w:sz w:val="20"/>
                <w:szCs w:val="20"/>
                <w:lang w:eastAsia="zh-CN"/>
              </w:rPr>
              <w:t>The treatment must be discontinued in patients who experience disease progression whilst on treatment</w:t>
            </w:r>
            <w:r w:rsidRPr="00C651DB">
              <w:rPr>
                <w:rFonts w:ascii="Arial Narrow" w:hAnsi="Arial Narrow" w:cs="Calibri"/>
                <w:bCs/>
                <w:sz w:val="20"/>
                <w:szCs w:val="20"/>
                <w:lang w:eastAsia="zh-CN"/>
              </w:rPr>
              <w:t xml:space="preserve"> [17714]</w:t>
            </w: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Prescriber Instructions:</w:t>
            </w:r>
          </w:p>
          <w:p w:rsidR="00897FB2" w:rsidRPr="00C651DB" w:rsidRDefault="00897FB2" w:rsidP="009053DE">
            <w:pPr>
              <w:keepNext/>
              <w:widowControl/>
              <w:rPr>
                <w:rFonts w:ascii="Arial Narrow" w:hAnsi="Arial Narrow"/>
                <w:sz w:val="20"/>
                <w:szCs w:val="20"/>
              </w:rPr>
            </w:pP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pBdr>
                <w:bottom w:val="dashed" w:sz="4" w:space="1" w:color="auto"/>
              </w:pBdr>
              <w:spacing w:before="20" w:after="20"/>
              <w:rPr>
                <w:rFonts w:ascii="Arial Narrow" w:hAnsi="Arial Narrow" w:cs="Calibri"/>
                <w:bCs/>
                <w:strike/>
                <w:sz w:val="20"/>
                <w:szCs w:val="20"/>
                <w:lang w:eastAsia="zh-CN"/>
              </w:rPr>
            </w:pPr>
            <w:r w:rsidRPr="00C651DB">
              <w:rPr>
                <w:rFonts w:ascii="Arial Narrow" w:hAnsi="Arial Narrow" w:cs="Calibri"/>
                <w:bCs/>
                <w:strike/>
                <w:sz w:val="20"/>
                <w:szCs w:val="20"/>
                <w:lang w:eastAsia="zh-CN"/>
              </w:rPr>
              <w:t>Treatment must be discontinued in patients who experience disease progression while on treatment</w:t>
            </w:r>
          </w:p>
          <w:p w:rsidR="00897FB2" w:rsidRPr="00BF4A6C" w:rsidRDefault="00897FB2" w:rsidP="009053DE">
            <w:pPr>
              <w:keepNext/>
              <w:widowControl/>
              <w:rPr>
                <w:rFonts w:ascii="Arial Narrow" w:hAnsi="Arial Narrow" w:cs="Calibri"/>
                <w:bCs/>
                <w:strike/>
                <w:sz w:val="20"/>
                <w:szCs w:val="20"/>
                <w:lang w:eastAsia="zh-CN"/>
              </w:rPr>
            </w:pPr>
            <w:r w:rsidRPr="00BF4A6C">
              <w:rPr>
                <w:rFonts w:ascii="Arial Narrow" w:hAnsi="Arial Narrow" w:cs="Calibri"/>
                <w:bCs/>
                <w:i/>
                <w:strike/>
                <w:sz w:val="20"/>
                <w:szCs w:val="20"/>
                <w:lang w:eastAsia="zh-CN"/>
              </w:rPr>
              <w:t xml:space="preserve">A patient may qualify for PBS-subsidised treatment under this restriction once only </w:t>
            </w:r>
            <w:r w:rsidRPr="00BF4A6C">
              <w:rPr>
                <w:rFonts w:ascii="Arial Narrow" w:hAnsi="Arial Narrow" w:cs="Calibri"/>
                <w:bCs/>
                <w:strike/>
                <w:sz w:val="20"/>
                <w:szCs w:val="20"/>
                <w:lang w:eastAsia="zh-CN"/>
              </w:rPr>
              <w:t>[12980]</w:t>
            </w:r>
          </w:p>
          <w:p w:rsidR="00897FB2" w:rsidRDefault="00897FB2" w:rsidP="009053DE">
            <w:pPr>
              <w:keepNext/>
              <w:widowControl/>
              <w:rPr>
                <w:rFonts w:ascii="Arial Narrow" w:hAnsi="Arial Narrow"/>
                <w:sz w:val="20"/>
                <w:szCs w:val="20"/>
              </w:rPr>
            </w:pPr>
          </w:p>
          <w:p w:rsidR="00897FB2" w:rsidRPr="00BF4A6C" w:rsidRDefault="00897FB2" w:rsidP="009053DE">
            <w:pPr>
              <w:keepNext/>
              <w:widowControl/>
              <w:pBdr>
                <w:bottom w:val="dashed" w:sz="4" w:space="1" w:color="auto"/>
              </w:pBdr>
              <w:spacing w:before="20" w:after="20"/>
              <w:rPr>
                <w:rFonts w:ascii="Arial Narrow" w:hAnsi="Arial Narrow" w:cs="Calibri"/>
                <w:bCs/>
                <w:i/>
                <w:sz w:val="20"/>
                <w:szCs w:val="20"/>
                <w:lang w:eastAsia="zh-CN"/>
              </w:rPr>
            </w:pPr>
            <w:r w:rsidRPr="00BF4A6C">
              <w:rPr>
                <w:rFonts w:ascii="Arial Narrow" w:hAnsi="Arial Narrow"/>
                <w:i/>
                <w:sz w:val="20"/>
                <w:szCs w:val="20"/>
              </w:rPr>
              <w:t>Grandfathered patient who has previously received non-PBS subsidised treatment with this drug for this condition prior to &lt;LISTING DATE&gt; must have met all the initial restriction criteria prior to initiating non-PBS subsidised treatment. A Grandfathered patient may qualify for PBS-subsidised treatment under this restriction once only. A Grandfathered p</w:t>
            </w:r>
            <w:r w:rsidRPr="00BF4A6C">
              <w:rPr>
                <w:rFonts w:ascii="Arial Narrow" w:hAnsi="Arial Narrow" w:cs="Calibri"/>
                <w:bCs/>
                <w:i/>
                <w:sz w:val="20"/>
                <w:szCs w:val="20"/>
                <w:lang w:eastAsia="zh-CN"/>
              </w:rPr>
              <w:t>atient must not receive more than 6 doses of combined PBS-subsidised and non</w:t>
            </w:r>
            <w:r w:rsidRPr="00BF4A6C">
              <w:rPr>
                <w:rFonts w:ascii="Arial Narrow" w:hAnsi="Arial Narrow" w:cs="Calibri"/>
                <w:bCs/>
                <w:i/>
                <w:sz w:val="20"/>
                <w:szCs w:val="20"/>
                <w:lang w:eastAsia="zh-CN"/>
              </w:rPr>
              <w:noBreakHyphen/>
              <w:t>PBS-subsidised therapy for this condition.</w:t>
            </w:r>
          </w:p>
          <w:p w:rsidR="00897FB2" w:rsidRPr="00C651DB" w:rsidRDefault="00897FB2" w:rsidP="009053DE">
            <w:pPr>
              <w:keepNext/>
              <w:widowControl/>
              <w:rPr>
                <w:rFonts w:ascii="Arial Narrow" w:hAnsi="Arial Narrow"/>
                <w:sz w:val="20"/>
                <w:szCs w:val="20"/>
              </w:rPr>
            </w:pPr>
          </w:p>
        </w:tc>
      </w:tr>
      <w:tr w:rsidR="00897FB2" w:rsidRPr="00C651DB" w:rsidTr="000969CE">
        <w:trPr>
          <w:trHeight w:val="360"/>
        </w:trPr>
        <w:tc>
          <w:tcPr>
            <w:tcW w:w="1985" w:type="dxa"/>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rPr>
                <w:rFonts w:ascii="Arial Narrow" w:hAnsi="Arial Narrow"/>
                <w:b/>
                <w:sz w:val="20"/>
                <w:szCs w:val="20"/>
              </w:rPr>
            </w:pPr>
            <w:r w:rsidRPr="00C651DB">
              <w:rPr>
                <w:rFonts w:ascii="Arial Narrow" w:hAnsi="Arial Narrow"/>
                <w:b/>
                <w:sz w:val="20"/>
                <w:szCs w:val="20"/>
              </w:rPr>
              <w:t>Administrative Advice:</w:t>
            </w:r>
          </w:p>
          <w:p w:rsidR="00897FB2" w:rsidRPr="00C651DB" w:rsidRDefault="00897FB2" w:rsidP="009053DE">
            <w:pPr>
              <w:keepNext/>
              <w:widowControl/>
              <w:rPr>
                <w:rFonts w:ascii="Arial Narrow" w:hAnsi="Arial Narrow"/>
                <w:i/>
                <w:sz w:val="20"/>
                <w:szCs w:val="20"/>
              </w:rPr>
            </w:pPr>
          </w:p>
        </w:tc>
        <w:tc>
          <w:tcPr>
            <w:tcW w:w="6770" w:type="dxa"/>
            <w:gridSpan w:val="6"/>
            <w:tcBorders>
              <w:top w:val="single" w:sz="4" w:space="0" w:color="auto"/>
              <w:left w:val="single" w:sz="4" w:space="0" w:color="auto"/>
              <w:bottom w:val="single" w:sz="4" w:space="0" w:color="auto"/>
              <w:right w:val="single" w:sz="4" w:space="0" w:color="auto"/>
            </w:tcBorders>
          </w:tcPr>
          <w:p w:rsidR="00897FB2" w:rsidRPr="00C651DB" w:rsidRDefault="00897FB2" w:rsidP="009053DE">
            <w:pPr>
              <w:keepNext/>
              <w:widowControl/>
              <w:pBdr>
                <w:bottom w:val="dashed" w:sz="4" w:space="1" w:color="auto"/>
              </w:pBdr>
              <w:spacing w:before="20" w:after="20"/>
              <w:rPr>
                <w:rFonts w:ascii="Arial Narrow" w:hAnsi="Arial Narrow" w:cs="Calibri"/>
                <w:bCs/>
                <w:strike/>
                <w:sz w:val="20"/>
                <w:szCs w:val="20"/>
                <w:lang w:eastAsia="zh-CN"/>
              </w:rPr>
            </w:pPr>
            <w:r w:rsidRPr="00C651DB">
              <w:rPr>
                <w:rFonts w:ascii="Arial Narrow" w:hAnsi="Arial Narrow" w:cs="Calibri"/>
                <w:bCs/>
                <w:strike/>
                <w:sz w:val="20"/>
                <w:szCs w:val="20"/>
                <w:lang w:eastAsia="zh-CN"/>
              </w:rPr>
              <w:t>Patient may qualify for PBS-subsidised treatment under this restriction once only</w:t>
            </w:r>
          </w:p>
          <w:p w:rsidR="00897FB2" w:rsidRPr="00C651DB" w:rsidRDefault="00897FB2" w:rsidP="009053DE">
            <w:pPr>
              <w:keepNext/>
              <w:widowControl/>
              <w:spacing w:before="20" w:after="20"/>
              <w:rPr>
                <w:rFonts w:ascii="Arial Narrow" w:hAnsi="Arial Narrow" w:cs="Calibri"/>
                <w:bCs/>
                <w:sz w:val="20"/>
                <w:szCs w:val="20"/>
                <w:lang w:eastAsia="zh-CN"/>
              </w:rPr>
            </w:pPr>
          </w:p>
          <w:p w:rsidR="00897FB2" w:rsidRPr="00C651DB" w:rsidRDefault="00897FB2" w:rsidP="009053DE">
            <w:pPr>
              <w:keepNext/>
              <w:widowControl/>
              <w:pBdr>
                <w:bottom w:val="dashed" w:sz="4" w:space="1" w:color="auto"/>
              </w:pBdr>
              <w:spacing w:before="20" w:after="20"/>
              <w:rPr>
                <w:rFonts w:ascii="Arial Narrow" w:hAnsi="Arial Narrow" w:cs="Calibri"/>
                <w:bCs/>
                <w:sz w:val="20"/>
                <w:szCs w:val="20"/>
                <w:lang w:eastAsia="zh-CN"/>
              </w:rPr>
            </w:pPr>
            <w:r w:rsidRPr="00C651DB">
              <w:rPr>
                <w:rFonts w:ascii="Arial Narrow" w:hAnsi="Arial Narrow" w:cs="Calibri"/>
                <w:bCs/>
                <w:sz w:val="20"/>
                <w:szCs w:val="20"/>
                <w:lang w:eastAsia="zh-CN"/>
              </w:rPr>
              <w:t>No increase in the maximum number of repeats may be authorised [7607]</w:t>
            </w:r>
          </w:p>
          <w:p w:rsidR="00897FB2" w:rsidRPr="00C651DB" w:rsidRDefault="00897FB2" w:rsidP="009053DE">
            <w:pPr>
              <w:keepNext/>
              <w:widowControl/>
              <w:spacing w:before="20" w:after="20"/>
              <w:rPr>
                <w:rFonts w:ascii="Arial Narrow" w:hAnsi="Arial Narrow" w:cs="Calibri"/>
                <w:bCs/>
                <w:sz w:val="20"/>
                <w:szCs w:val="20"/>
                <w:lang w:eastAsia="zh-CN"/>
              </w:rPr>
            </w:pPr>
          </w:p>
          <w:p w:rsidR="00897FB2" w:rsidRPr="00C651DB" w:rsidRDefault="00897FB2" w:rsidP="009053DE">
            <w:pPr>
              <w:keepNext/>
              <w:widowControl/>
              <w:rPr>
                <w:rFonts w:ascii="Arial Narrow" w:hAnsi="Arial Narrow"/>
                <w:sz w:val="20"/>
                <w:szCs w:val="20"/>
              </w:rPr>
            </w:pPr>
            <w:r w:rsidRPr="00C651DB">
              <w:rPr>
                <w:rFonts w:ascii="Arial Narrow" w:hAnsi="Arial Narrow" w:cs="Calibri"/>
                <w:bCs/>
                <w:sz w:val="20"/>
                <w:szCs w:val="20"/>
                <w:lang w:eastAsia="zh-CN"/>
              </w:rPr>
              <w:t xml:space="preserve">Special </w:t>
            </w:r>
            <w:proofErr w:type="spellStart"/>
            <w:r w:rsidRPr="00C651DB">
              <w:rPr>
                <w:rFonts w:ascii="Arial Narrow" w:hAnsi="Arial Narrow" w:cs="Calibri"/>
                <w:bCs/>
                <w:i/>
                <w:sz w:val="20"/>
                <w:szCs w:val="20"/>
                <w:lang w:eastAsia="zh-CN"/>
              </w:rPr>
              <w:t>P</w:t>
            </w:r>
            <w:r w:rsidRPr="00C651DB">
              <w:rPr>
                <w:rFonts w:ascii="Arial Narrow" w:hAnsi="Arial Narrow" w:cs="Calibri"/>
                <w:bCs/>
                <w:strike/>
                <w:sz w:val="20"/>
                <w:szCs w:val="20"/>
                <w:lang w:eastAsia="zh-CN"/>
              </w:rPr>
              <w:t>p</w:t>
            </w:r>
            <w:r w:rsidRPr="00C651DB">
              <w:rPr>
                <w:rFonts w:ascii="Arial Narrow" w:hAnsi="Arial Narrow" w:cs="Calibri"/>
                <w:bCs/>
                <w:sz w:val="20"/>
                <w:szCs w:val="20"/>
                <w:lang w:eastAsia="zh-CN"/>
              </w:rPr>
              <w:t>ricing</w:t>
            </w:r>
            <w:proofErr w:type="spellEnd"/>
            <w:r w:rsidRPr="00C651DB">
              <w:rPr>
                <w:rFonts w:ascii="Arial Narrow" w:hAnsi="Arial Narrow" w:cs="Calibri"/>
                <w:bCs/>
                <w:sz w:val="20"/>
                <w:szCs w:val="20"/>
                <w:lang w:eastAsia="zh-CN"/>
              </w:rPr>
              <w:t xml:space="preserve"> </w:t>
            </w:r>
            <w:proofErr w:type="spellStart"/>
            <w:r w:rsidRPr="00C651DB">
              <w:rPr>
                <w:rFonts w:ascii="Arial Narrow" w:hAnsi="Arial Narrow" w:cs="Calibri"/>
                <w:bCs/>
                <w:i/>
                <w:sz w:val="20"/>
                <w:szCs w:val="20"/>
                <w:lang w:eastAsia="zh-CN"/>
              </w:rPr>
              <w:t>A</w:t>
            </w:r>
            <w:r w:rsidRPr="00C651DB">
              <w:rPr>
                <w:rFonts w:ascii="Arial Narrow" w:hAnsi="Arial Narrow" w:cs="Calibri"/>
                <w:bCs/>
                <w:strike/>
                <w:sz w:val="20"/>
                <w:szCs w:val="20"/>
                <w:lang w:eastAsia="zh-CN"/>
              </w:rPr>
              <w:t>a</w:t>
            </w:r>
            <w:r w:rsidRPr="00C651DB">
              <w:rPr>
                <w:rFonts w:ascii="Arial Narrow" w:hAnsi="Arial Narrow" w:cs="Calibri"/>
                <w:bCs/>
                <w:sz w:val="20"/>
                <w:szCs w:val="20"/>
                <w:lang w:eastAsia="zh-CN"/>
              </w:rPr>
              <w:t>rrangements</w:t>
            </w:r>
            <w:proofErr w:type="spellEnd"/>
            <w:r w:rsidRPr="00C651DB">
              <w:rPr>
                <w:rFonts w:ascii="Arial Narrow" w:hAnsi="Arial Narrow" w:cs="Calibri"/>
                <w:bCs/>
                <w:sz w:val="20"/>
                <w:szCs w:val="20"/>
                <w:lang w:eastAsia="zh-CN"/>
              </w:rPr>
              <w:t xml:space="preserve"> apply [7608]</w:t>
            </w:r>
          </w:p>
        </w:tc>
      </w:tr>
    </w:tbl>
    <w:p w:rsidR="00253644" w:rsidRDefault="00253644" w:rsidP="00617E12"/>
    <w:p w:rsidR="00591957" w:rsidRDefault="0075124A" w:rsidP="00095881">
      <w:pPr>
        <w:pStyle w:val="ListParagraph"/>
        <w:widowControl/>
        <w:numPr>
          <w:ilvl w:val="1"/>
          <w:numId w:val="2"/>
        </w:numPr>
      </w:pPr>
      <w:r>
        <w:t xml:space="preserve">The submission proposed a Special Pricing Arrangement (SPA) with the effective </w:t>
      </w:r>
      <w:proofErr w:type="spellStart"/>
      <w:r w:rsidR="007507CC">
        <w:t>polatuzumab</w:t>
      </w:r>
      <w:proofErr w:type="spellEnd"/>
      <w:r w:rsidR="007507CC">
        <w:t xml:space="preserve"> </w:t>
      </w:r>
      <w:proofErr w:type="spellStart"/>
      <w:r w:rsidR="007507CC">
        <w:t>vedotin</w:t>
      </w:r>
      <w:proofErr w:type="spellEnd"/>
      <w:r w:rsidR="007507CC">
        <w:t xml:space="preserve"> ex-manufacturer price</w:t>
      </w:r>
      <w:r>
        <w:t xml:space="preserve"> </w:t>
      </w:r>
      <w:r w:rsidR="00474459">
        <w:t xml:space="preserve">incorporating a </w:t>
      </w:r>
      <w:r w:rsidR="00E77FA0">
        <w:rPr>
          <w:noProof/>
          <w:color w:val="000000"/>
          <w:highlight w:val="black"/>
        </w:rPr>
        <w:t>'''''</w:t>
      </w:r>
      <w:r>
        <w:t xml:space="preserve">% rebate </w:t>
      </w:r>
      <w:r w:rsidR="000706C6">
        <w:t>on</w:t>
      </w:r>
      <w:r>
        <w:t xml:space="preserve"> the </w:t>
      </w:r>
      <w:r w:rsidR="000706C6">
        <w:t xml:space="preserve">proposed </w:t>
      </w:r>
      <w:r>
        <w:t>ex</w:t>
      </w:r>
      <w:r w:rsidR="00E517CC">
        <w:t>-</w:t>
      </w:r>
      <w:r>
        <w:t xml:space="preserve">manufacturer price. </w:t>
      </w:r>
    </w:p>
    <w:p w:rsidR="000706C6" w:rsidRDefault="00541D50" w:rsidP="00095881">
      <w:pPr>
        <w:pStyle w:val="ListParagraph"/>
        <w:widowControl/>
        <w:numPr>
          <w:ilvl w:val="1"/>
          <w:numId w:val="2"/>
        </w:numPr>
      </w:pPr>
      <w:r w:rsidRPr="00A0799B">
        <w:t xml:space="preserve">Only one size vial (140mg) of </w:t>
      </w:r>
      <w:proofErr w:type="spellStart"/>
      <w:r w:rsidRPr="00A0799B">
        <w:t>polatuzumab</w:t>
      </w:r>
      <w:proofErr w:type="spellEnd"/>
      <w:r w:rsidRPr="00A0799B">
        <w:t xml:space="preserve"> </w:t>
      </w:r>
      <w:proofErr w:type="spellStart"/>
      <w:r w:rsidRPr="00A0799B">
        <w:t>vedotin</w:t>
      </w:r>
      <w:proofErr w:type="spellEnd"/>
      <w:r w:rsidRPr="00A0799B">
        <w:t xml:space="preserve"> </w:t>
      </w:r>
      <w:r w:rsidR="00757F7E" w:rsidRPr="00A0799B">
        <w:t>is</w:t>
      </w:r>
      <w:r w:rsidRPr="00A0799B">
        <w:t xml:space="preserve"> currently available. At a dose of </w:t>
      </w:r>
      <w:r w:rsidR="000706C6" w:rsidRPr="00A0799B">
        <w:t>1.8mg/kg</w:t>
      </w:r>
      <w:r w:rsidR="00757F7E" w:rsidRPr="00A0799B">
        <w:t>,</w:t>
      </w:r>
      <w:r w:rsidRPr="00A0799B">
        <w:t xml:space="preserve"> as proposed by the submission and used in the key trial (GO</w:t>
      </w:r>
      <w:r w:rsidR="00757F7E" w:rsidRPr="00A0799B">
        <w:t>29365</w:t>
      </w:r>
      <w:r w:rsidRPr="00A0799B">
        <w:t xml:space="preserve">), </w:t>
      </w:r>
      <w:r w:rsidR="000706C6" w:rsidRPr="00A0799B">
        <w:t xml:space="preserve">patients who weigh ≥80kg will likely require 2 vials of </w:t>
      </w:r>
      <w:proofErr w:type="spellStart"/>
      <w:r w:rsidRPr="00A0799B">
        <w:t>p</w:t>
      </w:r>
      <w:r w:rsidR="000706C6" w:rsidRPr="00A0799B">
        <w:t>olatuzumab</w:t>
      </w:r>
      <w:proofErr w:type="spellEnd"/>
      <w:r w:rsidR="000706C6" w:rsidRPr="00A0799B">
        <w:t xml:space="preserve"> </w:t>
      </w:r>
      <w:proofErr w:type="spellStart"/>
      <w:r w:rsidR="000706C6" w:rsidRPr="00A0799B">
        <w:t>vedotin</w:t>
      </w:r>
      <w:proofErr w:type="spellEnd"/>
      <w:r w:rsidR="000706C6" w:rsidRPr="00A0799B">
        <w:t xml:space="preserve"> per dose</w:t>
      </w:r>
      <w:r w:rsidRPr="00A0799B">
        <w:t>,</w:t>
      </w:r>
      <w:r w:rsidR="000706C6" w:rsidRPr="00A0799B">
        <w:t xml:space="preserve"> which will result in substantial wastage.</w:t>
      </w:r>
      <w:r w:rsidR="000706C6" w:rsidRPr="000706C6">
        <w:rPr>
          <w:i/>
        </w:rPr>
        <w:t xml:space="preserve"> </w:t>
      </w:r>
      <w:r w:rsidR="002A149A" w:rsidRPr="00BA1961">
        <w:t xml:space="preserve">Market research data presented in the submission </w:t>
      </w:r>
      <w:r w:rsidR="002A149A" w:rsidRPr="00BA1961">
        <w:lastRenderedPageBreak/>
        <w:t>indicated that</w:t>
      </w:r>
      <w:r w:rsidR="00792A77">
        <w:t>,</w:t>
      </w:r>
      <w:r w:rsidR="002A149A" w:rsidRPr="00BA1961">
        <w:t xml:space="preserve"> i</w:t>
      </w:r>
      <w:r w:rsidR="000706C6" w:rsidRPr="00BA1961">
        <w:t xml:space="preserve">n Australia, </w:t>
      </w:r>
      <w:r w:rsidR="00E77FA0">
        <w:rPr>
          <w:noProof/>
          <w:color w:val="000000"/>
          <w:highlight w:val="black"/>
        </w:rPr>
        <w:t>'''''</w:t>
      </w:r>
      <w:r w:rsidR="000706C6" w:rsidRPr="00C50670">
        <w:t>% of</w:t>
      </w:r>
      <w:r w:rsidR="000706C6" w:rsidRPr="00BA1961">
        <w:t xml:space="preserve"> R/R DLBCL patients </w:t>
      </w:r>
      <w:r w:rsidR="00792A77">
        <w:t xml:space="preserve">ineligible for SCT </w:t>
      </w:r>
      <w:r w:rsidR="000706C6" w:rsidRPr="00BA1961">
        <w:t xml:space="preserve">weighed </w:t>
      </w:r>
      <w:r w:rsidR="00D4381D">
        <w:br/>
      </w:r>
      <w:r w:rsidR="000706C6" w:rsidRPr="00BA1961">
        <w:t>≥81</w:t>
      </w:r>
      <w:r w:rsidR="002A149A" w:rsidRPr="00BA1961">
        <w:t> k</w:t>
      </w:r>
      <w:r w:rsidR="000706C6" w:rsidRPr="00BA1961">
        <w:t>g.</w:t>
      </w:r>
      <w:r w:rsidR="000706C6" w:rsidRPr="000706C6">
        <w:rPr>
          <w:i/>
        </w:rPr>
        <w:t xml:space="preserve"> </w:t>
      </w:r>
      <w:r w:rsidR="000706C6" w:rsidRPr="00541D50">
        <w:t xml:space="preserve">The submission </w:t>
      </w:r>
      <w:r>
        <w:t>stated</w:t>
      </w:r>
      <w:r w:rsidR="000706C6" w:rsidRPr="00541D50">
        <w:t xml:space="preserve"> a 30mg </w:t>
      </w:r>
      <w:r w:rsidR="00792A77">
        <w:t xml:space="preserve">formulation </w:t>
      </w:r>
      <w:r w:rsidR="000706C6" w:rsidRPr="00541D50">
        <w:t xml:space="preserve">of </w:t>
      </w:r>
      <w:proofErr w:type="spellStart"/>
      <w:r>
        <w:t>p</w:t>
      </w:r>
      <w:r w:rsidR="000706C6" w:rsidRPr="00541D50">
        <w:t>olatuzumab</w:t>
      </w:r>
      <w:proofErr w:type="spellEnd"/>
      <w:r w:rsidR="000706C6" w:rsidRPr="00541D50">
        <w:t xml:space="preserve"> </w:t>
      </w:r>
      <w:proofErr w:type="spellStart"/>
      <w:r w:rsidR="000706C6" w:rsidRPr="00541D50">
        <w:t>vedotin</w:t>
      </w:r>
      <w:proofErr w:type="spellEnd"/>
      <w:r w:rsidR="000706C6" w:rsidRPr="00541D50">
        <w:t xml:space="preserve"> is intended for submission to the TGA in Q2, 2020</w:t>
      </w:r>
      <w:r w:rsidR="000706C6" w:rsidRPr="001D115B">
        <w:t>.</w:t>
      </w:r>
      <w:r w:rsidR="000706C6" w:rsidRPr="00D9725F">
        <w:t xml:space="preserve"> </w:t>
      </w:r>
    </w:p>
    <w:p w:rsidR="00D04A32" w:rsidRPr="00D9725F" w:rsidRDefault="00D04A32" w:rsidP="00D04A32">
      <w:pPr>
        <w:pStyle w:val="ListParagraph"/>
        <w:widowControl/>
        <w:numPr>
          <w:ilvl w:val="1"/>
          <w:numId w:val="2"/>
        </w:numPr>
      </w:pPr>
      <w:r>
        <w:t xml:space="preserve">The submission </w:t>
      </w:r>
      <w:r w:rsidRPr="007B7F12">
        <w:t>proposed an Authority Required (STREAMLINED) listing</w:t>
      </w:r>
      <w:r>
        <w:t xml:space="preserve">. However, the PBAC considered that an Authority Required </w:t>
      </w:r>
      <w:r w:rsidRPr="00D04A32">
        <w:rPr>
          <w:rFonts w:asciiTheme="minorHAnsi" w:hAnsiTheme="minorHAnsi" w:cstheme="minorHAnsi"/>
        </w:rPr>
        <w:t xml:space="preserve">(Written) </w:t>
      </w:r>
      <w:r>
        <w:rPr>
          <w:rFonts w:asciiTheme="minorHAnsi" w:hAnsiTheme="minorHAnsi" w:cstheme="minorHAnsi"/>
        </w:rPr>
        <w:t xml:space="preserve">listing would be more appropriate for </w:t>
      </w:r>
      <w:proofErr w:type="spellStart"/>
      <w:r w:rsidRPr="00A0799B">
        <w:t>polatuzumab</w:t>
      </w:r>
      <w:proofErr w:type="spellEnd"/>
      <w:r w:rsidRPr="00A0799B">
        <w:t xml:space="preserve"> </w:t>
      </w:r>
      <w:proofErr w:type="spellStart"/>
      <w:r w:rsidRPr="00A0799B">
        <w:t>vedotin</w:t>
      </w:r>
      <w:proofErr w:type="spellEnd"/>
      <w:r w:rsidR="00330AD0">
        <w:t xml:space="preserve"> to ensure that patients are either ineligible for </w:t>
      </w:r>
      <w:r w:rsidR="00C61CE8">
        <w:t>a</w:t>
      </w:r>
      <w:r w:rsidR="00330AD0">
        <w:t>utologous transplant, or have already failed an autologous transplant</w:t>
      </w:r>
      <w:r w:rsidRPr="00D04A32">
        <w:rPr>
          <w:rFonts w:asciiTheme="minorHAnsi" w:hAnsiTheme="minorHAnsi" w:cstheme="minorHAnsi"/>
        </w:rPr>
        <w:t>.</w:t>
      </w:r>
    </w:p>
    <w:p w:rsidR="004505AC" w:rsidRPr="00502F52" w:rsidRDefault="00757F7E" w:rsidP="00095881">
      <w:pPr>
        <w:pStyle w:val="ListParagraph"/>
        <w:widowControl/>
        <w:numPr>
          <w:ilvl w:val="1"/>
          <w:numId w:val="2"/>
        </w:numPr>
      </w:pPr>
      <w:r w:rsidRPr="00757F7E">
        <w:rPr>
          <w:szCs w:val="24"/>
        </w:rPr>
        <w:t xml:space="preserve">The submission noted that </w:t>
      </w:r>
      <w:proofErr w:type="spellStart"/>
      <w:r w:rsidRPr="00757F7E">
        <w:rPr>
          <w:szCs w:val="24"/>
        </w:rPr>
        <w:t>bendamustine</w:t>
      </w:r>
      <w:proofErr w:type="spellEnd"/>
      <w:r w:rsidRPr="00757F7E">
        <w:rPr>
          <w:szCs w:val="24"/>
        </w:rPr>
        <w:t xml:space="preserve"> is not currently PBS listed in the R/R DLBCL setting and therefore a separate listing for </w:t>
      </w:r>
      <w:proofErr w:type="spellStart"/>
      <w:r w:rsidRPr="00757F7E">
        <w:rPr>
          <w:szCs w:val="24"/>
        </w:rPr>
        <w:t>bendamustine</w:t>
      </w:r>
      <w:proofErr w:type="spellEnd"/>
      <w:r w:rsidRPr="00757F7E">
        <w:rPr>
          <w:szCs w:val="24"/>
        </w:rPr>
        <w:t xml:space="preserve"> would be required for use in combination with </w:t>
      </w:r>
      <w:proofErr w:type="spellStart"/>
      <w:r w:rsidRPr="00757F7E">
        <w:rPr>
          <w:szCs w:val="24"/>
        </w:rPr>
        <w:t>polatuzumab</w:t>
      </w:r>
      <w:proofErr w:type="spellEnd"/>
      <w:r w:rsidRPr="00757F7E">
        <w:rPr>
          <w:szCs w:val="24"/>
        </w:rPr>
        <w:t xml:space="preserve"> </w:t>
      </w:r>
      <w:proofErr w:type="spellStart"/>
      <w:r w:rsidRPr="00757F7E">
        <w:rPr>
          <w:szCs w:val="24"/>
        </w:rPr>
        <w:t>vedotin</w:t>
      </w:r>
      <w:proofErr w:type="spellEnd"/>
      <w:r w:rsidRPr="00757F7E">
        <w:rPr>
          <w:szCs w:val="24"/>
        </w:rPr>
        <w:t xml:space="preserve"> and rituximab.</w:t>
      </w:r>
      <w:r w:rsidRPr="00E20DD7">
        <w:rPr>
          <w:i/>
          <w:szCs w:val="24"/>
        </w:rPr>
        <w:t xml:space="preserve"> </w:t>
      </w:r>
      <w:proofErr w:type="spellStart"/>
      <w:r w:rsidR="00396DA0" w:rsidRPr="00A0799B">
        <w:t>B</w:t>
      </w:r>
      <w:r w:rsidRPr="00A0799B">
        <w:t>endamustine</w:t>
      </w:r>
      <w:proofErr w:type="spellEnd"/>
      <w:r w:rsidRPr="00A0799B">
        <w:t xml:space="preserve"> is </w:t>
      </w:r>
      <w:r w:rsidR="00804751" w:rsidRPr="00A0799B">
        <w:t xml:space="preserve">also </w:t>
      </w:r>
      <w:r w:rsidRPr="00A0799B">
        <w:t xml:space="preserve">not currently TGA registered for use in the </w:t>
      </w:r>
      <w:r w:rsidR="00BB52B1" w:rsidRPr="00A0799B">
        <w:t>proposed population</w:t>
      </w:r>
      <w:r w:rsidR="00792A77" w:rsidRPr="00A0799B">
        <w:t xml:space="preserve"> and is not currently owned by the sponsor</w:t>
      </w:r>
      <w:r w:rsidRPr="00A0799B">
        <w:t>.</w:t>
      </w:r>
      <w:r w:rsidRPr="00A0799B">
        <w:rPr>
          <w:szCs w:val="24"/>
        </w:rPr>
        <w:t xml:space="preserve"> </w:t>
      </w:r>
      <w:r w:rsidR="0054230F" w:rsidRPr="00502F52">
        <w:rPr>
          <w:szCs w:val="24"/>
        </w:rPr>
        <w:t xml:space="preserve">The </w:t>
      </w:r>
      <w:r w:rsidR="0054230F" w:rsidRPr="00502F52">
        <w:rPr>
          <w:iCs/>
        </w:rPr>
        <w:t>Pre-Sub-Committee Response</w:t>
      </w:r>
      <w:r w:rsidR="0054230F" w:rsidRPr="00502F52">
        <w:t xml:space="preserve"> (PSCR)</w:t>
      </w:r>
      <w:r w:rsidR="00863CFF" w:rsidRPr="00502F52">
        <w:t xml:space="preserve"> </w:t>
      </w:r>
      <w:r w:rsidR="0054230F" w:rsidRPr="00502F52">
        <w:t xml:space="preserve">acknowledged that BR is not TGA registered. However, the PSCR argued that the TGA Clinical Evaluation Report </w:t>
      </w:r>
      <w:r w:rsidR="001D115B" w:rsidRPr="00502F52">
        <w:t xml:space="preserve">(CER) </w:t>
      </w:r>
      <w:r w:rsidR="0054230F" w:rsidRPr="00502F52">
        <w:t xml:space="preserve">for </w:t>
      </w:r>
      <w:proofErr w:type="spellStart"/>
      <w:r w:rsidR="0054230F" w:rsidRPr="00502F52">
        <w:t>Pola+BR</w:t>
      </w:r>
      <w:proofErr w:type="spellEnd"/>
      <w:r w:rsidR="0054230F" w:rsidRPr="00502F52">
        <w:t xml:space="preserve"> conclu</w:t>
      </w:r>
      <w:r w:rsidR="00B3351C" w:rsidRPr="00502F52">
        <w:t>ded that the proposed indication</w:t>
      </w:r>
      <w:r w:rsidR="0054230F" w:rsidRPr="00502F52">
        <w:t xml:space="preserve"> </w:t>
      </w:r>
      <w:r w:rsidR="00B3351C" w:rsidRPr="00502F52">
        <w:t xml:space="preserve">(see paragraph 3.2) is acceptable </w:t>
      </w:r>
      <w:r w:rsidR="0054230F" w:rsidRPr="00502F52">
        <w:t>and re</w:t>
      </w:r>
      <w:r w:rsidR="00B3351C" w:rsidRPr="00502F52">
        <w:t xml:space="preserve">commended that the application be approved. </w:t>
      </w:r>
      <w:r w:rsidR="0012781A" w:rsidRPr="00502F52">
        <w:t xml:space="preserve">Hence, the PSCR argued that upon TGA registration of </w:t>
      </w:r>
      <w:proofErr w:type="spellStart"/>
      <w:r w:rsidR="0012781A" w:rsidRPr="00502F52">
        <w:t>Pola+BR</w:t>
      </w:r>
      <w:proofErr w:type="spellEnd"/>
      <w:r w:rsidR="00E70895">
        <w:t>,</w:t>
      </w:r>
      <w:r w:rsidR="0012781A" w:rsidRPr="00502F52">
        <w:t xml:space="preserve"> by association </w:t>
      </w:r>
      <w:proofErr w:type="spellStart"/>
      <w:r w:rsidR="0012781A" w:rsidRPr="00502F52">
        <w:t>bendamustine</w:t>
      </w:r>
      <w:proofErr w:type="spellEnd"/>
      <w:r w:rsidR="0012781A" w:rsidRPr="00502F52">
        <w:t xml:space="preserve"> would be indicated for use in R/R DLBCL on the condition it is prescribed in combination with </w:t>
      </w:r>
      <w:proofErr w:type="spellStart"/>
      <w:r w:rsidR="0012781A" w:rsidRPr="00502F52">
        <w:t>polatuzumab</w:t>
      </w:r>
      <w:proofErr w:type="spellEnd"/>
      <w:r w:rsidR="0012781A" w:rsidRPr="00502F52">
        <w:t xml:space="preserve"> </w:t>
      </w:r>
      <w:proofErr w:type="spellStart"/>
      <w:r w:rsidR="0012781A" w:rsidRPr="00502F52">
        <w:t>vedotin</w:t>
      </w:r>
      <w:proofErr w:type="spellEnd"/>
      <w:r w:rsidR="0012781A" w:rsidRPr="00502F52">
        <w:t xml:space="preserve"> and rituximab.</w:t>
      </w:r>
      <w:r w:rsidR="007E590C" w:rsidRPr="00502F52">
        <w:t xml:space="preserve"> </w:t>
      </w:r>
    </w:p>
    <w:p w:rsidR="006C6168" w:rsidRPr="00A0799B" w:rsidRDefault="00757F7E" w:rsidP="00095881">
      <w:pPr>
        <w:pStyle w:val="ListParagraph"/>
        <w:widowControl/>
        <w:numPr>
          <w:ilvl w:val="1"/>
          <w:numId w:val="2"/>
        </w:numPr>
      </w:pPr>
      <w:r w:rsidRPr="00A0799B">
        <w:rPr>
          <w:szCs w:val="24"/>
        </w:rPr>
        <w:t xml:space="preserve">Rituximab is </w:t>
      </w:r>
      <w:r w:rsidR="00BB52B1" w:rsidRPr="00A0799B">
        <w:rPr>
          <w:szCs w:val="24"/>
        </w:rPr>
        <w:t>currently</w:t>
      </w:r>
      <w:r w:rsidRPr="00A0799B">
        <w:rPr>
          <w:szCs w:val="24"/>
        </w:rPr>
        <w:t xml:space="preserve"> PBS listed for use in </w:t>
      </w:r>
      <w:r w:rsidR="009F40C1" w:rsidRPr="00A0799B">
        <w:rPr>
          <w:szCs w:val="24"/>
        </w:rPr>
        <w:t>relapsed and refractory CD20 positive</w:t>
      </w:r>
      <w:r w:rsidRPr="00A0799B">
        <w:rPr>
          <w:szCs w:val="24"/>
        </w:rPr>
        <w:t xml:space="preserve"> </w:t>
      </w:r>
      <w:r w:rsidR="009F40C1" w:rsidRPr="00A0799B">
        <w:rPr>
          <w:szCs w:val="24"/>
        </w:rPr>
        <w:t xml:space="preserve">lymphoid cancer. Therefore, any DLBCL patients who do not express CD20 will not be eligible for rituximab and consequently not eligible for </w:t>
      </w:r>
      <w:proofErr w:type="spellStart"/>
      <w:r w:rsidR="009F40C1" w:rsidRPr="00A0799B">
        <w:rPr>
          <w:szCs w:val="24"/>
        </w:rPr>
        <w:t>Pola+BR</w:t>
      </w:r>
      <w:proofErr w:type="spellEnd"/>
      <w:r w:rsidR="009F40C1" w:rsidRPr="00A0799B">
        <w:rPr>
          <w:szCs w:val="24"/>
        </w:rPr>
        <w:t xml:space="preserve">. </w:t>
      </w:r>
    </w:p>
    <w:p w:rsidR="00C02462" w:rsidRPr="00502F52" w:rsidRDefault="00C02462" w:rsidP="00095881">
      <w:pPr>
        <w:pStyle w:val="ListParagraph"/>
        <w:numPr>
          <w:ilvl w:val="1"/>
          <w:numId w:val="2"/>
        </w:numPr>
      </w:pPr>
      <w:r w:rsidRPr="00A0799B">
        <w:t xml:space="preserve">The requested listing did not specify that eligible patients should have CD79b surface marker expression on B-cells. The draft product information stated that CD79b is expressed in over 95% of DLBCLs. </w:t>
      </w:r>
      <w:proofErr w:type="spellStart"/>
      <w:r w:rsidRPr="00A0799B">
        <w:t>Polatuzumab</w:t>
      </w:r>
      <w:proofErr w:type="spellEnd"/>
      <w:r w:rsidRPr="00A0799B">
        <w:t xml:space="preserve"> </w:t>
      </w:r>
      <w:proofErr w:type="spellStart"/>
      <w:r w:rsidRPr="00A0799B">
        <w:t>vedotin</w:t>
      </w:r>
      <w:proofErr w:type="spellEnd"/>
      <w:r w:rsidRPr="00A0799B">
        <w:t xml:space="preserve"> is a CD79b-targeted antibody drug conjugate that preferentially delivers the potent anti-mitotic </w:t>
      </w:r>
      <w:proofErr w:type="spellStart"/>
      <w:r w:rsidRPr="00A0799B">
        <w:t>vedotin</w:t>
      </w:r>
      <w:proofErr w:type="spellEnd"/>
      <w:r w:rsidRPr="00A0799B">
        <w:t xml:space="preserve"> molecule (monomethyl </w:t>
      </w:r>
      <w:proofErr w:type="spellStart"/>
      <w:r w:rsidRPr="00A0799B">
        <w:t>auristatin</w:t>
      </w:r>
      <w:proofErr w:type="spellEnd"/>
      <w:r w:rsidRPr="00A0799B">
        <w:t xml:space="preserve"> E, or MMAE) to B-cells, which results in the killing of malignant B-cells. The treatment mechanism of </w:t>
      </w:r>
      <w:proofErr w:type="spellStart"/>
      <w:r w:rsidRPr="00A0799B">
        <w:t>polatuzumab</w:t>
      </w:r>
      <w:proofErr w:type="spellEnd"/>
      <w:r w:rsidRPr="00A0799B">
        <w:t xml:space="preserve"> </w:t>
      </w:r>
      <w:proofErr w:type="spellStart"/>
      <w:r w:rsidRPr="00A0799B">
        <w:t>vedotin</w:t>
      </w:r>
      <w:proofErr w:type="spellEnd"/>
      <w:r w:rsidRPr="00A0799B">
        <w:t xml:space="preserve"> relies upon the rapid uptake of the highly toxic </w:t>
      </w:r>
      <w:proofErr w:type="spellStart"/>
      <w:r w:rsidRPr="00A0799B">
        <w:t>vedotin</w:t>
      </w:r>
      <w:proofErr w:type="spellEnd"/>
      <w:r w:rsidRPr="00A0799B">
        <w:t xml:space="preserve"> molecule into the target B-cells; this uptake is facilitated by CD79b.</w:t>
      </w:r>
      <w:r w:rsidR="0095754E">
        <w:t xml:space="preserve"> </w:t>
      </w:r>
      <w:proofErr w:type="spellStart"/>
      <w:r w:rsidRPr="00A0799B">
        <w:t>Vedotin</w:t>
      </w:r>
      <w:proofErr w:type="spellEnd"/>
      <w:r w:rsidRPr="00A0799B">
        <w:t xml:space="preserve"> is 200 times more potent than vinblastine</w:t>
      </w:r>
      <w:r w:rsidRPr="00A0799B">
        <w:rPr>
          <w:rStyle w:val="FootnoteReference"/>
        </w:rPr>
        <w:footnoteReference w:id="1"/>
      </w:r>
      <w:r w:rsidRPr="00A0799B">
        <w:t xml:space="preserve">, and cannot be used as a drug itself due to its toxicity. The pharmacokinetic and </w:t>
      </w:r>
      <w:proofErr w:type="spellStart"/>
      <w:r w:rsidRPr="00A0799B">
        <w:t>pharmacodynamic</w:t>
      </w:r>
      <w:proofErr w:type="spellEnd"/>
      <w:r w:rsidRPr="00A0799B">
        <w:t xml:space="preserve"> profile of </w:t>
      </w:r>
      <w:proofErr w:type="spellStart"/>
      <w:r w:rsidRPr="00A0799B">
        <w:t>polatuzumab</w:t>
      </w:r>
      <w:proofErr w:type="spellEnd"/>
      <w:r w:rsidRPr="00A0799B">
        <w:t xml:space="preserve"> </w:t>
      </w:r>
      <w:proofErr w:type="spellStart"/>
      <w:r w:rsidRPr="00A0799B">
        <w:t>vedotin</w:t>
      </w:r>
      <w:proofErr w:type="spellEnd"/>
      <w:r w:rsidRPr="00A0799B">
        <w:t xml:space="preserve"> in CD79b-negative patients was not provided. Compared to CD79b-positive patients, CD79b-negative patients could suffer a significantly higher plasma level of conjugated and unconjugated </w:t>
      </w:r>
      <w:proofErr w:type="spellStart"/>
      <w:r w:rsidRPr="00A0799B">
        <w:t>vedotin</w:t>
      </w:r>
      <w:proofErr w:type="spellEnd"/>
      <w:r w:rsidRPr="00A0799B">
        <w:t xml:space="preserve"> for a longer duration, given the absence of the mechanism of rapid sequestration into target B-cells. This could lead to significant off-target toxicity in CD79b-negative patients. In addition, these patients would receive unknown treatment benefit from </w:t>
      </w:r>
      <w:proofErr w:type="spellStart"/>
      <w:r w:rsidRPr="00A0799B">
        <w:t>polatuzumab</w:t>
      </w:r>
      <w:proofErr w:type="spellEnd"/>
      <w:r w:rsidRPr="00A0799B">
        <w:t xml:space="preserve"> </w:t>
      </w:r>
      <w:proofErr w:type="spellStart"/>
      <w:r w:rsidRPr="00A0799B">
        <w:t>vedotin</w:t>
      </w:r>
      <w:proofErr w:type="spellEnd"/>
      <w:r w:rsidRPr="00A0799B">
        <w:t xml:space="preserve">. </w:t>
      </w:r>
      <w:r w:rsidR="00AB2B05" w:rsidRPr="00502F52">
        <w:t xml:space="preserve">The PSCR stated </w:t>
      </w:r>
      <w:r w:rsidR="00DE78CE" w:rsidRPr="00502F52">
        <w:t xml:space="preserve">that </w:t>
      </w:r>
      <w:r w:rsidR="00DE78CE" w:rsidRPr="00502F52">
        <w:rPr>
          <w:rFonts w:cs="Calibri"/>
          <w:bCs/>
        </w:rPr>
        <w:t xml:space="preserve">CD79b is ubiquitously expressed on DLBCL cells, including R/R and previously untreated DLBCL and argued that there is no biological </w:t>
      </w:r>
      <w:r w:rsidR="00DE78CE" w:rsidRPr="00502F52">
        <w:rPr>
          <w:rFonts w:cs="Calibri"/>
          <w:bCs/>
        </w:rPr>
        <w:lastRenderedPageBreak/>
        <w:t xml:space="preserve">rationale as to why the rates of CD79b would differ amongst Australian DLBCL patients. In addition, the PSCR noted that eligibility to enrol in GO29365 did not require CD79b receptor expression. Nonetheless, CD79b expression was 96.4%. The </w:t>
      </w:r>
      <w:r w:rsidR="00BD2AD2" w:rsidRPr="00167BA5">
        <w:rPr>
          <w:rFonts w:asciiTheme="minorHAnsi" w:hAnsiTheme="minorHAnsi" w:cstheme="minorHAnsi"/>
          <w:szCs w:val="24"/>
        </w:rPr>
        <w:t>Economics Sub-Committee</w:t>
      </w:r>
      <w:r w:rsidR="00BD2AD2" w:rsidRPr="00502F52">
        <w:rPr>
          <w:rFonts w:cs="Calibri"/>
          <w:bCs/>
        </w:rPr>
        <w:t xml:space="preserve"> </w:t>
      </w:r>
      <w:r w:rsidR="00BD2AD2">
        <w:rPr>
          <w:rFonts w:cs="Calibri"/>
          <w:bCs/>
        </w:rPr>
        <w:t>(</w:t>
      </w:r>
      <w:r w:rsidR="00DE78CE" w:rsidRPr="00502F52">
        <w:rPr>
          <w:rFonts w:cs="Calibri"/>
          <w:bCs/>
        </w:rPr>
        <w:t>ESC</w:t>
      </w:r>
      <w:r w:rsidR="00BD2AD2">
        <w:rPr>
          <w:rFonts w:cs="Calibri"/>
          <w:bCs/>
        </w:rPr>
        <w:t>)</w:t>
      </w:r>
      <w:r w:rsidR="00DE78CE" w:rsidRPr="00502F52">
        <w:rPr>
          <w:rFonts w:cs="Calibri"/>
          <w:bCs/>
        </w:rPr>
        <w:t xml:space="preserve"> noted that no concerns regarding off-target toxicity in CD79b-negative patients were raised in th</w:t>
      </w:r>
      <w:r w:rsidR="001D115B" w:rsidRPr="00502F52">
        <w:rPr>
          <w:rFonts w:cs="Calibri"/>
          <w:bCs/>
        </w:rPr>
        <w:t>e TGA CER</w:t>
      </w:r>
      <w:r w:rsidR="00D327F0" w:rsidRPr="00502F52">
        <w:rPr>
          <w:rFonts w:cs="Calibri"/>
          <w:bCs/>
        </w:rPr>
        <w:t xml:space="preserve"> </w:t>
      </w:r>
      <w:r w:rsidR="00DE78CE" w:rsidRPr="00502F52">
        <w:rPr>
          <w:rFonts w:cs="Calibri"/>
          <w:bCs/>
        </w:rPr>
        <w:t xml:space="preserve">for </w:t>
      </w:r>
      <w:proofErr w:type="spellStart"/>
      <w:r w:rsidR="00DE78CE" w:rsidRPr="00502F52">
        <w:rPr>
          <w:rFonts w:cs="Calibri"/>
          <w:bCs/>
        </w:rPr>
        <w:t>polatuzumab</w:t>
      </w:r>
      <w:proofErr w:type="spellEnd"/>
      <w:r w:rsidR="00DE78CE" w:rsidRPr="00502F52">
        <w:rPr>
          <w:rFonts w:cs="Calibri"/>
          <w:bCs/>
        </w:rPr>
        <w:t xml:space="preserve"> </w:t>
      </w:r>
      <w:proofErr w:type="spellStart"/>
      <w:r w:rsidR="00DE78CE" w:rsidRPr="00502F52">
        <w:rPr>
          <w:rFonts w:cs="Calibri"/>
          <w:bCs/>
        </w:rPr>
        <w:t>vedotin</w:t>
      </w:r>
      <w:proofErr w:type="spellEnd"/>
      <w:r w:rsidR="00DE78CE" w:rsidRPr="00502F52">
        <w:rPr>
          <w:rFonts w:cs="Calibri"/>
          <w:bCs/>
        </w:rPr>
        <w:t xml:space="preserve">. </w:t>
      </w:r>
    </w:p>
    <w:p w:rsidR="00F05A30" w:rsidRPr="00A0799B" w:rsidRDefault="00F05A30" w:rsidP="00095881">
      <w:pPr>
        <w:pStyle w:val="ListParagraph"/>
        <w:widowControl/>
        <w:numPr>
          <w:ilvl w:val="1"/>
          <w:numId w:val="2"/>
        </w:numPr>
      </w:pPr>
      <w:r w:rsidRPr="00A0799B">
        <w:t xml:space="preserve">The population eligible for the proposed listing may be broader than the population in the key trial. </w:t>
      </w:r>
    </w:p>
    <w:p w:rsidR="00F05A30" w:rsidRPr="00A0799B" w:rsidRDefault="00F05A30" w:rsidP="00095881">
      <w:pPr>
        <w:pStyle w:val="ListParagraph"/>
        <w:widowControl/>
        <w:numPr>
          <w:ilvl w:val="0"/>
          <w:numId w:val="4"/>
        </w:numPr>
        <w:ind w:left="1232" w:hanging="476"/>
      </w:pPr>
      <w:r w:rsidRPr="00A0799B">
        <w:t>The clinical criteria in the proposed listing specified that “the condition must have relapsed or be refractory to at least one prior therapy”, while the key trial (</w:t>
      </w:r>
      <w:r w:rsidRPr="00A0799B">
        <w:rPr>
          <w:szCs w:val="24"/>
        </w:rPr>
        <w:t>GO29365) enrolled patients who were relapsed or refractory to at least one prior chemotherapy regimen. Given the range of therapies used in patients with DLBCL (including radiotherapy, novel therapies/trials and comfort measures), a diverse population may be eligible for treatment</w:t>
      </w:r>
      <w:r w:rsidR="00DB7693" w:rsidRPr="00A0799B">
        <w:rPr>
          <w:szCs w:val="24"/>
        </w:rPr>
        <w:t xml:space="preserve"> under the proposed listing</w:t>
      </w:r>
      <w:r w:rsidRPr="00A0799B">
        <w:rPr>
          <w:szCs w:val="24"/>
        </w:rPr>
        <w:t xml:space="preserve">. </w:t>
      </w:r>
      <w:r w:rsidR="00CD142A">
        <w:rPr>
          <w:szCs w:val="24"/>
        </w:rPr>
        <w:t xml:space="preserve">The PBAC considered the clinical criteria should specify that “the condition must have relapsed or be refractory to at least one prior </w:t>
      </w:r>
      <w:proofErr w:type="spellStart"/>
      <w:r w:rsidR="00CD142A">
        <w:rPr>
          <w:szCs w:val="24"/>
        </w:rPr>
        <w:t>immunochemotherapy</w:t>
      </w:r>
      <w:proofErr w:type="spellEnd"/>
      <w:r w:rsidR="00CD142A">
        <w:rPr>
          <w:szCs w:val="24"/>
        </w:rPr>
        <w:t>”.</w:t>
      </w:r>
      <w:r w:rsidR="0095754E">
        <w:rPr>
          <w:szCs w:val="24"/>
        </w:rPr>
        <w:t xml:space="preserve"> </w:t>
      </w:r>
    </w:p>
    <w:p w:rsidR="00F05A30" w:rsidRPr="00502F52" w:rsidRDefault="00DB7693" w:rsidP="00095881">
      <w:pPr>
        <w:pStyle w:val="ListParagraph"/>
        <w:widowControl/>
        <w:numPr>
          <w:ilvl w:val="0"/>
          <w:numId w:val="4"/>
        </w:numPr>
        <w:ind w:left="1232" w:hanging="476"/>
      </w:pPr>
      <w:r w:rsidRPr="00A0799B">
        <w:t>T</w:t>
      </w:r>
      <w:r w:rsidR="00F05A30" w:rsidRPr="00A0799B">
        <w:t xml:space="preserve">he key trial excluded patients </w:t>
      </w:r>
      <w:r w:rsidR="00D34BBC" w:rsidRPr="00A0799B">
        <w:t xml:space="preserve">who had a history of prior allogeneic SCT and </w:t>
      </w:r>
      <w:r w:rsidR="00F05A30" w:rsidRPr="00A0799B">
        <w:t>who had a history of transformation of indolent disease to DLBCL</w:t>
      </w:r>
      <w:r w:rsidR="00806554" w:rsidRPr="00A0799B">
        <w:t>. These eligibility criteria were not reflected in the proposed listing.</w:t>
      </w:r>
      <w:r w:rsidR="00B2355A">
        <w:t xml:space="preserve"> </w:t>
      </w:r>
      <w:r w:rsidR="00B2355A" w:rsidRPr="00502F52">
        <w:t xml:space="preserve">The </w:t>
      </w:r>
      <w:r w:rsidR="00CD142A">
        <w:t xml:space="preserve">PBAC agreed with the </w:t>
      </w:r>
      <w:r w:rsidR="00B2355A" w:rsidRPr="00502F52">
        <w:t xml:space="preserve">ESC that the subgroup of patients with a history of prior allogeneic SCT in this context would be small and considered that they should not be excluded from the listing. </w:t>
      </w:r>
      <w:r w:rsidR="00CD142A">
        <w:t xml:space="preserve">In addition, the PBAC considered the clinical need to be high for patients with </w:t>
      </w:r>
      <w:r w:rsidR="00CD142A" w:rsidRPr="00D4381D">
        <w:t>central nervous system lymphoma, transformed follicular lymphoma or grade 3b follicular lymphoma</w:t>
      </w:r>
      <w:r w:rsidR="00CD142A">
        <w:t xml:space="preserve"> and advised that they should not be excluded from the listing. </w:t>
      </w:r>
    </w:p>
    <w:p w:rsidR="005D7A13" w:rsidRDefault="00F05A30" w:rsidP="00095881">
      <w:pPr>
        <w:pStyle w:val="ListParagraph"/>
        <w:widowControl/>
        <w:numPr>
          <w:ilvl w:val="0"/>
          <w:numId w:val="4"/>
        </w:numPr>
        <w:ind w:left="1232" w:hanging="476"/>
      </w:pPr>
      <w:r w:rsidRPr="00502F52">
        <w:t xml:space="preserve">No restriction in terms of Eastern Cooperative Oncology Group (ECOG) performance status was specified in the proposed listing. </w:t>
      </w:r>
      <w:r w:rsidR="005D7A13" w:rsidRPr="00502F52">
        <w:t>The key trial enrolled patients with a</w:t>
      </w:r>
      <w:r w:rsidRPr="00502F52">
        <w:t>n</w:t>
      </w:r>
      <w:r w:rsidR="005D7A13" w:rsidRPr="00502F52">
        <w:t xml:space="preserve"> ECOG Performance Status of 0-2</w:t>
      </w:r>
      <w:r w:rsidRPr="00502F52">
        <w:t xml:space="preserve">. </w:t>
      </w:r>
      <w:r w:rsidR="002A149A" w:rsidRPr="00502F52">
        <w:t xml:space="preserve">Market research data presented in the submission </w:t>
      </w:r>
      <w:r w:rsidR="00DB7693" w:rsidRPr="00502F52">
        <w:t xml:space="preserve">reported that </w:t>
      </w:r>
      <w:r w:rsidR="005D7A13" w:rsidRPr="00502F52">
        <w:t xml:space="preserve">up to </w:t>
      </w:r>
      <w:r w:rsidR="00E77FA0">
        <w:rPr>
          <w:noProof/>
          <w:color w:val="000000"/>
          <w:highlight w:val="black"/>
        </w:rPr>
        <w:t>'''''</w:t>
      </w:r>
      <w:r w:rsidR="005D7A13" w:rsidRPr="00502F52">
        <w:t>% of the R/R transplant ineligible DLBCL patients i</w:t>
      </w:r>
      <w:r w:rsidR="000930CE" w:rsidRPr="00502F52">
        <w:t>n Australia have an ECOG of 3+.</w:t>
      </w:r>
      <w:r w:rsidR="00B2355A" w:rsidRPr="00502F52">
        <w:t xml:space="preserve"> </w:t>
      </w:r>
      <w:r w:rsidR="00394F94" w:rsidRPr="00502F52">
        <w:t>The ESC noted the proportion of R/R DLBCL patients in Australia w</w:t>
      </w:r>
      <w:r w:rsidR="002F36B5" w:rsidRPr="00502F52">
        <w:t>ith a</w:t>
      </w:r>
      <w:r w:rsidR="00E64C65" w:rsidRPr="00502F52">
        <w:t>n</w:t>
      </w:r>
      <w:r w:rsidR="002F36B5" w:rsidRPr="00502F52">
        <w:t xml:space="preserve"> ECOG of 3+ and considered the restriction should allow clinician judgement regarding the appropriateness of treatment based on ECOG status. </w:t>
      </w:r>
    </w:p>
    <w:p w:rsidR="004E43B2" w:rsidRPr="00882085" w:rsidRDefault="005B750F" w:rsidP="00904CDF">
      <w:pPr>
        <w:ind w:firstLine="720"/>
      </w:pPr>
      <w:r w:rsidRPr="005B750F">
        <w:rPr>
          <w:rFonts w:asciiTheme="minorHAnsi" w:hAnsiTheme="minorHAnsi"/>
          <w:i/>
        </w:rPr>
        <w:t>For more detail on PBAC’s view, see section 7 PBAC outcome.</w:t>
      </w:r>
    </w:p>
    <w:p w:rsidR="00B50DB8" w:rsidRPr="00407F2D" w:rsidRDefault="00B50DB8" w:rsidP="00904CDF">
      <w:pPr>
        <w:pStyle w:val="PBACHeading1"/>
        <w:spacing w:before="240" w:after="120"/>
        <w:outlineLvl w:val="0"/>
      </w:pPr>
      <w:bookmarkStart w:id="2" w:name="_Toc19627188"/>
      <w:r w:rsidRPr="00407F2D">
        <w:t>Background</w:t>
      </w:r>
      <w:bookmarkEnd w:id="2"/>
    </w:p>
    <w:p w:rsidR="00B60939" w:rsidRPr="009053DE" w:rsidRDefault="00591957" w:rsidP="009053DE">
      <w:pPr>
        <w:pStyle w:val="Heading2"/>
        <w:spacing w:before="120" w:after="120"/>
      </w:pPr>
      <w:r w:rsidRPr="009053DE">
        <w:t>Registration status</w:t>
      </w:r>
    </w:p>
    <w:p w:rsidR="00591957" w:rsidRPr="00882085" w:rsidRDefault="00591957" w:rsidP="00D9725F">
      <w:pPr>
        <w:keepNext/>
      </w:pPr>
    </w:p>
    <w:p w:rsidR="00613C1D" w:rsidRPr="00502F52" w:rsidRDefault="00BB52B1" w:rsidP="00095881">
      <w:pPr>
        <w:pStyle w:val="ListParagraph"/>
        <w:keepNext/>
        <w:widowControl/>
        <w:numPr>
          <w:ilvl w:val="1"/>
          <w:numId w:val="2"/>
        </w:numPr>
      </w:pPr>
      <w:r>
        <w:t>T</w:t>
      </w:r>
      <w:r w:rsidR="00B60939" w:rsidRPr="00882085">
        <w:t>he submission was made under TGA/PBAC Parallel Process.</w:t>
      </w:r>
      <w:r w:rsidR="0095754E">
        <w:t xml:space="preserve"> </w:t>
      </w:r>
      <w:r w:rsidR="00B60939" w:rsidRPr="00882085">
        <w:t xml:space="preserve">At the time of </w:t>
      </w:r>
      <w:r w:rsidR="00BB2A73">
        <w:t xml:space="preserve">evaluation for </w:t>
      </w:r>
      <w:r w:rsidR="00B60939" w:rsidRPr="00882085">
        <w:t>P</w:t>
      </w:r>
      <w:r w:rsidR="001576B1">
        <w:t xml:space="preserve">BAC consideration, </w:t>
      </w:r>
      <w:r>
        <w:t>no</w:t>
      </w:r>
      <w:r w:rsidR="001576B1">
        <w:t xml:space="preserve"> </w:t>
      </w:r>
      <w:r w:rsidR="009C70F4">
        <w:t>TGA evaluation report was available</w:t>
      </w:r>
      <w:r w:rsidR="00B60939" w:rsidRPr="00882085">
        <w:t xml:space="preserve">. </w:t>
      </w:r>
      <w:r w:rsidR="00613C1D" w:rsidRPr="00A0799B">
        <w:t xml:space="preserve">The submission </w:t>
      </w:r>
      <w:r w:rsidR="009C70F4" w:rsidRPr="00A0799B">
        <w:t>noted</w:t>
      </w:r>
      <w:r w:rsidR="00613C1D" w:rsidRPr="00A0799B">
        <w:t xml:space="preserve"> </w:t>
      </w:r>
      <w:r w:rsidR="00613C1D" w:rsidRPr="00A0799B">
        <w:lastRenderedPageBreak/>
        <w:t>that TGA approval would be expected in Q3, 2019.</w:t>
      </w:r>
      <w:r w:rsidR="00B8483B">
        <w:rPr>
          <w:i/>
        </w:rPr>
        <w:t xml:space="preserve"> </w:t>
      </w:r>
      <w:r w:rsidR="00B8483B" w:rsidRPr="00502F52">
        <w:t xml:space="preserve">The first round </w:t>
      </w:r>
      <w:r w:rsidR="00D327F0" w:rsidRPr="00502F52">
        <w:t>TGA CER</w:t>
      </w:r>
      <w:r w:rsidR="00B8483B" w:rsidRPr="00502F52">
        <w:t xml:space="preserve"> was received on the 24</w:t>
      </w:r>
      <w:r w:rsidR="00B8483B" w:rsidRPr="00502F52">
        <w:rPr>
          <w:vertAlign w:val="superscript"/>
        </w:rPr>
        <w:t>th</w:t>
      </w:r>
      <w:r w:rsidR="00B8483B" w:rsidRPr="00502F52">
        <w:t xml:space="preserve"> September 2019 with the Delegates Overview received on the 30</w:t>
      </w:r>
      <w:r w:rsidR="00B8483B" w:rsidRPr="00502F52">
        <w:rPr>
          <w:vertAlign w:val="superscript"/>
        </w:rPr>
        <w:t>th</w:t>
      </w:r>
      <w:r w:rsidR="00B8483B" w:rsidRPr="00502F52">
        <w:t xml:space="preserve"> September 2019.</w:t>
      </w:r>
      <w:r w:rsidR="00973A29">
        <w:t xml:space="preserve"> </w:t>
      </w:r>
      <w:proofErr w:type="spellStart"/>
      <w:r w:rsidR="00973A29">
        <w:t>Polatuzumab</w:t>
      </w:r>
      <w:proofErr w:type="spellEnd"/>
      <w:r w:rsidR="00973A29">
        <w:t xml:space="preserve"> </w:t>
      </w:r>
      <w:proofErr w:type="spellStart"/>
      <w:r w:rsidR="00973A29">
        <w:t>vedotin</w:t>
      </w:r>
      <w:proofErr w:type="spellEnd"/>
      <w:r w:rsidR="00973A29">
        <w:t xml:space="preserve"> was TGA registered for R/R DLBCL on 21</w:t>
      </w:r>
      <w:r w:rsidR="00973A29" w:rsidRPr="00973A29">
        <w:rPr>
          <w:vertAlign w:val="superscript"/>
        </w:rPr>
        <w:t xml:space="preserve"> </w:t>
      </w:r>
      <w:r w:rsidR="00973A29">
        <w:t>October 2019.</w:t>
      </w:r>
    </w:p>
    <w:p w:rsidR="00E55BB5" w:rsidRDefault="00613C1D" w:rsidP="00095881">
      <w:pPr>
        <w:pStyle w:val="ListParagraph"/>
        <w:widowControl/>
        <w:numPr>
          <w:ilvl w:val="1"/>
          <w:numId w:val="2"/>
        </w:numPr>
      </w:pPr>
      <w:r>
        <w:t xml:space="preserve">The TGA indication is: </w:t>
      </w:r>
      <w:proofErr w:type="spellStart"/>
      <w:r>
        <w:t>polatuzumab</w:t>
      </w:r>
      <w:proofErr w:type="spellEnd"/>
      <w:r>
        <w:t xml:space="preserve"> </w:t>
      </w:r>
      <w:proofErr w:type="spellStart"/>
      <w:r>
        <w:t>vedotin</w:t>
      </w:r>
      <w:proofErr w:type="spellEnd"/>
      <w:r w:rsidR="00B60939" w:rsidRPr="00882085">
        <w:t xml:space="preserve"> </w:t>
      </w:r>
      <w:r w:rsidRPr="00613C1D">
        <w:t xml:space="preserve">in combination with </w:t>
      </w:r>
      <w:proofErr w:type="spellStart"/>
      <w:r w:rsidRPr="00613C1D">
        <w:t>bendamustine</w:t>
      </w:r>
      <w:proofErr w:type="spellEnd"/>
      <w:r w:rsidRPr="00613C1D">
        <w:t xml:space="preserve"> and rituximab for the treatment of previously treated adult patients with diffuse large B-cell lymphoma who are not candidates for hematopoietic stem cell transplant.</w:t>
      </w:r>
    </w:p>
    <w:p w:rsidR="00DB614F" w:rsidRDefault="00DB614F" w:rsidP="00DB614F">
      <w:pPr>
        <w:pStyle w:val="ListParagraph"/>
        <w:keepNext/>
        <w:widowControl/>
        <w:numPr>
          <w:ilvl w:val="1"/>
          <w:numId w:val="2"/>
        </w:numPr>
      </w:pPr>
      <w:r w:rsidRPr="00DB614F">
        <w:t>The</w:t>
      </w:r>
      <w:r>
        <w:t xml:space="preserve"> PBAC noted that</w:t>
      </w:r>
      <w:r w:rsidRPr="00DB614F">
        <w:t xml:space="preserve"> Delegate</w:t>
      </w:r>
      <w:r w:rsidR="00613C90">
        <w:t>s Overview stated that</w:t>
      </w:r>
      <w:r>
        <w:t xml:space="preserve"> ‘</w:t>
      </w:r>
      <w:r w:rsidR="00613C90">
        <w:t>t</w:t>
      </w:r>
      <w:r w:rsidRPr="00DB614F">
        <w:t xml:space="preserve">he Delegate considers the uncertainly in the scale of additional effectiveness offered by </w:t>
      </w:r>
      <w:proofErr w:type="spellStart"/>
      <w:r w:rsidRPr="00DB614F">
        <w:t>Pola+BR</w:t>
      </w:r>
      <w:proofErr w:type="spellEnd"/>
      <w:r w:rsidRPr="00DB614F">
        <w:t xml:space="preserve"> compared to BR alone to be significant because the </w:t>
      </w:r>
      <w:proofErr w:type="spellStart"/>
      <w:r w:rsidRPr="00DB614F">
        <w:t>Pola+BR</w:t>
      </w:r>
      <w:proofErr w:type="spellEnd"/>
      <w:r w:rsidRPr="00DB614F">
        <w:t xml:space="preserve"> combination imposes an additional burden of toxicity on patients compared to BR alone. If the true additional efficacy benefit were to be at the ‘low’ end this may alter than risk-benefit assessment of therapy with </w:t>
      </w:r>
      <w:proofErr w:type="spellStart"/>
      <w:r w:rsidRPr="00DB614F">
        <w:t>Pola+BR</w:t>
      </w:r>
      <w:proofErr w:type="spellEnd"/>
      <w:r w:rsidRPr="00DB614F">
        <w:t>. Toxicity also has the potential to influence compliance with therapy and overall survival results in the long term.</w:t>
      </w:r>
      <w:r>
        <w:t>’</w:t>
      </w:r>
    </w:p>
    <w:p w:rsidR="005B750F" w:rsidRDefault="005B750F" w:rsidP="005B750F">
      <w:pPr>
        <w:pStyle w:val="PBACHeading1"/>
        <w:numPr>
          <w:ilvl w:val="0"/>
          <w:numId w:val="0"/>
        </w:numPr>
        <w:ind w:left="720"/>
        <w:rPr>
          <w:rFonts w:asciiTheme="minorHAnsi" w:hAnsiTheme="minorHAnsi"/>
          <w:b w:val="0"/>
          <w:i/>
          <w:sz w:val="24"/>
        </w:rPr>
      </w:pPr>
      <w:r w:rsidRPr="005B750F">
        <w:rPr>
          <w:rFonts w:asciiTheme="minorHAnsi" w:hAnsiTheme="minorHAnsi"/>
          <w:b w:val="0"/>
          <w:i/>
          <w:sz w:val="24"/>
        </w:rPr>
        <w:t>For more detail on PBAC’s view, see section 7 PBAC outcome.</w:t>
      </w:r>
    </w:p>
    <w:p w:rsidR="005B750F" w:rsidRPr="005B750F" w:rsidRDefault="005B750F" w:rsidP="005B750F">
      <w:pPr>
        <w:pStyle w:val="PBACHeading1"/>
        <w:numPr>
          <w:ilvl w:val="0"/>
          <w:numId w:val="0"/>
        </w:numPr>
        <w:ind w:left="720"/>
        <w:rPr>
          <w:rFonts w:asciiTheme="minorHAnsi" w:hAnsiTheme="minorHAnsi"/>
          <w:b w:val="0"/>
          <w:i/>
          <w:sz w:val="24"/>
        </w:rPr>
      </w:pPr>
    </w:p>
    <w:p w:rsidR="00B60939" w:rsidRPr="00882085" w:rsidRDefault="00203181" w:rsidP="00B60939">
      <w:pPr>
        <w:pStyle w:val="PBACHeading1"/>
        <w:spacing w:before="240" w:after="120"/>
        <w:outlineLvl w:val="0"/>
      </w:pPr>
      <w:bookmarkStart w:id="3" w:name="_Toc19627189"/>
      <w:r>
        <w:t xml:space="preserve">Population and </w:t>
      </w:r>
      <w:r w:rsidR="008E0D3C">
        <w:t>d</w:t>
      </w:r>
      <w:r>
        <w:t>isease</w:t>
      </w:r>
      <w:bookmarkEnd w:id="3"/>
    </w:p>
    <w:p w:rsidR="005B27EA" w:rsidRDefault="005B27EA" w:rsidP="00095881">
      <w:pPr>
        <w:pStyle w:val="ListParagraph"/>
        <w:widowControl/>
        <w:numPr>
          <w:ilvl w:val="1"/>
          <w:numId w:val="2"/>
        </w:numPr>
      </w:pPr>
      <w:r w:rsidRPr="00A06815">
        <w:t xml:space="preserve">Diffuse Large B-cell lymphoma is an aggressive </w:t>
      </w:r>
      <w:r w:rsidR="009B56E0" w:rsidRPr="009B56E0">
        <w:t>non-Hodgkin lymphoma</w:t>
      </w:r>
      <w:r w:rsidR="009B56E0">
        <w:t>,</w:t>
      </w:r>
      <w:r w:rsidRPr="00A06815">
        <w:t xml:space="preserve"> characterised by tumour cells with prominent nucleoli and basophilic cytoplasm, a diffuse growth pattern and a high proliferation fraction.</w:t>
      </w:r>
      <w:r w:rsidR="002A149A">
        <w:rPr>
          <w:rStyle w:val="FootnoteReference"/>
        </w:rPr>
        <w:footnoteReference w:id="2"/>
      </w:r>
      <w:r w:rsidR="009B56E0">
        <w:t xml:space="preserve"> </w:t>
      </w:r>
      <w:r w:rsidR="009B56E0" w:rsidRPr="00BA5E61">
        <w:t xml:space="preserve">After failure of </w:t>
      </w:r>
      <w:r w:rsidR="00FB51AF">
        <w:t>first-line</w:t>
      </w:r>
      <w:r w:rsidR="009B56E0" w:rsidRPr="00BA5E61">
        <w:t xml:space="preserve"> therapy, the main consideration for determining the treatment approach is whether the patient is a SCT candidate.</w:t>
      </w:r>
      <w:r w:rsidR="004D118B">
        <w:rPr>
          <w:rStyle w:val="FootnoteReference"/>
        </w:rPr>
        <w:footnoteReference w:id="3"/>
      </w:r>
      <w:r w:rsidR="004D118B">
        <w:t xml:space="preserve"> </w:t>
      </w:r>
      <w:r w:rsidR="004D118B">
        <w:rPr>
          <w:rStyle w:val="FootnoteReference"/>
        </w:rPr>
        <w:footnoteReference w:id="4"/>
      </w:r>
      <w:r w:rsidR="00BB4B86">
        <w:t xml:space="preserve"> </w:t>
      </w:r>
    </w:p>
    <w:p w:rsidR="009B56E0" w:rsidRDefault="009B56E0" w:rsidP="00095881">
      <w:pPr>
        <w:pStyle w:val="ListParagraph"/>
        <w:widowControl/>
        <w:numPr>
          <w:ilvl w:val="1"/>
          <w:numId w:val="2"/>
        </w:numPr>
      </w:pPr>
      <w:r w:rsidRPr="00BA5E61">
        <w:t xml:space="preserve">For patients </w:t>
      </w:r>
      <w:r>
        <w:t xml:space="preserve">initially considered </w:t>
      </w:r>
      <w:r w:rsidRPr="00BA5E61">
        <w:t xml:space="preserve">transplant eligible, salvage </w:t>
      </w:r>
      <w:r>
        <w:t>(</w:t>
      </w:r>
      <w:r w:rsidRPr="00BA5E61">
        <w:t>conditioning</w:t>
      </w:r>
      <w:r>
        <w:t>)</w:t>
      </w:r>
      <w:r w:rsidRPr="00BA5E61">
        <w:t xml:space="preserve"> chemotherapy </w:t>
      </w:r>
      <w:r>
        <w:t xml:space="preserve">followed by SCT </w:t>
      </w:r>
      <w:r w:rsidRPr="00BA5E61">
        <w:t xml:space="preserve">may offer a second chance of cure. Of these patients, some will subsequently be considered </w:t>
      </w:r>
      <w:r>
        <w:t xml:space="preserve">SCT </w:t>
      </w:r>
      <w:r w:rsidRPr="00BA5E61">
        <w:t>ineligible following salvage (conditioning) chemotherapy (i.e. do not proceed to SCT), and the remainder who do undergo a SCT will be cured or again relapse.</w:t>
      </w:r>
    </w:p>
    <w:p w:rsidR="003F0E6A" w:rsidRDefault="001C091E" w:rsidP="00095881">
      <w:pPr>
        <w:pStyle w:val="ListParagraph"/>
        <w:widowControl/>
        <w:numPr>
          <w:ilvl w:val="1"/>
          <w:numId w:val="2"/>
        </w:numPr>
      </w:pPr>
      <w:r>
        <w:t xml:space="preserve">The target population is patients with R/R DLBCL who have failed </w:t>
      </w:r>
      <w:r w:rsidR="00DA29A1">
        <w:t>prior</w:t>
      </w:r>
      <w:r>
        <w:t xml:space="preserve"> therap</w:t>
      </w:r>
      <w:r w:rsidR="00DA29A1">
        <w:t>ies</w:t>
      </w:r>
      <w:r>
        <w:t>, and are either ineligible for SCT (</w:t>
      </w:r>
      <w:r w:rsidR="00CC2016">
        <w:t>due to comorbidities, age or a failed salvage regime</w:t>
      </w:r>
      <w:r>
        <w:t>), or who have had disease relapse following SCT.</w:t>
      </w:r>
      <w:r w:rsidR="003F0E6A">
        <w:t xml:space="preserve"> </w:t>
      </w:r>
    </w:p>
    <w:p w:rsidR="003F0E6A" w:rsidRPr="00042D5D" w:rsidRDefault="003F0E6A" w:rsidP="00095881">
      <w:pPr>
        <w:pStyle w:val="ListParagraph"/>
        <w:widowControl/>
        <w:numPr>
          <w:ilvl w:val="1"/>
          <w:numId w:val="2"/>
        </w:numPr>
      </w:pPr>
      <w:r>
        <w:t>The submission proposed the following clinical management algorithm:</w:t>
      </w:r>
    </w:p>
    <w:p w:rsidR="00042D5D" w:rsidRDefault="00042D5D" w:rsidP="00042D5D">
      <w:pPr>
        <w:pStyle w:val="Caption"/>
        <w:keepNext/>
        <w:jc w:val="left"/>
      </w:pPr>
      <w:r>
        <w:lastRenderedPageBreak/>
        <w:t xml:space="preserve">Figure </w:t>
      </w:r>
      <w:r w:rsidR="00273E9C">
        <w:rPr>
          <w:noProof/>
        </w:rPr>
        <w:t>1</w:t>
      </w:r>
      <w:r>
        <w:t xml:space="preserve">: </w:t>
      </w:r>
      <w:r w:rsidRPr="00042D5D">
        <w:t>Proposed clinical management algorithm</w:t>
      </w:r>
    </w:p>
    <w:p w:rsidR="00376793" w:rsidRDefault="00017779" w:rsidP="00042D5D">
      <w:pPr>
        <w:pStyle w:val="TableFooter"/>
        <w:rPr>
          <w:rStyle w:val="TableFooterChar"/>
        </w:rPr>
      </w:pPr>
      <w:r>
        <w:rPr>
          <w:noProof/>
          <w:lang w:eastAsia="en-AU"/>
        </w:rPr>
        <w:drawing>
          <wp:inline distT="0" distB="0" distL="0" distR="0" wp14:anchorId="09472107" wp14:editId="789C04F0">
            <wp:extent cx="5732780" cy="3546475"/>
            <wp:effectExtent l="0" t="0" r="1270" b="0"/>
            <wp:docPr id="5" name="Picture 5" title="Fig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3546475"/>
                    </a:xfrm>
                    <a:prstGeom prst="rect">
                      <a:avLst/>
                    </a:prstGeom>
                    <a:noFill/>
                    <a:ln>
                      <a:noFill/>
                    </a:ln>
                  </pic:spPr>
                </pic:pic>
              </a:graphicData>
            </a:graphic>
          </wp:inline>
        </w:drawing>
      </w:r>
      <w:r w:rsidR="003F0E6A" w:rsidRPr="003F0E6A">
        <w:rPr>
          <w:color w:val="3366FF"/>
        </w:rPr>
        <w:br/>
      </w:r>
      <w:r w:rsidR="00376793" w:rsidRPr="003F0E6A">
        <w:rPr>
          <w:rStyle w:val="TableFooterChar"/>
        </w:rPr>
        <w:t xml:space="preserve">It is proposed that patients in second- and third-line treatment settings (highlighted as groups ‘A’ and ‘B’) should be eligible to receive </w:t>
      </w:r>
      <w:proofErr w:type="spellStart"/>
      <w:r w:rsidR="00376793" w:rsidRPr="003F0E6A">
        <w:rPr>
          <w:rStyle w:val="TableFooterChar"/>
        </w:rPr>
        <w:t>polatuzumab</w:t>
      </w:r>
      <w:proofErr w:type="spellEnd"/>
      <w:r w:rsidR="00376793" w:rsidRPr="003F0E6A">
        <w:rPr>
          <w:rStyle w:val="TableFooterChar"/>
        </w:rPr>
        <w:t xml:space="preserve"> </w:t>
      </w:r>
      <w:proofErr w:type="spellStart"/>
      <w:r w:rsidR="00376793" w:rsidRPr="003F0E6A">
        <w:rPr>
          <w:rStyle w:val="TableFooterChar"/>
        </w:rPr>
        <w:t>vedotin</w:t>
      </w:r>
      <w:proofErr w:type="spellEnd"/>
      <w:r w:rsidR="00376793" w:rsidRPr="003F0E6A">
        <w:rPr>
          <w:rStyle w:val="TableFooterChar"/>
        </w:rPr>
        <w:t xml:space="preserve"> + BR as therapy of choice.</w:t>
      </w:r>
    </w:p>
    <w:p w:rsidR="003F0E6A" w:rsidRPr="003F0E6A" w:rsidRDefault="003F0E6A" w:rsidP="00042D5D">
      <w:pPr>
        <w:pStyle w:val="TableFooter"/>
        <w:rPr>
          <w:rStyle w:val="TableFooterChar"/>
        </w:rPr>
      </w:pPr>
      <w:r w:rsidRPr="003F0E6A">
        <w:rPr>
          <w:rStyle w:val="TableFooterChar"/>
        </w:rPr>
        <w:t>Source: Figure 1.3, p. 18 of the Submission.</w:t>
      </w:r>
    </w:p>
    <w:p w:rsidR="00E55BB5" w:rsidRDefault="00E55BB5" w:rsidP="00B60939">
      <w:pPr>
        <w:pStyle w:val="Header"/>
      </w:pPr>
    </w:p>
    <w:p w:rsidR="00F52438" w:rsidRDefault="00F52438" w:rsidP="00095881">
      <w:pPr>
        <w:pStyle w:val="ListParagraph"/>
        <w:widowControl/>
        <w:numPr>
          <w:ilvl w:val="1"/>
          <w:numId w:val="2"/>
        </w:numPr>
      </w:pPr>
      <w:r w:rsidRPr="00502F52">
        <w:t xml:space="preserve">The ESC considered that management practices for R/R DLBCL are rapidly changing with the emergence of novel therapeutic options (e.g. Chimeric Antigen Receptor T-Cell (CAR-T) therapy. The ESC considered that this may impact on the clinical need for </w:t>
      </w:r>
      <w:proofErr w:type="spellStart"/>
      <w:r w:rsidRPr="00502F52">
        <w:t>Pola+BR</w:t>
      </w:r>
      <w:proofErr w:type="spellEnd"/>
      <w:r w:rsidRPr="00502F52">
        <w:t xml:space="preserve">. </w:t>
      </w:r>
      <w:r w:rsidR="009C5476">
        <w:t xml:space="preserve">The pre-PBAC response argued that </w:t>
      </w:r>
      <w:r w:rsidR="009C5476" w:rsidRPr="00AA76DE">
        <w:rPr>
          <w:rFonts w:cs="Calibri"/>
          <w:bCs/>
          <w:noProof/>
        </w:rPr>
        <w:t xml:space="preserve">polatuzumab </w:t>
      </w:r>
      <w:r w:rsidR="009C5476">
        <w:rPr>
          <w:rFonts w:cs="Calibri"/>
          <w:bCs/>
          <w:noProof/>
        </w:rPr>
        <w:t xml:space="preserve">vedotin </w:t>
      </w:r>
      <w:r w:rsidR="009C5476" w:rsidRPr="00AA76DE">
        <w:rPr>
          <w:rFonts w:cs="Calibri"/>
          <w:bCs/>
          <w:noProof/>
        </w:rPr>
        <w:t>is an immediately accessible, well tolerated treatment option of fixed duration which is less costly and resource intensive for healthcare systems than other treatments.</w:t>
      </w:r>
    </w:p>
    <w:p w:rsidR="005B750F" w:rsidRPr="00904CDF" w:rsidRDefault="005B750F" w:rsidP="00904CDF">
      <w:pPr>
        <w:pStyle w:val="PBACHeading1"/>
        <w:numPr>
          <w:ilvl w:val="0"/>
          <w:numId w:val="0"/>
        </w:numPr>
        <w:ind w:left="720"/>
        <w:rPr>
          <w:rFonts w:asciiTheme="minorHAnsi" w:hAnsiTheme="minorHAnsi"/>
          <w:b w:val="0"/>
          <w:i/>
          <w:sz w:val="24"/>
        </w:rPr>
      </w:pPr>
      <w:r w:rsidRPr="005B750F">
        <w:rPr>
          <w:rFonts w:asciiTheme="minorHAnsi" w:hAnsiTheme="minorHAnsi"/>
          <w:b w:val="0"/>
          <w:i/>
          <w:sz w:val="24"/>
        </w:rPr>
        <w:t>For more detail on PBAC’s view, see section 7 PBAC outcome.</w:t>
      </w:r>
    </w:p>
    <w:p w:rsidR="00B60939" w:rsidRPr="00882085" w:rsidRDefault="00B50DB8" w:rsidP="004B1CB4">
      <w:pPr>
        <w:pStyle w:val="PBACHeading1"/>
        <w:spacing w:before="240" w:after="120"/>
        <w:outlineLvl w:val="0"/>
      </w:pPr>
      <w:bookmarkStart w:id="4" w:name="_Toc19627190"/>
      <w:r w:rsidRPr="00407F2D">
        <w:t>Comparator</w:t>
      </w:r>
      <w:bookmarkEnd w:id="4"/>
    </w:p>
    <w:p w:rsidR="009E27C9" w:rsidRPr="009E27C9" w:rsidRDefault="009E27C9" w:rsidP="00095881">
      <w:pPr>
        <w:pStyle w:val="ListParagraph"/>
        <w:widowControl/>
        <w:numPr>
          <w:ilvl w:val="1"/>
          <w:numId w:val="2"/>
        </w:numPr>
      </w:pPr>
      <w:r w:rsidRPr="009E27C9">
        <w:rPr>
          <w:rFonts w:cs="Calibri"/>
          <w:snapToGrid/>
          <w:szCs w:val="24"/>
          <w:lang w:val="en-US" w:eastAsia="en-AU"/>
        </w:rPr>
        <w:t>The sub</w:t>
      </w:r>
      <w:r>
        <w:rPr>
          <w:rFonts w:cs="Calibri"/>
          <w:snapToGrid/>
          <w:szCs w:val="24"/>
          <w:lang w:val="en-US" w:eastAsia="en-AU"/>
        </w:rPr>
        <w:t xml:space="preserve">mission nominated BR as the main comparator, assuming BR is a proxy for </w:t>
      </w:r>
      <w:r w:rsidR="004D118B">
        <w:rPr>
          <w:rFonts w:cs="Calibri"/>
          <w:snapToGrid/>
          <w:szCs w:val="24"/>
          <w:lang w:val="en-US" w:eastAsia="en-AU"/>
        </w:rPr>
        <w:t xml:space="preserve">standard </w:t>
      </w:r>
      <w:r w:rsidR="00806554">
        <w:rPr>
          <w:rFonts w:cs="Calibri"/>
          <w:snapToGrid/>
          <w:szCs w:val="24"/>
          <w:lang w:val="en-US" w:eastAsia="en-AU"/>
        </w:rPr>
        <w:t>management of R/R DLBCL</w:t>
      </w:r>
      <w:r>
        <w:rPr>
          <w:rFonts w:cs="Calibri"/>
          <w:snapToGrid/>
          <w:szCs w:val="24"/>
          <w:lang w:val="en-US" w:eastAsia="en-AU"/>
        </w:rPr>
        <w:t>.</w:t>
      </w:r>
    </w:p>
    <w:p w:rsidR="00661859" w:rsidRPr="00A0799B" w:rsidRDefault="00720109" w:rsidP="00095881">
      <w:pPr>
        <w:pStyle w:val="ListParagraph"/>
        <w:widowControl/>
        <w:numPr>
          <w:ilvl w:val="1"/>
          <w:numId w:val="2"/>
        </w:numPr>
      </w:pPr>
      <w:r w:rsidRPr="00A0799B">
        <w:t xml:space="preserve">BR may not be an appropriate proxy </w:t>
      </w:r>
      <w:r w:rsidR="00806554" w:rsidRPr="00A0799B">
        <w:t>for</w:t>
      </w:r>
      <w:r w:rsidRPr="00A0799B">
        <w:t xml:space="preserve"> current </w:t>
      </w:r>
      <w:r w:rsidR="00806554" w:rsidRPr="00A0799B">
        <w:t>treatment of R/R DLBCL</w:t>
      </w:r>
      <w:r w:rsidRPr="00A0799B">
        <w:t xml:space="preserve">. </w:t>
      </w:r>
      <w:proofErr w:type="spellStart"/>
      <w:r w:rsidRPr="00A0799B">
        <w:t>Bendamustine</w:t>
      </w:r>
      <w:proofErr w:type="spellEnd"/>
      <w:r w:rsidRPr="00A0799B">
        <w:t xml:space="preserve"> is not currently PBS-</w:t>
      </w:r>
      <w:r w:rsidR="00BD678E" w:rsidRPr="00A0799B">
        <w:t>listed</w:t>
      </w:r>
      <w:r w:rsidRPr="00A0799B">
        <w:t xml:space="preserve"> for use in R/R DLBCL patients, whereas </w:t>
      </w:r>
      <w:proofErr w:type="spellStart"/>
      <w:r w:rsidR="00E361BA" w:rsidRPr="00A0799B">
        <w:t>RGemOx</w:t>
      </w:r>
      <w:proofErr w:type="spellEnd"/>
      <w:r w:rsidR="00E361BA" w:rsidRPr="00A0799B">
        <w:t xml:space="preserve"> (rituximab plus gemcitabine and </w:t>
      </w:r>
      <w:proofErr w:type="spellStart"/>
      <w:r w:rsidR="00E361BA" w:rsidRPr="00A0799B">
        <w:t>oxaliplatin</w:t>
      </w:r>
      <w:proofErr w:type="spellEnd"/>
      <w:r w:rsidR="00E361BA" w:rsidRPr="00A0799B">
        <w:t>)</w:t>
      </w:r>
      <w:r w:rsidRPr="00A0799B">
        <w:t xml:space="preserve"> </w:t>
      </w:r>
      <w:r w:rsidR="00BD678E" w:rsidRPr="00A0799B">
        <w:t>is</w:t>
      </w:r>
      <w:r w:rsidRPr="00A0799B">
        <w:t xml:space="preserve"> PBS-listed for this indication.</w:t>
      </w:r>
      <w:r w:rsidR="00661859" w:rsidRPr="00A0799B">
        <w:t xml:space="preserve"> </w:t>
      </w:r>
      <w:r w:rsidR="008605E1" w:rsidRPr="00502F52">
        <w:t>The ESC noted that</w:t>
      </w:r>
      <w:r w:rsidR="008605E1">
        <w:rPr>
          <w:i/>
        </w:rPr>
        <w:t xml:space="preserve"> </w:t>
      </w:r>
      <w:proofErr w:type="spellStart"/>
      <w:r w:rsidR="008605E1">
        <w:t>b</w:t>
      </w:r>
      <w:r w:rsidR="00661859" w:rsidRPr="00A0799B">
        <w:t>endamustine</w:t>
      </w:r>
      <w:proofErr w:type="spellEnd"/>
      <w:r w:rsidR="00661859" w:rsidRPr="00A0799B">
        <w:t xml:space="preserve"> is more expensive than gemcitabine and </w:t>
      </w:r>
      <w:proofErr w:type="spellStart"/>
      <w:r w:rsidR="00661859" w:rsidRPr="00A0799B">
        <w:t>oxaliplatin</w:t>
      </w:r>
      <w:proofErr w:type="spellEnd"/>
      <w:r w:rsidR="00661859" w:rsidRPr="00A0799B">
        <w:t>.</w:t>
      </w:r>
      <w:r w:rsidR="008605E1">
        <w:t xml:space="preserve"> </w:t>
      </w:r>
    </w:p>
    <w:p w:rsidR="00720109" w:rsidRDefault="007B79B8" w:rsidP="00095881">
      <w:pPr>
        <w:pStyle w:val="ListParagraph"/>
        <w:widowControl/>
        <w:numPr>
          <w:ilvl w:val="1"/>
          <w:numId w:val="2"/>
        </w:numPr>
      </w:pPr>
      <w:proofErr w:type="spellStart"/>
      <w:r w:rsidRPr="00A0799B">
        <w:t>R</w:t>
      </w:r>
      <w:r w:rsidR="00661859" w:rsidRPr="00A0799B">
        <w:t>GemOx</w:t>
      </w:r>
      <w:proofErr w:type="spellEnd"/>
      <w:r w:rsidR="00661859" w:rsidRPr="00A0799B">
        <w:t xml:space="preserve"> is more commonly used for the proposed population in Australian clinical practice than BR</w:t>
      </w:r>
      <w:r w:rsidR="00FE4A63" w:rsidRPr="00A0799B">
        <w:t>, and therefore, may be a more appropriate comparator than BR</w:t>
      </w:r>
      <w:r w:rsidR="00661859" w:rsidRPr="00A0799B">
        <w:t>.</w:t>
      </w:r>
      <w:r w:rsidR="00661859">
        <w:rPr>
          <w:i/>
        </w:rPr>
        <w:t xml:space="preserve"> </w:t>
      </w:r>
      <w:r w:rsidR="00454A6C">
        <w:t>I</w:t>
      </w:r>
      <w:r w:rsidR="008605E1">
        <w:t>n the financial estimates</w:t>
      </w:r>
      <w:r w:rsidR="00454A6C">
        <w:t>, t</w:t>
      </w:r>
      <w:r w:rsidR="006E44EA" w:rsidRPr="00661859">
        <w:t xml:space="preserve">he submission acknowledged that </w:t>
      </w:r>
      <w:proofErr w:type="spellStart"/>
      <w:r w:rsidR="006E44EA" w:rsidRPr="00661859">
        <w:t>RGemOx</w:t>
      </w:r>
      <w:proofErr w:type="spellEnd"/>
      <w:r w:rsidR="006E44EA" w:rsidRPr="00661859">
        <w:t xml:space="preserve"> is considered the </w:t>
      </w:r>
      <w:r w:rsidR="006E44EA" w:rsidRPr="00661859">
        <w:lastRenderedPageBreak/>
        <w:t>treatment regimen most likely to be used in the proposed patient population in Australian clinical practice</w:t>
      </w:r>
      <w:r w:rsidR="00454A6C">
        <w:t>.</w:t>
      </w:r>
    </w:p>
    <w:p w:rsidR="00BA014F" w:rsidRPr="005B750F" w:rsidRDefault="008605E1" w:rsidP="00095881">
      <w:pPr>
        <w:pStyle w:val="ListParagraph"/>
        <w:widowControl/>
        <w:numPr>
          <w:ilvl w:val="1"/>
          <w:numId w:val="2"/>
        </w:numPr>
      </w:pPr>
      <w:r w:rsidRPr="00502F52">
        <w:t xml:space="preserve">The PSCR stated that treatment guidelines outline an assortment of potential therapies as best supportive care, as no one therapy has been shown to be effective in this population. The PSCR argued that what constitutes best supportive care, however, is not well defined as there is a paucity of evidence regarding the superiority of one regimen over another in randomised studies. The ESC </w:t>
      </w:r>
      <w:r w:rsidR="00845A1A" w:rsidRPr="00502F52">
        <w:t xml:space="preserve">agreed with the PSCR that there are no clear guidelines for R/R DLBCL patients who are ineligible for SCT or who have had disease relapse following SCT. However, the ESC considered that the use of BR as a proxy for standard management does not reflect current clinical practice in Australia as </w:t>
      </w:r>
      <w:proofErr w:type="spellStart"/>
      <w:r w:rsidR="00845A1A" w:rsidRPr="00502F52">
        <w:t>bendamustine</w:t>
      </w:r>
      <w:proofErr w:type="spellEnd"/>
      <w:r w:rsidR="00845A1A" w:rsidRPr="00502F52">
        <w:t xml:space="preserve"> is not TGA registered or PBS-listed for this indication. The ESC considered that treatment protocols such as </w:t>
      </w:r>
      <w:proofErr w:type="spellStart"/>
      <w:r w:rsidR="00845A1A" w:rsidRPr="00502F52">
        <w:t>RGemOx</w:t>
      </w:r>
      <w:proofErr w:type="spellEnd"/>
      <w:r w:rsidR="00810BFE" w:rsidRPr="00502F52">
        <w:t xml:space="preserve">, </w:t>
      </w:r>
      <w:proofErr w:type="spellStart"/>
      <w:r w:rsidR="00810BFE" w:rsidRPr="00502F52">
        <w:t>RGemVin</w:t>
      </w:r>
      <w:proofErr w:type="spellEnd"/>
      <w:r w:rsidR="00810BFE" w:rsidRPr="00502F52">
        <w:t xml:space="preserve"> (rituximab plus gemcitabine and vincristine) or R-ICE (rituximab, </w:t>
      </w:r>
      <w:proofErr w:type="spellStart"/>
      <w:r w:rsidR="00810BFE" w:rsidRPr="00502F52">
        <w:t>ifosfamide</w:t>
      </w:r>
      <w:proofErr w:type="spellEnd"/>
      <w:r w:rsidR="00810BFE" w:rsidRPr="00502F52">
        <w:t>, carboplatin, etoposide) would be more appropriate as a proxy for standard management of R/R DLBCL</w:t>
      </w:r>
      <w:r w:rsidR="00BA014F">
        <w:rPr>
          <w:i/>
        </w:rPr>
        <w:t>.</w:t>
      </w:r>
      <w:r w:rsidR="004B7C12">
        <w:rPr>
          <w:i/>
        </w:rPr>
        <w:t xml:space="preserve"> </w:t>
      </w:r>
      <w:r w:rsidR="00844CC4">
        <w:t xml:space="preserve">The pre-PBAC response stated that </w:t>
      </w:r>
      <w:r w:rsidR="00844CC4">
        <w:rPr>
          <w:rFonts w:cs="Calibri"/>
          <w:bCs/>
          <w:noProof/>
        </w:rPr>
        <w:t>clinicians consider current standard management</w:t>
      </w:r>
      <w:r w:rsidR="00844CC4" w:rsidRPr="00AA76DE">
        <w:rPr>
          <w:rFonts w:cs="Calibri"/>
          <w:bCs/>
          <w:noProof/>
        </w:rPr>
        <w:t xml:space="preserve"> therapies equivalent and </w:t>
      </w:r>
      <w:r w:rsidR="00844CC4">
        <w:rPr>
          <w:rFonts w:cs="Calibri"/>
          <w:bCs/>
          <w:noProof/>
        </w:rPr>
        <w:t xml:space="preserve">argued that </w:t>
      </w:r>
      <w:r w:rsidR="00844CC4" w:rsidRPr="00AA76DE">
        <w:rPr>
          <w:rFonts w:cs="Calibri"/>
          <w:bCs/>
          <w:noProof/>
        </w:rPr>
        <w:t>this has been reaffirmed by Ittu (2018) showing no difference observed between the survival outcomes for patients treated with BR or RGemOx.</w:t>
      </w:r>
      <w:r w:rsidR="00844CC4">
        <w:rPr>
          <w:rFonts w:cs="Calibri"/>
          <w:bCs/>
          <w:noProof/>
        </w:rPr>
        <w:t xml:space="preserve"> </w:t>
      </w:r>
    </w:p>
    <w:p w:rsidR="005B750F" w:rsidRPr="005B750F" w:rsidRDefault="005B750F" w:rsidP="005B750F">
      <w:pPr>
        <w:pStyle w:val="PBACHeading1"/>
        <w:numPr>
          <w:ilvl w:val="0"/>
          <w:numId w:val="0"/>
        </w:numPr>
        <w:ind w:left="720"/>
        <w:rPr>
          <w:rFonts w:asciiTheme="minorHAnsi" w:hAnsiTheme="minorHAnsi"/>
          <w:b w:val="0"/>
          <w:i/>
          <w:sz w:val="24"/>
        </w:rPr>
      </w:pPr>
      <w:r w:rsidRPr="005B750F">
        <w:rPr>
          <w:rFonts w:asciiTheme="minorHAnsi" w:hAnsiTheme="minorHAnsi"/>
          <w:b w:val="0"/>
          <w:i/>
          <w:sz w:val="24"/>
        </w:rPr>
        <w:t>For more detail on PBAC’s view, see section 7 PBAC outcome.</w:t>
      </w:r>
    </w:p>
    <w:p w:rsidR="00B60939" w:rsidRPr="00F769BF" w:rsidRDefault="00B60939" w:rsidP="00F769BF"/>
    <w:p w:rsidR="00B50DB8" w:rsidRDefault="00BD6CF3" w:rsidP="00904CDF">
      <w:pPr>
        <w:pStyle w:val="PBACHeading1"/>
        <w:spacing w:before="240" w:after="120"/>
        <w:outlineLvl w:val="0"/>
      </w:pPr>
      <w:bookmarkStart w:id="5" w:name="_Toc19627191"/>
      <w:r>
        <w:t>C</w:t>
      </w:r>
      <w:r w:rsidR="00B50DB8" w:rsidRPr="00407F2D">
        <w:t>onsideration of the evidence</w:t>
      </w:r>
      <w:bookmarkEnd w:id="5"/>
    </w:p>
    <w:p w:rsidR="005B750F" w:rsidRPr="004F147B" w:rsidRDefault="005B750F" w:rsidP="004F147B">
      <w:pPr>
        <w:pStyle w:val="Heading2"/>
        <w:spacing w:before="120" w:after="120"/>
      </w:pPr>
      <w:r w:rsidRPr="004F147B">
        <w:t>Sponsor hearing</w:t>
      </w:r>
    </w:p>
    <w:p w:rsidR="005B750F" w:rsidRPr="00836F75" w:rsidRDefault="005B750F" w:rsidP="00095881">
      <w:pPr>
        <w:numPr>
          <w:ilvl w:val="1"/>
          <w:numId w:val="2"/>
        </w:numPr>
        <w:spacing w:after="120"/>
        <w:rPr>
          <w:rFonts w:asciiTheme="minorHAnsi" w:hAnsiTheme="minorHAnsi"/>
          <w:bCs/>
        </w:rPr>
      </w:pPr>
      <w:r w:rsidRPr="00836F75">
        <w:rPr>
          <w:rFonts w:asciiTheme="minorHAnsi" w:hAnsiTheme="minorHAnsi"/>
          <w:bCs/>
        </w:rPr>
        <w:t>The</w:t>
      </w:r>
      <w:r w:rsidR="00B96A7A">
        <w:rPr>
          <w:rFonts w:asciiTheme="minorHAnsi" w:hAnsiTheme="minorHAnsi"/>
          <w:bCs/>
        </w:rPr>
        <w:t>re was no hearing for this item</w:t>
      </w:r>
      <w:r w:rsidRPr="00836F75">
        <w:rPr>
          <w:rFonts w:asciiTheme="minorHAnsi" w:hAnsiTheme="minorHAnsi"/>
          <w:bCs/>
        </w:rPr>
        <w:t>.</w:t>
      </w:r>
    </w:p>
    <w:p w:rsidR="005B750F" w:rsidRPr="004F147B" w:rsidRDefault="005B750F" w:rsidP="004F147B">
      <w:pPr>
        <w:pStyle w:val="Heading2"/>
        <w:spacing w:before="240" w:after="120"/>
      </w:pPr>
      <w:r w:rsidRPr="004F147B">
        <w:t>Consumer comments</w:t>
      </w:r>
    </w:p>
    <w:p w:rsidR="00B60939" w:rsidRPr="002E2318" w:rsidRDefault="005B750F" w:rsidP="004B1CB4">
      <w:pPr>
        <w:numPr>
          <w:ilvl w:val="1"/>
          <w:numId w:val="2"/>
        </w:numPr>
        <w:spacing w:after="120"/>
        <w:rPr>
          <w:rFonts w:asciiTheme="minorHAnsi" w:hAnsiTheme="minorHAnsi"/>
          <w:bCs/>
        </w:rPr>
      </w:pPr>
      <w:r w:rsidRPr="00836F75">
        <w:rPr>
          <w:rFonts w:asciiTheme="minorHAnsi" w:hAnsiTheme="minorHAnsi"/>
          <w:bCs/>
        </w:rPr>
        <w:t>The PBAC noted and welcom</w:t>
      </w:r>
      <w:r w:rsidR="00B96A7A">
        <w:rPr>
          <w:rFonts w:asciiTheme="minorHAnsi" w:hAnsiTheme="minorHAnsi"/>
          <w:bCs/>
        </w:rPr>
        <w:t>ed the input from individuals (2), health care professionals (2</w:t>
      </w:r>
      <w:r w:rsidRPr="00836F75">
        <w:rPr>
          <w:rFonts w:asciiTheme="minorHAnsi" w:hAnsiTheme="minorHAnsi"/>
          <w:bCs/>
        </w:rPr>
        <w:t>) and organi</w:t>
      </w:r>
      <w:r w:rsidR="00B96A7A">
        <w:rPr>
          <w:rFonts w:asciiTheme="minorHAnsi" w:hAnsiTheme="minorHAnsi"/>
          <w:bCs/>
        </w:rPr>
        <w:t>sations (3</w:t>
      </w:r>
      <w:r w:rsidRPr="00836F75">
        <w:rPr>
          <w:rFonts w:asciiTheme="minorHAnsi" w:hAnsiTheme="minorHAnsi"/>
          <w:bCs/>
        </w:rPr>
        <w:t>) via the Consumer Comments facility on the PBS website.</w:t>
      </w:r>
      <w:r w:rsidR="0095754E">
        <w:rPr>
          <w:rFonts w:asciiTheme="minorHAnsi" w:hAnsiTheme="minorHAnsi"/>
          <w:bCs/>
        </w:rPr>
        <w:t xml:space="preserve"> </w:t>
      </w:r>
      <w:r w:rsidRPr="00836F75">
        <w:rPr>
          <w:rFonts w:asciiTheme="minorHAnsi" w:hAnsiTheme="minorHAnsi"/>
          <w:bCs/>
        </w:rPr>
        <w:t>The comments described a range o</w:t>
      </w:r>
      <w:r w:rsidR="002E2318">
        <w:rPr>
          <w:rFonts w:asciiTheme="minorHAnsi" w:hAnsiTheme="minorHAnsi"/>
          <w:bCs/>
        </w:rPr>
        <w:t xml:space="preserve">f benefits of treatment with </w:t>
      </w:r>
      <w:proofErr w:type="spellStart"/>
      <w:r w:rsidR="002E2318">
        <w:rPr>
          <w:rFonts w:asciiTheme="minorHAnsi" w:hAnsiTheme="minorHAnsi"/>
          <w:bCs/>
        </w:rPr>
        <w:t>polatuzumab</w:t>
      </w:r>
      <w:proofErr w:type="spellEnd"/>
      <w:r w:rsidR="002E2318">
        <w:rPr>
          <w:rFonts w:asciiTheme="minorHAnsi" w:hAnsiTheme="minorHAnsi"/>
          <w:bCs/>
        </w:rPr>
        <w:t xml:space="preserve"> </w:t>
      </w:r>
      <w:proofErr w:type="spellStart"/>
      <w:r w:rsidR="002E2318">
        <w:rPr>
          <w:rFonts w:asciiTheme="minorHAnsi" w:hAnsiTheme="minorHAnsi"/>
          <w:bCs/>
        </w:rPr>
        <w:t>vedotin</w:t>
      </w:r>
      <w:proofErr w:type="spellEnd"/>
      <w:r w:rsidRPr="00836F75">
        <w:rPr>
          <w:rFonts w:asciiTheme="minorHAnsi" w:hAnsiTheme="minorHAnsi"/>
          <w:bCs/>
        </w:rPr>
        <w:t xml:space="preserve"> including </w:t>
      </w:r>
      <w:r w:rsidR="004F06A3">
        <w:rPr>
          <w:rFonts w:asciiTheme="minorHAnsi" w:hAnsiTheme="minorHAnsi"/>
          <w:bCs/>
        </w:rPr>
        <w:t>improvements in PFS</w:t>
      </w:r>
      <w:r w:rsidR="002E2318">
        <w:rPr>
          <w:rFonts w:asciiTheme="minorHAnsi" w:hAnsiTheme="minorHAnsi"/>
          <w:bCs/>
        </w:rPr>
        <w:t>.</w:t>
      </w:r>
      <w:r w:rsidRPr="00836F75">
        <w:rPr>
          <w:rFonts w:asciiTheme="minorHAnsi" w:hAnsiTheme="minorHAnsi"/>
          <w:bCs/>
        </w:rPr>
        <w:t xml:space="preserve"> </w:t>
      </w:r>
      <w:r w:rsidR="002E2318">
        <w:rPr>
          <w:rFonts w:asciiTheme="minorHAnsi" w:hAnsiTheme="minorHAnsi"/>
          <w:bCs/>
        </w:rPr>
        <w:t>The comments also highlight</w:t>
      </w:r>
      <w:r w:rsidR="00EC3C99">
        <w:rPr>
          <w:rFonts w:asciiTheme="minorHAnsi" w:hAnsiTheme="minorHAnsi"/>
          <w:bCs/>
        </w:rPr>
        <w:t>ed</w:t>
      </w:r>
      <w:r w:rsidR="002E2318">
        <w:rPr>
          <w:rFonts w:asciiTheme="minorHAnsi" w:hAnsiTheme="minorHAnsi"/>
          <w:bCs/>
        </w:rPr>
        <w:t xml:space="preserve"> the need for new treatment options for patients with </w:t>
      </w:r>
      <w:r w:rsidR="002E2318">
        <w:t>R/R DLBCL that are ineligible for SCT.</w:t>
      </w:r>
    </w:p>
    <w:p w:rsidR="00B60939" w:rsidRPr="004F147B" w:rsidRDefault="00B60939" w:rsidP="004F147B">
      <w:pPr>
        <w:pStyle w:val="Heading2"/>
        <w:spacing w:before="240" w:after="120"/>
      </w:pPr>
      <w:bookmarkStart w:id="6" w:name="_Toc19627192"/>
      <w:r w:rsidRPr="004F147B">
        <w:t>Clinical trials</w:t>
      </w:r>
      <w:bookmarkEnd w:id="6"/>
    </w:p>
    <w:p w:rsidR="006A21AE" w:rsidRPr="006A21AE" w:rsidRDefault="006A21AE" w:rsidP="00095881">
      <w:pPr>
        <w:pStyle w:val="ListParagraph"/>
        <w:widowControl/>
        <w:numPr>
          <w:ilvl w:val="1"/>
          <w:numId w:val="2"/>
        </w:numPr>
      </w:pPr>
      <w:r>
        <w:t xml:space="preserve">The submission was based on a comparison between the relevant </w:t>
      </w:r>
      <w:r w:rsidR="00F93B40">
        <w:t>randomised</w:t>
      </w:r>
      <w:r w:rsidR="00806554">
        <w:t xml:space="preserve"> treatment</w:t>
      </w:r>
      <w:r w:rsidR="00F93B40">
        <w:t xml:space="preserve"> </w:t>
      </w:r>
      <w:r>
        <w:t xml:space="preserve">arms </w:t>
      </w:r>
      <w:r w:rsidRPr="00A05489">
        <w:t xml:space="preserve">in </w:t>
      </w:r>
      <w:r w:rsidRPr="00DC3EA0">
        <w:t>SCT ineligible, R/R DLBCL patients</w:t>
      </w:r>
      <w:r>
        <w:t xml:space="preserve"> (</w:t>
      </w:r>
      <w:r w:rsidRPr="000E0107">
        <w:t>Arm C</w:t>
      </w:r>
      <w:r>
        <w:t xml:space="preserve"> (</w:t>
      </w:r>
      <w:proofErr w:type="spellStart"/>
      <w:r w:rsidRPr="000E0107">
        <w:t>Pola+BR</w:t>
      </w:r>
      <w:proofErr w:type="spellEnd"/>
      <w:r>
        <w:t xml:space="preserve">; N=40) vs. </w:t>
      </w:r>
      <w:r w:rsidRPr="000E0107">
        <w:t>Arm D (BR</w:t>
      </w:r>
      <w:r>
        <w:t>; N=40</w:t>
      </w:r>
      <w:r w:rsidRPr="000E0107">
        <w:t>)</w:t>
      </w:r>
      <w:r>
        <w:t>)</w:t>
      </w:r>
      <w:r w:rsidRPr="000E0107">
        <w:t xml:space="preserve"> </w:t>
      </w:r>
      <w:r>
        <w:t xml:space="preserve">from an open-label, head-to-head, multi-cohort </w:t>
      </w:r>
      <w:r w:rsidRPr="00A05489">
        <w:t xml:space="preserve">Phase </w:t>
      </w:r>
      <w:proofErr w:type="spellStart"/>
      <w:r w:rsidRPr="00A05489">
        <w:t>Ib</w:t>
      </w:r>
      <w:proofErr w:type="spellEnd"/>
      <w:r w:rsidRPr="00A05489">
        <w:t xml:space="preserve">/II </w:t>
      </w:r>
      <w:r>
        <w:t xml:space="preserve">clinical trial (GO29365). </w:t>
      </w:r>
    </w:p>
    <w:p w:rsidR="006A21AE" w:rsidRPr="006A21AE" w:rsidRDefault="006A21AE" w:rsidP="00095881">
      <w:pPr>
        <w:pStyle w:val="ListParagraph"/>
        <w:widowControl/>
        <w:numPr>
          <w:ilvl w:val="1"/>
          <w:numId w:val="2"/>
        </w:numPr>
      </w:pPr>
      <w:r>
        <w:t xml:space="preserve">A liquid formulation of </w:t>
      </w:r>
      <w:proofErr w:type="spellStart"/>
      <w:r w:rsidRPr="00C05C05">
        <w:t>polatuzumab</w:t>
      </w:r>
      <w:proofErr w:type="spellEnd"/>
      <w:r w:rsidRPr="00C05C05">
        <w:t xml:space="preserve"> </w:t>
      </w:r>
      <w:proofErr w:type="spellStart"/>
      <w:r>
        <w:t>vedotin</w:t>
      </w:r>
      <w:proofErr w:type="spellEnd"/>
      <w:r>
        <w:t xml:space="preserve"> was used in Arm C of the trial. Arms C and D were the relevant treatment arms from the randomisation phase of GO29365 </w:t>
      </w:r>
      <w:r w:rsidR="00F93B40">
        <w:t>and</w:t>
      </w:r>
      <w:r>
        <w:t xml:space="preserve"> provided both efficacy and safety data in </w:t>
      </w:r>
      <w:r w:rsidRPr="00DC3EA0">
        <w:t>R/R DLBCL patients</w:t>
      </w:r>
      <w:r>
        <w:t>.</w:t>
      </w:r>
    </w:p>
    <w:p w:rsidR="006A21AE" w:rsidRPr="006A21AE" w:rsidRDefault="006A21AE" w:rsidP="00095881">
      <w:pPr>
        <w:pStyle w:val="ListParagraph"/>
        <w:widowControl/>
        <w:numPr>
          <w:ilvl w:val="1"/>
          <w:numId w:val="2"/>
        </w:numPr>
      </w:pPr>
      <w:r>
        <w:lastRenderedPageBreak/>
        <w:t xml:space="preserve">An additional </w:t>
      </w:r>
      <w:r w:rsidR="003716F9">
        <w:t xml:space="preserve">single </w:t>
      </w:r>
      <w:r>
        <w:t xml:space="preserve">arm G, to which patients were not randomised, was </w:t>
      </w:r>
      <w:r w:rsidR="00F93B40">
        <w:t>included in</w:t>
      </w:r>
      <w:r>
        <w:t xml:space="preserve"> the study design (single arm new formulation cohort phase) to assess the pharmacokinetics and safety of the </w:t>
      </w:r>
      <w:r w:rsidRPr="00C22086">
        <w:rPr>
          <w:u w:val="single"/>
        </w:rPr>
        <w:t>lyophilised</w:t>
      </w:r>
      <w:r w:rsidRPr="00C05C05">
        <w:t xml:space="preserve"> formulation of </w:t>
      </w:r>
      <w:proofErr w:type="spellStart"/>
      <w:r>
        <w:t>polatuzumab</w:t>
      </w:r>
      <w:proofErr w:type="spellEnd"/>
      <w:r>
        <w:t xml:space="preserve"> </w:t>
      </w:r>
      <w:proofErr w:type="spellStart"/>
      <w:r>
        <w:t>vedotin</w:t>
      </w:r>
      <w:proofErr w:type="spellEnd"/>
      <w:r w:rsidRPr="006A21AE">
        <w:t xml:space="preserve">. This is the formulation of </w:t>
      </w:r>
      <w:proofErr w:type="spellStart"/>
      <w:r w:rsidRPr="006A21AE">
        <w:t>polatuzumab</w:t>
      </w:r>
      <w:proofErr w:type="spellEnd"/>
      <w:r w:rsidRPr="006A21AE">
        <w:t xml:space="preserve"> </w:t>
      </w:r>
      <w:proofErr w:type="spellStart"/>
      <w:r>
        <w:t>vedotin</w:t>
      </w:r>
      <w:proofErr w:type="spellEnd"/>
      <w:r>
        <w:t xml:space="preserve"> </w:t>
      </w:r>
      <w:r w:rsidRPr="006A21AE">
        <w:t>that the sponsor intends to register in Australia</w:t>
      </w:r>
      <w:r>
        <w:t xml:space="preserve">. </w:t>
      </w:r>
      <w:r w:rsidRPr="002E1F24">
        <w:t>Th</w:t>
      </w:r>
      <w:r>
        <w:t>e</w:t>
      </w:r>
      <w:r w:rsidRPr="002E1F24">
        <w:t xml:space="preserve"> </w:t>
      </w:r>
      <w:r>
        <w:t xml:space="preserve">submission noted that the </w:t>
      </w:r>
      <w:r w:rsidRPr="002E1F24">
        <w:t xml:space="preserve">lyophilised </w:t>
      </w:r>
      <w:r>
        <w:t xml:space="preserve">formulation </w:t>
      </w:r>
      <w:r w:rsidRPr="002E1F24">
        <w:t xml:space="preserve">enables the use of </w:t>
      </w:r>
      <w:r>
        <w:t>intravenous (</w:t>
      </w:r>
      <w:r w:rsidRPr="002E1F24">
        <w:t>IV</w:t>
      </w:r>
      <w:r>
        <w:t>)</w:t>
      </w:r>
      <w:r w:rsidRPr="002E1F24">
        <w:t xml:space="preserve"> bags </w:t>
      </w:r>
      <w:r w:rsidR="00806554">
        <w:t>with</w:t>
      </w:r>
      <w:r w:rsidR="00806554" w:rsidRPr="002E1F24">
        <w:t xml:space="preserve"> </w:t>
      </w:r>
      <w:r w:rsidRPr="002E1F24">
        <w:t xml:space="preserve">IV </w:t>
      </w:r>
      <w:r w:rsidR="00806554">
        <w:t>giving</w:t>
      </w:r>
      <w:r w:rsidR="00806554" w:rsidRPr="002E1F24">
        <w:t xml:space="preserve"> </w:t>
      </w:r>
      <w:r w:rsidRPr="002E1F24">
        <w:t>sets for simpler administration</w:t>
      </w:r>
      <w:r w:rsidR="00CC2016">
        <w:t xml:space="preserve"> compared to the intravenous infusion pumps required for the liquid formulation</w:t>
      </w:r>
      <w:r w:rsidRPr="002E1F24">
        <w:t>.</w:t>
      </w:r>
      <w:r>
        <w:t xml:space="preserve"> </w:t>
      </w:r>
      <w:r w:rsidRPr="002E1F24">
        <w:t xml:space="preserve">The safety results of Arm G </w:t>
      </w:r>
      <w:r>
        <w:t>were</w:t>
      </w:r>
      <w:r w:rsidRPr="002E1F24">
        <w:t xml:space="preserve"> presented </w:t>
      </w:r>
      <w:r>
        <w:t xml:space="preserve">in the submission </w:t>
      </w:r>
      <w:r w:rsidRPr="002E1F24">
        <w:t>alongside the safety results observed in Arms C and D</w:t>
      </w:r>
      <w:r>
        <w:t xml:space="preserve">. There were no </w:t>
      </w:r>
      <w:r w:rsidR="00F93B40">
        <w:t>efficacy</w:t>
      </w:r>
      <w:r>
        <w:t xml:space="preserve"> data from Arm G of GO29365.</w:t>
      </w:r>
    </w:p>
    <w:p w:rsidR="00862502" w:rsidRPr="00A0799B" w:rsidRDefault="00A73134" w:rsidP="00095881">
      <w:pPr>
        <w:pStyle w:val="ListParagraph"/>
        <w:widowControl/>
        <w:numPr>
          <w:ilvl w:val="1"/>
          <w:numId w:val="2"/>
        </w:numPr>
      </w:pPr>
      <w:r>
        <w:rPr>
          <w:rFonts w:cs="Calibri"/>
          <w:snapToGrid/>
          <w:szCs w:val="24"/>
          <w:lang w:val="en-US" w:eastAsia="en-AU"/>
        </w:rPr>
        <w:t xml:space="preserve">Details of the trial presented in </w:t>
      </w:r>
      <w:r w:rsidRPr="00A0799B">
        <w:rPr>
          <w:rFonts w:cs="Calibri"/>
          <w:snapToGrid/>
          <w:szCs w:val="24"/>
          <w:lang w:val="en-US" w:eastAsia="en-AU"/>
        </w:rPr>
        <w:t>the submission ar</w:t>
      </w:r>
      <w:r w:rsidR="00E050CF" w:rsidRPr="00A0799B">
        <w:rPr>
          <w:rFonts w:cs="Calibri"/>
          <w:snapToGrid/>
          <w:szCs w:val="24"/>
          <w:lang w:val="en-US" w:eastAsia="en-AU"/>
        </w:rPr>
        <w:t>e provided in the table below. One publication</w:t>
      </w:r>
      <w:r w:rsidR="00E050CF" w:rsidRPr="00A0799B">
        <w:rPr>
          <w:rStyle w:val="FootnoteReference"/>
          <w:rFonts w:cs="Calibri"/>
          <w:snapToGrid/>
          <w:szCs w:val="24"/>
          <w:lang w:val="en-US" w:eastAsia="en-AU"/>
        </w:rPr>
        <w:footnoteReference w:id="5"/>
      </w:r>
      <w:r w:rsidR="00E050CF" w:rsidRPr="00A0799B">
        <w:rPr>
          <w:rFonts w:cs="Calibri"/>
          <w:snapToGrid/>
          <w:szCs w:val="24"/>
          <w:lang w:val="en-US" w:eastAsia="en-AU"/>
        </w:rPr>
        <w:t xml:space="preserve"> in Table 2.3 p28 of the submission could not be verified from an independent search and was therefore excluded </w:t>
      </w:r>
      <w:r w:rsidR="0075183C" w:rsidRPr="00A0799B">
        <w:rPr>
          <w:rFonts w:cs="Calibri"/>
          <w:snapToGrid/>
          <w:szCs w:val="24"/>
          <w:lang w:val="en-US" w:eastAsia="en-AU"/>
        </w:rPr>
        <w:t xml:space="preserve">from </w:t>
      </w:r>
      <w:r w:rsidR="00273E9C" w:rsidRPr="00A0799B">
        <w:t xml:space="preserve">Table </w:t>
      </w:r>
      <w:r w:rsidR="00273E9C" w:rsidRPr="00A0799B">
        <w:rPr>
          <w:noProof/>
        </w:rPr>
        <w:t>2</w:t>
      </w:r>
      <w:r w:rsidR="00E050CF" w:rsidRPr="00A0799B">
        <w:rPr>
          <w:rFonts w:cs="Calibri"/>
          <w:snapToGrid/>
          <w:szCs w:val="24"/>
          <w:lang w:val="en-US" w:eastAsia="en-AU"/>
        </w:rPr>
        <w:t>.</w:t>
      </w:r>
    </w:p>
    <w:p w:rsidR="008E0D3C" w:rsidRDefault="00560935" w:rsidP="001D0FFF">
      <w:pPr>
        <w:pStyle w:val="Caption"/>
        <w:keepNext/>
        <w:rPr>
          <w:rStyle w:val="CommentReference"/>
          <w:b/>
          <w:szCs w:val="18"/>
        </w:rPr>
      </w:pPr>
      <w:bookmarkStart w:id="7" w:name="_Ref18764502"/>
      <w:r>
        <w:t xml:space="preserve">Table </w:t>
      </w:r>
      <w:r w:rsidR="00273E9C">
        <w:rPr>
          <w:noProof/>
        </w:rPr>
        <w:t>2</w:t>
      </w:r>
      <w:bookmarkEnd w:id="7"/>
      <w:r>
        <w:t xml:space="preserve">: </w:t>
      </w:r>
      <w:r w:rsidR="008E0D3C" w:rsidRPr="006577E1">
        <w:rPr>
          <w:rStyle w:val="CommentReference"/>
          <w:b/>
          <w:szCs w:val="18"/>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90"/>
        <w:gridCol w:w="5670"/>
        <w:gridCol w:w="1657"/>
      </w:tblGrid>
      <w:tr w:rsidR="001D0FFF" w:rsidRPr="009C697D" w:rsidTr="004E294B">
        <w:trPr>
          <w:cantSplit/>
          <w:tblHeader/>
        </w:trPr>
        <w:tc>
          <w:tcPr>
            <w:tcW w:w="937" w:type="pct"/>
            <w:vAlign w:val="center"/>
          </w:tcPr>
          <w:p w:rsidR="001D0FFF" w:rsidRPr="00053678" w:rsidRDefault="001D0FFF" w:rsidP="001D0FFF">
            <w:pPr>
              <w:pStyle w:val="TableText0"/>
              <w:spacing w:before="0" w:after="0"/>
              <w:rPr>
                <w:b/>
              </w:rPr>
            </w:pPr>
            <w:r w:rsidRPr="00053678">
              <w:rPr>
                <w:b/>
              </w:rPr>
              <w:t>Trial ID</w:t>
            </w:r>
          </w:p>
        </w:tc>
        <w:tc>
          <w:tcPr>
            <w:tcW w:w="3144" w:type="pct"/>
            <w:tcBorders>
              <w:bottom w:val="single" w:sz="4" w:space="0" w:color="auto"/>
            </w:tcBorders>
            <w:vAlign w:val="center"/>
          </w:tcPr>
          <w:p w:rsidR="001D0FFF" w:rsidRPr="00053678" w:rsidRDefault="001D0FFF" w:rsidP="001D0FFF">
            <w:pPr>
              <w:pStyle w:val="TableText0"/>
              <w:spacing w:before="0" w:after="0"/>
              <w:rPr>
                <w:b/>
              </w:rPr>
            </w:pPr>
            <w:r w:rsidRPr="00053678">
              <w:rPr>
                <w:b/>
              </w:rPr>
              <w:t>Protocol title/ Publication title</w:t>
            </w:r>
          </w:p>
        </w:tc>
        <w:tc>
          <w:tcPr>
            <w:tcW w:w="919" w:type="pct"/>
            <w:vAlign w:val="center"/>
          </w:tcPr>
          <w:p w:rsidR="001D0FFF" w:rsidRPr="00053678" w:rsidRDefault="001D0FFF" w:rsidP="001D0FFF">
            <w:pPr>
              <w:pStyle w:val="TableText0"/>
              <w:spacing w:before="0" w:after="0"/>
              <w:rPr>
                <w:b/>
              </w:rPr>
            </w:pPr>
            <w:r w:rsidRPr="00053678">
              <w:rPr>
                <w:b/>
              </w:rPr>
              <w:t>Publication citation</w:t>
            </w:r>
          </w:p>
        </w:tc>
      </w:tr>
      <w:tr w:rsidR="001D0FFF" w:rsidRPr="009C697D" w:rsidTr="004E294B">
        <w:trPr>
          <w:cantSplit/>
          <w:trHeight w:val="1240"/>
        </w:trPr>
        <w:tc>
          <w:tcPr>
            <w:tcW w:w="937" w:type="pct"/>
            <w:vMerge w:val="restart"/>
          </w:tcPr>
          <w:p w:rsidR="001D0FFF" w:rsidRPr="009C697D" w:rsidRDefault="001D0FFF" w:rsidP="001D0FFF">
            <w:pPr>
              <w:pStyle w:val="TableText0"/>
              <w:spacing w:before="0" w:after="0"/>
            </w:pPr>
            <w:r>
              <w:t>GO29365</w:t>
            </w:r>
          </w:p>
        </w:tc>
        <w:tc>
          <w:tcPr>
            <w:tcW w:w="3144" w:type="pct"/>
            <w:tcBorders>
              <w:bottom w:val="nil"/>
            </w:tcBorders>
          </w:tcPr>
          <w:p w:rsidR="001D0FFF" w:rsidRPr="00A05489" w:rsidRDefault="001D0FFF" w:rsidP="001D0FFF">
            <w:pPr>
              <w:pStyle w:val="TableText0"/>
              <w:spacing w:before="0" w:after="0"/>
            </w:pPr>
            <w:r w:rsidRPr="00A05489">
              <w:t xml:space="preserve">Clinical Study Report. A Phase </w:t>
            </w:r>
            <w:proofErr w:type="spellStart"/>
            <w:r w:rsidRPr="00A05489">
              <w:t>Ib</w:t>
            </w:r>
            <w:proofErr w:type="spellEnd"/>
            <w:r w:rsidRPr="00A05489">
              <w:t>/II study evaluating the safety, tolerability, and anti-</w:t>
            </w:r>
            <w:proofErr w:type="spellStart"/>
            <w:r w:rsidRPr="00A05489">
              <w:t>tumor</w:t>
            </w:r>
            <w:proofErr w:type="spellEnd"/>
            <w:r w:rsidRPr="00A05489">
              <w:t xml:space="preserve"> activity of </w:t>
            </w:r>
            <w:proofErr w:type="spellStart"/>
            <w:r w:rsidRPr="00A05489">
              <w:t>polatuzumab</w:t>
            </w:r>
            <w:proofErr w:type="spellEnd"/>
            <w:r w:rsidRPr="00A05489">
              <w:t xml:space="preserve"> </w:t>
            </w:r>
            <w:proofErr w:type="spellStart"/>
            <w:r w:rsidRPr="00A05489">
              <w:t>vedotin</w:t>
            </w:r>
            <w:proofErr w:type="spellEnd"/>
            <w:r w:rsidRPr="00A05489">
              <w:t xml:space="preserve"> (DCDS4501A) in combination with rituximab (R) or </w:t>
            </w:r>
            <w:proofErr w:type="spellStart"/>
            <w:r w:rsidRPr="00A05489">
              <w:t>obinutuzumab</w:t>
            </w:r>
            <w:proofErr w:type="spellEnd"/>
            <w:r w:rsidRPr="00A05489">
              <w:t xml:space="preserve"> (G) plus </w:t>
            </w:r>
            <w:proofErr w:type="spellStart"/>
            <w:r w:rsidRPr="00A05489">
              <w:t>bendamustine</w:t>
            </w:r>
            <w:proofErr w:type="spellEnd"/>
            <w:r w:rsidRPr="00A05489">
              <w:t xml:space="preserve"> (B) in relapsed or refractory follicular or diffuse large B-cell lymphoma. Data </w:t>
            </w:r>
            <w:proofErr w:type="spellStart"/>
            <w:r w:rsidRPr="00A05489">
              <w:t>cutoff</w:t>
            </w:r>
            <w:proofErr w:type="spellEnd"/>
            <w:r w:rsidRPr="00A05489">
              <w:t xml:space="preserve"> 30 April 2018.</w:t>
            </w:r>
          </w:p>
        </w:tc>
        <w:tc>
          <w:tcPr>
            <w:tcW w:w="919" w:type="pct"/>
            <w:vMerge w:val="restart"/>
          </w:tcPr>
          <w:p w:rsidR="001D0FFF" w:rsidRPr="00A05489" w:rsidRDefault="001D0FFF" w:rsidP="001D0FFF">
            <w:pPr>
              <w:pStyle w:val="TableText0"/>
              <w:spacing w:before="0" w:after="0"/>
            </w:pPr>
            <w:r>
              <w:t>November 2018</w:t>
            </w:r>
          </w:p>
        </w:tc>
      </w:tr>
      <w:tr w:rsidR="001D0FFF" w:rsidRPr="009C697D" w:rsidTr="004E294B">
        <w:trPr>
          <w:cantSplit/>
          <w:trHeight w:val="520"/>
        </w:trPr>
        <w:tc>
          <w:tcPr>
            <w:tcW w:w="937" w:type="pct"/>
            <w:vMerge/>
          </w:tcPr>
          <w:p w:rsidR="001D0FFF" w:rsidRDefault="001D0FFF" w:rsidP="001D0FFF">
            <w:pPr>
              <w:pStyle w:val="TableText0"/>
              <w:spacing w:before="0" w:after="0"/>
            </w:pPr>
          </w:p>
        </w:tc>
        <w:tc>
          <w:tcPr>
            <w:tcW w:w="3144" w:type="pct"/>
            <w:tcBorders>
              <w:top w:val="nil"/>
              <w:bottom w:val="nil"/>
            </w:tcBorders>
          </w:tcPr>
          <w:p w:rsidR="001D0FFF" w:rsidRPr="00A05489" w:rsidRDefault="001D0FFF" w:rsidP="001D0FFF">
            <w:pPr>
              <w:pStyle w:val="TableText0"/>
              <w:spacing w:before="0" w:after="0"/>
            </w:pPr>
            <w:r w:rsidRPr="00A05489">
              <w:t xml:space="preserve">Supplemental results report for study GO29365 - Arm G. Data </w:t>
            </w:r>
            <w:proofErr w:type="spellStart"/>
            <w:r w:rsidRPr="00A05489">
              <w:t>cutoff</w:t>
            </w:r>
            <w:proofErr w:type="spellEnd"/>
            <w:r w:rsidRPr="00A05489">
              <w:t xml:space="preserve"> 29 May 2018. (Pharmacokinetics and safety).</w:t>
            </w:r>
          </w:p>
        </w:tc>
        <w:tc>
          <w:tcPr>
            <w:tcW w:w="919" w:type="pct"/>
            <w:vMerge/>
          </w:tcPr>
          <w:p w:rsidR="001D0FFF" w:rsidRPr="00A05489" w:rsidRDefault="001D0FFF" w:rsidP="001D0FFF">
            <w:pPr>
              <w:pStyle w:val="TableText0"/>
              <w:spacing w:before="0" w:after="0"/>
            </w:pPr>
          </w:p>
        </w:tc>
      </w:tr>
      <w:tr w:rsidR="001D0FFF" w:rsidRPr="009C697D" w:rsidTr="004E294B">
        <w:trPr>
          <w:cantSplit/>
          <w:trHeight w:val="255"/>
        </w:trPr>
        <w:tc>
          <w:tcPr>
            <w:tcW w:w="937" w:type="pct"/>
            <w:vMerge/>
          </w:tcPr>
          <w:p w:rsidR="001D0FFF" w:rsidRDefault="001D0FFF" w:rsidP="001D0FFF">
            <w:pPr>
              <w:pStyle w:val="TableText0"/>
              <w:spacing w:before="0" w:after="0"/>
            </w:pPr>
          </w:p>
        </w:tc>
        <w:tc>
          <w:tcPr>
            <w:tcW w:w="3144" w:type="pct"/>
            <w:tcBorders>
              <w:top w:val="nil"/>
            </w:tcBorders>
          </w:tcPr>
          <w:p w:rsidR="001D0FFF" w:rsidRDefault="001D0FFF" w:rsidP="001D0FFF">
            <w:pPr>
              <w:pStyle w:val="TableText0"/>
              <w:spacing w:before="0" w:after="0"/>
            </w:pPr>
          </w:p>
          <w:p w:rsidR="001D0FFF" w:rsidRPr="00A05489" w:rsidRDefault="001D0FFF" w:rsidP="001D0FFF">
            <w:pPr>
              <w:pStyle w:val="TableText0"/>
              <w:spacing w:before="0" w:after="0"/>
            </w:pPr>
            <w:r w:rsidRPr="00A05489">
              <w:t xml:space="preserve">Updated Efficacy Analysis for Arms C and D of the GO29365 trial. Data </w:t>
            </w:r>
            <w:proofErr w:type="spellStart"/>
            <w:r w:rsidRPr="00A05489">
              <w:t>cutoff</w:t>
            </w:r>
            <w:proofErr w:type="spellEnd"/>
            <w:r w:rsidRPr="00A05489">
              <w:t xml:space="preserve"> 11 October 2018.</w:t>
            </w:r>
          </w:p>
        </w:tc>
        <w:tc>
          <w:tcPr>
            <w:tcW w:w="919" w:type="pct"/>
            <w:vMerge/>
          </w:tcPr>
          <w:p w:rsidR="001D0FFF" w:rsidRPr="00A05489" w:rsidRDefault="001D0FFF" w:rsidP="001D0FFF">
            <w:pPr>
              <w:pStyle w:val="TableText0"/>
              <w:spacing w:before="0" w:after="0"/>
            </w:pPr>
          </w:p>
        </w:tc>
      </w:tr>
      <w:tr w:rsidR="001D0FFF" w:rsidRPr="009C697D" w:rsidTr="004E294B">
        <w:trPr>
          <w:cantSplit/>
          <w:trHeight w:val="642"/>
        </w:trPr>
        <w:tc>
          <w:tcPr>
            <w:tcW w:w="937" w:type="pct"/>
            <w:vMerge/>
          </w:tcPr>
          <w:p w:rsidR="001D0FFF" w:rsidRDefault="001D0FFF" w:rsidP="001D0FFF">
            <w:pPr>
              <w:pStyle w:val="TableText0"/>
              <w:spacing w:before="0" w:after="0"/>
            </w:pPr>
          </w:p>
        </w:tc>
        <w:tc>
          <w:tcPr>
            <w:tcW w:w="3144" w:type="pct"/>
          </w:tcPr>
          <w:p w:rsidR="001D0FFF" w:rsidRPr="00A05489" w:rsidRDefault="001D0FFF" w:rsidP="001D0FFF">
            <w:pPr>
              <w:pStyle w:val="TableText0"/>
              <w:spacing w:before="0" w:after="0"/>
            </w:pPr>
            <w:proofErr w:type="spellStart"/>
            <w:r>
              <w:t>Sehn</w:t>
            </w:r>
            <w:proofErr w:type="spellEnd"/>
            <w:r>
              <w:t xml:space="preserve">, L et al. </w:t>
            </w:r>
            <w:proofErr w:type="spellStart"/>
            <w:r w:rsidRPr="00A05489">
              <w:t>Polatuzumab</w:t>
            </w:r>
            <w:proofErr w:type="spellEnd"/>
            <w:r w:rsidRPr="00A05489">
              <w:t xml:space="preserve"> </w:t>
            </w:r>
            <w:proofErr w:type="spellStart"/>
            <w:r w:rsidRPr="00A05489">
              <w:t>vedotin</w:t>
            </w:r>
            <w:proofErr w:type="spellEnd"/>
            <w:r w:rsidRPr="00A05489">
              <w:t xml:space="preserve"> (POLA) plus </w:t>
            </w:r>
            <w:proofErr w:type="spellStart"/>
            <w:r w:rsidRPr="00A05489">
              <w:t>bendamustine</w:t>
            </w:r>
            <w:proofErr w:type="spellEnd"/>
            <w:r w:rsidRPr="00A05489">
              <w:t xml:space="preserve"> (B) with rituximab (R) or </w:t>
            </w:r>
            <w:proofErr w:type="spellStart"/>
            <w:r w:rsidRPr="00A05489">
              <w:t>obinutuzumab</w:t>
            </w:r>
            <w:proofErr w:type="spellEnd"/>
            <w:r w:rsidRPr="00A05489">
              <w:t xml:space="preserve"> (G) in relapsed/refractory (R/R) diffuse large B-cell lymphoma (DLBCL): Updated results of a phase (PH) IB/II study." Data </w:t>
            </w:r>
            <w:proofErr w:type="spellStart"/>
            <w:r w:rsidRPr="00A05489">
              <w:t>cutoff</w:t>
            </w:r>
            <w:proofErr w:type="spellEnd"/>
            <w:r w:rsidRPr="00A05489">
              <w:t xml:space="preserve"> 30 April 2018.</w:t>
            </w:r>
          </w:p>
        </w:tc>
        <w:tc>
          <w:tcPr>
            <w:tcW w:w="919" w:type="pct"/>
          </w:tcPr>
          <w:p w:rsidR="001D0FFF" w:rsidRPr="00A05489" w:rsidRDefault="001D0FFF" w:rsidP="001D0FFF">
            <w:pPr>
              <w:pStyle w:val="TableText0"/>
              <w:spacing w:before="0" w:after="0"/>
            </w:pPr>
            <w:r w:rsidRPr="006E798B">
              <w:rPr>
                <w:i/>
              </w:rPr>
              <w:t>Blood</w:t>
            </w:r>
            <w:r w:rsidRPr="006E798B">
              <w:t xml:space="preserve"> 2018</w:t>
            </w:r>
            <w:r>
              <w:t>; (</w:t>
            </w:r>
            <w:r w:rsidRPr="006E798B">
              <w:t>132</w:t>
            </w:r>
            <w:r>
              <w:t>)</w:t>
            </w:r>
            <w:r w:rsidRPr="006E798B">
              <w:t>:1683</w:t>
            </w:r>
          </w:p>
        </w:tc>
      </w:tr>
      <w:tr w:rsidR="00E050CF" w:rsidRPr="009C697D" w:rsidTr="00E050CF">
        <w:trPr>
          <w:cantSplit/>
          <w:trHeight w:val="864"/>
        </w:trPr>
        <w:tc>
          <w:tcPr>
            <w:tcW w:w="937" w:type="pct"/>
            <w:vMerge/>
          </w:tcPr>
          <w:p w:rsidR="00E050CF" w:rsidRDefault="00E050CF" w:rsidP="001D0FFF">
            <w:pPr>
              <w:pStyle w:val="TableText0"/>
              <w:spacing w:before="0" w:after="0"/>
            </w:pPr>
          </w:p>
        </w:tc>
        <w:tc>
          <w:tcPr>
            <w:tcW w:w="3144" w:type="pct"/>
          </w:tcPr>
          <w:p w:rsidR="00E050CF" w:rsidRPr="00A05489" w:rsidRDefault="00E050CF" w:rsidP="001D0FFF">
            <w:pPr>
              <w:pStyle w:val="TableText0"/>
              <w:spacing w:before="0" w:after="0"/>
            </w:pPr>
            <w:proofErr w:type="spellStart"/>
            <w:r>
              <w:t>Sehn</w:t>
            </w:r>
            <w:proofErr w:type="spellEnd"/>
            <w:r>
              <w:t xml:space="preserve">, L et al. </w:t>
            </w:r>
            <w:r w:rsidRPr="00A05489">
              <w:t xml:space="preserve">Addition of </w:t>
            </w:r>
            <w:proofErr w:type="spellStart"/>
            <w:r w:rsidRPr="00A05489">
              <w:t>polatuzumab</w:t>
            </w:r>
            <w:proofErr w:type="spellEnd"/>
            <w:r w:rsidRPr="00A05489">
              <w:t xml:space="preserve"> </w:t>
            </w:r>
            <w:proofErr w:type="spellStart"/>
            <w:r w:rsidRPr="00A05489">
              <w:t>vedotin</w:t>
            </w:r>
            <w:proofErr w:type="spellEnd"/>
            <w:r w:rsidRPr="00A05489">
              <w:t xml:space="preserve"> to </w:t>
            </w:r>
            <w:proofErr w:type="spellStart"/>
            <w:r w:rsidRPr="00A05489">
              <w:t>bendamustine</w:t>
            </w:r>
            <w:proofErr w:type="spellEnd"/>
            <w:r w:rsidRPr="00A05489">
              <w:t xml:space="preserve"> and rituximab (BR) improves outcomes in transplant-ineligible patients with relapsed/refractory (r/r) diffuse large b-cell lymphoma (DLBCL) versus BR alone: Results from a randomized phase 2 study." Data </w:t>
            </w:r>
            <w:proofErr w:type="spellStart"/>
            <w:r w:rsidRPr="00A05489">
              <w:t>cutoff</w:t>
            </w:r>
            <w:proofErr w:type="spellEnd"/>
            <w:r w:rsidRPr="00A05489">
              <w:t xml:space="preserve"> 3 May 2017.</w:t>
            </w:r>
          </w:p>
        </w:tc>
        <w:tc>
          <w:tcPr>
            <w:tcW w:w="919" w:type="pct"/>
          </w:tcPr>
          <w:p w:rsidR="00E050CF" w:rsidRPr="00A05489" w:rsidRDefault="00E050CF" w:rsidP="001D0FFF">
            <w:pPr>
              <w:pStyle w:val="TableText0"/>
              <w:spacing w:before="0" w:after="0"/>
            </w:pPr>
            <w:r w:rsidRPr="00194FBB">
              <w:rPr>
                <w:i/>
              </w:rPr>
              <w:t>Blood</w:t>
            </w:r>
            <w:r>
              <w:t xml:space="preserve"> 2017; (</w:t>
            </w:r>
            <w:r w:rsidRPr="00194FBB">
              <w:t>130</w:t>
            </w:r>
            <w:r>
              <w:t>)</w:t>
            </w:r>
            <w:r w:rsidRPr="00194FBB">
              <w:t>:2821</w:t>
            </w:r>
          </w:p>
        </w:tc>
      </w:tr>
      <w:tr w:rsidR="001D0FFF" w:rsidRPr="009C697D" w:rsidTr="004E294B">
        <w:trPr>
          <w:cantSplit/>
          <w:trHeight w:val="704"/>
        </w:trPr>
        <w:tc>
          <w:tcPr>
            <w:tcW w:w="937" w:type="pct"/>
            <w:vMerge/>
          </w:tcPr>
          <w:p w:rsidR="001D0FFF" w:rsidRDefault="001D0FFF" w:rsidP="001D0FFF">
            <w:pPr>
              <w:pStyle w:val="TableText0"/>
              <w:spacing w:before="0" w:after="0"/>
            </w:pPr>
          </w:p>
        </w:tc>
        <w:tc>
          <w:tcPr>
            <w:tcW w:w="3144" w:type="pct"/>
          </w:tcPr>
          <w:p w:rsidR="001D0FFF" w:rsidRPr="00A05489" w:rsidRDefault="001D0FFF" w:rsidP="001D0FFF">
            <w:pPr>
              <w:pStyle w:val="TableText0"/>
              <w:spacing w:before="0" w:after="0"/>
            </w:pPr>
            <w:proofErr w:type="spellStart"/>
            <w:r>
              <w:t>Sehn</w:t>
            </w:r>
            <w:proofErr w:type="spellEnd"/>
            <w:r>
              <w:t xml:space="preserve">, L et al. </w:t>
            </w:r>
            <w:r w:rsidRPr="00A05489">
              <w:t xml:space="preserve">Adding </w:t>
            </w:r>
            <w:proofErr w:type="spellStart"/>
            <w:r w:rsidRPr="00A05489">
              <w:t>polatuzumab</w:t>
            </w:r>
            <w:proofErr w:type="spellEnd"/>
            <w:r w:rsidRPr="00A05489">
              <w:t xml:space="preserve"> </w:t>
            </w:r>
            <w:proofErr w:type="spellStart"/>
            <w:r w:rsidRPr="00A05489">
              <w:t>vedotin</w:t>
            </w:r>
            <w:proofErr w:type="spellEnd"/>
            <w:r w:rsidRPr="00A05489">
              <w:t xml:space="preserve"> (POLA) to </w:t>
            </w:r>
            <w:proofErr w:type="spellStart"/>
            <w:r w:rsidRPr="00A05489">
              <w:t>bendamustine</w:t>
            </w:r>
            <w:proofErr w:type="spellEnd"/>
            <w:r w:rsidRPr="00A05489">
              <w:t xml:space="preserve"> and rituximab (BR) treatment improves survival in patients with relapsed/refractory </w:t>
            </w:r>
            <w:proofErr w:type="spellStart"/>
            <w:r w:rsidRPr="00A05489">
              <w:t>dlbcl</w:t>
            </w:r>
            <w:proofErr w:type="spellEnd"/>
            <w:r w:rsidRPr="00A05489">
              <w:t xml:space="preserve">: Results of a phase 2 clinical trial. Data </w:t>
            </w:r>
            <w:proofErr w:type="spellStart"/>
            <w:r w:rsidRPr="00A05489">
              <w:t>cutoff</w:t>
            </w:r>
            <w:proofErr w:type="spellEnd"/>
            <w:r w:rsidRPr="00A05489">
              <w:t xml:space="preserve"> 24 Oct 2017.</w:t>
            </w:r>
          </w:p>
        </w:tc>
        <w:tc>
          <w:tcPr>
            <w:tcW w:w="919" w:type="pct"/>
          </w:tcPr>
          <w:p w:rsidR="001D0FFF" w:rsidRPr="00A05489" w:rsidRDefault="001D0FFF" w:rsidP="001D0FFF">
            <w:pPr>
              <w:pStyle w:val="TableText0"/>
              <w:spacing w:before="0" w:after="0"/>
            </w:pPr>
            <w:proofErr w:type="spellStart"/>
            <w:r w:rsidRPr="00053678">
              <w:rPr>
                <w:i/>
              </w:rPr>
              <w:t>HemaSphere</w:t>
            </w:r>
            <w:proofErr w:type="spellEnd"/>
            <w:r w:rsidRPr="00A05489">
              <w:t xml:space="preserve"> </w:t>
            </w:r>
            <w:r>
              <w:t xml:space="preserve">2018; </w:t>
            </w:r>
            <w:r w:rsidRPr="00A05489">
              <w:t>2: 348-349.</w:t>
            </w:r>
          </w:p>
        </w:tc>
      </w:tr>
    </w:tbl>
    <w:p w:rsidR="00560935" w:rsidRDefault="00560935" w:rsidP="004E294B">
      <w:pPr>
        <w:pStyle w:val="TableFooter"/>
      </w:pPr>
      <w:r>
        <w:t>Source: Table 2.3 on p 28 of the submission.</w:t>
      </w:r>
    </w:p>
    <w:p w:rsidR="00862502" w:rsidRPr="008F120A" w:rsidRDefault="00862502" w:rsidP="008F120A">
      <w:pPr>
        <w:widowControl/>
      </w:pPr>
    </w:p>
    <w:p w:rsidR="007F1017" w:rsidRDefault="008F120A" w:rsidP="00095881">
      <w:pPr>
        <w:pStyle w:val="ListParagraph"/>
        <w:widowControl/>
        <w:numPr>
          <w:ilvl w:val="1"/>
          <w:numId w:val="2"/>
        </w:numPr>
      </w:pPr>
      <w:r w:rsidRPr="00B50DB8">
        <w:t>The key features of the direct randomised trial are summarised in the table below.</w:t>
      </w:r>
      <w:r w:rsidR="0095754E">
        <w:t xml:space="preserve"> </w:t>
      </w:r>
    </w:p>
    <w:p w:rsidR="007F1017" w:rsidRPr="006577E1" w:rsidRDefault="00560935" w:rsidP="00174B8D">
      <w:pPr>
        <w:pStyle w:val="Caption"/>
        <w:keepNext/>
        <w:keepLines/>
        <w:widowControl/>
        <w:rPr>
          <w:rStyle w:val="CommentReference"/>
          <w:b/>
          <w:szCs w:val="18"/>
        </w:rPr>
      </w:pPr>
      <w:r>
        <w:lastRenderedPageBreak/>
        <w:t xml:space="preserve">Table </w:t>
      </w:r>
      <w:r w:rsidR="00273E9C">
        <w:rPr>
          <w:noProof/>
        </w:rPr>
        <w:t>3</w:t>
      </w:r>
      <w:r>
        <w:t xml:space="preserve">: </w:t>
      </w:r>
      <w:r w:rsidR="007F1017" w:rsidRPr="006577E1">
        <w:rPr>
          <w:rStyle w:val="CommentReference"/>
          <w:b/>
          <w:szCs w:val="18"/>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2"/>
        <w:gridCol w:w="840"/>
        <w:gridCol w:w="1410"/>
        <w:gridCol w:w="1120"/>
        <w:gridCol w:w="1546"/>
        <w:gridCol w:w="1122"/>
        <w:gridCol w:w="1697"/>
      </w:tblGrid>
      <w:tr w:rsidR="00B41614" w:rsidRPr="00B41614" w:rsidTr="00861B72">
        <w:tc>
          <w:tcPr>
            <w:tcW w:w="711" w:type="pct"/>
            <w:shd w:val="clear" w:color="auto" w:fill="auto"/>
            <w:vAlign w:val="center"/>
          </w:tcPr>
          <w:p w:rsidR="007F1017" w:rsidRPr="00B41614" w:rsidRDefault="007F1017" w:rsidP="00174B8D">
            <w:pPr>
              <w:pStyle w:val="Tabletext"/>
              <w:keepNext/>
              <w:keepLines/>
              <w:rPr>
                <w:b/>
                <w:lang w:val="en-US"/>
              </w:rPr>
            </w:pPr>
            <w:r w:rsidRPr="00B41614">
              <w:rPr>
                <w:b/>
                <w:lang w:val="en-US"/>
              </w:rPr>
              <w:t>Trial</w:t>
            </w:r>
          </w:p>
        </w:tc>
        <w:tc>
          <w:tcPr>
            <w:tcW w:w="466" w:type="pct"/>
            <w:shd w:val="clear" w:color="auto" w:fill="auto"/>
            <w:vAlign w:val="center"/>
          </w:tcPr>
          <w:p w:rsidR="007F1017" w:rsidRPr="00B41614" w:rsidRDefault="007F1017" w:rsidP="00174B8D">
            <w:pPr>
              <w:pStyle w:val="Tabletext"/>
              <w:keepNext/>
              <w:keepLines/>
              <w:jc w:val="center"/>
              <w:rPr>
                <w:b/>
                <w:lang w:val="en-US"/>
              </w:rPr>
            </w:pPr>
            <w:r w:rsidRPr="00B41614">
              <w:rPr>
                <w:b/>
                <w:lang w:val="en-US"/>
              </w:rPr>
              <w:t>N</w:t>
            </w:r>
          </w:p>
        </w:tc>
        <w:tc>
          <w:tcPr>
            <w:tcW w:w="782" w:type="pct"/>
            <w:shd w:val="clear" w:color="auto" w:fill="auto"/>
            <w:vAlign w:val="center"/>
          </w:tcPr>
          <w:p w:rsidR="007F1017" w:rsidRPr="00B41614" w:rsidRDefault="007F1017" w:rsidP="00174B8D">
            <w:pPr>
              <w:pStyle w:val="Tabletext"/>
              <w:keepNext/>
              <w:keepLines/>
              <w:jc w:val="center"/>
              <w:rPr>
                <w:b/>
                <w:lang w:val="en-US"/>
              </w:rPr>
            </w:pPr>
            <w:r w:rsidRPr="00B41614">
              <w:rPr>
                <w:b/>
                <w:lang w:val="en-US"/>
              </w:rPr>
              <w:t>Design/ duration</w:t>
            </w:r>
          </w:p>
        </w:tc>
        <w:tc>
          <w:tcPr>
            <w:tcW w:w="621" w:type="pct"/>
            <w:shd w:val="clear" w:color="auto" w:fill="auto"/>
            <w:vAlign w:val="center"/>
          </w:tcPr>
          <w:p w:rsidR="007F1017" w:rsidRPr="00B41614" w:rsidRDefault="007F1017" w:rsidP="00174B8D">
            <w:pPr>
              <w:pStyle w:val="Tabletext"/>
              <w:keepNext/>
              <w:keepLines/>
              <w:jc w:val="center"/>
              <w:rPr>
                <w:b/>
                <w:lang w:val="en-US"/>
              </w:rPr>
            </w:pPr>
            <w:r w:rsidRPr="00B41614">
              <w:rPr>
                <w:b/>
                <w:lang w:val="en-US"/>
              </w:rPr>
              <w:t>Risk of bias</w:t>
            </w:r>
          </w:p>
        </w:tc>
        <w:tc>
          <w:tcPr>
            <w:tcW w:w="857" w:type="pct"/>
            <w:shd w:val="clear" w:color="auto" w:fill="auto"/>
            <w:vAlign w:val="center"/>
          </w:tcPr>
          <w:p w:rsidR="007F1017" w:rsidRPr="00B41614" w:rsidRDefault="007F1017" w:rsidP="00174B8D">
            <w:pPr>
              <w:pStyle w:val="Tabletext"/>
              <w:keepNext/>
              <w:keepLines/>
              <w:jc w:val="center"/>
              <w:rPr>
                <w:b/>
                <w:lang w:val="en-US"/>
              </w:rPr>
            </w:pPr>
            <w:r w:rsidRPr="00B41614">
              <w:rPr>
                <w:b/>
                <w:lang w:val="en-US"/>
              </w:rPr>
              <w:t>Patient population</w:t>
            </w:r>
          </w:p>
        </w:tc>
        <w:tc>
          <w:tcPr>
            <w:tcW w:w="622" w:type="pct"/>
            <w:shd w:val="clear" w:color="auto" w:fill="auto"/>
            <w:vAlign w:val="center"/>
          </w:tcPr>
          <w:p w:rsidR="007F1017" w:rsidRPr="00B41614" w:rsidRDefault="007F1017" w:rsidP="00174B8D">
            <w:pPr>
              <w:pStyle w:val="Tabletext"/>
              <w:keepNext/>
              <w:keepLines/>
              <w:jc w:val="center"/>
              <w:rPr>
                <w:b/>
                <w:lang w:val="en-US"/>
              </w:rPr>
            </w:pPr>
            <w:r w:rsidRPr="00B41614">
              <w:rPr>
                <w:b/>
                <w:lang w:val="en-US"/>
              </w:rPr>
              <w:t>Outcome(s)</w:t>
            </w:r>
          </w:p>
        </w:tc>
        <w:tc>
          <w:tcPr>
            <w:tcW w:w="940" w:type="pct"/>
            <w:shd w:val="clear" w:color="auto" w:fill="auto"/>
            <w:vAlign w:val="center"/>
          </w:tcPr>
          <w:p w:rsidR="007F1017" w:rsidRPr="00B41614" w:rsidRDefault="007F1017" w:rsidP="00174B8D">
            <w:pPr>
              <w:pStyle w:val="Tabletext"/>
              <w:keepNext/>
              <w:keepLines/>
              <w:jc w:val="center"/>
              <w:rPr>
                <w:b/>
                <w:lang w:val="en-US"/>
              </w:rPr>
            </w:pPr>
            <w:r w:rsidRPr="00B41614">
              <w:rPr>
                <w:b/>
                <w:lang w:val="en-US"/>
              </w:rPr>
              <w:t>Use in modelled evaluation</w:t>
            </w:r>
          </w:p>
        </w:tc>
      </w:tr>
      <w:tr w:rsidR="007F1017" w:rsidRPr="00E2771E" w:rsidTr="00B41614">
        <w:tc>
          <w:tcPr>
            <w:tcW w:w="5000" w:type="pct"/>
            <w:gridSpan w:val="7"/>
            <w:shd w:val="clear" w:color="auto" w:fill="auto"/>
            <w:vAlign w:val="center"/>
          </w:tcPr>
          <w:p w:rsidR="007F1017" w:rsidRPr="00B41614" w:rsidRDefault="00560935" w:rsidP="00174B8D">
            <w:pPr>
              <w:pStyle w:val="Tabletext"/>
              <w:keepNext/>
              <w:keepLines/>
              <w:rPr>
                <w:b/>
                <w:lang w:val="en-US"/>
              </w:rPr>
            </w:pPr>
            <w:proofErr w:type="spellStart"/>
            <w:r>
              <w:rPr>
                <w:b/>
                <w:lang w:val="en-US"/>
              </w:rPr>
              <w:t>Pola+BR</w:t>
            </w:r>
            <w:proofErr w:type="spellEnd"/>
            <w:r w:rsidR="007F1017" w:rsidRPr="00B41614">
              <w:rPr>
                <w:b/>
                <w:lang w:val="en-US"/>
              </w:rPr>
              <w:t xml:space="preserve"> vs. </w:t>
            </w:r>
            <w:r>
              <w:rPr>
                <w:b/>
                <w:lang w:val="en-US"/>
              </w:rPr>
              <w:t>BR</w:t>
            </w:r>
          </w:p>
        </w:tc>
      </w:tr>
      <w:tr w:rsidR="00B41614" w:rsidRPr="00E2771E" w:rsidTr="00861B72">
        <w:tc>
          <w:tcPr>
            <w:tcW w:w="711" w:type="pct"/>
            <w:shd w:val="clear" w:color="auto" w:fill="auto"/>
            <w:vAlign w:val="center"/>
          </w:tcPr>
          <w:p w:rsidR="007F1017" w:rsidRPr="00E2771E" w:rsidRDefault="00560935" w:rsidP="00174B8D">
            <w:pPr>
              <w:pStyle w:val="Tabletext"/>
              <w:keepNext/>
              <w:keepLines/>
              <w:rPr>
                <w:lang w:val="en-US"/>
              </w:rPr>
            </w:pPr>
            <w:r>
              <w:rPr>
                <w:lang w:val="en-US"/>
              </w:rPr>
              <w:t>GO29365</w:t>
            </w:r>
          </w:p>
        </w:tc>
        <w:tc>
          <w:tcPr>
            <w:tcW w:w="466" w:type="pct"/>
            <w:shd w:val="clear" w:color="auto" w:fill="auto"/>
            <w:vAlign w:val="center"/>
          </w:tcPr>
          <w:p w:rsidR="007F1017" w:rsidRPr="00E2771E" w:rsidRDefault="00560935" w:rsidP="00174B8D">
            <w:pPr>
              <w:pStyle w:val="Tabletext"/>
              <w:keepNext/>
              <w:keepLines/>
              <w:jc w:val="center"/>
              <w:rPr>
                <w:lang w:val="en-US"/>
              </w:rPr>
            </w:pPr>
            <w:r>
              <w:rPr>
                <w:lang w:val="en-US"/>
              </w:rPr>
              <w:t>80</w:t>
            </w:r>
            <w:r w:rsidR="00861B72">
              <w:rPr>
                <w:lang w:val="en-US"/>
              </w:rPr>
              <w:t>*</w:t>
            </w:r>
          </w:p>
        </w:tc>
        <w:tc>
          <w:tcPr>
            <w:tcW w:w="782" w:type="pct"/>
            <w:shd w:val="clear" w:color="auto" w:fill="auto"/>
            <w:vAlign w:val="center"/>
          </w:tcPr>
          <w:p w:rsidR="007F1017" w:rsidRPr="00E2771E" w:rsidRDefault="007F1017" w:rsidP="00174B8D">
            <w:pPr>
              <w:pStyle w:val="Tabletext"/>
              <w:keepNext/>
              <w:keepLines/>
              <w:jc w:val="center"/>
              <w:rPr>
                <w:lang w:val="en-US"/>
              </w:rPr>
            </w:pPr>
            <w:r w:rsidRPr="00E2771E">
              <w:rPr>
                <w:lang w:val="en-US"/>
              </w:rPr>
              <w:t xml:space="preserve">R, </w:t>
            </w:r>
            <w:r w:rsidR="00861B72">
              <w:rPr>
                <w:lang w:val="en-US"/>
              </w:rPr>
              <w:t>OL</w:t>
            </w:r>
          </w:p>
          <w:p w:rsidR="007F1017" w:rsidRPr="00E2771E" w:rsidRDefault="00A83EFF" w:rsidP="00174B8D">
            <w:pPr>
              <w:pStyle w:val="Tabletext"/>
              <w:keepNext/>
              <w:keepLines/>
              <w:jc w:val="center"/>
              <w:rPr>
                <w:lang w:val="en-US"/>
              </w:rPr>
            </w:pPr>
            <w:r>
              <w:rPr>
                <w:lang w:val="en-US"/>
              </w:rPr>
              <w:t>26.5</w:t>
            </w:r>
            <w:r w:rsidR="007F1017" w:rsidRPr="00E2771E">
              <w:rPr>
                <w:lang w:val="en-US"/>
              </w:rPr>
              <w:t xml:space="preserve"> </w:t>
            </w:r>
            <w:proofErr w:type="spellStart"/>
            <w:r w:rsidR="007F1017" w:rsidRPr="00E2771E">
              <w:rPr>
                <w:lang w:val="en-US"/>
              </w:rPr>
              <w:t>mths</w:t>
            </w:r>
            <w:proofErr w:type="spellEnd"/>
          </w:p>
        </w:tc>
        <w:tc>
          <w:tcPr>
            <w:tcW w:w="621" w:type="pct"/>
            <w:shd w:val="clear" w:color="auto" w:fill="auto"/>
            <w:vAlign w:val="center"/>
          </w:tcPr>
          <w:p w:rsidR="007F1017" w:rsidRPr="00E2771E" w:rsidRDefault="00861B72" w:rsidP="00174B8D">
            <w:pPr>
              <w:pStyle w:val="Tabletext"/>
              <w:keepNext/>
              <w:keepLines/>
              <w:jc w:val="center"/>
              <w:rPr>
                <w:lang w:val="en-US"/>
              </w:rPr>
            </w:pPr>
            <w:r>
              <w:rPr>
                <w:lang w:val="en-US"/>
              </w:rPr>
              <w:t>High</w:t>
            </w:r>
          </w:p>
        </w:tc>
        <w:tc>
          <w:tcPr>
            <w:tcW w:w="857" w:type="pct"/>
            <w:shd w:val="clear" w:color="auto" w:fill="auto"/>
            <w:vAlign w:val="center"/>
          </w:tcPr>
          <w:p w:rsidR="007F1017" w:rsidRPr="00E2771E" w:rsidRDefault="00861B72" w:rsidP="00174B8D">
            <w:pPr>
              <w:pStyle w:val="Tabletext"/>
              <w:keepNext/>
              <w:keepLines/>
              <w:jc w:val="center"/>
              <w:rPr>
                <w:lang w:val="en-US"/>
              </w:rPr>
            </w:pPr>
            <w:r>
              <w:rPr>
                <w:lang w:val="en-US"/>
              </w:rPr>
              <w:t>R/R DLBCL ineligible for SCT</w:t>
            </w:r>
          </w:p>
        </w:tc>
        <w:tc>
          <w:tcPr>
            <w:tcW w:w="622" w:type="pct"/>
            <w:shd w:val="clear" w:color="auto" w:fill="auto"/>
            <w:vAlign w:val="center"/>
          </w:tcPr>
          <w:p w:rsidR="007F1017" w:rsidRPr="00E2771E" w:rsidRDefault="00773112" w:rsidP="00174B8D">
            <w:pPr>
              <w:pStyle w:val="Tabletext"/>
              <w:keepNext/>
              <w:keepLines/>
              <w:jc w:val="center"/>
              <w:rPr>
                <w:lang w:val="en-US"/>
              </w:rPr>
            </w:pPr>
            <w:r>
              <w:rPr>
                <w:lang w:val="en-US"/>
              </w:rPr>
              <w:t xml:space="preserve">CR**, PFS, </w:t>
            </w:r>
            <w:r w:rsidR="007F1017" w:rsidRPr="00E2771E">
              <w:rPr>
                <w:lang w:val="en-US"/>
              </w:rPr>
              <w:t>OS</w:t>
            </w:r>
          </w:p>
        </w:tc>
        <w:tc>
          <w:tcPr>
            <w:tcW w:w="940" w:type="pct"/>
            <w:shd w:val="clear" w:color="auto" w:fill="auto"/>
            <w:vAlign w:val="center"/>
          </w:tcPr>
          <w:p w:rsidR="007F1017" w:rsidRPr="00E2771E" w:rsidRDefault="00861B72" w:rsidP="00174B8D">
            <w:pPr>
              <w:pStyle w:val="Tabletext"/>
              <w:keepNext/>
              <w:keepLines/>
              <w:jc w:val="center"/>
              <w:rPr>
                <w:lang w:val="en-US"/>
              </w:rPr>
            </w:pPr>
            <w:r>
              <w:rPr>
                <w:lang w:val="en-US"/>
              </w:rPr>
              <w:t>Used</w:t>
            </w:r>
          </w:p>
        </w:tc>
      </w:tr>
    </w:tbl>
    <w:p w:rsidR="007F1017" w:rsidRPr="0072416F" w:rsidRDefault="00861B72" w:rsidP="00174B8D">
      <w:pPr>
        <w:pStyle w:val="TableFooter"/>
        <w:keepNext/>
        <w:keepLines/>
        <w:widowControl/>
      </w:pPr>
      <w:r w:rsidRPr="0072416F">
        <w:t>R=randomised</w:t>
      </w:r>
      <w:r>
        <w:t xml:space="preserve">; </w:t>
      </w:r>
      <w:r w:rsidR="007F1017" w:rsidRPr="0072416F">
        <w:t xml:space="preserve">OL=open label; </w:t>
      </w:r>
      <w:r>
        <w:t xml:space="preserve">R/R = relapsed or refractory; DLBCL = diffused large B-cell lymphoma; </w:t>
      </w:r>
      <w:r w:rsidR="00773112">
        <w:t xml:space="preserve">CR = complete response; </w:t>
      </w:r>
      <w:r w:rsidR="007F1017" w:rsidRPr="0072416F">
        <w:t xml:space="preserve">OS=overall survival; PFS=progression-free survival; </w:t>
      </w:r>
    </w:p>
    <w:p w:rsidR="00861B72" w:rsidRDefault="00861B72" w:rsidP="00174B8D">
      <w:pPr>
        <w:pStyle w:val="TableFooter"/>
        <w:keepNext/>
        <w:keepLines/>
        <w:widowControl/>
      </w:pPr>
      <w:r>
        <w:t xml:space="preserve">*the number of patients in Arms C and D that provided comparative efficacy outcomes of </w:t>
      </w:r>
      <w:proofErr w:type="spellStart"/>
      <w:r>
        <w:t>Pola+BR</w:t>
      </w:r>
      <w:proofErr w:type="spellEnd"/>
      <w:r>
        <w:t xml:space="preserve"> versus BR in the target population. </w:t>
      </w:r>
    </w:p>
    <w:p w:rsidR="00773112" w:rsidRDefault="00773112" w:rsidP="00174B8D">
      <w:pPr>
        <w:pStyle w:val="TableFooter"/>
        <w:keepNext/>
        <w:keepLines/>
        <w:widowControl/>
      </w:pPr>
      <w:r>
        <w:t>**Primary outcome</w:t>
      </w:r>
    </w:p>
    <w:p w:rsidR="00045017" w:rsidRPr="00B1011F" w:rsidRDefault="00045017" w:rsidP="00174B8D">
      <w:pPr>
        <w:pStyle w:val="TableFooter"/>
        <w:keepNext/>
        <w:keepLines/>
        <w:widowControl/>
        <w:rPr>
          <w:sz w:val="20"/>
        </w:rPr>
      </w:pPr>
      <w:r>
        <w:t xml:space="preserve">Source: </w:t>
      </w:r>
      <w:r w:rsidR="00861B72">
        <w:t xml:space="preserve">Sections 2.3-2.4 </w:t>
      </w:r>
      <w:r w:rsidRPr="00D13A3E">
        <w:t xml:space="preserve">of the </w:t>
      </w:r>
      <w:r>
        <w:t>submission.</w:t>
      </w:r>
    </w:p>
    <w:p w:rsidR="007F1017" w:rsidRDefault="007F1017" w:rsidP="007F1017"/>
    <w:p w:rsidR="008F18CE" w:rsidRPr="00A0799B" w:rsidRDefault="00B107A8" w:rsidP="00095881">
      <w:pPr>
        <w:pStyle w:val="ListParagraph"/>
        <w:widowControl/>
        <w:numPr>
          <w:ilvl w:val="1"/>
          <w:numId w:val="2"/>
        </w:numPr>
      </w:pPr>
      <w:r>
        <w:rPr>
          <w:rFonts w:asciiTheme="minorHAnsi" w:hAnsiTheme="minorHAnsi" w:cstheme="minorHAnsi"/>
        </w:rPr>
        <w:t>T</w:t>
      </w:r>
      <w:r w:rsidR="008F18CE" w:rsidRPr="00A0799B">
        <w:rPr>
          <w:rFonts w:asciiTheme="minorHAnsi" w:hAnsiTheme="minorHAnsi" w:cstheme="minorHAnsi"/>
        </w:rPr>
        <w:t xml:space="preserve">here were substantial differences in the distribution of important baseline prognostic characteristics between the </w:t>
      </w:r>
      <w:proofErr w:type="spellStart"/>
      <w:r w:rsidR="008F18CE" w:rsidRPr="00A0799B">
        <w:rPr>
          <w:rFonts w:asciiTheme="minorHAnsi" w:hAnsiTheme="minorHAnsi" w:cstheme="minorHAnsi"/>
        </w:rPr>
        <w:t>Pol</w:t>
      </w:r>
      <w:r w:rsidR="001A7BB5" w:rsidRPr="00A0799B">
        <w:rPr>
          <w:rFonts w:asciiTheme="minorHAnsi" w:hAnsiTheme="minorHAnsi" w:cstheme="minorHAnsi"/>
        </w:rPr>
        <w:t>a+BR</w:t>
      </w:r>
      <w:proofErr w:type="spellEnd"/>
      <w:r w:rsidR="001A7BB5" w:rsidRPr="00A0799B">
        <w:rPr>
          <w:rFonts w:asciiTheme="minorHAnsi" w:hAnsiTheme="minorHAnsi" w:cstheme="minorHAnsi"/>
        </w:rPr>
        <w:t xml:space="preserve"> and the BR treatment arms:</w:t>
      </w:r>
    </w:p>
    <w:p w:rsidR="008F18CE" w:rsidRPr="00A0799B" w:rsidRDefault="008F18CE" w:rsidP="00095881">
      <w:pPr>
        <w:pStyle w:val="ListParagraph"/>
        <w:widowControl/>
        <w:numPr>
          <w:ilvl w:val="0"/>
          <w:numId w:val="4"/>
        </w:numPr>
        <w:ind w:left="1232" w:hanging="476"/>
      </w:pPr>
      <w:r w:rsidRPr="00A0799B">
        <w:rPr>
          <w:rFonts w:asciiTheme="minorHAnsi" w:hAnsiTheme="minorHAnsi" w:cstheme="minorHAnsi"/>
        </w:rPr>
        <w:t xml:space="preserve">A higher proportion of patients in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treatment arm had a better prognostic profile </w:t>
      </w:r>
      <w:r w:rsidR="00956EAB" w:rsidRPr="00A0799B">
        <w:rPr>
          <w:rFonts w:asciiTheme="minorHAnsi" w:hAnsiTheme="minorHAnsi" w:cstheme="minorHAnsi"/>
        </w:rPr>
        <w:t xml:space="preserve">than the BR treatment arm, </w:t>
      </w:r>
      <w:r w:rsidRPr="00A0799B">
        <w:rPr>
          <w:rFonts w:asciiTheme="minorHAnsi" w:hAnsiTheme="minorHAnsi" w:cstheme="minorHAnsi"/>
        </w:rPr>
        <w:t xml:space="preserve">based on </w:t>
      </w:r>
      <w:r w:rsidR="00956EAB" w:rsidRPr="00A0799B">
        <w:rPr>
          <w:rFonts w:asciiTheme="minorHAnsi" w:hAnsiTheme="minorHAnsi" w:cstheme="minorHAnsi"/>
        </w:rPr>
        <w:t xml:space="preserve">the </w:t>
      </w:r>
      <w:r w:rsidRPr="00A0799B">
        <w:rPr>
          <w:rFonts w:asciiTheme="minorHAnsi" w:hAnsiTheme="minorHAnsi" w:cstheme="minorHAnsi"/>
        </w:rPr>
        <w:t>International Prognostic Index (IPI)</w:t>
      </w:r>
      <w:r w:rsidR="00CC2016" w:rsidRPr="00A0799B">
        <w:rPr>
          <w:rFonts w:asciiTheme="minorHAnsi" w:hAnsiTheme="minorHAnsi" w:cstheme="minorHAnsi"/>
        </w:rPr>
        <w:t>, where a higher number indicates worse prognosis</w:t>
      </w:r>
      <w:r w:rsidRPr="00A0799B">
        <w:rPr>
          <w:rFonts w:asciiTheme="minorHAnsi" w:hAnsiTheme="minorHAnsi" w:cstheme="minorHAnsi"/>
        </w:rPr>
        <w:t>.</w:t>
      </w:r>
      <w:r w:rsidR="00F03775" w:rsidRPr="00A0799B">
        <w:rPr>
          <w:rFonts w:asciiTheme="minorHAnsi" w:hAnsiTheme="minorHAnsi" w:cstheme="minorHAnsi"/>
        </w:rPr>
        <w:t xml:space="preserve"> The proportion of patients with an IPI of 0-1 at baseline in the </w:t>
      </w:r>
      <w:proofErr w:type="spellStart"/>
      <w:r w:rsidR="00F03775" w:rsidRPr="00A0799B">
        <w:rPr>
          <w:rFonts w:asciiTheme="minorHAnsi" w:hAnsiTheme="minorHAnsi" w:cstheme="minorHAnsi"/>
        </w:rPr>
        <w:t>Pola+BR</w:t>
      </w:r>
      <w:proofErr w:type="spellEnd"/>
      <w:r w:rsidR="00F03775" w:rsidRPr="00A0799B">
        <w:rPr>
          <w:rFonts w:asciiTheme="minorHAnsi" w:hAnsiTheme="minorHAnsi" w:cstheme="minorHAnsi"/>
        </w:rPr>
        <w:t xml:space="preserve"> treatment arm was approximately 3-fold that in the BR alone treatment arm. Correspondingly, the proportion of patients in the BR alone treatment arm, with an IPI score of 4-5, was approximately twice that in the </w:t>
      </w:r>
      <w:proofErr w:type="spellStart"/>
      <w:r w:rsidR="00F03775" w:rsidRPr="00A0799B">
        <w:rPr>
          <w:rFonts w:asciiTheme="minorHAnsi" w:hAnsiTheme="minorHAnsi" w:cstheme="minorHAnsi"/>
        </w:rPr>
        <w:t>Pola+BR</w:t>
      </w:r>
      <w:proofErr w:type="spellEnd"/>
      <w:r w:rsidR="00F03775" w:rsidRPr="00A0799B">
        <w:rPr>
          <w:rFonts w:asciiTheme="minorHAnsi" w:hAnsiTheme="minorHAnsi" w:cstheme="minorHAnsi"/>
        </w:rPr>
        <w:t xml:space="preserve"> treatment arm. The IPI score has been shown to be a major prognostic factor for overall survival in R/R DLBCL.</w:t>
      </w:r>
      <w:r w:rsidR="004D5C81" w:rsidRPr="00A0799B">
        <w:rPr>
          <w:rStyle w:val="FootnoteReference"/>
          <w:rFonts w:asciiTheme="minorHAnsi" w:hAnsiTheme="minorHAnsi" w:cstheme="minorHAnsi"/>
        </w:rPr>
        <w:footnoteReference w:id="6"/>
      </w:r>
      <w:r w:rsidR="004D5C81" w:rsidRPr="00A0799B">
        <w:rPr>
          <w:rFonts w:asciiTheme="minorHAnsi" w:hAnsiTheme="minorHAnsi" w:cstheme="minorHAnsi"/>
        </w:rPr>
        <w:t xml:space="preserve"> </w:t>
      </w:r>
      <w:r w:rsidR="004D5C81" w:rsidRPr="00A0799B">
        <w:rPr>
          <w:rStyle w:val="FootnoteReference"/>
          <w:rFonts w:asciiTheme="minorHAnsi" w:hAnsiTheme="minorHAnsi" w:cstheme="minorHAnsi"/>
        </w:rPr>
        <w:footnoteReference w:id="7"/>
      </w:r>
      <w:r w:rsidR="004D5C81" w:rsidRPr="00A0799B">
        <w:rPr>
          <w:rFonts w:asciiTheme="minorHAnsi" w:hAnsiTheme="minorHAnsi" w:cstheme="minorHAnsi"/>
        </w:rPr>
        <w:t xml:space="preserve"> </w:t>
      </w:r>
      <w:r w:rsidR="004D5C81" w:rsidRPr="00A0799B">
        <w:rPr>
          <w:rStyle w:val="FootnoteReference"/>
          <w:rFonts w:asciiTheme="minorHAnsi" w:hAnsiTheme="minorHAnsi" w:cstheme="minorHAnsi"/>
        </w:rPr>
        <w:footnoteReference w:id="8"/>
      </w:r>
      <w:r w:rsidR="004D5C81" w:rsidRPr="00A0799B">
        <w:rPr>
          <w:rFonts w:asciiTheme="minorHAnsi" w:hAnsiTheme="minorHAnsi" w:cstheme="minorHAnsi"/>
        </w:rPr>
        <w:t xml:space="preserve"> </w:t>
      </w:r>
      <w:r w:rsidR="004D5C81" w:rsidRPr="00A0799B">
        <w:rPr>
          <w:rStyle w:val="FootnoteReference"/>
          <w:rFonts w:asciiTheme="minorHAnsi" w:hAnsiTheme="minorHAnsi" w:cstheme="minorHAnsi"/>
        </w:rPr>
        <w:footnoteReference w:id="9"/>
      </w:r>
      <w:r w:rsidR="004D5C81" w:rsidRPr="00A0799B">
        <w:rPr>
          <w:rFonts w:asciiTheme="minorHAnsi" w:hAnsiTheme="minorHAnsi" w:cstheme="minorHAnsi"/>
        </w:rPr>
        <w:t xml:space="preserve"> </w:t>
      </w:r>
      <w:r w:rsidR="004D5C81" w:rsidRPr="00A0799B">
        <w:rPr>
          <w:rStyle w:val="FootnoteReference"/>
          <w:rFonts w:asciiTheme="minorHAnsi" w:hAnsiTheme="minorHAnsi" w:cstheme="minorHAnsi"/>
        </w:rPr>
        <w:footnoteReference w:id="10"/>
      </w:r>
    </w:p>
    <w:p w:rsidR="00F03775" w:rsidRPr="00A0799B" w:rsidRDefault="00F03775" w:rsidP="00095881">
      <w:pPr>
        <w:pStyle w:val="ListParagraph"/>
        <w:widowControl/>
        <w:numPr>
          <w:ilvl w:val="0"/>
          <w:numId w:val="4"/>
        </w:numPr>
        <w:ind w:left="1232" w:hanging="476"/>
      </w:pPr>
      <w:r w:rsidRPr="00A0799B">
        <w:rPr>
          <w:rFonts w:asciiTheme="minorHAnsi" w:hAnsiTheme="minorHAnsi" w:cstheme="minorHAnsi"/>
        </w:rPr>
        <w:t>The proportion of patients with bulky disease ≥7.5 cm at baseline (a factor associated with poor outcomes in DLBCL patients)</w:t>
      </w:r>
      <w:r w:rsidR="004D5C81" w:rsidRPr="00A0799B">
        <w:rPr>
          <w:rStyle w:val="FootnoteReference"/>
          <w:rFonts w:asciiTheme="minorHAnsi" w:hAnsiTheme="minorHAnsi" w:cstheme="minorHAnsi"/>
        </w:rPr>
        <w:footnoteReference w:id="11"/>
      </w:r>
      <w:r w:rsidRPr="00A0799B">
        <w:rPr>
          <w:rFonts w:asciiTheme="minorHAnsi" w:hAnsiTheme="minorHAnsi" w:cstheme="minorHAnsi"/>
        </w:rPr>
        <w:t xml:space="preserve"> </w:t>
      </w:r>
      <w:r w:rsidR="00956EAB" w:rsidRPr="00A0799B">
        <w:rPr>
          <w:rFonts w:asciiTheme="minorHAnsi" w:hAnsiTheme="minorHAnsi" w:cstheme="minorHAnsi"/>
        </w:rPr>
        <w:t xml:space="preserve">was higher </w:t>
      </w:r>
      <w:r w:rsidRPr="00A0799B">
        <w:rPr>
          <w:rFonts w:asciiTheme="minorHAnsi" w:hAnsiTheme="minorHAnsi" w:cstheme="minorHAnsi"/>
        </w:rPr>
        <w:t xml:space="preserve">in the </w:t>
      </w:r>
      <w:r w:rsidR="00956EAB" w:rsidRPr="00A0799B">
        <w:rPr>
          <w:rFonts w:asciiTheme="minorHAnsi" w:hAnsiTheme="minorHAnsi" w:cstheme="minorHAnsi"/>
        </w:rPr>
        <w:t xml:space="preserve">BR alone treatment arm compared to that in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treatment arm </w:t>
      </w:r>
      <w:r w:rsidR="001A7BB5" w:rsidRPr="00A0799B">
        <w:rPr>
          <w:rFonts w:asciiTheme="minorHAnsi" w:hAnsiTheme="minorHAnsi" w:cstheme="minorHAnsi"/>
        </w:rPr>
        <w:t>(37.5% vs. 25%).</w:t>
      </w:r>
    </w:p>
    <w:p w:rsidR="00F03775" w:rsidRPr="00A0799B" w:rsidRDefault="001A7BB5" w:rsidP="00095881">
      <w:pPr>
        <w:pStyle w:val="ListParagraph"/>
        <w:widowControl/>
        <w:numPr>
          <w:ilvl w:val="0"/>
          <w:numId w:val="4"/>
        </w:numPr>
        <w:ind w:left="1232" w:hanging="476"/>
      </w:pPr>
      <w:r w:rsidRPr="00A0799B">
        <w:rPr>
          <w:rFonts w:asciiTheme="minorHAnsi" w:hAnsiTheme="minorHAnsi" w:cstheme="minorHAnsi"/>
        </w:rPr>
        <w:t xml:space="preserve">Patients were older in the BR alone vs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treatment arms (median 71 y</w:t>
      </w:r>
      <w:r w:rsidR="00F3604C">
        <w:rPr>
          <w:rFonts w:asciiTheme="minorHAnsi" w:hAnsiTheme="minorHAnsi" w:cstheme="minorHAnsi"/>
        </w:rPr>
        <w:t>ea</w:t>
      </w:r>
      <w:r w:rsidRPr="00A0799B">
        <w:rPr>
          <w:rFonts w:asciiTheme="minorHAnsi" w:hAnsiTheme="minorHAnsi" w:cstheme="minorHAnsi"/>
        </w:rPr>
        <w:t>rs vs. 67 y</w:t>
      </w:r>
      <w:r w:rsidR="00F3604C">
        <w:rPr>
          <w:rFonts w:asciiTheme="minorHAnsi" w:hAnsiTheme="minorHAnsi" w:cstheme="minorHAnsi"/>
        </w:rPr>
        <w:t>ea</w:t>
      </w:r>
      <w:r w:rsidRPr="00A0799B">
        <w:rPr>
          <w:rFonts w:asciiTheme="minorHAnsi" w:hAnsiTheme="minorHAnsi" w:cstheme="minorHAnsi"/>
        </w:rPr>
        <w:t xml:space="preserve">rs). There was also a higher proportion of patients in the BR alone arm who were ≥ 65 years of age (65%) than in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arm (57.5%). In addition, </w:t>
      </w:r>
      <w:r w:rsidRPr="00A0799B">
        <w:rPr>
          <w:rFonts w:asciiTheme="minorHAnsi" w:hAnsiTheme="minorHAnsi" w:cstheme="minorHAnsi"/>
        </w:rPr>
        <w:lastRenderedPageBreak/>
        <w:t xml:space="preserve">the proportion of patients who were ineligible for SCT, due to age, comorbidity and performance status, was higher in the BR alone vs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treatment arm (55% vs. 35.5%). These differences may have favoured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over BR alone, in terms of health outcomes</w:t>
      </w:r>
      <w:r w:rsidR="00F03775" w:rsidRPr="00A0799B">
        <w:rPr>
          <w:rFonts w:asciiTheme="minorHAnsi" w:hAnsiTheme="minorHAnsi" w:cstheme="minorHAnsi"/>
        </w:rPr>
        <w:t>.</w:t>
      </w:r>
    </w:p>
    <w:p w:rsidR="00942503" w:rsidRPr="00D9725F" w:rsidRDefault="005462C8" w:rsidP="00095881">
      <w:pPr>
        <w:pStyle w:val="ListParagraph"/>
        <w:widowControl/>
        <w:numPr>
          <w:ilvl w:val="1"/>
          <w:numId w:val="2"/>
        </w:numPr>
      </w:pPr>
      <w:r w:rsidRPr="00A0799B">
        <w:rPr>
          <w:rFonts w:asciiTheme="minorHAnsi" w:hAnsiTheme="minorHAnsi" w:cstheme="minorHAnsi"/>
        </w:rPr>
        <w:t>Overall, the GO29365 results were unreliable given the small number of patients and the dissimilarities in prognostic factors</w:t>
      </w:r>
      <w:r w:rsidR="00F96927" w:rsidRPr="00A0799B">
        <w:rPr>
          <w:rFonts w:asciiTheme="minorHAnsi" w:hAnsiTheme="minorHAnsi" w:cstheme="minorHAnsi"/>
        </w:rPr>
        <w:t xml:space="preserve"> between treatment arms</w:t>
      </w:r>
      <w:r w:rsidRPr="00A0799B">
        <w:rPr>
          <w:rFonts w:asciiTheme="minorHAnsi" w:hAnsiTheme="minorHAnsi" w:cstheme="minorHAnsi"/>
        </w:rPr>
        <w:t>. This makes it difficult</w:t>
      </w:r>
      <w:r>
        <w:rPr>
          <w:rFonts w:asciiTheme="minorHAnsi" w:hAnsiTheme="minorHAnsi" w:cstheme="minorHAnsi"/>
          <w:i/>
        </w:rPr>
        <w:t xml:space="preserve"> </w:t>
      </w:r>
      <w:r w:rsidRPr="00A0799B">
        <w:rPr>
          <w:rFonts w:asciiTheme="minorHAnsi" w:hAnsiTheme="minorHAnsi" w:cstheme="minorHAnsi"/>
        </w:rPr>
        <w:t xml:space="preserve">to isolate the prognostic effect from the true treatment effect associated with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and thus the results should be interpreted with a high level of caution.</w:t>
      </w:r>
      <w:r w:rsidR="00CD3056">
        <w:rPr>
          <w:rFonts w:asciiTheme="minorHAnsi" w:hAnsiTheme="minorHAnsi" w:cstheme="minorHAnsi"/>
        </w:rPr>
        <w:t xml:space="preserve"> </w:t>
      </w:r>
    </w:p>
    <w:p w:rsidR="009F71A6" w:rsidRPr="00502F52" w:rsidRDefault="00942503" w:rsidP="00095881">
      <w:pPr>
        <w:pStyle w:val="ListParagraph"/>
        <w:widowControl/>
        <w:numPr>
          <w:ilvl w:val="1"/>
          <w:numId w:val="2"/>
        </w:numPr>
      </w:pPr>
      <w:r w:rsidRPr="00502F52">
        <w:rPr>
          <w:rFonts w:asciiTheme="minorHAnsi" w:hAnsiTheme="minorHAnsi" w:cstheme="minorHAnsi"/>
        </w:rPr>
        <w:t xml:space="preserve">The PSCR argued that R/R DLBCL is a rare disease and it is therefore difficult to perform large phase III studies in this group. In addition, the PSCR argued that </w:t>
      </w:r>
      <w:r w:rsidR="00A56353" w:rsidRPr="00502F52">
        <w:rPr>
          <w:rFonts w:asciiTheme="minorHAnsi" w:hAnsiTheme="minorHAnsi" w:cstheme="minorHAnsi"/>
        </w:rPr>
        <w:t xml:space="preserve">the </w:t>
      </w:r>
      <w:r w:rsidRPr="00502F52">
        <w:rPr>
          <w:rFonts w:asciiTheme="minorHAnsi" w:hAnsiTheme="minorHAnsi" w:cstheme="minorHAnsi"/>
        </w:rPr>
        <w:t xml:space="preserve">GO29365 </w:t>
      </w:r>
      <w:r w:rsidR="00A56353" w:rsidRPr="00502F52">
        <w:rPr>
          <w:rFonts w:asciiTheme="minorHAnsi" w:hAnsiTheme="minorHAnsi" w:cstheme="minorHAnsi"/>
        </w:rPr>
        <w:t xml:space="preserve">trial </w:t>
      </w:r>
      <w:r w:rsidRPr="00502F52">
        <w:rPr>
          <w:rFonts w:asciiTheme="minorHAnsi" w:hAnsiTheme="minorHAnsi" w:cstheme="minorHAnsi"/>
        </w:rPr>
        <w:t xml:space="preserve">was a well-controlled Phase II study where the design and execution of the trial was acceptable and complied with European Medicines Agency (EMA) anti-cancer agent guidelines. </w:t>
      </w:r>
      <w:r w:rsidR="00B2550B" w:rsidRPr="00502F52">
        <w:rPr>
          <w:rFonts w:asciiTheme="minorHAnsi" w:hAnsiTheme="minorHAnsi" w:cstheme="minorHAnsi"/>
        </w:rPr>
        <w:t xml:space="preserve">The ESC noted </w:t>
      </w:r>
      <w:r w:rsidR="00B2550B" w:rsidRPr="00502F52">
        <w:t xml:space="preserve">that DLBCL is the most common subtype of non-Hodgkin’s lymphoma with around 35% of patients progressing to R/R DLBCL after first-line treatment. </w:t>
      </w:r>
      <w:r w:rsidRPr="00502F52">
        <w:rPr>
          <w:rFonts w:asciiTheme="minorHAnsi" w:hAnsiTheme="minorHAnsi" w:cstheme="minorHAnsi"/>
        </w:rPr>
        <w:t xml:space="preserve">The ESC </w:t>
      </w:r>
      <w:r w:rsidR="006165AD" w:rsidRPr="00502F52">
        <w:rPr>
          <w:rFonts w:asciiTheme="minorHAnsi" w:hAnsiTheme="minorHAnsi" w:cstheme="minorHAnsi"/>
        </w:rPr>
        <w:t>noted</w:t>
      </w:r>
      <w:r w:rsidRPr="00502F52">
        <w:rPr>
          <w:rFonts w:asciiTheme="minorHAnsi" w:hAnsiTheme="minorHAnsi" w:cstheme="minorHAnsi"/>
        </w:rPr>
        <w:t xml:space="preserve"> the </w:t>
      </w:r>
      <w:r w:rsidR="006165AD" w:rsidRPr="00502F52">
        <w:rPr>
          <w:rFonts w:asciiTheme="minorHAnsi" w:hAnsiTheme="minorHAnsi" w:cstheme="minorHAnsi"/>
        </w:rPr>
        <w:t xml:space="preserve">small </w:t>
      </w:r>
      <w:r w:rsidR="00A56353" w:rsidRPr="00502F52">
        <w:rPr>
          <w:rFonts w:asciiTheme="minorHAnsi" w:hAnsiTheme="minorHAnsi" w:cstheme="minorHAnsi"/>
        </w:rPr>
        <w:t xml:space="preserve">sample size for the </w:t>
      </w:r>
      <w:r w:rsidRPr="00502F52">
        <w:rPr>
          <w:rFonts w:asciiTheme="minorHAnsi" w:hAnsiTheme="minorHAnsi" w:cstheme="minorHAnsi"/>
        </w:rPr>
        <w:t xml:space="preserve">GO29365 </w:t>
      </w:r>
      <w:r w:rsidR="00A56353" w:rsidRPr="00502F52">
        <w:rPr>
          <w:rFonts w:asciiTheme="minorHAnsi" w:hAnsiTheme="minorHAnsi" w:cstheme="minorHAnsi"/>
        </w:rPr>
        <w:t xml:space="preserve">trial </w:t>
      </w:r>
      <w:r w:rsidR="006165AD" w:rsidRPr="00502F52">
        <w:rPr>
          <w:rFonts w:asciiTheme="minorHAnsi" w:hAnsiTheme="minorHAnsi" w:cstheme="minorHAnsi"/>
        </w:rPr>
        <w:t xml:space="preserve">and that only 11 patients received </w:t>
      </w:r>
      <w:proofErr w:type="spellStart"/>
      <w:r w:rsidR="0099059C" w:rsidRPr="00502F52">
        <w:rPr>
          <w:rFonts w:asciiTheme="minorHAnsi" w:hAnsiTheme="minorHAnsi" w:cstheme="minorHAnsi"/>
        </w:rPr>
        <w:t>Pola+BR</w:t>
      </w:r>
      <w:proofErr w:type="spellEnd"/>
      <w:r w:rsidR="0099059C" w:rsidRPr="00502F52">
        <w:rPr>
          <w:rFonts w:asciiTheme="minorHAnsi" w:hAnsiTheme="minorHAnsi" w:cstheme="minorHAnsi"/>
        </w:rPr>
        <w:t xml:space="preserve"> </w:t>
      </w:r>
      <w:r w:rsidR="006165AD" w:rsidRPr="00502F52">
        <w:rPr>
          <w:rFonts w:asciiTheme="minorHAnsi" w:hAnsiTheme="minorHAnsi" w:cstheme="minorHAnsi"/>
        </w:rPr>
        <w:t xml:space="preserve">as second-line therapy as allowed in the proposed restriction. </w:t>
      </w:r>
      <w:r w:rsidR="00E86F8B" w:rsidRPr="00502F52">
        <w:rPr>
          <w:rFonts w:asciiTheme="minorHAnsi" w:hAnsiTheme="minorHAnsi" w:cstheme="minorHAnsi"/>
        </w:rPr>
        <w:t xml:space="preserve">In addition, the ESC </w:t>
      </w:r>
      <w:r w:rsidRPr="00502F52">
        <w:rPr>
          <w:rFonts w:asciiTheme="minorHAnsi" w:hAnsiTheme="minorHAnsi" w:cstheme="minorHAnsi"/>
        </w:rPr>
        <w:t xml:space="preserve">agreed with the evaluation that the risk of bias for the GO29365 trial was high as, although the randomisation process was standard, imbalances between treatment arms for baseline data indicated randomisation was not successful. </w:t>
      </w:r>
      <w:r w:rsidR="00675F77" w:rsidRPr="00502F52">
        <w:rPr>
          <w:rFonts w:asciiTheme="minorHAnsi" w:hAnsiTheme="minorHAnsi" w:cstheme="minorHAnsi"/>
        </w:rPr>
        <w:t xml:space="preserve">The ESC considered that the high risk of bias identified favoured </w:t>
      </w:r>
      <w:proofErr w:type="spellStart"/>
      <w:r w:rsidR="00675F77" w:rsidRPr="00502F52">
        <w:rPr>
          <w:rFonts w:asciiTheme="minorHAnsi" w:hAnsiTheme="minorHAnsi" w:cstheme="minorHAnsi"/>
        </w:rPr>
        <w:t>Pola+BR</w:t>
      </w:r>
      <w:proofErr w:type="spellEnd"/>
      <w:r w:rsidR="00675F77" w:rsidRPr="00502F52">
        <w:rPr>
          <w:rFonts w:asciiTheme="minorHAnsi" w:hAnsiTheme="minorHAnsi" w:cstheme="minorHAnsi"/>
        </w:rPr>
        <w:t xml:space="preserve">. </w:t>
      </w:r>
      <w:r w:rsidR="00DD102B">
        <w:rPr>
          <w:rFonts w:asciiTheme="minorHAnsi" w:hAnsiTheme="minorHAnsi" w:cstheme="minorHAnsi"/>
        </w:rPr>
        <w:t xml:space="preserve">The pre-PBAC response argued that randomisation was successful as the differences between baseline prognostic factors, in particular IPI scores and bulky disease, were not statistically significantly different. </w:t>
      </w:r>
      <w:r w:rsidR="006013D2">
        <w:rPr>
          <w:rFonts w:asciiTheme="minorHAnsi" w:hAnsiTheme="minorHAnsi" w:cstheme="minorHAnsi"/>
        </w:rPr>
        <w:t xml:space="preserve">The PBAC noted the differences at baseline in IPI scores across the </w:t>
      </w:r>
      <w:proofErr w:type="spellStart"/>
      <w:r w:rsidR="006013D2">
        <w:rPr>
          <w:rFonts w:asciiTheme="minorHAnsi" w:hAnsiTheme="minorHAnsi" w:cstheme="minorHAnsi"/>
        </w:rPr>
        <w:t>Pola+BR</w:t>
      </w:r>
      <w:proofErr w:type="spellEnd"/>
      <w:r w:rsidR="006013D2">
        <w:rPr>
          <w:rFonts w:asciiTheme="minorHAnsi" w:hAnsiTheme="minorHAnsi" w:cstheme="minorHAnsi"/>
        </w:rPr>
        <w:t xml:space="preserve"> and BR alone arms (IPI score 0-1: </w:t>
      </w:r>
      <w:proofErr w:type="spellStart"/>
      <w:r w:rsidR="006013D2">
        <w:rPr>
          <w:rFonts w:asciiTheme="minorHAnsi" w:hAnsiTheme="minorHAnsi" w:cstheme="minorHAnsi"/>
        </w:rPr>
        <w:t>Pola+BR</w:t>
      </w:r>
      <w:proofErr w:type="spellEnd"/>
      <w:r w:rsidR="006013D2">
        <w:rPr>
          <w:rFonts w:asciiTheme="minorHAnsi" w:hAnsiTheme="minorHAnsi" w:cstheme="minorHAnsi"/>
        </w:rPr>
        <w:t xml:space="preserve"> 22.5%, BR </w:t>
      </w:r>
      <w:r w:rsidR="00AC6AF3">
        <w:rPr>
          <w:rFonts w:asciiTheme="minorHAnsi" w:hAnsiTheme="minorHAnsi" w:cstheme="minorHAnsi"/>
        </w:rPr>
        <w:t>7.5%; IPI score 2: 22.5%, 20.0%, IPI score 3: 32.5%, 30</w:t>
      </w:r>
      <w:r w:rsidR="00015C68">
        <w:rPr>
          <w:rFonts w:asciiTheme="minorHAnsi" w:hAnsiTheme="minorHAnsi" w:cstheme="minorHAnsi"/>
        </w:rPr>
        <w:t>.0</w:t>
      </w:r>
      <w:r w:rsidR="00AC6AF3">
        <w:rPr>
          <w:rFonts w:asciiTheme="minorHAnsi" w:hAnsiTheme="minorHAnsi" w:cstheme="minorHAnsi"/>
        </w:rPr>
        <w:t>%</w:t>
      </w:r>
      <w:r w:rsidR="006013D2">
        <w:rPr>
          <w:rFonts w:asciiTheme="minorHAnsi" w:hAnsiTheme="minorHAnsi" w:cstheme="minorHAnsi"/>
        </w:rPr>
        <w:t xml:space="preserve"> IPI score 4-5</w:t>
      </w:r>
      <w:r w:rsidR="00AC6AF3">
        <w:rPr>
          <w:rFonts w:asciiTheme="minorHAnsi" w:hAnsiTheme="minorHAnsi" w:cstheme="minorHAnsi"/>
        </w:rPr>
        <w:t xml:space="preserve">: 22.5%, </w:t>
      </w:r>
      <w:r w:rsidR="006013D2">
        <w:rPr>
          <w:rFonts w:asciiTheme="minorHAnsi" w:hAnsiTheme="minorHAnsi" w:cstheme="minorHAnsi"/>
        </w:rPr>
        <w:t>42.5%).</w:t>
      </w:r>
    </w:p>
    <w:p w:rsidR="00B60939" w:rsidRPr="00882085" w:rsidRDefault="004D5C81" w:rsidP="00095881">
      <w:pPr>
        <w:pStyle w:val="ListParagraph"/>
        <w:widowControl/>
        <w:numPr>
          <w:ilvl w:val="1"/>
          <w:numId w:val="2"/>
        </w:numPr>
      </w:pPr>
      <w:r w:rsidRPr="00A0799B">
        <w:rPr>
          <w:rFonts w:asciiTheme="minorHAnsi" w:hAnsiTheme="minorHAnsi" w:cstheme="minorHAnsi"/>
        </w:rPr>
        <w:t xml:space="preserve">Arm </w:t>
      </w:r>
      <w:r w:rsidR="005462C8" w:rsidRPr="00A0799B">
        <w:rPr>
          <w:rFonts w:asciiTheme="minorHAnsi" w:hAnsiTheme="minorHAnsi" w:cstheme="minorHAnsi"/>
        </w:rPr>
        <w:t xml:space="preserve">G </w:t>
      </w:r>
      <w:r w:rsidRPr="00A0799B">
        <w:rPr>
          <w:rFonts w:asciiTheme="minorHAnsi" w:hAnsiTheme="minorHAnsi" w:cstheme="minorHAnsi"/>
        </w:rPr>
        <w:t xml:space="preserve">of GO29365 </w:t>
      </w:r>
      <w:r w:rsidR="005462C8" w:rsidRPr="00A0799B">
        <w:rPr>
          <w:rFonts w:asciiTheme="minorHAnsi" w:hAnsiTheme="minorHAnsi" w:cstheme="minorHAnsi"/>
        </w:rPr>
        <w:t xml:space="preserve">(N=25: Lyophilised formulation of </w:t>
      </w:r>
      <w:proofErr w:type="spellStart"/>
      <w:r w:rsidR="005462C8" w:rsidRPr="00A0799B">
        <w:rPr>
          <w:rFonts w:asciiTheme="minorHAnsi" w:hAnsiTheme="minorHAnsi" w:cstheme="minorHAnsi"/>
        </w:rPr>
        <w:t>polatuzumab</w:t>
      </w:r>
      <w:proofErr w:type="spellEnd"/>
      <w:r w:rsidR="005462C8" w:rsidRPr="00A0799B">
        <w:rPr>
          <w:rFonts w:asciiTheme="minorHAnsi" w:hAnsiTheme="minorHAnsi" w:cstheme="minorHAnsi"/>
        </w:rPr>
        <w:t xml:space="preserve"> </w:t>
      </w:r>
      <w:proofErr w:type="spellStart"/>
      <w:r w:rsidR="005462C8" w:rsidRPr="00A0799B">
        <w:rPr>
          <w:rFonts w:asciiTheme="minorHAnsi" w:hAnsiTheme="minorHAnsi" w:cstheme="minorHAnsi"/>
        </w:rPr>
        <w:t>vedotin</w:t>
      </w:r>
      <w:proofErr w:type="spellEnd"/>
      <w:r w:rsidR="005462C8" w:rsidRPr="00A0799B">
        <w:rPr>
          <w:rFonts w:asciiTheme="minorHAnsi" w:hAnsiTheme="minorHAnsi" w:cstheme="minorHAnsi"/>
        </w:rPr>
        <w:t xml:space="preserve"> (+BR)): The key outcomes in </w:t>
      </w:r>
      <w:r w:rsidRPr="00A0799B">
        <w:rPr>
          <w:rFonts w:asciiTheme="minorHAnsi" w:hAnsiTheme="minorHAnsi" w:cstheme="minorHAnsi"/>
        </w:rPr>
        <w:t xml:space="preserve">Arm </w:t>
      </w:r>
      <w:r w:rsidR="005462C8" w:rsidRPr="00A0799B">
        <w:rPr>
          <w:rFonts w:asciiTheme="minorHAnsi" w:hAnsiTheme="minorHAnsi" w:cstheme="minorHAnsi"/>
        </w:rPr>
        <w:t xml:space="preserve">G were pharmacokinetic and safety outcomes. Evaluation of the comparative efficacy and safety of the lyophilised formulation of </w:t>
      </w:r>
      <w:proofErr w:type="spellStart"/>
      <w:r w:rsidR="005462C8" w:rsidRPr="00A0799B">
        <w:rPr>
          <w:rFonts w:asciiTheme="minorHAnsi" w:hAnsiTheme="minorHAnsi" w:cstheme="minorHAnsi"/>
        </w:rPr>
        <w:t>polatuzumab</w:t>
      </w:r>
      <w:proofErr w:type="spellEnd"/>
      <w:r w:rsidR="005462C8" w:rsidRPr="00A0799B">
        <w:rPr>
          <w:rFonts w:asciiTheme="minorHAnsi" w:hAnsiTheme="minorHAnsi" w:cstheme="minorHAnsi"/>
        </w:rPr>
        <w:t xml:space="preserve"> </w:t>
      </w:r>
      <w:proofErr w:type="spellStart"/>
      <w:r w:rsidR="005462C8" w:rsidRPr="00A0799B">
        <w:rPr>
          <w:rFonts w:asciiTheme="minorHAnsi" w:hAnsiTheme="minorHAnsi" w:cstheme="minorHAnsi"/>
        </w:rPr>
        <w:t>vedotin</w:t>
      </w:r>
      <w:proofErr w:type="spellEnd"/>
      <w:r w:rsidR="005462C8" w:rsidRPr="00A0799B">
        <w:rPr>
          <w:rFonts w:asciiTheme="minorHAnsi" w:hAnsiTheme="minorHAnsi" w:cstheme="minorHAnsi"/>
        </w:rPr>
        <w:t xml:space="preserve"> (proposed for registration in Australia), was hampered by the </w:t>
      </w:r>
      <w:proofErr w:type="spellStart"/>
      <w:r w:rsidR="00CC2016" w:rsidRPr="00A0799B">
        <w:rPr>
          <w:rFonts w:asciiTheme="minorHAnsi" w:hAnsiTheme="minorHAnsi" w:cstheme="minorHAnsi"/>
        </w:rPr>
        <w:t>i</w:t>
      </w:r>
      <w:proofErr w:type="spellEnd"/>
      <w:r w:rsidR="005462C8" w:rsidRPr="00A0799B">
        <w:rPr>
          <w:rFonts w:asciiTheme="minorHAnsi" w:hAnsiTheme="minorHAnsi" w:cstheme="minorHAnsi"/>
        </w:rPr>
        <w:t xml:space="preserve">) lack of randomisation to improve comparability with Arms C and D, ii) limited data on patient baseline characteristics for this treatment arm, and iii) small number of patients and the lack of clinically relevant efficacy data such as </w:t>
      </w:r>
      <w:r w:rsidR="002C5100" w:rsidRPr="00A0799B">
        <w:rPr>
          <w:rFonts w:asciiTheme="minorHAnsi" w:hAnsiTheme="minorHAnsi" w:cstheme="minorHAnsi"/>
        </w:rPr>
        <w:t>progression-free survival (</w:t>
      </w:r>
      <w:r w:rsidR="005462C8" w:rsidRPr="00A0799B">
        <w:rPr>
          <w:rFonts w:asciiTheme="minorHAnsi" w:hAnsiTheme="minorHAnsi" w:cstheme="minorHAnsi"/>
        </w:rPr>
        <w:t>PFS</w:t>
      </w:r>
      <w:r w:rsidR="002C5100" w:rsidRPr="00A0799B">
        <w:rPr>
          <w:rFonts w:asciiTheme="minorHAnsi" w:hAnsiTheme="minorHAnsi" w:cstheme="minorHAnsi"/>
        </w:rPr>
        <w:t>)</w:t>
      </w:r>
      <w:r w:rsidR="005462C8" w:rsidRPr="00A0799B">
        <w:rPr>
          <w:rFonts w:asciiTheme="minorHAnsi" w:hAnsiTheme="minorHAnsi" w:cstheme="minorHAnsi"/>
        </w:rPr>
        <w:t>/</w:t>
      </w:r>
      <w:r w:rsidR="002C5100" w:rsidRPr="00A0799B">
        <w:rPr>
          <w:rFonts w:asciiTheme="minorHAnsi" w:hAnsiTheme="minorHAnsi" w:cstheme="minorHAnsi"/>
        </w:rPr>
        <w:t>overall survival (</w:t>
      </w:r>
      <w:r w:rsidR="005462C8" w:rsidRPr="00A0799B">
        <w:rPr>
          <w:rFonts w:asciiTheme="minorHAnsi" w:hAnsiTheme="minorHAnsi" w:cstheme="minorHAnsi"/>
        </w:rPr>
        <w:t>OS</w:t>
      </w:r>
      <w:r w:rsidR="002C5100" w:rsidRPr="00A0799B">
        <w:rPr>
          <w:rFonts w:asciiTheme="minorHAnsi" w:hAnsiTheme="minorHAnsi" w:cstheme="minorHAnsi"/>
        </w:rPr>
        <w:t>)</w:t>
      </w:r>
      <w:r w:rsidR="005462C8" w:rsidRPr="00A0799B">
        <w:rPr>
          <w:rFonts w:asciiTheme="minorHAnsi" w:hAnsiTheme="minorHAnsi" w:cstheme="minorHAnsi"/>
        </w:rPr>
        <w:t>. A TGA evaluation report was not available during the evaluation.</w:t>
      </w:r>
      <w:r w:rsidR="00CC3625">
        <w:rPr>
          <w:rFonts w:asciiTheme="minorHAnsi" w:hAnsiTheme="minorHAnsi" w:cstheme="minorHAnsi"/>
          <w:i/>
        </w:rPr>
        <w:t xml:space="preserve"> </w:t>
      </w:r>
      <w:r w:rsidR="00CC3625" w:rsidRPr="00502F52">
        <w:rPr>
          <w:rFonts w:asciiTheme="minorHAnsi" w:hAnsiTheme="minorHAnsi" w:cstheme="minorHAnsi"/>
        </w:rPr>
        <w:t xml:space="preserve">The TGA CER was provided post the evaluation with the PSCR stating that as the TGA clinical evaluator has recommended the application be approved, it is anticipated that the lyophilised formulation administered in Arm G (proposed for registration) will be considered bioequivalent to the liquid formulation (administered in Arm C of GO29365). </w:t>
      </w:r>
      <w:r w:rsidR="008A6D7B" w:rsidRPr="00502F52">
        <w:rPr>
          <w:rFonts w:asciiTheme="minorHAnsi" w:hAnsiTheme="minorHAnsi" w:cstheme="minorHAnsi"/>
        </w:rPr>
        <w:t xml:space="preserve">The </w:t>
      </w:r>
      <w:r w:rsidR="00015C68">
        <w:rPr>
          <w:rFonts w:asciiTheme="minorHAnsi" w:hAnsiTheme="minorHAnsi" w:cstheme="minorHAnsi"/>
        </w:rPr>
        <w:t>PBAC</w:t>
      </w:r>
      <w:r w:rsidR="008A6D7B" w:rsidRPr="00502F52">
        <w:rPr>
          <w:rFonts w:asciiTheme="minorHAnsi" w:hAnsiTheme="minorHAnsi" w:cstheme="minorHAnsi"/>
        </w:rPr>
        <w:t xml:space="preserve"> noted that the</w:t>
      </w:r>
      <w:r w:rsidR="003F5FEF" w:rsidRPr="00502F52">
        <w:rPr>
          <w:rFonts w:asciiTheme="minorHAnsi" w:hAnsiTheme="minorHAnsi" w:cstheme="minorHAnsi"/>
        </w:rPr>
        <w:t xml:space="preserve"> product submitted and subsequently recommended for approval in the TGA CER was the lyophilised formulation of </w:t>
      </w:r>
      <w:proofErr w:type="spellStart"/>
      <w:r w:rsidR="00741504" w:rsidRPr="00502F52">
        <w:rPr>
          <w:rFonts w:asciiTheme="minorHAnsi" w:hAnsiTheme="minorHAnsi" w:cstheme="minorHAnsi"/>
        </w:rPr>
        <w:t>polatuzumab</w:t>
      </w:r>
      <w:proofErr w:type="spellEnd"/>
      <w:r w:rsidR="003F5FEF" w:rsidRPr="00502F52">
        <w:rPr>
          <w:rFonts w:asciiTheme="minorHAnsi" w:hAnsiTheme="minorHAnsi" w:cstheme="minorHAnsi"/>
        </w:rPr>
        <w:t xml:space="preserve"> </w:t>
      </w:r>
      <w:proofErr w:type="spellStart"/>
      <w:r w:rsidR="003F5FEF" w:rsidRPr="00502F52">
        <w:rPr>
          <w:rFonts w:asciiTheme="minorHAnsi" w:hAnsiTheme="minorHAnsi" w:cstheme="minorHAnsi"/>
        </w:rPr>
        <w:t>vedotin</w:t>
      </w:r>
      <w:proofErr w:type="spellEnd"/>
      <w:r w:rsidR="003F5FEF" w:rsidRPr="00502F52">
        <w:rPr>
          <w:rFonts w:asciiTheme="minorHAnsi" w:hAnsiTheme="minorHAnsi" w:cstheme="minorHAnsi"/>
        </w:rPr>
        <w:t>.</w:t>
      </w:r>
      <w:r w:rsidR="003F5FEF">
        <w:rPr>
          <w:rFonts w:asciiTheme="minorHAnsi" w:hAnsiTheme="minorHAnsi" w:cstheme="minorHAnsi"/>
          <w:i/>
        </w:rPr>
        <w:t xml:space="preserve"> </w:t>
      </w:r>
    </w:p>
    <w:p w:rsidR="00B60939" w:rsidRPr="004F147B" w:rsidRDefault="00B60939" w:rsidP="004F147B">
      <w:pPr>
        <w:pStyle w:val="Heading2"/>
        <w:spacing w:before="240" w:after="120"/>
      </w:pPr>
      <w:bookmarkStart w:id="8" w:name="_Toc19627193"/>
      <w:r w:rsidRPr="004F147B">
        <w:lastRenderedPageBreak/>
        <w:t>Comparative effectiveness</w:t>
      </w:r>
      <w:bookmarkEnd w:id="8"/>
    </w:p>
    <w:p w:rsidR="00F6427E" w:rsidRPr="00502F52" w:rsidRDefault="009329E3" w:rsidP="00095881">
      <w:pPr>
        <w:pStyle w:val="ListParagraph"/>
        <w:widowControl/>
        <w:numPr>
          <w:ilvl w:val="1"/>
          <w:numId w:val="2"/>
        </w:numPr>
      </w:pPr>
      <w:r>
        <w:t>Median d</w:t>
      </w:r>
      <w:r w:rsidR="00F6427E">
        <w:t>urations of follow-up</w:t>
      </w:r>
      <w:r w:rsidRPr="009329E3">
        <w:t xml:space="preserve"> </w:t>
      </w:r>
      <w:r>
        <w:t xml:space="preserve">for the GO29365 </w:t>
      </w:r>
      <w:r w:rsidR="001A7BB5">
        <w:t>trial</w:t>
      </w:r>
      <w:r>
        <w:t>,</w:t>
      </w:r>
      <w:r w:rsidR="00F6427E">
        <w:t xml:space="preserve"> by data </w:t>
      </w:r>
      <w:proofErr w:type="spellStart"/>
      <w:r w:rsidR="00F6427E">
        <w:t>cutoff</w:t>
      </w:r>
      <w:proofErr w:type="spellEnd"/>
      <w:r>
        <w:t>,</w:t>
      </w:r>
      <w:r w:rsidR="00F6427E">
        <w:t xml:space="preserve"> ar</w:t>
      </w:r>
      <w:r>
        <w:t>e</w:t>
      </w:r>
      <w:r w:rsidR="00F6427E">
        <w:t xml:space="preserve"> summarised below.</w:t>
      </w:r>
      <w:r w:rsidR="0099059C">
        <w:t xml:space="preserve"> </w:t>
      </w:r>
      <w:r w:rsidR="0099059C" w:rsidRPr="00502F52">
        <w:t>The ESC considered the duration of follow-up to be appropriate as R/R DLBCL is a rapidly progressive disease.</w:t>
      </w:r>
    </w:p>
    <w:p w:rsidR="00F6427E" w:rsidRDefault="009329E3" w:rsidP="009329E3">
      <w:pPr>
        <w:pStyle w:val="Caption"/>
      </w:pPr>
      <w:r>
        <w:t xml:space="preserve">Table </w:t>
      </w:r>
      <w:r w:rsidR="00273E9C">
        <w:rPr>
          <w:noProof/>
        </w:rPr>
        <w:t>4</w:t>
      </w:r>
      <w:r>
        <w:t xml:space="preserve">: Durations of follow-up by data </w:t>
      </w:r>
      <w:proofErr w:type="spellStart"/>
      <w:r>
        <w:t>cutoff</w:t>
      </w:r>
      <w:proofErr w:type="spellEnd"/>
      <w:r>
        <w:t xml:space="preserve"> in GO29365.</w:t>
      </w:r>
    </w:p>
    <w:tbl>
      <w:tblPr>
        <w:tblW w:w="5000" w:type="pct"/>
        <w:tblLook w:val="01E0" w:firstRow="1" w:lastRow="1" w:firstColumn="1" w:lastColumn="1" w:noHBand="0" w:noVBand="0"/>
      </w:tblPr>
      <w:tblGrid>
        <w:gridCol w:w="2090"/>
        <w:gridCol w:w="2404"/>
        <w:gridCol w:w="4523"/>
      </w:tblGrid>
      <w:tr w:rsidR="009329E3" w:rsidRPr="00D26863" w:rsidTr="00EB1676">
        <w:tc>
          <w:tcPr>
            <w:tcW w:w="1159" w:type="pct"/>
            <w:tcBorders>
              <w:top w:val="single" w:sz="4" w:space="0" w:color="auto"/>
              <w:left w:val="single" w:sz="4" w:space="0" w:color="auto"/>
              <w:bottom w:val="single" w:sz="4" w:space="0" w:color="auto"/>
              <w:right w:val="single" w:sz="4" w:space="0" w:color="auto"/>
            </w:tcBorders>
          </w:tcPr>
          <w:p w:rsidR="009329E3" w:rsidRPr="00D26863" w:rsidRDefault="009329E3" w:rsidP="00EB1676">
            <w:pPr>
              <w:pStyle w:val="TableText1"/>
              <w:rPr>
                <w:rFonts w:ascii="Arial Narrow" w:hAnsi="Arial Narrow"/>
                <w:b/>
              </w:rPr>
            </w:pPr>
            <w:r w:rsidRPr="00D26863">
              <w:rPr>
                <w:rFonts w:ascii="Arial Narrow" w:hAnsi="Arial Narrow"/>
                <w:b/>
              </w:rPr>
              <w:t>GO29365 trial</w:t>
            </w:r>
          </w:p>
        </w:tc>
        <w:tc>
          <w:tcPr>
            <w:tcW w:w="1333" w:type="pct"/>
            <w:tcBorders>
              <w:top w:val="single" w:sz="4" w:space="0" w:color="auto"/>
              <w:left w:val="single" w:sz="4" w:space="0" w:color="auto"/>
              <w:bottom w:val="single" w:sz="4" w:space="0" w:color="auto"/>
              <w:right w:val="single" w:sz="4" w:space="0" w:color="auto"/>
            </w:tcBorders>
          </w:tcPr>
          <w:p w:rsidR="009329E3" w:rsidRPr="00D26863" w:rsidRDefault="009329E3" w:rsidP="00EB1676">
            <w:pPr>
              <w:pStyle w:val="TableText1"/>
              <w:rPr>
                <w:rFonts w:ascii="Arial Narrow" w:hAnsi="Arial Narrow"/>
                <w:b/>
              </w:rPr>
            </w:pPr>
            <w:r w:rsidRPr="00D26863">
              <w:rPr>
                <w:rFonts w:ascii="Arial Narrow" w:hAnsi="Arial Narrow"/>
                <w:b/>
              </w:rPr>
              <w:t>Cut off</w:t>
            </w:r>
          </w:p>
        </w:tc>
        <w:tc>
          <w:tcPr>
            <w:tcW w:w="2508" w:type="pct"/>
            <w:tcBorders>
              <w:top w:val="single" w:sz="4" w:space="0" w:color="auto"/>
              <w:left w:val="single" w:sz="4" w:space="0" w:color="auto"/>
              <w:bottom w:val="single" w:sz="4" w:space="0" w:color="auto"/>
              <w:right w:val="single" w:sz="4" w:space="0" w:color="auto"/>
            </w:tcBorders>
            <w:vAlign w:val="bottom"/>
          </w:tcPr>
          <w:p w:rsidR="009329E3" w:rsidRPr="00D26863" w:rsidRDefault="009329E3" w:rsidP="009329E3">
            <w:pPr>
              <w:pStyle w:val="TableText1"/>
              <w:rPr>
                <w:rFonts w:ascii="Arial Narrow" w:hAnsi="Arial Narrow"/>
                <w:b/>
              </w:rPr>
            </w:pPr>
            <w:r>
              <w:rPr>
                <w:rFonts w:ascii="Arial Narrow" w:hAnsi="Arial Narrow"/>
                <w:b/>
              </w:rPr>
              <w:t>Median d</w:t>
            </w:r>
            <w:r w:rsidRPr="00D26863">
              <w:rPr>
                <w:rFonts w:ascii="Arial Narrow" w:hAnsi="Arial Narrow"/>
                <w:b/>
              </w:rPr>
              <w:t>uration of follow up</w:t>
            </w:r>
          </w:p>
        </w:tc>
      </w:tr>
      <w:tr w:rsidR="009329E3" w:rsidRPr="00D26863" w:rsidTr="00EB1676">
        <w:tc>
          <w:tcPr>
            <w:tcW w:w="1159" w:type="pct"/>
            <w:tcBorders>
              <w:top w:val="single" w:sz="4" w:space="0" w:color="auto"/>
              <w:left w:val="single" w:sz="4" w:space="0" w:color="auto"/>
              <w:bottom w:val="single" w:sz="4" w:space="0" w:color="auto"/>
              <w:right w:val="single" w:sz="4" w:space="0" w:color="auto"/>
            </w:tcBorders>
          </w:tcPr>
          <w:p w:rsidR="009329E3" w:rsidRPr="00D26863" w:rsidRDefault="009329E3" w:rsidP="00EB1676">
            <w:pPr>
              <w:pStyle w:val="TableText1"/>
              <w:rPr>
                <w:rFonts w:ascii="Arial Narrow" w:hAnsi="Arial Narrow"/>
              </w:rPr>
            </w:pPr>
            <w:r w:rsidRPr="00D26863">
              <w:rPr>
                <w:rFonts w:ascii="Arial Narrow" w:hAnsi="Arial Narrow"/>
              </w:rPr>
              <w:t>Arms C and D</w:t>
            </w:r>
          </w:p>
        </w:tc>
        <w:tc>
          <w:tcPr>
            <w:tcW w:w="1333" w:type="pct"/>
            <w:tcBorders>
              <w:top w:val="single" w:sz="4" w:space="0" w:color="auto"/>
              <w:left w:val="single" w:sz="4" w:space="0" w:color="auto"/>
              <w:bottom w:val="single" w:sz="4" w:space="0" w:color="auto"/>
              <w:right w:val="single" w:sz="4" w:space="0" w:color="auto"/>
            </w:tcBorders>
          </w:tcPr>
          <w:p w:rsidR="009329E3" w:rsidRPr="00D26863" w:rsidRDefault="009329E3" w:rsidP="00EB1676">
            <w:pPr>
              <w:pStyle w:val="TableText1"/>
              <w:rPr>
                <w:rFonts w:ascii="Arial Narrow" w:hAnsi="Arial Narrow"/>
              </w:rPr>
            </w:pPr>
            <w:r w:rsidRPr="00D26863">
              <w:rPr>
                <w:rFonts w:ascii="Arial Narrow" w:hAnsi="Arial Narrow"/>
              </w:rPr>
              <w:t>30 April 2018</w:t>
            </w:r>
          </w:p>
        </w:tc>
        <w:tc>
          <w:tcPr>
            <w:tcW w:w="2508" w:type="pct"/>
            <w:tcBorders>
              <w:top w:val="single" w:sz="4" w:space="0" w:color="auto"/>
              <w:left w:val="single" w:sz="4" w:space="0" w:color="auto"/>
              <w:bottom w:val="single" w:sz="4" w:space="0" w:color="auto"/>
              <w:right w:val="single" w:sz="4" w:space="0" w:color="auto"/>
            </w:tcBorders>
            <w:vAlign w:val="center"/>
          </w:tcPr>
          <w:p w:rsidR="009329E3" w:rsidRPr="00D26863" w:rsidRDefault="009329E3" w:rsidP="00EB1676">
            <w:pPr>
              <w:pStyle w:val="TableText1"/>
              <w:rPr>
                <w:rFonts w:ascii="Arial Narrow" w:hAnsi="Arial Narrow"/>
              </w:rPr>
            </w:pPr>
            <w:r w:rsidRPr="00D26863">
              <w:rPr>
                <w:rFonts w:ascii="Arial Narrow" w:hAnsi="Arial Narrow"/>
              </w:rPr>
              <w:t xml:space="preserve">22.3 months </w:t>
            </w:r>
          </w:p>
        </w:tc>
      </w:tr>
      <w:tr w:rsidR="009329E3" w:rsidRPr="00D26863" w:rsidTr="00EB1676">
        <w:tc>
          <w:tcPr>
            <w:tcW w:w="1159" w:type="pct"/>
            <w:tcBorders>
              <w:top w:val="single" w:sz="4" w:space="0" w:color="auto"/>
              <w:left w:val="single" w:sz="4" w:space="0" w:color="auto"/>
              <w:bottom w:val="single" w:sz="4" w:space="0" w:color="auto"/>
              <w:right w:val="single" w:sz="4" w:space="0" w:color="auto"/>
            </w:tcBorders>
          </w:tcPr>
          <w:p w:rsidR="009329E3" w:rsidRPr="00D26863" w:rsidRDefault="009329E3" w:rsidP="00EB1676">
            <w:pPr>
              <w:pStyle w:val="TableText1"/>
              <w:rPr>
                <w:rFonts w:ascii="Arial Narrow" w:hAnsi="Arial Narrow"/>
              </w:rPr>
            </w:pPr>
            <w:r w:rsidRPr="00D26863">
              <w:rPr>
                <w:rFonts w:ascii="Arial Narrow" w:hAnsi="Arial Narrow"/>
              </w:rPr>
              <w:t>Arms C and D</w:t>
            </w:r>
          </w:p>
        </w:tc>
        <w:tc>
          <w:tcPr>
            <w:tcW w:w="1333" w:type="pct"/>
            <w:tcBorders>
              <w:top w:val="single" w:sz="4" w:space="0" w:color="auto"/>
              <w:left w:val="single" w:sz="4" w:space="0" w:color="auto"/>
              <w:bottom w:val="single" w:sz="4" w:space="0" w:color="auto"/>
              <w:right w:val="single" w:sz="4" w:space="0" w:color="auto"/>
            </w:tcBorders>
          </w:tcPr>
          <w:p w:rsidR="009329E3" w:rsidRPr="00D26863" w:rsidRDefault="009329E3" w:rsidP="00EB1676">
            <w:pPr>
              <w:pStyle w:val="TableText1"/>
              <w:rPr>
                <w:rFonts w:ascii="Arial Narrow" w:hAnsi="Arial Narrow"/>
              </w:rPr>
            </w:pPr>
            <w:r w:rsidRPr="00D26863">
              <w:rPr>
                <w:rFonts w:ascii="Arial Narrow" w:hAnsi="Arial Narrow"/>
              </w:rPr>
              <w:t>11 October 2018</w:t>
            </w:r>
          </w:p>
        </w:tc>
        <w:tc>
          <w:tcPr>
            <w:tcW w:w="2508" w:type="pct"/>
            <w:tcBorders>
              <w:top w:val="single" w:sz="4" w:space="0" w:color="auto"/>
              <w:left w:val="single" w:sz="4" w:space="0" w:color="auto"/>
              <w:bottom w:val="single" w:sz="4" w:space="0" w:color="auto"/>
              <w:right w:val="single" w:sz="4" w:space="0" w:color="auto"/>
            </w:tcBorders>
            <w:vAlign w:val="center"/>
          </w:tcPr>
          <w:p w:rsidR="009329E3" w:rsidRPr="00D26863" w:rsidRDefault="009329E3" w:rsidP="00EB1676">
            <w:pPr>
              <w:pStyle w:val="TableText1"/>
              <w:rPr>
                <w:rFonts w:ascii="Arial Narrow" w:hAnsi="Arial Narrow"/>
              </w:rPr>
            </w:pPr>
            <w:r w:rsidRPr="00D26863">
              <w:rPr>
                <w:rFonts w:ascii="Arial Narrow" w:hAnsi="Arial Narrow"/>
              </w:rPr>
              <w:t>26.5 months</w:t>
            </w:r>
          </w:p>
        </w:tc>
      </w:tr>
    </w:tbl>
    <w:p w:rsidR="009329E3" w:rsidRDefault="009329E3" w:rsidP="009329E3">
      <w:pPr>
        <w:pStyle w:val="TableFooter"/>
      </w:pPr>
      <w:r>
        <w:t>ARM C=</w:t>
      </w:r>
      <w:proofErr w:type="spellStart"/>
      <w:r>
        <w:t>Pola+BR</w:t>
      </w:r>
      <w:proofErr w:type="spellEnd"/>
      <w:r>
        <w:t xml:space="preserve"> (liquid form of </w:t>
      </w:r>
      <w:proofErr w:type="spellStart"/>
      <w:r>
        <w:t>polatuzumab</w:t>
      </w:r>
      <w:proofErr w:type="spellEnd"/>
      <w:r w:rsidR="00615CA1">
        <w:t xml:space="preserve"> </w:t>
      </w:r>
      <w:proofErr w:type="spellStart"/>
      <w:r w:rsidR="00615CA1">
        <w:t>vedotin</w:t>
      </w:r>
      <w:proofErr w:type="spellEnd"/>
      <w:r>
        <w:t>); ARM D=BR (</w:t>
      </w:r>
      <w:proofErr w:type="spellStart"/>
      <w:r>
        <w:t>bendamustine</w:t>
      </w:r>
      <w:proofErr w:type="spellEnd"/>
      <w:r>
        <w:t xml:space="preserve"> + rituximab)); </w:t>
      </w:r>
    </w:p>
    <w:p w:rsidR="009329E3" w:rsidRDefault="009329E3" w:rsidP="009329E3">
      <w:pPr>
        <w:pStyle w:val="TableFooter"/>
      </w:pPr>
      <w:r w:rsidRPr="007C51DD">
        <w:t xml:space="preserve">Source: </w:t>
      </w:r>
      <w:r>
        <w:t>Table 2.7, p36 of the submission</w:t>
      </w:r>
    </w:p>
    <w:p w:rsidR="009329E3" w:rsidRPr="00F6427E" w:rsidRDefault="009329E3" w:rsidP="00F6427E">
      <w:pPr>
        <w:pStyle w:val="ListParagraph"/>
        <w:widowControl/>
      </w:pPr>
    </w:p>
    <w:p w:rsidR="00C66FDD" w:rsidRPr="003F5C7B" w:rsidRDefault="00C66FDD" w:rsidP="00095881">
      <w:pPr>
        <w:pStyle w:val="ListParagraph"/>
        <w:widowControl/>
        <w:numPr>
          <w:ilvl w:val="1"/>
          <w:numId w:val="2"/>
        </w:numPr>
      </w:pPr>
      <w:r w:rsidRPr="003F5C7B">
        <w:rPr>
          <w:rFonts w:asciiTheme="minorHAnsi" w:hAnsiTheme="minorHAnsi" w:cstheme="minorHAnsi"/>
        </w:rPr>
        <w:t>Results for the primary outcome of</w:t>
      </w:r>
      <w:r w:rsidR="0069692E" w:rsidRPr="003F5C7B">
        <w:rPr>
          <w:rFonts w:asciiTheme="minorHAnsi" w:hAnsiTheme="minorHAnsi" w:cstheme="minorHAnsi"/>
        </w:rPr>
        <w:t xml:space="preserve"> complete response (</w:t>
      </w:r>
      <w:r w:rsidRPr="003F5C7B">
        <w:rPr>
          <w:rFonts w:asciiTheme="minorHAnsi" w:hAnsiTheme="minorHAnsi" w:cstheme="minorHAnsi"/>
        </w:rPr>
        <w:t>CR</w:t>
      </w:r>
      <w:r w:rsidR="0069692E" w:rsidRPr="003F5C7B">
        <w:rPr>
          <w:rFonts w:asciiTheme="minorHAnsi" w:hAnsiTheme="minorHAnsi" w:cstheme="minorHAnsi"/>
        </w:rPr>
        <w:t>)</w:t>
      </w:r>
      <w:r w:rsidRPr="003F5C7B">
        <w:rPr>
          <w:rFonts w:asciiTheme="minorHAnsi" w:hAnsiTheme="minorHAnsi" w:cstheme="minorHAnsi"/>
        </w:rPr>
        <w:t xml:space="preserve"> are summarised below.</w:t>
      </w:r>
      <w:r w:rsidR="0069692E" w:rsidRPr="003F5C7B">
        <w:rPr>
          <w:rFonts w:asciiTheme="minorHAnsi" w:hAnsiTheme="minorHAnsi" w:cstheme="minorHAnsi"/>
        </w:rPr>
        <w:t xml:space="preserve"> The CR rate, as determined by the </w:t>
      </w:r>
      <w:r w:rsidR="002170C2">
        <w:rPr>
          <w:rFonts w:asciiTheme="minorHAnsi" w:hAnsiTheme="minorHAnsi" w:cstheme="minorHAnsi"/>
        </w:rPr>
        <w:t>independent review committee (</w:t>
      </w:r>
      <w:r w:rsidR="0069692E" w:rsidRPr="003F5C7B">
        <w:rPr>
          <w:rFonts w:asciiTheme="minorHAnsi" w:hAnsiTheme="minorHAnsi" w:cstheme="minorHAnsi"/>
        </w:rPr>
        <w:t>IRC</w:t>
      </w:r>
      <w:r w:rsidR="002170C2">
        <w:rPr>
          <w:rFonts w:asciiTheme="minorHAnsi" w:hAnsiTheme="minorHAnsi" w:cstheme="minorHAnsi"/>
        </w:rPr>
        <w:t>)</w:t>
      </w:r>
      <w:r w:rsidR="0069692E" w:rsidRPr="003F5C7B">
        <w:rPr>
          <w:rFonts w:asciiTheme="minorHAnsi" w:hAnsiTheme="minorHAnsi" w:cstheme="minorHAnsi"/>
        </w:rPr>
        <w:t xml:space="preserve">, was statistically significantly higher in the </w:t>
      </w:r>
      <w:proofErr w:type="spellStart"/>
      <w:r w:rsidR="0069692E" w:rsidRPr="003F5C7B">
        <w:rPr>
          <w:rFonts w:asciiTheme="minorHAnsi" w:hAnsiTheme="minorHAnsi" w:cstheme="minorHAnsi"/>
        </w:rPr>
        <w:t>Pola+BR</w:t>
      </w:r>
      <w:proofErr w:type="spellEnd"/>
      <w:r w:rsidR="0069692E" w:rsidRPr="003F5C7B">
        <w:rPr>
          <w:rFonts w:asciiTheme="minorHAnsi" w:hAnsiTheme="minorHAnsi" w:cstheme="minorHAnsi"/>
        </w:rPr>
        <w:t xml:space="preserve"> vs. the BR alone treatment arm (40% vs 17.5%; Difference 22.5%; p=0.0261). Results were similar for CR as assessed by </w:t>
      </w:r>
      <w:r w:rsidR="001A7BB5">
        <w:rPr>
          <w:rFonts w:asciiTheme="minorHAnsi" w:hAnsiTheme="minorHAnsi" w:cstheme="minorHAnsi"/>
        </w:rPr>
        <w:t xml:space="preserve">trial </w:t>
      </w:r>
      <w:r w:rsidR="0069692E" w:rsidRPr="003F5C7B">
        <w:rPr>
          <w:rFonts w:asciiTheme="minorHAnsi" w:hAnsiTheme="minorHAnsi" w:cstheme="minorHAnsi"/>
        </w:rPr>
        <w:t>investigator.</w:t>
      </w:r>
    </w:p>
    <w:p w:rsidR="00C66FDD" w:rsidRPr="003F5C7B" w:rsidRDefault="00C66FDD" w:rsidP="00F52438">
      <w:pPr>
        <w:pStyle w:val="Caption"/>
        <w:keepNext/>
        <w:keepLines/>
      </w:pPr>
      <w:r w:rsidRPr="003F5C7B">
        <w:t xml:space="preserve">Table </w:t>
      </w:r>
      <w:r w:rsidR="00273E9C">
        <w:rPr>
          <w:noProof/>
        </w:rPr>
        <w:t>5</w:t>
      </w:r>
      <w:r w:rsidRPr="003F5C7B">
        <w:t xml:space="preserve">: </w:t>
      </w:r>
      <w:r w:rsidRPr="003F5C7B">
        <w:rPr>
          <w:rStyle w:val="CommentReference"/>
          <w:b/>
        </w:rPr>
        <w:t>Primary outcome of complete response</w:t>
      </w:r>
      <w:r w:rsidR="0069692E" w:rsidRPr="003F5C7B">
        <w:rPr>
          <w:rStyle w:val="CommentReference"/>
          <w:b/>
        </w:rPr>
        <w:t xml:space="preserve"> </w:t>
      </w:r>
      <w:r w:rsidRPr="003F5C7B">
        <w:rPr>
          <w:rStyle w:val="CommentReference"/>
          <w:b/>
        </w:rPr>
        <w:t>(GO29365)</w:t>
      </w:r>
      <w:r w:rsidR="00FE0C49">
        <w:rPr>
          <w:rStyle w:val="CommentReference"/>
          <w:b/>
        </w:rPr>
        <w:t xml:space="preserve"> – Data cut off 18 April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729"/>
        <w:gridCol w:w="1106"/>
        <w:gridCol w:w="1563"/>
        <w:gridCol w:w="646"/>
        <w:gridCol w:w="1129"/>
        <w:gridCol w:w="723"/>
      </w:tblGrid>
      <w:tr w:rsidR="00C66FDD" w:rsidRPr="000C51C5" w:rsidTr="00C66FDD">
        <w:trPr>
          <w:tblHeader/>
        </w:trPr>
        <w:tc>
          <w:tcPr>
            <w:tcW w:w="2122" w:type="dxa"/>
            <w:vAlign w:val="center"/>
          </w:tcPr>
          <w:p w:rsidR="00C66FDD" w:rsidRPr="000C51C5" w:rsidRDefault="00C66FDD" w:rsidP="00F52438">
            <w:pPr>
              <w:pStyle w:val="Tabletext"/>
              <w:keepNext/>
              <w:keepLines/>
              <w:rPr>
                <w:b/>
              </w:rPr>
            </w:pPr>
            <w:r w:rsidRPr="000C51C5">
              <w:rPr>
                <w:b/>
              </w:rPr>
              <w:t>Endpoint</w:t>
            </w:r>
          </w:p>
        </w:tc>
        <w:tc>
          <w:tcPr>
            <w:tcW w:w="1729" w:type="dxa"/>
            <w:vAlign w:val="center"/>
          </w:tcPr>
          <w:p w:rsidR="00C66FDD" w:rsidRDefault="00C66FDD" w:rsidP="00F52438">
            <w:pPr>
              <w:pStyle w:val="Tabletext"/>
              <w:keepNext/>
              <w:keepLines/>
              <w:jc w:val="center"/>
              <w:rPr>
                <w:b/>
              </w:rPr>
            </w:pPr>
            <w:proofErr w:type="spellStart"/>
            <w:r>
              <w:rPr>
                <w:b/>
              </w:rPr>
              <w:t>Pola+BR</w:t>
            </w:r>
            <w:proofErr w:type="spellEnd"/>
          </w:p>
          <w:p w:rsidR="00C66FDD" w:rsidRPr="000C51C5" w:rsidRDefault="00C66FDD" w:rsidP="00F52438">
            <w:pPr>
              <w:pStyle w:val="Tabletext"/>
              <w:keepNext/>
              <w:keepLines/>
              <w:jc w:val="center"/>
              <w:rPr>
                <w:b/>
              </w:rPr>
            </w:pPr>
            <w:r w:rsidRPr="000C51C5">
              <w:rPr>
                <w:b/>
              </w:rPr>
              <w:t>N=40</w:t>
            </w:r>
          </w:p>
        </w:tc>
        <w:tc>
          <w:tcPr>
            <w:tcW w:w="1106" w:type="dxa"/>
            <w:vAlign w:val="center"/>
          </w:tcPr>
          <w:p w:rsidR="00C66FDD" w:rsidRDefault="00C66FDD" w:rsidP="00F52438">
            <w:pPr>
              <w:pStyle w:val="Tabletext"/>
              <w:keepNext/>
              <w:keepLines/>
              <w:jc w:val="center"/>
              <w:rPr>
                <w:b/>
              </w:rPr>
            </w:pPr>
            <w:r w:rsidRPr="000C51C5">
              <w:rPr>
                <w:b/>
              </w:rPr>
              <w:t>BR</w:t>
            </w:r>
          </w:p>
          <w:p w:rsidR="00C66FDD" w:rsidRPr="000C51C5" w:rsidRDefault="00C66FDD" w:rsidP="00F52438">
            <w:pPr>
              <w:pStyle w:val="Tabletext"/>
              <w:keepNext/>
              <w:keepLines/>
              <w:jc w:val="center"/>
              <w:rPr>
                <w:b/>
              </w:rPr>
            </w:pPr>
            <w:r w:rsidRPr="000C51C5">
              <w:rPr>
                <w:b/>
              </w:rPr>
              <w:t>N=40</w:t>
            </w:r>
          </w:p>
        </w:tc>
        <w:tc>
          <w:tcPr>
            <w:tcW w:w="1563" w:type="dxa"/>
            <w:vAlign w:val="center"/>
          </w:tcPr>
          <w:p w:rsidR="00C66FDD" w:rsidRPr="000C51C5" w:rsidRDefault="00C66FDD" w:rsidP="00F52438">
            <w:pPr>
              <w:pStyle w:val="Tabletext"/>
              <w:keepNext/>
              <w:keepLines/>
              <w:jc w:val="center"/>
              <w:rPr>
                <w:b/>
              </w:rPr>
            </w:pPr>
            <w:r w:rsidRPr="000C51C5">
              <w:rPr>
                <w:b/>
              </w:rPr>
              <w:t>Relative risk (95% CI)</w:t>
            </w:r>
          </w:p>
        </w:tc>
        <w:tc>
          <w:tcPr>
            <w:tcW w:w="0" w:type="auto"/>
          </w:tcPr>
          <w:p w:rsidR="00C66FDD" w:rsidRPr="000C51C5" w:rsidRDefault="00C66FDD" w:rsidP="00F52438">
            <w:pPr>
              <w:pStyle w:val="Tabletext"/>
              <w:keepNext/>
              <w:keepLines/>
              <w:jc w:val="center"/>
              <w:rPr>
                <w:b/>
              </w:rPr>
            </w:pPr>
            <w:r w:rsidRPr="000C51C5">
              <w:rPr>
                <w:b/>
              </w:rPr>
              <w:t>p-value</w:t>
            </w:r>
          </w:p>
        </w:tc>
        <w:tc>
          <w:tcPr>
            <w:tcW w:w="0" w:type="auto"/>
            <w:vAlign w:val="center"/>
          </w:tcPr>
          <w:p w:rsidR="00C66FDD" w:rsidRPr="000C51C5" w:rsidRDefault="00C66FDD" w:rsidP="00F52438">
            <w:pPr>
              <w:pStyle w:val="Tabletext"/>
              <w:keepNext/>
              <w:keepLines/>
              <w:jc w:val="center"/>
              <w:rPr>
                <w:b/>
              </w:rPr>
            </w:pPr>
            <w:r w:rsidRPr="000C51C5">
              <w:rPr>
                <w:b/>
              </w:rPr>
              <w:t xml:space="preserve">Risk </w:t>
            </w:r>
            <w:proofErr w:type="spellStart"/>
            <w:r w:rsidRPr="000C51C5">
              <w:rPr>
                <w:b/>
              </w:rPr>
              <w:t>difference</w:t>
            </w:r>
            <w:r>
              <w:rPr>
                <w:b/>
                <w:vertAlign w:val="superscript"/>
              </w:rPr>
              <w:t>a</w:t>
            </w:r>
            <w:proofErr w:type="spellEnd"/>
            <w:r w:rsidRPr="000C51C5">
              <w:rPr>
                <w:b/>
              </w:rPr>
              <w:t xml:space="preserve"> (95% CI)</w:t>
            </w:r>
          </w:p>
        </w:tc>
        <w:tc>
          <w:tcPr>
            <w:tcW w:w="0" w:type="auto"/>
          </w:tcPr>
          <w:p w:rsidR="00C66FDD" w:rsidRPr="000C51C5" w:rsidRDefault="00C66FDD" w:rsidP="00F52438">
            <w:pPr>
              <w:pStyle w:val="Tabletext"/>
              <w:keepNext/>
              <w:keepLines/>
              <w:jc w:val="center"/>
              <w:rPr>
                <w:b/>
              </w:rPr>
            </w:pPr>
            <w:r w:rsidRPr="000C51C5">
              <w:rPr>
                <w:b/>
              </w:rPr>
              <w:t>p-value</w:t>
            </w:r>
          </w:p>
        </w:tc>
      </w:tr>
      <w:tr w:rsidR="00C66FDD" w:rsidRPr="000C51C5" w:rsidTr="00C66FDD">
        <w:tc>
          <w:tcPr>
            <w:tcW w:w="2122" w:type="dxa"/>
            <w:vAlign w:val="center"/>
          </w:tcPr>
          <w:p w:rsidR="00C66FDD" w:rsidRPr="000C51C5" w:rsidRDefault="00C66FDD" w:rsidP="00F52438">
            <w:pPr>
              <w:pStyle w:val="Tabletext"/>
              <w:keepNext/>
              <w:keepLines/>
            </w:pPr>
            <w:r w:rsidRPr="000C51C5">
              <w:t>Complete Response (IRC assessed), n (%),</w:t>
            </w:r>
            <w:r w:rsidRPr="000C51C5">
              <w:rPr>
                <w:rFonts w:cstheme="minorHAnsi"/>
              </w:rPr>
              <w:t xml:space="preserve"> [CI]</w:t>
            </w:r>
          </w:p>
        </w:tc>
        <w:tc>
          <w:tcPr>
            <w:tcW w:w="1729" w:type="dxa"/>
            <w:vAlign w:val="center"/>
          </w:tcPr>
          <w:p w:rsidR="00C66FDD" w:rsidRPr="000C51C5" w:rsidRDefault="00C66FDD" w:rsidP="00F52438">
            <w:pPr>
              <w:pStyle w:val="Tabletext"/>
              <w:keepNext/>
              <w:keepLines/>
              <w:jc w:val="center"/>
            </w:pPr>
            <w:r w:rsidRPr="000C51C5">
              <w:t xml:space="preserve">16 (40%) </w:t>
            </w:r>
            <w:r w:rsidRPr="000C51C5">
              <w:br/>
              <w:t>[24.9, 56.7]</w:t>
            </w:r>
          </w:p>
        </w:tc>
        <w:tc>
          <w:tcPr>
            <w:tcW w:w="1106" w:type="dxa"/>
            <w:vAlign w:val="center"/>
          </w:tcPr>
          <w:p w:rsidR="00C66FDD" w:rsidRPr="000C51C5" w:rsidRDefault="00C66FDD" w:rsidP="00F52438">
            <w:pPr>
              <w:pStyle w:val="Tabletext"/>
              <w:keepNext/>
              <w:keepLines/>
              <w:jc w:val="center"/>
            </w:pPr>
            <w:r w:rsidRPr="000C51C5">
              <w:t>7 (17.5%) [7.3, 32.8]</w:t>
            </w:r>
          </w:p>
        </w:tc>
        <w:tc>
          <w:tcPr>
            <w:tcW w:w="1563" w:type="dxa"/>
            <w:vAlign w:val="center"/>
          </w:tcPr>
          <w:p w:rsidR="00C66FDD" w:rsidRPr="000C51C5" w:rsidRDefault="00C66FDD" w:rsidP="00F52438">
            <w:pPr>
              <w:pStyle w:val="Tabletext"/>
              <w:keepNext/>
              <w:keepLines/>
              <w:jc w:val="center"/>
            </w:pPr>
            <w:r w:rsidRPr="000C51C5">
              <w:t>2.29 (1.06, 4.95)</w:t>
            </w:r>
          </w:p>
        </w:tc>
        <w:tc>
          <w:tcPr>
            <w:tcW w:w="0" w:type="auto"/>
          </w:tcPr>
          <w:p w:rsidR="00C66FDD" w:rsidRPr="00320D98" w:rsidRDefault="00C66FDD" w:rsidP="00F52438">
            <w:pPr>
              <w:pStyle w:val="Tabletext"/>
              <w:keepNext/>
              <w:keepLines/>
              <w:jc w:val="center"/>
            </w:pPr>
            <w:r w:rsidRPr="00320D98">
              <w:t>0.04</w:t>
            </w:r>
          </w:p>
        </w:tc>
        <w:tc>
          <w:tcPr>
            <w:tcW w:w="0" w:type="auto"/>
            <w:vAlign w:val="center"/>
          </w:tcPr>
          <w:p w:rsidR="00C66FDD" w:rsidRPr="000C51C5" w:rsidRDefault="00C66FDD" w:rsidP="00F52438">
            <w:pPr>
              <w:pStyle w:val="Tabletext"/>
              <w:keepNext/>
              <w:keepLines/>
              <w:jc w:val="center"/>
            </w:pPr>
            <w:r w:rsidRPr="000C51C5">
              <w:t>22.5% (2.6, 40.2)</w:t>
            </w:r>
          </w:p>
        </w:tc>
        <w:tc>
          <w:tcPr>
            <w:tcW w:w="0" w:type="auto"/>
            <w:vAlign w:val="center"/>
          </w:tcPr>
          <w:p w:rsidR="00C66FDD" w:rsidRPr="0003709B" w:rsidRDefault="00C66FDD" w:rsidP="00F52438">
            <w:pPr>
              <w:pStyle w:val="Tabletext"/>
              <w:keepNext/>
              <w:keepLines/>
              <w:jc w:val="center"/>
            </w:pPr>
            <w:r w:rsidRPr="0003709B">
              <w:t>0.0261</w:t>
            </w:r>
          </w:p>
        </w:tc>
      </w:tr>
      <w:tr w:rsidR="00C66FDD" w:rsidRPr="000C51C5" w:rsidTr="00C66FDD">
        <w:tc>
          <w:tcPr>
            <w:tcW w:w="2122" w:type="dxa"/>
            <w:vAlign w:val="center"/>
          </w:tcPr>
          <w:p w:rsidR="00C66FDD" w:rsidRPr="000C51C5" w:rsidRDefault="00C66FDD" w:rsidP="00F52438">
            <w:pPr>
              <w:pStyle w:val="Tabletext"/>
              <w:keepNext/>
              <w:keepLines/>
            </w:pPr>
            <w:r w:rsidRPr="000C51C5">
              <w:t>Complete Response (INV assessed), n (%), [CI]</w:t>
            </w:r>
          </w:p>
        </w:tc>
        <w:tc>
          <w:tcPr>
            <w:tcW w:w="1729" w:type="dxa"/>
            <w:vAlign w:val="center"/>
          </w:tcPr>
          <w:p w:rsidR="00C66FDD" w:rsidRPr="000C51C5" w:rsidRDefault="00C66FDD" w:rsidP="00F52438">
            <w:pPr>
              <w:pStyle w:val="Tabletext"/>
              <w:keepNext/>
              <w:keepLines/>
              <w:jc w:val="center"/>
            </w:pPr>
            <w:r w:rsidRPr="000C51C5">
              <w:t>17 (42.5%) [27.0, 59.1]</w:t>
            </w:r>
          </w:p>
        </w:tc>
        <w:tc>
          <w:tcPr>
            <w:tcW w:w="1106" w:type="dxa"/>
            <w:vAlign w:val="center"/>
          </w:tcPr>
          <w:p w:rsidR="00C66FDD" w:rsidRPr="000C51C5" w:rsidRDefault="00C66FDD" w:rsidP="00F52438">
            <w:pPr>
              <w:pStyle w:val="Tabletext"/>
              <w:keepNext/>
              <w:keepLines/>
              <w:jc w:val="center"/>
            </w:pPr>
            <w:r w:rsidRPr="000C51C5">
              <w:t xml:space="preserve">6 (15%) </w:t>
            </w:r>
            <w:r w:rsidRPr="000C51C5">
              <w:br/>
              <w:t>[5.7, 29.8]</w:t>
            </w:r>
          </w:p>
        </w:tc>
        <w:tc>
          <w:tcPr>
            <w:tcW w:w="1563" w:type="dxa"/>
            <w:vAlign w:val="center"/>
          </w:tcPr>
          <w:p w:rsidR="00C66FDD" w:rsidRPr="000C51C5" w:rsidRDefault="00C66FDD" w:rsidP="00F52438">
            <w:pPr>
              <w:pStyle w:val="Tabletext"/>
              <w:keepNext/>
              <w:keepLines/>
              <w:jc w:val="center"/>
            </w:pPr>
            <w:r w:rsidRPr="000C51C5">
              <w:t>2.83 (1.25, 6.44)</w:t>
            </w:r>
          </w:p>
        </w:tc>
        <w:tc>
          <w:tcPr>
            <w:tcW w:w="0" w:type="auto"/>
          </w:tcPr>
          <w:p w:rsidR="00C66FDD" w:rsidRPr="00320D98" w:rsidRDefault="00C66FDD" w:rsidP="00F52438">
            <w:pPr>
              <w:pStyle w:val="Tabletext"/>
              <w:keepNext/>
              <w:keepLines/>
              <w:jc w:val="center"/>
            </w:pPr>
            <w:r w:rsidRPr="00320D98">
              <w:t>0.01</w:t>
            </w:r>
          </w:p>
        </w:tc>
        <w:tc>
          <w:tcPr>
            <w:tcW w:w="0" w:type="auto"/>
            <w:vAlign w:val="center"/>
          </w:tcPr>
          <w:p w:rsidR="00C66FDD" w:rsidRPr="000C51C5" w:rsidRDefault="00C66FDD" w:rsidP="00F52438">
            <w:pPr>
              <w:pStyle w:val="Tabletext"/>
              <w:keepNext/>
              <w:keepLines/>
              <w:jc w:val="center"/>
            </w:pPr>
            <w:r w:rsidRPr="000C51C5">
              <w:t>27.5</w:t>
            </w:r>
            <w:r>
              <w:t>%</w:t>
            </w:r>
            <w:r w:rsidRPr="000C51C5">
              <w:t xml:space="preserve"> (7.7, 44.7)</w:t>
            </w:r>
          </w:p>
        </w:tc>
        <w:tc>
          <w:tcPr>
            <w:tcW w:w="0" w:type="auto"/>
            <w:vAlign w:val="center"/>
          </w:tcPr>
          <w:p w:rsidR="00C66FDD" w:rsidRPr="0003709B" w:rsidRDefault="00C66FDD" w:rsidP="00F52438">
            <w:pPr>
              <w:pStyle w:val="Tabletext"/>
              <w:keepNext/>
              <w:keepLines/>
              <w:jc w:val="center"/>
            </w:pPr>
            <w:r w:rsidRPr="0003709B">
              <w:t>0.0061</w:t>
            </w:r>
          </w:p>
        </w:tc>
      </w:tr>
    </w:tbl>
    <w:p w:rsidR="00C66FDD" w:rsidRPr="00B1011F" w:rsidRDefault="00C66FDD" w:rsidP="00F52438">
      <w:pPr>
        <w:pStyle w:val="TableFooter"/>
        <w:keepNext/>
        <w:keepLines/>
        <w:jc w:val="left"/>
        <w:rPr>
          <w:sz w:val="20"/>
        </w:rPr>
      </w:pPr>
      <w:proofErr w:type="spellStart"/>
      <w:proofErr w:type="gramStart"/>
      <w:r>
        <w:rPr>
          <w:vertAlign w:val="superscript"/>
        </w:rPr>
        <w:t>a</w:t>
      </w:r>
      <w:r w:rsidRPr="00096DAA">
        <w:t>Cochran</w:t>
      </w:r>
      <w:proofErr w:type="spellEnd"/>
      <w:r w:rsidRPr="00096DAA">
        <w:t>-Mantel-</w:t>
      </w:r>
      <w:proofErr w:type="spellStart"/>
      <w:r w:rsidRPr="00096DAA">
        <w:t>Haenszel</w:t>
      </w:r>
      <w:proofErr w:type="spellEnd"/>
      <w:proofErr w:type="gramEnd"/>
      <w:r w:rsidRPr="00096DAA">
        <w:t xml:space="preserve"> </w:t>
      </w:r>
      <w:r>
        <w:t>χ</w:t>
      </w:r>
      <w:r w:rsidRPr="00096DAA">
        <w:rPr>
          <w:vertAlign w:val="superscript"/>
        </w:rPr>
        <w:t>2</w:t>
      </w:r>
      <w:r w:rsidRPr="00096DAA">
        <w:t xml:space="preserve"> test adjusted for randomi</w:t>
      </w:r>
      <w:r>
        <w:t>s</w:t>
      </w:r>
      <w:r w:rsidRPr="00096DAA">
        <w:t xml:space="preserve">ation stratification factors: </w:t>
      </w:r>
      <w:r w:rsidR="005F1741">
        <w:t xml:space="preserve">Duration of response </w:t>
      </w:r>
      <w:r w:rsidRPr="00096DAA">
        <w:t>to prior therapy</w:t>
      </w:r>
      <w:r>
        <w:t xml:space="preserve"> </w:t>
      </w:r>
      <w:r w:rsidRPr="00096DAA">
        <w:t>(</w:t>
      </w:r>
      <w:r>
        <w:t>≤</w:t>
      </w:r>
      <w:r w:rsidRPr="00096DAA">
        <w:t xml:space="preserve">12 months </w:t>
      </w:r>
      <w:r>
        <w:t>vs</w:t>
      </w:r>
      <w:r w:rsidRPr="00096DAA">
        <w:t xml:space="preserve"> </w:t>
      </w:r>
      <w:r>
        <w:t>&gt;</w:t>
      </w:r>
      <w:r w:rsidRPr="00096DAA">
        <w:t>12 months)</w:t>
      </w:r>
    </w:p>
    <w:p w:rsidR="00C66FDD" w:rsidRDefault="00C66FDD" w:rsidP="00F52438">
      <w:pPr>
        <w:pStyle w:val="TableFooter"/>
        <w:keepNext/>
        <w:keepLines/>
      </w:pPr>
      <w:r w:rsidRPr="00B40358">
        <w:rPr>
          <w:rFonts w:eastAsia="Calibri"/>
        </w:rPr>
        <w:t>CI = confidence interval;</w:t>
      </w:r>
      <w:r>
        <w:rPr>
          <w:rFonts w:eastAsia="Calibri"/>
        </w:rPr>
        <w:t xml:space="preserve"> CR = complete response;</w:t>
      </w:r>
      <w:r w:rsidRPr="00B40358">
        <w:rPr>
          <w:rFonts w:eastAsia="Calibri"/>
        </w:rPr>
        <w:t xml:space="preserve"> n = number of participants with event; N = total participants in group</w:t>
      </w:r>
      <w:r>
        <w:rPr>
          <w:rFonts w:eastAsia="Calibri"/>
        </w:rPr>
        <w:t>; IRC=Independent Review Committee; INV</w:t>
      </w:r>
      <w:r w:rsidR="00FB51AF">
        <w:rPr>
          <w:rFonts w:eastAsia="Calibri"/>
        </w:rPr>
        <w:t xml:space="preserve"> </w:t>
      </w:r>
      <w:r>
        <w:rPr>
          <w:rFonts w:eastAsia="Calibri"/>
        </w:rPr>
        <w:t>=</w:t>
      </w:r>
      <w:r w:rsidR="00FB51AF">
        <w:rPr>
          <w:rFonts w:eastAsia="Calibri"/>
        </w:rPr>
        <w:t xml:space="preserve"> </w:t>
      </w:r>
      <w:r>
        <w:rPr>
          <w:rFonts w:eastAsia="Calibri"/>
        </w:rPr>
        <w:t>investigator.</w:t>
      </w:r>
    </w:p>
    <w:p w:rsidR="00C66FDD" w:rsidRPr="003F5C7B" w:rsidRDefault="00C66FDD" w:rsidP="00F52438">
      <w:pPr>
        <w:pStyle w:val="TableFooter"/>
        <w:keepNext/>
        <w:keepLines/>
        <w:spacing w:after="240"/>
      </w:pPr>
      <w:r>
        <w:t>Source: Table 2.14, p45 of the submission.</w:t>
      </w:r>
    </w:p>
    <w:p w:rsidR="00C66FDD" w:rsidRPr="003F5C7B" w:rsidRDefault="0069692E" w:rsidP="00095881">
      <w:pPr>
        <w:pStyle w:val="ListParagraph"/>
        <w:widowControl/>
        <w:numPr>
          <w:ilvl w:val="1"/>
          <w:numId w:val="2"/>
        </w:numPr>
      </w:pPr>
      <w:r w:rsidRPr="003F5C7B">
        <w:t xml:space="preserve">Results for secondary outcomes of PFS and OS are summarised below. </w:t>
      </w:r>
    </w:p>
    <w:p w:rsidR="0069692E" w:rsidRPr="003F5C7B" w:rsidRDefault="0069692E" w:rsidP="00C044D9">
      <w:pPr>
        <w:pStyle w:val="Caption"/>
        <w:keepNext/>
        <w:keepLines/>
      </w:pPr>
      <w:r w:rsidRPr="003F5C7B">
        <w:lastRenderedPageBreak/>
        <w:t xml:space="preserve">Table </w:t>
      </w:r>
      <w:r w:rsidR="00273E9C">
        <w:rPr>
          <w:noProof/>
        </w:rPr>
        <w:t>6</w:t>
      </w:r>
      <w:r w:rsidRPr="003F5C7B">
        <w:t xml:space="preserve">: Progression-free survival and overall survival results </w:t>
      </w:r>
      <w:r w:rsidR="00564808" w:rsidRPr="003F5C7B">
        <w:t xml:space="preserve">in </w:t>
      </w:r>
      <w:r w:rsidRPr="003F5C7B">
        <w:t>GO29365 - (Arm C vs Arm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196"/>
        <w:gridCol w:w="1450"/>
        <w:gridCol w:w="1428"/>
        <w:gridCol w:w="1430"/>
        <w:gridCol w:w="1035"/>
        <w:gridCol w:w="1367"/>
      </w:tblGrid>
      <w:tr w:rsidR="0069692E" w:rsidRPr="000F43D6" w:rsidTr="009A3F21">
        <w:trPr>
          <w:trHeight w:val="437"/>
          <w:tblHeader/>
        </w:trPr>
        <w:tc>
          <w:tcPr>
            <w:tcW w:w="616" w:type="pct"/>
            <w:vMerge w:val="restart"/>
            <w:vAlign w:val="center"/>
          </w:tcPr>
          <w:p w:rsidR="0069692E" w:rsidRPr="000F43D6" w:rsidRDefault="0069692E" w:rsidP="00C044D9">
            <w:pPr>
              <w:pStyle w:val="TableHeadingRow"/>
              <w:keepLines/>
              <w:rPr>
                <w:rFonts w:ascii="Arial Narrow" w:hAnsi="Arial Narrow"/>
              </w:rPr>
            </w:pPr>
            <w:r w:rsidRPr="000F43D6">
              <w:rPr>
                <w:rFonts w:ascii="Arial Narrow" w:hAnsi="Arial Narrow"/>
              </w:rPr>
              <w:t xml:space="preserve">Outcome </w:t>
            </w:r>
          </w:p>
        </w:tc>
        <w:tc>
          <w:tcPr>
            <w:tcW w:w="1467" w:type="pct"/>
            <w:gridSpan w:val="2"/>
            <w:vAlign w:val="center"/>
          </w:tcPr>
          <w:p w:rsidR="0069692E" w:rsidRPr="000F43D6" w:rsidRDefault="0069692E" w:rsidP="00C044D9">
            <w:pPr>
              <w:pStyle w:val="TableHeadingRow"/>
              <w:keepLines/>
              <w:rPr>
                <w:rFonts w:ascii="Arial Narrow" w:hAnsi="Arial Narrow"/>
              </w:rPr>
            </w:pPr>
            <w:proofErr w:type="spellStart"/>
            <w:r w:rsidRPr="000F43D6">
              <w:rPr>
                <w:rFonts w:ascii="Arial Narrow" w:hAnsi="Arial Narrow"/>
              </w:rPr>
              <w:t>Pola+BR</w:t>
            </w:r>
            <w:proofErr w:type="spellEnd"/>
          </w:p>
        </w:tc>
        <w:tc>
          <w:tcPr>
            <w:tcW w:w="1585" w:type="pct"/>
            <w:gridSpan w:val="2"/>
            <w:vAlign w:val="center"/>
          </w:tcPr>
          <w:p w:rsidR="0069692E" w:rsidRPr="000F43D6" w:rsidRDefault="0069692E" w:rsidP="00C044D9">
            <w:pPr>
              <w:pStyle w:val="TableHeadingRow"/>
              <w:keepLines/>
              <w:rPr>
                <w:rFonts w:ascii="Arial Narrow" w:hAnsi="Arial Narrow"/>
              </w:rPr>
            </w:pPr>
            <w:r w:rsidRPr="000F43D6">
              <w:rPr>
                <w:rFonts w:ascii="Arial Narrow" w:hAnsi="Arial Narrow"/>
              </w:rPr>
              <w:t>BR</w:t>
            </w:r>
          </w:p>
        </w:tc>
        <w:tc>
          <w:tcPr>
            <w:tcW w:w="574" w:type="pct"/>
            <w:vMerge w:val="restart"/>
            <w:vAlign w:val="center"/>
          </w:tcPr>
          <w:p w:rsidR="0069692E" w:rsidRPr="000F43D6" w:rsidRDefault="0069692E" w:rsidP="00C044D9">
            <w:pPr>
              <w:pStyle w:val="TableHeadingRow"/>
              <w:keepLines/>
              <w:rPr>
                <w:rFonts w:ascii="Arial Narrow" w:hAnsi="Arial Narrow"/>
              </w:rPr>
            </w:pPr>
            <w:r w:rsidRPr="000F43D6">
              <w:rPr>
                <w:rFonts w:ascii="Arial Narrow" w:hAnsi="Arial Narrow"/>
              </w:rPr>
              <w:t>Stratified P value (log rank test)</w:t>
            </w:r>
          </w:p>
        </w:tc>
        <w:tc>
          <w:tcPr>
            <w:tcW w:w="758" w:type="pct"/>
            <w:vMerge w:val="restart"/>
            <w:vAlign w:val="center"/>
          </w:tcPr>
          <w:p w:rsidR="0069692E" w:rsidRPr="000F43D6" w:rsidRDefault="0069692E" w:rsidP="00C044D9">
            <w:pPr>
              <w:pStyle w:val="TableHeadingRow"/>
              <w:keepLines/>
              <w:rPr>
                <w:rFonts w:ascii="Arial Narrow" w:hAnsi="Arial Narrow"/>
              </w:rPr>
            </w:pPr>
            <w:r w:rsidRPr="000F43D6">
              <w:rPr>
                <w:rFonts w:ascii="Arial Narrow" w:hAnsi="Arial Narrow"/>
              </w:rPr>
              <w:t>Hazard ratio (95% CI)</w:t>
            </w:r>
          </w:p>
          <w:p w:rsidR="0069692E" w:rsidRPr="000F43D6" w:rsidRDefault="0069692E" w:rsidP="00C044D9">
            <w:pPr>
              <w:pStyle w:val="TableHeadingRow"/>
              <w:keepLines/>
              <w:rPr>
                <w:rFonts w:ascii="Arial Narrow" w:hAnsi="Arial Narrow"/>
              </w:rPr>
            </w:pPr>
            <w:r w:rsidRPr="000F43D6">
              <w:rPr>
                <w:rFonts w:ascii="Arial Narrow" w:hAnsi="Arial Narrow"/>
              </w:rPr>
              <w:t>(stratified)</w:t>
            </w:r>
          </w:p>
        </w:tc>
      </w:tr>
      <w:tr w:rsidR="0069692E" w:rsidRPr="000F43D6" w:rsidTr="009A3F21">
        <w:trPr>
          <w:trHeight w:val="207"/>
        </w:trPr>
        <w:tc>
          <w:tcPr>
            <w:tcW w:w="616" w:type="pct"/>
            <w:vMerge/>
          </w:tcPr>
          <w:p w:rsidR="0069692E" w:rsidRPr="000F43D6" w:rsidRDefault="0069692E" w:rsidP="00C044D9">
            <w:pPr>
              <w:pStyle w:val="TableText1"/>
              <w:keepNext/>
              <w:keepLines/>
              <w:rPr>
                <w:rFonts w:ascii="Arial Narrow" w:hAnsi="Arial Narrow" w:cstheme="minorHAnsi"/>
              </w:rPr>
            </w:pPr>
          </w:p>
        </w:tc>
        <w:tc>
          <w:tcPr>
            <w:tcW w:w="663" w:type="pct"/>
          </w:tcPr>
          <w:p w:rsidR="0069692E" w:rsidRPr="000F43D6" w:rsidRDefault="0069692E" w:rsidP="00C044D9">
            <w:pPr>
              <w:pStyle w:val="TableHeadingRow"/>
              <w:keepLines/>
              <w:rPr>
                <w:rFonts w:ascii="Arial Narrow" w:hAnsi="Arial Narrow"/>
              </w:rPr>
            </w:pPr>
            <w:proofErr w:type="gramStart"/>
            <w:r w:rsidRPr="000F43D6">
              <w:rPr>
                <w:rFonts w:ascii="Arial Narrow" w:hAnsi="Arial Narrow"/>
                <w:iCs/>
              </w:rPr>
              <w:t>n/N</w:t>
            </w:r>
            <w:proofErr w:type="gramEnd"/>
            <w:r w:rsidRPr="000F43D6">
              <w:rPr>
                <w:rFonts w:ascii="Arial Narrow" w:hAnsi="Arial Narrow"/>
                <w:iCs/>
              </w:rPr>
              <w:t xml:space="preserve"> </w:t>
            </w:r>
            <w:r w:rsidRPr="000F43D6">
              <w:rPr>
                <w:rFonts w:ascii="Arial Narrow" w:hAnsi="Arial Narrow"/>
              </w:rPr>
              <w:t xml:space="preserve">with </w:t>
            </w:r>
            <w:proofErr w:type="spellStart"/>
            <w:r w:rsidRPr="000F43D6">
              <w:rPr>
                <w:rFonts w:ascii="Arial Narrow" w:hAnsi="Arial Narrow"/>
              </w:rPr>
              <w:t>event</w:t>
            </w:r>
            <w:r w:rsidR="005F1741">
              <w:rPr>
                <w:rFonts w:ascii="Arial Narrow" w:hAnsi="Arial Narrow"/>
                <w:vertAlign w:val="superscript"/>
              </w:rPr>
              <w:t>a</w:t>
            </w:r>
            <w:proofErr w:type="spellEnd"/>
            <w:r w:rsidRPr="000F43D6">
              <w:rPr>
                <w:rFonts w:ascii="Arial Narrow" w:hAnsi="Arial Narrow"/>
              </w:rPr>
              <w:t xml:space="preserve"> (%)</w:t>
            </w:r>
          </w:p>
        </w:tc>
        <w:tc>
          <w:tcPr>
            <w:tcW w:w="804" w:type="pct"/>
          </w:tcPr>
          <w:p w:rsidR="0069692E" w:rsidRPr="000F43D6" w:rsidRDefault="0069692E" w:rsidP="00C044D9">
            <w:pPr>
              <w:pStyle w:val="TableHeadingRow"/>
              <w:keepLines/>
              <w:rPr>
                <w:rFonts w:ascii="Arial Narrow" w:hAnsi="Arial Narrow"/>
              </w:rPr>
            </w:pPr>
            <w:r w:rsidRPr="000F43D6">
              <w:rPr>
                <w:rFonts w:ascii="Arial Narrow" w:hAnsi="Arial Narrow"/>
              </w:rPr>
              <w:t>Median time</w:t>
            </w:r>
            <w:r w:rsidR="009D6586">
              <w:rPr>
                <w:rFonts w:ascii="Arial Narrow" w:hAnsi="Arial Narrow"/>
              </w:rPr>
              <w:t xml:space="preserve">, months, </w:t>
            </w:r>
            <w:r w:rsidRPr="000F43D6">
              <w:rPr>
                <w:rFonts w:ascii="Arial Narrow" w:hAnsi="Arial Narrow"/>
              </w:rPr>
              <w:t xml:space="preserve">to event </w:t>
            </w:r>
          </w:p>
          <w:p w:rsidR="0069692E" w:rsidRPr="000F43D6" w:rsidRDefault="0069692E" w:rsidP="00C044D9">
            <w:pPr>
              <w:pStyle w:val="TableHeadingRow"/>
              <w:keepLines/>
              <w:rPr>
                <w:rFonts w:ascii="Arial Narrow" w:hAnsi="Arial Narrow"/>
              </w:rPr>
            </w:pPr>
            <w:r w:rsidRPr="000F43D6">
              <w:rPr>
                <w:rFonts w:ascii="Arial Narrow" w:hAnsi="Arial Narrow"/>
              </w:rPr>
              <w:t>(95% CI)</w:t>
            </w:r>
          </w:p>
        </w:tc>
        <w:tc>
          <w:tcPr>
            <w:tcW w:w="792" w:type="pct"/>
          </w:tcPr>
          <w:p w:rsidR="005F1741" w:rsidRDefault="0069692E" w:rsidP="00C044D9">
            <w:pPr>
              <w:pStyle w:val="TableHeadingRow"/>
              <w:keepLines/>
              <w:rPr>
                <w:rFonts w:ascii="Arial Narrow" w:hAnsi="Arial Narrow"/>
              </w:rPr>
            </w:pPr>
            <w:r w:rsidRPr="000F43D6">
              <w:rPr>
                <w:rFonts w:ascii="Arial Narrow" w:hAnsi="Arial Narrow"/>
                <w:iCs/>
              </w:rPr>
              <w:t xml:space="preserve">n/N </w:t>
            </w:r>
            <w:r w:rsidRPr="000F43D6">
              <w:rPr>
                <w:rFonts w:ascii="Arial Narrow" w:hAnsi="Arial Narrow"/>
              </w:rPr>
              <w:t xml:space="preserve">with </w:t>
            </w:r>
          </w:p>
          <w:p w:rsidR="0069692E" w:rsidRPr="000F43D6" w:rsidRDefault="0069692E" w:rsidP="00C044D9">
            <w:pPr>
              <w:pStyle w:val="TableHeadingRow"/>
              <w:keepLines/>
              <w:rPr>
                <w:rFonts w:ascii="Arial Narrow" w:hAnsi="Arial Narrow"/>
              </w:rPr>
            </w:pPr>
            <w:proofErr w:type="spellStart"/>
            <w:proofErr w:type="gramStart"/>
            <w:r w:rsidRPr="000F43D6">
              <w:rPr>
                <w:rFonts w:ascii="Arial Narrow" w:hAnsi="Arial Narrow"/>
              </w:rPr>
              <w:t>event</w:t>
            </w:r>
            <w:r w:rsidR="005F1741">
              <w:rPr>
                <w:rFonts w:ascii="Arial Narrow" w:hAnsi="Arial Narrow"/>
                <w:vertAlign w:val="superscript"/>
              </w:rPr>
              <w:t>a</w:t>
            </w:r>
            <w:proofErr w:type="spellEnd"/>
            <w:proofErr w:type="gramEnd"/>
            <w:r w:rsidRPr="000F43D6">
              <w:rPr>
                <w:rFonts w:ascii="Arial Narrow" w:hAnsi="Arial Narrow"/>
              </w:rPr>
              <w:t xml:space="preserve"> (%)</w:t>
            </w:r>
          </w:p>
        </w:tc>
        <w:tc>
          <w:tcPr>
            <w:tcW w:w="793" w:type="pct"/>
          </w:tcPr>
          <w:p w:rsidR="009D6586" w:rsidRPr="000F43D6" w:rsidRDefault="009D6586" w:rsidP="00C044D9">
            <w:pPr>
              <w:pStyle w:val="TableHeadingRow"/>
              <w:keepLines/>
              <w:rPr>
                <w:rFonts w:ascii="Arial Narrow" w:hAnsi="Arial Narrow"/>
              </w:rPr>
            </w:pPr>
            <w:r w:rsidRPr="000F43D6">
              <w:rPr>
                <w:rFonts w:ascii="Arial Narrow" w:hAnsi="Arial Narrow"/>
              </w:rPr>
              <w:t>Median time</w:t>
            </w:r>
            <w:r>
              <w:rPr>
                <w:rFonts w:ascii="Arial Narrow" w:hAnsi="Arial Narrow"/>
              </w:rPr>
              <w:t xml:space="preserve">, months, </w:t>
            </w:r>
            <w:r w:rsidRPr="000F43D6">
              <w:rPr>
                <w:rFonts w:ascii="Arial Narrow" w:hAnsi="Arial Narrow"/>
              </w:rPr>
              <w:t xml:space="preserve">to event </w:t>
            </w:r>
          </w:p>
          <w:p w:rsidR="0069692E" w:rsidRPr="000F43D6" w:rsidRDefault="009D6586" w:rsidP="00C044D9">
            <w:pPr>
              <w:pStyle w:val="TableHeadingRow"/>
              <w:keepLines/>
              <w:rPr>
                <w:rFonts w:ascii="Arial Narrow" w:hAnsi="Arial Narrow"/>
              </w:rPr>
            </w:pPr>
            <w:r w:rsidRPr="000F43D6">
              <w:rPr>
                <w:rFonts w:ascii="Arial Narrow" w:hAnsi="Arial Narrow"/>
              </w:rPr>
              <w:t>(95% CI)</w:t>
            </w:r>
          </w:p>
        </w:tc>
        <w:tc>
          <w:tcPr>
            <w:tcW w:w="574" w:type="pct"/>
            <w:vMerge/>
          </w:tcPr>
          <w:p w:rsidR="0069692E" w:rsidRPr="000F43D6" w:rsidRDefault="0069692E" w:rsidP="00C044D9">
            <w:pPr>
              <w:pStyle w:val="TableText1"/>
              <w:keepNext/>
              <w:keepLines/>
              <w:rPr>
                <w:rFonts w:ascii="Arial Narrow" w:hAnsi="Arial Narrow" w:cstheme="minorHAnsi"/>
              </w:rPr>
            </w:pPr>
          </w:p>
        </w:tc>
        <w:tc>
          <w:tcPr>
            <w:tcW w:w="758" w:type="pct"/>
            <w:vMerge/>
          </w:tcPr>
          <w:p w:rsidR="0069692E" w:rsidRPr="000F43D6" w:rsidRDefault="0069692E" w:rsidP="00C044D9">
            <w:pPr>
              <w:pStyle w:val="TableText1"/>
              <w:keepNext/>
              <w:keepLines/>
              <w:rPr>
                <w:rFonts w:ascii="Arial Narrow" w:hAnsi="Arial Narrow" w:cstheme="minorHAnsi"/>
              </w:rPr>
            </w:pPr>
          </w:p>
        </w:tc>
      </w:tr>
      <w:tr w:rsidR="0069692E" w:rsidRPr="00A0799B" w:rsidTr="009A3F21">
        <w:trPr>
          <w:trHeight w:val="207"/>
        </w:trPr>
        <w:tc>
          <w:tcPr>
            <w:tcW w:w="5000" w:type="pct"/>
            <w:gridSpan w:val="7"/>
            <w:shd w:val="clear" w:color="auto" w:fill="auto"/>
          </w:tcPr>
          <w:p w:rsidR="0069692E" w:rsidRPr="00A0799B" w:rsidRDefault="0069692E" w:rsidP="00C044D9">
            <w:pPr>
              <w:pStyle w:val="TableText1"/>
              <w:keepNext/>
              <w:keepLines/>
              <w:rPr>
                <w:rFonts w:ascii="Arial Narrow" w:hAnsi="Arial Narrow" w:cstheme="minorHAnsi"/>
                <w:b/>
              </w:rPr>
            </w:pPr>
            <w:r w:rsidRPr="00A0799B">
              <w:rPr>
                <w:rFonts w:ascii="Arial Narrow" w:hAnsi="Arial Narrow" w:cstheme="minorHAnsi"/>
                <w:b/>
              </w:rPr>
              <w:t xml:space="preserve">Data </w:t>
            </w:r>
            <w:proofErr w:type="spellStart"/>
            <w:r w:rsidRPr="00A0799B">
              <w:rPr>
                <w:rFonts w:ascii="Arial Narrow" w:hAnsi="Arial Narrow" w:cstheme="minorHAnsi"/>
                <w:b/>
              </w:rPr>
              <w:t>cutoff</w:t>
            </w:r>
            <w:proofErr w:type="spellEnd"/>
            <w:r w:rsidRPr="00A0799B">
              <w:rPr>
                <w:rFonts w:ascii="Arial Narrow" w:hAnsi="Arial Narrow" w:cstheme="minorHAnsi"/>
                <w:b/>
              </w:rPr>
              <w:t xml:space="preserve"> 30 April 2018</w:t>
            </w:r>
            <w:r w:rsidR="00A638A8" w:rsidRPr="00A0799B">
              <w:rPr>
                <w:rFonts w:ascii="Arial Narrow" w:hAnsi="Arial Narrow" w:cstheme="minorHAnsi"/>
                <w:b/>
              </w:rPr>
              <w:t xml:space="preserve"> – median duration of follow-up 22.3 months</w:t>
            </w:r>
          </w:p>
        </w:tc>
      </w:tr>
      <w:tr w:rsidR="0069692E" w:rsidRPr="00A0799B" w:rsidTr="009A3F21">
        <w:trPr>
          <w:trHeight w:val="207"/>
        </w:trPr>
        <w:tc>
          <w:tcPr>
            <w:tcW w:w="616" w:type="pct"/>
          </w:tcPr>
          <w:p w:rsidR="0069692E" w:rsidRPr="00A0799B" w:rsidRDefault="0069692E" w:rsidP="00C044D9">
            <w:pPr>
              <w:pStyle w:val="TableText1"/>
              <w:keepNext/>
              <w:keepLines/>
              <w:rPr>
                <w:rFonts w:ascii="Arial Narrow" w:hAnsi="Arial Narrow" w:cstheme="minorHAnsi"/>
              </w:rPr>
            </w:pPr>
            <w:r w:rsidRPr="00A0799B">
              <w:rPr>
                <w:rFonts w:ascii="Arial Narrow" w:hAnsi="Arial Narrow" w:cstheme="minorHAnsi"/>
              </w:rPr>
              <w:t>PFS (IRC assessed)</w:t>
            </w:r>
          </w:p>
        </w:tc>
        <w:tc>
          <w:tcPr>
            <w:tcW w:w="663"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25/40 (62.5%)</w:t>
            </w:r>
          </w:p>
        </w:tc>
        <w:tc>
          <w:tcPr>
            <w:tcW w:w="804"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11.1</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(6.2, 13.9)</w:t>
            </w:r>
          </w:p>
        </w:tc>
        <w:tc>
          <w:tcPr>
            <w:tcW w:w="792"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31/40 (77.5%)</w:t>
            </w:r>
          </w:p>
        </w:tc>
        <w:tc>
          <w:tcPr>
            <w:tcW w:w="793"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3.7</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(2.4, 4.5)</w:t>
            </w:r>
          </w:p>
        </w:tc>
        <w:tc>
          <w:tcPr>
            <w:tcW w:w="574"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0.0002</w:t>
            </w:r>
          </w:p>
        </w:tc>
        <w:tc>
          <w:tcPr>
            <w:tcW w:w="758"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0.36</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(0.21, 0.63)</w:t>
            </w:r>
          </w:p>
        </w:tc>
      </w:tr>
      <w:tr w:rsidR="0069692E" w:rsidRPr="00A0799B" w:rsidTr="009A3F21">
        <w:trPr>
          <w:trHeight w:val="93"/>
        </w:trPr>
        <w:tc>
          <w:tcPr>
            <w:tcW w:w="616" w:type="pct"/>
          </w:tcPr>
          <w:p w:rsidR="0069692E" w:rsidRPr="00A0799B" w:rsidRDefault="0069692E" w:rsidP="00C044D9">
            <w:pPr>
              <w:pStyle w:val="TableText1"/>
              <w:keepNext/>
              <w:keepLines/>
              <w:rPr>
                <w:rFonts w:ascii="Arial Narrow" w:hAnsi="Arial Narrow" w:cstheme="minorHAnsi"/>
              </w:rPr>
            </w:pPr>
            <w:r w:rsidRPr="00A0799B">
              <w:rPr>
                <w:rFonts w:ascii="Arial Narrow" w:hAnsi="Arial Narrow" w:cstheme="minorHAnsi"/>
              </w:rPr>
              <w:t>PFS (INV assessed)</w:t>
            </w:r>
          </w:p>
        </w:tc>
        <w:tc>
          <w:tcPr>
            <w:tcW w:w="663"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27/40 (67.5%)</w:t>
            </w:r>
          </w:p>
        </w:tc>
        <w:tc>
          <w:tcPr>
            <w:tcW w:w="804"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7.6</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(6.0, 17.0)</w:t>
            </w:r>
          </w:p>
        </w:tc>
        <w:tc>
          <w:tcPr>
            <w:tcW w:w="792"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35/40 (87.5%)</w:t>
            </w:r>
          </w:p>
        </w:tc>
        <w:tc>
          <w:tcPr>
            <w:tcW w:w="793"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2.0</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(1.5, 3.7)</w:t>
            </w:r>
          </w:p>
        </w:tc>
        <w:tc>
          <w:tcPr>
            <w:tcW w:w="574"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&lt;0.0001</w:t>
            </w:r>
          </w:p>
        </w:tc>
        <w:tc>
          <w:tcPr>
            <w:tcW w:w="758"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0.34</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(0.20, 0.57)</w:t>
            </w:r>
          </w:p>
        </w:tc>
      </w:tr>
      <w:tr w:rsidR="0069692E" w:rsidRPr="00A0799B" w:rsidTr="009A3F21">
        <w:trPr>
          <w:trHeight w:val="93"/>
        </w:trPr>
        <w:tc>
          <w:tcPr>
            <w:tcW w:w="616" w:type="pct"/>
          </w:tcPr>
          <w:p w:rsidR="0069692E" w:rsidRPr="00A0799B" w:rsidRDefault="0069692E" w:rsidP="00C044D9">
            <w:pPr>
              <w:pStyle w:val="TableText1"/>
              <w:keepNext/>
              <w:keepLines/>
              <w:rPr>
                <w:rFonts w:ascii="Arial Narrow" w:hAnsi="Arial Narrow" w:cstheme="minorHAnsi"/>
              </w:rPr>
            </w:pPr>
            <w:r w:rsidRPr="00A0799B">
              <w:rPr>
                <w:rFonts w:ascii="Arial Narrow" w:hAnsi="Arial Narrow" w:cstheme="minorHAnsi"/>
              </w:rPr>
              <w:t>OS</w:t>
            </w:r>
          </w:p>
        </w:tc>
        <w:tc>
          <w:tcPr>
            <w:tcW w:w="663"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23/40 (57.5%)</w:t>
            </w:r>
          </w:p>
        </w:tc>
        <w:tc>
          <w:tcPr>
            <w:tcW w:w="804"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12.4 (9.0, NE)</w:t>
            </w:r>
          </w:p>
        </w:tc>
        <w:tc>
          <w:tcPr>
            <w:tcW w:w="792"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28/40 (70.0%)</w:t>
            </w:r>
          </w:p>
        </w:tc>
        <w:tc>
          <w:tcPr>
            <w:tcW w:w="793"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4.7 (3.7, 8.3)</w:t>
            </w:r>
          </w:p>
        </w:tc>
        <w:tc>
          <w:tcPr>
            <w:tcW w:w="574"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0.0023</w:t>
            </w:r>
          </w:p>
        </w:tc>
        <w:tc>
          <w:tcPr>
            <w:tcW w:w="758"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0.42</w:t>
            </w:r>
            <w:r w:rsidRPr="00A0799B">
              <w:rPr>
                <w:rFonts w:ascii="Arial Narrow" w:hAnsi="Arial Narrow" w:cstheme="minorHAnsi"/>
              </w:rPr>
              <w:br/>
              <w:t>(0.24, 0.75)</w:t>
            </w:r>
          </w:p>
        </w:tc>
      </w:tr>
      <w:tr w:rsidR="0069692E" w:rsidRPr="00A0799B" w:rsidTr="009A3F21">
        <w:trPr>
          <w:trHeight w:val="93"/>
        </w:trPr>
        <w:tc>
          <w:tcPr>
            <w:tcW w:w="5000" w:type="pct"/>
            <w:gridSpan w:val="7"/>
            <w:shd w:val="clear" w:color="auto" w:fill="auto"/>
          </w:tcPr>
          <w:p w:rsidR="0069692E" w:rsidRPr="00A0799B" w:rsidRDefault="0069692E" w:rsidP="00C044D9">
            <w:pPr>
              <w:pStyle w:val="TableText1"/>
              <w:keepNext/>
              <w:keepLines/>
              <w:rPr>
                <w:rFonts w:ascii="Arial Narrow" w:hAnsi="Arial Narrow" w:cstheme="minorHAnsi"/>
                <w:b/>
              </w:rPr>
            </w:pPr>
            <w:r w:rsidRPr="00A0799B">
              <w:rPr>
                <w:rFonts w:ascii="Arial Narrow" w:hAnsi="Arial Narrow" w:cstheme="minorHAnsi"/>
                <w:b/>
              </w:rPr>
              <w:t xml:space="preserve">Data </w:t>
            </w:r>
            <w:proofErr w:type="spellStart"/>
            <w:r w:rsidRPr="00A0799B">
              <w:rPr>
                <w:rFonts w:ascii="Arial Narrow" w:hAnsi="Arial Narrow" w:cstheme="minorHAnsi"/>
                <w:b/>
              </w:rPr>
              <w:t>cutoff</w:t>
            </w:r>
            <w:proofErr w:type="spellEnd"/>
            <w:r w:rsidRPr="00A0799B">
              <w:rPr>
                <w:rFonts w:ascii="Arial Narrow" w:hAnsi="Arial Narrow" w:cstheme="minorHAnsi"/>
                <w:b/>
              </w:rPr>
              <w:t xml:space="preserve"> 11 October 2018 (IRC data not provided)</w:t>
            </w:r>
            <w:r w:rsidR="00A638A8" w:rsidRPr="00A0799B">
              <w:rPr>
                <w:rFonts w:ascii="Arial Narrow" w:hAnsi="Arial Narrow" w:cstheme="minorHAnsi"/>
                <w:b/>
              </w:rPr>
              <w:t xml:space="preserve"> – median duration of follow up 26.5 months</w:t>
            </w:r>
          </w:p>
        </w:tc>
      </w:tr>
      <w:tr w:rsidR="0069692E" w:rsidRPr="00A0799B" w:rsidTr="009A3F21">
        <w:trPr>
          <w:trHeight w:val="93"/>
        </w:trPr>
        <w:tc>
          <w:tcPr>
            <w:tcW w:w="616" w:type="pct"/>
          </w:tcPr>
          <w:p w:rsidR="0069692E" w:rsidRPr="00A0799B" w:rsidRDefault="0069692E" w:rsidP="00C044D9">
            <w:pPr>
              <w:pStyle w:val="TableText1"/>
              <w:keepNext/>
              <w:keepLines/>
              <w:rPr>
                <w:rFonts w:ascii="Arial Narrow" w:hAnsi="Arial Narrow" w:cstheme="minorHAnsi"/>
              </w:rPr>
            </w:pPr>
            <w:r w:rsidRPr="00A0799B">
              <w:rPr>
                <w:rFonts w:ascii="Arial Narrow" w:hAnsi="Arial Narrow" w:cstheme="minorHAnsi"/>
              </w:rPr>
              <w:t>PFS (INV assessed)</w:t>
            </w:r>
          </w:p>
        </w:tc>
        <w:tc>
          <w:tcPr>
            <w:tcW w:w="663"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29/40 (72.5%)</w:t>
            </w:r>
          </w:p>
        </w:tc>
        <w:tc>
          <w:tcPr>
            <w:tcW w:w="804"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7.5</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(4.9, 17.0)</w:t>
            </w:r>
          </w:p>
        </w:tc>
        <w:tc>
          <w:tcPr>
            <w:tcW w:w="792"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35/40 (87.5%)</w:t>
            </w:r>
          </w:p>
        </w:tc>
        <w:tc>
          <w:tcPr>
            <w:tcW w:w="793"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2.0</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(1.5, 3.7)</w:t>
            </w:r>
          </w:p>
        </w:tc>
        <w:tc>
          <w:tcPr>
            <w:tcW w:w="574"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&lt;0.0001</w:t>
            </w:r>
          </w:p>
        </w:tc>
        <w:tc>
          <w:tcPr>
            <w:tcW w:w="758" w:type="pct"/>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0.33</w:t>
            </w:r>
          </w:p>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(0.20, 0.56)</w:t>
            </w:r>
          </w:p>
        </w:tc>
      </w:tr>
      <w:tr w:rsidR="0069692E" w:rsidRPr="00A0799B" w:rsidTr="009A3F21">
        <w:trPr>
          <w:trHeight w:val="93"/>
        </w:trPr>
        <w:tc>
          <w:tcPr>
            <w:tcW w:w="616" w:type="pct"/>
          </w:tcPr>
          <w:p w:rsidR="0069692E" w:rsidRPr="00A0799B" w:rsidRDefault="0069692E" w:rsidP="00C044D9">
            <w:pPr>
              <w:pStyle w:val="TableText1"/>
              <w:keepNext/>
              <w:keepLines/>
              <w:rPr>
                <w:rFonts w:ascii="Arial Narrow" w:hAnsi="Arial Narrow" w:cstheme="minorHAnsi"/>
              </w:rPr>
            </w:pPr>
            <w:r w:rsidRPr="00A0799B">
              <w:rPr>
                <w:rFonts w:ascii="Arial Narrow" w:hAnsi="Arial Narrow" w:cstheme="minorHAnsi"/>
              </w:rPr>
              <w:t>OS</w:t>
            </w:r>
          </w:p>
        </w:tc>
        <w:tc>
          <w:tcPr>
            <w:tcW w:w="663"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24/40 (60.0%)</w:t>
            </w:r>
          </w:p>
        </w:tc>
        <w:tc>
          <w:tcPr>
            <w:tcW w:w="804"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12.4 (9.0, 28.0)</w:t>
            </w:r>
          </w:p>
        </w:tc>
        <w:tc>
          <w:tcPr>
            <w:tcW w:w="792"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28/40 (70.0%)</w:t>
            </w:r>
          </w:p>
        </w:tc>
        <w:tc>
          <w:tcPr>
            <w:tcW w:w="793"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4.7 (3.7, 8.3)</w:t>
            </w:r>
          </w:p>
        </w:tc>
        <w:tc>
          <w:tcPr>
            <w:tcW w:w="574"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0.0010</w:t>
            </w:r>
          </w:p>
        </w:tc>
        <w:tc>
          <w:tcPr>
            <w:tcW w:w="758" w:type="pct"/>
            <w:vAlign w:val="center"/>
          </w:tcPr>
          <w:p w:rsidR="0069692E" w:rsidRPr="00A0799B" w:rsidRDefault="0069692E" w:rsidP="00C044D9">
            <w:pPr>
              <w:pStyle w:val="TableText1"/>
              <w:keepNext/>
              <w:keepLines/>
              <w:jc w:val="center"/>
              <w:rPr>
                <w:rFonts w:ascii="Arial Narrow" w:hAnsi="Arial Narrow" w:cstheme="minorHAnsi"/>
              </w:rPr>
            </w:pPr>
            <w:r w:rsidRPr="00A0799B">
              <w:rPr>
                <w:rFonts w:ascii="Arial Narrow" w:hAnsi="Arial Narrow" w:cstheme="minorHAnsi"/>
              </w:rPr>
              <w:t>0.40</w:t>
            </w:r>
            <w:r w:rsidRPr="00A0799B">
              <w:rPr>
                <w:rFonts w:ascii="Arial Narrow" w:hAnsi="Arial Narrow" w:cstheme="minorHAnsi"/>
              </w:rPr>
              <w:br/>
              <w:t>(0.23, 0.70)</w:t>
            </w:r>
          </w:p>
        </w:tc>
      </w:tr>
    </w:tbl>
    <w:p w:rsidR="005F1741" w:rsidRPr="00A0799B" w:rsidRDefault="005F1741" w:rsidP="00C044D9">
      <w:pPr>
        <w:pStyle w:val="TableFooter"/>
        <w:keepNext/>
        <w:keepLines/>
      </w:pPr>
      <w:proofErr w:type="spellStart"/>
      <w:proofErr w:type="gramStart"/>
      <w:r w:rsidRPr="00A0799B">
        <w:rPr>
          <w:vertAlign w:val="superscript"/>
        </w:rPr>
        <w:t>a</w:t>
      </w:r>
      <w:r w:rsidRPr="00A0799B">
        <w:t>Event</w:t>
      </w:r>
      <w:proofErr w:type="spellEnd"/>
      <w:proofErr w:type="gramEnd"/>
      <w:r w:rsidRPr="00A0799B">
        <w:t xml:space="preserve"> for PFS are progression or death and for OS death.</w:t>
      </w:r>
    </w:p>
    <w:p w:rsidR="00564808" w:rsidRDefault="00564808" w:rsidP="00C044D9">
      <w:pPr>
        <w:pStyle w:val="TableFooter"/>
        <w:keepNext/>
        <w:keepLines/>
      </w:pPr>
      <w:r w:rsidRPr="007C51DD">
        <w:t>CI</w:t>
      </w:r>
      <w:r>
        <w:t>=</w:t>
      </w:r>
      <w:r w:rsidRPr="007C51DD">
        <w:t>confidence interval</w:t>
      </w:r>
      <w:r>
        <w:t>; INV=investigator, IRC=independent review committee, PFS=progression free survival; OS = overall survival; NE=not estimable.</w:t>
      </w:r>
    </w:p>
    <w:p w:rsidR="00564808" w:rsidRDefault="00564808" w:rsidP="00C044D9">
      <w:pPr>
        <w:pStyle w:val="TableFooter"/>
        <w:keepNext/>
        <w:keepLines/>
      </w:pPr>
      <w:r>
        <w:t>Source: Table 2.16, and Table 2.18, p47 and p50 of the submission</w:t>
      </w:r>
    </w:p>
    <w:p w:rsidR="00564808" w:rsidRDefault="00564808" w:rsidP="00454A6C"/>
    <w:p w:rsidR="0069692E" w:rsidRDefault="00564808" w:rsidP="00454A6C">
      <w:pPr>
        <w:pStyle w:val="Caption"/>
        <w:keepNext/>
        <w:widowControl/>
        <w:rPr>
          <w:color w:val="3366FF"/>
        </w:rPr>
      </w:pPr>
      <w:r>
        <w:t xml:space="preserve">Figure </w:t>
      </w:r>
      <w:r w:rsidR="00273E9C">
        <w:rPr>
          <w:noProof/>
        </w:rPr>
        <w:t>2</w:t>
      </w:r>
      <w:r>
        <w:t xml:space="preserve">: </w:t>
      </w:r>
      <w:r w:rsidRPr="000F43D6">
        <w:t xml:space="preserve">Kaplan-Meier plot of progression-free survival (IRC-assessed): </w:t>
      </w:r>
      <w:proofErr w:type="spellStart"/>
      <w:r w:rsidRPr="000F43D6">
        <w:t>Pola+BR</w:t>
      </w:r>
      <w:proofErr w:type="spellEnd"/>
      <w:r w:rsidRPr="000F43D6">
        <w:t xml:space="preserve"> versus BR (Data </w:t>
      </w:r>
      <w:proofErr w:type="spellStart"/>
      <w:r w:rsidRPr="000F43D6">
        <w:t>cutoff</w:t>
      </w:r>
      <w:proofErr w:type="spellEnd"/>
      <w:r w:rsidRPr="000F43D6">
        <w:t xml:space="preserve"> April 2018)</w:t>
      </w:r>
      <w:r>
        <w:t xml:space="preserve"> – GO29365</w:t>
      </w:r>
    </w:p>
    <w:p w:rsidR="00564808" w:rsidRDefault="00564808" w:rsidP="00564808">
      <w:pPr>
        <w:pStyle w:val="ListParagraph"/>
        <w:widowControl/>
        <w:ind w:left="-14" w:hanging="210"/>
        <w:rPr>
          <w:color w:val="3366FF"/>
        </w:rPr>
      </w:pPr>
      <w:r>
        <w:rPr>
          <w:noProof/>
          <w:color w:val="3366FF"/>
          <w:lang w:eastAsia="en-AU"/>
        </w:rPr>
        <w:drawing>
          <wp:inline distT="0" distB="0" distL="0" distR="0" wp14:anchorId="2A39DA83" wp14:editId="5C89263C">
            <wp:extent cx="5767200" cy="3157200"/>
            <wp:effectExtent l="0" t="0" r="5080" b="5715"/>
            <wp:docPr id="1" name="Picture 1" title="Figure 2: Kaplan-Meier plot of progression-free survival (IRC-assessed): Pola+BR versus BR (Data cutoff April 2018) – GO2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200" cy="3157200"/>
                    </a:xfrm>
                    <a:prstGeom prst="rect">
                      <a:avLst/>
                    </a:prstGeom>
                    <a:noFill/>
                  </pic:spPr>
                </pic:pic>
              </a:graphicData>
            </a:graphic>
          </wp:inline>
        </w:drawing>
      </w:r>
    </w:p>
    <w:p w:rsidR="00564808" w:rsidRDefault="00564808" w:rsidP="00564808">
      <w:pPr>
        <w:pStyle w:val="TableFooter"/>
      </w:pPr>
      <w:r w:rsidRPr="007C51DD">
        <w:t>Source:</w:t>
      </w:r>
      <w:r>
        <w:t xml:space="preserve"> Figure 2.3, p47 of the submission.</w:t>
      </w:r>
    </w:p>
    <w:p w:rsidR="00564808" w:rsidRDefault="00564808" w:rsidP="00564808"/>
    <w:p w:rsidR="00564808" w:rsidRDefault="00564808" w:rsidP="0051047C">
      <w:pPr>
        <w:pStyle w:val="Caption"/>
        <w:keepNext/>
      </w:pPr>
      <w:r>
        <w:lastRenderedPageBreak/>
        <w:t xml:space="preserve">Figure </w:t>
      </w:r>
      <w:r w:rsidR="00273E9C">
        <w:rPr>
          <w:noProof/>
        </w:rPr>
        <w:t>3</w:t>
      </w:r>
      <w:r>
        <w:t xml:space="preserve">: </w:t>
      </w:r>
      <w:r w:rsidRPr="007C51DD">
        <w:t xml:space="preserve">Kaplan-Meier </w:t>
      </w:r>
      <w:r>
        <w:t>p</w:t>
      </w:r>
      <w:r w:rsidRPr="007C51DD">
        <w:t xml:space="preserve">lot of </w:t>
      </w:r>
      <w:r>
        <w:t>updated o</w:t>
      </w:r>
      <w:r w:rsidRPr="007C51DD">
        <w:t xml:space="preserve">verall </w:t>
      </w:r>
      <w:r>
        <w:t>s</w:t>
      </w:r>
      <w:r w:rsidRPr="007C51DD">
        <w:t>urvival</w:t>
      </w:r>
      <w:r>
        <w:t>:</w:t>
      </w:r>
      <w:r w:rsidRPr="007C51DD">
        <w:t xml:space="preserve"> </w:t>
      </w:r>
      <w:proofErr w:type="spellStart"/>
      <w:r>
        <w:t>Pola+BR</w:t>
      </w:r>
      <w:proofErr w:type="spellEnd"/>
      <w:r w:rsidRPr="007C51DD">
        <w:t xml:space="preserve"> </w:t>
      </w:r>
      <w:r>
        <w:t>versus</w:t>
      </w:r>
      <w:r w:rsidRPr="007C51DD">
        <w:t xml:space="preserve"> BR</w:t>
      </w:r>
      <w:r>
        <w:t xml:space="preserve"> </w:t>
      </w:r>
      <w:r w:rsidRPr="007C51DD">
        <w:t>(</w:t>
      </w:r>
      <w:r>
        <w:t xml:space="preserve">data </w:t>
      </w:r>
      <w:proofErr w:type="spellStart"/>
      <w:r>
        <w:t>cutoff</w:t>
      </w:r>
      <w:proofErr w:type="spellEnd"/>
      <w:r>
        <w:t xml:space="preserve"> Oct 2018) – GO29365</w:t>
      </w:r>
    </w:p>
    <w:p w:rsidR="00564808" w:rsidRDefault="00564808" w:rsidP="00564808">
      <w:r>
        <w:rPr>
          <w:noProof/>
          <w:lang w:eastAsia="en-AU"/>
        </w:rPr>
        <w:drawing>
          <wp:inline distT="0" distB="0" distL="0" distR="0" wp14:anchorId="4FCCB073" wp14:editId="34FB41AB">
            <wp:extent cx="5756400" cy="3337200"/>
            <wp:effectExtent l="0" t="0" r="0" b="0"/>
            <wp:docPr id="2" name="Picture 2" title="Figure 3: Kaplan-Meier plot of updated overall survival: Pola+BR versus BR (data cutoff Oct 2018) – GO2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400" cy="3337200"/>
                    </a:xfrm>
                    <a:prstGeom prst="rect">
                      <a:avLst/>
                    </a:prstGeom>
                    <a:noFill/>
                  </pic:spPr>
                </pic:pic>
              </a:graphicData>
            </a:graphic>
          </wp:inline>
        </w:drawing>
      </w:r>
    </w:p>
    <w:p w:rsidR="00CC2016" w:rsidRDefault="00564808" w:rsidP="00AD65DD">
      <w:pPr>
        <w:pStyle w:val="TableFooter"/>
      </w:pPr>
      <w:r w:rsidRPr="00AD65DD">
        <w:t xml:space="preserve">Source: </w:t>
      </w:r>
      <w:r w:rsidR="00CC2016" w:rsidRPr="00AD65DD">
        <w:t>Figure 2.4, p48 of the submission.</w:t>
      </w:r>
    </w:p>
    <w:p w:rsidR="00564808" w:rsidRPr="00C66FDD" w:rsidRDefault="00564808" w:rsidP="00564808"/>
    <w:p w:rsidR="003F5C7B" w:rsidRPr="00A0799B" w:rsidRDefault="003F5C7B" w:rsidP="00095881">
      <w:pPr>
        <w:pStyle w:val="ListParagraph"/>
        <w:widowControl/>
        <w:numPr>
          <w:ilvl w:val="1"/>
          <w:numId w:val="2"/>
        </w:numPr>
      </w:pPr>
      <w:r w:rsidRPr="00A0799B">
        <w:rPr>
          <w:rFonts w:asciiTheme="minorHAnsi" w:hAnsiTheme="minorHAnsi" w:cstheme="minorHAnsi"/>
        </w:rPr>
        <w:t xml:space="preserve">PFS data, as determined by independent review committee (IRC) (data </w:t>
      </w:r>
      <w:proofErr w:type="spellStart"/>
      <w:r w:rsidRPr="00A0799B">
        <w:rPr>
          <w:rFonts w:asciiTheme="minorHAnsi" w:hAnsiTheme="minorHAnsi" w:cstheme="minorHAnsi"/>
        </w:rPr>
        <w:t>cutoff</w:t>
      </w:r>
      <w:proofErr w:type="spellEnd"/>
      <w:r w:rsidRPr="00A0799B">
        <w:rPr>
          <w:rFonts w:asciiTheme="minorHAnsi" w:hAnsiTheme="minorHAnsi" w:cstheme="minorHAnsi"/>
        </w:rPr>
        <w:t xml:space="preserve"> April 2018) indicated median PFS durations of 11.1 months and 3.7 months in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and BR alone treatment arms, respectively (difference of 7.4 months), favouring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treatment arm. This corresponded to a statistically significant 64% reduction in the hazard of progression or death in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treated patients, compared to those treated with BR alone (HR 0.36; 95% CI: 0.21, 0.63). </w:t>
      </w:r>
    </w:p>
    <w:p w:rsidR="003F5C7B" w:rsidRPr="00A0799B" w:rsidRDefault="00E53541" w:rsidP="00095881">
      <w:pPr>
        <w:pStyle w:val="ListParagraph"/>
        <w:widowControl/>
        <w:numPr>
          <w:ilvl w:val="1"/>
          <w:numId w:val="2"/>
        </w:numPr>
      </w:pPr>
      <w:r w:rsidRPr="00A0799B">
        <w:rPr>
          <w:rFonts w:asciiTheme="minorHAnsi" w:hAnsiTheme="minorHAnsi" w:cstheme="minorHAnsi"/>
        </w:rPr>
        <w:t xml:space="preserve">Investigator assessed PFS showed </w:t>
      </w:r>
      <w:r w:rsidR="003F5C7B" w:rsidRPr="00A0799B">
        <w:rPr>
          <w:rFonts w:asciiTheme="minorHAnsi" w:hAnsiTheme="minorHAnsi" w:cstheme="minorHAnsi"/>
        </w:rPr>
        <w:t xml:space="preserve">improvement of 5.5 months </w:t>
      </w:r>
      <w:r w:rsidR="00F740E0" w:rsidRPr="00A0799B">
        <w:rPr>
          <w:rFonts w:asciiTheme="minorHAnsi" w:hAnsiTheme="minorHAnsi" w:cstheme="minorHAnsi"/>
        </w:rPr>
        <w:t xml:space="preserve">PFS </w:t>
      </w:r>
      <w:r w:rsidR="003F5C7B" w:rsidRPr="00A0799B">
        <w:rPr>
          <w:rFonts w:asciiTheme="minorHAnsi" w:hAnsiTheme="minorHAnsi" w:cstheme="minorHAnsi"/>
        </w:rPr>
        <w:t xml:space="preserve">favouring </w:t>
      </w:r>
      <w:proofErr w:type="spellStart"/>
      <w:r w:rsidR="003F5C7B" w:rsidRPr="00A0799B">
        <w:rPr>
          <w:rFonts w:asciiTheme="minorHAnsi" w:hAnsiTheme="minorHAnsi" w:cstheme="minorHAnsi"/>
        </w:rPr>
        <w:t>Pola+BR</w:t>
      </w:r>
      <w:proofErr w:type="spellEnd"/>
      <w:r w:rsidR="003F5C7B" w:rsidRPr="00A0799B">
        <w:rPr>
          <w:rFonts w:asciiTheme="minorHAnsi" w:hAnsiTheme="minorHAnsi" w:cstheme="minorHAnsi"/>
        </w:rPr>
        <w:t xml:space="preserve"> over BR alone (7.5 months vs. 2.0 months) which corresponded to a 67% reduction in the hazard of progression or death (October 2018 </w:t>
      </w:r>
      <w:proofErr w:type="spellStart"/>
      <w:r w:rsidR="003F5C7B" w:rsidRPr="00A0799B">
        <w:rPr>
          <w:rFonts w:asciiTheme="minorHAnsi" w:hAnsiTheme="minorHAnsi" w:cstheme="minorHAnsi"/>
        </w:rPr>
        <w:t>cutoff</w:t>
      </w:r>
      <w:proofErr w:type="spellEnd"/>
      <w:r w:rsidR="003F5C7B" w:rsidRPr="00A0799B">
        <w:rPr>
          <w:rFonts w:asciiTheme="minorHAnsi" w:hAnsiTheme="minorHAnsi" w:cstheme="minorHAnsi"/>
        </w:rPr>
        <w:t>: HR 0.33; 95% CI: 0.20, 0.56).</w:t>
      </w:r>
      <w:r w:rsidRPr="00A0799B">
        <w:rPr>
          <w:rFonts w:asciiTheme="minorHAnsi" w:hAnsiTheme="minorHAnsi" w:cstheme="minorHAnsi"/>
        </w:rPr>
        <w:t xml:space="preserve"> Results for investigator assessed PFS were similar between the April and October 2018 data </w:t>
      </w:r>
      <w:proofErr w:type="spellStart"/>
      <w:r w:rsidRPr="00A0799B">
        <w:rPr>
          <w:rFonts w:asciiTheme="minorHAnsi" w:hAnsiTheme="minorHAnsi" w:cstheme="minorHAnsi"/>
        </w:rPr>
        <w:t>cutoffs</w:t>
      </w:r>
      <w:proofErr w:type="spellEnd"/>
      <w:r w:rsidRPr="00A0799B">
        <w:rPr>
          <w:rFonts w:asciiTheme="minorHAnsi" w:hAnsiTheme="minorHAnsi" w:cstheme="minorHAnsi"/>
        </w:rPr>
        <w:t>.</w:t>
      </w:r>
    </w:p>
    <w:p w:rsidR="003F5C7B" w:rsidRPr="00A0799B" w:rsidRDefault="003F5C7B" w:rsidP="00095881">
      <w:pPr>
        <w:pStyle w:val="ListParagraph"/>
        <w:widowControl/>
        <w:numPr>
          <w:ilvl w:val="1"/>
          <w:numId w:val="2"/>
        </w:numPr>
      </w:pPr>
      <w:r w:rsidRPr="00A0799B">
        <w:rPr>
          <w:rFonts w:asciiTheme="minorHAnsi" w:hAnsiTheme="minorHAnsi" w:cstheme="minorHAnsi"/>
        </w:rPr>
        <w:t xml:space="preserve">Results for OS were similar between the April and October 2018 data </w:t>
      </w:r>
      <w:proofErr w:type="spellStart"/>
      <w:r w:rsidRPr="00A0799B">
        <w:rPr>
          <w:rFonts w:asciiTheme="minorHAnsi" w:hAnsiTheme="minorHAnsi" w:cstheme="minorHAnsi"/>
        </w:rPr>
        <w:t>cutoffs</w:t>
      </w:r>
      <w:proofErr w:type="spellEnd"/>
      <w:r w:rsidRPr="00A0799B">
        <w:rPr>
          <w:rFonts w:asciiTheme="minorHAnsi" w:hAnsiTheme="minorHAnsi" w:cstheme="minorHAnsi"/>
        </w:rPr>
        <w:t xml:space="preserve">. Updated OS data (data </w:t>
      </w:r>
      <w:proofErr w:type="spellStart"/>
      <w:r w:rsidRPr="00A0799B">
        <w:rPr>
          <w:rFonts w:asciiTheme="minorHAnsi" w:hAnsiTheme="minorHAnsi" w:cstheme="minorHAnsi"/>
        </w:rPr>
        <w:t>cutoff</w:t>
      </w:r>
      <w:proofErr w:type="spellEnd"/>
      <w:r w:rsidRPr="00A0799B">
        <w:rPr>
          <w:rFonts w:asciiTheme="minorHAnsi" w:hAnsiTheme="minorHAnsi" w:cstheme="minorHAnsi"/>
        </w:rPr>
        <w:t xml:space="preserve"> October 2018) indicated median OS durations of 12.4 months and 4.7 months in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and BR alone treatment arms, respectively (difference of 7.7 months), favouring the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treatment arm. This corresponded to a statistically significant reduction of 60% in the hazard of death in </w:t>
      </w:r>
      <w:proofErr w:type="spellStart"/>
      <w:r w:rsidRPr="00A0799B">
        <w:rPr>
          <w:rFonts w:asciiTheme="minorHAnsi" w:hAnsiTheme="minorHAnsi" w:cstheme="minorHAnsi"/>
        </w:rPr>
        <w:t>Pola+BR</w:t>
      </w:r>
      <w:proofErr w:type="spellEnd"/>
      <w:r w:rsidRPr="00A0799B">
        <w:rPr>
          <w:rFonts w:asciiTheme="minorHAnsi" w:hAnsiTheme="minorHAnsi" w:cstheme="minorHAnsi"/>
        </w:rPr>
        <w:t xml:space="preserve"> treated patients, compared to those treated with BR alone (HR 0.40; 95% CI: 0.23, 0.70).</w:t>
      </w:r>
    </w:p>
    <w:p w:rsidR="003F5C7B" w:rsidRDefault="003F5C7B" w:rsidP="00095881">
      <w:pPr>
        <w:pStyle w:val="ListParagraph"/>
        <w:widowControl/>
        <w:numPr>
          <w:ilvl w:val="1"/>
          <w:numId w:val="2"/>
        </w:numPr>
      </w:pPr>
      <w:r w:rsidRPr="00A0799B">
        <w:t xml:space="preserve">Overall, baseline data from GO29365 indicated patients in the BR alone treatment arm were likely to be sicker or have a poorer prognosis compared to patients in the </w:t>
      </w:r>
      <w:proofErr w:type="spellStart"/>
      <w:r w:rsidRPr="00A0799B">
        <w:t>Pola+BR</w:t>
      </w:r>
      <w:proofErr w:type="spellEnd"/>
      <w:r w:rsidRPr="00A0799B">
        <w:t xml:space="preserve"> treatment arm. Hence there was high risk of confounding of efficacy which </w:t>
      </w:r>
      <w:r w:rsidR="007F4162" w:rsidRPr="00A0799B">
        <w:t>may have</w:t>
      </w:r>
      <w:r w:rsidRPr="00A0799B">
        <w:t xml:space="preserve"> favoured the </w:t>
      </w:r>
      <w:proofErr w:type="spellStart"/>
      <w:r w:rsidRPr="00A0799B">
        <w:t>Pola+BR</w:t>
      </w:r>
      <w:proofErr w:type="spellEnd"/>
      <w:r w:rsidRPr="00A0799B">
        <w:t xml:space="preserve"> treatment arm. As such, it is difficult to segregate, </w:t>
      </w:r>
      <w:r w:rsidRPr="00A0799B">
        <w:lastRenderedPageBreak/>
        <w:t xml:space="preserve">and thus quantify, the prognostic effect from the true treatment effect associated with the addition of </w:t>
      </w:r>
      <w:proofErr w:type="spellStart"/>
      <w:r w:rsidRPr="00A0799B">
        <w:t>polatuzumab</w:t>
      </w:r>
      <w:proofErr w:type="spellEnd"/>
      <w:r w:rsidRPr="00A0799B">
        <w:t xml:space="preserve"> </w:t>
      </w:r>
      <w:proofErr w:type="spellStart"/>
      <w:r w:rsidRPr="00A0799B">
        <w:t>vedotin</w:t>
      </w:r>
      <w:proofErr w:type="spellEnd"/>
      <w:r w:rsidRPr="00A0799B">
        <w:t xml:space="preserve"> to BR.</w:t>
      </w:r>
    </w:p>
    <w:p w:rsidR="00942503" w:rsidRPr="00502F52" w:rsidRDefault="00942503" w:rsidP="00095881">
      <w:pPr>
        <w:pStyle w:val="ListParagraph"/>
        <w:widowControl/>
        <w:numPr>
          <w:ilvl w:val="1"/>
          <w:numId w:val="2"/>
        </w:numPr>
      </w:pPr>
      <w:r w:rsidRPr="00502F52">
        <w:t xml:space="preserve">The PSCR stated that multiple Cox-regression analyses were conducted for PFS and OS controlling for Ann </w:t>
      </w:r>
      <w:proofErr w:type="spellStart"/>
      <w:r w:rsidRPr="00502F52">
        <w:t>Arbor</w:t>
      </w:r>
      <w:proofErr w:type="spellEnd"/>
      <w:r w:rsidRPr="00502F52">
        <w:t xml:space="preserve"> Stage, baseline ECOG performance status, bulky disease and IPI</w:t>
      </w:r>
      <w:r w:rsidR="003B6503" w:rsidRPr="00502F52">
        <w:t xml:space="preserve"> score</w:t>
      </w:r>
      <w:r w:rsidRPr="00502F52">
        <w:t xml:space="preserve">. After adjusting for the potential prognostic factors and baseline characteristics, the </w:t>
      </w:r>
      <w:r w:rsidR="00FF54C8" w:rsidRPr="00502F52">
        <w:t>PSCR argued</w:t>
      </w:r>
      <w:r w:rsidR="00675F77" w:rsidRPr="00502F52">
        <w:t xml:space="preserve"> that the </w:t>
      </w:r>
      <w:r w:rsidRPr="00502F52">
        <w:t xml:space="preserve">treatment effect of </w:t>
      </w:r>
      <w:proofErr w:type="spellStart"/>
      <w:r w:rsidRPr="00502F52">
        <w:t>Pola+BR</w:t>
      </w:r>
      <w:proofErr w:type="spellEnd"/>
      <w:r w:rsidRPr="00502F52">
        <w:t xml:space="preserve"> vs BR remained robust. </w:t>
      </w:r>
      <w:r w:rsidR="00FF54C8" w:rsidRPr="00502F52">
        <w:t>The ESC</w:t>
      </w:r>
      <w:r w:rsidR="003B6503" w:rsidRPr="00502F52">
        <w:t xml:space="preserve"> </w:t>
      </w:r>
      <w:r w:rsidR="00A56353" w:rsidRPr="00502F52">
        <w:t>noted that baseline IPI in the</w:t>
      </w:r>
      <w:r w:rsidR="003B6503" w:rsidRPr="00502F52">
        <w:t xml:space="preserve"> </w:t>
      </w:r>
      <w:r w:rsidR="00FF54C8" w:rsidRPr="00502F52">
        <w:t>GO29365</w:t>
      </w:r>
      <w:r w:rsidR="00A56353" w:rsidRPr="00502F52">
        <w:t xml:space="preserve"> trial</w:t>
      </w:r>
      <w:r w:rsidR="00FF54C8" w:rsidRPr="00502F52">
        <w:t xml:space="preserve"> was divided into four categories, </w:t>
      </w:r>
      <w:r w:rsidRPr="00502F52">
        <w:t>with t</w:t>
      </w:r>
      <w:r w:rsidR="00FF54C8" w:rsidRPr="00502F52">
        <w:t>he largest</w:t>
      </w:r>
      <w:r w:rsidRPr="00502F52">
        <w:t xml:space="preserve"> imbalances </w:t>
      </w:r>
      <w:r w:rsidR="00793F26" w:rsidRPr="00502F52">
        <w:t xml:space="preserve">evident </w:t>
      </w:r>
      <w:r w:rsidRPr="00502F52">
        <w:t>w</w:t>
      </w:r>
      <w:r w:rsidR="00FF54C8" w:rsidRPr="00502F52">
        <w:t>here IPI scores were 0-1 or 4-5</w:t>
      </w:r>
      <w:r w:rsidR="003B6503" w:rsidRPr="00502F52">
        <w:t xml:space="preserve"> (see paragraph 6.6)</w:t>
      </w:r>
      <w:r w:rsidR="00FF54C8" w:rsidRPr="00502F52">
        <w:t xml:space="preserve">. </w:t>
      </w:r>
      <w:r w:rsidR="002B048D" w:rsidRPr="00502F52">
        <w:t>The ESC noted the multiple Cox-regression analyses for IPI score reported on in the PSCR</w:t>
      </w:r>
      <w:r w:rsidR="00793F26" w:rsidRPr="00502F52">
        <w:t xml:space="preserve"> divided the score </w:t>
      </w:r>
      <w:r w:rsidRPr="00502F52">
        <w:t xml:space="preserve">into two subgroups (IPI ≥3 and IPI &lt;3) which </w:t>
      </w:r>
      <w:r w:rsidR="00793F26" w:rsidRPr="00502F52">
        <w:t xml:space="preserve">the Committee considered </w:t>
      </w:r>
      <w:r w:rsidRPr="00502F52">
        <w:t xml:space="preserve">did not accurately represent the greatest imbalances (in the 0-1 and 4-5 groups). </w:t>
      </w:r>
      <w:r w:rsidR="00793F26" w:rsidRPr="00502F52">
        <w:t xml:space="preserve">The ESC </w:t>
      </w:r>
      <w:r w:rsidR="00246919" w:rsidRPr="00502F52">
        <w:t xml:space="preserve">agreed with the evaluation that the validity of the clinical effectiveness data presented was uncertain as the results were likely confounded in favour of </w:t>
      </w:r>
      <w:proofErr w:type="spellStart"/>
      <w:r w:rsidR="00793F26" w:rsidRPr="00502F52">
        <w:rPr>
          <w:rFonts w:asciiTheme="minorHAnsi" w:hAnsiTheme="minorHAnsi" w:cstheme="minorHAnsi"/>
        </w:rPr>
        <w:t>Pola+BR</w:t>
      </w:r>
      <w:proofErr w:type="spellEnd"/>
      <w:r w:rsidR="00246919" w:rsidRPr="00502F52">
        <w:rPr>
          <w:rFonts w:asciiTheme="minorHAnsi" w:hAnsiTheme="minorHAnsi" w:cstheme="minorHAnsi"/>
        </w:rPr>
        <w:t xml:space="preserve">. </w:t>
      </w:r>
    </w:p>
    <w:p w:rsidR="00B60939" w:rsidRPr="004F147B" w:rsidRDefault="00B60939" w:rsidP="004F147B">
      <w:pPr>
        <w:pStyle w:val="Heading2"/>
        <w:spacing w:before="240" w:after="120"/>
      </w:pPr>
      <w:bookmarkStart w:id="9" w:name="_Toc19627194"/>
      <w:r w:rsidRPr="004F147B">
        <w:t>Comparative harms</w:t>
      </w:r>
      <w:bookmarkEnd w:id="9"/>
    </w:p>
    <w:p w:rsidR="00886DEA" w:rsidRPr="002E26DE" w:rsidRDefault="00DC0BB7" w:rsidP="00095881">
      <w:pPr>
        <w:pStyle w:val="ListParagraph"/>
        <w:keepNext/>
        <w:widowControl/>
        <w:numPr>
          <w:ilvl w:val="1"/>
          <w:numId w:val="2"/>
        </w:numPr>
      </w:pPr>
      <w:r w:rsidRPr="00DC0BB7">
        <w:t>Results for safety are summarised below.</w:t>
      </w:r>
      <w:r w:rsidR="00886DEA">
        <w:t xml:space="preserve"> </w:t>
      </w:r>
      <w:r w:rsidR="00886DEA" w:rsidRPr="00A0799B">
        <w:t xml:space="preserve">Statistical analyses of the safety data were unreliable </w:t>
      </w:r>
      <w:r w:rsidR="00F740E0" w:rsidRPr="00A0799B">
        <w:t>due to the small sample size</w:t>
      </w:r>
      <w:r w:rsidR="00886DEA" w:rsidRPr="00A0799B">
        <w:t xml:space="preserve">. </w:t>
      </w:r>
    </w:p>
    <w:p w:rsidR="00DC0BB7" w:rsidRPr="007C51DD" w:rsidRDefault="00DC0BB7" w:rsidP="00DC0BB7">
      <w:pPr>
        <w:pStyle w:val="Caption"/>
      </w:pPr>
      <w:r>
        <w:t xml:space="preserve">Table </w:t>
      </w:r>
      <w:r w:rsidR="00273E9C">
        <w:rPr>
          <w:noProof/>
        </w:rPr>
        <w:t>7</w:t>
      </w:r>
      <w:r>
        <w:t xml:space="preserve">: </w:t>
      </w:r>
      <w:r w:rsidRPr="007C51DD">
        <w:t>Overview of adverse events and deaths GO29365</w:t>
      </w:r>
      <w:r>
        <w:t xml:space="preserve"> </w:t>
      </w:r>
      <w:r w:rsidR="003D26CA">
        <w:t>(safety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307"/>
        <w:gridCol w:w="1026"/>
        <w:gridCol w:w="1026"/>
        <w:gridCol w:w="1600"/>
        <w:gridCol w:w="1652"/>
      </w:tblGrid>
      <w:tr w:rsidR="00DC0BB7" w:rsidRPr="00D317EC" w:rsidTr="007F4162">
        <w:trPr>
          <w:trHeight w:val="576"/>
        </w:trPr>
        <w:tc>
          <w:tcPr>
            <w:tcW w:w="1334" w:type="pct"/>
            <w:tcBorders>
              <w:bottom w:val="single" w:sz="4" w:space="0" w:color="auto"/>
            </w:tcBorders>
            <w:shd w:val="clear" w:color="auto" w:fill="auto"/>
            <w:noWrap/>
            <w:vAlign w:val="bottom"/>
            <w:hideMark/>
          </w:tcPr>
          <w:p w:rsidR="00DC0BB7" w:rsidRPr="00D317EC" w:rsidRDefault="00DC0BB7" w:rsidP="00EB1676">
            <w:pPr>
              <w:pStyle w:val="Tabletext"/>
              <w:rPr>
                <w:szCs w:val="20"/>
              </w:rPr>
            </w:pPr>
            <w:r w:rsidRPr="00D317EC">
              <w:rPr>
                <w:szCs w:val="20"/>
              </w:rPr>
              <w:t> </w:t>
            </w:r>
          </w:p>
        </w:tc>
        <w:tc>
          <w:tcPr>
            <w:tcW w:w="725" w:type="pct"/>
            <w:tcBorders>
              <w:bottom w:val="single" w:sz="4" w:space="0" w:color="auto"/>
              <w:right w:val="double" w:sz="4" w:space="0" w:color="auto"/>
            </w:tcBorders>
          </w:tcPr>
          <w:p w:rsidR="00DC0BB7" w:rsidRPr="004A724B" w:rsidRDefault="00DC0BB7" w:rsidP="00EB1676">
            <w:pPr>
              <w:pStyle w:val="Tabletext"/>
              <w:rPr>
                <w:b/>
                <w:szCs w:val="20"/>
                <w:lang w:val="pt-BR"/>
              </w:rPr>
            </w:pPr>
            <w:r w:rsidRPr="004A724B">
              <w:rPr>
                <w:b/>
                <w:szCs w:val="20"/>
                <w:lang w:val="pt-BR"/>
              </w:rPr>
              <w:t>Arm G</w:t>
            </w:r>
            <w:r>
              <w:rPr>
                <w:b/>
                <w:szCs w:val="20"/>
                <w:lang w:val="pt-BR"/>
              </w:rPr>
              <w:t xml:space="preserve"> (lyophilised)</w:t>
            </w:r>
          </w:p>
          <w:p w:rsidR="00DC0BB7" w:rsidRPr="00D317EC" w:rsidRDefault="00DC0BB7" w:rsidP="00EB1676">
            <w:pPr>
              <w:pStyle w:val="Tabletext"/>
              <w:rPr>
                <w:b/>
                <w:szCs w:val="20"/>
                <w:lang w:val="pt-BR"/>
              </w:rPr>
            </w:pPr>
            <w:r w:rsidRPr="004A724B">
              <w:rPr>
                <w:b/>
                <w:szCs w:val="20"/>
                <w:lang w:val="pt-BR"/>
              </w:rPr>
              <w:t>Pola+BR (N=25)</w:t>
            </w:r>
          </w:p>
        </w:tc>
        <w:tc>
          <w:tcPr>
            <w:tcW w:w="569" w:type="pct"/>
            <w:tcBorders>
              <w:left w:val="double" w:sz="4" w:space="0" w:color="auto"/>
              <w:bottom w:val="single" w:sz="4" w:space="0" w:color="auto"/>
            </w:tcBorders>
            <w:shd w:val="clear" w:color="auto" w:fill="auto"/>
            <w:vAlign w:val="center"/>
            <w:hideMark/>
          </w:tcPr>
          <w:p w:rsidR="00DC0BB7" w:rsidRDefault="00DC0BB7" w:rsidP="00EB1676">
            <w:pPr>
              <w:pStyle w:val="Tabletext"/>
              <w:rPr>
                <w:b/>
                <w:szCs w:val="20"/>
                <w:lang w:val="pt-BR"/>
              </w:rPr>
            </w:pPr>
            <w:r w:rsidRPr="00D317EC">
              <w:rPr>
                <w:b/>
                <w:szCs w:val="20"/>
                <w:lang w:val="pt-BR"/>
              </w:rPr>
              <w:t>Arm C</w:t>
            </w:r>
          </w:p>
          <w:p w:rsidR="00DC0BB7" w:rsidRPr="00D317EC" w:rsidRDefault="007F4162" w:rsidP="00EB1676">
            <w:pPr>
              <w:pStyle w:val="Tabletext"/>
              <w:rPr>
                <w:b/>
                <w:szCs w:val="20"/>
                <w:lang w:val="pt-BR"/>
              </w:rPr>
            </w:pPr>
            <w:r>
              <w:rPr>
                <w:b/>
                <w:szCs w:val="20"/>
                <w:lang w:val="pt-BR"/>
              </w:rPr>
              <w:t>(liquid</w:t>
            </w:r>
            <w:r w:rsidR="00DC0BB7">
              <w:rPr>
                <w:b/>
                <w:szCs w:val="20"/>
                <w:lang w:val="pt-BR"/>
              </w:rPr>
              <w:t>)</w:t>
            </w:r>
          </w:p>
          <w:p w:rsidR="00DC0BB7" w:rsidRPr="00D317EC" w:rsidRDefault="00DC0BB7" w:rsidP="00EB1676">
            <w:pPr>
              <w:pStyle w:val="Tabletext"/>
              <w:rPr>
                <w:b/>
                <w:szCs w:val="20"/>
                <w:lang w:val="pt-BR"/>
              </w:rPr>
            </w:pPr>
            <w:r w:rsidRPr="00D317EC">
              <w:rPr>
                <w:b/>
                <w:szCs w:val="20"/>
                <w:lang w:val="pt-BR"/>
              </w:rPr>
              <w:t>Pola+BR (N=39)</w:t>
            </w:r>
          </w:p>
        </w:tc>
        <w:tc>
          <w:tcPr>
            <w:tcW w:w="569" w:type="pct"/>
            <w:tcBorders>
              <w:bottom w:val="single" w:sz="4" w:space="0" w:color="auto"/>
            </w:tcBorders>
            <w:shd w:val="clear" w:color="auto" w:fill="auto"/>
            <w:vAlign w:val="center"/>
            <w:hideMark/>
          </w:tcPr>
          <w:p w:rsidR="00DC0BB7" w:rsidRPr="00D317EC" w:rsidRDefault="00DC0BB7" w:rsidP="00EB1676">
            <w:pPr>
              <w:pStyle w:val="Tabletext"/>
              <w:rPr>
                <w:b/>
                <w:szCs w:val="20"/>
              </w:rPr>
            </w:pPr>
            <w:r w:rsidRPr="00D317EC">
              <w:rPr>
                <w:b/>
                <w:szCs w:val="20"/>
              </w:rPr>
              <w:t>Arm D</w:t>
            </w:r>
          </w:p>
          <w:p w:rsidR="00DC0BB7" w:rsidRPr="00D317EC" w:rsidRDefault="00DC0BB7" w:rsidP="00EB1676">
            <w:pPr>
              <w:pStyle w:val="Tabletext"/>
              <w:rPr>
                <w:b/>
                <w:szCs w:val="20"/>
              </w:rPr>
            </w:pPr>
            <w:r w:rsidRPr="00D317EC">
              <w:rPr>
                <w:b/>
                <w:szCs w:val="20"/>
              </w:rPr>
              <w:t>BR</w:t>
            </w:r>
          </w:p>
          <w:p w:rsidR="00DC0BB7" w:rsidRPr="00D317EC" w:rsidRDefault="00DC0BB7" w:rsidP="00EB1676">
            <w:pPr>
              <w:pStyle w:val="Tabletext"/>
              <w:rPr>
                <w:b/>
                <w:szCs w:val="20"/>
              </w:rPr>
            </w:pPr>
            <w:r w:rsidRPr="00D317EC">
              <w:rPr>
                <w:b/>
                <w:szCs w:val="20"/>
              </w:rPr>
              <w:t>(N=39)</w:t>
            </w:r>
          </w:p>
        </w:tc>
        <w:tc>
          <w:tcPr>
            <w:tcW w:w="887" w:type="pct"/>
            <w:tcBorders>
              <w:bottom w:val="single" w:sz="4" w:space="0" w:color="auto"/>
            </w:tcBorders>
            <w:shd w:val="clear" w:color="auto" w:fill="auto"/>
            <w:vAlign w:val="center"/>
            <w:hideMark/>
          </w:tcPr>
          <w:p w:rsidR="00DC0BB7" w:rsidRPr="00D317EC" w:rsidRDefault="00DC0BB7" w:rsidP="00EB1676">
            <w:pPr>
              <w:pStyle w:val="Tabletext"/>
              <w:rPr>
                <w:b/>
                <w:szCs w:val="20"/>
              </w:rPr>
            </w:pPr>
            <w:r w:rsidRPr="00D317EC">
              <w:rPr>
                <w:b/>
                <w:szCs w:val="20"/>
              </w:rPr>
              <w:t xml:space="preserve">Arm C vs Arm D Relative Risk </w:t>
            </w:r>
            <w:r w:rsidRPr="00D317EC">
              <w:rPr>
                <w:b/>
                <w:szCs w:val="20"/>
              </w:rPr>
              <w:br/>
              <w:t>(95% CI)</w:t>
            </w:r>
          </w:p>
        </w:tc>
        <w:tc>
          <w:tcPr>
            <w:tcW w:w="916" w:type="pct"/>
            <w:tcBorders>
              <w:bottom w:val="single" w:sz="4" w:space="0" w:color="auto"/>
            </w:tcBorders>
            <w:shd w:val="clear" w:color="auto" w:fill="auto"/>
            <w:vAlign w:val="center"/>
            <w:hideMark/>
          </w:tcPr>
          <w:p w:rsidR="00DC0BB7" w:rsidRPr="00D317EC" w:rsidRDefault="00DC0BB7" w:rsidP="00EB1676">
            <w:pPr>
              <w:pStyle w:val="Tabletext"/>
              <w:rPr>
                <w:b/>
                <w:szCs w:val="20"/>
              </w:rPr>
            </w:pPr>
            <w:r w:rsidRPr="00D317EC">
              <w:rPr>
                <w:b/>
                <w:szCs w:val="20"/>
              </w:rPr>
              <w:t xml:space="preserve">Arm C vs Arm D Risk Difference </w:t>
            </w:r>
            <w:r w:rsidRPr="00D317EC">
              <w:rPr>
                <w:b/>
                <w:szCs w:val="20"/>
              </w:rPr>
              <w:br/>
              <w:t>(95% CI)</w:t>
            </w:r>
          </w:p>
        </w:tc>
      </w:tr>
      <w:tr w:rsidR="00DC0BB7" w:rsidRPr="00D317EC" w:rsidTr="007F4162">
        <w:trPr>
          <w:trHeight w:val="953"/>
        </w:trPr>
        <w:tc>
          <w:tcPr>
            <w:tcW w:w="1334" w:type="pct"/>
            <w:shd w:val="clear" w:color="auto" w:fill="auto"/>
            <w:noWrap/>
            <w:hideMark/>
          </w:tcPr>
          <w:p w:rsidR="00DC0BB7" w:rsidRDefault="00DC0BB7" w:rsidP="00EB1676">
            <w:pPr>
              <w:pStyle w:val="Tabletext"/>
              <w:rPr>
                <w:szCs w:val="20"/>
              </w:rPr>
            </w:pPr>
            <w:r>
              <w:rPr>
                <w:szCs w:val="20"/>
              </w:rPr>
              <w:t>Patients with at least one</w:t>
            </w:r>
            <w:r w:rsidR="00ED1A4E">
              <w:rPr>
                <w:szCs w:val="20"/>
              </w:rPr>
              <w:t xml:space="preserve"> of</w:t>
            </w:r>
            <w:r>
              <w:rPr>
                <w:szCs w:val="20"/>
              </w:rPr>
              <w:t>:</w:t>
            </w:r>
          </w:p>
          <w:p w:rsidR="00DC0BB7" w:rsidRPr="00D317EC" w:rsidRDefault="00DC0BB7" w:rsidP="00EB1676">
            <w:pPr>
              <w:pStyle w:val="Tabletext"/>
              <w:rPr>
                <w:szCs w:val="20"/>
              </w:rPr>
            </w:pPr>
            <w:r w:rsidRPr="00D317EC">
              <w:rPr>
                <w:szCs w:val="20"/>
              </w:rPr>
              <w:t>Any AE</w:t>
            </w:r>
          </w:p>
          <w:p w:rsidR="00DC0BB7" w:rsidRPr="00D317EC" w:rsidRDefault="00DC0BB7" w:rsidP="00EB1676">
            <w:pPr>
              <w:pStyle w:val="Tabletext"/>
              <w:rPr>
                <w:szCs w:val="20"/>
              </w:rPr>
            </w:pPr>
            <w:r w:rsidRPr="00D317EC">
              <w:rPr>
                <w:szCs w:val="20"/>
              </w:rPr>
              <w:t>Any Grade 3-4 AE</w:t>
            </w:r>
          </w:p>
          <w:p w:rsidR="00DC0BB7" w:rsidRPr="00D317EC" w:rsidRDefault="00DC0BB7" w:rsidP="00EB1676">
            <w:pPr>
              <w:pStyle w:val="Tabletext"/>
              <w:rPr>
                <w:szCs w:val="20"/>
              </w:rPr>
            </w:pPr>
            <w:r w:rsidRPr="00D317EC">
              <w:rPr>
                <w:szCs w:val="20"/>
              </w:rPr>
              <w:t>Any SAE</w:t>
            </w:r>
          </w:p>
        </w:tc>
        <w:tc>
          <w:tcPr>
            <w:tcW w:w="725" w:type="pct"/>
            <w:tcBorders>
              <w:right w:val="double" w:sz="4" w:space="0" w:color="auto"/>
            </w:tcBorders>
          </w:tcPr>
          <w:p w:rsidR="00DC0BB7" w:rsidRDefault="00DC0BB7" w:rsidP="00EB1676">
            <w:pPr>
              <w:pStyle w:val="Tabletext"/>
              <w:jc w:val="center"/>
              <w:rPr>
                <w:szCs w:val="20"/>
              </w:rPr>
            </w:pPr>
          </w:p>
          <w:p w:rsidR="00DC0BB7" w:rsidRPr="00DC2CFA" w:rsidRDefault="00DC0BB7" w:rsidP="00EB1676">
            <w:pPr>
              <w:pStyle w:val="Tabletext"/>
              <w:jc w:val="center"/>
              <w:rPr>
                <w:szCs w:val="20"/>
              </w:rPr>
            </w:pPr>
            <w:r w:rsidRPr="00DC2CFA">
              <w:rPr>
                <w:szCs w:val="20"/>
              </w:rPr>
              <w:t>24 (96%)</w:t>
            </w:r>
          </w:p>
          <w:p w:rsidR="00DC0BB7" w:rsidRPr="00DC2CFA" w:rsidRDefault="00DC0BB7" w:rsidP="00EB1676">
            <w:pPr>
              <w:pStyle w:val="Tabletext"/>
              <w:jc w:val="center"/>
              <w:rPr>
                <w:szCs w:val="20"/>
              </w:rPr>
            </w:pPr>
            <w:r w:rsidRPr="00DC2CFA">
              <w:rPr>
                <w:szCs w:val="20"/>
              </w:rPr>
              <w:t>18 (72%)</w:t>
            </w:r>
          </w:p>
          <w:p w:rsidR="00DC0BB7" w:rsidRPr="00564102" w:rsidRDefault="00DC0BB7" w:rsidP="00EB1676">
            <w:pPr>
              <w:pStyle w:val="Tabletext"/>
              <w:jc w:val="center"/>
              <w:rPr>
                <w:szCs w:val="20"/>
              </w:rPr>
            </w:pPr>
            <w:r w:rsidRPr="00DC2CFA">
              <w:rPr>
                <w:szCs w:val="20"/>
              </w:rPr>
              <w:t>10 (40%)</w:t>
            </w:r>
          </w:p>
        </w:tc>
        <w:tc>
          <w:tcPr>
            <w:tcW w:w="569" w:type="pct"/>
            <w:tcBorders>
              <w:left w:val="double" w:sz="4" w:space="0" w:color="auto"/>
            </w:tcBorders>
            <w:shd w:val="clear" w:color="auto" w:fill="auto"/>
            <w:noWrap/>
            <w:hideMark/>
          </w:tcPr>
          <w:p w:rsidR="00DC0BB7"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39 (100%)</w:t>
            </w:r>
          </w:p>
          <w:p w:rsidR="00DC0BB7" w:rsidRPr="0025069F" w:rsidRDefault="00DC0BB7" w:rsidP="00EB1676">
            <w:pPr>
              <w:pStyle w:val="Tabletext"/>
              <w:jc w:val="center"/>
              <w:rPr>
                <w:b/>
                <w:szCs w:val="20"/>
              </w:rPr>
            </w:pPr>
            <w:r w:rsidRPr="0025069F">
              <w:rPr>
                <w:b/>
                <w:szCs w:val="20"/>
              </w:rPr>
              <w:t>33 (85%)</w:t>
            </w:r>
          </w:p>
          <w:p w:rsidR="00DC0BB7" w:rsidRPr="00564102" w:rsidRDefault="00DC0BB7" w:rsidP="00EB1676">
            <w:pPr>
              <w:pStyle w:val="Tabletext"/>
              <w:jc w:val="center"/>
              <w:rPr>
                <w:szCs w:val="20"/>
              </w:rPr>
            </w:pPr>
            <w:r w:rsidRPr="00564102">
              <w:rPr>
                <w:szCs w:val="20"/>
              </w:rPr>
              <w:t>25 (64%)</w:t>
            </w:r>
          </w:p>
        </w:tc>
        <w:tc>
          <w:tcPr>
            <w:tcW w:w="569" w:type="pct"/>
            <w:shd w:val="clear" w:color="auto" w:fill="auto"/>
            <w:noWrap/>
            <w:hideMark/>
          </w:tcPr>
          <w:p w:rsidR="00DC0BB7"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38 (97%)</w:t>
            </w:r>
          </w:p>
          <w:p w:rsidR="00DC0BB7" w:rsidRPr="00A8748D" w:rsidRDefault="00DC0BB7" w:rsidP="00EB1676">
            <w:pPr>
              <w:pStyle w:val="Tabletext"/>
              <w:jc w:val="center"/>
              <w:rPr>
                <w:b/>
                <w:szCs w:val="20"/>
              </w:rPr>
            </w:pPr>
            <w:r w:rsidRPr="00A8748D">
              <w:rPr>
                <w:b/>
                <w:szCs w:val="20"/>
              </w:rPr>
              <w:t>28 (72%)</w:t>
            </w:r>
          </w:p>
          <w:p w:rsidR="00DC0BB7" w:rsidRPr="00564102" w:rsidRDefault="00DC0BB7" w:rsidP="00EB1676">
            <w:pPr>
              <w:pStyle w:val="Tabletext"/>
              <w:jc w:val="center"/>
              <w:rPr>
                <w:szCs w:val="20"/>
              </w:rPr>
            </w:pPr>
            <w:r w:rsidRPr="00564102">
              <w:rPr>
                <w:szCs w:val="20"/>
              </w:rPr>
              <w:t>24 (62%)</w:t>
            </w:r>
          </w:p>
        </w:tc>
        <w:tc>
          <w:tcPr>
            <w:tcW w:w="887" w:type="pct"/>
            <w:shd w:val="clear" w:color="auto" w:fill="auto"/>
            <w:noWrap/>
            <w:hideMark/>
          </w:tcPr>
          <w:p w:rsidR="00DC0BB7"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1.03 (0.98, 1.08)</w:t>
            </w:r>
          </w:p>
          <w:p w:rsidR="00DC0BB7" w:rsidRPr="00564102" w:rsidRDefault="00DC0BB7" w:rsidP="00EB1676">
            <w:pPr>
              <w:pStyle w:val="Tabletext"/>
              <w:jc w:val="center"/>
              <w:rPr>
                <w:szCs w:val="20"/>
              </w:rPr>
            </w:pPr>
            <w:r w:rsidRPr="00564102">
              <w:rPr>
                <w:szCs w:val="20"/>
              </w:rPr>
              <w:t>1.18 (0.93, 1.50)</w:t>
            </w:r>
          </w:p>
          <w:p w:rsidR="00DC0BB7" w:rsidRPr="00564102" w:rsidRDefault="00DC0BB7" w:rsidP="00EB1676">
            <w:pPr>
              <w:pStyle w:val="Tabletext"/>
              <w:jc w:val="center"/>
              <w:rPr>
                <w:szCs w:val="20"/>
              </w:rPr>
            </w:pPr>
            <w:r w:rsidRPr="00564102">
              <w:rPr>
                <w:szCs w:val="20"/>
              </w:rPr>
              <w:t>1.04 (0.74, 1.47)</w:t>
            </w:r>
          </w:p>
        </w:tc>
        <w:tc>
          <w:tcPr>
            <w:tcW w:w="916" w:type="pct"/>
            <w:shd w:val="clear" w:color="auto" w:fill="auto"/>
            <w:noWrap/>
            <w:hideMark/>
          </w:tcPr>
          <w:p w:rsidR="00DC0BB7"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3% (-2%, 8%)</w:t>
            </w:r>
          </w:p>
          <w:p w:rsidR="00DC0BB7" w:rsidRPr="00564102" w:rsidRDefault="00DC0BB7" w:rsidP="00EB1676">
            <w:pPr>
              <w:pStyle w:val="Tabletext"/>
              <w:jc w:val="center"/>
              <w:rPr>
                <w:szCs w:val="20"/>
              </w:rPr>
            </w:pPr>
            <w:r w:rsidRPr="00564102">
              <w:rPr>
                <w:szCs w:val="20"/>
              </w:rPr>
              <w:t>13% (-5%, 31%)</w:t>
            </w:r>
          </w:p>
          <w:p w:rsidR="00DC0BB7" w:rsidRPr="00564102" w:rsidRDefault="00DC0BB7" w:rsidP="00EB1676">
            <w:pPr>
              <w:pStyle w:val="Tabletext"/>
              <w:jc w:val="center"/>
              <w:rPr>
                <w:szCs w:val="20"/>
              </w:rPr>
            </w:pPr>
            <w:r w:rsidRPr="00564102">
              <w:rPr>
                <w:szCs w:val="20"/>
              </w:rPr>
              <w:t>3% (-19%, 24%)</w:t>
            </w:r>
          </w:p>
        </w:tc>
      </w:tr>
      <w:tr w:rsidR="00DC0BB7" w:rsidRPr="00D317EC" w:rsidTr="007F4162">
        <w:trPr>
          <w:trHeight w:val="770"/>
        </w:trPr>
        <w:tc>
          <w:tcPr>
            <w:tcW w:w="1334" w:type="pct"/>
            <w:shd w:val="clear" w:color="auto" w:fill="auto"/>
            <w:noWrap/>
            <w:hideMark/>
          </w:tcPr>
          <w:p w:rsidR="00DC0BB7" w:rsidRPr="00D317EC" w:rsidRDefault="00DC0BB7" w:rsidP="00EB1676">
            <w:pPr>
              <w:pStyle w:val="Tabletext"/>
              <w:rPr>
                <w:szCs w:val="20"/>
              </w:rPr>
            </w:pPr>
            <w:r w:rsidRPr="00D317EC">
              <w:rPr>
                <w:szCs w:val="20"/>
              </w:rPr>
              <w:t xml:space="preserve">AE leading to discontinuation of: </w:t>
            </w:r>
          </w:p>
          <w:p w:rsidR="00DC0BB7" w:rsidRPr="00D317EC" w:rsidRDefault="00DC0BB7" w:rsidP="00EB1676">
            <w:pPr>
              <w:pStyle w:val="Tabletext"/>
              <w:tabs>
                <w:tab w:val="left" w:pos="270"/>
              </w:tabs>
              <w:rPr>
                <w:szCs w:val="20"/>
              </w:rPr>
            </w:pPr>
            <w:r w:rsidRPr="00D317EC">
              <w:rPr>
                <w:szCs w:val="20"/>
              </w:rPr>
              <w:tab/>
            </w:r>
            <w:proofErr w:type="spellStart"/>
            <w:r w:rsidRPr="00D317EC">
              <w:rPr>
                <w:szCs w:val="20"/>
              </w:rPr>
              <w:t>polatuzumab</w:t>
            </w:r>
            <w:proofErr w:type="spellEnd"/>
            <w:r w:rsidRPr="00D317EC">
              <w:rPr>
                <w:szCs w:val="20"/>
              </w:rPr>
              <w:t xml:space="preserve"> </w:t>
            </w:r>
            <w:proofErr w:type="spellStart"/>
            <w:r w:rsidRPr="00D317EC">
              <w:rPr>
                <w:szCs w:val="20"/>
              </w:rPr>
              <w:t>vedotin</w:t>
            </w:r>
            <w:proofErr w:type="spellEnd"/>
          </w:p>
          <w:p w:rsidR="00DC0BB7" w:rsidRPr="00D317EC" w:rsidRDefault="00DC0BB7" w:rsidP="00EB1676">
            <w:pPr>
              <w:pStyle w:val="Tabletext"/>
              <w:tabs>
                <w:tab w:val="left" w:pos="270"/>
              </w:tabs>
              <w:rPr>
                <w:szCs w:val="20"/>
              </w:rPr>
            </w:pPr>
            <w:r w:rsidRPr="00D317EC">
              <w:rPr>
                <w:szCs w:val="20"/>
              </w:rPr>
              <w:tab/>
              <w:t>Any study drug</w:t>
            </w:r>
          </w:p>
        </w:tc>
        <w:tc>
          <w:tcPr>
            <w:tcW w:w="725" w:type="pct"/>
            <w:tcBorders>
              <w:right w:val="double" w:sz="4" w:space="0" w:color="auto"/>
            </w:tcBorders>
          </w:tcPr>
          <w:p w:rsidR="00DC0BB7" w:rsidRPr="00A629DB" w:rsidRDefault="00DC0BB7" w:rsidP="00EB1676">
            <w:pPr>
              <w:pStyle w:val="Tabletext"/>
              <w:jc w:val="center"/>
              <w:rPr>
                <w:szCs w:val="20"/>
              </w:rPr>
            </w:pPr>
          </w:p>
          <w:p w:rsidR="008E6181" w:rsidRDefault="008E6181" w:rsidP="00EB1676">
            <w:pPr>
              <w:pStyle w:val="Tabletext"/>
              <w:jc w:val="center"/>
              <w:rPr>
                <w:szCs w:val="20"/>
              </w:rPr>
            </w:pPr>
          </w:p>
          <w:p w:rsidR="00DC0BB7" w:rsidRPr="00A629DB" w:rsidRDefault="00DC0BB7" w:rsidP="00EB1676">
            <w:pPr>
              <w:pStyle w:val="Tabletext"/>
              <w:jc w:val="center"/>
              <w:rPr>
                <w:szCs w:val="20"/>
              </w:rPr>
            </w:pPr>
            <w:r w:rsidRPr="00A629DB">
              <w:rPr>
                <w:szCs w:val="20"/>
              </w:rPr>
              <w:t>2 (8%)</w:t>
            </w:r>
          </w:p>
          <w:p w:rsidR="00DC0BB7" w:rsidRPr="00564102" w:rsidRDefault="00DC0BB7" w:rsidP="00EB1676">
            <w:pPr>
              <w:pStyle w:val="Tabletext"/>
              <w:jc w:val="center"/>
              <w:rPr>
                <w:szCs w:val="20"/>
              </w:rPr>
            </w:pPr>
            <w:r w:rsidRPr="00A629DB">
              <w:rPr>
                <w:szCs w:val="20"/>
              </w:rPr>
              <w:t>3 (12%)</w:t>
            </w:r>
          </w:p>
        </w:tc>
        <w:tc>
          <w:tcPr>
            <w:tcW w:w="569" w:type="pct"/>
            <w:tcBorders>
              <w:left w:val="double" w:sz="4" w:space="0" w:color="auto"/>
            </w:tcBorders>
            <w:shd w:val="clear" w:color="auto" w:fill="auto"/>
            <w:noWrap/>
            <w:hideMark/>
          </w:tcPr>
          <w:p w:rsidR="00DC0BB7" w:rsidRPr="00564102" w:rsidRDefault="00DC0BB7" w:rsidP="00EB1676">
            <w:pPr>
              <w:pStyle w:val="Tabletext"/>
              <w:jc w:val="center"/>
              <w:rPr>
                <w:szCs w:val="20"/>
              </w:rPr>
            </w:pPr>
          </w:p>
          <w:p w:rsidR="008E6181" w:rsidRDefault="008E6181" w:rsidP="00EB1676">
            <w:pPr>
              <w:pStyle w:val="Tabletext"/>
              <w:jc w:val="center"/>
              <w:rPr>
                <w:szCs w:val="20"/>
              </w:rPr>
            </w:pPr>
          </w:p>
          <w:p w:rsidR="00DC0BB7" w:rsidRPr="00564102" w:rsidRDefault="00DC0BB7" w:rsidP="00EB1676">
            <w:pPr>
              <w:pStyle w:val="Tabletext"/>
              <w:jc w:val="center"/>
              <w:rPr>
                <w:szCs w:val="20"/>
              </w:rPr>
            </w:pPr>
            <w:r w:rsidRPr="00564102">
              <w:rPr>
                <w:szCs w:val="20"/>
              </w:rPr>
              <w:t>12 (31%)</w:t>
            </w:r>
          </w:p>
          <w:p w:rsidR="00DC0BB7" w:rsidRPr="0025069F" w:rsidRDefault="00DC0BB7" w:rsidP="00EB1676">
            <w:pPr>
              <w:pStyle w:val="Tabletext"/>
              <w:jc w:val="center"/>
              <w:rPr>
                <w:b/>
                <w:szCs w:val="20"/>
              </w:rPr>
            </w:pPr>
            <w:r w:rsidRPr="0025069F">
              <w:rPr>
                <w:b/>
                <w:szCs w:val="20"/>
              </w:rPr>
              <w:t>13 (33%)</w:t>
            </w:r>
          </w:p>
        </w:tc>
        <w:tc>
          <w:tcPr>
            <w:tcW w:w="569"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w:t>
            </w:r>
          </w:p>
          <w:p w:rsidR="008E6181" w:rsidRDefault="008E6181" w:rsidP="00EB1676">
            <w:pPr>
              <w:pStyle w:val="Tabletext"/>
              <w:jc w:val="center"/>
              <w:rPr>
                <w:b/>
                <w:szCs w:val="20"/>
              </w:rPr>
            </w:pPr>
          </w:p>
          <w:p w:rsidR="00DC0BB7" w:rsidRPr="00A8748D" w:rsidRDefault="00DC0BB7" w:rsidP="00EB1676">
            <w:pPr>
              <w:pStyle w:val="Tabletext"/>
              <w:jc w:val="center"/>
              <w:rPr>
                <w:b/>
                <w:szCs w:val="20"/>
              </w:rPr>
            </w:pPr>
            <w:r w:rsidRPr="00A8748D">
              <w:rPr>
                <w:b/>
                <w:szCs w:val="20"/>
              </w:rPr>
              <w:t>6 (15%)</w:t>
            </w:r>
          </w:p>
        </w:tc>
        <w:tc>
          <w:tcPr>
            <w:tcW w:w="887"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w:t>
            </w:r>
          </w:p>
          <w:p w:rsidR="008E6181" w:rsidRDefault="008E6181" w:rsidP="00EB1676">
            <w:pPr>
              <w:pStyle w:val="Tabletext"/>
              <w:jc w:val="center"/>
              <w:rPr>
                <w:szCs w:val="20"/>
              </w:rPr>
            </w:pPr>
          </w:p>
          <w:p w:rsidR="00DC0BB7" w:rsidRPr="00564102" w:rsidRDefault="00DC0BB7" w:rsidP="00EB1676">
            <w:pPr>
              <w:pStyle w:val="Tabletext"/>
              <w:jc w:val="center"/>
              <w:rPr>
                <w:szCs w:val="20"/>
              </w:rPr>
            </w:pPr>
            <w:r w:rsidRPr="00564102">
              <w:rPr>
                <w:szCs w:val="20"/>
              </w:rPr>
              <w:t>2.17 (0.92, 5.12)</w:t>
            </w:r>
          </w:p>
        </w:tc>
        <w:tc>
          <w:tcPr>
            <w:tcW w:w="916"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w:t>
            </w:r>
          </w:p>
          <w:p w:rsidR="008E6181" w:rsidRDefault="008E6181" w:rsidP="00EB1676">
            <w:pPr>
              <w:pStyle w:val="Tabletext"/>
              <w:jc w:val="center"/>
              <w:rPr>
                <w:szCs w:val="20"/>
              </w:rPr>
            </w:pPr>
          </w:p>
          <w:p w:rsidR="00DC0BB7" w:rsidRPr="00564102" w:rsidRDefault="00DC0BB7" w:rsidP="00EB1676">
            <w:pPr>
              <w:pStyle w:val="Tabletext"/>
              <w:jc w:val="center"/>
              <w:rPr>
                <w:szCs w:val="20"/>
              </w:rPr>
            </w:pPr>
            <w:r w:rsidRPr="00564102">
              <w:rPr>
                <w:szCs w:val="20"/>
              </w:rPr>
              <w:t>18% (-1%, 37%)</w:t>
            </w:r>
          </w:p>
        </w:tc>
      </w:tr>
      <w:tr w:rsidR="00DC0BB7" w:rsidRPr="00D317EC" w:rsidTr="007F4162">
        <w:trPr>
          <w:trHeight w:val="809"/>
        </w:trPr>
        <w:tc>
          <w:tcPr>
            <w:tcW w:w="1334" w:type="pct"/>
            <w:shd w:val="clear" w:color="auto" w:fill="auto"/>
            <w:noWrap/>
            <w:hideMark/>
          </w:tcPr>
          <w:p w:rsidR="00DC0BB7" w:rsidRPr="00D317EC" w:rsidRDefault="00DC0BB7" w:rsidP="00EB1676">
            <w:pPr>
              <w:pStyle w:val="Tabletext"/>
              <w:rPr>
                <w:szCs w:val="20"/>
              </w:rPr>
            </w:pPr>
            <w:r w:rsidRPr="00D317EC">
              <w:rPr>
                <w:szCs w:val="20"/>
              </w:rPr>
              <w:t>AE leading to modification/interruption of:</w:t>
            </w:r>
          </w:p>
          <w:p w:rsidR="00DC0BB7" w:rsidRPr="00D317EC" w:rsidRDefault="00DC0BB7" w:rsidP="00EB1676">
            <w:pPr>
              <w:pStyle w:val="Tabletext"/>
              <w:tabs>
                <w:tab w:val="left" w:pos="270"/>
              </w:tabs>
              <w:rPr>
                <w:szCs w:val="20"/>
              </w:rPr>
            </w:pPr>
            <w:r w:rsidRPr="00D317EC">
              <w:rPr>
                <w:szCs w:val="20"/>
              </w:rPr>
              <w:tab/>
            </w:r>
            <w:proofErr w:type="spellStart"/>
            <w:r w:rsidRPr="00D317EC">
              <w:rPr>
                <w:szCs w:val="20"/>
              </w:rPr>
              <w:t>polatuzumab</w:t>
            </w:r>
            <w:proofErr w:type="spellEnd"/>
            <w:r w:rsidRPr="00D317EC">
              <w:rPr>
                <w:szCs w:val="20"/>
              </w:rPr>
              <w:t xml:space="preserve"> </w:t>
            </w:r>
            <w:proofErr w:type="spellStart"/>
            <w:r w:rsidRPr="00D317EC">
              <w:rPr>
                <w:szCs w:val="20"/>
              </w:rPr>
              <w:t>vedotin</w:t>
            </w:r>
            <w:proofErr w:type="spellEnd"/>
          </w:p>
          <w:p w:rsidR="00DC0BB7" w:rsidRPr="00D317EC" w:rsidRDefault="00DC0BB7" w:rsidP="00EB1676">
            <w:pPr>
              <w:pStyle w:val="Tabletext"/>
              <w:tabs>
                <w:tab w:val="left" w:pos="270"/>
              </w:tabs>
              <w:rPr>
                <w:szCs w:val="20"/>
              </w:rPr>
            </w:pPr>
            <w:r w:rsidRPr="00D317EC">
              <w:rPr>
                <w:szCs w:val="20"/>
              </w:rPr>
              <w:tab/>
              <w:t>Any study drug</w:t>
            </w:r>
          </w:p>
        </w:tc>
        <w:tc>
          <w:tcPr>
            <w:tcW w:w="725" w:type="pct"/>
            <w:tcBorders>
              <w:right w:val="double" w:sz="4" w:space="0" w:color="auto"/>
            </w:tcBorders>
          </w:tcPr>
          <w:p w:rsidR="00DC0BB7" w:rsidRDefault="00DC0BB7" w:rsidP="00EB1676">
            <w:pPr>
              <w:pStyle w:val="Tabletext"/>
              <w:jc w:val="center"/>
              <w:rPr>
                <w:szCs w:val="20"/>
              </w:rPr>
            </w:pPr>
          </w:p>
          <w:p w:rsidR="00DC0BB7" w:rsidRPr="00A629DB" w:rsidRDefault="00DC0BB7" w:rsidP="00EB1676">
            <w:pPr>
              <w:pStyle w:val="Tabletext"/>
              <w:jc w:val="center"/>
              <w:rPr>
                <w:szCs w:val="20"/>
              </w:rPr>
            </w:pPr>
          </w:p>
          <w:p w:rsidR="00DC0BB7" w:rsidRPr="00A629DB" w:rsidRDefault="00DC0BB7" w:rsidP="00EB1676">
            <w:pPr>
              <w:pStyle w:val="Tabletext"/>
              <w:jc w:val="center"/>
              <w:rPr>
                <w:szCs w:val="20"/>
              </w:rPr>
            </w:pPr>
            <w:r w:rsidRPr="00A629DB">
              <w:rPr>
                <w:szCs w:val="20"/>
              </w:rPr>
              <w:t>6 (24%)</w:t>
            </w:r>
          </w:p>
          <w:p w:rsidR="00DC0BB7" w:rsidRPr="00F740E0" w:rsidRDefault="00DC0BB7" w:rsidP="00EB1676">
            <w:pPr>
              <w:pStyle w:val="Tabletext"/>
              <w:jc w:val="center"/>
              <w:rPr>
                <w:b/>
                <w:szCs w:val="20"/>
              </w:rPr>
            </w:pPr>
            <w:r w:rsidRPr="00F740E0">
              <w:rPr>
                <w:b/>
                <w:szCs w:val="20"/>
              </w:rPr>
              <w:t>6 (24%)</w:t>
            </w:r>
          </w:p>
        </w:tc>
        <w:tc>
          <w:tcPr>
            <w:tcW w:w="569" w:type="pct"/>
            <w:tcBorders>
              <w:left w:val="double" w:sz="4" w:space="0" w:color="auto"/>
            </w:tcBorders>
            <w:shd w:val="clear" w:color="auto" w:fill="auto"/>
            <w:noWrap/>
            <w:hideMark/>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22 (56%)</w:t>
            </w:r>
          </w:p>
          <w:p w:rsidR="00DC0BB7" w:rsidRPr="0025069F" w:rsidRDefault="00DC0BB7" w:rsidP="00EB1676">
            <w:pPr>
              <w:pStyle w:val="Tabletext"/>
              <w:jc w:val="center"/>
              <w:rPr>
                <w:b/>
                <w:szCs w:val="20"/>
              </w:rPr>
            </w:pPr>
            <w:r w:rsidRPr="0025069F">
              <w:rPr>
                <w:b/>
                <w:szCs w:val="20"/>
              </w:rPr>
              <w:t>28 (72%)</w:t>
            </w:r>
          </w:p>
        </w:tc>
        <w:tc>
          <w:tcPr>
            <w:tcW w:w="569"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w:t>
            </w:r>
          </w:p>
          <w:p w:rsidR="00DC0BB7" w:rsidRPr="00A8748D" w:rsidRDefault="00DC0BB7" w:rsidP="00EB1676">
            <w:pPr>
              <w:pStyle w:val="Tabletext"/>
              <w:jc w:val="center"/>
              <w:rPr>
                <w:b/>
                <w:szCs w:val="20"/>
              </w:rPr>
            </w:pPr>
            <w:r w:rsidRPr="00A8748D">
              <w:rPr>
                <w:b/>
                <w:szCs w:val="20"/>
              </w:rPr>
              <w:t>19 (49%)</w:t>
            </w:r>
          </w:p>
        </w:tc>
        <w:tc>
          <w:tcPr>
            <w:tcW w:w="887"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w:t>
            </w:r>
          </w:p>
          <w:p w:rsidR="00DC0BB7" w:rsidRPr="003D26CA" w:rsidRDefault="00DC0BB7" w:rsidP="00EB1676">
            <w:pPr>
              <w:pStyle w:val="Tabletext"/>
              <w:jc w:val="center"/>
              <w:rPr>
                <w:szCs w:val="20"/>
              </w:rPr>
            </w:pPr>
            <w:r w:rsidRPr="003D26CA">
              <w:rPr>
                <w:szCs w:val="20"/>
              </w:rPr>
              <w:t>1.47 (1.01, 2.15)</w:t>
            </w:r>
          </w:p>
        </w:tc>
        <w:tc>
          <w:tcPr>
            <w:tcW w:w="916"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w:t>
            </w:r>
          </w:p>
          <w:p w:rsidR="00DC0BB7" w:rsidRPr="00F740E0" w:rsidRDefault="00DC0BB7" w:rsidP="00EB1676">
            <w:pPr>
              <w:pStyle w:val="Tabletext"/>
              <w:jc w:val="center"/>
              <w:rPr>
                <w:b/>
                <w:szCs w:val="20"/>
              </w:rPr>
            </w:pPr>
            <w:r w:rsidRPr="00F740E0">
              <w:rPr>
                <w:b/>
                <w:szCs w:val="20"/>
              </w:rPr>
              <w:t>23% (2%, 44%)</w:t>
            </w:r>
          </w:p>
        </w:tc>
      </w:tr>
      <w:tr w:rsidR="00DC0BB7" w:rsidRPr="00D317EC" w:rsidTr="007F4162">
        <w:trPr>
          <w:trHeight w:val="365"/>
        </w:trPr>
        <w:tc>
          <w:tcPr>
            <w:tcW w:w="1334" w:type="pct"/>
            <w:shd w:val="clear" w:color="auto" w:fill="auto"/>
            <w:noWrap/>
            <w:hideMark/>
          </w:tcPr>
          <w:p w:rsidR="00DC0BB7" w:rsidRPr="00D317EC" w:rsidRDefault="00DC0BB7" w:rsidP="00EB1676">
            <w:pPr>
              <w:pStyle w:val="Tabletext"/>
              <w:rPr>
                <w:szCs w:val="20"/>
              </w:rPr>
            </w:pPr>
            <w:r w:rsidRPr="00D317EC">
              <w:rPr>
                <w:szCs w:val="20"/>
              </w:rPr>
              <w:t>Total number of deaths</w:t>
            </w:r>
          </w:p>
          <w:p w:rsidR="00DC0BB7" w:rsidRPr="00D317EC" w:rsidRDefault="00DC0BB7" w:rsidP="00EB1676">
            <w:pPr>
              <w:pStyle w:val="Tabletext"/>
              <w:rPr>
                <w:szCs w:val="20"/>
              </w:rPr>
            </w:pPr>
            <w:r w:rsidRPr="00D317EC">
              <w:rPr>
                <w:szCs w:val="20"/>
              </w:rPr>
              <w:tab/>
              <w:t>Deaths due to PD</w:t>
            </w:r>
          </w:p>
        </w:tc>
        <w:tc>
          <w:tcPr>
            <w:tcW w:w="725" w:type="pct"/>
            <w:tcBorders>
              <w:right w:val="double" w:sz="4" w:space="0" w:color="auto"/>
            </w:tcBorders>
          </w:tcPr>
          <w:p w:rsidR="00DC0BB7" w:rsidRDefault="00DC0BB7" w:rsidP="00EB1676">
            <w:pPr>
              <w:pStyle w:val="Tabletext"/>
              <w:jc w:val="center"/>
              <w:rPr>
                <w:szCs w:val="20"/>
              </w:rPr>
            </w:pPr>
            <w:r w:rsidRPr="00A629DB">
              <w:rPr>
                <w:szCs w:val="20"/>
              </w:rPr>
              <w:t>3 (12%)</w:t>
            </w:r>
          </w:p>
          <w:p w:rsidR="00DC0BB7" w:rsidRPr="00564102" w:rsidRDefault="00DC0BB7" w:rsidP="00EB1676">
            <w:pPr>
              <w:pStyle w:val="Tabletext"/>
              <w:jc w:val="center"/>
              <w:rPr>
                <w:szCs w:val="20"/>
              </w:rPr>
            </w:pPr>
            <w:r>
              <w:rPr>
                <w:szCs w:val="20"/>
              </w:rPr>
              <w:t>NR</w:t>
            </w:r>
          </w:p>
        </w:tc>
        <w:tc>
          <w:tcPr>
            <w:tcW w:w="569" w:type="pct"/>
            <w:tcBorders>
              <w:left w:val="double" w:sz="4" w:space="0" w:color="auto"/>
            </w:tcBorders>
            <w:shd w:val="clear" w:color="auto" w:fill="auto"/>
            <w:noWrap/>
            <w:hideMark/>
          </w:tcPr>
          <w:p w:rsidR="00DC0BB7" w:rsidRPr="00564102" w:rsidRDefault="00DC0BB7" w:rsidP="00EB1676">
            <w:pPr>
              <w:pStyle w:val="Tabletext"/>
              <w:jc w:val="center"/>
              <w:rPr>
                <w:szCs w:val="20"/>
              </w:rPr>
            </w:pPr>
            <w:r w:rsidRPr="00564102">
              <w:rPr>
                <w:szCs w:val="20"/>
              </w:rPr>
              <w:t>23 (59%)</w:t>
            </w:r>
          </w:p>
          <w:p w:rsidR="00DC0BB7" w:rsidRPr="00564102" w:rsidRDefault="00DC0BB7" w:rsidP="00EB1676">
            <w:pPr>
              <w:pStyle w:val="Tabletext"/>
              <w:jc w:val="center"/>
              <w:rPr>
                <w:szCs w:val="20"/>
              </w:rPr>
            </w:pPr>
            <w:r w:rsidRPr="00564102">
              <w:rPr>
                <w:szCs w:val="20"/>
              </w:rPr>
              <w:t>14 (36%)</w:t>
            </w:r>
          </w:p>
        </w:tc>
        <w:tc>
          <w:tcPr>
            <w:tcW w:w="569" w:type="pct"/>
            <w:shd w:val="clear" w:color="auto" w:fill="auto"/>
            <w:noWrap/>
            <w:hideMark/>
          </w:tcPr>
          <w:p w:rsidR="00DC0BB7" w:rsidRPr="00564102" w:rsidRDefault="00DC0BB7" w:rsidP="00EB1676">
            <w:pPr>
              <w:pStyle w:val="Tabletext"/>
              <w:jc w:val="center"/>
              <w:rPr>
                <w:szCs w:val="20"/>
              </w:rPr>
            </w:pPr>
            <w:r w:rsidRPr="00564102">
              <w:rPr>
                <w:szCs w:val="20"/>
              </w:rPr>
              <w:t>28 (72%)</w:t>
            </w:r>
          </w:p>
          <w:p w:rsidR="00DC0BB7" w:rsidRPr="00564102" w:rsidRDefault="00DC0BB7" w:rsidP="00EB1676">
            <w:pPr>
              <w:pStyle w:val="Tabletext"/>
              <w:jc w:val="center"/>
              <w:rPr>
                <w:szCs w:val="20"/>
              </w:rPr>
            </w:pPr>
            <w:r w:rsidRPr="00564102">
              <w:rPr>
                <w:szCs w:val="20"/>
              </w:rPr>
              <w:t>17 (44%)</w:t>
            </w:r>
          </w:p>
        </w:tc>
        <w:tc>
          <w:tcPr>
            <w:tcW w:w="887" w:type="pct"/>
            <w:shd w:val="clear" w:color="auto" w:fill="auto"/>
            <w:noWrap/>
            <w:hideMark/>
          </w:tcPr>
          <w:p w:rsidR="00DC0BB7" w:rsidRPr="00564102" w:rsidRDefault="00DC0BB7" w:rsidP="00EB1676">
            <w:pPr>
              <w:pStyle w:val="Tabletext"/>
              <w:jc w:val="center"/>
              <w:rPr>
                <w:szCs w:val="20"/>
              </w:rPr>
            </w:pPr>
            <w:r w:rsidRPr="00564102">
              <w:rPr>
                <w:szCs w:val="20"/>
              </w:rPr>
              <w:t>0.82 (0.59, 1.14)</w:t>
            </w:r>
          </w:p>
          <w:p w:rsidR="00DC0BB7" w:rsidRPr="00564102" w:rsidRDefault="00DC0BB7" w:rsidP="00EB1676">
            <w:pPr>
              <w:pStyle w:val="Tabletext"/>
              <w:jc w:val="center"/>
              <w:rPr>
                <w:szCs w:val="20"/>
              </w:rPr>
            </w:pPr>
            <w:r w:rsidRPr="00564102">
              <w:rPr>
                <w:szCs w:val="20"/>
              </w:rPr>
              <w:t>0.82 (0.47, 1.43)</w:t>
            </w:r>
          </w:p>
        </w:tc>
        <w:tc>
          <w:tcPr>
            <w:tcW w:w="916" w:type="pct"/>
            <w:shd w:val="clear" w:color="auto" w:fill="auto"/>
            <w:noWrap/>
            <w:hideMark/>
          </w:tcPr>
          <w:p w:rsidR="00DC0BB7" w:rsidRPr="00564102" w:rsidRDefault="00DC0BB7" w:rsidP="00EB1676">
            <w:pPr>
              <w:pStyle w:val="Tabletext"/>
              <w:jc w:val="center"/>
              <w:rPr>
                <w:szCs w:val="20"/>
              </w:rPr>
            </w:pPr>
            <w:r w:rsidRPr="00564102">
              <w:rPr>
                <w:szCs w:val="20"/>
              </w:rPr>
              <w:t>-13% (-34%, 8%)</w:t>
            </w:r>
          </w:p>
          <w:p w:rsidR="00DC0BB7" w:rsidRPr="00564102" w:rsidRDefault="00DC0BB7" w:rsidP="00EB1676">
            <w:pPr>
              <w:pStyle w:val="Tabletext"/>
              <w:jc w:val="center"/>
              <w:rPr>
                <w:szCs w:val="20"/>
              </w:rPr>
            </w:pPr>
            <w:r w:rsidRPr="00564102">
              <w:rPr>
                <w:szCs w:val="20"/>
              </w:rPr>
              <w:t>-8% (-29%, 14%)</w:t>
            </w:r>
          </w:p>
        </w:tc>
      </w:tr>
      <w:tr w:rsidR="00DC0BB7" w:rsidRPr="00D317EC" w:rsidTr="007F4162">
        <w:trPr>
          <w:trHeight w:val="1253"/>
        </w:trPr>
        <w:tc>
          <w:tcPr>
            <w:tcW w:w="1334" w:type="pct"/>
            <w:shd w:val="clear" w:color="auto" w:fill="auto"/>
            <w:noWrap/>
            <w:hideMark/>
          </w:tcPr>
          <w:p w:rsidR="00DC0BB7" w:rsidRPr="00D317EC" w:rsidRDefault="00DC0BB7" w:rsidP="00EB1676">
            <w:pPr>
              <w:pStyle w:val="Tabletext"/>
              <w:rPr>
                <w:szCs w:val="20"/>
              </w:rPr>
            </w:pPr>
            <w:r w:rsidRPr="00D317EC">
              <w:rPr>
                <w:szCs w:val="20"/>
              </w:rPr>
              <w:t>AEs to monitor</w:t>
            </w:r>
          </w:p>
          <w:p w:rsidR="00DC0BB7" w:rsidRPr="00D317EC" w:rsidRDefault="00DC0BB7" w:rsidP="00EB1676">
            <w:pPr>
              <w:pStyle w:val="Tabletext"/>
              <w:tabs>
                <w:tab w:val="left" w:pos="270"/>
              </w:tabs>
              <w:rPr>
                <w:szCs w:val="20"/>
              </w:rPr>
            </w:pPr>
            <w:r w:rsidRPr="00D317EC">
              <w:rPr>
                <w:szCs w:val="20"/>
              </w:rPr>
              <w:tab/>
              <w:t xml:space="preserve">Grade ≥2 </w:t>
            </w:r>
            <w:proofErr w:type="spellStart"/>
            <w:r w:rsidRPr="00D317EC">
              <w:rPr>
                <w:szCs w:val="20"/>
              </w:rPr>
              <w:t>Periph</w:t>
            </w:r>
            <w:proofErr w:type="spellEnd"/>
            <w:r w:rsidRPr="00D317EC">
              <w:rPr>
                <w:szCs w:val="20"/>
              </w:rPr>
              <w:t>. neuropathy</w:t>
            </w:r>
          </w:p>
          <w:p w:rsidR="00DC0BB7" w:rsidRPr="00D317EC" w:rsidRDefault="00DC0BB7" w:rsidP="00EB1676">
            <w:pPr>
              <w:pStyle w:val="Tabletext"/>
              <w:tabs>
                <w:tab w:val="left" w:pos="270"/>
              </w:tabs>
              <w:rPr>
                <w:szCs w:val="20"/>
              </w:rPr>
            </w:pPr>
            <w:r w:rsidRPr="00D317EC">
              <w:rPr>
                <w:szCs w:val="20"/>
              </w:rPr>
              <w:tab/>
              <w:t>Grade ≥3 Neutropenia</w:t>
            </w:r>
          </w:p>
          <w:p w:rsidR="00DC0BB7" w:rsidRPr="00D317EC" w:rsidRDefault="00DC0BB7" w:rsidP="00EB1676">
            <w:pPr>
              <w:pStyle w:val="Tabletext"/>
              <w:tabs>
                <w:tab w:val="left" w:pos="270"/>
              </w:tabs>
              <w:rPr>
                <w:szCs w:val="20"/>
              </w:rPr>
            </w:pPr>
            <w:r w:rsidRPr="00D317EC">
              <w:rPr>
                <w:szCs w:val="20"/>
              </w:rPr>
              <w:tab/>
              <w:t>Grade ≥3 Hepatotoxicity</w:t>
            </w:r>
          </w:p>
          <w:p w:rsidR="00DC0BB7" w:rsidRPr="00D317EC" w:rsidRDefault="00DC0BB7" w:rsidP="00EB1676">
            <w:pPr>
              <w:pStyle w:val="Tabletext"/>
              <w:tabs>
                <w:tab w:val="left" w:pos="270"/>
              </w:tabs>
              <w:rPr>
                <w:szCs w:val="20"/>
              </w:rPr>
            </w:pPr>
            <w:r w:rsidRPr="00D317EC">
              <w:rPr>
                <w:szCs w:val="20"/>
              </w:rPr>
              <w:tab/>
              <w:t>Grade ≥3 Infections and infestations</w:t>
            </w:r>
          </w:p>
        </w:tc>
        <w:tc>
          <w:tcPr>
            <w:tcW w:w="725" w:type="pct"/>
            <w:tcBorders>
              <w:right w:val="double" w:sz="4" w:space="0" w:color="auto"/>
            </w:tcBorders>
          </w:tcPr>
          <w:p w:rsidR="00DC0BB7" w:rsidRPr="00A8748D" w:rsidRDefault="00DC0BB7" w:rsidP="00EB1676">
            <w:pPr>
              <w:pStyle w:val="Tabletext"/>
              <w:jc w:val="center"/>
              <w:rPr>
                <w:szCs w:val="20"/>
              </w:rPr>
            </w:pPr>
          </w:p>
          <w:p w:rsidR="00DC0BB7" w:rsidRPr="00A8748D" w:rsidRDefault="00DC0BB7" w:rsidP="00EB1676">
            <w:pPr>
              <w:pStyle w:val="Tabletext"/>
              <w:jc w:val="center"/>
              <w:rPr>
                <w:szCs w:val="20"/>
              </w:rPr>
            </w:pPr>
            <w:r w:rsidRPr="00A8748D">
              <w:rPr>
                <w:szCs w:val="20"/>
              </w:rPr>
              <w:t>0</w:t>
            </w:r>
          </w:p>
          <w:p w:rsidR="003D26CA" w:rsidRDefault="003D26CA" w:rsidP="00EB1676">
            <w:pPr>
              <w:pStyle w:val="Tabletext"/>
              <w:jc w:val="center"/>
              <w:rPr>
                <w:szCs w:val="20"/>
              </w:rPr>
            </w:pPr>
          </w:p>
          <w:p w:rsidR="00DC0BB7" w:rsidRPr="00A8748D" w:rsidRDefault="00DC0BB7" w:rsidP="00EB1676">
            <w:pPr>
              <w:pStyle w:val="Tabletext"/>
              <w:jc w:val="center"/>
              <w:rPr>
                <w:szCs w:val="20"/>
              </w:rPr>
            </w:pPr>
            <w:r w:rsidRPr="00A8748D">
              <w:rPr>
                <w:szCs w:val="20"/>
              </w:rPr>
              <w:t>10 (40%)</w:t>
            </w:r>
          </w:p>
          <w:p w:rsidR="00DC0BB7" w:rsidRPr="00A8748D" w:rsidRDefault="00DC0BB7" w:rsidP="00EB1676">
            <w:pPr>
              <w:pStyle w:val="Tabletext"/>
              <w:jc w:val="center"/>
              <w:rPr>
                <w:szCs w:val="20"/>
              </w:rPr>
            </w:pPr>
            <w:r w:rsidRPr="00A8748D">
              <w:rPr>
                <w:szCs w:val="20"/>
              </w:rPr>
              <w:t>2 (8%)</w:t>
            </w:r>
          </w:p>
          <w:p w:rsidR="00DC0BB7" w:rsidRPr="00A8748D" w:rsidRDefault="00DC0BB7" w:rsidP="00EB1676">
            <w:pPr>
              <w:pStyle w:val="Tabletext"/>
              <w:jc w:val="center"/>
              <w:rPr>
                <w:szCs w:val="20"/>
              </w:rPr>
            </w:pPr>
            <w:r w:rsidRPr="00A8748D">
              <w:rPr>
                <w:szCs w:val="20"/>
              </w:rPr>
              <w:t>4 (16%)</w:t>
            </w:r>
          </w:p>
        </w:tc>
        <w:tc>
          <w:tcPr>
            <w:tcW w:w="569" w:type="pct"/>
            <w:tcBorders>
              <w:left w:val="double" w:sz="4" w:space="0" w:color="auto"/>
            </w:tcBorders>
            <w:shd w:val="clear" w:color="auto" w:fill="auto"/>
            <w:noWrap/>
          </w:tcPr>
          <w:p w:rsidR="00DC0BB7" w:rsidRPr="00A8748D" w:rsidRDefault="00DC0BB7" w:rsidP="00EB1676">
            <w:pPr>
              <w:pStyle w:val="Tabletext"/>
              <w:jc w:val="center"/>
              <w:rPr>
                <w:szCs w:val="20"/>
              </w:rPr>
            </w:pPr>
          </w:p>
          <w:p w:rsidR="00DC0BB7" w:rsidRPr="00A8748D" w:rsidRDefault="00DC0BB7" w:rsidP="00EB1676">
            <w:pPr>
              <w:pStyle w:val="Tabletext"/>
              <w:jc w:val="center"/>
              <w:rPr>
                <w:b/>
                <w:szCs w:val="20"/>
              </w:rPr>
            </w:pPr>
            <w:r w:rsidRPr="00A8748D">
              <w:rPr>
                <w:b/>
                <w:szCs w:val="20"/>
              </w:rPr>
              <w:t>6 (15%)</w:t>
            </w:r>
          </w:p>
          <w:p w:rsidR="003D26CA" w:rsidRDefault="003D26CA" w:rsidP="00EB1676">
            <w:pPr>
              <w:pStyle w:val="Tabletext"/>
              <w:jc w:val="center"/>
              <w:rPr>
                <w:b/>
                <w:szCs w:val="20"/>
              </w:rPr>
            </w:pPr>
          </w:p>
          <w:p w:rsidR="00DC0BB7" w:rsidRPr="00A8748D" w:rsidRDefault="00DC0BB7" w:rsidP="00EB1676">
            <w:pPr>
              <w:pStyle w:val="Tabletext"/>
              <w:jc w:val="center"/>
              <w:rPr>
                <w:b/>
                <w:szCs w:val="20"/>
              </w:rPr>
            </w:pPr>
            <w:r w:rsidRPr="00A8748D">
              <w:rPr>
                <w:b/>
                <w:szCs w:val="20"/>
              </w:rPr>
              <w:t>23 (59%)</w:t>
            </w:r>
          </w:p>
          <w:p w:rsidR="00DC0BB7" w:rsidRPr="00A8748D" w:rsidRDefault="00DC0BB7" w:rsidP="00EB1676">
            <w:pPr>
              <w:pStyle w:val="Tabletext"/>
              <w:jc w:val="center"/>
              <w:rPr>
                <w:szCs w:val="20"/>
              </w:rPr>
            </w:pPr>
            <w:r w:rsidRPr="00A8748D">
              <w:rPr>
                <w:szCs w:val="20"/>
              </w:rPr>
              <w:t>2 (5%)</w:t>
            </w:r>
          </w:p>
          <w:p w:rsidR="00DC0BB7" w:rsidRPr="00A8748D" w:rsidRDefault="00DC0BB7" w:rsidP="00EB1676">
            <w:pPr>
              <w:pStyle w:val="Tabletext"/>
              <w:jc w:val="center"/>
              <w:rPr>
                <w:szCs w:val="20"/>
              </w:rPr>
            </w:pPr>
            <w:r w:rsidRPr="00A8748D">
              <w:rPr>
                <w:szCs w:val="20"/>
              </w:rPr>
              <w:t>13 (33%)</w:t>
            </w:r>
          </w:p>
        </w:tc>
        <w:tc>
          <w:tcPr>
            <w:tcW w:w="569" w:type="pct"/>
            <w:shd w:val="clear" w:color="auto" w:fill="auto"/>
            <w:noWrap/>
          </w:tcPr>
          <w:p w:rsidR="00DC0BB7" w:rsidRPr="00564102" w:rsidRDefault="00DC0BB7" w:rsidP="00EB1676">
            <w:pPr>
              <w:pStyle w:val="Tabletext"/>
              <w:jc w:val="center"/>
              <w:rPr>
                <w:szCs w:val="20"/>
              </w:rPr>
            </w:pPr>
          </w:p>
          <w:p w:rsidR="00DC0BB7" w:rsidRPr="00A8748D" w:rsidRDefault="00DC0BB7" w:rsidP="00EB1676">
            <w:pPr>
              <w:pStyle w:val="Tabletext"/>
              <w:jc w:val="center"/>
              <w:rPr>
                <w:b/>
                <w:szCs w:val="20"/>
              </w:rPr>
            </w:pPr>
            <w:r w:rsidRPr="00A8748D">
              <w:rPr>
                <w:b/>
                <w:szCs w:val="20"/>
              </w:rPr>
              <w:t>2 (5%)</w:t>
            </w:r>
          </w:p>
          <w:p w:rsidR="003D26CA" w:rsidRDefault="003D26CA" w:rsidP="00EB1676">
            <w:pPr>
              <w:pStyle w:val="Tabletext"/>
              <w:jc w:val="center"/>
              <w:rPr>
                <w:b/>
                <w:szCs w:val="20"/>
              </w:rPr>
            </w:pPr>
          </w:p>
          <w:p w:rsidR="00DC0BB7" w:rsidRPr="00A8748D" w:rsidRDefault="00DC0BB7" w:rsidP="00EB1676">
            <w:pPr>
              <w:pStyle w:val="Tabletext"/>
              <w:jc w:val="center"/>
              <w:rPr>
                <w:b/>
                <w:szCs w:val="20"/>
              </w:rPr>
            </w:pPr>
            <w:r w:rsidRPr="00A8748D">
              <w:rPr>
                <w:b/>
                <w:szCs w:val="20"/>
              </w:rPr>
              <w:t>18 (46%)</w:t>
            </w:r>
          </w:p>
          <w:p w:rsidR="00DC0BB7" w:rsidRPr="00564102" w:rsidRDefault="00DC0BB7" w:rsidP="00EB1676">
            <w:pPr>
              <w:pStyle w:val="Tabletext"/>
              <w:jc w:val="center"/>
              <w:rPr>
                <w:szCs w:val="20"/>
              </w:rPr>
            </w:pPr>
            <w:r w:rsidRPr="00564102">
              <w:rPr>
                <w:szCs w:val="20"/>
              </w:rPr>
              <w:t>1 (3%)</w:t>
            </w:r>
          </w:p>
          <w:p w:rsidR="00DC0BB7" w:rsidRPr="00564102" w:rsidRDefault="00DC0BB7" w:rsidP="00EB1676">
            <w:pPr>
              <w:pStyle w:val="Tabletext"/>
              <w:jc w:val="center"/>
              <w:rPr>
                <w:szCs w:val="20"/>
              </w:rPr>
            </w:pPr>
            <w:r w:rsidRPr="00564102">
              <w:rPr>
                <w:szCs w:val="20"/>
              </w:rPr>
              <w:t>12 (31%)</w:t>
            </w:r>
          </w:p>
        </w:tc>
        <w:tc>
          <w:tcPr>
            <w:tcW w:w="887"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3.00 (0.64, 13.96)</w:t>
            </w:r>
          </w:p>
          <w:p w:rsidR="003D26CA" w:rsidRDefault="003D26CA" w:rsidP="00EB1676">
            <w:pPr>
              <w:pStyle w:val="Tabletext"/>
              <w:jc w:val="center"/>
              <w:rPr>
                <w:szCs w:val="20"/>
              </w:rPr>
            </w:pPr>
          </w:p>
          <w:p w:rsidR="00DC0BB7" w:rsidRPr="00564102" w:rsidRDefault="00DC0BB7" w:rsidP="00EB1676">
            <w:pPr>
              <w:pStyle w:val="Tabletext"/>
              <w:jc w:val="center"/>
              <w:rPr>
                <w:szCs w:val="20"/>
              </w:rPr>
            </w:pPr>
            <w:r w:rsidRPr="00564102">
              <w:rPr>
                <w:szCs w:val="20"/>
              </w:rPr>
              <w:t>1.28 (0.83, 1.96)</w:t>
            </w:r>
          </w:p>
          <w:p w:rsidR="00DC0BB7" w:rsidRPr="00564102" w:rsidRDefault="00DC0BB7" w:rsidP="00EB1676">
            <w:pPr>
              <w:pStyle w:val="Tabletext"/>
              <w:jc w:val="center"/>
              <w:rPr>
                <w:szCs w:val="20"/>
              </w:rPr>
            </w:pPr>
            <w:r w:rsidRPr="00564102">
              <w:rPr>
                <w:szCs w:val="20"/>
              </w:rPr>
              <w:t>2.00 (0.19, 21.16)</w:t>
            </w:r>
          </w:p>
          <w:p w:rsidR="00DC0BB7" w:rsidRPr="00564102" w:rsidRDefault="00DC0BB7" w:rsidP="00EB1676">
            <w:pPr>
              <w:pStyle w:val="Tabletext"/>
              <w:jc w:val="center"/>
              <w:rPr>
                <w:szCs w:val="20"/>
              </w:rPr>
            </w:pPr>
            <w:r w:rsidRPr="00564102">
              <w:rPr>
                <w:szCs w:val="20"/>
              </w:rPr>
              <w:t>1.08 (0.57, 2.07)</w:t>
            </w:r>
          </w:p>
        </w:tc>
        <w:tc>
          <w:tcPr>
            <w:tcW w:w="916" w:type="pct"/>
            <w:shd w:val="clear" w:color="auto" w:fill="auto"/>
            <w:noWrap/>
          </w:tcPr>
          <w:p w:rsidR="00DC0BB7" w:rsidRPr="00564102" w:rsidRDefault="00DC0BB7" w:rsidP="00EB1676">
            <w:pPr>
              <w:pStyle w:val="Tabletext"/>
              <w:jc w:val="center"/>
              <w:rPr>
                <w:szCs w:val="20"/>
              </w:rPr>
            </w:pPr>
          </w:p>
          <w:p w:rsidR="00DC0BB7" w:rsidRPr="00564102" w:rsidRDefault="00DC0BB7" w:rsidP="00EB1676">
            <w:pPr>
              <w:pStyle w:val="Tabletext"/>
              <w:jc w:val="center"/>
              <w:rPr>
                <w:szCs w:val="20"/>
              </w:rPr>
            </w:pPr>
            <w:r w:rsidRPr="00564102">
              <w:rPr>
                <w:szCs w:val="20"/>
              </w:rPr>
              <w:t>10% (-3%, 24%)</w:t>
            </w:r>
          </w:p>
          <w:p w:rsidR="003D26CA" w:rsidRDefault="003D26CA" w:rsidP="00EB1676">
            <w:pPr>
              <w:pStyle w:val="Tabletext"/>
              <w:jc w:val="center"/>
              <w:rPr>
                <w:szCs w:val="20"/>
              </w:rPr>
            </w:pPr>
          </w:p>
          <w:p w:rsidR="00DC0BB7" w:rsidRPr="00564102" w:rsidRDefault="00DC0BB7" w:rsidP="00EB1676">
            <w:pPr>
              <w:pStyle w:val="Tabletext"/>
              <w:jc w:val="center"/>
              <w:rPr>
                <w:szCs w:val="20"/>
              </w:rPr>
            </w:pPr>
            <w:r w:rsidRPr="00564102">
              <w:rPr>
                <w:szCs w:val="20"/>
              </w:rPr>
              <w:t>13% (-9%, 35%)</w:t>
            </w:r>
          </w:p>
          <w:p w:rsidR="00DC0BB7" w:rsidRPr="00564102" w:rsidRDefault="00DC0BB7" w:rsidP="00EB1676">
            <w:pPr>
              <w:pStyle w:val="Tabletext"/>
              <w:jc w:val="center"/>
              <w:rPr>
                <w:szCs w:val="20"/>
              </w:rPr>
            </w:pPr>
            <w:r w:rsidRPr="00564102">
              <w:rPr>
                <w:szCs w:val="20"/>
              </w:rPr>
              <w:t>3% (-6%, 11%)</w:t>
            </w:r>
          </w:p>
          <w:p w:rsidR="00DC0BB7" w:rsidRPr="00564102" w:rsidRDefault="00DC0BB7" w:rsidP="00EB1676">
            <w:pPr>
              <w:pStyle w:val="Tabletext"/>
              <w:jc w:val="center"/>
              <w:rPr>
                <w:szCs w:val="20"/>
              </w:rPr>
            </w:pPr>
            <w:r w:rsidRPr="00564102">
              <w:rPr>
                <w:szCs w:val="20"/>
              </w:rPr>
              <w:t>3% (-18%, 23%)</w:t>
            </w:r>
          </w:p>
        </w:tc>
      </w:tr>
    </w:tbl>
    <w:p w:rsidR="00DC0BB7" w:rsidRPr="009600E3" w:rsidRDefault="00DC0BB7" w:rsidP="00DC0BB7">
      <w:pPr>
        <w:pStyle w:val="TableFooter"/>
        <w:rPr>
          <w:b/>
        </w:rPr>
      </w:pPr>
      <w:r w:rsidRPr="009600E3">
        <w:rPr>
          <w:b/>
        </w:rPr>
        <w:t>AEs by category with ≥10% difference between Arm C (</w:t>
      </w:r>
      <w:proofErr w:type="spellStart"/>
      <w:r w:rsidRPr="009600E3">
        <w:rPr>
          <w:b/>
        </w:rPr>
        <w:t>Pola+BR</w:t>
      </w:r>
      <w:proofErr w:type="spellEnd"/>
      <w:r w:rsidRPr="009600E3">
        <w:rPr>
          <w:b/>
        </w:rPr>
        <w:t xml:space="preserve">) and Arm D (BR) are shown in bold </w:t>
      </w:r>
    </w:p>
    <w:p w:rsidR="00DC0BB7" w:rsidRDefault="00DC0BB7" w:rsidP="00DC0BB7">
      <w:pPr>
        <w:pStyle w:val="TableFooter"/>
      </w:pPr>
      <w:r w:rsidRPr="00E64DFF">
        <w:t xml:space="preserve">AE=adverse event, </w:t>
      </w:r>
      <w:r>
        <w:t xml:space="preserve">SAE=serious adverse event; </w:t>
      </w:r>
      <w:r w:rsidRPr="00E64DFF">
        <w:t>CI=confidence interval, PD=progressive disease</w:t>
      </w:r>
      <w:r>
        <w:t>.</w:t>
      </w:r>
      <w:r w:rsidRPr="00E64DFF">
        <w:t xml:space="preserve"> </w:t>
      </w:r>
    </w:p>
    <w:p w:rsidR="00DC0BB7" w:rsidRPr="00481641" w:rsidRDefault="00DC0BB7" w:rsidP="00DC0BB7">
      <w:pPr>
        <w:pStyle w:val="TableFooter"/>
        <w:rPr>
          <w:lang w:eastAsia="zh-CN"/>
        </w:rPr>
      </w:pPr>
      <w:r>
        <w:rPr>
          <w:lang w:eastAsia="zh-CN"/>
        </w:rPr>
        <w:t>Source: Table 2.19, p55 of the submission and supplementary results for Arm G provided in the clinical attachment accompanying the submission.</w:t>
      </w:r>
    </w:p>
    <w:p w:rsidR="00DC0BB7" w:rsidRDefault="00DC0BB7" w:rsidP="00DC0BB7"/>
    <w:p w:rsidR="00DC0BB7" w:rsidRPr="00892A36" w:rsidRDefault="00DC0BB7" w:rsidP="00C044D9">
      <w:pPr>
        <w:pStyle w:val="Caption"/>
        <w:keepNext/>
        <w:keepLines/>
        <w:rPr>
          <w:rStyle w:val="CommentReference"/>
        </w:rPr>
      </w:pPr>
      <w:r>
        <w:t xml:space="preserve">Table </w:t>
      </w:r>
      <w:r w:rsidR="00273E9C">
        <w:rPr>
          <w:noProof/>
        </w:rPr>
        <w:t>8</w:t>
      </w:r>
      <w:r>
        <w:t>:</w:t>
      </w:r>
      <w:r w:rsidRPr="00481641">
        <w:rPr>
          <w:rStyle w:val="CommentReference"/>
          <w:b/>
        </w:rPr>
        <w:t xml:space="preserve"> Selected adverse events/adverse events </w:t>
      </w:r>
      <w:r>
        <w:rPr>
          <w:rStyle w:val="CommentReference"/>
          <w:b/>
        </w:rPr>
        <w:t>of special interest</w:t>
      </w:r>
      <w:r w:rsidRPr="00481641">
        <w:rPr>
          <w:rStyle w:val="CommentReference"/>
          <w:b/>
        </w:rPr>
        <w:t xml:space="preserve"> GO29365</w:t>
      </w:r>
      <w:r w:rsidR="003D26CA">
        <w:rPr>
          <w:rStyle w:val="CommentReference"/>
          <w:b/>
        </w:rPr>
        <w:t xml:space="preserv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843"/>
        <w:gridCol w:w="1984"/>
        <w:gridCol w:w="2644"/>
      </w:tblGrid>
      <w:tr w:rsidR="00DC0BB7" w:rsidRPr="00FB409F" w:rsidTr="00EB1676">
        <w:trPr>
          <w:tblHeader/>
        </w:trPr>
        <w:tc>
          <w:tcPr>
            <w:tcW w:w="1412" w:type="pct"/>
            <w:vAlign w:val="center"/>
          </w:tcPr>
          <w:p w:rsidR="00DC0BB7" w:rsidRPr="00FB409F" w:rsidRDefault="00DC0BB7" w:rsidP="00C044D9">
            <w:pPr>
              <w:pStyle w:val="Tabletext"/>
              <w:keepNext/>
              <w:keepLines/>
              <w:rPr>
                <w:b/>
              </w:rPr>
            </w:pPr>
            <w:r w:rsidRPr="00FB409F">
              <w:rPr>
                <w:b/>
              </w:rPr>
              <w:t>Adverse event</w:t>
            </w:r>
          </w:p>
        </w:tc>
        <w:tc>
          <w:tcPr>
            <w:tcW w:w="1022" w:type="pct"/>
            <w:vAlign w:val="center"/>
          </w:tcPr>
          <w:p w:rsidR="00DC0BB7" w:rsidRDefault="00DC0BB7" w:rsidP="00C044D9">
            <w:pPr>
              <w:pStyle w:val="Tabletext"/>
              <w:keepNext/>
              <w:keepLines/>
              <w:jc w:val="center"/>
              <w:rPr>
                <w:b/>
              </w:rPr>
            </w:pPr>
            <w:r>
              <w:rPr>
                <w:b/>
              </w:rPr>
              <w:t>Arm C</w:t>
            </w:r>
          </w:p>
          <w:p w:rsidR="00DC0BB7" w:rsidRPr="00FB409F" w:rsidRDefault="00DC0BB7" w:rsidP="00C044D9">
            <w:pPr>
              <w:pStyle w:val="Tabletext"/>
              <w:keepNext/>
              <w:keepLines/>
              <w:jc w:val="center"/>
              <w:rPr>
                <w:b/>
              </w:rPr>
            </w:pPr>
            <w:proofErr w:type="spellStart"/>
            <w:r w:rsidRPr="00FB409F">
              <w:rPr>
                <w:b/>
              </w:rPr>
              <w:t>Pola+BR</w:t>
            </w:r>
            <w:proofErr w:type="spellEnd"/>
            <w:r w:rsidRPr="00FB409F">
              <w:rPr>
                <w:b/>
              </w:rPr>
              <w:t xml:space="preserve"> </w:t>
            </w:r>
          </w:p>
          <w:p w:rsidR="00DC0BB7" w:rsidRPr="00FB409F" w:rsidRDefault="00DC0BB7" w:rsidP="00C044D9">
            <w:pPr>
              <w:pStyle w:val="Tabletext"/>
              <w:keepNext/>
              <w:keepLines/>
              <w:jc w:val="center"/>
              <w:rPr>
                <w:b/>
              </w:rPr>
            </w:pPr>
            <w:r w:rsidRPr="00FB409F">
              <w:rPr>
                <w:b/>
              </w:rPr>
              <w:t>N=39</w:t>
            </w:r>
            <w:r>
              <w:rPr>
                <w:b/>
              </w:rPr>
              <w:t xml:space="preserve">, </w:t>
            </w:r>
            <w:r w:rsidRPr="00FB409F">
              <w:rPr>
                <w:b/>
              </w:rPr>
              <w:t>n (%)</w:t>
            </w:r>
          </w:p>
        </w:tc>
        <w:tc>
          <w:tcPr>
            <w:tcW w:w="1100" w:type="pct"/>
            <w:vAlign w:val="center"/>
          </w:tcPr>
          <w:p w:rsidR="00DC0BB7" w:rsidRDefault="00DC0BB7" w:rsidP="00C044D9">
            <w:pPr>
              <w:pStyle w:val="Tabletext"/>
              <w:keepNext/>
              <w:keepLines/>
              <w:jc w:val="center"/>
              <w:rPr>
                <w:b/>
              </w:rPr>
            </w:pPr>
            <w:r>
              <w:rPr>
                <w:b/>
              </w:rPr>
              <w:t>Arm D</w:t>
            </w:r>
          </w:p>
          <w:p w:rsidR="00DC0BB7" w:rsidRPr="00FB409F" w:rsidRDefault="00DC0BB7" w:rsidP="00C044D9">
            <w:pPr>
              <w:pStyle w:val="Tabletext"/>
              <w:keepNext/>
              <w:keepLines/>
              <w:jc w:val="center"/>
              <w:rPr>
                <w:b/>
              </w:rPr>
            </w:pPr>
            <w:r w:rsidRPr="00FB409F">
              <w:rPr>
                <w:b/>
              </w:rPr>
              <w:t>BR</w:t>
            </w:r>
          </w:p>
          <w:p w:rsidR="00DC0BB7" w:rsidRPr="00FB409F" w:rsidRDefault="00DC0BB7" w:rsidP="00C044D9">
            <w:pPr>
              <w:pStyle w:val="Tabletext"/>
              <w:keepNext/>
              <w:keepLines/>
              <w:jc w:val="center"/>
              <w:rPr>
                <w:b/>
              </w:rPr>
            </w:pPr>
            <w:r w:rsidRPr="00FB409F">
              <w:rPr>
                <w:b/>
              </w:rPr>
              <w:t>N=39</w:t>
            </w:r>
            <w:r>
              <w:rPr>
                <w:b/>
              </w:rPr>
              <w:t xml:space="preserve">, </w:t>
            </w:r>
            <w:r w:rsidRPr="00FB409F">
              <w:rPr>
                <w:b/>
              </w:rPr>
              <w:t>n (%)</w:t>
            </w:r>
          </w:p>
        </w:tc>
        <w:tc>
          <w:tcPr>
            <w:tcW w:w="1466" w:type="pct"/>
          </w:tcPr>
          <w:p w:rsidR="00DC0BB7" w:rsidRPr="00A0799B" w:rsidRDefault="00DC0BB7" w:rsidP="00C044D9">
            <w:pPr>
              <w:pStyle w:val="Tabletext"/>
              <w:keepNext/>
              <w:keepLines/>
              <w:jc w:val="center"/>
              <w:rPr>
                <w:b/>
                <w:szCs w:val="20"/>
              </w:rPr>
            </w:pPr>
            <w:r w:rsidRPr="00A0799B">
              <w:rPr>
                <w:b/>
                <w:szCs w:val="20"/>
              </w:rPr>
              <w:t>Arm C vs Arm D</w:t>
            </w:r>
          </w:p>
          <w:p w:rsidR="008211E7" w:rsidRPr="00A0799B" w:rsidRDefault="00DC0BB7" w:rsidP="00C044D9">
            <w:pPr>
              <w:pStyle w:val="Tabletext"/>
              <w:keepNext/>
              <w:keepLines/>
              <w:jc w:val="center"/>
              <w:rPr>
                <w:b/>
                <w:i/>
                <w:szCs w:val="20"/>
                <w:vertAlign w:val="superscript"/>
              </w:rPr>
            </w:pPr>
            <w:r w:rsidRPr="00A0799B">
              <w:rPr>
                <w:b/>
                <w:szCs w:val="20"/>
              </w:rPr>
              <w:t xml:space="preserve">Risk Difference % </w:t>
            </w:r>
            <w:r w:rsidRPr="00A0799B">
              <w:rPr>
                <w:b/>
                <w:szCs w:val="20"/>
              </w:rPr>
              <w:br/>
              <w:t>(95% CI)</w:t>
            </w:r>
            <w:r w:rsidR="00A0799B" w:rsidRPr="00A0799B">
              <w:rPr>
                <w:b/>
                <w:szCs w:val="20"/>
                <w:vertAlign w:val="superscript"/>
              </w:rPr>
              <w:t>a</w:t>
            </w:r>
          </w:p>
        </w:tc>
      </w:tr>
      <w:tr w:rsidR="00DC0BB7" w:rsidRPr="00FB409F" w:rsidTr="00EF0E8D">
        <w:tc>
          <w:tcPr>
            <w:tcW w:w="1412" w:type="pct"/>
            <w:vAlign w:val="center"/>
          </w:tcPr>
          <w:p w:rsidR="00DC0BB7" w:rsidRPr="00FB409F" w:rsidRDefault="00DC0BB7" w:rsidP="00C044D9">
            <w:pPr>
              <w:pStyle w:val="Tabletext"/>
              <w:keepNext/>
              <w:keepLines/>
              <w:rPr>
                <w:vertAlign w:val="superscript"/>
              </w:rPr>
            </w:pPr>
            <w:r w:rsidRPr="00FB409F">
              <w:t>Peripheral Neuropathy</w:t>
            </w:r>
          </w:p>
          <w:p w:rsidR="00DC0BB7" w:rsidRPr="002C5100" w:rsidRDefault="00DC0BB7" w:rsidP="00095881">
            <w:pPr>
              <w:pStyle w:val="Tabletext"/>
              <w:keepNext/>
              <w:keepLines/>
              <w:numPr>
                <w:ilvl w:val="0"/>
                <w:numId w:val="5"/>
              </w:numPr>
            </w:pPr>
            <w:r w:rsidRPr="002C5100">
              <w:t>All grades</w:t>
            </w:r>
          </w:p>
          <w:p w:rsidR="00DC0BB7" w:rsidRPr="00FB409F" w:rsidRDefault="00DC0BB7" w:rsidP="00095881">
            <w:pPr>
              <w:pStyle w:val="Tabletext"/>
              <w:keepNext/>
              <w:keepLines/>
              <w:numPr>
                <w:ilvl w:val="0"/>
                <w:numId w:val="5"/>
              </w:numPr>
            </w:pPr>
            <w:r w:rsidRPr="00FB409F">
              <w:t>Grades ≥2</w:t>
            </w:r>
          </w:p>
        </w:tc>
        <w:tc>
          <w:tcPr>
            <w:tcW w:w="1022" w:type="pct"/>
            <w:vAlign w:val="bottom"/>
          </w:tcPr>
          <w:p w:rsidR="00DC0BB7" w:rsidRPr="00FB409F" w:rsidRDefault="00DC0BB7" w:rsidP="00C044D9">
            <w:pPr>
              <w:pStyle w:val="Tabletext"/>
              <w:keepNext/>
              <w:keepLines/>
              <w:ind w:left="360"/>
              <w:jc w:val="center"/>
            </w:pPr>
          </w:p>
          <w:p w:rsidR="00DC0BB7" w:rsidRPr="00F32354" w:rsidRDefault="00DC0BB7" w:rsidP="00C044D9">
            <w:pPr>
              <w:pStyle w:val="Tabletext"/>
              <w:keepNext/>
              <w:keepLines/>
              <w:jc w:val="center"/>
              <w:rPr>
                <w:b/>
              </w:rPr>
            </w:pPr>
            <w:r w:rsidRPr="00F32354">
              <w:rPr>
                <w:b/>
              </w:rPr>
              <w:t>17 (43.6%)</w:t>
            </w:r>
          </w:p>
          <w:p w:rsidR="00DC0BB7" w:rsidRPr="00FB409F" w:rsidRDefault="00DC0BB7" w:rsidP="00C044D9">
            <w:pPr>
              <w:pStyle w:val="Tabletext"/>
              <w:keepNext/>
              <w:keepLines/>
              <w:jc w:val="center"/>
            </w:pPr>
            <w:r w:rsidRPr="00FB409F">
              <w:t>6 (15.4%)</w:t>
            </w:r>
          </w:p>
        </w:tc>
        <w:tc>
          <w:tcPr>
            <w:tcW w:w="1100" w:type="pct"/>
            <w:vAlign w:val="bottom"/>
          </w:tcPr>
          <w:p w:rsidR="00DC0BB7" w:rsidRPr="00FB409F" w:rsidRDefault="00DC0BB7" w:rsidP="00C044D9">
            <w:pPr>
              <w:pStyle w:val="Tabletext"/>
              <w:keepNext/>
              <w:keepLines/>
              <w:jc w:val="center"/>
            </w:pPr>
          </w:p>
          <w:p w:rsidR="00DC0BB7" w:rsidRPr="00F32354" w:rsidRDefault="00DC0BB7" w:rsidP="00C044D9">
            <w:pPr>
              <w:pStyle w:val="Tabletext"/>
              <w:keepNext/>
              <w:keepLines/>
              <w:jc w:val="center"/>
              <w:rPr>
                <w:b/>
              </w:rPr>
            </w:pPr>
            <w:r w:rsidRPr="00F32354">
              <w:rPr>
                <w:b/>
              </w:rPr>
              <w:t>3 (7.7%)</w:t>
            </w:r>
          </w:p>
          <w:p w:rsidR="00DC0BB7" w:rsidRPr="00FB409F" w:rsidRDefault="00DC0BB7" w:rsidP="00C044D9">
            <w:pPr>
              <w:pStyle w:val="Tabletext"/>
              <w:keepNext/>
              <w:keepLines/>
              <w:jc w:val="center"/>
            </w:pPr>
            <w:r w:rsidRPr="00FB409F">
              <w:t>2 (5.1%)</w:t>
            </w:r>
          </w:p>
        </w:tc>
        <w:tc>
          <w:tcPr>
            <w:tcW w:w="1466" w:type="pct"/>
            <w:vAlign w:val="bottom"/>
          </w:tcPr>
          <w:p w:rsidR="00DC0BB7" w:rsidRPr="00A0799B" w:rsidRDefault="00DC0BB7" w:rsidP="00C044D9">
            <w:pPr>
              <w:pStyle w:val="Tabletext"/>
              <w:keepNext/>
              <w:keepLines/>
              <w:jc w:val="center"/>
            </w:pPr>
          </w:p>
          <w:p w:rsidR="008211E7" w:rsidRPr="00A0799B" w:rsidRDefault="008211E7" w:rsidP="00C044D9">
            <w:pPr>
              <w:pStyle w:val="Tabletext"/>
              <w:keepNext/>
              <w:keepLines/>
              <w:jc w:val="center"/>
              <w:rPr>
                <w:b/>
              </w:rPr>
            </w:pPr>
            <w:r w:rsidRPr="00A0799B">
              <w:rPr>
                <w:b/>
              </w:rPr>
              <w:t>35.9</w:t>
            </w:r>
            <w:r w:rsidR="00DC0BB7" w:rsidRPr="00A0799B">
              <w:rPr>
                <w:b/>
              </w:rPr>
              <w:t>% (18.2%, 53.6%)</w:t>
            </w:r>
          </w:p>
          <w:p w:rsidR="00DC0BB7" w:rsidRPr="00A0799B" w:rsidRDefault="00DC0BB7" w:rsidP="00C044D9">
            <w:pPr>
              <w:pStyle w:val="Tabletext"/>
              <w:keepNext/>
              <w:keepLines/>
              <w:jc w:val="center"/>
            </w:pPr>
            <w:r w:rsidRPr="00A0799B">
              <w:t>10.3% (-3.0%, 23.5%)</w:t>
            </w:r>
          </w:p>
        </w:tc>
      </w:tr>
      <w:tr w:rsidR="00DC0BB7" w:rsidRPr="00FB409F" w:rsidTr="00EB1676">
        <w:tc>
          <w:tcPr>
            <w:tcW w:w="1412" w:type="pct"/>
            <w:vAlign w:val="center"/>
          </w:tcPr>
          <w:p w:rsidR="00DC0BB7" w:rsidRPr="00FB409F" w:rsidRDefault="00DC0BB7" w:rsidP="00C044D9">
            <w:pPr>
              <w:pStyle w:val="Tabletext"/>
              <w:keepNext/>
              <w:keepLines/>
            </w:pPr>
            <w:proofErr w:type="spellStart"/>
            <w:r w:rsidRPr="00FB409F">
              <w:t>Neutropaenia</w:t>
            </w:r>
            <w:proofErr w:type="spellEnd"/>
            <w:r>
              <w:t xml:space="preserve"> </w:t>
            </w:r>
            <w:r w:rsidRPr="00FB409F">
              <w:t>Grade 3-4</w:t>
            </w:r>
          </w:p>
        </w:tc>
        <w:tc>
          <w:tcPr>
            <w:tcW w:w="1022" w:type="pct"/>
            <w:vAlign w:val="center"/>
          </w:tcPr>
          <w:p w:rsidR="00DC0BB7" w:rsidRPr="00FB409F" w:rsidRDefault="00DC0BB7" w:rsidP="00C044D9">
            <w:pPr>
              <w:pStyle w:val="Tabletext"/>
              <w:keepNext/>
              <w:keepLines/>
              <w:jc w:val="center"/>
            </w:pPr>
            <w:r w:rsidRPr="00FB409F">
              <w:t>23 (59%)</w:t>
            </w:r>
          </w:p>
        </w:tc>
        <w:tc>
          <w:tcPr>
            <w:tcW w:w="1100" w:type="pct"/>
            <w:vAlign w:val="center"/>
          </w:tcPr>
          <w:p w:rsidR="00DC0BB7" w:rsidRPr="00FB409F" w:rsidRDefault="00DC0BB7" w:rsidP="00C044D9">
            <w:pPr>
              <w:pStyle w:val="Tabletext"/>
              <w:keepNext/>
              <w:keepLines/>
              <w:jc w:val="center"/>
            </w:pPr>
            <w:r w:rsidRPr="00FB409F">
              <w:t>18 (46%)</w:t>
            </w:r>
          </w:p>
        </w:tc>
        <w:tc>
          <w:tcPr>
            <w:tcW w:w="1466" w:type="pct"/>
            <w:vAlign w:val="center"/>
          </w:tcPr>
          <w:p w:rsidR="00DC0BB7" w:rsidRPr="00A0799B" w:rsidRDefault="00DC0BB7" w:rsidP="00C044D9">
            <w:pPr>
              <w:pStyle w:val="Tabletext"/>
              <w:keepNext/>
              <w:keepLines/>
              <w:jc w:val="center"/>
            </w:pPr>
            <w:r w:rsidRPr="00A0799B">
              <w:t>12.8% (-9.2%, 34.8%)</w:t>
            </w:r>
          </w:p>
        </w:tc>
      </w:tr>
      <w:tr w:rsidR="00DC0BB7" w:rsidRPr="00FB409F" w:rsidTr="00EB1676">
        <w:tc>
          <w:tcPr>
            <w:tcW w:w="1412" w:type="pct"/>
            <w:vAlign w:val="center"/>
          </w:tcPr>
          <w:p w:rsidR="00DC0BB7" w:rsidRPr="00FB409F" w:rsidRDefault="00DC0BB7" w:rsidP="00C044D9">
            <w:pPr>
              <w:pStyle w:val="Tabletext"/>
              <w:keepNext/>
              <w:keepLines/>
            </w:pPr>
            <w:r w:rsidRPr="00FB409F">
              <w:t>Anaemia Grade 3-4</w:t>
            </w:r>
          </w:p>
        </w:tc>
        <w:tc>
          <w:tcPr>
            <w:tcW w:w="1022" w:type="pct"/>
            <w:vAlign w:val="bottom"/>
          </w:tcPr>
          <w:p w:rsidR="00DC0BB7" w:rsidRPr="00FB409F" w:rsidRDefault="00DC0BB7" w:rsidP="00C044D9">
            <w:pPr>
              <w:pStyle w:val="Tabletext"/>
              <w:keepNext/>
              <w:keepLines/>
              <w:jc w:val="center"/>
            </w:pPr>
            <w:r>
              <w:t>1</w:t>
            </w:r>
            <w:r w:rsidRPr="00FB409F">
              <w:t>1 (</w:t>
            </w:r>
            <w:r>
              <w:t>28.2</w:t>
            </w:r>
            <w:r w:rsidRPr="00FB409F">
              <w:t>%)</w:t>
            </w:r>
          </w:p>
        </w:tc>
        <w:tc>
          <w:tcPr>
            <w:tcW w:w="1100" w:type="pct"/>
            <w:vAlign w:val="bottom"/>
          </w:tcPr>
          <w:p w:rsidR="00DC0BB7" w:rsidRPr="00FB409F" w:rsidRDefault="00DC0BB7" w:rsidP="00C044D9">
            <w:pPr>
              <w:pStyle w:val="Tabletext"/>
              <w:keepNext/>
              <w:keepLines/>
              <w:jc w:val="center"/>
            </w:pPr>
            <w:r>
              <w:t>7</w:t>
            </w:r>
            <w:r w:rsidRPr="00FB409F">
              <w:t xml:space="preserve"> (</w:t>
            </w:r>
            <w:r>
              <w:t>17.9</w:t>
            </w:r>
            <w:r w:rsidRPr="00FB409F">
              <w:t>%)</w:t>
            </w:r>
          </w:p>
        </w:tc>
        <w:tc>
          <w:tcPr>
            <w:tcW w:w="1466" w:type="pct"/>
          </w:tcPr>
          <w:p w:rsidR="00DC0BB7" w:rsidRPr="00A0799B" w:rsidRDefault="00DC0BB7" w:rsidP="00C044D9">
            <w:pPr>
              <w:pStyle w:val="Tabletext"/>
              <w:keepNext/>
              <w:keepLines/>
              <w:jc w:val="center"/>
            </w:pPr>
            <w:r w:rsidRPr="00A0799B">
              <w:t>10.2% (-8.3%, 28.8%)</w:t>
            </w:r>
          </w:p>
        </w:tc>
      </w:tr>
      <w:tr w:rsidR="00DC0BB7" w:rsidRPr="00FB409F" w:rsidTr="00EB1676">
        <w:tc>
          <w:tcPr>
            <w:tcW w:w="1412" w:type="pct"/>
            <w:vAlign w:val="center"/>
          </w:tcPr>
          <w:p w:rsidR="00DC0BB7" w:rsidRPr="00FB409F" w:rsidRDefault="00DC0BB7" w:rsidP="00C044D9">
            <w:pPr>
              <w:pStyle w:val="Tabletext"/>
              <w:keepNext/>
              <w:keepLines/>
            </w:pPr>
            <w:proofErr w:type="spellStart"/>
            <w:r w:rsidRPr="00FB409F">
              <w:t>Thrombocytopaenia</w:t>
            </w:r>
            <w:proofErr w:type="spellEnd"/>
            <w:r w:rsidRPr="00FB409F">
              <w:t xml:space="preserve"> all grades</w:t>
            </w:r>
          </w:p>
        </w:tc>
        <w:tc>
          <w:tcPr>
            <w:tcW w:w="1022" w:type="pct"/>
            <w:vAlign w:val="bottom"/>
          </w:tcPr>
          <w:p w:rsidR="00DC0BB7" w:rsidRPr="00FB409F" w:rsidRDefault="00DC0BB7" w:rsidP="00C044D9">
            <w:pPr>
              <w:pStyle w:val="Tabletext"/>
              <w:keepNext/>
              <w:keepLines/>
              <w:jc w:val="center"/>
            </w:pPr>
            <w:r w:rsidRPr="00FB409F">
              <w:t>20 (51.3%)</w:t>
            </w:r>
          </w:p>
        </w:tc>
        <w:tc>
          <w:tcPr>
            <w:tcW w:w="1100" w:type="pct"/>
            <w:vAlign w:val="bottom"/>
          </w:tcPr>
          <w:p w:rsidR="00DC0BB7" w:rsidRPr="00FB409F" w:rsidRDefault="00DC0BB7" w:rsidP="00C044D9">
            <w:pPr>
              <w:pStyle w:val="Tabletext"/>
              <w:keepNext/>
              <w:keepLines/>
              <w:jc w:val="center"/>
            </w:pPr>
            <w:r w:rsidRPr="00FB409F">
              <w:t>13 (33.3%</w:t>
            </w:r>
          </w:p>
        </w:tc>
        <w:tc>
          <w:tcPr>
            <w:tcW w:w="1466" w:type="pct"/>
          </w:tcPr>
          <w:p w:rsidR="00DC0BB7" w:rsidRPr="00A0799B" w:rsidRDefault="00DC0BB7" w:rsidP="00C044D9">
            <w:pPr>
              <w:pStyle w:val="Tabletext"/>
              <w:keepNext/>
              <w:keepLines/>
              <w:jc w:val="center"/>
            </w:pPr>
            <w:r w:rsidRPr="00A0799B">
              <w:t>17.9% (-3.6%, 39.5%)</w:t>
            </w:r>
          </w:p>
        </w:tc>
      </w:tr>
      <w:tr w:rsidR="00DC0BB7" w:rsidRPr="00FB409F" w:rsidTr="00EB1676">
        <w:tc>
          <w:tcPr>
            <w:tcW w:w="1412" w:type="pct"/>
            <w:vAlign w:val="center"/>
          </w:tcPr>
          <w:p w:rsidR="00DC0BB7" w:rsidRPr="00FB409F" w:rsidRDefault="00DC0BB7" w:rsidP="00C044D9">
            <w:pPr>
              <w:pStyle w:val="Tabletext"/>
              <w:keepNext/>
              <w:keepLines/>
            </w:pPr>
            <w:r w:rsidRPr="00FB409F">
              <w:t>Diarrhoea all grades</w:t>
            </w:r>
          </w:p>
        </w:tc>
        <w:tc>
          <w:tcPr>
            <w:tcW w:w="1022" w:type="pct"/>
            <w:vAlign w:val="bottom"/>
          </w:tcPr>
          <w:p w:rsidR="00DC0BB7" w:rsidRPr="00FB409F" w:rsidRDefault="00DC0BB7" w:rsidP="00C044D9">
            <w:pPr>
              <w:pStyle w:val="Tabletext"/>
              <w:keepNext/>
              <w:keepLines/>
              <w:jc w:val="center"/>
            </w:pPr>
            <w:r w:rsidRPr="00FB409F">
              <w:t>15 (38.5%)</w:t>
            </w:r>
          </w:p>
        </w:tc>
        <w:tc>
          <w:tcPr>
            <w:tcW w:w="1100" w:type="pct"/>
            <w:vAlign w:val="bottom"/>
          </w:tcPr>
          <w:p w:rsidR="00DC0BB7" w:rsidRPr="00FB409F" w:rsidRDefault="00DC0BB7" w:rsidP="00C044D9">
            <w:pPr>
              <w:pStyle w:val="Tabletext"/>
              <w:keepNext/>
              <w:keepLines/>
              <w:jc w:val="center"/>
            </w:pPr>
            <w:r w:rsidRPr="00FB409F">
              <w:t>11 (28.2%)</w:t>
            </w:r>
          </w:p>
        </w:tc>
        <w:tc>
          <w:tcPr>
            <w:tcW w:w="1466" w:type="pct"/>
          </w:tcPr>
          <w:p w:rsidR="00DC0BB7" w:rsidRPr="00A0799B" w:rsidRDefault="00DC0BB7" w:rsidP="00C044D9">
            <w:pPr>
              <w:pStyle w:val="Tabletext"/>
              <w:keepNext/>
              <w:keepLines/>
              <w:jc w:val="center"/>
            </w:pPr>
            <w:r w:rsidRPr="00A0799B">
              <w:t>10.3% (-10.5%, 31.1%)</w:t>
            </w:r>
          </w:p>
        </w:tc>
      </w:tr>
    </w:tbl>
    <w:p w:rsidR="002170C2" w:rsidRPr="00A0799B" w:rsidRDefault="00A0799B" w:rsidP="00C044D9">
      <w:pPr>
        <w:pStyle w:val="TableFooter"/>
        <w:keepNext/>
        <w:keepLines/>
      </w:pPr>
      <w:proofErr w:type="spellStart"/>
      <w:proofErr w:type="gramStart"/>
      <w:r w:rsidRPr="00A0799B">
        <w:rPr>
          <w:vertAlign w:val="superscript"/>
        </w:rPr>
        <w:t>a</w:t>
      </w:r>
      <w:r>
        <w:t>S</w:t>
      </w:r>
      <w:r w:rsidR="00DC0BB7" w:rsidRPr="00A0799B">
        <w:t>tatistical</w:t>
      </w:r>
      <w:proofErr w:type="spellEnd"/>
      <w:proofErr w:type="gramEnd"/>
      <w:r w:rsidR="00DC0BB7" w:rsidRPr="00A0799B">
        <w:t xml:space="preserve"> analyses performed during the eva</w:t>
      </w:r>
      <w:r w:rsidRPr="00A0799B">
        <w:t>luation</w:t>
      </w:r>
      <w:r w:rsidR="00DC0BB7" w:rsidRPr="00A0799B">
        <w:t xml:space="preserve">. </w:t>
      </w:r>
    </w:p>
    <w:p w:rsidR="00DC0BB7" w:rsidRPr="00416743" w:rsidRDefault="002170C2" w:rsidP="00C044D9">
      <w:pPr>
        <w:pStyle w:val="TableFooter"/>
        <w:keepNext/>
        <w:keepLines/>
        <w:rPr>
          <w:i/>
        </w:rPr>
      </w:pPr>
      <w:r w:rsidRPr="007F4162">
        <w:rPr>
          <w:b/>
          <w:i/>
        </w:rPr>
        <w:t xml:space="preserve">Statistically significant results are bolded. </w:t>
      </w:r>
      <w:r w:rsidR="00DC0BB7" w:rsidRPr="002170C2">
        <w:rPr>
          <w:i/>
        </w:rPr>
        <w:t>These</w:t>
      </w:r>
      <w:r w:rsidR="00DC0BB7">
        <w:rPr>
          <w:i/>
        </w:rPr>
        <w:t xml:space="preserve"> analyses remain exploratory.</w:t>
      </w:r>
    </w:p>
    <w:p w:rsidR="00DC0BB7" w:rsidRPr="00FB409F" w:rsidRDefault="00DC0BB7" w:rsidP="00C044D9">
      <w:pPr>
        <w:pStyle w:val="TableFooter"/>
        <w:keepNext/>
        <w:keepLines/>
      </w:pPr>
      <w:r w:rsidRPr="00FB409F">
        <w:t>SAE=Serious adverse event</w:t>
      </w:r>
      <w:r>
        <w:t>; CI=confidence interval.</w:t>
      </w:r>
    </w:p>
    <w:p w:rsidR="005D26B4" w:rsidRDefault="00DC0BB7" w:rsidP="00C044D9">
      <w:pPr>
        <w:pStyle w:val="TableFooter"/>
        <w:keepNext/>
        <w:keepLines/>
      </w:pPr>
      <w:r w:rsidRPr="00FB409F">
        <w:t>Source</w:t>
      </w:r>
      <w:r>
        <w:t xml:space="preserve">: GO29365 </w:t>
      </w:r>
      <w:r w:rsidRPr="00FB409F">
        <w:t>CSR</w:t>
      </w:r>
      <w:r>
        <w:t xml:space="preserve"> (Appendix 1 to the CSR//</w:t>
      </w:r>
      <w:r w:rsidRPr="00FB409F">
        <w:t>pp330, 2671 and 2776</w:t>
      </w:r>
      <w:r w:rsidR="002170C2">
        <w:t>)</w:t>
      </w:r>
    </w:p>
    <w:p w:rsidR="002E26DE" w:rsidRPr="00882085" w:rsidRDefault="002E26DE" w:rsidP="002E26DE">
      <w:pPr>
        <w:ind w:left="720" w:hanging="720"/>
      </w:pPr>
    </w:p>
    <w:p w:rsidR="00886DEA" w:rsidRPr="00A0799B" w:rsidRDefault="002936A4" w:rsidP="00095881">
      <w:pPr>
        <w:pStyle w:val="ListParagraph"/>
        <w:numPr>
          <w:ilvl w:val="1"/>
          <w:numId w:val="2"/>
        </w:numPr>
      </w:pPr>
      <w:r w:rsidRPr="00A0799B">
        <w:t xml:space="preserve">There was a higher rate </w:t>
      </w:r>
      <w:r w:rsidR="00886DEA" w:rsidRPr="00A0799B">
        <w:t xml:space="preserve">of </w:t>
      </w:r>
      <w:r w:rsidR="0001420A" w:rsidRPr="00A0799B">
        <w:t xml:space="preserve">adverse </w:t>
      </w:r>
      <w:r w:rsidR="00886DEA" w:rsidRPr="00A0799B">
        <w:t xml:space="preserve">events in the </w:t>
      </w:r>
      <w:proofErr w:type="spellStart"/>
      <w:r w:rsidR="00886DEA" w:rsidRPr="00A0799B">
        <w:t>Pola+BR</w:t>
      </w:r>
      <w:proofErr w:type="spellEnd"/>
      <w:r w:rsidR="00886DEA" w:rsidRPr="00A0799B">
        <w:t xml:space="preserve"> treatment arm </w:t>
      </w:r>
      <w:r w:rsidR="00971FF0" w:rsidRPr="00A0799B">
        <w:t xml:space="preserve">(Arm C) </w:t>
      </w:r>
      <w:r w:rsidR="00886DEA" w:rsidRPr="00A0799B">
        <w:t>vs. the BR alone treatment arm (≥10% difference) in terms of G</w:t>
      </w:r>
      <w:r w:rsidRPr="00A0799B">
        <w:t>rade 3-4 AEs, AEs leading to discontinuation of any study drug</w:t>
      </w:r>
      <w:r w:rsidR="00B82E52" w:rsidRPr="00A0799B">
        <w:t xml:space="preserve"> </w:t>
      </w:r>
      <w:r w:rsidR="00EF0E8D" w:rsidRPr="00A0799B">
        <w:t xml:space="preserve">(approximately </w:t>
      </w:r>
      <w:r w:rsidR="00B82E52" w:rsidRPr="00A0799B">
        <w:t xml:space="preserve">twice as many patients in the </w:t>
      </w:r>
      <w:proofErr w:type="spellStart"/>
      <w:r w:rsidR="00B82E52" w:rsidRPr="00A0799B">
        <w:t>Pola+BR</w:t>
      </w:r>
      <w:proofErr w:type="spellEnd"/>
      <w:r w:rsidR="00B82E52" w:rsidRPr="00A0799B">
        <w:t xml:space="preserve"> treatment arm)</w:t>
      </w:r>
      <w:r w:rsidRPr="00A0799B">
        <w:t>, Grade ≥3 neutropenia</w:t>
      </w:r>
      <w:r w:rsidR="00886DEA" w:rsidRPr="00A0799B">
        <w:t>, and peripheral neuropathy (PN).</w:t>
      </w:r>
      <w:r w:rsidRPr="00A0799B">
        <w:t xml:space="preserve"> </w:t>
      </w:r>
      <w:r w:rsidR="00886DEA" w:rsidRPr="00A0799B">
        <w:t xml:space="preserve">The difference in the rate of PN was statistically significant (risk difference: </w:t>
      </w:r>
      <w:r w:rsidR="00FC4F6F" w:rsidRPr="00A0799B">
        <w:t>35.9</w:t>
      </w:r>
      <w:r w:rsidR="00886DEA" w:rsidRPr="00A0799B">
        <w:t>%; 95% CI: 18.2%, 53.6%)</w:t>
      </w:r>
      <w:r w:rsidR="00971FF0" w:rsidRPr="00A0799B">
        <w:t>.</w:t>
      </w:r>
    </w:p>
    <w:p w:rsidR="00971FF0" w:rsidRPr="00A0799B" w:rsidRDefault="00971FF0" w:rsidP="00095881">
      <w:pPr>
        <w:pStyle w:val="ListParagraph"/>
        <w:numPr>
          <w:ilvl w:val="1"/>
          <w:numId w:val="2"/>
        </w:numPr>
      </w:pPr>
      <w:r w:rsidRPr="00A0799B">
        <w:t xml:space="preserve">The rates of AEs were lower in Arm G compared to Arm C. However, a comparison of the rate of AEs between Arm G and Arm C within </w:t>
      </w:r>
      <w:r w:rsidR="00A56353">
        <w:t xml:space="preserve">the </w:t>
      </w:r>
      <w:r w:rsidRPr="00A0799B">
        <w:t>GO29365</w:t>
      </w:r>
      <w:r w:rsidR="00A56353">
        <w:t xml:space="preserve"> trial</w:t>
      </w:r>
      <w:r w:rsidRPr="00A0799B">
        <w:t xml:space="preserve"> should consider that Arms G and C were not randomised and that Arm G (patients still in the treatment phase; median number of cycles = 3) provided less mature data than Arm C (patients in follow-up; median number of cycles = 5).</w:t>
      </w:r>
    </w:p>
    <w:p w:rsidR="007F1017" w:rsidRPr="00C9624D" w:rsidRDefault="007F1017" w:rsidP="004F147B">
      <w:pPr>
        <w:pStyle w:val="Heading2"/>
        <w:spacing w:before="240" w:after="120"/>
      </w:pPr>
      <w:bookmarkStart w:id="10" w:name="_Toc19627195"/>
      <w:r w:rsidRPr="00C9624D">
        <w:t>Benefits/harms</w:t>
      </w:r>
      <w:bookmarkEnd w:id="10"/>
    </w:p>
    <w:p w:rsidR="00EC00C9" w:rsidRPr="00B50DB8" w:rsidRDefault="00EC00C9" w:rsidP="00095881">
      <w:pPr>
        <w:pStyle w:val="ListParagraph"/>
        <w:widowControl/>
        <w:numPr>
          <w:ilvl w:val="1"/>
          <w:numId w:val="2"/>
        </w:numPr>
      </w:pPr>
      <w:r w:rsidRPr="00B50DB8">
        <w:t xml:space="preserve">A summary of the comparative benefits and harms for </w:t>
      </w:r>
      <w:proofErr w:type="spellStart"/>
      <w:r w:rsidR="00B03742">
        <w:t>Pola+BR</w:t>
      </w:r>
      <w:proofErr w:type="spellEnd"/>
      <w:r w:rsidRPr="00B50DB8">
        <w:t xml:space="preserve"> versus </w:t>
      </w:r>
      <w:r w:rsidR="00B03742">
        <w:t>BR, based on the results from GO29365,</w:t>
      </w:r>
      <w:r w:rsidRPr="00B50DB8">
        <w:t xml:space="preserve"> is presented in the table below.</w:t>
      </w:r>
      <w:r w:rsidR="00410708" w:rsidRPr="00B50DB8">
        <w:t xml:space="preserve"> </w:t>
      </w:r>
    </w:p>
    <w:p w:rsidR="00A60098" w:rsidRPr="00B03742" w:rsidRDefault="00B03742" w:rsidP="00C044D9">
      <w:pPr>
        <w:pStyle w:val="Caption"/>
        <w:keepNext/>
        <w:keepLines/>
        <w:rPr>
          <w:rStyle w:val="CommentReference"/>
          <w:b/>
          <w:szCs w:val="18"/>
        </w:rPr>
      </w:pPr>
      <w:r w:rsidRPr="00B03742">
        <w:lastRenderedPageBreak/>
        <w:t xml:space="preserve">Table </w:t>
      </w:r>
      <w:r w:rsidR="00273E9C">
        <w:rPr>
          <w:noProof/>
        </w:rPr>
        <w:t>9</w:t>
      </w:r>
      <w:r w:rsidRPr="00B03742">
        <w:t xml:space="preserve">: </w:t>
      </w:r>
      <w:r w:rsidR="00A60098" w:rsidRPr="00B03742">
        <w:rPr>
          <w:rStyle w:val="CommentReference"/>
          <w:b/>
          <w:szCs w:val="18"/>
        </w:rPr>
        <w:t xml:space="preserve">Summary of comparative benefits and harms for </w:t>
      </w:r>
      <w:proofErr w:type="spellStart"/>
      <w:r w:rsidRPr="00B03742">
        <w:rPr>
          <w:rStyle w:val="CommentReference"/>
          <w:b/>
          <w:szCs w:val="18"/>
        </w:rPr>
        <w:t>Pola+BR</w:t>
      </w:r>
      <w:proofErr w:type="spellEnd"/>
      <w:r w:rsidR="00A60098" w:rsidRPr="00B03742">
        <w:rPr>
          <w:rStyle w:val="CommentReference"/>
          <w:b/>
          <w:szCs w:val="18"/>
        </w:rPr>
        <w:t xml:space="preserve"> versus </w:t>
      </w:r>
      <w:r w:rsidRPr="00B03742">
        <w:rPr>
          <w:rStyle w:val="CommentReference"/>
          <w:b/>
          <w:szCs w:val="18"/>
        </w:rPr>
        <w:t>BR</w:t>
      </w:r>
    </w:p>
    <w:tbl>
      <w:tblPr>
        <w:tblStyle w:val="TableGrid"/>
        <w:tblW w:w="4938" w:type="pct"/>
        <w:tblInd w:w="28" w:type="dxa"/>
        <w:tblLayout w:type="fixed"/>
        <w:tblCellMar>
          <w:left w:w="28" w:type="dxa"/>
          <w:right w:w="28" w:type="dxa"/>
        </w:tblCellMar>
        <w:tblLook w:val="04A0" w:firstRow="1" w:lastRow="0" w:firstColumn="1" w:lastColumn="0" w:noHBand="0" w:noVBand="1"/>
        <w:tblCaption w:val="Table 9: Summary of comparative benefits and harms for Pola+BR versus BR"/>
      </w:tblPr>
      <w:tblGrid>
        <w:gridCol w:w="2434"/>
        <w:gridCol w:w="1428"/>
        <w:gridCol w:w="1496"/>
        <w:gridCol w:w="1982"/>
        <w:gridCol w:w="1565"/>
      </w:tblGrid>
      <w:tr w:rsidR="00D21946" w:rsidRPr="00D21946" w:rsidTr="005831DD">
        <w:trPr>
          <w:trHeight w:val="20"/>
          <w:tblHeader/>
        </w:trPr>
        <w:tc>
          <w:tcPr>
            <w:tcW w:w="5000" w:type="pct"/>
            <w:gridSpan w:val="5"/>
            <w:shd w:val="clear" w:color="auto" w:fill="auto"/>
          </w:tcPr>
          <w:p w:rsidR="00D21946" w:rsidRPr="00D21946" w:rsidRDefault="00D21946" w:rsidP="00C044D9">
            <w:pPr>
              <w:keepNext/>
              <w:keepLines/>
              <w:jc w:val="left"/>
              <w:rPr>
                <w:rFonts w:ascii="Arial Narrow" w:eastAsiaTheme="minorHAnsi" w:hAnsi="Arial Narrow" w:cstheme="minorBidi"/>
                <w:b/>
                <w:snapToGrid/>
                <w:sz w:val="20"/>
              </w:rPr>
            </w:pPr>
            <w:r w:rsidRPr="00D21946">
              <w:rPr>
                <w:rFonts w:ascii="Arial Narrow" w:eastAsiaTheme="minorHAnsi" w:hAnsi="Arial Narrow" w:cstheme="minorBidi"/>
                <w:b/>
                <w:snapToGrid/>
                <w:sz w:val="20"/>
              </w:rPr>
              <w:t>Benefits</w:t>
            </w:r>
          </w:p>
        </w:tc>
      </w:tr>
      <w:tr w:rsidR="00D21946" w:rsidRPr="00D21946" w:rsidTr="005831DD">
        <w:trPr>
          <w:trHeight w:val="20"/>
          <w:tblHeader/>
        </w:trPr>
        <w:tc>
          <w:tcPr>
            <w:tcW w:w="5000" w:type="pct"/>
            <w:gridSpan w:val="5"/>
            <w:shd w:val="clear" w:color="auto" w:fill="auto"/>
          </w:tcPr>
          <w:p w:rsidR="00D21946" w:rsidRPr="00D21946" w:rsidRDefault="00D21946" w:rsidP="00C044D9">
            <w:pPr>
              <w:keepNext/>
              <w:keepLines/>
              <w:jc w:val="left"/>
              <w:rPr>
                <w:rFonts w:ascii="Arial Narrow" w:eastAsiaTheme="minorHAnsi" w:hAnsi="Arial Narrow" w:cstheme="minorBidi"/>
                <w:b/>
                <w:snapToGrid/>
                <w:sz w:val="20"/>
              </w:rPr>
            </w:pPr>
            <w:r w:rsidRPr="00D21946">
              <w:rPr>
                <w:rFonts w:ascii="Arial Narrow" w:eastAsiaTheme="minorHAnsi" w:hAnsi="Arial Narrow" w:cstheme="minorBidi"/>
                <w:b/>
                <w:snapToGrid/>
                <w:sz w:val="20"/>
              </w:rPr>
              <w:t xml:space="preserve">Progression free survival (median duration of follow up </w:t>
            </w:r>
            <w:r w:rsidR="00A638A8">
              <w:rPr>
                <w:rFonts w:ascii="Arial Narrow" w:eastAsiaTheme="minorHAnsi" w:hAnsi="Arial Narrow" w:cstheme="minorBidi"/>
                <w:b/>
                <w:snapToGrid/>
                <w:sz w:val="20"/>
              </w:rPr>
              <w:t xml:space="preserve">26.5 </w:t>
            </w:r>
            <w:r w:rsidRPr="00D21946">
              <w:rPr>
                <w:rFonts w:ascii="Arial Narrow" w:eastAsiaTheme="minorHAnsi" w:hAnsi="Arial Narrow" w:cstheme="minorBidi"/>
                <w:b/>
                <w:snapToGrid/>
                <w:sz w:val="20"/>
              </w:rPr>
              <w:t>months)</w:t>
            </w:r>
          </w:p>
        </w:tc>
      </w:tr>
      <w:tr w:rsidR="00D21946" w:rsidRPr="00D21946" w:rsidTr="005831DD">
        <w:trPr>
          <w:trHeight w:val="20"/>
          <w:tblHeader/>
        </w:trPr>
        <w:tc>
          <w:tcPr>
            <w:tcW w:w="1366" w:type="pct"/>
            <w:tcBorders>
              <w:bottom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b/>
                <w:snapToGrid/>
                <w:sz w:val="20"/>
              </w:rPr>
            </w:pPr>
            <w:r w:rsidRPr="00D21946">
              <w:rPr>
                <w:rFonts w:ascii="Arial Narrow" w:eastAsiaTheme="minorHAnsi" w:hAnsi="Arial Narrow" w:cstheme="minorBidi"/>
                <w:b/>
                <w:snapToGrid/>
                <w:sz w:val="20"/>
              </w:rPr>
              <w:t>Event</w:t>
            </w:r>
          </w:p>
        </w:tc>
        <w:tc>
          <w:tcPr>
            <w:tcW w:w="802" w:type="pct"/>
            <w:tcBorders>
              <w:bottom w:val="single" w:sz="4" w:space="0" w:color="auto"/>
            </w:tcBorders>
            <w:shd w:val="clear" w:color="auto" w:fill="auto"/>
          </w:tcPr>
          <w:p w:rsidR="00D21946" w:rsidRPr="00D21946" w:rsidRDefault="00B03742" w:rsidP="00C044D9">
            <w:pPr>
              <w:keepNext/>
              <w:keepLines/>
              <w:jc w:val="center"/>
              <w:rPr>
                <w:rFonts w:ascii="Arial Narrow" w:eastAsiaTheme="minorHAnsi" w:hAnsi="Arial Narrow" w:cstheme="minorBidi"/>
                <w:b/>
                <w:snapToGrid/>
                <w:sz w:val="20"/>
              </w:rPr>
            </w:pPr>
            <w:proofErr w:type="spellStart"/>
            <w:r>
              <w:rPr>
                <w:rFonts w:ascii="Arial Narrow" w:eastAsiaTheme="minorHAnsi" w:hAnsi="Arial Narrow" w:cstheme="minorBidi"/>
                <w:b/>
                <w:snapToGrid/>
                <w:sz w:val="20"/>
              </w:rPr>
              <w:t>Pola+BR</w:t>
            </w:r>
            <w:proofErr w:type="spellEnd"/>
          </w:p>
        </w:tc>
        <w:tc>
          <w:tcPr>
            <w:tcW w:w="840" w:type="pct"/>
            <w:tcBorders>
              <w:bottom w:val="single" w:sz="4" w:space="0" w:color="auto"/>
            </w:tcBorders>
            <w:shd w:val="clear" w:color="auto" w:fill="auto"/>
          </w:tcPr>
          <w:p w:rsidR="00D21946" w:rsidRPr="00D21946" w:rsidRDefault="00B03742" w:rsidP="00C044D9">
            <w:pPr>
              <w:keepNext/>
              <w:keepLines/>
              <w:jc w:val="center"/>
              <w:rPr>
                <w:rFonts w:ascii="Arial Narrow" w:eastAsiaTheme="minorHAnsi" w:hAnsi="Arial Narrow" w:cstheme="minorBidi"/>
                <w:b/>
                <w:snapToGrid/>
                <w:sz w:val="20"/>
              </w:rPr>
            </w:pPr>
            <w:r>
              <w:rPr>
                <w:rFonts w:ascii="Arial Narrow" w:eastAsiaTheme="minorHAnsi" w:hAnsi="Arial Narrow" w:cstheme="minorBidi"/>
                <w:b/>
                <w:snapToGrid/>
                <w:sz w:val="20"/>
              </w:rPr>
              <w:t>BR</w:t>
            </w:r>
          </w:p>
        </w:tc>
        <w:tc>
          <w:tcPr>
            <w:tcW w:w="1113" w:type="pct"/>
            <w:tcBorders>
              <w:bottom w:val="single" w:sz="4" w:space="0" w:color="auto"/>
            </w:tcBorders>
            <w:shd w:val="clear" w:color="auto" w:fill="auto"/>
          </w:tcPr>
          <w:p w:rsidR="00D21946" w:rsidRDefault="00D21946" w:rsidP="00C044D9">
            <w:pPr>
              <w:keepNext/>
              <w:keepLines/>
              <w:jc w:val="center"/>
              <w:rPr>
                <w:rFonts w:ascii="Arial Narrow" w:eastAsiaTheme="minorHAnsi" w:hAnsi="Arial Narrow" w:cstheme="minorBidi"/>
                <w:b/>
                <w:snapToGrid/>
                <w:sz w:val="20"/>
              </w:rPr>
            </w:pPr>
            <w:r w:rsidRPr="00D21946">
              <w:rPr>
                <w:rFonts w:ascii="Arial Narrow" w:eastAsiaTheme="minorHAnsi" w:hAnsi="Arial Narrow" w:cstheme="minorBidi"/>
                <w:b/>
                <w:snapToGrid/>
                <w:sz w:val="20"/>
              </w:rPr>
              <w:t>Absolute Difference</w:t>
            </w:r>
          </w:p>
          <w:p w:rsidR="00582AC4" w:rsidRPr="00D21946" w:rsidRDefault="00582AC4" w:rsidP="00C044D9">
            <w:pPr>
              <w:keepNext/>
              <w:keepLines/>
              <w:jc w:val="center"/>
              <w:rPr>
                <w:rFonts w:asciiTheme="minorHAnsi" w:eastAsiaTheme="minorHAnsi" w:hAnsiTheme="minorHAnsi" w:cstheme="minorBidi"/>
                <w:b/>
                <w:snapToGrid/>
                <w:sz w:val="20"/>
              </w:rPr>
            </w:pPr>
            <w:r>
              <w:rPr>
                <w:rFonts w:ascii="Arial Narrow" w:eastAsiaTheme="minorHAnsi" w:hAnsi="Arial Narrow" w:cstheme="minorBidi"/>
                <w:b/>
                <w:snapToGrid/>
                <w:sz w:val="20"/>
              </w:rPr>
              <w:t>(</w:t>
            </w:r>
            <w:proofErr w:type="spellStart"/>
            <w:r>
              <w:rPr>
                <w:rFonts w:ascii="Arial Narrow" w:eastAsiaTheme="minorHAnsi" w:hAnsi="Arial Narrow" w:cstheme="minorBidi"/>
                <w:b/>
                <w:snapToGrid/>
                <w:sz w:val="20"/>
              </w:rPr>
              <w:t>Pola+BR</w:t>
            </w:r>
            <w:proofErr w:type="spellEnd"/>
            <w:r>
              <w:rPr>
                <w:rFonts w:ascii="Arial Narrow" w:eastAsiaTheme="minorHAnsi" w:hAnsi="Arial Narrow" w:cstheme="minorBidi"/>
                <w:b/>
                <w:snapToGrid/>
                <w:sz w:val="20"/>
              </w:rPr>
              <w:t xml:space="preserve"> –BR)</w:t>
            </w:r>
          </w:p>
        </w:tc>
        <w:tc>
          <w:tcPr>
            <w:tcW w:w="879" w:type="pct"/>
            <w:tcBorders>
              <w:bottom w:val="single" w:sz="4" w:space="0" w:color="auto"/>
            </w:tcBorders>
            <w:shd w:val="clear" w:color="auto" w:fill="auto"/>
          </w:tcPr>
          <w:p w:rsidR="00D21946" w:rsidRPr="00D21946" w:rsidRDefault="00D21946" w:rsidP="00C044D9">
            <w:pPr>
              <w:keepNext/>
              <w:keepLines/>
              <w:jc w:val="center"/>
              <w:rPr>
                <w:rFonts w:ascii="Arial Narrow" w:eastAsiaTheme="minorHAnsi" w:hAnsi="Arial Narrow" w:cstheme="minorBidi"/>
                <w:b/>
                <w:snapToGrid/>
                <w:sz w:val="20"/>
              </w:rPr>
            </w:pPr>
            <w:r w:rsidRPr="00D21946">
              <w:rPr>
                <w:rFonts w:ascii="Arial Narrow" w:eastAsiaTheme="minorHAnsi" w:hAnsi="Arial Narrow" w:cstheme="minorBidi"/>
                <w:b/>
                <w:snapToGrid/>
                <w:sz w:val="20"/>
              </w:rPr>
              <w:t>HR (95% CI)</w:t>
            </w:r>
          </w:p>
        </w:tc>
      </w:tr>
      <w:tr w:rsidR="00D21946" w:rsidRPr="00D21946" w:rsidTr="005831DD">
        <w:trPr>
          <w:trHeight w:val="20"/>
          <w:tblHeader/>
        </w:trPr>
        <w:tc>
          <w:tcPr>
            <w:tcW w:w="1366" w:type="pct"/>
            <w:tcBorders>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Progressed, n (%)</w:t>
            </w:r>
          </w:p>
        </w:tc>
        <w:tc>
          <w:tcPr>
            <w:tcW w:w="802" w:type="pct"/>
            <w:tcBorders>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29</w:t>
            </w:r>
            <w:r w:rsidR="00D21946"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40</w:t>
            </w:r>
            <w:r w:rsidR="00D21946" w:rsidRPr="00D21946">
              <w:rPr>
                <w:rFonts w:ascii="Arial Narrow" w:eastAsiaTheme="minorHAnsi" w:hAnsi="Arial Narrow" w:cs="Times New Roman"/>
                <w:snapToGrid/>
                <w:sz w:val="20"/>
                <w:szCs w:val="20"/>
              </w:rPr>
              <w:t xml:space="preserve"> (</w:t>
            </w:r>
            <w:r>
              <w:rPr>
                <w:rFonts w:ascii="Arial Narrow" w:eastAsiaTheme="minorHAnsi" w:hAnsi="Arial Narrow" w:cs="Times New Roman"/>
                <w:snapToGrid/>
                <w:sz w:val="20"/>
                <w:szCs w:val="20"/>
              </w:rPr>
              <w:t>72.5</w:t>
            </w:r>
            <w:r w:rsidR="00D21946" w:rsidRPr="00D21946">
              <w:rPr>
                <w:rFonts w:ascii="Arial Narrow" w:eastAsiaTheme="minorHAnsi" w:hAnsi="Arial Narrow" w:cs="Times New Roman"/>
                <w:snapToGrid/>
                <w:sz w:val="20"/>
                <w:szCs w:val="20"/>
              </w:rPr>
              <w:t>%)</w:t>
            </w:r>
          </w:p>
        </w:tc>
        <w:tc>
          <w:tcPr>
            <w:tcW w:w="840" w:type="pct"/>
            <w:tcBorders>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35</w:t>
            </w:r>
            <w:r w:rsidR="00D21946"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40</w:t>
            </w:r>
            <w:r w:rsidR="00D21946" w:rsidRPr="00D21946">
              <w:rPr>
                <w:rFonts w:ascii="Arial Narrow" w:eastAsiaTheme="minorHAnsi" w:hAnsi="Arial Narrow" w:cs="Times New Roman"/>
                <w:snapToGrid/>
                <w:sz w:val="20"/>
                <w:szCs w:val="20"/>
              </w:rPr>
              <w:t xml:space="preserve"> (</w:t>
            </w:r>
            <w:r>
              <w:rPr>
                <w:rFonts w:ascii="Arial Narrow" w:eastAsiaTheme="minorHAnsi" w:hAnsi="Arial Narrow" w:cs="Times New Roman"/>
                <w:snapToGrid/>
                <w:sz w:val="20"/>
                <w:szCs w:val="20"/>
              </w:rPr>
              <w:t>87.5</w:t>
            </w:r>
            <w:r w:rsidR="00D21946" w:rsidRPr="00D21946">
              <w:rPr>
                <w:rFonts w:ascii="Arial Narrow" w:eastAsiaTheme="minorHAnsi" w:hAnsi="Arial Narrow" w:cs="Times New Roman"/>
                <w:snapToGrid/>
                <w:sz w:val="20"/>
                <w:szCs w:val="20"/>
              </w:rPr>
              <w:t>%)</w:t>
            </w:r>
          </w:p>
        </w:tc>
        <w:tc>
          <w:tcPr>
            <w:tcW w:w="1113" w:type="pct"/>
            <w:tcBorders>
              <w:left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center"/>
              <w:rPr>
                <w:rFonts w:ascii="Arial Narrow" w:eastAsiaTheme="minorHAnsi" w:hAnsi="Arial Narrow" w:cstheme="minorBidi"/>
                <w:snapToGrid/>
                <w:sz w:val="20"/>
              </w:rPr>
            </w:pPr>
          </w:p>
        </w:tc>
        <w:tc>
          <w:tcPr>
            <w:tcW w:w="879" w:type="pct"/>
            <w:tcBorders>
              <w:left w:val="single" w:sz="4" w:space="0" w:color="auto"/>
              <w:bottom w:val="nil"/>
            </w:tcBorders>
            <w:shd w:val="clear" w:color="auto" w:fill="auto"/>
          </w:tcPr>
          <w:p w:rsidR="00D21946" w:rsidRPr="00D21946" w:rsidRDefault="00A638A8" w:rsidP="00C044D9">
            <w:pPr>
              <w:keepNext/>
              <w:keepLines/>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0.3</w:t>
            </w:r>
            <w:r w:rsidR="00D21946"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t>0.20 0.6</w:t>
            </w:r>
            <w:r w:rsidR="00D21946" w:rsidRPr="00D21946">
              <w:rPr>
                <w:rFonts w:ascii="Arial Narrow" w:eastAsiaTheme="minorHAnsi" w:hAnsi="Arial Narrow" w:cstheme="minorBidi"/>
                <w:snapToGrid/>
                <w:sz w:val="20"/>
                <w:szCs w:val="20"/>
              </w:rPr>
              <w:t>)</w:t>
            </w:r>
          </w:p>
          <w:p w:rsidR="00D21946" w:rsidRPr="00D21946" w:rsidRDefault="00D21946" w:rsidP="00C044D9">
            <w:pPr>
              <w:keepNext/>
              <w:keepLines/>
              <w:jc w:val="center"/>
              <w:rPr>
                <w:rFonts w:ascii="Arial Narrow" w:eastAsiaTheme="minorHAnsi" w:hAnsi="Arial Narrow" w:cstheme="minorBidi"/>
                <w:snapToGrid/>
                <w:sz w:val="20"/>
              </w:rPr>
            </w:pPr>
            <w:r w:rsidRPr="00D21946">
              <w:rPr>
                <w:rFonts w:ascii="Arial Narrow" w:eastAsiaTheme="minorHAnsi" w:hAnsi="Arial Narrow" w:cstheme="minorBidi"/>
                <w:snapToGrid/>
                <w:sz w:val="20"/>
                <w:szCs w:val="20"/>
              </w:rPr>
              <w:t>P</w:t>
            </w:r>
            <w:r w:rsidR="00A638A8">
              <w:rPr>
                <w:rFonts w:ascii="Arial Narrow" w:eastAsiaTheme="minorHAnsi" w:hAnsi="Arial Narrow" w:cstheme="minorBidi"/>
                <w:snapToGrid/>
                <w:sz w:val="20"/>
                <w:szCs w:val="20"/>
              </w:rPr>
              <w:t>&lt;0.0001</w:t>
            </w:r>
          </w:p>
        </w:tc>
      </w:tr>
      <w:tr w:rsidR="00D21946" w:rsidRPr="00D21946" w:rsidTr="005831DD">
        <w:trPr>
          <w:trHeight w:val="20"/>
          <w:tblHeader/>
        </w:trPr>
        <w:tc>
          <w:tcPr>
            <w:tcW w:w="1366" w:type="pct"/>
            <w:tcBorders>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Median PFS (months)</w:t>
            </w:r>
          </w:p>
        </w:tc>
        <w:tc>
          <w:tcPr>
            <w:tcW w:w="802" w:type="pct"/>
            <w:tcBorders>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7.5</w:t>
            </w:r>
          </w:p>
        </w:tc>
        <w:tc>
          <w:tcPr>
            <w:tcW w:w="840" w:type="pct"/>
            <w:tcBorders>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2.0</w:t>
            </w:r>
          </w:p>
        </w:tc>
        <w:tc>
          <w:tcPr>
            <w:tcW w:w="1113" w:type="pct"/>
            <w:tcBorders>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heme="minorBidi"/>
                <w:snapToGrid/>
                <w:sz w:val="20"/>
              </w:rPr>
            </w:pPr>
            <w:r>
              <w:rPr>
                <w:rFonts w:ascii="Arial Narrow" w:eastAsiaTheme="minorHAnsi" w:hAnsi="Arial Narrow" w:cstheme="minorBidi"/>
                <w:snapToGrid/>
                <w:sz w:val="20"/>
              </w:rPr>
              <w:t>5.5</w:t>
            </w:r>
          </w:p>
        </w:tc>
        <w:tc>
          <w:tcPr>
            <w:tcW w:w="879" w:type="pct"/>
            <w:tcBorders>
              <w:top w:val="nil"/>
              <w:left w:val="single" w:sz="4" w:space="0" w:color="auto"/>
              <w:bottom w:val="nil"/>
            </w:tcBorders>
            <w:shd w:val="clear" w:color="auto" w:fill="auto"/>
          </w:tcPr>
          <w:p w:rsidR="00D21946" w:rsidRPr="00D21946" w:rsidRDefault="00D21946" w:rsidP="00C044D9">
            <w:pPr>
              <w:keepNext/>
              <w:keepLines/>
              <w:jc w:val="center"/>
              <w:rPr>
                <w:rFonts w:ascii="Arial Narrow" w:eastAsiaTheme="minorHAnsi" w:hAnsi="Arial Narrow" w:cstheme="minorBidi"/>
                <w:snapToGrid/>
                <w:sz w:val="20"/>
                <w:szCs w:val="20"/>
              </w:rPr>
            </w:pPr>
          </w:p>
        </w:tc>
      </w:tr>
      <w:tr w:rsidR="00D21946" w:rsidRPr="00D21946" w:rsidTr="005831DD">
        <w:trPr>
          <w:trHeight w:val="20"/>
          <w:tblHeader/>
        </w:trPr>
        <w:tc>
          <w:tcPr>
            <w:tcW w:w="1366" w:type="pct"/>
            <w:tcBorders>
              <w:top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 xml:space="preserve">% not progressed at </w:t>
            </w:r>
            <w:r w:rsidR="005A1E12">
              <w:rPr>
                <w:rFonts w:ascii="Arial Narrow" w:eastAsiaTheme="minorHAnsi" w:hAnsi="Arial Narrow" w:cstheme="minorBidi"/>
                <w:snapToGrid/>
                <w:sz w:val="20"/>
              </w:rPr>
              <w:t>24</w:t>
            </w:r>
            <w:r w:rsidRPr="00D21946">
              <w:rPr>
                <w:rFonts w:ascii="Arial Narrow" w:eastAsiaTheme="minorHAnsi" w:hAnsi="Arial Narrow" w:cstheme="minorBidi"/>
                <w:snapToGrid/>
                <w:sz w:val="20"/>
              </w:rPr>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28.3</w:t>
            </w:r>
            <w:r w:rsidR="00D21946"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br/>
            </w:r>
            <w:r w:rsidR="00D21946" w:rsidRPr="00D21946">
              <w:rPr>
                <w:rFonts w:ascii="Arial Narrow" w:eastAsiaTheme="minorHAnsi" w:hAnsi="Arial Narrow" w:cstheme="minorBidi"/>
                <w:snapToGrid/>
                <w:sz w:val="20"/>
                <w:szCs w:val="20"/>
              </w:rPr>
              <w:t>(</w:t>
            </w:r>
            <w:r>
              <w:rPr>
                <w:rFonts w:ascii="Arial Narrow" w:eastAsiaTheme="minorHAnsi" w:hAnsi="Arial Narrow" w:cstheme="minorBidi"/>
                <w:snapToGrid/>
                <w:sz w:val="20"/>
                <w:szCs w:val="20"/>
              </w:rPr>
              <w:t>13.8%, 42.8%</w:t>
            </w:r>
            <w:r w:rsidR="00D21946" w:rsidRPr="00D21946">
              <w:rPr>
                <w:rFonts w:ascii="Arial Narrow" w:eastAsiaTheme="minorHAnsi" w:hAnsi="Arial Narrow" w:cstheme="minorBidi"/>
                <w:snapToGrid/>
                <w:sz w:val="20"/>
                <w:szCs w:val="20"/>
              </w:rPr>
              <w:t>)</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5.6</w:t>
            </w:r>
            <w:r w:rsidR="00D21946"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br/>
            </w:r>
            <w:r w:rsidR="00D21946" w:rsidRPr="00D21946">
              <w:rPr>
                <w:rFonts w:ascii="Arial Narrow" w:eastAsiaTheme="minorHAnsi" w:hAnsi="Arial Narrow" w:cstheme="minorBidi"/>
                <w:snapToGrid/>
                <w:sz w:val="20"/>
                <w:szCs w:val="20"/>
              </w:rPr>
              <w:t>(</w:t>
            </w:r>
            <w:r>
              <w:rPr>
                <w:rFonts w:ascii="Arial Narrow" w:eastAsiaTheme="minorHAnsi" w:hAnsi="Arial Narrow" w:cstheme="minorBidi"/>
                <w:snapToGrid/>
                <w:sz w:val="20"/>
                <w:szCs w:val="20"/>
              </w:rPr>
              <w:t>0.00, 17.3%</w:t>
            </w:r>
            <w:r w:rsidR="00D21946" w:rsidRPr="00D21946">
              <w:rPr>
                <w:rFonts w:ascii="Arial Narrow" w:eastAsiaTheme="minorHAnsi" w:hAnsi="Arial Narrow" w:cstheme="minorBidi"/>
                <w:snapToGrid/>
                <w:sz w:val="20"/>
                <w:szCs w:val="20"/>
              </w:rPr>
              <w:t>)</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heme="minorBidi"/>
                <w:snapToGrid/>
                <w:sz w:val="20"/>
              </w:rPr>
            </w:pPr>
            <w:r>
              <w:rPr>
                <w:rFonts w:ascii="Arial Narrow" w:eastAsiaTheme="minorHAnsi" w:hAnsi="Arial Narrow" w:cstheme="minorBidi"/>
                <w:snapToGrid/>
                <w:sz w:val="20"/>
              </w:rPr>
              <w:t>22.8</w:t>
            </w:r>
            <w:r w:rsidR="00D21946" w:rsidRPr="00D21946">
              <w:rPr>
                <w:rFonts w:ascii="Arial Narrow" w:eastAsiaTheme="minorHAnsi" w:hAnsi="Arial Narrow" w:cstheme="minorBidi"/>
                <w:snapToGrid/>
                <w:sz w:val="20"/>
              </w:rPr>
              <w:t>%</w:t>
            </w:r>
          </w:p>
        </w:tc>
        <w:tc>
          <w:tcPr>
            <w:tcW w:w="879" w:type="pct"/>
            <w:tcBorders>
              <w:top w:val="nil"/>
              <w:left w:val="single" w:sz="4" w:space="0" w:color="auto"/>
              <w:bottom w:val="nil"/>
            </w:tcBorders>
            <w:shd w:val="clear" w:color="auto" w:fill="auto"/>
          </w:tcPr>
          <w:p w:rsidR="00D21946" w:rsidRPr="00D21946" w:rsidRDefault="00D21946" w:rsidP="00C044D9">
            <w:pPr>
              <w:keepNext/>
              <w:keepLines/>
              <w:jc w:val="center"/>
              <w:rPr>
                <w:rFonts w:ascii="Arial Narrow" w:eastAsiaTheme="minorHAnsi" w:hAnsi="Arial Narrow" w:cstheme="minorBidi"/>
                <w:snapToGrid/>
                <w:sz w:val="20"/>
              </w:rPr>
            </w:pPr>
          </w:p>
        </w:tc>
      </w:tr>
      <w:tr w:rsidR="00D21946" w:rsidRPr="00D21946" w:rsidTr="005831DD">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b/>
                <w:snapToGrid/>
                <w:sz w:val="20"/>
              </w:rPr>
              <w:t xml:space="preserve">Overall survival (median duration of follow up </w:t>
            </w:r>
            <w:r w:rsidR="005A1E12">
              <w:rPr>
                <w:rFonts w:ascii="Arial Narrow" w:eastAsiaTheme="minorHAnsi" w:hAnsi="Arial Narrow" w:cstheme="minorBidi"/>
                <w:b/>
                <w:snapToGrid/>
                <w:sz w:val="20"/>
              </w:rPr>
              <w:t>26.5</w:t>
            </w:r>
            <w:r w:rsidRPr="00D21946">
              <w:rPr>
                <w:rFonts w:ascii="Arial Narrow" w:eastAsiaTheme="minorHAnsi" w:hAnsi="Arial Narrow" w:cstheme="minorBidi"/>
                <w:b/>
                <w:snapToGrid/>
                <w:sz w:val="20"/>
              </w:rPr>
              <w:t xml:space="preserve"> months)</w:t>
            </w:r>
          </w:p>
        </w:tc>
      </w:tr>
      <w:tr w:rsidR="00D21946" w:rsidRPr="00D21946" w:rsidTr="005831DD">
        <w:trPr>
          <w:trHeight w:val="20"/>
          <w:tblHeader/>
        </w:trPr>
        <w:tc>
          <w:tcPr>
            <w:tcW w:w="1366"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24</w:t>
            </w:r>
            <w:r w:rsidR="00D21946"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40</w:t>
            </w:r>
            <w:r w:rsidR="00D21946" w:rsidRPr="00D21946">
              <w:rPr>
                <w:rFonts w:ascii="Arial Narrow" w:eastAsiaTheme="minorHAnsi" w:hAnsi="Arial Narrow" w:cs="Times New Roman"/>
                <w:snapToGrid/>
                <w:sz w:val="20"/>
                <w:szCs w:val="20"/>
              </w:rPr>
              <w:t xml:space="preserve"> (</w:t>
            </w:r>
            <w:r w:rsidR="005A1E12">
              <w:rPr>
                <w:rFonts w:ascii="Arial Narrow" w:eastAsiaTheme="minorHAnsi" w:hAnsi="Arial Narrow" w:cs="Times New Roman"/>
                <w:snapToGrid/>
                <w:sz w:val="20"/>
                <w:szCs w:val="20"/>
              </w:rPr>
              <w:t>60.0</w:t>
            </w:r>
            <w:r w:rsidR="00D21946" w:rsidRPr="00D21946">
              <w:rPr>
                <w:rFonts w:ascii="Arial Narrow" w:eastAsiaTheme="minorHAnsi" w:hAnsi="Arial Narrow" w:cs="Times New Roman"/>
                <w:snapToGrid/>
                <w:sz w:val="20"/>
                <w:szCs w:val="20"/>
              </w:rPr>
              <w:t>%)</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A638A8" w:rsidP="00C044D9">
            <w:pPr>
              <w:keepNext/>
              <w:keepLines/>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28</w:t>
            </w:r>
            <w:r w:rsidR="00D21946"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40</w:t>
            </w:r>
            <w:r w:rsidR="00D21946" w:rsidRPr="00D21946">
              <w:rPr>
                <w:rFonts w:ascii="Arial Narrow" w:eastAsiaTheme="minorHAnsi" w:hAnsi="Arial Narrow" w:cs="Times New Roman"/>
                <w:snapToGrid/>
                <w:sz w:val="20"/>
                <w:szCs w:val="20"/>
              </w:rPr>
              <w:t xml:space="preserve"> (</w:t>
            </w:r>
            <w:r w:rsidR="005A1E12">
              <w:rPr>
                <w:rFonts w:ascii="Arial Narrow" w:eastAsiaTheme="minorHAnsi" w:hAnsi="Arial Narrow" w:cs="Times New Roman"/>
                <w:snapToGrid/>
                <w:sz w:val="20"/>
                <w:szCs w:val="20"/>
              </w:rPr>
              <w:t>70.0</w:t>
            </w:r>
            <w:r w:rsidR="00D21946" w:rsidRPr="00D21946">
              <w:rPr>
                <w:rFonts w:ascii="Arial Narrow" w:eastAsiaTheme="minorHAnsi" w:hAnsi="Arial Narrow" w:cs="Times New Roman"/>
                <w:snapToGrid/>
                <w:sz w:val="20"/>
                <w:szCs w:val="20"/>
              </w:rPr>
              <w:t>%)</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center"/>
              <w:rPr>
                <w:rFonts w:ascii="Arial Narrow" w:eastAsiaTheme="minorHAnsi" w:hAnsi="Arial Narrow" w:cstheme="minorBidi"/>
                <w:snapToGrid/>
                <w:sz w:val="20"/>
              </w:rPr>
            </w:pPr>
          </w:p>
        </w:tc>
        <w:tc>
          <w:tcPr>
            <w:tcW w:w="879" w:type="pct"/>
            <w:tcBorders>
              <w:top w:val="single" w:sz="4" w:space="0" w:color="auto"/>
              <w:left w:val="single" w:sz="4" w:space="0" w:color="auto"/>
              <w:bottom w:val="nil"/>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0.4</w:t>
            </w:r>
            <w:r w:rsidR="00D21946"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t>0.2, 0.7</w:t>
            </w:r>
            <w:r w:rsidR="00D21946" w:rsidRPr="00D21946">
              <w:rPr>
                <w:rFonts w:ascii="Arial Narrow" w:eastAsiaTheme="minorHAnsi" w:hAnsi="Arial Narrow" w:cstheme="minorBidi"/>
                <w:snapToGrid/>
                <w:sz w:val="20"/>
                <w:szCs w:val="20"/>
              </w:rPr>
              <w:t>)</w:t>
            </w:r>
          </w:p>
          <w:p w:rsidR="00D21946" w:rsidRPr="00D21946" w:rsidRDefault="00D21946" w:rsidP="00C044D9">
            <w:pPr>
              <w:keepNext/>
              <w:keepLines/>
              <w:jc w:val="center"/>
              <w:rPr>
                <w:rFonts w:ascii="Arial Narrow" w:eastAsiaTheme="minorHAnsi" w:hAnsi="Arial Narrow" w:cstheme="minorBidi"/>
                <w:snapToGrid/>
                <w:sz w:val="20"/>
              </w:rPr>
            </w:pPr>
            <w:r w:rsidRPr="00D21946">
              <w:rPr>
                <w:rFonts w:ascii="Arial Narrow" w:eastAsiaTheme="minorHAnsi" w:hAnsi="Arial Narrow" w:cstheme="minorBidi"/>
                <w:snapToGrid/>
                <w:sz w:val="20"/>
                <w:szCs w:val="20"/>
              </w:rPr>
              <w:t>P=</w:t>
            </w:r>
            <w:r w:rsidR="000B2EBF">
              <w:rPr>
                <w:rFonts w:ascii="Arial Narrow" w:eastAsiaTheme="minorHAnsi" w:hAnsi="Arial Narrow" w:cstheme="minorBidi"/>
                <w:snapToGrid/>
                <w:sz w:val="20"/>
                <w:szCs w:val="20"/>
              </w:rPr>
              <w:t>0.0010</w:t>
            </w:r>
          </w:p>
        </w:tc>
      </w:tr>
      <w:tr w:rsidR="00D21946" w:rsidRPr="00D21946" w:rsidTr="005831DD">
        <w:trPr>
          <w:trHeight w:val="20"/>
          <w:tblHeader/>
        </w:trPr>
        <w:tc>
          <w:tcPr>
            <w:tcW w:w="1366"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Median OS (months)</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12.4</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4.7</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5A1E12" w:rsidP="00C044D9">
            <w:pPr>
              <w:keepNext/>
              <w:keepLines/>
              <w:jc w:val="center"/>
              <w:rPr>
                <w:rFonts w:ascii="Arial Narrow" w:eastAsiaTheme="minorHAnsi" w:hAnsi="Arial Narrow" w:cstheme="minorBidi"/>
                <w:snapToGrid/>
                <w:sz w:val="20"/>
              </w:rPr>
            </w:pPr>
            <w:r>
              <w:rPr>
                <w:rFonts w:ascii="Arial Narrow" w:eastAsiaTheme="minorHAnsi" w:hAnsi="Arial Narrow" w:cstheme="minorBidi"/>
                <w:snapToGrid/>
                <w:sz w:val="20"/>
              </w:rPr>
              <w:t>7.7</w:t>
            </w:r>
          </w:p>
        </w:tc>
        <w:tc>
          <w:tcPr>
            <w:tcW w:w="879" w:type="pct"/>
            <w:tcBorders>
              <w:top w:val="nil"/>
              <w:left w:val="single" w:sz="4" w:space="0" w:color="auto"/>
              <w:bottom w:val="nil"/>
              <w:right w:val="single" w:sz="4" w:space="0" w:color="auto"/>
            </w:tcBorders>
            <w:shd w:val="clear" w:color="auto" w:fill="auto"/>
          </w:tcPr>
          <w:p w:rsidR="00D21946" w:rsidRPr="00D21946" w:rsidRDefault="00D21946" w:rsidP="00C044D9">
            <w:pPr>
              <w:keepNext/>
              <w:keepLines/>
              <w:jc w:val="center"/>
              <w:rPr>
                <w:rFonts w:ascii="Arial Narrow" w:eastAsiaTheme="minorHAnsi" w:hAnsi="Arial Narrow" w:cstheme="minorBidi"/>
                <w:snapToGrid/>
                <w:sz w:val="20"/>
                <w:szCs w:val="20"/>
              </w:rPr>
            </w:pPr>
          </w:p>
        </w:tc>
      </w:tr>
      <w:tr w:rsidR="00D21946" w:rsidRPr="00D21946" w:rsidTr="005831DD">
        <w:trPr>
          <w:trHeight w:val="20"/>
          <w:tblHeader/>
        </w:trPr>
        <w:tc>
          <w:tcPr>
            <w:tcW w:w="1366"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D21946" w:rsidP="00C044D9">
            <w:pPr>
              <w:keepNext/>
              <w:keepLines/>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 xml:space="preserve">% Alive at </w:t>
            </w:r>
            <w:r w:rsidR="005A1E12">
              <w:rPr>
                <w:rFonts w:ascii="Arial Narrow" w:eastAsiaTheme="minorHAnsi" w:hAnsi="Arial Narrow" w:cstheme="minorBidi"/>
                <w:snapToGrid/>
                <w:sz w:val="20"/>
              </w:rPr>
              <w:t>24</w:t>
            </w:r>
            <w:r w:rsidRPr="00D21946">
              <w:rPr>
                <w:rFonts w:ascii="Arial Narrow" w:eastAsiaTheme="minorHAnsi" w:hAnsi="Arial Narrow" w:cstheme="minorBidi"/>
                <w:snapToGrid/>
                <w:sz w:val="20"/>
              </w:rPr>
              <w:t xml:space="preserve">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0B2EBF" w:rsidP="00C044D9">
            <w:pPr>
              <w:keepNext/>
              <w:keepLines/>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38.2</w:t>
            </w:r>
            <w:r w:rsidR="00D21946"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br/>
            </w:r>
            <w:r w:rsidR="00D21946" w:rsidRPr="00D21946">
              <w:rPr>
                <w:rFonts w:ascii="Arial Narrow" w:eastAsiaTheme="minorHAnsi" w:hAnsi="Arial Narrow" w:cstheme="minorBidi"/>
                <w:snapToGrid/>
                <w:sz w:val="20"/>
                <w:szCs w:val="20"/>
              </w:rPr>
              <w:t>(</w:t>
            </w:r>
            <w:r>
              <w:rPr>
                <w:rFonts w:ascii="Arial Narrow" w:eastAsiaTheme="minorHAnsi" w:hAnsi="Arial Narrow" w:cstheme="minorBidi"/>
                <w:snapToGrid/>
                <w:sz w:val="20"/>
                <w:szCs w:val="20"/>
              </w:rPr>
              <w:t>22.5%, 53.</w:t>
            </w:r>
            <w:r w:rsidR="0001420A">
              <w:rPr>
                <w:rFonts w:ascii="Arial Narrow" w:eastAsiaTheme="minorHAnsi" w:hAnsi="Arial Narrow" w:cstheme="minorBidi"/>
                <w:snapToGrid/>
                <w:sz w:val="20"/>
                <w:szCs w:val="20"/>
              </w:rPr>
              <w:t>9</w:t>
            </w:r>
            <w:r>
              <w:rPr>
                <w:rFonts w:ascii="Arial Narrow" w:eastAsiaTheme="minorHAnsi" w:hAnsi="Arial Narrow" w:cstheme="minorBidi"/>
                <w:snapToGrid/>
                <w:sz w:val="20"/>
                <w:szCs w:val="20"/>
              </w:rPr>
              <w:t>%</w:t>
            </w:r>
            <w:r w:rsidR="00D21946" w:rsidRPr="00D21946">
              <w:rPr>
                <w:rFonts w:ascii="Arial Narrow" w:eastAsiaTheme="minorHAnsi" w:hAnsi="Arial Narrow" w:cstheme="minorBidi"/>
                <w:snapToGrid/>
                <w:sz w:val="20"/>
                <w:szCs w:val="20"/>
              </w:rPr>
              <w:t>)</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0B2EBF" w:rsidP="00C044D9">
            <w:pPr>
              <w:keepNext/>
              <w:keepLines/>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1</w:t>
            </w:r>
            <w:r w:rsidR="0001420A">
              <w:rPr>
                <w:rFonts w:ascii="Arial Narrow" w:eastAsiaTheme="minorHAnsi" w:hAnsi="Arial Narrow" w:cstheme="minorBidi"/>
                <w:snapToGrid/>
                <w:sz w:val="20"/>
                <w:szCs w:val="20"/>
              </w:rPr>
              <w:t>7</w:t>
            </w:r>
            <w:r>
              <w:rPr>
                <w:rFonts w:ascii="Arial Narrow" w:eastAsiaTheme="minorHAnsi" w:hAnsi="Arial Narrow" w:cstheme="minorBidi"/>
                <w:snapToGrid/>
                <w:sz w:val="20"/>
                <w:szCs w:val="20"/>
              </w:rPr>
              <w:t>.</w:t>
            </w:r>
            <w:r w:rsidR="0001420A">
              <w:rPr>
                <w:rFonts w:ascii="Arial Narrow" w:eastAsiaTheme="minorHAnsi" w:hAnsi="Arial Narrow" w:cstheme="minorBidi"/>
                <w:snapToGrid/>
                <w:sz w:val="20"/>
                <w:szCs w:val="20"/>
              </w:rPr>
              <w:t>0</w:t>
            </w:r>
            <w:r w:rsidR="00D21946"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br/>
            </w:r>
            <w:r w:rsidR="00D21946" w:rsidRPr="00D21946">
              <w:rPr>
                <w:rFonts w:ascii="Arial Narrow" w:eastAsiaTheme="minorHAnsi" w:hAnsi="Arial Narrow" w:cstheme="minorBidi"/>
                <w:snapToGrid/>
                <w:sz w:val="20"/>
                <w:szCs w:val="20"/>
              </w:rPr>
              <w:t>(</w:t>
            </w:r>
            <w:r>
              <w:rPr>
                <w:rFonts w:ascii="Arial Narrow" w:eastAsiaTheme="minorHAnsi" w:hAnsi="Arial Narrow" w:cstheme="minorBidi"/>
                <w:snapToGrid/>
                <w:sz w:val="20"/>
                <w:szCs w:val="20"/>
              </w:rPr>
              <w:t>3.6%, 30.</w:t>
            </w:r>
            <w:r w:rsidR="0001420A">
              <w:rPr>
                <w:rFonts w:ascii="Arial Narrow" w:eastAsiaTheme="minorHAnsi" w:hAnsi="Arial Narrow" w:cstheme="minorBidi"/>
                <w:snapToGrid/>
                <w:sz w:val="20"/>
                <w:szCs w:val="20"/>
              </w:rPr>
              <w:t>4</w:t>
            </w:r>
            <w:r>
              <w:rPr>
                <w:rFonts w:ascii="Arial Narrow" w:eastAsiaTheme="minorHAnsi" w:hAnsi="Arial Narrow" w:cstheme="minorBidi"/>
                <w:snapToGrid/>
                <w:sz w:val="20"/>
                <w:szCs w:val="20"/>
              </w:rPr>
              <w:t>%</w:t>
            </w:r>
            <w:r w:rsidR="00D21946" w:rsidRPr="00D21946">
              <w:rPr>
                <w:rFonts w:ascii="Arial Narrow" w:eastAsiaTheme="minorHAnsi" w:hAnsi="Arial Narrow" w:cstheme="minorBidi"/>
                <w:snapToGrid/>
                <w:sz w:val="20"/>
                <w:szCs w:val="20"/>
              </w:rPr>
              <w:t>)</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D21946" w:rsidRPr="00D21946" w:rsidRDefault="000B2EBF" w:rsidP="00C044D9">
            <w:pPr>
              <w:keepNext/>
              <w:keepLines/>
              <w:jc w:val="center"/>
              <w:rPr>
                <w:rFonts w:ascii="Arial Narrow" w:eastAsiaTheme="minorHAnsi" w:hAnsi="Arial Narrow" w:cstheme="minorBidi"/>
                <w:snapToGrid/>
                <w:sz w:val="20"/>
              </w:rPr>
            </w:pPr>
            <w:r>
              <w:rPr>
                <w:rFonts w:ascii="Arial Narrow" w:eastAsiaTheme="minorHAnsi" w:hAnsi="Arial Narrow" w:cstheme="minorBidi"/>
                <w:snapToGrid/>
                <w:sz w:val="20"/>
              </w:rPr>
              <w:t>21.2</w:t>
            </w:r>
            <w:r w:rsidR="00D21946" w:rsidRPr="00D21946">
              <w:rPr>
                <w:rFonts w:ascii="Arial Narrow" w:eastAsiaTheme="minorHAnsi" w:hAnsi="Arial Narrow" w:cstheme="minorBidi"/>
                <w:snapToGrid/>
                <w:sz w:val="20"/>
              </w:rPr>
              <w:t>%</w:t>
            </w:r>
          </w:p>
        </w:tc>
        <w:tc>
          <w:tcPr>
            <w:tcW w:w="879" w:type="pct"/>
            <w:tcBorders>
              <w:top w:val="nil"/>
              <w:left w:val="single" w:sz="4" w:space="0" w:color="auto"/>
              <w:bottom w:val="nil"/>
              <w:right w:val="single" w:sz="4" w:space="0" w:color="auto"/>
            </w:tcBorders>
            <w:shd w:val="clear" w:color="auto" w:fill="auto"/>
          </w:tcPr>
          <w:p w:rsidR="00D21946" w:rsidRPr="00D21946" w:rsidRDefault="00D21946" w:rsidP="00C044D9">
            <w:pPr>
              <w:keepNext/>
              <w:keepLines/>
              <w:jc w:val="center"/>
              <w:rPr>
                <w:rFonts w:ascii="Arial Narrow" w:eastAsiaTheme="minorHAnsi" w:hAnsi="Arial Narrow" w:cstheme="minorBidi"/>
                <w:snapToGrid/>
                <w:sz w:val="20"/>
              </w:rPr>
            </w:pPr>
          </w:p>
        </w:tc>
      </w:tr>
    </w:tbl>
    <w:tbl>
      <w:tblPr>
        <w:tblW w:w="4947" w:type="pct"/>
        <w:tblInd w:w="14" w:type="dxa"/>
        <w:tblLayout w:type="fixed"/>
        <w:tblCellMar>
          <w:left w:w="28" w:type="dxa"/>
          <w:right w:w="28" w:type="dxa"/>
        </w:tblCellMar>
        <w:tblLook w:val="04A0" w:firstRow="1" w:lastRow="0" w:firstColumn="1" w:lastColumn="0" w:noHBand="0" w:noVBand="1"/>
        <w:tblCaption w:val="Table 9: Summary of comparative benefits and harms for Pola+BR versus BR"/>
      </w:tblPr>
      <w:tblGrid>
        <w:gridCol w:w="1142"/>
        <w:gridCol w:w="9"/>
        <w:gridCol w:w="1124"/>
        <w:gridCol w:w="9"/>
        <w:gridCol w:w="1807"/>
        <w:gridCol w:w="2154"/>
        <w:gridCol w:w="1361"/>
        <w:gridCol w:w="1315"/>
      </w:tblGrid>
      <w:tr w:rsidR="00B03742" w:rsidRPr="00E2771E" w:rsidTr="00B03742">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B03742" w:rsidRPr="00E2771E" w:rsidRDefault="00B03742" w:rsidP="00C044D9">
            <w:pPr>
              <w:keepNext/>
              <w:keepLines/>
              <w:rPr>
                <w:rFonts w:ascii="Arial Narrow" w:hAnsi="Arial Narrow"/>
                <w:b/>
                <w:color w:val="000000"/>
                <w:sz w:val="20"/>
                <w:szCs w:val="18"/>
              </w:rPr>
            </w:pPr>
            <w:r w:rsidRPr="00E2771E">
              <w:rPr>
                <w:rFonts w:ascii="Arial Narrow" w:hAnsi="Arial Narrow"/>
                <w:b/>
                <w:color w:val="000000"/>
                <w:sz w:val="20"/>
                <w:szCs w:val="18"/>
              </w:rPr>
              <w:t xml:space="preserve">Harms </w:t>
            </w:r>
            <w:r w:rsidR="009463FE">
              <w:rPr>
                <w:rFonts w:ascii="Arial Narrow" w:hAnsi="Arial Narrow"/>
                <w:b/>
                <w:color w:val="000000"/>
                <w:sz w:val="20"/>
                <w:szCs w:val="18"/>
              </w:rPr>
              <w:t>(</w:t>
            </w:r>
            <w:r w:rsidR="009463FE" w:rsidRPr="009463FE">
              <w:rPr>
                <w:rFonts w:ascii="Arial Narrow" w:eastAsiaTheme="minorHAnsi" w:hAnsi="Arial Narrow" w:cstheme="minorBidi"/>
                <w:b/>
                <w:snapToGrid/>
                <w:sz w:val="20"/>
              </w:rPr>
              <w:t>median duration of follow-up 22.3 months</w:t>
            </w:r>
            <w:r w:rsidR="009463FE">
              <w:rPr>
                <w:rFonts w:ascii="Arial Narrow" w:eastAsiaTheme="minorHAnsi" w:hAnsi="Arial Narrow" w:cstheme="minorBidi"/>
                <w:b/>
                <w:snapToGrid/>
                <w:sz w:val="20"/>
              </w:rPr>
              <w:t>)</w:t>
            </w:r>
            <w:r w:rsidR="009463FE" w:rsidRPr="009463FE">
              <w:rPr>
                <w:rFonts w:ascii="Arial Narrow" w:eastAsiaTheme="minorHAnsi" w:hAnsi="Arial Narrow" w:cstheme="minorBidi"/>
                <w:b/>
                <w:snapToGrid/>
                <w:sz w:val="20"/>
              </w:rPr>
              <w:t>.</w:t>
            </w:r>
          </w:p>
        </w:tc>
      </w:tr>
      <w:tr w:rsidR="007520AC" w:rsidRPr="00E2771E" w:rsidTr="007520AC">
        <w:trPr>
          <w:trHeight w:val="70"/>
        </w:trPr>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0AC" w:rsidRPr="00E2771E" w:rsidRDefault="007520AC" w:rsidP="00C044D9">
            <w:pPr>
              <w:keepNext/>
              <w:keepLines/>
              <w:rPr>
                <w:rFonts w:ascii="Arial Narrow" w:hAnsi="Arial Narrow"/>
                <w:b/>
                <w:color w:val="000000"/>
                <w:sz w:val="20"/>
                <w:szCs w:val="18"/>
              </w:rPr>
            </w:pPr>
            <w:r>
              <w:rPr>
                <w:rFonts w:ascii="Arial Narrow" w:hAnsi="Arial Narrow"/>
                <w:b/>
                <w:color w:val="000000"/>
                <w:sz w:val="20"/>
                <w:szCs w:val="18"/>
              </w:rPr>
              <w:t>Adverse event</w:t>
            </w:r>
          </w:p>
        </w:tc>
        <w:tc>
          <w:tcPr>
            <w:tcW w:w="635" w:type="pct"/>
            <w:gridSpan w:val="2"/>
            <w:vMerge w:val="restart"/>
            <w:tcBorders>
              <w:top w:val="single" w:sz="4" w:space="0" w:color="auto"/>
              <w:left w:val="single" w:sz="4" w:space="0" w:color="auto"/>
              <w:bottom w:val="single" w:sz="4" w:space="0" w:color="auto"/>
              <w:right w:val="single" w:sz="4" w:space="0" w:color="auto"/>
            </w:tcBorders>
            <w:vAlign w:val="center"/>
          </w:tcPr>
          <w:p w:rsidR="007520AC" w:rsidRDefault="007520AC" w:rsidP="00C044D9">
            <w:pPr>
              <w:keepNext/>
              <w:keepLines/>
              <w:jc w:val="center"/>
              <w:rPr>
                <w:rFonts w:ascii="Arial Narrow" w:hAnsi="Arial Narrow"/>
                <w:b/>
                <w:color w:val="000000"/>
                <w:sz w:val="20"/>
                <w:szCs w:val="18"/>
              </w:rPr>
            </w:pPr>
            <w:proofErr w:type="spellStart"/>
            <w:r>
              <w:rPr>
                <w:rFonts w:ascii="Arial Narrow" w:hAnsi="Arial Narrow"/>
                <w:b/>
                <w:color w:val="000000"/>
                <w:sz w:val="20"/>
                <w:szCs w:val="18"/>
              </w:rPr>
              <w:t>Pola+BR</w:t>
            </w:r>
            <w:proofErr w:type="spellEnd"/>
          </w:p>
          <w:p w:rsidR="007520AC" w:rsidRPr="00E2771E" w:rsidRDefault="007520AC" w:rsidP="00C044D9">
            <w:pPr>
              <w:keepNext/>
              <w:keepLines/>
              <w:jc w:val="center"/>
              <w:rPr>
                <w:rFonts w:ascii="Arial Narrow" w:hAnsi="Arial Narrow"/>
                <w:b/>
                <w:color w:val="000000"/>
                <w:sz w:val="20"/>
                <w:szCs w:val="18"/>
              </w:rPr>
            </w:pPr>
            <w:r>
              <w:rPr>
                <w:rFonts w:ascii="Arial Narrow" w:hAnsi="Arial Narrow"/>
                <w:b/>
                <w:color w:val="000000"/>
                <w:sz w:val="20"/>
                <w:szCs w:val="18"/>
              </w:rPr>
              <w:t>n/N</w:t>
            </w:r>
          </w:p>
        </w:tc>
        <w:tc>
          <w:tcPr>
            <w:tcW w:w="1018" w:type="pct"/>
            <w:gridSpan w:val="2"/>
            <w:vMerge w:val="restart"/>
            <w:tcBorders>
              <w:top w:val="single" w:sz="4" w:space="0" w:color="auto"/>
              <w:left w:val="single" w:sz="4" w:space="0" w:color="auto"/>
              <w:right w:val="single" w:sz="4" w:space="0" w:color="auto"/>
            </w:tcBorders>
            <w:vAlign w:val="center"/>
          </w:tcPr>
          <w:p w:rsidR="007520AC" w:rsidRDefault="007520AC" w:rsidP="00C044D9">
            <w:pPr>
              <w:keepNext/>
              <w:keepLines/>
              <w:jc w:val="center"/>
              <w:rPr>
                <w:rFonts w:ascii="Arial Narrow" w:hAnsi="Arial Narrow"/>
                <w:b/>
                <w:color w:val="000000"/>
                <w:sz w:val="20"/>
                <w:szCs w:val="18"/>
              </w:rPr>
            </w:pPr>
            <w:r>
              <w:rPr>
                <w:rFonts w:ascii="Arial Narrow" w:hAnsi="Arial Narrow"/>
                <w:b/>
                <w:color w:val="000000"/>
                <w:sz w:val="20"/>
                <w:szCs w:val="18"/>
              </w:rPr>
              <w:t>BR</w:t>
            </w:r>
          </w:p>
          <w:p w:rsidR="007520AC" w:rsidRPr="00E2771E" w:rsidRDefault="007520AC" w:rsidP="00C044D9">
            <w:pPr>
              <w:keepNext/>
              <w:keepLines/>
              <w:jc w:val="center"/>
              <w:rPr>
                <w:rFonts w:ascii="Arial Narrow" w:hAnsi="Arial Narrow"/>
                <w:b/>
                <w:color w:val="000000"/>
                <w:sz w:val="20"/>
                <w:szCs w:val="18"/>
              </w:rPr>
            </w:pPr>
            <w:r>
              <w:rPr>
                <w:rFonts w:ascii="Arial Narrow" w:hAnsi="Arial Narrow"/>
                <w:b/>
                <w:color w:val="000000"/>
                <w:sz w:val="20"/>
                <w:szCs w:val="18"/>
              </w:rPr>
              <w:t>n/N</w:t>
            </w:r>
          </w:p>
        </w:tc>
        <w:tc>
          <w:tcPr>
            <w:tcW w:w="1970" w:type="pct"/>
            <w:gridSpan w:val="2"/>
            <w:tcBorders>
              <w:top w:val="single" w:sz="4" w:space="0" w:color="auto"/>
              <w:left w:val="single" w:sz="4" w:space="0" w:color="auto"/>
              <w:bottom w:val="single" w:sz="4" w:space="0" w:color="auto"/>
              <w:right w:val="single" w:sz="4" w:space="0" w:color="auto"/>
            </w:tcBorders>
            <w:vAlign w:val="center"/>
          </w:tcPr>
          <w:p w:rsidR="007520AC" w:rsidRPr="00E2771E" w:rsidRDefault="007520AC" w:rsidP="00C044D9">
            <w:pPr>
              <w:keepNext/>
              <w:keepLines/>
              <w:jc w:val="center"/>
              <w:rPr>
                <w:rFonts w:ascii="Arial Narrow" w:hAnsi="Arial Narrow"/>
                <w:b/>
                <w:color w:val="000000"/>
                <w:sz w:val="20"/>
                <w:szCs w:val="18"/>
              </w:rPr>
            </w:pPr>
            <w:r w:rsidRPr="00E2771E">
              <w:rPr>
                <w:rFonts w:ascii="Arial Narrow" w:hAnsi="Arial Narrow"/>
                <w:b/>
                <w:color w:val="000000"/>
                <w:sz w:val="20"/>
                <w:szCs w:val="18"/>
              </w:rPr>
              <w:t>Event rate/100 patients</w:t>
            </w:r>
          </w:p>
        </w:tc>
        <w:tc>
          <w:tcPr>
            <w:tcW w:w="737" w:type="pct"/>
            <w:vMerge w:val="restart"/>
            <w:tcBorders>
              <w:top w:val="single" w:sz="4" w:space="0" w:color="auto"/>
              <w:left w:val="single" w:sz="4" w:space="0" w:color="auto"/>
              <w:bottom w:val="single" w:sz="4" w:space="0" w:color="auto"/>
              <w:right w:val="single" w:sz="4" w:space="0" w:color="auto"/>
            </w:tcBorders>
            <w:vAlign w:val="center"/>
          </w:tcPr>
          <w:p w:rsidR="007520AC" w:rsidRPr="00A0799B" w:rsidRDefault="007520AC" w:rsidP="00C044D9">
            <w:pPr>
              <w:keepNext/>
              <w:keepLines/>
              <w:jc w:val="center"/>
              <w:rPr>
                <w:rFonts w:ascii="Arial Narrow" w:hAnsi="Arial Narrow"/>
                <w:b/>
                <w:color w:val="000000"/>
                <w:sz w:val="20"/>
                <w:szCs w:val="18"/>
              </w:rPr>
            </w:pPr>
            <w:r w:rsidRPr="00A0799B">
              <w:rPr>
                <w:rFonts w:ascii="Arial Narrow" w:hAnsi="Arial Narrow"/>
                <w:b/>
                <w:color w:val="000000"/>
                <w:sz w:val="20"/>
                <w:szCs w:val="18"/>
              </w:rPr>
              <w:t>RD %</w:t>
            </w:r>
          </w:p>
          <w:p w:rsidR="008F5664" w:rsidRPr="00A0799B" w:rsidRDefault="007520AC" w:rsidP="00C044D9">
            <w:pPr>
              <w:keepNext/>
              <w:keepLines/>
              <w:jc w:val="center"/>
              <w:rPr>
                <w:rFonts w:ascii="Arial Narrow" w:hAnsi="Arial Narrow"/>
                <w:b/>
                <w:color w:val="000000"/>
                <w:sz w:val="20"/>
                <w:szCs w:val="18"/>
                <w:vertAlign w:val="superscript"/>
              </w:rPr>
            </w:pPr>
            <w:r w:rsidRPr="00A0799B">
              <w:rPr>
                <w:rFonts w:ascii="Arial Narrow" w:hAnsi="Arial Narrow"/>
                <w:b/>
                <w:color w:val="000000"/>
                <w:sz w:val="20"/>
                <w:szCs w:val="18"/>
              </w:rPr>
              <w:t>(95% CI)</w:t>
            </w:r>
            <w:r w:rsidR="00A0799B" w:rsidRPr="00A0799B">
              <w:rPr>
                <w:rFonts w:ascii="Arial Narrow" w:hAnsi="Arial Narrow"/>
                <w:b/>
                <w:color w:val="000000"/>
                <w:sz w:val="20"/>
                <w:szCs w:val="18"/>
                <w:vertAlign w:val="superscript"/>
              </w:rPr>
              <w:t>a</w:t>
            </w:r>
          </w:p>
        </w:tc>
      </w:tr>
      <w:tr w:rsidR="007520AC" w:rsidRPr="00E2771E" w:rsidTr="007520AC">
        <w:trPr>
          <w:trHeight w:val="390"/>
        </w:trPr>
        <w:tc>
          <w:tcPr>
            <w:tcW w:w="6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7520AC" w:rsidRPr="00E2771E" w:rsidRDefault="007520AC" w:rsidP="00C044D9">
            <w:pPr>
              <w:keepNext/>
              <w:keepLines/>
              <w:rPr>
                <w:rFonts w:ascii="Arial Narrow" w:hAnsi="Arial Narrow"/>
                <w:b/>
                <w:color w:val="000000"/>
                <w:sz w:val="20"/>
                <w:szCs w:val="18"/>
              </w:rPr>
            </w:pPr>
          </w:p>
        </w:tc>
        <w:tc>
          <w:tcPr>
            <w:tcW w:w="635" w:type="pct"/>
            <w:gridSpan w:val="2"/>
            <w:vMerge/>
            <w:tcBorders>
              <w:top w:val="single" w:sz="4" w:space="0" w:color="auto"/>
              <w:left w:val="single" w:sz="4" w:space="0" w:color="auto"/>
              <w:bottom w:val="single" w:sz="4" w:space="0" w:color="auto"/>
              <w:right w:val="single" w:sz="4" w:space="0" w:color="auto"/>
            </w:tcBorders>
            <w:vAlign w:val="center"/>
          </w:tcPr>
          <w:p w:rsidR="007520AC" w:rsidRPr="00E2771E" w:rsidRDefault="007520AC" w:rsidP="00C044D9">
            <w:pPr>
              <w:keepNext/>
              <w:keepLines/>
              <w:jc w:val="center"/>
              <w:rPr>
                <w:rFonts w:ascii="Arial Narrow" w:hAnsi="Arial Narrow"/>
                <w:b/>
                <w:color w:val="000000"/>
                <w:sz w:val="20"/>
                <w:szCs w:val="18"/>
              </w:rPr>
            </w:pPr>
          </w:p>
        </w:tc>
        <w:tc>
          <w:tcPr>
            <w:tcW w:w="1018" w:type="pct"/>
            <w:gridSpan w:val="2"/>
            <w:vMerge/>
            <w:tcBorders>
              <w:left w:val="single" w:sz="4" w:space="0" w:color="auto"/>
              <w:bottom w:val="single" w:sz="4" w:space="0" w:color="auto"/>
              <w:right w:val="single" w:sz="4" w:space="0" w:color="auto"/>
            </w:tcBorders>
            <w:vAlign w:val="center"/>
          </w:tcPr>
          <w:p w:rsidR="007520AC" w:rsidRPr="00E2771E" w:rsidRDefault="007520AC" w:rsidP="00C044D9">
            <w:pPr>
              <w:keepNext/>
              <w:keepLines/>
              <w:jc w:val="center"/>
              <w:rPr>
                <w:rFonts w:ascii="Arial Narrow" w:hAnsi="Arial Narrow"/>
                <w:b/>
                <w:color w:val="000000"/>
                <w:sz w:val="20"/>
                <w:szCs w:val="18"/>
              </w:rPr>
            </w:pPr>
          </w:p>
        </w:tc>
        <w:tc>
          <w:tcPr>
            <w:tcW w:w="1207" w:type="pct"/>
            <w:tcBorders>
              <w:top w:val="single" w:sz="4" w:space="0" w:color="auto"/>
              <w:left w:val="single" w:sz="4" w:space="0" w:color="auto"/>
              <w:bottom w:val="single" w:sz="4" w:space="0" w:color="auto"/>
              <w:right w:val="single" w:sz="4" w:space="0" w:color="auto"/>
            </w:tcBorders>
            <w:vAlign w:val="center"/>
          </w:tcPr>
          <w:p w:rsidR="007520AC" w:rsidRPr="00E2771E" w:rsidRDefault="007520AC" w:rsidP="00C044D9">
            <w:pPr>
              <w:keepNext/>
              <w:keepLines/>
              <w:jc w:val="center"/>
              <w:rPr>
                <w:rFonts w:ascii="Arial Narrow" w:hAnsi="Arial Narrow"/>
                <w:b/>
                <w:color w:val="000000"/>
                <w:sz w:val="20"/>
                <w:szCs w:val="18"/>
              </w:rPr>
            </w:pPr>
            <w:proofErr w:type="spellStart"/>
            <w:r>
              <w:rPr>
                <w:rFonts w:ascii="Arial Narrow" w:hAnsi="Arial Narrow"/>
                <w:b/>
                <w:color w:val="000000"/>
                <w:sz w:val="20"/>
                <w:szCs w:val="18"/>
              </w:rPr>
              <w:t>Pola+BR</w:t>
            </w:r>
            <w:proofErr w:type="spellEnd"/>
          </w:p>
        </w:tc>
        <w:tc>
          <w:tcPr>
            <w:tcW w:w="763" w:type="pct"/>
            <w:tcBorders>
              <w:top w:val="single" w:sz="4" w:space="0" w:color="auto"/>
              <w:left w:val="single" w:sz="4" w:space="0" w:color="auto"/>
              <w:bottom w:val="single" w:sz="4" w:space="0" w:color="auto"/>
              <w:right w:val="single" w:sz="4" w:space="0" w:color="auto"/>
            </w:tcBorders>
            <w:vAlign w:val="center"/>
          </w:tcPr>
          <w:p w:rsidR="007520AC" w:rsidRPr="00E2771E" w:rsidRDefault="007520AC" w:rsidP="00C044D9">
            <w:pPr>
              <w:keepNext/>
              <w:keepLines/>
              <w:jc w:val="center"/>
              <w:rPr>
                <w:rFonts w:ascii="Arial Narrow" w:hAnsi="Arial Narrow"/>
                <w:b/>
                <w:color w:val="000000"/>
                <w:sz w:val="20"/>
                <w:szCs w:val="18"/>
              </w:rPr>
            </w:pPr>
            <w:r>
              <w:rPr>
                <w:rFonts w:ascii="Arial Narrow" w:hAnsi="Arial Narrow"/>
                <w:b/>
                <w:color w:val="000000"/>
                <w:sz w:val="20"/>
                <w:szCs w:val="18"/>
              </w:rPr>
              <w:t>BR</w:t>
            </w:r>
          </w:p>
        </w:tc>
        <w:tc>
          <w:tcPr>
            <w:tcW w:w="737" w:type="pct"/>
            <w:vMerge/>
            <w:tcBorders>
              <w:top w:val="single" w:sz="4" w:space="0" w:color="auto"/>
              <w:left w:val="single" w:sz="4" w:space="0" w:color="auto"/>
              <w:bottom w:val="single" w:sz="4" w:space="0" w:color="auto"/>
              <w:right w:val="single" w:sz="4" w:space="0" w:color="auto"/>
            </w:tcBorders>
            <w:vAlign w:val="center"/>
          </w:tcPr>
          <w:p w:rsidR="007520AC" w:rsidRPr="00A0799B" w:rsidRDefault="007520AC" w:rsidP="00C044D9">
            <w:pPr>
              <w:keepNext/>
              <w:keepLines/>
              <w:jc w:val="center"/>
              <w:rPr>
                <w:rFonts w:ascii="Arial Narrow" w:hAnsi="Arial Narrow"/>
                <w:b/>
                <w:color w:val="000000"/>
                <w:sz w:val="20"/>
                <w:szCs w:val="18"/>
              </w:rPr>
            </w:pPr>
          </w:p>
        </w:tc>
      </w:tr>
      <w:tr w:rsidR="007520AC" w:rsidRPr="00E2771E" w:rsidTr="007520A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0AC" w:rsidRPr="008F5664" w:rsidRDefault="007520AC" w:rsidP="00C044D9">
            <w:pPr>
              <w:keepNext/>
              <w:keepLines/>
              <w:rPr>
                <w:rFonts w:ascii="Arial Narrow" w:hAnsi="Arial Narrow"/>
                <w:b/>
                <w:color w:val="000000"/>
                <w:sz w:val="20"/>
                <w:szCs w:val="18"/>
              </w:rPr>
            </w:pPr>
            <w:r w:rsidRPr="008F5664">
              <w:rPr>
                <w:rFonts w:ascii="Arial Narrow" w:hAnsi="Arial Narrow"/>
                <w:b/>
                <w:color w:val="000000"/>
                <w:sz w:val="20"/>
                <w:szCs w:val="18"/>
              </w:rPr>
              <w:t>Any grade peripheral neuropathy</w:t>
            </w:r>
          </w:p>
        </w:tc>
        <w:tc>
          <w:tcPr>
            <w:tcW w:w="635" w:type="pct"/>
            <w:gridSpan w:val="2"/>
            <w:tcBorders>
              <w:top w:val="single" w:sz="4" w:space="0" w:color="auto"/>
              <w:left w:val="single" w:sz="4" w:space="0" w:color="auto"/>
              <w:bottom w:val="single" w:sz="4" w:space="0" w:color="auto"/>
              <w:right w:val="single" w:sz="4" w:space="0" w:color="auto"/>
            </w:tcBorders>
            <w:vAlign w:val="center"/>
          </w:tcPr>
          <w:p w:rsidR="007520AC" w:rsidRPr="008F5664" w:rsidRDefault="007520AC" w:rsidP="00C044D9">
            <w:pPr>
              <w:keepNext/>
              <w:keepLines/>
              <w:jc w:val="center"/>
              <w:rPr>
                <w:rFonts w:ascii="Arial Narrow" w:hAnsi="Arial Narrow"/>
                <w:b/>
                <w:color w:val="000000"/>
                <w:sz w:val="20"/>
                <w:szCs w:val="18"/>
              </w:rPr>
            </w:pPr>
            <w:r w:rsidRPr="008F5664">
              <w:rPr>
                <w:rFonts w:ascii="Arial Narrow" w:hAnsi="Arial Narrow"/>
                <w:b/>
                <w:color w:val="000000"/>
                <w:sz w:val="20"/>
                <w:szCs w:val="18"/>
              </w:rPr>
              <w:t>17/39</w:t>
            </w:r>
          </w:p>
        </w:tc>
        <w:tc>
          <w:tcPr>
            <w:tcW w:w="1013" w:type="pct"/>
            <w:tcBorders>
              <w:top w:val="single" w:sz="4" w:space="0" w:color="auto"/>
              <w:left w:val="single" w:sz="4" w:space="0" w:color="auto"/>
              <w:bottom w:val="single" w:sz="4" w:space="0" w:color="auto"/>
              <w:right w:val="single" w:sz="4" w:space="0" w:color="auto"/>
            </w:tcBorders>
            <w:vAlign w:val="center"/>
          </w:tcPr>
          <w:p w:rsidR="007520AC" w:rsidRPr="008F5664" w:rsidRDefault="007520AC" w:rsidP="00C044D9">
            <w:pPr>
              <w:keepNext/>
              <w:keepLines/>
              <w:jc w:val="center"/>
              <w:rPr>
                <w:rFonts w:ascii="Arial Narrow" w:hAnsi="Arial Narrow"/>
                <w:b/>
                <w:color w:val="000000"/>
                <w:sz w:val="20"/>
                <w:szCs w:val="18"/>
              </w:rPr>
            </w:pPr>
            <w:r w:rsidRPr="008F5664">
              <w:rPr>
                <w:rFonts w:ascii="Arial Narrow" w:hAnsi="Arial Narrow"/>
                <w:b/>
                <w:color w:val="000000"/>
                <w:sz w:val="20"/>
                <w:szCs w:val="18"/>
              </w:rPr>
              <w:t>3/39</w:t>
            </w:r>
          </w:p>
        </w:tc>
        <w:tc>
          <w:tcPr>
            <w:tcW w:w="1207" w:type="pct"/>
            <w:tcBorders>
              <w:top w:val="single" w:sz="4" w:space="0" w:color="auto"/>
              <w:left w:val="single" w:sz="4" w:space="0" w:color="auto"/>
              <w:bottom w:val="single" w:sz="4" w:space="0" w:color="auto"/>
              <w:right w:val="single" w:sz="4" w:space="0" w:color="auto"/>
            </w:tcBorders>
            <w:vAlign w:val="center"/>
          </w:tcPr>
          <w:p w:rsidR="007520AC" w:rsidRPr="008F5664" w:rsidRDefault="007520AC" w:rsidP="00C044D9">
            <w:pPr>
              <w:keepNext/>
              <w:keepLines/>
              <w:jc w:val="center"/>
              <w:rPr>
                <w:rFonts w:ascii="Arial Narrow" w:hAnsi="Arial Narrow"/>
                <w:b/>
                <w:color w:val="000000"/>
                <w:sz w:val="20"/>
                <w:szCs w:val="18"/>
              </w:rPr>
            </w:pPr>
            <w:r w:rsidRPr="008F5664">
              <w:rPr>
                <w:rFonts w:ascii="Arial Narrow" w:hAnsi="Arial Narrow"/>
                <w:b/>
                <w:color w:val="000000"/>
                <w:sz w:val="20"/>
                <w:szCs w:val="18"/>
              </w:rPr>
              <w:t>43.6</w:t>
            </w:r>
          </w:p>
        </w:tc>
        <w:tc>
          <w:tcPr>
            <w:tcW w:w="763" w:type="pct"/>
            <w:tcBorders>
              <w:top w:val="single" w:sz="4" w:space="0" w:color="auto"/>
              <w:left w:val="single" w:sz="4" w:space="0" w:color="auto"/>
              <w:bottom w:val="single" w:sz="4" w:space="0" w:color="auto"/>
              <w:right w:val="single" w:sz="4" w:space="0" w:color="auto"/>
            </w:tcBorders>
            <w:vAlign w:val="center"/>
          </w:tcPr>
          <w:p w:rsidR="007520AC" w:rsidRPr="008F5664" w:rsidRDefault="007520AC" w:rsidP="00C044D9">
            <w:pPr>
              <w:keepNext/>
              <w:keepLines/>
              <w:jc w:val="center"/>
              <w:rPr>
                <w:rFonts w:ascii="Arial Narrow" w:hAnsi="Arial Narrow"/>
                <w:b/>
                <w:color w:val="000000"/>
                <w:sz w:val="20"/>
                <w:szCs w:val="18"/>
              </w:rPr>
            </w:pPr>
            <w:r w:rsidRPr="008F5664">
              <w:rPr>
                <w:rFonts w:ascii="Arial Narrow" w:hAnsi="Arial Narrow"/>
                <w:b/>
                <w:color w:val="000000"/>
                <w:sz w:val="20"/>
                <w:szCs w:val="18"/>
              </w:rPr>
              <w:t>7.7</w:t>
            </w:r>
          </w:p>
        </w:tc>
        <w:tc>
          <w:tcPr>
            <w:tcW w:w="737" w:type="pct"/>
            <w:tcBorders>
              <w:top w:val="single" w:sz="4" w:space="0" w:color="auto"/>
              <w:left w:val="single" w:sz="4" w:space="0" w:color="auto"/>
              <w:bottom w:val="single" w:sz="4" w:space="0" w:color="auto"/>
              <w:right w:val="single" w:sz="4" w:space="0" w:color="auto"/>
            </w:tcBorders>
            <w:vAlign w:val="center"/>
          </w:tcPr>
          <w:p w:rsidR="007520AC" w:rsidRPr="00A0799B" w:rsidRDefault="00746BFC" w:rsidP="00C044D9">
            <w:pPr>
              <w:keepNext/>
              <w:keepLines/>
              <w:jc w:val="center"/>
              <w:rPr>
                <w:rFonts w:ascii="Arial Narrow" w:hAnsi="Arial Narrow"/>
                <w:b/>
                <w:color w:val="000000"/>
                <w:sz w:val="20"/>
                <w:szCs w:val="18"/>
              </w:rPr>
            </w:pPr>
            <w:r w:rsidRPr="00A0799B">
              <w:rPr>
                <w:rFonts w:ascii="Arial Narrow" w:hAnsi="Arial Narrow"/>
                <w:b/>
                <w:color w:val="000000"/>
                <w:sz w:val="20"/>
                <w:szCs w:val="18"/>
              </w:rPr>
              <w:t>35.9</w:t>
            </w:r>
            <w:r w:rsidR="007520AC" w:rsidRPr="00A0799B">
              <w:rPr>
                <w:rFonts w:ascii="Arial Narrow" w:hAnsi="Arial Narrow"/>
                <w:b/>
                <w:color w:val="000000"/>
                <w:sz w:val="20"/>
                <w:szCs w:val="18"/>
              </w:rPr>
              <w:t>%</w:t>
            </w:r>
          </w:p>
          <w:p w:rsidR="008F5664" w:rsidRPr="00A0799B" w:rsidRDefault="007520AC" w:rsidP="00C044D9">
            <w:pPr>
              <w:keepNext/>
              <w:keepLines/>
              <w:jc w:val="center"/>
              <w:rPr>
                <w:rFonts w:ascii="Arial Narrow" w:hAnsi="Arial Narrow"/>
                <w:b/>
                <w:color w:val="000000"/>
                <w:sz w:val="20"/>
                <w:szCs w:val="18"/>
              </w:rPr>
            </w:pPr>
            <w:r w:rsidRPr="00A0799B">
              <w:rPr>
                <w:rFonts w:ascii="Arial Narrow" w:hAnsi="Arial Narrow"/>
                <w:b/>
                <w:color w:val="000000"/>
                <w:sz w:val="20"/>
                <w:szCs w:val="18"/>
              </w:rPr>
              <w:t>(18.2%, 53.6%)</w:t>
            </w:r>
          </w:p>
        </w:tc>
      </w:tr>
      <w:tr w:rsidR="007520AC" w:rsidRPr="00E2771E" w:rsidTr="007520A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20AC" w:rsidRPr="00E2771E" w:rsidRDefault="00522654" w:rsidP="00C044D9">
            <w:pPr>
              <w:keepNext/>
              <w:keepLines/>
              <w:rPr>
                <w:rFonts w:ascii="Arial Narrow" w:hAnsi="Arial Narrow"/>
                <w:color w:val="000000"/>
                <w:sz w:val="20"/>
                <w:szCs w:val="18"/>
              </w:rPr>
            </w:pPr>
            <w:r>
              <w:rPr>
                <w:rFonts w:ascii="Arial Narrow" w:hAnsi="Arial Narrow"/>
                <w:color w:val="000000"/>
                <w:sz w:val="20"/>
                <w:szCs w:val="18"/>
              </w:rPr>
              <w:t>Grade 3-4 AE</w:t>
            </w:r>
          </w:p>
        </w:tc>
        <w:tc>
          <w:tcPr>
            <w:tcW w:w="635" w:type="pct"/>
            <w:gridSpan w:val="2"/>
            <w:tcBorders>
              <w:top w:val="single" w:sz="4" w:space="0" w:color="auto"/>
              <w:left w:val="single" w:sz="4" w:space="0" w:color="auto"/>
              <w:bottom w:val="single" w:sz="4" w:space="0" w:color="auto"/>
              <w:right w:val="single" w:sz="4" w:space="0" w:color="auto"/>
            </w:tcBorders>
            <w:vAlign w:val="center"/>
          </w:tcPr>
          <w:p w:rsidR="007520AC" w:rsidRPr="00E2771E" w:rsidRDefault="00522654" w:rsidP="00C044D9">
            <w:pPr>
              <w:keepNext/>
              <w:keepLines/>
              <w:jc w:val="center"/>
              <w:rPr>
                <w:rFonts w:ascii="Arial Narrow" w:hAnsi="Arial Narrow"/>
                <w:color w:val="000000"/>
                <w:sz w:val="20"/>
                <w:szCs w:val="18"/>
              </w:rPr>
            </w:pPr>
            <w:r>
              <w:rPr>
                <w:rFonts w:ascii="Arial Narrow" w:hAnsi="Arial Narrow"/>
                <w:color w:val="000000"/>
                <w:sz w:val="20"/>
                <w:szCs w:val="18"/>
              </w:rPr>
              <w:t>33/39</w:t>
            </w:r>
          </w:p>
        </w:tc>
        <w:tc>
          <w:tcPr>
            <w:tcW w:w="1013" w:type="pct"/>
            <w:tcBorders>
              <w:top w:val="single" w:sz="4" w:space="0" w:color="auto"/>
              <w:left w:val="single" w:sz="4" w:space="0" w:color="auto"/>
              <w:bottom w:val="single" w:sz="4" w:space="0" w:color="auto"/>
              <w:right w:val="single" w:sz="4" w:space="0" w:color="auto"/>
            </w:tcBorders>
            <w:vAlign w:val="center"/>
          </w:tcPr>
          <w:p w:rsidR="007520AC" w:rsidRPr="00E2771E" w:rsidRDefault="00522654" w:rsidP="00C044D9">
            <w:pPr>
              <w:keepNext/>
              <w:keepLines/>
              <w:jc w:val="center"/>
              <w:rPr>
                <w:rFonts w:ascii="Arial Narrow" w:hAnsi="Arial Narrow"/>
                <w:color w:val="000000"/>
                <w:sz w:val="20"/>
                <w:szCs w:val="18"/>
              </w:rPr>
            </w:pPr>
            <w:r>
              <w:rPr>
                <w:rFonts w:ascii="Arial Narrow" w:hAnsi="Arial Narrow"/>
                <w:color w:val="000000"/>
                <w:sz w:val="20"/>
                <w:szCs w:val="18"/>
              </w:rPr>
              <w:t>28/39</w:t>
            </w:r>
          </w:p>
        </w:tc>
        <w:tc>
          <w:tcPr>
            <w:tcW w:w="1207" w:type="pct"/>
            <w:tcBorders>
              <w:top w:val="single" w:sz="4" w:space="0" w:color="auto"/>
              <w:left w:val="single" w:sz="4" w:space="0" w:color="auto"/>
              <w:bottom w:val="single" w:sz="4" w:space="0" w:color="auto"/>
              <w:right w:val="single" w:sz="4" w:space="0" w:color="auto"/>
            </w:tcBorders>
            <w:vAlign w:val="center"/>
          </w:tcPr>
          <w:p w:rsidR="007520AC" w:rsidRPr="00E2771E" w:rsidRDefault="00522654" w:rsidP="00C044D9">
            <w:pPr>
              <w:keepNext/>
              <w:keepLines/>
              <w:jc w:val="center"/>
              <w:rPr>
                <w:rFonts w:ascii="Arial Narrow" w:hAnsi="Arial Narrow"/>
                <w:color w:val="000000"/>
                <w:sz w:val="20"/>
                <w:szCs w:val="18"/>
              </w:rPr>
            </w:pPr>
            <w:r>
              <w:rPr>
                <w:rFonts w:ascii="Arial Narrow" w:hAnsi="Arial Narrow"/>
                <w:color w:val="000000"/>
                <w:sz w:val="20"/>
                <w:szCs w:val="18"/>
              </w:rPr>
              <w:t>85.0</w:t>
            </w:r>
          </w:p>
        </w:tc>
        <w:tc>
          <w:tcPr>
            <w:tcW w:w="763" w:type="pct"/>
            <w:tcBorders>
              <w:top w:val="single" w:sz="4" w:space="0" w:color="auto"/>
              <w:left w:val="single" w:sz="4" w:space="0" w:color="auto"/>
              <w:bottom w:val="single" w:sz="4" w:space="0" w:color="auto"/>
              <w:right w:val="single" w:sz="4" w:space="0" w:color="auto"/>
            </w:tcBorders>
            <w:vAlign w:val="center"/>
          </w:tcPr>
          <w:p w:rsidR="007520AC" w:rsidRPr="00E2771E" w:rsidRDefault="00522654" w:rsidP="00C044D9">
            <w:pPr>
              <w:keepNext/>
              <w:keepLines/>
              <w:jc w:val="center"/>
              <w:rPr>
                <w:rFonts w:ascii="Arial Narrow" w:hAnsi="Arial Narrow"/>
                <w:color w:val="000000"/>
                <w:sz w:val="20"/>
                <w:szCs w:val="18"/>
              </w:rPr>
            </w:pPr>
            <w:r>
              <w:rPr>
                <w:rFonts w:ascii="Arial Narrow" w:hAnsi="Arial Narrow"/>
                <w:color w:val="000000"/>
                <w:sz w:val="20"/>
                <w:szCs w:val="18"/>
              </w:rPr>
              <w:t>72.0</w:t>
            </w:r>
          </w:p>
        </w:tc>
        <w:tc>
          <w:tcPr>
            <w:tcW w:w="737" w:type="pct"/>
            <w:tcBorders>
              <w:top w:val="single" w:sz="4" w:space="0" w:color="auto"/>
              <w:left w:val="single" w:sz="4" w:space="0" w:color="auto"/>
              <w:bottom w:val="single" w:sz="4" w:space="0" w:color="auto"/>
              <w:right w:val="single" w:sz="4" w:space="0" w:color="auto"/>
            </w:tcBorders>
            <w:vAlign w:val="center"/>
          </w:tcPr>
          <w:p w:rsidR="007520AC" w:rsidRPr="00A0799B" w:rsidRDefault="00522654" w:rsidP="00C044D9">
            <w:pPr>
              <w:keepNext/>
              <w:keepLines/>
              <w:jc w:val="center"/>
              <w:rPr>
                <w:rFonts w:ascii="Arial Narrow" w:hAnsi="Arial Narrow"/>
                <w:color w:val="000000"/>
                <w:sz w:val="20"/>
                <w:szCs w:val="18"/>
              </w:rPr>
            </w:pPr>
            <w:r w:rsidRPr="00A0799B">
              <w:rPr>
                <w:rFonts w:ascii="Arial Narrow" w:hAnsi="Arial Narrow"/>
                <w:color w:val="000000"/>
                <w:sz w:val="20"/>
                <w:szCs w:val="18"/>
              </w:rPr>
              <w:t>13.0%</w:t>
            </w:r>
          </w:p>
          <w:p w:rsidR="00522654" w:rsidRPr="00A0799B" w:rsidRDefault="00522654" w:rsidP="00C044D9">
            <w:pPr>
              <w:keepNext/>
              <w:keepLines/>
              <w:jc w:val="center"/>
              <w:rPr>
                <w:rFonts w:ascii="Arial Narrow" w:hAnsi="Arial Narrow"/>
                <w:color w:val="000000"/>
                <w:sz w:val="20"/>
                <w:szCs w:val="18"/>
              </w:rPr>
            </w:pPr>
            <w:r w:rsidRPr="00A0799B">
              <w:rPr>
                <w:rFonts w:ascii="Arial Narrow" w:hAnsi="Arial Narrow"/>
                <w:color w:val="000000"/>
                <w:sz w:val="20"/>
                <w:szCs w:val="18"/>
              </w:rPr>
              <w:t>(-5%, 31%)</w:t>
            </w:r>
          </w:p>
        </w:tc>
      </w:tr>
    </w:tbl>
    <w:p w:rsidR="00A0799B" w:rsidRDefault="00A0799B" w:rsidP="00C044D9">
      <w:pPr>
        <w:pStyle w:val="TableFooter"/>
        <w:keepNext/>
        <w:keepLines/>
      </w:pPr>
      <w:proofErr w:type="spellStart"/>
      <w:proofErr w:type="gramStart"/>
      <w:r w:rsidRPr="00A0799B">
        <w:rPr>
          <w:vertAlign w:val="superscript"/>
        </w:rPr>
        <w:t>a</w:t>
      </w:r>
      <w:r>
        <w:t>S</w:t>
      </w:r>
      <w:r w:rsidRPr="00A0799B">
        <w:t>tatistical</w:t>
      </w:r>
      <w:proofErr w:type="spellEnd"/>
      <w:proofErr w:type="gramEnd"/>
      <w:r w:rsidRPr="00A0799B">
        <w:t xml:space="preserve"> analyses performed during the evaluation. </w:t>
      </w:r>
    </w:p>
    <w:p w:rsidR="00A60098" w:rsidRPr="008F30AC" w:rsidRDefault="007520AC" w:rsidP="00C044D9">
      <w:pPr>
        <w:pStyle w:val="TableFooter"/>
        <w:keepNext/>
        <w:keepLines/>
        <w:rPr>
          <w:rFonts w:asciiTheme="minorHAnsi" w:hAnsiTheme="minorHAnsi" w:cstheme="minorHAnsi"/>
          <w:szCs w:val="24"/>
        </w:rPr>
      </w:pPr>
      <w:r>
        <w:t xml:space="preserve">RD=risk difference; </w:t>
      </w:r>
      <w:r w:rsidR="009463FE">
        <w:t>CI</w:t>
      </w:r>
      <w:r w:rsidR="00522654">
        <w:t xml:space="preserve">=confidence interval; </w:t>
      </w:r>
      <w:r w:rsidR="005A1E12">
        <w:t>Table</w:t>
      </w:r>
      <w:r w:rsidR="000B2EBF">
        <w:t>s</w:t>
      </w:r>
      <w:r w:rsidR="005A1E12">
        <w:t xml:space="preserve"> 1</w:t>
      </w:r>
      <w:r w:rsidR="000B2EBF">
        <w:t xml:space="preserve"> and 2</w:t>
      </w:r>
      <w:r w:rsidR="005A1E12">
        <w:t xml:space="preserve">, </w:t>
      </w:r>
      <w:r w:rsidR="000B2EBF">
        <w:t>p</w:t>
      </w:r>
      <w:r w:rsidR="005A1E12">
        <w:t>2</w:t>
      </w:r>
      <w:r w:rsidR="000B2EBF">
        <w:t xml:space="preserve"> and p4</w:t>
      </w:r>
      <w:r w:rsidR="005A1E12">
        <w:t xml:space="preserve"> of the Updated Efficacy analyses CSR accompanying the submission</w:t>
      </w:r>
      <w:r w:rsidR="009463FE">
        <w:t xml:space="preserve"> and original CSR for safety (Data </w:t>
      </w:r>
      <w:proofErr w:type="spellStart"/>
      <w:r w:rsidR="009463FE" w:rsidRPr="009463FE">
        <w:t>Cutoff</w:t>
      </w:r>
      <w:proofErr w:type="spellEnd"/>
      <w:r w:rsidR="009463FE" w:rsidRPr="009463FE">
        <w:t xml:space="preserve"> Date</w:t>
      </w:r>
      <w:r w:rsidR="009463FE">
        <w:t xml:space="preserve"> 30 April 2018) </w:t>
      </w:r>
    </w:p>
    <w:p w:rsidR="00A60098" w:rsidRDefault="00A60098" w:rsidP="002D39F0">
      <w:pPr>
        <w:pStyle w:val="Caption"/>
        <w:rPr>
          <w:rStyle w:val="CommentReference"/>
          <w:b/>
          <w:szCs w:val="18"/>
        </w:rPr>
      </w:pPr>
    </w:p>
    <w:p w:rsidR="00264609" w:rsidRDefault="00A638A8" w:rsidP="00095881">
      <w:pPr>
        <w:pStyle w:val="ListParagraph"/>
        <w:widowControl/>
        <w:numPr>
          <w:ilvl w:val="1"/>
          <w:numId w:val="2"/>
        </w:numPr>
      </w:pPr>
      <w:r>
        <w:t xml:space="preserve">On the basis of </w:t>
      </w:r>
      <w:r w:rsidR="00EC00C9" w:rsidRPr="00CF6EE4">
        <w:t>direct</w:t>
      </w:r>
      <w:r>
        <w:t xml:space="preserve"> </w:t>
      </w:r>
      <w:r w:rsidR="00EC00C9" w:rsidRPr="00CF6EE4">
        <w:t xml:space="preserve">evidence presented by the submission, for every 100 patients treated with </w:t>
      </w:r>
      <w:proofErr w:type="spellStart"/>
      <w:r>
        <w:t>Pola+BR</w:t>
      </w:r>
      <w:proofErr w:type="spellEnd"/>
      <w:r w:rsidR="00EC00C9" w:rsidRPr="00CF6EE4">
        <w:t xml:space="preserve"> in comparison to </w:t>
      </w:r>
      <w:r>
        <w:t>BR</w:t>
      </w:r>
    </w:p>
    <w:p w:rsidR="00FC1884" w:rsidRDefault="00264609" w:rsidP="00095881">
      <w:pPr>
        <w:pStyle w:val="ListParagraph"/>
        <w:widowControl/>
        <w:numPr>
          <w:ilvl w:val="1"/>
          <w:numId w:val="1"/>
        </w:numPr>
        <w:spacing w:after="0"/>
      </w:pPr>
      <w:r>
        <w:t>O</w:t>
      </w:r>
      <w:r w:rsidRPr="00264609">
        <w:t>ver a median duration of follow-up 26.5 months</w:t>
      </w:r>
      <w:r>
        <w:t>, a</w:t>
      </w:r>
      <w:r w:rsidR="00FC1884" w:rsidRPr="00CF6EE4">
        <w:t xml:space="preserve">pproximately </w:t>
      </w:r>
      <w:r w:rsidR="000B2EBF">
        <w:t>21</w:t>
      </w:r>
      <w:r w:rsidR="00FC1884" w:rsidRPr="00CF6EE4">
        <w:t xml:space="preserve"> additional patients would </w:t>
      </w:r>
      <w:r w:rsidR="000B2EBF">
        <w:t>remain alive at 24 month</w:t>
      </w:r>
      <w:r>
        <w:t>s</w:t>
      </w:r>
      <w:r w:rsidR="000B2EBF">
        <w:t>;</w:t>
      </w:r>
    </w:p>
    <w:p w:rsidR="00264609" w:rsidRPr="00CF6EE4" w:rsidRDefault="00264609" w:rsidP="00095881">
      <w:pPr>
        <w:pStyle w:val="ListParagraph"/>
        <w:widowControl/>
        <w:numPr>
          <w:ilvl w:val="1"/>
          <w:numId w:val="1"/>
        </w:numPr>
        <w:ind w:left="1434" w:hanging="357"/>
      </w:pPr>
      <w:r w:rsidRPr="00264609">
        <w:t xml:space="preserve">Over a median duration of follow-up </w:t>
      </w:r>
      <w:r>
        <w:t>22.3</w:t>
      </w:r>
      <w:r w:rsidRPr="00264609">
        <w:t xml:space="preserve"> months</w:t>
      </w:r>
      <w:r>
        <w:t xml:space="preserve">, approximately </w:t>
      </w:r>
      <w:r w:rsidR="00E91908">
        <w:t>36</w:t>
      </w:r>
      <w:r>
        <w:t xml:space="preserve"> and 13 additional patients will have peripheral neuropathy or a Grade 3-</w:t>
      </w:r>
      <w:r w:rsidR="00D862F5">
        <w:t>4</w:t>
      </w:r>
      <w:r>
        <w:t xml:space="preserve"> AE, respectively.</w:t>
      </w:r>
    </w:p>
    <w:p w:rsidR="00DB08C6" w:rsidRPr="00A0799B" w:rsidRDefault="009425EF" w:rsidP="00095881">
      <w:pPr>
        <w:pStyle w:val="ListParagraph"/>
        <w:widowControl/>
        <w:numPr>
          <w:ilvl w:val="1"/>
          <w:numId w:val="2"/>
        </w:numPr>
        <w:spacing w:after="0"/>
      </w:pPr>
      <w:r w:rsidRPr="00502F52">
        <w:t>The ESC agreed with the evaluation that</w:t>
      </w:r>
      <w:r w:rsidR="00DB08C6" w:rsidRPr="00502F52">
        <w:t xml:space="preserve"> the comparative</w:t>
      </w:r>
      <w:r w:rsidR="00DB08C6" w:rsidRPr="00A0799B">
        <w:t xml:space="preserve"> benefit/harm should be interpreted with caution, in the context of small number of patients in the trial and potential important differences in baseline prognostic factors between the two treatment arms that may have biased the results in favour of </w:t>
      </w:r>
      <w:proofErr w:type="spellStart"/>
      <w:r w:rsidR="00DB08C6" w:rsidRPr="00A0799B">
        <w:t>Pola+BR</w:t>
      </w:r>
      <w:proofErr w:type="spellEnd"/>
      <w:r w:rsidR="00DB08C6" w:rsidRPr="00A0799B">
        <w:t>.</w:t>
      </w:r>
    </w:p>
    <w:p w:rsidR="00B60939" w:rsidRPr="00C9624D" w:rsidRDefault="00B60939" w:rsidP="004F147B">
      <w:pPr>
        <w:pStyle w:val="Heading2"/>
        <w:spacing w:before="240" w:after="120"/>
      </w:pPr>
      <w:bookmarkStart w:id="11" w:name="_Toc19627196"/>
      <w:r w:rsidRPr="00C9624D">
        <w:t>Clinical claim</w:t>
      </w:r>
      <w:bookmarkEnd w:id="11"/>
    </w:p>
    <w:p w:rsidR="003343F5" w:rsidRPr="00A0799B" w:rsidRDefault="003343F5" w:rsidP="00095881">
      <w:pPr>
        <w:pStyle w:val="ListParagraph"/>
        <w:widowControl/>
        <w:numPr>
          <w:ilvl w:val="1"/>
          <w:numId w:val="2"/>
        </w:numPr>
      </w:pPr>
      <w:r w:rsidRPr="00A0799B">
        <w:t xml:space="preserve">The clinical claim made by the submission was that </w:t>
      </w:r>
      <w:proofErr w:type="spellStart"/>
      <w:r w:rsidRPr="00A0799B">
        <w:t>Pola+BR</w:t>
      </w:r>
      <w:proofErr w:type="spellEnd"/>
      <w:r w:rsidRPr="00A0799B">
        <w:t xml:space="preserve"> is superior in terms of effectiveness compared with BR and inferior (“but acceptable”) in terms of safety compared to BR. This claim was not adequately supported by the key evidence presented.</w:t>
      </w:r>
    </w:p>
    <w:p w:rsidR="003343F5" w:rsidRPr="00502F52" w:rsidRDefault="003343F5" w:rsidP="00095881">
      <w:pPr>
        <w:pStyle w:val="ListParagraph"/>
        <w:widowControl/>
        <w:numPr>
          <w:ilvl w:val="1"/>
          <w:numId w:val="2"/>
        </w:numPr>
      </w:pPr>
      <w:r w:rsidRPr="00A0799B">
        <w:lastRenderedPageBreak/>
        <w:t xml:space="preserve">The impact of confounding </w:t>
      </w:r>
      <w:r w:rsidR="009A7960">
        <w:t xml:space="preserve">factors </w:t>
      </w:r>
      <w:r w:rsidRPr="00A0799B">
        <w:t xml:space="preserve">on the clinical benefit observed in the GO29365 trial, as a result of imbalances in key prognostic factors between the </w:t>
      </w:r>
      <w:proofErr w:type="spellStart"/>
      <w:r w:rsidRPr="00A0799B">
        <w:t>Pola+BR</w:t>
      </w:r>
      <w:proofErr w:type="spellEnd"/>
      <w:r w:rsidRPr="00A0799B">
        <w:t xml:space="preserve"> and BR alone treatment arms, is highly uncertain. In addition, the data were unreliable due to small patient numbers.</w:t>
      </w:r>
      <w:r w:rsidR="004940F5">
        <w:t xml:space="preserve"> </w:t>
      </w:r>
      <w:r w:rsidR="004940F5" w:rsidRPr="00502F52">
        <w:rPr>
          <w:rFonts w:asciiTheme="minorHAnsi" w:hAnsiTheme="minorHAnsi" w:cstheme="minorHAnsi"/>
        </w:rPr>
        <w:t xml:space="preserve">The PSCR argued that R/R DLBCL is a rare disease and it is therefore difficult to perform large phase III studies in this group. In addition, the PSCR argued that multiple Cox-regression analyses conducted adjusting for potential prognostic factors and baseline characteristics indicated the treatment effect of </w:t>
      </w:r>
      <w:proofErr w:type="spellStart"/>
      <w:r w:rsidR="00741504" w:rsidRPr="00502F52">
        <w:rPr>
          <w:rFonts w:asciiTheme="minorHAnsi" w:hAnsiTheme="minorHAnsi" w:cstheme="minorHAnsi"/>
        </w:rPr>
        <w:t>Pola+BR</w:t>
      </w:r>
      <w:proofErr w:type="spellEnd"/>
      <w:r w:rsidR="004940F5" w:rsidRPr="00502F52">
        <w:rPr>
          <w:rFonts w:asciiTheme="minorHAnsi" w:hAnsiTheme="minorHAnsi" w:cstheme="minorHAnsi"/>
        </w:rPr>
        <w:t xml:space="preserve"> remained robust. </w:t>
      </w:r>
      <w:r w:rsidR="00D036EF" w:rsidRPr="00502F52">
        <w:rPr>
          <w:rFonts w:asciiTheme="minorHAnsi" w:hAnsiTheme="minorHAnsi" w:cstheme="minorHAnsi"/>
        </w:rPr>
        <w:t xml:space="preserve">The ESC noted </w:t>
      </w:r>
      <w:r w:rsidR="00D036EF" w:rsidRPr="00502F52">
        <w:t xml:space="preserve">that DLBCL is the most common subtype of non-Hodgkin’s lymphoma </w:t>
      </w:r>
      <w:r w:rsidR="0010745B" w:rsidRPr="00502F52">
        <w:t xml:space="preserve">with around 35% of patients progressing to R/R DLBCL after first-line treatment. </w:t>
      </w:r>
      <w:r w:rsidR="004940F5" w:rsidRPr="00502F52">
        <w:t xml:space="preserve">The ESC </w:t>
      </w:r>
      <w:r w:rsidR="0010745B" w:rsidRPr="00502F52">
        <w:t xml:space="preserve">considered that the multiple Cox-regression analysis for IPI score provided in the PSCR did not accurately represent the greatest imbalances evident between </w:t>
      </w:r>
      <w:proofErr w:type="spellStart"/>
      <w:r w:rsidR="0010745B" w:rsidRPr="00502F52">
        <w:t>Pola+BR</w:t>
      </w:r>
      <w:proofErr w:type="spellEnd"/>
      <w:r w:rsidR="0010745B" w:rsidRPr="00502F52">
        <w:t xml:space="preserve"> and BR treatment arms. The ESC advised </w:t>
      </w:r>
      <w:r w:rsidR="004940F5" w:rsidRPr="00502F52">
        <w:t xml:space="preserve">that the validity of the clinical effectiveness data presented was uncertain as the results were likely confounded in favour of </w:t>
      </w:r>
      <w:proofErr w:type="spellStart"/>
      <w:r w:rsidR="004940F5" w:rsidRPr="00502F52">
        <w:rPr>
          <w:rFonts w:asciiTheme="minorHAnsi" w:hAnsiTheme="minorHAnsi" w:cstheme="minorHAnsi"/>
        </w:rPr>
        <w:t>Pola+BR</w:t>
      </w:r>
      <w:proofErr w:type="spellEnd"/>
      <w:r w:rsidR="004940F5" w:rsidRPr="00502F52">
        <w:rPr>
          <w:rFonts w:asciiTheme="minorHAnsi" w:hAnsiTheme="minorHAnsi" w:cstheme="minorHAnsi"/>
        </w:rPr>
        <w:t>.</w:t>
      </w:r>
      <w:r w:rsidR="0010745B" w:rsidRPr="00502F52">
        <w:rPr>
          <w:rFonts w:asciiTheme="minorHAnsi" w:hAnsiTheme="minorHAnsi" w:cstheme="minorHAnsi"/>
        </w:rPr>
        <w:t xml:space="preserve"> Th</w:t>
      </w:r>
      <w:r w:rsidR="00A56353" w:rsidRPr="00502F52">
        <w:rPr>
          <w:rFonts w:asciiTheme="minorHAnsi" w:hAnsiTheme="minorHAnsi" w:cstheme="minorHAnsi"/>
        </w:rPr>
        <w:t xml:space="preserve">e ESC considered that, as randomisation in the G029365 trial did not appear successful, more mature data are unlikely to eliminate uncertainty. </w:t>
      </w:r>
      <w:r w:rsidR="00176BE2">
        <w:rPr>
          <w:rFonts w:asciiTheme="minorHAnsi" w:hAnsiTheme="minorHAnsi" w:cstheme="minorHAnsi"/>
        </w:rPr>
        <w:t>The pre-PBAC response argued that randomisation was successful as the differences between baseline prognostic factors, in particular IPI scores and bulky disease, were not statistically significantly different.</w:t>
      </w:r>
      <w:r w:rsidR="0095754E">
        <w:rPr>
          <w:rFonts w:asciiTheme="minorHAnsi" w:hAnsiTheme="minorHAnsi" w:cstheme="minorHAnsi"/>
        </w:rPr>
        <w:t xml:space="preserve"> </w:t>
      </w:r>
    </w:p>
    <w:p w:rsidR="00A52182" w:rsidRPr="00A0799B" w:rsidRDefault="000C7302" w:rsidP="00095881">
      <w:pPr>
        <w:pStyle w:val="ListParagraph"/>
        <w:widowControl/>
        <w:numPr>
          <w:ilvl w:val="1"/>
          <w:numId w:val="2"/>
        </w:numPr>
      </w:pPr>
      <w:r w:rsidRPr="00A0799B">
        <w:t xml:space="preserve">The mean age of the study population in the </w:t>
      </w:r>
      <w:proofErr w:type="spellStart"/>
      <w:r w:rsidRPr="00A0799B">
        <w:t>Pola+BR</w:t>
      </w:r>
      <w:proofErr w:type="spellEnd"/>
      <w:r w:rsidRPr="00A0799B">
        <w:t xml:space="preserve"> arm was 64.7 years and only 2.5% were SCT ineligible due to comorbidities. </w:t>
      </w:r>
      <w:bookmarkStart w:id="12" w:name="_Ref18584662"/>
      <w:r w:rsidR="00A52182" w:rsidRPr="00A0799B">
        <w:t xml:space="preserve">IPSOS data provided with the submission </w:t>
      </w:r>
      <w:r w:rsidR="007E6E34" w:rsidRPr="00A0799B">
        <w:t>suggest</w:t>
      </w:r>
      <w:r w:rsidR="00A52182" w:rsidRPr="00A0799B">
        <w:t xml:space="preserve"> that the Australian R/R DLBCL population is older (mean age </w:t>
      </w:r>
      <w:r w:rsidR="00E77FA0">
        <w:rPr>
          <w:noProof/>
          <w:color w:val="000000"/>
          <w:highlight w:val="black"/>
        </w:rPr>
        <w:t>''''''''</w:t>
      </w:r>
      <w:r w:rsidR="00A52182" w:rsidRPr="00A0799B">
        <w:t>)</w:t>
      </w:r>
      <w:r w:rsidRPr="00A0799B">
        <w:rPr>
          <w:rStyle w:val="FootnoteReference"/>
        </w:rPr>
        <w:footnoteReference w:id="12"/>
      </w:r>
      <w:bookmarkEnd w:id="12"/>
      <w:r w:rsidR="00F3604C">
        <w:t xml:space="preserve"> </w:t>
      </w:r>
      <w:r w:rsidR="00A52182" w:rsidRPr="00A0799B">
        <w:t>and</w:t>
      </w:r>
      <w:r w:rsidRPr="00A0799B">
        <w:t xml:space="preserve"> </w:t>
      </w:r>
      <w:r w:rsidR="00A52182" w:rsidRPr="00A0799B">
        <w:t>likely to constitute a higher proportion of patients with co-</w:t>
      </w:r>
      <w:proofErr w:type="spellStart"/>
      <w:proofErr w:type="gramStart"/>
      <w:r w:rsidR="00A52182" w:rsidRPr="00A0799B">
        <w:t>morbidities</w:t>
      </w:r>
      <w:r w:rsidR="00273E9C" w:rsidRPr="00A0799B">
        <w:rPr>
          <w:vertAlign w:val="superscript"/>
        </w:rPr>
        <w:t>xii</w:t>
      </w:r>
      <w:proofErr w:type="spellEnd"/>
      <w:r w:rsidRPr="00A0799B">
        <w:rPr>
          <w:vertAlign w:val="superscript"/>
        </w:rPr>
        <w:t>,</w:t>
      </w:r>
      <w:r w:rsidRPr="00A0799B">
        <w:rPr>
          <w:rStyle w:val="FootnoteReference"/>
        </w:rPr>
        <w:footnoteReference w:id="13"/>
      </w:r>
      <w:r w:rsidRPr="00A0799B">
        <w:t>.</w:t>
      </w:r>
      <w:proofErr w:type="gramEnd"/>
      <w:r w:rsidRPr="00A0799B">
        <w:t xml:space="preserve"> </w:t>
      </w:r>
      <w:r w:rsidR="009641A4" w:rsidRPr="00A0799B">
        <w:t>This raises concern</w:t>
      </w:r>
      <w:r w:rsidR="00A52182" w:rsidRPr="00A0799B">
        <w:t xml:space="preserve"> that the observed efficacy</w:t>
      </w:r>
      <w:r w:rsidR="00996FC9" w:rsidRPr="00A0799B">
        <w:t xml:space="preserve"> </w:t>
      </w:r>
      <w:r w:rsidR="00A52182" w:rsidRPr="00A0799B">
        <w:t xml:space="preserve">of </w:t>
      </w:r>
      <w:proofErr w:type="spellStart"/>
      <w:r w:rsidR="00A52182" w:rsidRPr="00A0799B">
        <w:t>Pola+BR</w:t>
      </w:r>
      <w:proofErr w:type="spellEnd"/>
      <w:r w:rsidR="00A52182" w:rsidRPr="00A0799B">
        <w:t xml:space="preserve"> from GO29365 </w:t>
      </w:r>
      <w:r w:rsidR="00FD5744" w:rsidRPr="00A0799B">
        <w:t>may be an overestimate of what would be expected in clinical practice, and likewise, the risk of harm may be higher in clinical practice.</w:t>
      </w:r>
      <w:r w:rsidR="0095754E">
        <w:t xml:space="preserve"> </w:t>
      </w:r>
    </w:p>
    <w:p w:rsidR="008D0331" w:rsidRPr="00A0799B" w:rsidRDefault="007827B6" w:rsidP="00095881">
      <w:pPr>
        <w:pStyle w:val="ListParagraph"/>
        <w:widowControl/>
        <w:numPr>
          <w:ilvl w:val="1"/>
          <w:numId w:val="2"/>
        </w:numPr>
      </w:pPr>
      <w:r w:rsidRPr="00A0799B">
        <w:t>T</w:t>
      </w:r>
      <w:r w:rsidR="003343F5" w:rsidRPr="00A0799B">
        <w:t xml:space="preserve">he approach taken in the submission was to assume that BR was a valid proxy for standard of care in Australia which includes </w:t>
      </w:r>
      <w:proofErr w:type="spellStart"/>
      <w:r w:rsidR="003343F5" w:rsidRPr="00A0799B">
        <w:t>RGemOx</w:t>
      </w:r>
      <w:proofErr w:type="spellEnd"/>
      <w:r w:rsidR="003343F5" w:rsidRPr="00A0799B">
        <w:t xml:space="preserve">. This assumption was based on </w:t>
      </w:r>
      <w:r w:rsidR="008D0331" w:rsidRPr="00A0799B">
        <w:t xml:space="preserve">the observation that BR and </w:t>
      </w:r>
      <w:proofErr w:type="spellStart"/>
      <w:r w:rsidR="008D0331" w:rsidRPr="00A0799B">
        <w:t>RGemOx</w:t>
      </w:r>
      <w:proofErr w:type="spellEnd"/>
      <w:r w:rsidR="008D0331" w:rsidRPr="00A0799B">
        <w:t xml:space="preserve"> had similar OS benefit (11 months and 13 months, respectively) </w:t>
      </w:r>
      <w:r w:rsidR="00E625D3" w:rsidRPr="00A0799B">
        <w:t>in</w:t>
      </w:r>
      <w:r w:rsidR="008D0331" w:rsidRPr="00A0799B">
        <w:t xml:space="preserve"> a small sponsor-funded study by </w:t>
      </w:r>
      <w:proofErr w:type="spellStart"/>
      <w:r w:rsidR="008D0331" w:rsidRPr="00A0799B">
        <w:t>Ittu</w:t>
      </w:r>
      <w:proofErr w:type="spellEnd"/>
      <w:r w:rsidR="008D0331" w:rsidRPr="00A0799B">
        <w:t xml:space="preserve"> (2018)</w:t>
      </w:r>
      <w:r w:rsidR="0095405F" w:rsidRPr="00A0799B">
        <w:rPr>
          <w:rStyle w:val="FootnoteReference"/>
        </w:rPr>
        <w:footnoteReference w:id="14"/>
      </w:r>
      <w:r w:rsidR="008D0331" w:rsidRPr="00A0799B">
        <w:t>.</w:t>
      </w:r>
      <w:r w:rsidR="00250B24">
        <w:t xml:space="preserve"> </w:t>
      </w:r>
    </w:p>
    <w:p w:rsidR="00981B1B" w:rsidRPr="009935F2" w:rsidRDefault="008D0331" w:rsidP="00095881">
      <w:pPr>
        <w:pStyle w:val="ListParagraph"/>
        <w:widowControl/>
        <w:numPr>
          <w:ilvl w:val="1"/>
          <w:numId w:val="2"/>
        </w:numPr>
      </w:pPr>
      <w:r w:rsidRPr="00A0799B">
        <w:rPr>
          <w:rFonts w:asciiTheme="minorHAnsi" w:hAnsiTheme="minorHAnsi"/>
        </w:rPr>
        <w:t xml:space="preserve">The comparative effectiveness, safety, and cost-effectiveness of BR </w:t>
      </w:r>
      <w:r w:rsidR="00E625D3" w:rsidRPr="00A0799B">
        <w:rPr>
          <w:rFonts w:asciiTheme="minorHAnsi" w:hAnsiTheme="minorHAnsi"/>
        </w:rPr>
        <w:t>relative to</w:t>
      </w:r>
      <w:r w:rsidRPr="00A0799B">
        <w:rPr>
          <w:rFonts w:asciiTheme="minorHAnsi" w:hAnsiTheme="minorHAnsi"/>
        </w:rPr>
        <w:t xml:space="preserve"> </w:t>
      </w:r>
      <w:proofErr w:type="spellStart"/>
      <w:r w:rsidRPr="00A0799B">
        <w:rPr>
          <w:rFonts w:asciiTheme="minorHAnsi" w:hAnsiTheme="minorHAnsi"/>
        </w:rPr>
        <w:t>RGemOx</w:t>
      </w:r>
      <w:proofErr w:type="spellEnd"/>
      <w:r w:rsidRPr="00A0799B">
        <w:rPr>
          <w:rFonts w:asciiTheme="minorHAnsi" w:hAnsiTheme="minorHAnsi"/>
        </w:rPr>
        <w:t xml:space="preserve"> would require a formal assessment by the PBAC. Furthermore, the </w:t>
      </w:r>
      <w:proofErr w:type="spellStart"/>
      <w:r w:rsidRPr="00A0799B">
        <w:rPr>
          <w:rFonts w:asciiTheme="minorHAnsi" w:hAnsiTheme="minorHAnsi"/>
        </w:rPr>
        <w:t>Ittu</w:t>
      </w:r>
      <w:proofErr w:type="spellEnd"/>
      <w:r w:rsidRPr="00A0799B">
        <w:rPr>
          <w:rFonts w:asciiTheme="minorHAnsi" w:hAnsiTheme="minorHAnsi"/>
        </w:rPr>
        <w:t xml:space="preserve"> </w:t>
      </w:r>
      <w:r w:rsidR="00242C20" w:rsidRPr="00A0799B">
        <w:rPr>
          <w:rFonts w:asciiTheme="minorHAnsi" w:hAnsiTheme="minorHAnsi"/>
        </w:rPr>
        <w:t xml:space="preserve">(2018) </w:t>
      </w:r>
      <w:r w:rsidRPr="00A0799B">
        <w:rPr>
          <w:rFonts w:asciiTheme="minorHAnsi" w:hAnsiTheme="minorHAnsi"/>
        </w:rPr>
        <w:t xml:space="preserve">and GO29365 </w:t>
      </w:r>
      <w:r w:rsidR="00A56353">
        <w:rPr>
          <w:rFonts w:asciiTheme="minorHAnsi" w:hAnsiTheme="minorHAnsi"/>
        </w:rPr>
        <w:t>trial</w:t>
      </w:r>
      <w:r w:rsidRPr="00A0799B">
        <w:rPr>
          <w:rFonts w:asciiTheme="minorHAnsi" w:hAnsiTheme="minorHAnsi"/>
        </w:rPr>
        <w:t xml:space="preserve"> populations differed substantially in terms of disease stage and lines of therapy. The efficacy of BR in </w:t>
      </w:r>
      <w:proofErr w:type="spellStart"/>
      <w:r w:rsidRPr="00A0799B">
        <w:rPr>
          <w:rFonts w:asciiTheme="minorHAnsi" w:hAnsiTheme="minorHAnsi"/>
        </w:rPr>
        <w:t>Ittu</w:t>
      </w:r>
      <w:proofErr w:type="spellEnd"/>
      <w:r w:rsidR="008F4DE5" w:rsidRPr="00A0799B">
        <w:rPr>
          <w:rFonts w:asciiTheme="minorHAnsi" w:hAnsiTheme="minorHAnsi"/>
        </w:rPr>
        <w:t xml:space="preserve"> (2018)</w:t>
      </w:r>
      <w:r w:rsidRPr="00A0799B">
        <w:rPr>
          <w:rFonts w:asciiTheme="minorHAnsi" w:hAnsiTheme="minorHAnsi"/>
        </w:rPr>
        <w:t xml:space="preserve"> was not applicable to the BR treatment arm in GO29365 (BR median OS durations in the GO29365 and </w:t>
      </w:r>
      <w:proofErr w:type="spellStart"/>
      <w:r w:rsidRPr="00A0799B">
        <w:rPr>
          <w:rFonts w:asciiTheme="minorHAnsi" w:hAnsiTheme="minorHAnsi"/>
        </w:rPr>
        <w:t>Ittu</w:t>
      </w:r>
      <w:proofErr w:type="spellEnd"/>
      <w:r w:rsidRPr="00A0799B">
        <w:rPr>
          <w:rFonts w:asciiTheme="minorHAnsi" w:hAnsiTheme="minorHAnsi"/>
        </w:rPr>
        <w:t xml:space="preserve"> studies were 4.7 months vs. 11.0 months, respectively)</w:t>
      </w:r>
      <w:r w:rsidR="00044E7D" w:rsidRPr="00A0799B">
        <w:rPr>
          <w:rFonts w:asciiTheme="minorHAnsi" w:hAnsiTheme="minorHAnsi"/>
        </w:rPr>
        <w:t>.</w:t>
      </w:r>
    </w:p>
    <w:p w:rsidR="005B750F" w:rsidRPr="00176BE2" w:rsidRDefault="005B750F" w:rsidP="00095881">
      <w:pPr>
        <w:pStyle w:val="ListParagraph"/>
        <w:widowControl/>
        <w:numPr>
          <w:ilvl w:val="1"/>
          <w:numId w:val="2"/>
        </w:numPr>
      </w:pPr>
      <w:r w:rsidRPr="00176BE2">
        <w:lastRenderedPageBreak/>
        <w:t>The PBAC considered that the claim of superio</w:t>
      </w:r>
      <w:r w:rsidR="00176BE2">
        <w:t xml:space="preserve">r comparative effectiveness </w:t>
      </w:r>
      <w:r w:rsidRPr="00176BE2">
        <w:t>was not adequately supported by the data.</w:t>
      </w:r>
    </w:p>
    <w:p w:rsidR="005B750F" w:rsidRPr="00316709" w:rsidRDefault="005B750F" w:rsidP="00095881">
      <w:pPr>
        <w:pStyle w:val="ListParagraph"/>
        <w:widowControl/>
        <w:numPr>
          <w:ilvl w:val="1"/>
          <w:numId w:val="2"/>
        </w:numPr>
      </w:pPr>
      <w:r w:rsidRPr="00316709">
        <w:t>The PBAC consid</w:t>
      </w:r>
      <w:r w:rsidR="00316709">
        <w:t>ered that the claim of inferior</w:t>
      </w:r>
      <w:r w:rsidRPr="00316709">
        <w:t xml:space="preserve"> comparative safety was </w:t>
      </w:r>
      <w:r w:rsidR="00316709" w:rsidRPr="00176BE2">
        <w:t>adequately supported by the data</w:t>
      </w:r>
      <w:r w:rsidRPr="00316709">
        <w:t>.</w:t>
      </w:r>
    </w:p>
    <w:p w:rsidR="00B60939" w:rsidRPr="00F3604C" w:rsidRDefault="00B60939" w:rsidP="00F3604C">
      <w:pPr>
        <w:pStyle w:val="Heading2"/>
        <w:spacing w:before="240" w:after="120"/>
      </w:pPr>
      <w:bookmarkStart w:id="13" w:name="_Toc19627197"/>
      <w:r w:rsidRPr="00F3604C">
        <w:t>Economic analysis</w:t>
      </w:r>
      <w:bookmarkEnd w:id="13"/>
      <w:r w:rsidR="00491B3A" w:rsidRPr="00F3604C">
        <w:t xml:space="preserve"> </w:t>
      </w:r>
    </w:p>
    <w:p w:rsidR="00E154B5" w:rsidRPr="00E154B5" w:rsidRDefault="00E154B5" w:rsidP="00095881">
      <w:pPr>
        <w:pStyle w:val="ListParagraph"/>
        <w:widowControl/>
        <w:numPr>
          <w:ilvl w:val="1"/>
          <w:numId w:val="2"/>
        </w:numPr>
      </w:pPr>
      <w:r>
        <w:t>The submission presented a trial-based economic evaluation based on the direct randomised trial GO29365,</w:t>
      </w:r>
      <w:r w:rsidR="00ED1A4E">
        <w:t xml:space="preserve"> and then</w:t>
      </w:r>
      <w:r>
        <w:t xml:space="preserve"> </w:t>
      </w:r>
      <w:r w:rsidR="00ED1A4E">
        <w:t xml:space="preserve">used </w:t>
      </w:r>
      <w:r>
        <w:t>a stepped approach to implement a modelled evaluation. The type of economic evaluation presented was a cost-utility analysis. The model structure and rationale are summarised below.</w:t>
      </w:r>
      <w:r w:rsidR="007E2570">
        <w:t xml:space="preserve"> </w:t>
      </w:r>
    </w:p>
    <w:p w:rsidR="00275C5A" w:rsidRDefault="00E154B5" w:rsidP="00C044D9">
      <w:pPr>
        <w:pStyle w:val="Caption"/>
        <w:keepNext/>
        <w:keepLines/>
        <w:rPr>
          <w:rStyle w:val="CommentReference"/>
        </w:rPr>
      </w:pPr>
      <w:r>
        <w:t xml:space="preserve">Table </w:t>
      </w:r>
      <w:r w:rsidR="00273E9C">
        <w:rPr>
          <w:noProof/>
        </w:rPr>
        <w:t>10</w:t>
      </w:r>
      <w:r w:rsidRPr="00E154B5">
        <w:t xml:space="preserve">: </w:t>
      </w:r>
      <w:r w:rsidR="00275C5A" w:rsidRPr="00E154B5">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275C5A" w:rsidRPr="003D1DE4" w:rsidTr="003C7D19">
        <w:trPr>
          <w:tblHeader/>
        </w:trPr>
        <w:tc>
          <w:tcPr>
            <w:tcW w:w="1396" w:type="pct"/>
            <w:shd w:val="clear" w:color="auto" w:fill="auto"/>
            <w:vAlign w:val="center"/>
          </w:tcPr>
          <w:p w:rsidR="00275C5A" w:rsidRPr="003D1DE4" w:rsidRDefault="00275C5A" w:rsidP="00C044D9">
            <w:pPr>
              <w:pStyle w:val="Tabletext"/>
              <w:keepNext/>
              <w:keepLines/>
              <w:rPr>
                <w:b/>
              </w:rPr>
            </w:pPr>
            <w:r w:rsidRPr="003D1DE4">
              <w:rPr>
                <w:b/>
              </w:rPr>
              <w:t>Component</w:t>
            </w:r>
          </w:p>
        </w:tc>
        <w:tc>
          <w:tcPr>
            <w:tcW w:w="3604" w:type="pct"/>
            <w:shd w:val="clear" w:color="auto" w:fill="auto"/>
            <w:vAlign w:val="center"/>
          </w:tcPr>
          <w:p w:rsidR="00275C5A" w:rsidRPr="003D1DE4" w:rsidRDefault="00275C5A" w:rsidP="00C044D9">
            <w:pPr>
              <w:pStyle w:val="Tabletext"/>
              <w:keepNext/>
              <w:keepLines/>
              <w:jc w:val="center"/>
              <w:rPr>
                <w:b/>
              </w:rPr>
            </w:pPr>
            <w:r w:rsidRPr="003D1DE4">
              <w:rPr>
                <w:b/>
              </w:rPr>
              <w:t>Summary</w:t>
            </w:r>
          </w:p>
        </w:tc>
      </w:tr>
      <w:tr w:rsidR="00275C5A" w:rsidRPr="00E2771E" w:rsidTr="003C7D19">
        <w:tc>
          <w:tcPr>
            <w:tcW w:w="1396" w:type="pct"/>
            <w:shd w:val="clear" w:color="auto" w:fill="auto"/>
            <w:vAlign w:val="center"/>
          </w:tcPr>
          <w:p w:rsidR="00275C5A" w:rsidRPr="00E2771E" w:rsidRDefault="00275C5A" w:rsidP="00C044D9">
            <w:pPr>
              <w:pStyle w:val="Tabletext"/>
              <w:keepNext/>
              <w:keepLines/>
            </w:pPr>
            <w:r w:rsidRPr="00E2771E">
              <w:t>Time horizon</w:t>
            </w:r>
          </w:p>
        </w:tc>
        <w:tc>
          <w:tcPr>
            <w:tcW w:w="3604" w:type="pct"/>
            <w:shd w:val="clear" w:color="auto" w:fill="auto"/>
            <w:vAlign w:val="center"/>
          </w:tcPr>
          <w:p w:rsidR="00275C5A" w:rsidRPr="00E2771E" w:rsidRDefault="009559BB" w:rsidP="00C044D9">
            <w:pPr>
              <w:pStyle w:val="Tabletext"/>
              <w:keepNext/>
              <w:keepLines/>
            </w:pPr>
            <w:r>
              <w:t>15</w:t>
            </w:r>
            <w:r w:rsidR="00275C5A" w:rsidRPr="00E2771E">
              <w:t xml:space="preserve"> years in the model base case versus</w:t>
            </w:r>
            <w:r w:rsidR="00ED1A4E">
              <w:t xml:space="preserve"> a</w:t>
            </w:r>
            <w:r w:rsidR="00275C5A" w:rsidRPr="00E2771E">
              <w:t xml:space="preserve"> </w:t>
            </w:r>
            <w:r w:rsidR="00722715">
              <w:t xml:space="preserve">median follow-up of </w:t>
            </w:r>
            <w:r>
              <w:t xml:space="preserve">26.5 months </w:t>
            </w:r>
            <w:r w:rsidR="00275C5A" w:rsidRPr="00E2771E">
              <w:t>in trial</w:t>
            </w:r>
          </w:p>
        </w:tc>
      </w:tr>
      <w:tr w:rsidR="00275C5A" w:rsidRPr="00E2771E" w:rsidTr="003C7D19">
        <w:tc>
          <w:tcPr>
            <w:tcW w:w="1396" w:type="pct"/>
            <w:shd w:val="clear" w:color="auto" w:fill="auto"/>
            <w:vAlign w:val="center"/>
          </w:tcPr>
          <w:p w:rsidR="00275C5A" w:rsidRPr="00E2771E" w:rsidRDefault="00275C5A" w:rsidP="00C044D9">
            <w:pPr>
              <w:pStyle w:val="Tabletext"/>
              <w:keepNext/>
              <w:keepLines/>
            </w:pPr>
            <w:r w:rsidRPr="00E2771E">
              <w:t>Outcomes</w:t>
            </w:r>
          </w:p>
        </w:tc>
        <w:tc>
          <w:tcPr>
            <w:tcW w:w="3604" w:type="pct"/>
            <w:shd w:val="clear" w:color="auto" w:fill="auto"/>
            <w:vAlign w:val="center"/>
          </w:tcPr>
          <w:p w:rsidR="00275C5A" w:rsidRPr="00E2771E" w:rsidRDefault="00275C5A" w:rsidP="00C044D9">
            <w:pPr>
              <w:pStyle w:val="Tabletext"/>
              <w:keepNext/>
              <w:keepLines/>
            </w:pPr>
            <w:r w:rsidRPr="00E2771E">
              <w:t>LYG and QALYs</w:t>
            </w:r>
          </w:p>
        </w:tc>
      </w:tr>
      <w:tr w:rsidR="00275C5A" w:rsidRPr="00E2771E" w:rsidTr="003C7D19">
        <w:tc>
          <w:tcPr>
            <w:tcW w:w="1396" w:type="pct"/>
            <w:shd w:val="clear" w:color="auto" w:fill="auto"/>
            <w:vAlign w:val="center"/>
          </w:tcPr>
          <w:p w:rsidR="00275C5A" w:rsidRPr="00E2771E" w:rsidRDefault="00275C5A" w:rsidP="00C044D9">
            <w:pPr>
              <w:pStyle w:val="Tabletext"/>
              <w:keepNext/>
              <w:keepLines/>
            </w:pPr>
            <w:r w:rsidRPr="00E2771E">
              <w:t>Methods used to generate results</w:t>
            </w:r>
          </w:p>
        </w:tc>
        <w:tc>
          <w:tcPr>
            <w:tcW w:w="3604" w:type="pct"/>
            <w:shd w:val="clear" w:color="auto" w:fill="auto"/>
            <w:vAlign w:val="center"/>
          </w:tcPr>
          <w:p w:rsidR="00275C5A" w:rsidRPr="00E2771E" w:rsidRDefault="005C174E" w:rsidP="00C044D9">
            <w:pPr>
              <w:pStyle w:val="Tabletext"/>
              <w:keepNext/>
              <w:keepLines/>
            </w:pPr>
            <w:r>
              <w:t>Partitioned survival (area under the curve) analysis</w:t>
            </w:r>
          </w:p>
        </w:tc>
      </w:tr>
      <w:tr w:rsidR="00275C5A" w:rsidRPr="00E2771E" w:rsidTr="003C7D19">
        <w:tc>
          <w:tcPr>
            <w:tcW w:w="1396" w:type="pct"/>
            <w:shd w:val="clear" w:color="auto" w:fill="auto"/>
            <w:vAlign w:val="center"/>
          </w:tcPr>
          <w:p w:rsidR="00275C5A" w:rsidRPr="00E2771E" w:rsidRDefault="00275C5A" w:rsidP="00C044D9">
            <w:pPr>
              <w:pStyle w:val="Tabletext"/>
              <w:keepNext/>
              <w:keepLines/>
            </w:pPr>
            <w:r w:rsidRPr="00E2771E">
              <w:t>Health states</w:t>
            </w:r>
          </w:p>
        </w:tc>
        <w:tc>
          <w:tcPr>
            <w:tcW w:w="3604" w:type="pct"/>
            <w:shd w:val="clear" w:color="auto" w:fill="auto"/>
            <w:vAlign w:val="center"/>
          </w:tcPr>
          <w:p w:rsidR="00275C5A" w:rsidRPr="00E2771E" w:rsidRDefault="005C174E" w:rsidP="00C044D9">
            <w:pPr>
              <w:pStyle w:val="Tabletext"/>
              <w:keepNext/>
              <w:keepLines/>
            </w:pPr>
            <w:r>
              <w:t>Progression-free on treatment</w:t>
            </w:r>
            <w:r w:rsidRPr="00681A56">
              <w:t xml:space="preserve">, </w:t>
            </w:r>
            <w:r>
              <w:t>Progression-free</w:t>
            </w:r>
            <w:r w:rsidRPr="00681A56">
              <w:t xml:space="preserve"> off treatment, </w:t>
            </w:r>
            <w:r>
              <w:t>Progressive disease, and Dead</w:t>
            </w:r>
            <w:r w:rsidR="008F5664">
              <w:t>.</w:t>
            </w:r>
          </w:p>
        </w:tc>
      </w:tr>
      <w:tr w:rsidR="00275C5A" w:rsidRPr="00E2771E" w:rsidTr="003C7D19">
        <w:tc>
          <w:tcPr>
            <w:tcW w:w="1396" w:type="pct"/>
            <w:shd w:val="clear" w:color="auto" w:fill="auto"/>
            <w:vAlign w:val="center"/>
          </w:tcPr>
          <w:p w:rsidR="00275C5A" w:rsidRPr="00E2771E" w:rsidRDefault="00275C5A" w:rsidP="00C044D9">
            <w:pPr>
              <w:pStyle w:val="Tabletext"/>
              <w:keepNext/>
              <w:keepLines/>
            </w:pPr>
            <w:r w:rsidRPr="00E2771E">
              <w:t>Cycle length</w:t>
            </w:r>
          </w:p>
        </w:tc>
        <w:tc>
          <w:tcPr>
            <w:tcW w:w="3604" w:type="pct"/>
            <w:shd w:val="clear" w:color="auto" w:fill="auto"/>
            <w:vAlign w:val="center"/>
          </w:tcPr>
          <w:p w:rsidR="00275C5A" w:rsidRPr="00E2771E" w:rsidRDefault="005C174E" w:rsidP="00C044D9">
            <w:pPr>
              <w:pStyle w:val="Tabletext"/>
              <w:keepNext/>
              <w:keepLines/>
            </w:pPr>
            <w:r>
              <w:t>1 week</w:t>
            </w:r>
          </w:p>
        </w:tc>
      </w:tr>
      <w:tr w:rsidR="00275C5A" w:rsidRPr="00E2771E" w:rsidTr="003C7D19">
        <w:tc>
          <w:tcPr>
            <w:tcW w:w="1396" w:type="pct"/>
            <w:shd w:val="clear" w:color="auto" w:fill="auto"/>
            <w:vAlign w:val="center"/>
          </w:tcPr>
          <w:p w:rsidR="00275C5A" w:rsidRPr="00E2771E" w:rsidRDefault="00275C5A" w:rsidP="00C044D9">
            <w:pPr>
              <w:pStyle w:val="Tabletext"/>
              <w:keepNext/>
              <w:keepLines/>
            </w:pPr>
            <w:r w:rsidRPr="00E2771E">
              <w:t>Transition probabilities</w:t>
            </w:r>
          </w:p>
        </w:tc>
        <w:tc>
          <w:tcPr>
            <w:tcW w:w="3604" w:type="pct"/>
            <w:shd w:val="clear" w:color="auto" w:fill="auto"/>
            <w:vAlign w:val="center"/>
          </w:tcPr>
          <w:p w:rsidR="00275C5A" w:rsidRPr="00E2771E" w:rsidRDefault="005C174E" w:rsidP="00C044D9">
            <w:pPr>
              <w:pStyle w:val="Tabletext"/>
              <w:keepNext/>
              <w:keepLines/>
            </w:pPr>
            <w:r w:rsidRPr="00681A56">
              <w:t xml:space="preserve">Health state allocation over time </w:t>
            </w:r>
            <w:r>
              <w:t xml:space="preserve">was </w:t>
            </w:r>
            <w:r w:rsidRPr="00681A56">
              <w:t xml:space="preserve">determined by PFS and </w:t>
            </w:r>
            <w:r>
              <w:t>OS</w:t>
            </w:r>
            <w:r w:rsidRPr="00681A56">
              <w:t xml:space="preserve"> </w:t>
            </w:r>
            <w:r>
              <w:t xml:space="preserve">Kaplan-Meier </w:t>
            </w:r>
            <w:r w:rsidRPr="00681A56">
              <w:t xml:space="preserve">curves </w:t>
            </w:r>
            <w:r>
              <w:t xml:space="preserve">directly </w:t>
            </w:r>
            <w:r w:rsidRPr="00681A56">
              <w:t xml:space="preserve">from GO29365 </w:t>
            </w:r>
            <w:r>
              <w:t>to aver</w:t>
            </w:r>
            <w:r w:rsidR="0050574B">
              <w:t>age follow-up (10.3 months). B</w:t>
            </w:r>
            <w:r>
              <w:t xml:space="preserve">eyond 10.3 months </w:t>
            </w:r>
            <w:r w:rsidR="0050574B">
              <w:t xml:space="preserve">these curves were extrapolated </w:t>
            </w:r>
            <w:r>
              <w:t>to the model</w:t>
            </w:r>
            <w:r w:rsidR="00ED1A4E">
              <w:t>led</w:t>
            </w:r>
            <w:r>
              <w:t xml:space="preserve"> time horizon. T</w:t>
            </w:r>
            <w:r w:rsidRPr="00B551E3">
              <w:t>he (ITT) proportion of patients from the trial who received each cycle of tre</w:t>
            </w:r>
            <w:r>
              <w:t>atment was used to inform the proportion of patients remaining on treatment.</w:t>
            </w:r>
          </w:p>
        </w:tc>
      </w:tr>
    </w:tbl>
    <w:p w:rsidR="009559BB" w:rsidRDefault="009559BB" w:rsidP="00C044D9">
      <w:pPr>
        <w:pStyle w:val="TableFooter"/>
        <w:keepNext/>
        <w:keepLines/>
      </w:pPr>
      <w:r>
        <w:t>LYG = life-year</w:t>
      </w:r>
      <w:r w:rsidR="007F5020">
        <w:t>s</w:t>
      </w:r>
      <w:r>
        <w:t xml:space="preserve"> gained; QALY = quality-adjusted life-year</w:t>
      </w:r>
      <w:r w:rsidR="005C174E">
        <w:t>; PFS = progression-free survival; OS = overall survival</w:t>
      </w:r>
      <w:r w:rsidR="007F5020">
        <w:t>; ITT = intention to treat</w:t>
      </w:r>
      <w:r>
        <w:t xml:space="preserve">. </w:t>
      </w:r>
    </w:p>
    <w:p w:rsidR="003270E4" w:rsidRPr="0072416F" w:rsidRDefault="003270E4" w:rsidP="00C044D9">
      <w:pPr>
        <w:pStyle w:val="TableFooter"/>
        <w:keepNext/>
        <w:keepLines/>
      </w:pPr>
      <w:r>
        <w:t xml:space="preserve">Source: </w:t>
      </w:r>
      <w:r w:rsidR="005C174E">
        <w:t xml:space="preserve">Table 3.2, p76 </w:t>
      </w:r>
      <w:r w:rsidRPr="00D13A3E">
        <w:t xml:space="preserve">of the </w:t>
      </w:r>
      <w:r>
        <w:t>submission.</w:t>
      </w:r>
    </w:p>
    <w:p w:rsidR="00275C5A" w:rsidRPr="00275C5A" w:rsidRDefault="00275C5A" w:rsidP="0023209F"/>
    <w:p w:rsidR="00275C5A" w:rsidRPr="00B50DB8" w:rsidRDefault="00AC1962" w:rsidP="00095881">
      <w:pPr>
        <w:pStyle w:val="ListParagraph"/>
        <w:widowControl/>
        <w:numPr>
          <w:ilvl w:val="1"/>
          <w:numId w:val="2"/>
        </w:numPr>
      </w:pPr>
      <w:r>
        <w:t>The key drivers of the model are summarised below.</w:t>
      </w:r>
    </w:p>
    <w:p w:rsidR="00D110BD" w:rsidRPr="00AC1962" w:rsidRDefault="00AC1962" w:rsidP="0002044C">
      <w:pPr>
        <w:pStyle w:val="Caption"/>
        <w:keepNext/>
        <w:keepLines/>
        <w:rPr>
          <w:rStyle w:val="CommentReference"/>
          <w:b/>
          <w:szCs w:val="18"/>
        </w:rPr>
      </w:pPr>
      <w:r w:rsidRPr="00AC1962">
        <w:t xml:space="preserve">Table </w:t>
      </w:r>
      <w:r w:rsidR="00273E9C">
        <w:rPr>
          <w:noProof/>
        </w:rPr>
        <w:t>11</w:t>
      </w:r>
      <w:r w:rsidRPr="00AC1962">
        <w:t xml:space="preserve">: </w:t>
      </w:r>
      <w:r w:rsidR="00D110BD" w:rsidRPr="00AC1962">
        <w:rPr>
          <w:rStyle w:val="CommentReference"/>
          <w:b/>
          <w:szCs w:val="18"/>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619"/>
        <w:gridCol w:w="2685"/>
      </w:tblGrid>
      <w:tr w:rsidR="00537182" w:rsidRPr="003D1DE4" w:rsidTr="00537182">
        <w:trPr>
          <w:tblHeader/>
        </w:trPr>
        <w:tc>
          <w:tcPr>
            <w:tcW w:w="950" w:type="pct"/>
            <w:shd w:val="clear" w:color="auto" w:fill="auto"/>
            <w:vAlign w:val="center"/>
          </w:tcPr>
          <w:p w:rsidR="00D110BD" w:rsidRPr="00A0799B" w:rsidRDefault="00D110BD" w:rsidP="0002044C">
            <w:pPr>
              <w:pStyle w:val="Tabletext"/>
              <w:keepNext/>
              <w:keepLines/>
              <w:rPr>
                <w:b/>
                <w:lang w:val="en-US"/>
              </w:rPr>
            </w:pPr>
            <w:r w:rsidRPr="00A0799B">
              <w:rPr>
                <w:b/>
                <w:lang w:val="en-US"/>
              </w:rPr>
              <w:t>Description</w:t>
            </w:r>
          </w:p>
        </w:tc>
        <w:tc>
          <w:tcPr>
            <w:tcW w:w="2561" w:type="pct"/>
            <w:shd w:val="clear" w:color="auto" w:fill="auto"/>
            <w:vAlign w:val="center"/>
          </w:tcPr>
          <w:p w:rsidR="00D110BD" w:rsidRPr="00A0799B" w:rsidRDefault="00D110BD" w:rsidP="0002044C">
            <w:pPr>
              <w:pStyle w:val="Tabletext"/>
              <w:keepNext/>
              <w:keepLines/>
              <w:jc w:val="center"/>
              <w:rPr>
                <w:b/>
                <w:lang w:val="en-US"/>
              </w:rPr>
            </w:pPr>
            <w:r w:rsidRPr="00A0799B">
              <w:rPr>
                <w:b/>
                <w:lang w:val="en-US"/>
              </w:rPr>
              <w:t>Method/Value</w:t>
            </w:r>
          </w:p>
        </w:tc>
        <w:tc>
          <w:tcPr>
            <w:tcW w:w="1489" w:type="pct"/>
            <w:shd w:val="clear" w:color="auto" w:fill="auto"/>
            <w:vAlign w:val="center"/>
          </w:tcPr>
          <w:p w:rsidR="00D110BD" w:rsidRPr="00A0799B" w:rsidRDefault="00D110BD" w:rsidP="0002044C">
            <w:pPr>
              <w:pStyle w:val="Tabletext"/>
              <w:keepNext/>
              <w:keepLines/>
              <w:jc w:val="center"/>
              <w:rPr>
                <w:b/>
                <w:lang w:val="en-US"/>
              </w:rPr>
            </w:pPr>
            <w:r w:rsidRPr="00A0799B">
              <w:rPr>
                <w:b/>
                <w:lang w:val="en-US"/>
              </w:rPr>
              <w:t>Impact</w:t>
            </w:r>
          </w:p>
        </w:tc>
      </w:tr>
      <w:tr w:rsidR="00537182" w:rsidRPr="00E2771E" w:rsidTr="00537182">
        <w:tc>
          <w:tcPr>
            <w:tcW w:w="950" w:type="pct"/>
            <w:shd w:val="clear" w:color="auto" w:fill="auto"/>
            <w:vAlign w:val="center"/>
          </w:tcPr>
          <w:p w:rsidR="00D110BD" w:rsidRPr="00A0799B" w:rsidRDefault="00106B80" w:rsidP="0002044C">
            <w:pPr>
              <w:pStyle w:val="Tabletext"/>
              <w:keepNext/>
              <w:keepLines/>
              <w:rPr>
                <w:lang w:val="en-US"/>
              </w:rPr>
            </w:pPr>
            <w:r w:rsidRPr="00A0799B">
              <w:rPr>
                <w:lang w:val="en-US"/>
              </w:rPr>
              <w:t>Extrapolation</w:t>
            </w:r>
          </w:p>
        </w:tc>
        <w:tc>
          <w:tcPr>
            <w:tcW w:w="2561" w:type="pct"/>
            <w:shd w:val="clear" w:color="auto" w:fill="auto"/>
            <w:vAlign w:val="center"/>
          </w:tcPr>
          <w:p w:rsidR="00D110BD" w:rsidRPr="00A0799B" w:rsidRDefault="00106B80" w:rsidP="0002044C">
            <w:pPr>
              <w:pStyle w:val="Tabletext"/>
              <w:keepNext/>
              <w:keepLines/>
              <w:rPr>
                <w:lang w:val="en-US"/>
              </w:rPr>
            </w:pPr>
            <w:r w:rsidRPr="00A0799B">
              <w:rPr>
                <w:lang w:val="en-US"/>
              </w:rPr>
              <w:t xml:space="preserve">Treatment effect continued </w:t>
            </w:r>
            <w:r w:rsidR="002061F8" w:rsidRPr="00A0799B">
              <w:rPr>
                <w:lang w:val="en-US"/>
              </w:rPr>
              <w:t>throughout the modelled time horizon</w:t>
            </w:r>
            <w:r w:rsidR="007F5020" w:rsidRPr="00A0799B">
              <w:rPr>
                <w:lang w:val="en-US"/>
              </w:rPr>
              <w:t xml:space="preserve">, </w:t>
            </w:r>
            <w:r w:rsidR="002061F8" w:rsidRPr="00A0799B">
              <w:rPr>
                <w:lang w:val="en-US"/>
              </w:rPr>
              <w:t xml:space="preserve">the </w:t>
            </w:r>
            <w:r w:rsidR="007F5020" w:rsidRPr="00A0799B">
              <w:rPr>
                <w:lang w:val="en-US"/>
              </w:rPr>
              <w:t xml:space="preserve">PFS and </w:t>
            </w:r>
            <w:r w:rsidR="002061F8" w:rsidRPr="00A0799B">
              <w:rPr>
                <w:lang w:val="en-US"/>
              </w:rPr>
              <w:t>OS curves of the two treatment arm</w:t>
            </w:r>
            <w:r w:rsidR="007F5020" w:rsidRPr="00A0799B">
              <w:rPr>
                <w:lang w:val="en-US"/>
              </w:rPr>
              <w:t>s</w:t>
            </w:r>
            <w:r w:rsidR="002061F8" w:rsidRPr="00A0799B">
              <w:rPr>
                <w:lang w:val="en-US"/>
              </w:rPr>
              <w:t xml:space="preserve"> did not converge</w:t>
            </w:r>
            <w:r w:rsidRPr="00A0799B">
              <w:rPr>
                <w:lang w:val="en-US"/>
              </w:rPr>
              <w:t>;</w:t>
            </w:r>
            <w:r w:rsidR="007F5020" w:rsidRPr="00A0799B">
              <w:rPr>
                <w:lang w:val="en-US"/>
              </w:rPr>
              <w:t xml:space="preserve"> and</w:t>
            </w:r>
          </w:p>
          <w:p w:rsidR="00106B80" w:rsidRPr="00A0799B" w:rsidRDefault="00106B80" w:rsidP="0002044C">
            <w:pPr>
              <w:pStyle w:val="Tabletext"/>
              <w:keepNext/>
              <w:keepLines/>
              <w:rPr>
                <w:lang w:val="en-US"/>
              </w:rPr>
            </w:pPr>
          </w:p>
          <w:p w:rsidR="00106B80" w:rsidRPr="00A0799B" w:rsidRDefault="0050574B" w:rsidP="0002044C">
            <w:pPr>
              <w:pStyle w:val="Tabletext"/>
              <w:keepNext/>
              <w:keepLines/>
              <w:rPr>
                <w:lang w:val="en-US"/>
              </w:rPr>
            </w:pPr>
            <w:r w:rsidRPr="00A0799B">
              <w:rPr>
                <w:lang w:val="en-US"/>
              </w:rPr>
              <w:t xml:space="preserve">Time point of Kaplan-Meier truncation for </w:t>
            </w:r>
            <w:r w:rsidR="007F5020" w:rsidRPr="00A0799B">
              <w:rPr>
                <w:lang w:val="en-US"/>
              </w:rPr>
              <w:t>OS</w:t>
            </w:r>
          </w:p>
        </w:tc>
        <w:tc>
          <w:tcPr>
            <w:tcW w:w="1489" w:type="pct"/>
            <w:shd w:val="clear" w:color="auto" w:fill="auto"/>
            <w:vAlign w:val="center"/>
          </w:tcPr>
          <w:p w:rsidR="00D110BD" w:rsidRPr="00A0799B" w:rsidRDefault="00D110BD" w:rsidP="0002044C">
            <w:pPr>
              <w:pStyle w:val="Tabletext"/>
              <w:keepNext/>
              <w:keepLines/>
              <w:rPr>
                <w:lang w:val="en-US"/>
              </w:rPr>
            </w:pPr>
            <w:r w:rsidRPr="00A0799B">
              <w:rPr>
                <w:lang w:val="en-US"/>
              </w:rPr>
              <w:t xml:space="preserve">High, </w:t>
            </w:r>
            <w:proofErr w:type="spellStart"/>
            <w:r w:rsidRPr="00A0799B">
              <w:rPr>
                <w:lang w:val="en-US"/>
              </w:rPr>
              <w:t>favours</w:t>
            </w:r>
            <w:proofErr w:type="spellEnd"/>
            <w:r w:rsidRPr="00A0799B">
              <w:rPr>
                <w:lang w:val="en-US"/>
              </w:rPr>
              <w:t xml:space="preserve"> </w:t>
            </w:r>
            <w:proofErr w:type="spellStart"/>
            <w:r w:rsidR="007F5020" w:rsidRPr="00A0799B">
              <w:rPr>
                <w:lang w:val="en-US"/>
              </w:rPr>
              <w:t>Pola+BR</w:t>
            </w:r>
            <w:proofErr w:type="spellEnd"/>
          </w:p>
        </w:tc>
      </w:tr>
      <w:tr w:rsidR="0016690B" w:rsidRPr="00E2771E" w:rsidTr="00537182">
        <w:tc>
          <w:tcPr>
            <w:tcW w:w="950" w:type="pct"/>
            <w:shd w:val="clear" w:color="auto" w:fill="auto"/>
            <w:vAlign w:val="center"/>
          </w:tcPr>
          <w:p w:rsidR="0016690B" w:rsidRPr="00A0799B" w:rsidRDefault="0016690B" w:rsidP="0002044C">
            <w:pPr>
              <w:pStyle w:val="Tabletext"/>
              <w:keepNext/>
              <w:keepLines/>
              <w:rPr>
                <w:lang w:val="en-US"/>
              </w:rPr>
            </w:pPr>
            <w:r w:rsidRPr="00A0799B">
              <w:rPr>
                <w:lang w:val="en-US"/>
              </w:rPr>
              <w:t>Time horizon</w:t>
            </w:r>
          </w:p>
        </w:tc>
        <w:tc>
          <w:tcPr>
            <w:tcW w:w="2561" w:type="pct"/>
            <w:shd w:val="clear" w:color="auto" w:fill="auto"/>
            <w:vAlign w:val="center"/>
          </w:tcPr>
          <w:p w:rsidR="0016690B" w:rsidRPr="00A0799B" w:rsidRDefault="0016690B" w:rsidP="0002044C">
            <w:pPr>
              <w:pStyle w:val="Tabletext"/>
              <w:keepNext/>
              <w:keepLines/>
              <w:rPr>
                <w:lang w:val="en-US"/>
              </w:rPr>
            </w:pPr>
            <w:r w:rsidRPr="00A0799B">
              <w:rPr>
                <w:lang w:val="en-US"/>
              </w:rPr>
              <w:t>15 years</w:t>
            </w:r>
          </w:p>
        </w:tc>
        <w:tc>
          <w:tcPr>
            <w:tcW w:w="1489" w:type="pct"/>
            <w:shd w:val="clear" w:color="auto" w:fill="auto"/>
            <w:vAlign w:val="center"/>
          </w:tcPr>
          <w:p w:rsidR="0016690B" w:rsidRPr="00A0799B" w:rsidRDefault="0016690B" w:rsidP="0002044C">
            <w:pPr>
              <w:pStyle w:val="Tabletext"/>
              <w:keepNext/>
              <w:keepLines/>
              <w:rPr>
                <w:lang w:val="en-US"/>
              </w:rPr>
            </w:pPr>
            <w:r w:rsidRPr="00A0799B">
              <w:rPr>
                <w:lang w:val="en-US"/>
              </w:rPr>
              <w:t xml:space="preserve">High, </w:t>
            </w:r>
            <w:proofErr w:type="spellStart"/>
            <w:r w:rsidRPr="00A0799B">
              <w:rPr>
                <w:lang w:val="en-US"/>
              </w:rPr>
              <w:t>favours</w:t>
            </w:r>
            <w:proofErr w:type="spellEnd"/>
            <w:r w:rsidRPr="00A0799B">
              <w:rPr>
                <w:lang w:val="en-US"/>
              </w:rPr>
              <w:t xml:space="preserve"> </w:t>
            </w:r>
            <w:proofErr w:type="spellStart"/>
            <w:r w:rsidRPr="00A0799B">
              <w:rPr>
                <w:lang w:val="en-US"/>
              </w:rPr>
              <w:t>Pola+BR</w:t>
            </w:r>
            <w:proofErr w:type="spellEnd"/>
          </w:p>
        </w:tc>
      </w:tr>
      <w:tr w:rsidR="00537182" w:rsidRPr="00E2771E" w:rsidTr="00537182">
        <w:tc>
          <w:tcPr>
            <w:tcW w:w="950" w:type="pct"/>
            <w:shd w:val="clear" w:color="auto" w:fill="auto"/>
            <w:vAlign w:val="center"/>
          </w:tcPr>
          <w:p w:rsidR="00D110BD" w:rsidRPr="00A0799B" w:rsidRDefault="00106B80" w:rsidP="0002044C">
            <w:pPr>
              <w:pStyle w:val="Tabletext"/>
              <w:keepNext/>
              <w:keepLines/>
              <w:rPr>
                <w:lang w:val="en-US"/>
              </w:rPr>
            </w:pPr>
            <w:r w:rsidRPr="00A0799B">
              <w:rPr>
                <w:lang w:val="en-US"/>
              </w:rPr>
              <w:t>Utilities</w:t>
            </w:r>
          </w:p>
        </w:tc>
        <w:tc>
          <w:tcPr>
            <w:tcW w:w="2561" w:type="pct"/>
            <w:shd w:val="clear" w:color="auto" w:fill="auto"/>
            <w:vAlign w:val="center"/>
          </w:tcPr>
          <w:p w:rsidR="00D110BD" w:rsidRPr="00A0799B" w:rsidRDefault="00106B80" w:rsidP="0002044C">
            <w:pPr>
              <w:pStyle w:val="Tabletext"/>
              <w:keepNext/>
              <w:keepLines/>
              <w:rPr>
                <w:lang w:val="en-US"/>
              </w:rPr>
            </w:pPr>
            <w:r w:rsidRPr="00A0799B">
              <w:rPr>
                <w:lang w:val="en-US"/>
              </w:rPr>
              <w:t xml:space="preserve">High values for model health states taken from literature and no </w:t>
            </w:r>
            <w:r w:rsidR="00DF21E1" w:rsidRPr="00A0799B">
              <w:rPr>
                <w:lang w:val="en-US"/>
              </w:rPr>
              <w:t xml:space="preserve">additional </w:t>
            </w:r>
            <w:r w:rsidRPr="00A0799B">
              <w:rPr>
                <w:lang w:val="en-US"/>
              </w:rPr>
              <w:t xml:space="preserve">disutility for </w:t>
            </w:r>
            <w:r w:rsidR="00DF21E1" w:rsidRPr="00A0799B">
              <w:rPr>
                <w:lang w:val="en-US"/>
              </w:rPr>
              <w:t xml:space="preserve">higher rate of </w:t>
            </w:r>
            <w:r w:rsidRPr="00A0799B">
              <w:rPr>
                <w:lang w:val="en-US"/>
              </w:rPr>
              <w:t>adverse events</w:t>
            </w:r>
            <w:r w:rsidR="00DF21E1" w:rsidRPr="00A0799B">
              <w:rPr>
                <w:lang w:val="en-US"/>
              </w:rPr>
              <w:t xml:space="preserve"> for </w:t>
            </w:r>
            <w:proofErr w:type="spellStart"/>
            <w:r w:rsidR="00DF21E1" w:rsidRPr="00A0799B">
              <w:rPr>
                <w:lang w:val="en-US"/>
              </w:rPr>
              <w:t>Pola+BR</w:t>
            </w:r>
            <w:proofErr w:type="spellEnd"/>
            <w:r w:rsidR="00DF21E1" w:rsidRPr="00A0799B">
              <w:rPr>
                <w:lang w:val="en-US"/>
              </w:rPr>
              <w:t xml:space="preserve"> arm</w:t>
            </w:r>
          </w:p>
        </w:tc>
        <w:tc>
          <w:tcPr>
            <w:tcW w:w="1489" w:type="pct"/>
            <w:shd w:val="clear" w:color="auto" w:fill="auto"/>
            <w:vAlign w:val="center"/>
          </w:tcPr>
          <w:p w:rsidR="00D110BD" w:rsidRPr="00A0799B" w:rsidRDefault="00DF21E1" w:rsidP="0002044C">
            <w:pPr>
              <w:pStyle w:val="Tabletext"/>
              <w:keepNext/>
              <w:keepLines/>
              <w:rPr>
                <w:lang w:val="en-US"/>
              </w:rPr>
            </w:pPr>
            <w:r w:rsidRPr="00A0799B">
              <w:rPr>
                <w:lang w:val="en-US"/>
              </w:rPr>
              <w:t>Moderate</w:t>
            </w:r>
            <w:r w:rsidR="00537182" w:rsidRPr="00A0799B">
              <w:rPr>
                <w:lang w:val="en-US"/>
              </w:rPr>
              <w:t xml:space="preserve">, </w:t>
            </w:r>
            <w:proofErr w:type="spellStart"/>
            <w:r w:rsidR="00537182" w:rsidRPr="00A0799B">
              <w:rPr>
                <w:lang w:val="en-US"/>
              </w:rPr>
              <w:t>favours</w:t>
            </w:r>
            <w:proofErr w:type="spellEnd"/>
            <w:r w:rsidR="00537182" w:rsidRPr="00A0799B">
              <w:rPr>
                <w:lang w:val="en-US"/>
              </w:rPr>
              <w:t xml:space="preserve"> </w:t>
            </w:r>
            <w:proofErr w:type="spellStart"/>
            <w:r w:rsidRPr="00A0799B">
              <w:rPr>
                <w:lang w:val="en-US"/>
              </w:rPr>
              <w:t>Pola+BR</w:t>
            </w:r>
            <w:proofErr w:type="spellEnd"/>
          </w:p>
        </w:tc>
      </w:tr>
      <w:tr w:rsidR="00AE118F" w:rsidRPr="00E2771E" w:rsidTr="00AE118F">
        <w:tc>
          <w:tcPr>
            <w:tcW w:w="950" w:type="pct"/>
            <w:shd w:val="clear" w:color="auto" w:fill="auto"/>
            <w:vAlign w:val="center"/>
          </w:tcPr>
          <w:p w:rsidR="00AE118F" w:rsidRPr="00A0799B" w:rsidRDefault="00AE118F" w:rsidP="0002044C">
            <w:pPr>
              <w:pStyle w:val="Tabletext"/>
              <w:keepNext/>
              <w:keepLines/>
              <w:rPr>
                <w:lang w:val="en-US"/>
              </w:rPr>
            </w:pPr>
            <w:r w:rsidRPr="00A0799B">
              <w:rPr>
                <w:lang w:val="en-US"/>
              </w:rPr>
              <w:t xml:space="preserve">No. of </w:t>
            </w:r>
            <w:proofErr w:type="spellStart"/>
            <w:r w:rsidRPr="00A0799B">
              <w:rPr>
                <w:lang w:val="en-US"/>
              </w:rPr>
              <w:t>polatuzumab</w:t>
            </w:r>
            <w:proofErr w:type="spellEnd"/>
            <w:r w:rsidRPr="00A0799B">
              <w:rPr>
                <w:lang w:val="en-US"/>
              </w:rPr>
              <w:t xml:space="preserve"> </w:t>
            </w:r>
            <w:proofErr w:type="spellStart"/>
            <w:r w:rsidRPr="00A0799B">
              <w:rPr>
                <w:lang w:val="en-US"/>
              </w:rPr>
              <w:t>vedotin</w:t>
            </w:r>
            <w:proofErr w:type="spellEnd"/>
            <w:r w:rsidRPr="00A0799B">
              <w:rPr>
                <w:lang w:val="en-US"/>
              </w:rPr>
              <w:t xml:space="preserve"> vials</w:t>
            </w:r>
          </w:p>
        </w:tc>
        <w:tc>
          <w:tcPr>
            <w:tcW w:w="2561" w:type="pct"/>
            <w:shd w:val="clear" w:color="auto" w:fill="auto"/>
          </w:tcPr>
          <w:p w:rsidR="00AE118F" w:rsidRPr="00A0799B" w:rsidRDefault="00AE118F" w:rsidP="0002044C">
            <w:pPr>
              <w:pStyle w:val="Tabletext"/>
              <w:keepNext/>
              <w:keepLines/>
              <w:rPr>
                <w:lang w:val="en-US"/>
              </w:rPr>
            </w:pPr>
            <w:r w:rsidRPr="00A0799B">
              <w:rPr>
                <w:lang w:val="en-US"/>
              </w:rPr>
              <w:t xml:space="preserve">The number of vials applied in the base case does not account for the proportion of patients in the trial and in practice who weigh more than 80 kg and who receive two 140 mg vials. The ICER is sensitive to this change as it is associated with substantial wastage. However the sponsor intends to register a 30 mg preparation in early-to-mid 2020 </w:t>
            </w:r>
            <w:r w:rsidR="00942C0D" w:rsidRPr="00A0799B">
              <w:rPr>
                <w:lang w:val="en-US"/>
              </w:rPr>
              <w:t>which results in an ICER similar to the base case estimate.</w:t>
            </w:r>
          </w:p>
        </w:tc>
        <w:tc>
          <w:tcPr>
            <w:tcW w:w="1489" w:type="pct"/>
            <w:shd w:val="clear" w:color="auto" w:fill="auto"/>
            <w:vAlign w:val="center"/>
          </w:tcPr>
          <w:p w:rsidR="00AE118F" w:rsidRPr="00A0799B" w:rsidRDefault="00942C0D" w:rsidP="0002044C">
            <w:pPr>
              <w:pStyle w:val="Tabletext"/>
              <w:keepNext/>
              <w:keepLines/>
              <w:rPr>
                <w:lang w:val="en-US"/>
              </w:rPr>
            </w:pPr>
            <w:r w:rsidRPr="00A0799B">
              <w:rPr>
                <w:lang w:val="en-US"/>
              </w:rPr>
              <w:t xml:space="preserve">High (only 140 mg preparation available) to low (30 mg preparation also available), </w:t>
            </w:r>
            <w:proofErr w:type="spellStart"/>
            <w:r w:rsidRPr="00A0799B">
              <w:rPr>
                <w:lang w:val="en-US"/>
              </w:rPr>
              <w:t>favours</w:t>
            </w:r>
            <w:proofErr w:type="spellEnd"/>
            <w:r w:rsidRPr="00A0799B">
              <w:rPr>
                <w:lang w:val="en-US"/>
              </w:rPr>
              <w:t xml:space="preserve"> </w:t>
            </w:r>
            <w:proofErr w:type="spellStart"/>
            <w:r w:rsidRPr="00A0799B">
              <w:rPr>
                <w:lang w:val="en-US"/>
              </w:rPr>
              <w:t>Pola+BR</w:t>
            </w:r>
            <w:proofErr w:type="spellEnd"/>
          </w:p>
        </w:tc>
      </w:tr>
    </w:tbl>
    <w:p w:rsidR="007F5020" w:rsidRDefault="007F5020" w:rsidP="0002044C">
      <w:pPr>
        <w:pStyle w:val="TableFooter"/>
        <w:keepNext/>
        <w:keepLines/>
      </w:pPr>
      <w:r>
        <w:t xml:space="preserve">PFS = progression-free survival; OS = overall survival; </w:t>
      </w:r>
      <w:proofErr w:type="spellStart"/>
      <w:r>
        <w:t>Pola+BR</w:t>
      </w:r>
      <w:proofErr w:type="spellEnd"/>
      <w:r>
        <w:t xml:space="preserve"> = </w:t>
      </w:r>
      <w:proofErr w:type="spellStart"/>
      <w:r>
        <w:t>polatuzumab</w:t>
      </w:r>
      <w:proofErr w:type="spellEnd"/>
      <w:r>
        <w:t xml:space="preserve"> </w:t>
      </w:r>
      <w:proofErr w:type="spellStart"/>
      <w:r>
        <w:t>vedotin</w:t>
      </w:r>
      <w:proofErr w:type="spellEnd"/>
      <w:r>
        <w:t xml:space="preserve"> in combination with </w:t>
      </w:r>
      <w:proofErr w:type="spellStart"/>
      <w:r>
        <w:t>bendamustine</w:t>
      </w:r>
      <w:proofErr w:type="spellEnd"/>
      <w:r>
        <w:t xml:space="preserve"> and rituximab.</w:t>
      </w:r>
    </w:p>
    <w:p w:rsidR="00D110BD" w:rsidRDefault="009D792E" w:rsidP="0002044C">
      <w:pPr>
        <w:pStyle w:val="TableFooter"/>
        <w:keepNext/>
        <w:keepLines/>
      </w:pPr>
      <w:r>
        <w:t xml:space="preserve">Source: </w:t>
      </w:r>
      <w:r w:rsidR="00DF21E1">
        <w:t>Compiled during evaluation</w:t>
      </w:r>
      <w:r>
        <w:t>.</w:t>
      </w:r>
    </w:p>
    <w:p w:rsidR="009D792E" w:rsidRPr="00275C5A" w:rsidRDefault="009D792E" w:rsidP="00275C5A">
      <w:pPr>
        <w:widowControl/>
      </w:pPr>
    </w:p>
    <w:p w:rsidR="00971FF0" w:rsidRPr="00A0799B" w:rsidRDefault="009A59CE" w:rsidP="00095881">
      <w:pPr>
        <w:pStyle w:val="ListParagraph"/>
        <w:widowControl/>
        <w:numPr>
          <w:ilvl w:val="1"/>
          <w:numId w:val="2"/>
        </w:numPr>
      </w:pPr>
      <w:r w:rsidRPr="00571528">
        <w:lastRenderedPageBreak/>
        <w:t xml:space="preserve">The </w:t>
      </w:r>
      <w:r w:rsidRPr="00A0799B">
        <w:t xml:space="preserve">submission extrapolated the PFS and OS results </w:t>
      </w:r>
      <w:r w:rsidR="00571528" w:rsidRPr="00A0799B">
        <w:t xml:space="preserve">using parametric functions from the </w:t>
      </w:r>
      <w:r w:rsidR="00474459" w:rsidRPr="00A0799B">
        <w:t xml:space="preserve">(truncated) </w:t>
      </w:r>
      <w:r w:rsidR="00571528" w:rsidRPr="00A0799B">
        <w:t xml:space="preserve">mean duration of follow-up in the trial (10.3 months). </w:t>
      </w:r>
      <w:r w:rsidR="00971FF0" w:rsidRPr="00A0799B">
        <w:t xml:space="preserve">At the model time horizon, 2.7% of patients treated with </w:t>
      </w:r>
      <w:proofErr w:type="spellStart"/>
      <w:r w:rsidR="00971FF0" w:rsidRPr="00A0799B">
        <w:t>Pola+BR</w:t>
      </w:r>
      <w:proofErr w:type="spellEnd"/>
      <w:r w:rsidR="00971FF0" w:rsidRPr="00A0799B">
        <w:t xml:space="preserve"> were still alive (1.4% progression-free), compared to 0.3% with BR treatment (0% progression-free). The submission has not justified the plausibility of the long-term survival estimates with </w:t>
      </w:r>
      <w:proofErr w:type="spellStart"/>
      <w:r w:rsidR="00971FF0" w:rsidRPr="00A0799B">
        <w:t>Pola+BR</w:t>
      </w:r>
      <w:proofErr w:type="spellEnd"/>
      <w:r w:rsidR="00971FF0" w:rsidRPr="00A0799B">
        <w:t xml:space="preserve">. </w:t>
      </w:r>
      <w:r w:rsidR="00526E0A" w:rsidRPr="00266C07">
        <w:t>The ESC noted a</w:t>
      </w:r>
      <w:r w:rsidR="00971FF0" w:rsidRPr="00A0799B">
        <w:t xml:space="preserve"> systematic review of survival outcomes post-relapse in DLBCL reported that median survival in those who initiated a subsequent line of therapy was 13 months.</w:t>
      </w:r>
      <w:r w:rsidR="00971FF0" w:rsidRPr="00A0799B">
        <w:rPr>
          <w:rStyle w:val="FootnoteReference"/>
        </w:rPr>
        <w:footnoteReference w:id="15"/>
      </w:r>
      <w:r w:rsidR="00971FF0" w:rsidRPr="00A0799B">
        <w:t xml:space="preserve"> </w:t>
      </w:r>
    </w:p>
    <w:p w:rsidR="00571528" w:rsidRPr="00A0799B" w:rsidRDefault="00571528" w:rsidP="00095881">
      <w:pPr>
        <w:pStyle w:val="ListParagraph"/>
        <w:widowControl/>
        <w:numPr>
          <w:ilvl w:val="1"/>
          <w:numId w:val="2"/>
        </w:numPr>
      </w:pPr>
      <w:r w:rsidRPr="00A0799B">
        <w:t xml:space="preserve">During the extrapolation period, the benefit of </w:t>
      </w:r>
      <w:proofErr w:type="spellStart"/>
      <w:r w:rsidRPr="00A0799B">
        <w:t>Pola+BR</w:t>
      </w:r>
      <w:proofErr w:type="spellEnd"/>
      <w:r w:rsidRPr="00A0799B">
        <w:t xml:space="preserve"> relative to BR </w:t>
      </w:r>
      <w:r w:rsidR="00544A14" w:rsidRPr="00A0799B">
        <w:t xml:space="preserve">was </w:t>
      </w:r>
      <w:r w:rsidRPr="00A0799B">
        <w:t xml:space="preserve">maintained in terms of PFS and OS and the PFS and OS curves between the two treatment arms did not converge throughout the modelled time horizon in the base case of the model. </w:t>
      </w:r>
      <w:r w:rsidR="00840E22" w:rsidRPr="00A0799B">
        <w:t xml:space="preserve">In addition, </w:t>
      </w:r>
      <w:r w:rsidR="0081747F" w:rsidRPr="00502F52">
        <w:t xml:space="preserve">the ESC considered that the </w:t>
      </w:r>
      <w:r w:rsidR="0081747F" w:rsidRPr="00502F52">
        <w:rPr>
          <w:rFonts w:asciiTheme="minorHAnsi" w:hAnsiTheme="minorHAnsi" w:cstheme="minorHAnsi"/>
        </w:rPr>
        <w:t xml:space="preserve">key trial (GO29365) did not </w:t>
      </w:r>
      <w:r w:rsidR="00840E22" w:rsidRPr="00502F52">
        <w:t xml:space="preserve">provide a reliable basis for estimating the treatment effect of </w:t>
      </w:r>
      <w:proofErr w:type="spellStart"/>
      <w:r w:rsidR="00840E22" w:rsidRPr="00502F52">
        <w:t>Pola+BR</w:t>
      </w:r>
      <w:proofErr w:type="spellEnd"/>
      <w:r w:rsidR="0081747F" w:rsidRPr="00502F52">
        <w:t xml:space="preserve"> (</w:t>
      </w:r>
      <w:r w:rsidR="00A3160D" w:rsidRPr="00502F52">
        <w:t>given the small number of patients and imbalance in prognostic factors between arms)</w:t>
      </w:r>
      <w:r w:rsidR="00840E22" w:rsidRPr="00502F52">
        <w:t>. The</w:t>
      </w:r>
      <w:r w:rsidR="00840E22" w:rsidRPr="00A0799B">
        <w:t xml:space="preserve"> Kaplan-Meier and modelled PFS and OS curves are presented below.</w:t>
      </w:r>
    </w:p>
    <w:p w:rsidR="00AC1962" w:rsidRPr="00AC1962" w:rsidRDefault="00AC1962" w:rsidP="00544A14">
      <w:pPr>
        <w:pStyle w:val="Caption"/>
        <w:keepNext/>
      </w:pPr>
      <w:r w:rsidRPr="00AC1962">
        <w:t xml:space="preserve">Figure </w:t>
      </w:r>
      <w:r w:rsidR="00273E9C">
        <w:rPr>
          <w:noProof/>
        </w:rPr>
        <w:t>4</w:t>
      </w:r>
      <w:r w:rsidRPr="00AC1962">
        <w:t xml:space="preserve">: </w:t>
      </w:r>
      <w:r w:rsidRPr="00AC1962">
        <w:rPr>
          <w:rStyle w:val="CommentReference"/>
          <w:b/>
          <w:szCs w:val="18"/>
        </w:rPr>
        <w:t>Kaplan-Meier and modelled curves for PFS and OS</w:t>
      </w:r>
    </w:p>
    <w:p w:rsidR="00AC1962" w:rsidRDefault="00AC1962" w:rsidP="00AC1962">
      <w:pPr>
        <w:pStyle w:val="ListParagraph"/>
        <w:widowControl/>
        <w:rPr>
          <w:i/>
        </w:rPr>
      </w:pPr>
      <w:r>
        <w:rPr>
          <w:noProof/>
          <w:lang w:eastAsia="en-AU"/>
        </w:rPr>
        <w:drawing>
          <wp:inline distT="0" distB="0" distL="0" distR="0" wp14:anchorId="50CF1A5D" wp14:editId="17A5E781">
            <wp:extent cx="5262113" cy="2692488"/>
            <wp:effectExtent l="0" t="0" r="0" b="0"/>
            <wp:docPr id="19" name="Picture 19" title="Figure 4: Kaplan-Meier and modelled curves for PFS a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030" cy="2703191"/>
                    </a:xfrm>
                    <a:prstGeom prst="rect">
                      <a:avLst/>
                    </a:prstGeom>
                    <a:noFill/>
                  </pic:spPr>
                </pic:pic>
              </a:graphicData>
            </a:graphic>
          </wp:inline>
        </w:drawing>
      </w:r>
    </w:p>
    <w:p w:rsidR="0016690B" w:rsidRPr="001D08A9" w:rsidRDefault="0016690B" w:rsidP="0016690B">
      <w:pPr>
        <w:pStyle w:val="TableFooter"/>
      </w:pPr>
      <w:r w:rsidRPr="001D08A9">
        <w:t xml:space="preserve">BR = rituximab used in combination with </w:t>
      </w:r>
      <w:proofErr w:type="spellStart"/>
      <w:r w:rsidRPr="001D08A9">
        <w:t>bendamustine</w:t>
      </w:r>
      <w:proofErr w:type="spellEnd"/>
      <w:r w:rsidRPr="001D08A9">
        <w:t xml:space="preserve">; KM = Kaplan-Meier; OS = overall survival; </w:t>
      </w:r>
      <w:r w:rsidR="00A628EA" w:rsidRPr="00B017BD">
        <w:t xml:space="preserve">PFS = progression-free survival; </w:t>
      </w:r>
      <w:proofErr w:type="spellStart"/>
      <w:r w:rsidRPr="001D08A9">
        <w:t>Pola+BR</w:t>
      </w:r>
      <w:proofErr w:type="spellEnd"/>
      <w:r w:rsidRPr="001D08A9">
        <w:t xml:space="preserve"> = </w:t>
      </w:r>
      <w:proofErr w:type="spellStart"/>
      <w:r w:rsidRPr="001D08A9">
        <w:t>polatuzumab</w:t>
      </w:r>
      <w:proofErr w:type="spellEnd"/>
      <w:r w:rsidRPr="001D08A9">
        <w:t xml:space="preserve"> </w:t>
      </w:r>
      <w:proofErr w:type="spellStart"/>
      <w:r w:rsidRPr="001D08A9">
        <w:t>vedotin</w:t>
      </w:r>
      <w:proofErr w:type="spellEnd"/>
      <w:r w:rsidRPr="001D08A9">
        <w:t xml:space="preserve"> in combination with </w:t>
      </w:r>
      <w:proofErr w:type="spellStart"/>
      <w:r w:rsidRPr="001D08A9">
        <w:t>bendamustine</w:t>
      </w:r>
      <w:proofErr w:type="spellEnd"/>
      <w:r w:rsidRPr="001D08A9">
        <w:t xml:space="preserve"> and rituximab.</w:t>
      </w:r>
    </w:p>
    <w:p w:rsidR="0016690B" w:rsidRDefault="0016690B" w:rsidP="0016690B">
      <w:pPr>
        <w:pStyle w:val="TableFooter"/>
      </w:pPr>
      <w:r w:rsidRPr="00BD49A6">
        <w:t xml:space="preserve">Source: </w:t>
      </w:r>
      <w:r>
        <w:t>Figure c</w:t>
      </w:r>
      <w:r w:rsidRPr="00BD49A6">
        <w:t>onstructed during the evaluation from the ‘Economic Evaluation.xlsx’ workbook included in the submission.</w:t>
      </w:r>
    </w:p>
    <w:p w:rsidR="0016690B" w:rsidRDefault="0016690B" w:rsidP="0016690B"/>
    <w:p w:rsidR="007F5020" w:rsidRPr="00A0799B" w:rsidRDefault="007F5020" w:rsidP="00095881">
      <w:pPr>
        <w:pStyle w:val="ListParagraph"/>
        <w:widowControl/>
        <w:numPr>
          <w:ilvl w:val="1"/>
          <w:numId w:val="2"/>
        </w:numPr>
      </w:pPr>
      <w:r w:rsidRPr="00A0799B">
        <w:t xml:space="preserve">Given the highly uncertain extrapolation that </w:t>
      </w:r>
      <w:r w:rsidR="00840E22" w:rsidRPr="00A0799B">
        <w:t xml:space="preserve">assumed </w:t>
      </w:r>
      <w:r w:rsidR="00A3160D">
        <w:t xml:space="preserve">a </w:t>
      </w:r>
      <w:r w:rsidR="00840E22" w:rsidRPr="00A0799B">
        <w:t xml:space="preserve">continued treatment effect of </w:t>
      </w:r>
      <w:proofErr w:type="spellStart"/>
      <w:r w:rsidRPr="00A0799B">
        <w:t>Pola+BR</w:t>
      </w:r>
      <w:proofErr w:type="spellEnd"/>
      <w:r w:rsidRPr="00A0799B">
        <w:t xml:space="preserve"> </w:t>
      </w:r>
      <w:r w:rsidR="00840E22" w:rsidRPr="00A0799B">
        <w:t>versus BR</w:t>
      </w:r>
      <w:r w:rsidRPr="00A0799B">
        <w:t xml:space="preserve">, the result of the economic model was sensitive to the time horizon. </w:t>
      </w:r>
      <w:r w:rsidR="00720B24" w:rsidRPr="00A0799B">
        <w:t>The modelled OS in the extrapolated portion of the curves accounts for the majority (</w:t>
      </w:r>
      <w:r w:rsidR="00544A14" w:rsidRPr="00A0799B">
        <w:t>86</w:t>
      </w:r>
      <w:r w:rsidR="00720B24" w:rsidRPr="00A0799B">
        <w:t xml:space="preserve">%) of the total OS benefit (in terms of life-years gained) in the model (see </w:t>
      </w:r>
      <w:r w:rsidR="00273E9C" w:rsidRPr="00A0799B">
        <w:t xml:space="preserve">Figure </w:t>
      </w:r>
      <w:r w:rsidR="00273E9C" w:rsidRPr="00A0799B">
        <w:rPr>
          <w:noProof/>
        </w:rPr>
        <w:t>5</w:t>
      </w:r>
      <w:r w:rsidR="00544A14" w:rsidRPr="00A0799B">
        <w:t xml:space="preserve"> </w:t>
      </w:r>
      <w:r w:rsidR="00720B24" w:rsidRPr="00A0799B">
        <w:t>below).</w:t>
      </w:r>
      <w:r w:rsidR="002E5070" w:rsidRPr="00A0799B">
        <w:t xml:space="preserve"> Furthermore, 61% of the life years gained were obtained beyond the median duration of trial follow-up. </w:t>
      </w:r>
    </w:p>
    <w:p w:rsidR="00544A14" w:rsidRPr="00A0799B" w:rsidRDefault="00544A14" w:rsidP="00405FBA">
      <w:pPr>
        <w:pStyle w:val="Caption"/>
        <w:keepNext/>
        <w:keepLines/>
      </w:pPr>
      <w:bookmarkStart w:id="14" w:name="_Ref18051649"/>
      <w:r w:rsidRPr="00A0799B">
        <w:lastRenderedPageBreak/>
        <w:t xml:space="preserve">Figure </w:t>
      </w:r>
      <w:r w:rsidR="00273E9C" w:rsidRPr="00A0799B">
        <w:rPr>
          <w:noProof/>
        </w:rPr>
        <w:t>5</w:t>
      </w:r>
      <w:bookmarkEnd w:id="14"/>
      <w:r w:rsidRPr="00A0799B">
        <w:t xml:space="preserve">: </w:t>
      </w:r>
      <w:r w:rsidRPr="00A0799B">
        <w:rPr>
          <w:rStyle w:val="CommentReference"/>
          <w:b/>
          <w:szCs w:val="18"/>
        </w:rPr>
        <w:t>Cumulative life years gained over the time horizon of the model (undiscounted)</w:t>
      </w:r>
    </w:p>
    <w:p w:rsidR="00544A14" w:rsidRDefault="00544A14" w:rsidP="00405FBA">
      <w:pPr>
        <w:pStyle w:val="ListParagraph"/>
        <w:keepNext/>
        <w:keepLines/>
        <w:widowControl/>
        <w:ind w:left="0"/>
        <w:jc w:val="center"/>
        <w:rPr>
          <w:noProof/>
          <w:lang w:eastAsia="en-AU"/>
        </w:rPr>
      </w:pPr>
      <w:r>
        <w:rPr>
          <w:noProof/>
          <w:lang w:eastAsia="en-AU"/>
        </w:rPr>
        <w:drawing>
          <wp:inline distT="0" distB="0" distL="0" distR="0" wp14:anchorId="7CC3B37C" wp14:editId="0F696C76">
            <wp:extent cx="5497200" cy="2912400"/>
            <wp:effectExtent l="0" t="0" r="8255" b="2540"/>
            <wp:docPr id="4" name="Picture 4" title="Figure 5: Cumulative life years gained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7200" cy="2912400"/>
                    </a:xfrm>
                    <a:prstGeom prst="rect">
                      <a:avLst/>
                    </a:prstGeom>
                    <a:noFill/>
                  </pic:spPr>
                </pic:pic>
              </a:graphicData>
            </a:graphic>
          </wp:inline>
        </w:drawing>
      </w:r>
    </w:p>
    <w:p w:rsidR="00544A14" w:rsidRPr="00A0799B" w:rsidRDefault="00544A14" w:rsidP="00405FBA">
      <w:pPr>
        <w:pStyle w:val="TableFooter"/>
        <w:keepNext/>
        <w:keepLines/>
      </w:pPr>
      <w:r w:rsidRPr="00A0799B">
        <w:t xml:space="preserve">BR = rituximab used in combination with </w:t>
      </w:r>
      <w:proofErr w:type="spellStart"/>
      <w:r w:rsidRPr="00A0799B">
        <w:t>bendamustine</w:t>
      </w:r>
      <w:proofErr w:type="spellEnd"/>
      <w:r w:rsidRPr="00A0799B">
        <w:t xml:space="preserve">; KM = Kaplan-Meier; LYG = life year gained; </w:t>
      </w:r>
      <w:proofErr w:type="spellStart"/>
      <w:r w:rsidRPr="00A0799B">
        <w:t>Pola+BR</w:t>
      </w:r>
      <w:proofErr w:type="spellEnd"/>
      <w:r w:rsidRPr="00A0799B">
        <w:t xml:space="preserve"> = </w:t>
      </w:r>
      <w:proofErr w:type="spellStart"/>
      <w:r w:rsidRPr="00A0799B">
        <w:t>polatuzumab</w:t>
      </w:r>
      <w:proofErr w:type="spellEnd"/>
      <w:r w:rsidRPr="00A0799B">
        <w:t xml:space="preserve"> </w:t>
      </w:r>
      <w:proofErr w:type="spellStart"/>
      <w:r w:rsidRPr="00A0799B">
        <w:t>vedotin</w:t>
      </w:r>
      <w:proofErr w:type="spellEnd"/>
      <w:r w:rsidRPr="00A0799B">
        <w:t xml:space="preserve"> in combination with </w:t>
      </w:r>
      <w:proofErr w:type="spellStart"/>
      <w:r w:rsidRPr="00A0799B">
        <w:t>bendamustine</w:t>
      </w:r>
      <w:proofErr w:type="spellEnd"/>
      <w:r w:rsidRPr="00A0799B">
        <w:t xml:space="preserve"> and rituximab.</w:t>
      </w:r>
    </w:p>
    <w:p w:rsidR="00544A14" w:rsidRPr="00A0799B" w:rsidRDefault="00544A14" w:rsidP="00405FBA">
      <w:pPr>
        <w:pStyle w:val="TableFooter"/>
        <w:keepNext/>
        <w:keepLines/>
        <w:rPr>
          <w:sz w:val="20"/>
        </w:rPr>
      </w:pPr>
      <w:r w:rsidRPr="00A0799B">
        <w:t xml:space="preserve">Source: </w:t>
      </w:r>
      <w:r w:rsidR="00A628EA" w:rsidRPr="00A0799B">
        <w:t>Figure constructed</w:t>
      </w:r>
      <w:r w:rsidRPr="00A0799B">
        <w:t xml:space="preserve"> during the evaluation based on ‘Results Table’ worksheet in the ‘Economic Evaluation.xlsx’ workbook included in the submission.</w:t>
      </w:r>
    </w:p>
    <w:p w:rsidR="00544A14" w:rsidRDefault="00544A14" w:rsidP="00544A14"/>
    <w:p w:rsidR="00F15CFD" w:rsidRDefault="00F15CFD" w:rsidP="00095881">
      <w:pPr>
        <w:pStyle w:val="ListParagraph"/>
        <w:widowControl/>
        <w:numPr>
          <w:ilvl w:val="1"/>
          <w:numId w:val="2"/>
        </w:numPr>
        <w:rPr>
          <w:i/>
        </w:rPr>
      </w:pPr>
      <w:r w:rsidRPr="00511483">
        <w:t xml:space="preserve">The change of ICER with the time horizon is presented below in Figure </w:t>
      </w:r>
      <w:r w:rsidRPr="00511483">
        <w:rPr>
          <w:noProof/>
        </w:rPr>
        <w:t>6</w:t>
      </w:r>
      <w:r>
        <w:rPr>
          <w:i/>
        </w:rPr>
        <w:t>.</w:t>
      </w:r>
    </w:p>
    <w:p w:rsidR="009D08EC" w:rsidRPr="00511483" w:rsidRDefault="009D08EC" w:rsidP="009D08EC">
      <w:pPr>
        <w:pStyle w:val="Caption"/>
        <w:keepNext/>
      </w:pPr>
      <w:bookmarkStart w:id="15" w:name="_Ref18051958"/>
      <w:r w:rsidRPr="00511483">
        <w:t xml:space="preserve">Figure </w:t>
      </w:r>
      <w:r w:rsidRPr="00511483">
        <w:rPr>
          <w:noProof/>
        </w:rPr>
        <w:t>6</w:t>
      </w:r>
      <w:bookmarkEnd w:id="15"/>
      <w:r w:rsidRPr="00511483">
        <w:t>: Trace of the ICER ($/QALY) over the time horizon of the model</w:t>
      </w:r>
    </w:p>
    <w:p w:rsidR="00F15CFD" w:rsidRDefault="00E77FA0" w:rsidP="00F15CFD">
      <w:bookmarkStart w:id="16" w:name="_GoBack"/>
      <w:r>
        <w:rPr>
          <w:noProof/>
          <w:snapToGrid/>
          <w:lang w:eastAsia="en-AU"/>
        </w:rPr>
        <w:drawing>
          <wp:inline distT="0" distB="0" distL="0" distR="0">
            <wp:extent cx="5607050" cy="3181350"/>
            <wp:effectExtent l="0" t="0" r="0" b="0"/>
            <wp:docPr id="3" name="Picture 3" title="Figure 6: Trace of the ICER ($/QALY) over the time horizon of the model"/>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extLst>
                        <a:ext uri="{28A0092B-C50C-407E-A947-70E740481C1C}">
                          <a14:useLocalDpi xmlns:a14="http://schemas.microsoft.com/office/drawing/2010/main" val="0"/>
                        </a:ext>
                      </a:extLst>
                    </a:blip>
                    <a:stretch>
                      <a:fillRect/>
                    </a:stretch>
                  </pic:blipFill>
                  <pic:spPr>
                    <a:xfrm>
                      <a:off x="0" y="0"/>
                      <a:ext cx="5607050" cy="3181350"/>
                    </a:xfrm>
                    <a:prstGeom prst="rect">
                      <a:avLst/>
                    </a:prstGeom>
                  </pic:spPr>
                </pic:pic>
              </a:graphicData>
            </a:graphic>
          </wp:inline>
        </w:drawing>
      </w:r>
      <w:bookmarkEnd w:id="16"/>
    </w:p>
    <w:p w:rsidR="00F15CFD" w:rsidRPr="001056BF" w:rsidRDefault="00F15CFD" w:rsidP="00F15CFD">
      <w:pPr>
        <w:pStyle w:val="TableFooter"/>
        <w:rPr>
          <w:i/>
        </w:rPr>
      </w:pPr>
      <w:r>
        <w:rPr>
          <w:i/>
        </w:rPr>
        <w:t>ICER = incremental cost-effectiveness ratio; QALY = quality-adjusted life years.</w:t>
      </w:r>
    </w:p>
    <w:p w:rsidR="00F15CFD" w:rsidRPr="00B1011F" w:rsidRDefault="00F15CFD" w:rsidP="00F15CFD">
      <w:pPr>
        <w:pStyle w:val="TableFooter"/>
        <w:rPr>
          <w:sz w:val="20"/>
        </w:rPr>
      </w:pPr>
      <w:r w:rsidRPr="001056BF">
        <w:rPr>
          <w:i/>
        </w:rPr>
        <w:t xml:space="preserve">Source: </w:t>
      </w:r>
      <w:r>
        <w:rPr>
          <w:i/>
        </w:rPr>
        <w:t>Figure constructed</w:t>
      </w:r>
      <w:r w:rsidRPr="001056BF">
        <w:rPr>
          <w:i/>
        </w:rPr>
        <w:t xml:space="preserve"> during the evaluation based on ‘Results Table’ worksheet in the ‘Economic Evaluation.xlsx’ workbook included in the</w:t>
      </w:r>
      <w:r w:rsidRPr="00214D73">
        <w:rPr>
          <w:i/>
        </w:rPr>
        <w:t xml:space="preserve"> submission</w:t>
      </w:r>
      <w:r>
        <w:t>.</w:t>
      </w:r>
    </w:p>
    <w:p w:rsidR="00F15CFD" w:rsidRDefault="00F15CFD" w:rsidP="00F15CFD">
      <w:pPr>
        <w:widowControl/>
        <w:rPr>
          <w:i/>
        </w:rPr>
      </w:pPr>
    </w:p>
    <w:p w:rsidR="00F15CFD" w:rsidRPr="00502F52" w:rsidRDefault="00F15CFD" w:rsidP="00095881">
      <w:pPr>
        <w:pStyle w:val="ListParagraph"/>
        <w:keepNext/>
        <w:widowControl/>
        <w:numPr>
          <w:ilvl w:val="1"/>
          <w:numId w:val="2"/>
        </w:numPr>
      </w:pPr>
      <w:r w:rsidRPr="00502F52">
        <w:lastRenderedPageBreak/>
        <w:t>The ESC considered that 15 years may not be an appropriate time horizon in this clinical setting as studies have shown that the proportion of patients alive at 5 years post second line treatment initiation was on average 30%</w:t>
      </w:r>
      <w:proofErr w:type="gramStart"/>
      <w:r w:rsidRPr="00502F52">
        <w:t>,</w:t>
      </w:r>
      <w:r w:rsidRPr="00502F52">
        <w:rPr>
          <w:vertAlign w:val="superscript"/>
        </w:rPr>
        <w:t>xv</w:t>
      </w:r>
      <w:proofErr w:type="gramEnd"/>
      <w:r w:rsidRPr="00502F52">
        <w:t xml:space="preserve"> or 22% in patients aged ≥65 years, who may represent a large proportion of the PBS population. The ESC considered that the extrapolation of unreliable trial data from G029365 (with a mean duration of follow-up of 10.3 month) to 15 years further increased the uncertainty in the cost-effectiveness estimates. </w:t>
      </w:r>
    </w:p>
    <w:p w:rsidR="00B90844" w:rsidRPr="00502F52" w:rsidRDefault="00ED1A4E" w:rsidP="00095881">
      <w:pPr>
        <w:pStyle w:val="ListParagraph"/>
        <w:widowControl/>
        <w:numPr>
          <w:ilvl w:val="1"/>
          <w:numId w:val="2"/>
        </w:numPr>
      </w:pPr>
      <w:r>
        <w:t xml:space="preserve">Trial </w:t>
      </w:r>
      <w:r w:rsidR="00AA06CC">
        <w:t xml:space="preserve">GO29365 did not measure </w:t>
      </w:r>
      <w:r w:rsidR="00AA06CC" w:rsidRPr="00355BBD">
        <w:t>patient-reported outcomes that could be used to derive utility weights</w:t>
      </w:r>
      <w:r w:rsidR="00AA06CC">
        <w:t xml:space="preserve">, so estimates of utility values for each health state were derived from the published literature. The utility weight for progression-free off treatment (0.83) and progressive disease (0.71) for both treatment arms were as modelled in the NICE Technology Appraisal of </w:t>
      </w:r>
      <w:proofErr w:type="spellStart"/>
      <w:r w:rsidR="00AA06CC">
        <w:t>tisagenlecleucel</w:t>
      </w:r>
      <w:proofErr w:type="spellEnd"/>
      <w:r w:rsidR="00AA06CC">
        <w:t xml:space="preserve"> in patients with R/R DLBCL who had received </w:t>
      </w:r>
      <w:r w:rsidR="00AA06CC" w:rsidRPr="00F240D8">
        <w:t>≥2 systemic therapies and were ineligible or failed autologous SCT</w:t>
      </w:r>
      <w:r w:rsidR="00AA06CC" w:rsidRPr="00A0799B">
        <w:t>.</w:t>
      </w:r>
      <w:r w:rsidR="0095405F" w:rsidRPr="00A0799B">
        <w:rPr>
          <w:rStyle w:val="FootnoteReference"/>
        </w:rPr>
        <w:footnoteReference w:id="16"/>
      </w:r>
      <w:r w:rsidR="00AA06CC" w:rsidRPr="00A0799B">
        <w:t xml:space="preserve"> </w:t>
      </w:r>
      <w:r w:rsidR="008636B3" w:rsidRPr="00502F52">
        <w:t>The ESC noted that t</w:t>
      </w:r>
      <w:r w:rsidR="00AA06CC" w:rsidRPr="00502F52">
        <w:t xml:space="preserve">hese utilities were the highest of those identified. Since </w:t>
      </w:r>
      <w:r w:rsidR="003160C0" w:rsidRPr="00502F52">
        <w:t xml:space="preserve">the incremental life-years and </w:t>
      </w:r>
      <w:r w:rsidR="00544A14" w:rsidRPr="00502F52">
        <w:t>quality-adjusted life-years (</w:t>
      </w:r>
      <w:r w:rsidR="003160C0" w:rsidRPr="00502F52">
        <w:t>QALYs</w:t>
      </w:r>
      <w:r w:rsidR="00544A14" w:rsidRPr="00502F52">
        <w:t>)</w:t>
      </w:r>
      <w:r w:rsidR="003160C0" w:rsidRPr="00502F52">
        <w:t xml:space="preserve"> were gained in every health state and the vast majority were accumulated in the progression-free off treatment health state, </w:t>
      </w:r>
      <w:r w:rsidR="008636B3" w:rsidRPr="00502F52">
        <w:t xml:space="preserve">the ESC noted that </w:t>
      </w:r>
      <w:r w:rsidR="003160C0" w:rsidRPr="00502F52">
        <w:t>a</w:t>
      </w:r>
      <w:r w:rsidR="00AA06CC" w:rsidRPr="00502F52">
        <w:t xml:space="preserve">ny </w:t>
      </w:r>
      <w:r w:rsidR="00F31376" w:rsidRPr="00502F52">
        <w:t xml:space="preserve">application of alternative lower </w:t>
      </w:r>
      <w:r w:rsidR="00AA06CC" w:rsidRPr="00502F52">
        <w:t>utility</w:t>
      </w:r>
      <w:r w:rsidR="00F31376" w:rsidRPr="00502F52">
        <w:t xml:space="preserve"> values</w:t>
      </w:r>
      <w:r w:rsidR="00AA06CC" w:rsidRPr="00502F52">
        <w:t xml:space="preserve">, particularly in the progression-free off treatment health state, leads to increases in the </w:t>
      </w:r>
      <w:r w:rsidR="00544A14" w:rsidRPr="00502F52">
        <w:t>incremental cost-effectiveness ratio (</w:t>
      </w:r>
      <w:r w:rsidR="00AA06CC" w:rsidRPr="00502F52">
        <w:t>ICER</w:t>
      </w:r>
      <w:r w:rsidR="00544A14" w:rsidRPr="00502F52">
        <w:t>)</w:t>
      </w:r>
      <w:r w:rsidR="00AA06CC" w:rsidRPr="00502F52">
        <w:t>.</w:t>
      </w:r>
      <w:r w:rsidR="008636B3" w:rsidRPr="00502F52">
        <w:t xml:space="preserve"> </w:t>
      </w:r>
      <w:r w:rsidR="00B90844" w:rsidRPr="00502F52">
        <w:t>The ESC considered that due to the limitations in the clinical data presented, the use of more conservative utility values from the NICE TA559 study</w:t>
      </w:r>
      <w:r w:rsidR="00B90844" w:rsidRPr="00502F52">
        <w:rPr>
          <w:rStyle w:val="FootnoteReference"/>
        </w:rPr>
        <w:footnoteReference w:id="17"/>
      </w:r>
      <w:r w:rsidR="00B90844" w:rsidRPr="00502F52">
        <w:t xml:space="preserve"> would be more appropriate</w:t>
      </w:r>
      <w:r w:rsidR="00626F88" w:rsidRPr="00502F52">
        <w:t>.</w:t>
      </w:r>
    </w:p>
    <w:p w:rsidR="000B15DF" w:rsidRPr="00A0799B" w:rsidRDefault="00F27DD7" w:rsidP="00095881">
      <w:pPr>
        <w:pStyle w:val="ListParagraph"/>
        <w:widowControl/>
        <w:numPr>
          <w:ilvl w:val="1"/>
          <w:numId w:val="2"/>
        </w:numPr>
      </w:pPr>
      <w:r w:rsidRPr="00A0799B">
        <w:t xml:space="preserve">The submission applied </w:t>
      </w:r>
      <w:r w:rsidR="00544A14" w:rsidRPr="00A0799B">
        <w:t xml:space="preserve">the </w:t>
      </w:r>
      <w:r w:rsidRPr="00A0799B">
        <w:t xml:space="preserve">same disutility associated with both </w:t>
      </w:r>
      <w:proofErr w:type="spellStart"/>
      <w:r w:rsidRPr="00A0799B">
        <w:t>Pola+BR</w:t>
      </w:r>
      <w:proofErr w:type="spellEnd"/>
      <w:r w:rsidRPr="00A0799B">
        <w:t xml:space="preserve"> and BR treatments</w:t>
      </w:r>
      <w:r w:rsidR="003160C0" w:rsidRPr="00A0799B">
        <w:t xml:space="preserve"> in the progression free on treatment health state</w:t>
      </w:r>
      <w:r w:rsidRPr="00A0799B">
        <w:t xml:space="preserve">, which was inappropriate and biased the results in favour of </w:t>
      </w:r>
      <w:proofErr w:type="spellStart"/>
      <w:r w:rsidRPr="00A0799B">
        <w:t>Pola+BR</w:t>
      </w:r>
      <w:proofErr w:type="spellEnd"/>
      <w:r w:rsidRPr="00A0799B">
        <w:t>, given that a high</w:t>
      </w:r>
      <w:r w:rsidR="00544A14" w:rsidRPr="00A0799B">
        <w:t>er</w:t>
      </w:r>
      <w:r w:rsidRPr="00A0799B">
        <w:t xml:space="preserve"> rate of AEs was observed in the </w:t>
      </w:r>
      <w:proofErr w:type="spellStart"/>
      <w:r w:rsidRPr="00A0799B">
        <w:t>Pola+BR</w:t>
      </w:r>
      <w:proofErr w:type="spellEnd"/>
      <w:r w:rsidRPr="00A0799B">
        <w:t xml:space="preserve"> arm </w:t>
      </w:r>
      <w:r w:rsidR="00544A14" w:rsidRPr="00A0799B">
        <w:t>relative to</w:t>
      </w:r>
      <w:r w:rsidRPr="00A0799B">
        <w:t xml:space="preserve"> the BR arm in GO29365. The submissio</w:t>
      </w:r>
      <w:r>
        <w:t xml:space="preserve">n included the cost of managing the additional AEs in the </w:t>
      </w:r>
      <w:proofErr w:type="spellStart"/>
      <w:r>
        <w:t>Pola+BR</w:t>
      </w:r>
      <w:proofErr w:type="spellEnd"/>
      <w:r>
        <w:t xml:space="preserve"> arm</w:t>
      </w:r>
      <w:r w:rsidR="00ED1A4E">
        <w:t xml:space="preserve"> but </w:t>
      </w:r>
      <w:r w:rsidR="00523E29">
        <w:t xml:space="preserve">did </w:t>
      </w:r>
      <w:r w:rsidR="00ED1A4E">
        <w:t>not appl</w:t>
      </w:r>
      <w:r w:rsidR="00523E29">
        <w:t>y</w:t>
      </w:r>
      <w:r w:rsidR="00ED1A4E">
        <w:t xml:space="preserve"> a utility </w:t>
      </w:r>
      <w:r w:rsidR="00ED1A4E" w:rsidRPr="00A0799B">
        <w:t>decrement</w:t>
      </w:r>
      <w:r w:rsidRPr="00A0799B">
        <w:t>.</w:t>
      </w:r>
    </w:p>
    <w:p w:rsidR="000B15DF" w:rsidRPr="00502F52" w:rsidRDefault="003160C0" w:rsidP="00095881">
      <w:pPr>
        <w:pStyle w:val="ListParagraph"/>
        <w:widowControl/>
        <w:numPr>
          <w:ilvl w:val="1"/>
          <w:numId w:val="2"/>
        </w:numPr>
      </w:pPr>
      <w:r w:rsidRPr="00A0799B">
        <w:t xml:space="preserve">As noted above, </w:t>
      </w:r>
      <w:proofErr w:type="spellStart"/>
      <w:r w:rsidRPr="00A0799B">
        <w:t>bendamustine</w:t>
      </w:r>
      <w:proofErr w:type="spellEnd"/>
      <w:r w:rsidRPr="00A0799B">
        <w:t xml:space="preserve"> is not PBS listed for the proposed indication and </w:t>
      </w:r>
      <w:r w:rsidR="008E7714" w:rsidRPr="00A0799B">
        <w:t xml:space="preserve">the cost-effectiveness of </w:t>
      </w:r>
      <w:proofErr w:type="spellStart"/>
      <w:r w:rsidR="008E7714" w:rsidRPr="00A0799B">
        <w:t>bendamustine</w:t>
      </w:r>
      <w:proofErr w:type="spellEnd"/>
      <w:r w:rsidR="008E7714" w:rsidRPr="00A0799B">
        <w:t xml:space="preserve"> at th</w:t>
      </w:r>
      <w:r w:rsidRPr="00A0799B">
        <w:t>e</w:t>
      </w:r>
      <w:r w:rsidR="008E7714" w:rsidRPr="00A0799B">
        <w:t xml:space="preserve"> price </w:t>
      </w:r>
      <w:r w:rsidRPr="00A0799B">
        <w:t xml:space="preserve">used in the model </w:t>
      </w:r>
      <w:r w:rsidR="008E7714" w:rsidRPr="00A0799B">
        <w:t xml:space="preserve">for R/R DLBCL has not been established. Given that </w:t>
      </w:r>
      <w:proofErr w:type="spellStart"/>
      <w:r w:rsidR="008E7714" w:rsidRPr="00A0799B">
        <w:t>RGemOx</w:t>
      </w:r>
      <w:proofErr w:type="spellEnd"/>
      <w:r w:rsidR="008E7714" w:rsidRPr="00A0799B">
        <w:t xml:space="preserve"> is mo</w:t>
      </w:r>
      <w:r w:rsidR="00EA3B80">
        <w:t>re</w:t>
      </w:r>
      <w:r w:rsidR="008E7714" w:rsidRPr="00A0799B">
        <w:t xml:space="preserve"> commonly used in Australian clinical practice, </w:t>
      </w:r>
      <w:r w:rsidRPr="00A0799B">
        <w:t xml:space="preserve">and </w:t>
      </w:r>
      <w:r w:rsidR="00ED1A4E" w:rsidRPr="00A0799B">
        <w:t xml:space="preserve">is </w:t>
      </w:r>
      <w:r w:rsidR="008E7714" w:rsidRPr="00A0799B">
        <w:t xml:space="preserve">cheaper than BR, </w:t>
      </w:r>
      <w:r w:rsidR="00EA3B80">
        <w:t xml:space="preserve">the evaluation considered that </w:t>
      </w:r>
      <w:r w:rsidR="008E7714" w:rsidRPr="00A0799B">
        <w:t xml:space="preserve">it </w:t>
      </w:r>
      <w:r w:rsidR="00B933CD" w:rsidRPr="00A0799B">
        <w:t>may be</w:t>
      </w:r>
      <w:r w:rsidR="008E7714" w:rsidRPr="00A0799B">
        <w:t xml:space="preserve"> more appropriate to apply the cost of </w:t>
      </w:r>
      <w:proofErr w:type="spellStart"/>
      <w:r w:rsidR="008E7714" w:rsidRPr="00A0799B">
        <w:t>RGemOx</w:t>
      </w:r>
      <w:proofErr w:type="spellEnd"/>
      <w:r w:rsidR="008E7714" w:rsidRPr="00A0799B">
        <w:t xml:space="preserve"> in the model</w:t>
      </w:r>
      <w:r w:rsidR="00B933CD" w:rsidRPr="00A0799B">
        <w:t xml:space="preserve">, </w:t>
      </w:r>
      <w:r w:rsidR="00ED1A4E" w:rsidRPr="00A0799B">
        <w:t xml:space="preserve">and assume that </w:t>
      </w:r>
      <w:r w:rsidR="00B933CD" w:rsidRPr="00A0799B">
        <w:t xml:space="preserve">there is no difference in treatment effect between BR and </w:t>
      </w:r>
      <w:proofErr w:type="spellStart"/>
      <w:r w:rsidR="00B933CD" w:rsidRPr="00A0799B">
        <w:t>RGemOx</w:t>
      </w:r>
      <w:proofErr w:type="spellEnd"/>
      <w:r w:rsidR="00B933CD" w:rsidRPr="00A0799B">
        <w:t>.</w:t>
      </w:r>
      <w:r w:rsidR="00EA3B80">
        <w:t xml:space="preserve"> </w:t>
      </w:r>
      <w:r w:rsidR="00EA3B80" w:rsidRPr="00502F52">
        <w:t xml:space="preserve">However, the ESC considered that the impact on the </w:t>
      </w:r>
      <w:r w:rsidR="00EC4177" w:rsidRPr="00502F52">
        <w:t xml:space="preserve">incremental </w:t>
      </w:r>
      <w:r w:rsidR="00EA3B80" w:rsidRPr="00502F52">
        <w:t xml:space="preserve">treatment effect </w:t>
      </w:r>
      <w:r w:rsidR="00EC4177" w:rsidRPr="00502F52">
        <w:t xml:space="preserve">of </w:t>
      </w:r>
      <w:proofErr w:type="spellStart"/>
      <w:r w:rsidR="00EC4177" w:rsidRPr="00502F52">
        <w:t>Pola+BR</w:t>
      </w:r>
      <w:proofErr w:type="spellEnd"/>
      <w:r w:rsidR="00EC4177" w:rsidRPr="00502F52">
        <w:t xml:space="preserve"> </w:t>
      </w:r>
      <w:r w:rsidR="00AC2CEA" w:rsidRPr="00502F52">
        <w:t>(</w:t>
      </w:r>
      <w:r w:rsidR="00EC4177" w:rsidRPr="00502F52">
        <w:t>versus</w:t>
      </w:r>
      <w:r w:rsidR="00AC2CEA" w:rsidRPr="00502F52">
        <w:t xml:space="preserve"> using </w:t>
      </w:r>
      <w:proofErr w:type="spellStart"/>
      <w:r w:rsidR="00EC4177" w:rsidRPr="00502F52">
        <w:t>RGemOx</w:t>
      </w:r>
      <w:proofErr w:type="spellEnd"/>
      <w:r w:rsidR="00EC4177" w:rsidRPr="00502F52">
        <w:t xml:space="preserve"> </w:t>
      </w:r>
      <w:r w:rsidR="00AC2CEA" w:rsidRPr="00502F52">
        <w:t>rather than</w:t>
      </w:r>
      <w:r w:rsidR="00EC4177" w:rsidRPr="00502F52">
        <w:t xml:space="preserve"> BR</w:t>
      </w:r>
      <w:r w:rsidR="00AC2CEA" w:rsidRPr="00502F52">
        <w:t xml:space="preserve">) </w:t>
      </w:r>
      <w:r w:rsidR="00EA3B80" w:rsidRPr="00502F52">
        <w:t>was not adequately addressed in the submission.</w:t>
      </w:r>
    </w:p>
    <w:p w:rsidR="000B15DF" w:rsidRPr="00A0799B" w:rsidRDefault="00B933CD" w:rsidP="00095881">
      <w:pPr>
        <w:pStyle w:val="ListParagraph"/>
        <w:widowControl/>
        <w:numPr>
          <w:ilvl w:val="1"/>
          <w:numId w:val="2"/>
        </w:numPr>
      </w:pPr>
      <w:r w:rsidRPr="00A0799B">
        <w:t>The results of the economic evaluation are presented below.</w:t>
      </w:r>
    </w:p>
    <w:p w:rsidR="00D110BD" w:rsidRPr="00AC1962" w:rsidRDefault="00AC1962" w:rsidP="00AA6D1E">
      <w:pPr>
        <w:pStyle w:val="Caption"/>
        <w:keepNext/>
        <w:keepLines/>
        <w:rPr>
          <w:rStyle w:val="CommentReference"/>
          <w:b/>
          <w:szCs w:val="18"/>
        </w:rPr>
      </w:pPr>
      <w:r w:rsidRPr="00AC1962">
        <w:lastRenderedPageBreak/>
        <w:t xml:space="preserve">Table </w:t>
      </w:r>
      <w:r w:rsidR="00273E9C">
        <w:rPr>
          <w:noProof/>
        </w:rPr>
        <w:t>12</w:t>
      </w:r>
      <w:r w:rsidRPr="00AC1962">
        <w:t xml:space="preserve">: </w:t>
      </w:r>
      <w:r w:rsidR="005A373D" w:rsidRPr="00AC1962">
        <w:rPr>
          <w:rStyle w:val="CommentReference"/>
          <w:b/>
          <w:szCs w:val="18"/>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24"/>
        <w:gridCol w:w="1731"/>
        <w:gridCol w:w="1731"/>
        <w:gridCol w:w="1731"/>
      </w:tblGrid>
      <w:tr w:rsidR="00AC1962" w:rsidRPr="005E6CBC" w:rsidTr="00C66FDD">
        <w:trPr>
          <w:tblHeader/>
        </w:trPr>
        <w:tc>
          <w:tcPr>
            <w:tcW w:w="2120" w:type="pct"/>
            <w:tcBorders>
              <w:bottom w:val="single" w:sz="4" w:space="0" w:color="auto"/>
            </w:tcBorders>
            <w:vAlign w:val="center"/>
          </w:tcPr>
          <w:p w:rsidR="00AC1962" w:rsidRPr="005E6CBC" w:rsidRDefault="00AC1962" w:rsidP="00AA6D1E">
            <w:pPr>
              <w:pStyle w:val="Tabletext"/>
              <w:keepNext/>
              <w:keepLines/>
              <w:rPr>
                <w:b/>
              </w:rPr>
            </w:pPr>
            <w:r w:rsidRPr="005E6CBC">
              <w:rPr>
                <w:b/>
              </w:rPr>
              <w:t>Step and component</w:t>
            </w:r>
          </w:p>
        </w:tc>
        <w:tc>
          <w:tcPr>
            <w:tcW w:w="960" w:type="pct"/>
            <w:tcBorders>
              <w:bottom w:val="single" w:sz="4" w:space="0" w:color="auto"/>
            </w:tcBorders>
            <w:vAlign w:val="center"/>
          </w:tcPr>
          <w:p w:rsidR="00AC1962" w:rsidRPr="005E6CBC" w:rsidRDefault="00AC1962" w:rsidP="00AA6D1E">
            <w:pPr>
              <w:pStyle w:val="Tabletext"/>
              <w:keepNext/>
              <w:keepLines/>
              <w:jc w:val="center"/>
              <w:rPr>
                <w:b/>
              </w:rPr>
            </w:pPr>
            <w:proofErr w:type="spellStart"/>
            <w:r>
              <w:rPr>
                <w:b/>
              </w:rPr>
              <w:t>Pola+BR</w:t>
            </w:r>
            <w:proofErr w:type="spellEnd"/>
          </w:p>
        </w:tc>
        <w:tc>
          <w:tcPr>
            <w:tcW w:w="960" w:type="pct"/>
            <w:tcBorders>
              <w:bottom w:val="single" w:sz="4" w:space="0" w:color="auto"/>
            </w:tcBorders>
            <w:vAlign w:val="center"/>
          </w:tcPr>
          <w:p w:rsidR="00AC1962" w:rsidRPr="005E6CBC" w:rsidRDefault="00AC1962" w:rsidP="00AA6D1E">
            <w:pPr>
              <w:pStyle w:val="Tabletext"/>
              <w:keepNext/>
              <w:keepLines/>
              <w:jc w:val="center"/>
              <w:rPr>
                <w:b/>
              </w:rPr>
            </w:pPr>
            <w:r>
              <w:rPr>
                <w:b/>
              </w:rPr>
              <w:t>BR</w:t>
            </w:r>
          </w:p>
        </w:tc>
        <w:tc>
          <w:tcPr>
            <w:tcW w:w="960" w:type="pct"/>
            <w:tcBorders>
              <w:bottom w:val="single" w:sz="4" w:space="0" w:color="auto"/>
            </w:tcBorders>
            <w:vAlign w:val="center"/>
          </w:tcPr>
          <w:p w:rsidR="00AC1962" w:rsidRPr="005E6CBC" w:rsidRDefault="00AC1962" w:rsidP="00AA6D1E">
            <w:pPr>
              <w:pStyle w:val="Tabletext"/>
              <w:keepNext/>
              <w:keepLines/>
              <w:jc w:val="center"/>
              <w:rPr>
                <w:b/>
              </w:rPr>
            </w:pPr>
            <w:r w:rsidRPr="005E6CBC">
              <w:rPr>
                <w:b/>
              </w:rPr>
              <w:t>Increment</w:t>
            </w:r>
          </w:p>
        </w:tc>
      </w:tr>
      <w:tr w:rsidR="00AC1962" w:rsidRPr="003D5C02" w:rsidTr="00C66FDD">
        <w:tc>
          <w:tcPr>
            <w:tcW w:w="5000" w:type="pct"/>
            <w:gridSpan w:val="4"/>
            <w:vAlign w:val="center"/>
          </w:tcPr>
          <w:p w:rsidR="00AC1962" w:rsidRPr="005E6CBC" w:rsidRDefault="00AC1962" w:rsidP="00AA6D1E">
            <w:pPr>
              <w:pStyle w:val="Tabletext"/>
              <w:keepNext/>
              <w:keepLines/>
              <w:rPr>
                <w:b/>
                <w:snapToGrid w:val="0"/>
              </w:rPr>
            </w:pPr>
            <w:r w:rsidRPr="005E6CBC">
              <w:rPr>
                <w:b/>
                <w:snapToGrid w:val="0"/>
              </w:rPr>
              <w:t xml:space="preserve">Step 1: </w:t>
            </w:r>
            <w:r>
              <w:rPr>
                <w:b/>
                <w:snapToGrid w:val="0"/>
              </w:rPr>
              <w:t>T</w:t>
            </w:r>
            <w:r w:rsidRPr="00276149">
              <w:rPr>
                <w:b/>
                <w:snapToGrid w:val="0"/>
              </w:rPr>
              <w:t>rial-based</w:t>
            </w:r>
            <w:r>
              <w:rPr>
                <w:b/>
                <w:snapToGrid w:val="0"/>
              </w:rPr>
              <w:t xml:space="preserve"> costs and outcomes (based on </w:t>
            </w:r>
            <w:r w:rsidRPr="00276149">
              <w:rPr>
                <w:b/>
                <w:snapToGrid w:val="0"/>
              </w:rPr>
              <w:t>approximately 26 months of data</w:t>
            </w:r>
            <w:r>
              <w:rPr>
                <w:b/>
                <w:snapToGrid w:val="0"/>
              </w:rPr>
              <w:t>)</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rsidRPr="00E2771E">
              <w:t>Costs</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t>LY gained</w:t>
            </w:r>
          </w:p>
        </w:tc>
        <w:tc>
          <w:tcPr>
            <w:tcW w:w="960" w:type="pct"/>
          </w:tcPr>
          <w:p w:rsidR="00AC1962" w:rsidRPr="00A0799B" w:rsidRDefault="00AC1962" w:rsidP="00AA6D1E">
            <w:pPr>
              <w:pStyle w:val="Tabletext"/>
              <w:keepNext/>
              <w:keepLines/>
              <w:jc w:val="right"/>
              <w:rPr>
                <w:rFonts w:ascii="Times" w:hAnsi="Times"/>
              </w:rPr>
            </w:pPr>
            <w:r w:rsidRPr="00A0799B">
              <w:t>1.2239</w:t>
            </w:r>
          </w:p>
        </w:tc>
        <w:tc>
          <w:tcPr>
            <w:tcW w:w="960" w:type="pct"/>
          </w:tcPr>
          <w:p w:rsidR="00AC1962" w:rsidRPr="00A0799B" w:rsidRDefault="00AC1962" w:rsidP="00AA6D1E">
            <w:pPr>
              <w:pStyle w:val="Tabletext"/>
              <w:keepNext/>
              <w:keepLines/>
              <w:jc w:val="right"/>
              <w:rPr>
                <w:rFonts w:ascii="Times" w:hAnsi="Times"/>
              </w:rPr>
            </w:pPr>
            <w:r w:rsidRPr="00A0799B">
              <w:t>0.6944</w:t>
            </w:r>
          </w:p>
        </w:tc>
        <w:tc>
          <w:tcPr>
            <w:tcW w:w="960" w:type="pct"/>
          </w:tcPr>
          <w:p w:rsidR="00AC1962" w:rsidRPr="00A0799B" w:rsidRDefault="00AC1962" w:rsidP="00AA6D1E">
            <w:pPr>
              <w:pStyle w:val="Tabletext"/>
              <w:keepNext/>
              <w:keepLines/>
              <w:jc w:val="right"/>
            </w:pPr>
            <w:r w:rsidRPr="00A0799B">
              <w:t>0.5295</w:t>
            </w:r>
          </w:p>
        </w:tc>
      </w:tr>
      <w:tr w:rsidR="00AC1962" w:rsidRPr="00E2771E" w:rsidTr="00C66FDD">
        <w:tc>
          <w:tcPr>
            <w:tcW w:w="2120" w:type="pct"/>
            <w:tcBorders>
              <w:bottom w:val="single" w:sz="4" w:space="0" w:color="auto"/>
            </w:tcBorders>
            <w:vAlign w:val="center"/>
          </w:tcPr>
          <w:p w:rsidR="00AC1962" w:rsidRPr="00E2771E" w:rsidRDefault="00AC1962" w:rsidP="00AA6D1E">
            <w:pPr>
              <w:pStyle w:val="Tabletext"/>
              <w:keepNext/>
              <w:keepLines/>
            </w:pPr>
            <w:r>
              <w:t>QALY gained</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Pr>
          <w:p w:rsidR="00AC1962" w:rsidRPr="00E77FA0" w:rsidRDefault="00E77FA0" w:rsidP="00AA6D1E">
            <w:pPr>
              <w:pStyle w:val="Tabletext"/>
              <w:keepNext/>
              <w:keepLines/>
              <w:jc w:val="right"/>
              <w:rPr>
                <w:highlight w:val="black"/>
              </w:rPr>
            </w:pPr>
            <w:r>
              <w:rPr>
                <w:noProof/>
                <w:color w:val="000000"/>
                <w:highlight w:val="black"/>
              </w:rPr>
              <w:t>'''''''''''''''</w:t>
            </w:r>
          </w:p>
        </w:tc>
      </w:tr>
      <w:tr w:rsidR="00AC1962" w:rsidRPr="00E2771E" w:rsidTr="00C66FDD">
        <w:tc>
          <w:tcPr>
            <w:tcW w:w="2120" w:type="pct"/>
            <w:tcBorders>
              <w:right w:val="nil"/>
            </w:tcBorders>
            <w:vAlign w:val="center"/>
          </w:tcPr>
          <w:p w:rsidR="00AC1962" w:rsidRPr="005E6CBC" w:rsidRDefault="00AC1962" w:rsidP="00AA6D1E">
            <w:pPr>
              <w:pStyle w:val="Tabletext"/>
              <w:keepNext/>
              <w:keepLines/>
              <w:rPr>
                <w:rFonts w:ascii="Times" w:hAnsi="Times"/>
                <w:snapToGrid w:val="0"/>
              </w:rPr>
            </w:pPr>
            <w:r>
              <w:t>Incremental cost/extra LY g</w:t>
            </w:r>
            <w:r w:rsidRPr="005E6CBC">
              <w:t>ained</w:t>
            </w:r>
          </w:p>
        </w:tc>
        <w:tc>
          <w:tcPr>
            <w:tcW w:w="960" w:type="pct"/>
            <w:tcBorders>
              <w:left w:val="nil"/>
              <w:right w:val="nil"/>
            </w:tcBorders>
          </w:tcPr>
          <w:p w:rsidR="00AC1962" w:rsidRPr="00A0799B" w:rsidRDefault="00AC1962" w:rsidP="00AA6D1E">
            <w:pPr>
              <w:pStyle w:val="Tabletext"/>
              <w:keepNext/>
              <w:keepLines/>
              <w:jc w:val="right"/>
              <w:rPr>
                <w:rFonts w:ascii="Times" w:hAnsi="Times"/>
                <w:snapToGrid w:val="0"/>
              </w:rPr>
            </w:pPr>
          </w:p>
        </w:tc>
        <w:tc>
          <w:tcPr>
            <w:tcW w:w="960" w:type="pct"/>
            <w:tcBorders>
              <w:left w:val="nil"/>
            </w:tcBorders>
          </w:tcPr>
          <w:p w:rsidR="00AC1962" w:rsidRPr="00A0799B" w:rsidRDefault="00AC1962" w:rsidP="00AA6D1E">
            <w:pPr>
              <w:pStyle w:val="Tabletext"/>
              <w:keepNext/>
              <w:keepLines/>
              <w:jc w:val="right"/>
              <w:rPr>
                <w:rFonts w:ascii="Times" w:hAnsi="Times"/>
                <w:snapToGrid w:val="0"/>
              </w:rPr>
            </w:pP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tcBorders>
              <w:bottom w:val="single" w:sz="4" w:space="0" w:color="auto"/>
              <w:right w:val="nil"/>
            </w:tcBorders>
            <w:vAlign w:val="center"/>
          </w:tcPr>
          <w:p w:rsidR="00AC1962" w:rsidRPr="005E6CBC" w:rsidRDefault="00AC1962" w:rsidP="00AA6D1E">
            <w:pPr>
              <w:pStyle w:val="Tabletext"/>
              <w:keepNext/>
              <w:keepLines/>
            </w:pPr>
            <w:r w:rsidRPr="005E6CBC">
              <w:t xml:space="preserve">Incremental cost/extra </w:t>
            </w:r>
            <w:r>
              <w:t>QA</w:t>
            </w:r>
            <w:r w:rsidRPr="005E6CBC">
              <w:t>LY gained</w:t>
            </w:r>
          </w:p>
        </w:tc>
        <w:tc>
          <w:tcPr>
            <w:tcW w:w="960" w:type="pct"/>
            <w:tcBorders>
              <w:left w:val="nil"/>
              <w:bottom w:val="single" w:sz="4" w:space="0" w:color="auto"/>
              <w:right w:val="nil"/>
            </w:tcBorders>
          </w:tcPr>
          <w:p w:rsidR="00AC1962" w:rsidRPr="00A0799B" w:rsidRDefault="00AC1962" w:rsidP="00AA6D1E">
            <w:pPr>
              <w:pStyle w:val="Tabletext"/>
              <w:keepNext/>
              <w:keepLines/>
              <w:jc w:val="right"/>
            </w:pPr>
          </w:p>
        </w:tc>
        <w:tc>
          <w:tcPr>
            <w:tcW w:w="960" w:type="pct"/>
            <w:tcBorders>
              <w:left w:val="nil"/>
              <w:bottom w:val="single" w:sz="4" w:space="0" w:color="auto"/>
            </w:tcBorders>
          </w:tcPr>
          <w:p w:rsidR="00AC1962" w:rsidRPr="00A0799B" w:rsidRDefault="00AC1962" w:rsidP="00AA6D1E">
            <w:pPr>
              <w:pStyle w:val="Tabletext"/>
              <w:keepNext/>
              <w:keepLines/>
              <w:jc w:val="right"/>
            </w:pPr>
          </w:p>
        </w:tc>
        <w:tc>
          <w:tcPr>
            <w:tcW w:w="960" w:type="pct"/>
            <w:tcBorders>
              <w:bottom w:val="single" w:sz="4" w:space="0" w:color="auto"/>
            </w:tcBorders>
          </w:tcPr>
          <w:p w:rsidR="00AC1962" w:rsidRPr="00A0799B" w:rsidRDefault="00AC1962" w:rsidP="00AA6D1E">
            <w:pPr>
              <w:pStyle w:val="Tabletext"/>
              <w:keepNext/>
              <w:keepLines/>
              <w:jc w:val="right"/>
            </w:pPr>
            <w:r w:rsidRPr="00A0799B">
              <w:t>$</w:t>
            </w:r>
            <w:r w:rsidR="00E77FA0">
              <w:rPr>
                <w:noProof/>
                <w:color w:val="000000"/>
                <w:highlight w:val="black"/>
              </w:rPr>
              <w:t>'''''''''''''''''''''</w:t>
            </w:r>
          </w:p>
        </w:tc>
      </w:tr>
      <w:tr w:rsidR="00AC1962" w:rsidRPr="003D5C02" w:rsidTr="00C66FDD">
        <w:tc>
          <w:tcPr>
            <w:tcW w:w="5000" w:type="pct"/>
            <w:gridSpan w:val="4"/>
            <w:vAlign w:val="center"/>
          </w:tcPr>
          <w:p w:rsidR="00AC1962" w:rsidRPr="00A0799B" w:rsidRDefault="00AC1962" w:rsidP="00AA6D1E">
            <w:pPr>
              <w:pStyle w:val="Tabletext"/>
              <w:keepNext/>
              <w:keepLines/>
              <w:rPr>
                <w:b/>
                <w:snapToGrid w:val="0"/>
              </w:rPr>
            </w:pPr>
            <w:r w:rsidRPr="00A0799B">
              <w:rPr>
                <w:b/>
                <w:snapToGrid w:val="0"/>
              </w:rPr>
              <w:t>Step 2: Extension of time horizon to</w:t>
            </w:r>
            <w:r w:rsidRPr="00A0799B">
              <w:rPr>
                <w:b/>
              </w:rPr>
              <w:t xml:space="preserve"> 15 years by extrapolation of PFS and OS from the mean trial follow-up of 10.31 months</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rsidRPr="00E2771E">
              <w:t>Costs</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t>LY gained</w:t>
            </w:r>
          </w:p>
        </w:tc>
        <w:tc>
          <w:tcPr>
            <w:tcW w:w="960" w:type="pct"/>
          </w:tcPr>
          <w:p w:rsidR="00AC1962" w:rsidRPr="00A0799B" w:rsidRDefault="00AC1962" w:rsidP="00AA6D1E">
            <w:pPr>
              <w:pStyle w:val="Tabletext"/>
              <w:keepNext/>
              <w:keepLines/>
              <w:jc w:val="right"/>
              <w:rPr>
                <w:rFonts w:ascii="Times" w:hAnsi="Times"/>
              </w:rPr>
            </w:pPr>
            <w:r w:rsidRPr="00A0799B">
              <w:t>2.1833</w:t>
            </w:r>
          </w:p>
        </w:tc>
        <w:tc>
          <w:tcPr>
            <w:tcW w:w="960" w:type="pct"/>
          </w:tcPr>
          <w:p w:rsidR="00AC1962" w:rsidRPr="00A0799B" w:rsidRDefault="00AC1962" w:rsidP="00AA6D1E">
            <w:pPr>
              <w:pStyle w:val="Tabletext"/>
              <w:keepNext/>
              <w:keepLines/>
              <w:jc w:val="right"/>
              <w:rPr>
                <w:rFonts w:ascii="Times" w:hAnsi="Times"/>
              </w:rPr>
            </w:pPr>
            <w:r w:rsidRPr="00A0799B">
              <w:t>0.7973</w:t>
            </w:r>
          </w:p>
        </w:tc>
        <w:tc>
          <w:tcPr>
            <w:tcW w:w="960" w:type="pct"/>
          </w:tcPr>
          <w:p w:rsidR="00AC1962" w:rsidRPr="00A0799B" w:rsidRDefault="00AC1962" w:rsidP="00AA6D1E">
            <w:pPr>
              <w:pStyle w:val="Tabletext"/>
              <w:keepNext/>
              <w:keepLines/>
              <w:jc w:val="right"/>
            </w:pPr>
            <w:r w:rsidRPr="00A0799B">
              <w:t>1.3860</w:t>
            </w:r>
          </w:p>
        </w:tc>
      </w:tr>
      <w:tr w:rsidR="00AC1962" w:rsidRPr="00E2771E" w:rsidTr="00C66FDD">
        <w:tc>
          <w:tcPr>
            <w:tcW w:w="2120" w:type="pct"/>
            <w:tcBorders>
              <w:bottom w:val="single" w:sz="4" w:space="0" w:color="auto"/>
            </w:tcBorders>
            <w:vAlign w:val="center"/>
          </w:tcPr>
          <w:p w:rsidR="00AC1962" w:rsidRPr="00E2771E" w:rsidRDefault="00AC1962" w:rsidP="00AA6D1E">
            <w:pPr>
              <w:pStyle w:val="Tabletext"/>
              <w:keepNext/>
              <w:keepLines/>
            </w:pPr>
            <w:r>
              <w:t>QALY gained</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Pr>
          <w:p w:rsidR="00AC1962" w:rsidRPr="00E77FA0" w:rsidRDefault="00E77FA0" w:rsidP="00AA6D1E">
            <w:pPr>
              <w:pStyle w:val="Tabletext"/>
              <w:keepNext/>
              <w:keepLines/>
              <w:jc w:val="right"/>
              <w:rPr>
                <w:highlight w:val="black"/>
              </w:rPr>
            </w:pPr>
            <w:r>
              <w:rPr>
                <w:noProof/>
                <w:color w:val="000000"/>
                <w:highlight w:val="black"/>
              </w:rPr>
              <w:t>'''''''''''''''</w:t>
            </w:r>
          </w:p>
        </w:tc>
      </w:tr>
      <w:tr w:rsidR="00AC1962" w:rsidRPr="00E2771E" w:rsidTr="00C66FDD">
        <w:tc>
          <w:tcPr>
            <w:tcW w:w="2120" w:type="pct"/>
            <w:tcBorders>
              <w:right w:val="nil"/>
            </w:tcBorders>
            <w:vAlign w:val="center"/>
          </w:tcPr>
          <w:p w:rsidR="00AC1962" w:rsidRPr="005E6CBC" w:rsidRDefault="00AC1962" w:rsidP="00AA6D1E">
            <w:pPr>
              <w:pStyle w:val="Tabletext"/>
              <w:keepNext/>
              <w:keepLines/>
              <w:rPr>
                <w:rFonts w:ascii="Times" w:hAnsi="Times"/>
                <w:snapToGrid w:val="0"/>
              </w:rPr>
            </w:pPr>
            <w:r>
              <w:t>Incremental cost/extra LY g</w:t>
            </w:r>
            <w:r w:rsidRPr="005E6CBC">
              <w:t>ained</w:t>
            </w:r>
          </w:p>
        </w:tc>
        <w:tc>
          <w:tcPr>
            <w:tcW w:w="960" w:type="pct"/>
            <w:tcBorders>
              <w:left w:val="nil"/>
              <w:right w:val="nil"/>
            </w:tcBorders>
          </w:tcPr>
          <w:p w:rsidR="00AC1962" w:rsidRPr="00A0799B" w:rsidRDefault="00AC1962" w:rsidP="00AA6D1E">
            <w:pPr>
              <w:pStyle w:val="Tabletext"/>
              <w:keepNext/>
              <w:keepLines/>
              <w:jc w:val="right"/>
              <w:rPr>
                <w:rFonts w:ascii="Times" w:hAnsi="Times"/>
                <w:snapToGrid w:val="0"/>
              </w:rPr>
            </w:pPr>
          </w:p>
        </w:tc>
        <w:tc>
          <w:tcPr>
            <w:tcW w:w="960" w:type="pct"/>
            <w:tcBorders>
              <w:left w:val="nil"/>
            </w:tcBorders>
          </w:tcPr>
          <w:p w:rsidR="00AC1962" w:rsidRPr="00A0799B" w:rsidRDefault="00AC1962" w:rsidP="00AA6D1E">
            <w:pPr>
              <w:pStyle w:val="Tabletext"/>
              <w:keepNext/>
              <w:keepLines/>
              <w:jc w:val="right"/>
              <w:rPr>
                <w:rFonts w:ascii="Times" w:hAnsi="Times"/>
                <w:snapToGrid w:val="0"/>
              </w:rPr>
            </w:pP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tcBorders>
              <w:bottom w:val="single" w:sz="4" w:space="0" w:color="auto"/>
              <w:right w:val="nil"/>
            </w:tcBorders>
            <w:vAlign w:val="center"/>
          </w:tcPr>
          <w:p w:rsidR="00AC1962" w:rsidRPr="005E6CBC" w:rsidRDefault="00AC1962" w:rsidP="00AA6D1E">
            <w:pPr>
              <w:pStyle w:val="Tabletext"/>
              <w:keepNext/>
              <w:keepLines/>
            </w:pPr>
            <w:r w:rsidRPr="005E6CBC">
              <w:t xml:space="preserve">Incremental cost/extra </w:t>
            </w:r>
            <w:r>
              <w:t>QA</w:t>
            </w:r>
            <w:r w:rsidRPr="005E6CBC">
              <w:t>LY gained</w:t>
            </w:r>
          </w:p>
        </w:tc>
        <w:tc>
          <w:tcPr>
            <w:tcW w:w="960" w:type="pct"/>
            <w:tcBorders>
              <w:left w:val="nil"/>
              <w:bottom w:val="single" w:sz="4" w:space="0" w:color="auto"/>
              <w:right w:val="nil"/>
            </w:tcBorders>
          </w:tcPr>
          <w:p w:rsidR="00AC1962" w:rsidRPr="00A0799B" w:rsidRDefault="00AC1962" w:rsidP="00AA6D1E">
            <w:pPr>
              <w:pStyle w:val="Tabletext"/>
              <w:keepNext/>
              <w:keepLines/>
              <w:jc w:val="right"/>
            </w:pPr>
          </w:p>
        </w:tc>
        <w:tc>
          <w:tcPr>
            <w:tcW w:w="960" w:type="pct"/>
            <w:tcBorders>
              <w:left w:val="nil"/>
              <w:bottom w:val="single" w:sz="4" w:space="0" w:color="auto"/>
            </w:tcBorders>
          </w:tcPr>
          <w:p w:rsidR="00AC1962" w:rsidRPr="00A0799B" w:rsidRDefault="00AC1962" w:rsidP="00AA6D1E">
            <w:pPr>
              <w:pStyle w:val="Tabletext"/>
              <w:keepNext/>
              <w:keepLines/>
              <w:jc w:val="right"/>
            </w:pPr>
          </w:p>
        </w:tc>
        <w:tc>
          <w:tcPr>
            <w:tcW w:w="960" w:type="pct"/>
            <w:tcBorders>
              <w:bottom w:val="single" w:sz="4" w:space="0" w:color="auto"/>
            </w:tcBorders>
          </w:tcPr>
          <w:p w:rsidR="00AC1962" w:rsidRPr="00A0799B" w:rsidRDefault="00AC1962" w:rsidP="00AA6D1E">
            <w:pPr>
              <w:pStyle w:val="Tabletext"/>
              <w:keepNext/>
              <w:keepLines/>
              <w:jc w:val="right"/>
            </w:pPr>
            <w:r w:rsidRPr="00A0799B">
              <w:t>$</w:t>
            </w:r>
            <w:r w:rsidR="00E77FA0">
              <w:rPr>
                <w:noProof/>
                <w:color w:val="000000"/>
                <w:highlight w:val="black"/>
              </w:rPr>
              <w:t>'''''''''''''''''</w:t>
            </w:r>
          </w:p>
        </w:tc>
      </w:tr>
      <w:tr w:rsidR="00AC1962" w:rsidRPr="00EE64D8" w:rsidTr="00C66FDD">
        <w:tc>
          <w:tcPr>
            <w:tcW w:w="2120" w:type="pct"/>
            <w:tcBorders>
              <w:right w:val="nil"/>
            </w:tcBorders>
            <w:vAlign w:val="center"/>
          </w:tcPr>
          <w:p w:rsidR="00AC1962" w:rsidRPr="005E6CBC" w:rsidRDefault="00AC1962" w:rsidP="00AA6D1E">
            <w:pPr>
              <w:pStyle w:val="Tabletext"/>
              <w:keepNext/>
              <w:keepLines/>
              <w:rPr>
                <w:b/>
                <w:snapToGrid w:val="0"/>
              </w:rPr>
            </w:pPr>
            <w:r w:rsidRPr="005E6CBC">
              <w:rPr>
                <w:b/>
                <w:snapToGrid w:val="0"/>
              </w:rPr>
              <w:t xml:space="preserve">Step 3: </w:t>
            </w:r>
            <w:r>
              <w:rPr>
                <w:b/>
                <w:snapToGrid w:val="0"/>
              </w:rPr>
              <w:t>I</w:t>
            </w:r>
            <w:r w:rsidRPr="00276149">
              <w:rPr>
                <w:b/>
                <w:snapToGrid w:val="0"/>
              </w:rPr>
              <w:t>nclusion of medical resource use costs</w:t>
            </w:r>
          </w:p>
        </w:tc>
        <w:tc>
          <w:tcPr>
            <w:tcW w:w="960" w:type="pct"/>
            <w:tcBorders>
              <w:left w:val="nil"/>
              <w:right w:val="nil"/>
            </w:tcBorders>
          </w:tcPr>
          <w:p w:rsidR="00AC1962" w:rsidRPr="00A0799B" w:rsidRDefault="00AC1962" w:rsidP="00AA6D1E">
            <w:pPr>
              <w:pStyle w:val="Tabletext"/>
              <w:keepNext/>
              <w:keepLines/>
              <w:rPr>
                <w:b/>
                <w:snapToGrid w:val="0"/>
              </w:rPr>
            </w:pPr>
          </w:p>
        </w:tc>
        <w:tc>
          <w:tcPr>
            <w:tcW w:w="960" w:type="pct"/>
            <w:tcBorders>
              <w:left w:val="nil"/>
              <w:right w:val="nil"/>
            </w:tcBorders>
          </w:tcPr>
          <w:p w:rsidR="00AC1962" w:rsidRPr="00A0799B" w:rsidRDefault="00AC1962" w:rsidP="00AA6D1E">
            <w:pPr>
              <w:pStyle w:val="Tabletext"/>
              <w:keepNext/>
              <w:keepLines/>
              <w:rPr>
                <w:b/>
                <w:snapToGrid w:val="0"/>
              </w:rPr>
            </w:pPr>
          </w:p>
        </w:tc>
        <w:tc>
          <w:tcPr>
            <w:tcW w:w="960" w:type="pct"/>
            <w:tcBorders>
              <w:left w:val="nil"/>
            </w:tcBorders>
          </w:tcPr>
          <w:p w:rsidR="00AC1962" w:rsidRPr="00A0799B" w:rsidRDefault="00AC1962" w:rsidP="00AA6D1E">
            <w:pPr>
              <w:pStyle w:val="Tabletext"/>
              <w:keepNext/>
              <w:keepLines/>
              <w:rPr>
                <w:b/>
                <w:snapToGrid w:val="0"/>
              </w:rPr>
            </w:pP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rsidRPr="00E2771E">
              <w:t>Costs</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t>LY gained</w:t>
            </w:r>
          </w:p>
        </w:tc>
        <w:tc>
          <w:tcPr>
            <w:tcW w:w="960" w:type="pct"/>
          </w:tcPr>
          <w:p w:rsidR="00AC1962" w:rsidRPr="00A0799B" w:rsidRDefault="00AC1962" w:rsidP="00AA6D1E">
            <w:pPr>
              <w:pStyle w:val="Tabletext"/>
              <w:keepNext/>
              <w:keepLines/>
              <w:jc w:val="right"/>
              <w:rPr>
                <w:rFonts w:ascii="Times" w:hAnsi="Times"/>
              </w:rPr>
            </w:pPr>
            <w:r w:rsidRPr="00A0799B">
              <w:t>2.1833</w:t>
            </w:r>
          </w:p>
        </w:tc>
        <w:tc>
          <w:tcPr>
            <w:tcW w:w="960" w:type="pct"/>
          </w:tcPr>
          <w:p w:rsidR="00AC1962" w:rsidRPr="00A0799B" w:rsidRDefault="00AC1962" w:rsidP="00AA6D1E">
            <w:pPr>
              <w:pStyle w:val="Tabletext"/>
              <w:keepNext/>
              <w:keepLines/>
              <w:jc w:val="right"/>
              <w:rPr>
                <w:rFonts w:ascii="Times" w:hAnsi="Times"/>
              </w:rPr>
            </w:pPr>
            <w:r w:rsidRPr="00A0799B">
              <w:t>0.7973</w:t>
            </w:r>
          </w:p>
        </w:tc>
        <w:tc>
          <w:tcPr>
            <w:tcW w:w="960" w:type="pct"/>
          </w:tcPr>
          <w:p w:rsidR="00AC1962" w:rsidRPr="00A0799B" w:rsidRDefault="00AC1962" w:rsidP="00AA6D1E">
            <w:pPr>
              <w:pStyle w:val="Tabletext"/>
              <w:keepNext/>
              <w:keepLines/>
              <w:jc w:val="right"/>
            </w:pPr>
            <w:r w:rsidRPr="00A0799B">
              <w:t>1.3860</w:t>
            </w:r>
          </w:p>
        </w:tc>
      </w:tr>
      <w:tr w:rsidR="00AC1962" w:rsidRPr="00E2771E" w:rsidTr="00C66FDD">
        <w:tc>
          <w:tcPr>
            <w:tcW w:w="2120" w:type="pct"/>
            <w:tcBorders>
              <w:bottom w:val="single" w:sz="4" w:space="0" w:color="auto"/>
            </w:tcBorders>
            <w:vAlign w:val="center"/>
          </w:tcPr>
          <w:p w:rsidR="00AC1962" w:rsidRPr="00E2771E" w:rsidRDefault="00AC1962" w:rsidP="00AA6D1E">
            <w:pPr>
              <w:pStyle w:val="Tabletext"/>
              <w:keepNext/>
              <w:keepLines/>
            </w:pPr>
            <w:r>
              <w:t>QALY gained</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Pr>
          <w:p w:rsidR="00AC1962" w:rsidRPr="00E77FA0" w:rsidRDefault="00E77FA0" w:rsidP="00AA6D1E">
            <w:pPr>
              <w:pStyle w:val="Tabletext"/>
              <w:keepNext/>
              <w:keepLines/>
              <w:jc w:val="right"/>
              <w:rPr>
                <w:highlight w:val="black"/>
              </w:rPr>
            </w:pPr>
            <w:r>
              <w:rPr>
                <w:noProof/>
                <w:color w:val="000000"/>
                <w:highlight w:val="black"/>
              </w:rPr>
              <w:t>''''''''''''''''''</w:t>
            </w:r>
          </w:p>
        </w:tc>
      </w:tr>
      <w:tr w:rsidR="00AC1962" w:rsidRPr="00E2771E" w:rsidTr="00C66FDD">
        <w:tc>
          <w:tcPr>
            <w:tcW w:w="2120" w:type="pct"/>
            <w:tcBorders>
              <w:right w:val="nil"/>
            </w:tcBorders>
            <w:vAlign w:val="center"/>
          </w:tcPr>
          <w:p w:rsidR="00AC1962" w:rsidRPr="005E6CBC" w:rsidRDefault="00AC1962" w:rsidP="00AA6D1E">
            <w:pPr>
              <w:pStyle w:val="Tabletext"/>
              <w:keepNext/>
              <w:keepLines/>
              <w:rPr>
                <w:rFonts w:ascii="Times" w:hAnsi="Times"/>
                <w:snapToGrid w:val="0"/>
              </w:rPr>
            </w:pPr>
            <w:r>
              <w:t>Incremental cost/extra LY g</w:t>
            </w:r>
            <w:r w:rsidRPr="005E6CBC">
              <w:t>ained</w:t>
            </w:r>
          </w:p>
        </w:tc>
        <w:tc>
          <w:tcPr>
            <w:tcW w:w="960" w:type="pct"/>
            <w:tcBorders>
              <w:left w:val="nil"/>
              <w:right w:val="nil"/>
            </w:tcBorders>
          </w:tcPr>
          <w:p w:rsidR="00AC1962" w:rsidRPr="00A0799B" w:rsidRDefault="00AC1962" w:rsidP="00AA6D1E">
            <w:pPr>
              <w:pStyle w:val="Tabletext"/>
              <w:keepNext/>
              <w:keepLines/>
              <w:jc w:val="right"/>
              <w:rPr>
                <w:rFonts w:ascii="Times" w:hAnsi="Times"/>
                <w:snapToGrid w:val="0"/>
              </w:rPr>
            </w:pPr>
          </w:p>
        </w:tc>
        <w:tc>
          <w:tcPr>
            <w:tcW w:w="960" w:type="pct"/>
            <w:tcBorders>
              <w:left w:val="nil"/>
            </w:tcBorders>
          </w:tcPr>
          <w:p w:rsidR="00AC1962" w:rsidRPr="00A0799B" w:rsidRDefault="00AC1962" w:rsidP="00AA6D1E">
            <w:pPr>
              <w:pStyle w:val="Tabletext"/>
              <w:keepNext/>
              <w:keepLines/>
              <w:jc w:val="right"/>
              <w:rPr>
                <w:rFonts w:ascii="Times" w:hAnsi="Times"/>
                <w:snapToGrid w:val="0"/>
              </w:rPr>
            </w:pP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tcBorders>
              <w:bottom w:val="single" w:sz="4" w:space="0" w:color="auto"/>
              <w:right w:val="nil"/>
            </w:tcBorders>
            <w:vAlign w:val="center"/>
          </w:tcPr>
          <w:p w:rsidR="00AC1962" w:rsidRPr="005E6CBC" w:rsidRDefault="00AC1962" w:rsidP="00AA6D1E">
            <w:pPr>
              <w:pStyle w:val="Tabletext"/>
              <w:keepNext/>
              <w:keepLines/>
            </w:pPr>
            <w:r w:rsidRPr="005E6CBC">
              <w:t xml:space="preserve">Incremental cost/extra </w:t>
            </w:r>
            <w:r>
              <w:t>QA</w:t>
            </w:r>
            <w:r w:rsidRPr="005E6CBC">
              <w:t>LY gained</w:t>
            </w:r>
          </w:p>
        </w:tc>
        <w:tc>
          <w:tcPr>
            <w:tcW w:w="960" w:type="pct"/>
            <w:tcBorders>
              <w:left w:val="nil"/>
              <w:bottom w:val="single" w:sz="4" w:space="0" w:color="auto"/>
              <w:right w:val="nil"/>
            </w:tcBorders>
          </w:tcPr>
          <w:p w:rsidR="00AC1962" w:rsidRPr="00A0799B" w:rsidRDefault="00AC1962" w:rsidP="00AA6D1E">
            <w:pPr>
              <w:pStyle w:val="Tabletext"/>
              <w:keepNext/>
              <w:keepLines/>
              <w:jc w:val="right"/>
            </w:pPr>
          </w:p>
        </w:tc>
        <w:tc>
          <w:tcPr>
            <w:tcW w:w="960" w:type="pct"/>
            <w:tcBorders>
              <w:left w:val="nil"/>
              <w:bottom w:val="single" w:sz="4" w:space="0" w:color="auto"/>
            </w:tcBorders>
          </w:tcPr>
          <w:p w:rsidR="00AC1962" w:rsidRPr="00A0799B" w:rsidRDefault="00AC1962" w:rsidP="00AA6D1E">
            <w:pPr>
              <w:pStyle w:val="Tabletext"/>
              <w:keepNext/>
              <w:keepLines/>
              <w:jc w:val="right"/>
            </w:pPr>
          </w:p>
        </w:tc>
        <w:tc>
          <w:tcPr>
            <w:tcW w:w="960" w:type="pct"/>
            <w:tcBorders>
              <w:bottom w:val="single" w:sz="4" w:space="0" w:color="auto"/>
            </w:tcBorders>
          </w:tcPr>
          <w:p w:rsidR="00AC1962" w:rsidRPr="00A0799B" w:rsidRDefault="00AC1962" w:rsidP="00AA6D1E">
            <w:pPr>
              <w:pStyle w:val="Tabletext"/>
              <w:keepNext/>
              <w:keepLines/>
              <w:jc w:val="right"/>
            </w:pPr>
            <w:r w:rsidRPr="00A0799B">
              <w:t>$</w:t>
            </w:r>
            <w:r w:rsidR="00E77FA0">
              <w:rPr>
                <w:noProof/>
                <w:color w:val="000000"/>
                <w:highlight w:val="black"/>
              </w:rPr>
              <w:t>''''''''''''''''</w:t>
            </w:r>
          </w:p>
        </w:tc>
      </w:tr>
      <w:tr w:rsidR="00AC1962" w:rsidRPr="00EE64D8" w:rsidTr="00C66FDD">
        <w:tc>
          <w:tcPr>
            <w:tcW w:w="2120" w:type="pct"/>
            <w:tcBorders>
              <w:right w:val="nil"/>
            </w:tcBorders>
            <w:vAlign w:val="center"/>
          </w:tcPr>
          <w:p w:rsidR="00AC1962" w:rsidRPr="005E6CBC" w:rsidRDefault="00AC1962" w:rsidP="00AA6D1E">
            <w:pPr>
              <w:pStyle w:val="Tabletext"/>
              <w:keepNext/>
              <w:keepLines/>
              <w:rPr>
                <w:b/>
                <w:snapToGrid w:val="0"/>
              </w:rPr>
            </w:pPr>
            <w:r w:rsidRPr="005E6CBC">
              <w:rPr>
                <w:b/>
                <w:snapToGrid w:val="0"/>
              </w:rPr>
              <w:t xml:space="preserve">Step 4: </w:t>
            </w:r>
            <w:r>
              <w:rPr>
                <w:b/>
                <w:snapToGrid w:val="0"/>
              </w:rPr>
              <w:t>I</w:t>
            </w:r>
            <w:r w:rsidRPr="00276149">
              <w:rPr>
                <w:b/>
                <w:snapToGrid w:val="0"/>
              </w:rPr>
              <w:t>nclusion of adverse event related costs</w:t>
            </w:r>
          </w:p>
        </w:tc>
        <w:tc>
          <w:tcPr>
            <w:tcW w:w="960" w:type="pct"/>
            <w:tcBorders>
              <w:left w:val="nil"/>
              <w:right w:val="nil"/>
            </w:tcBorders>
          </w:tcPr>
          <w:p w:rsidR="00AC1962" w:rsidRPr="00A0799B" w:rsidRDefault="00AC1962" w:rsidP="00AA6D1E">
            <w:pPr>
              <w:pStyle w:val="Tabletext"/>
              <w:keepNext/>
              <w:keepLines/>
              <w:rPr>
                <w:b/>
                <w:snapToGrid w:val="0"/>
              </w:rPr>
            </w:pPr>
          </w:p>
        </w:tc>
        <w:tc>
          <w:tcPr>
            <w:tcW w:w="960" w:type="pct"/>
            <w:tcBorders>
              <w:left w:val="nil"/>
              <w:right w:val="nil"/>
            </w:tcBorders>
          </w:tcPr>
          <w:p w:rsidR="00AC1962" w:rsidRPr="00A0799B" w:rsidRDefault="00AC1962" w:rsidP="00AA6D1E">
            <w:pPr>
              <w:pStyle w:val="Tabletext"/>
              <w:keepNext/>
              <w:keepLines/>
              <w:rPr>
                <w:b/>
                <w:snapToGrid w:val="0"/>
              </w:rPr>
            </w:pPr>
          </w:p>
        </w:tc>
        <w:tc>
          <w:tcPr>
            <w:tcW w:w="960" w:type="pct"/>
            <w:tcBorders>
              <w:left w:val="nil"/>
            </w:tcBorders>
          </w:tcPr>
          <w:p w:rsidR="00AC1962" w:rsidRPr="00A0799B" w:rsidRDefault="00AC1962" w:rsidP="00AA6D1E">
            <w:pPr>
              <w:pStyle w:val="Tabletext"/>
              <w:keepNext/>
              <w:keepLines/>
              <w:rPr>
                <w:b/>
                <w:snapToGrid w:val="0"/>
              </w:rPr>
            </w:pP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rsidRPr="00E2771E">
              <w:t>Costs</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t>LY gained</w:t>
            </w:r>
          </w:p>
        </w:tc>
        <w:tc>
          <w:tcPr>
            <w:tcW w:w="960" w:type="pct"/>
          </w:tcPr>
          <w:p w:rsidR="00AC1962" w:rsidRPr="00A0799B" w:rsidRDefault="00AC1962" w:rsidP="00AA6D1E">
            <w:pPr>
              <w:pStyle w:val="Tabletext"/>
              <w:keepNext/>
              <w:keepLines/>
              <w:jc w:val="right"/>
              <w:rPr>
                <w:rFonts w:ascii="Times" w:hAnsi="Times"/>
              </w:rPr>
            </w:pPr>
            <w:r w:rsidRPr="00A0799B">
              <w:t>2.1833</w:t>
            </w:r>
          </w:p>
        </w:tc>
        <w:tc>
          <w:tcPr>
            <w:tcW w:w="960" w:type="pct"/>
          </w:tcPr>
          <w:p w:rsidR="00AC1962" w:rsidRPr="00A0799B" w:rsidRDefault="00AC1962" w:rsidP="00AA6D1E">
            <w:pPr>
              <w:pStyle w:val="Tabletext"/>
              <w:keepNext/>
              <w:keepLines/>
              <w:jc w:val="right"/>
              <w:rPr>
                <w:rFonts w:ascii="Times" w:hAnsi="Times"/>
              </w:rPr>
            </w:pPr>
            <w:r w:rsidRPr="00A0799B">
              <w:t>0.7973</w:t>
            </w:r>
          </w:p>
        </w:tc>
        <w:tc>
          <w:tcPr>
            <w:tcW w:w="960" w:type="pct"/>
          </w:tcPr>
          <w:p w:rsidR="00AC1962" w:rsidRPr="00A0799B" w:rsidRDefault="00AC1962" w:rsidP="00AA6D1E">
            <w:pPr>
              <w:pStyle w:val="Tabletext"/>
              <w:keepNext/>
              <w:keepLines/>
              <w:jc w:val="right"/>
            </w:pPr>
            <w:r w:rsidRPr="00A0799B">
              <w:t>1.3860</w:t>
            </w:r>
          </w:p>
        </w:tc>
      </w:tr>
      <w:tr w:rsidR="00AC1962" w:rsidRPr="00E2771E" w:rsidTr="00C66FDD">
        <w:tc>
          <w:tcPr>
            <w:tcW w:w="2120" w:type="pct"/>
            <w:tcBorders>
              <w:bottom w:val="single" w:sz="4" w:space="0" w:color="auto"/>
            </w:tcBorders>
            <w:vAlign w:val="center"/>
          </w:tcPr>
          <w:p w:rsidR="00AC1962" w:rsidRPr="00E2771E" w:rsidRDefault="00AC1962" w:rsidP="00AA6D1E">
            <w:pPr>
              <w:pStyle w:val="Tabletext"/>
              <w:keepNext/>
              <w:keepLines/>
            </w:pPr>
            <w:r>
              <w:t>QALY gained</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Pr>
          <w:p w:rsidR="00AC1962" w:rsidRPr="00E77FA0" w:rsidRDefault="00E77FA0" w:rsidP="00AA6D1E">
            <w:pPr>
              <w:pStyle w:val="Tabletext"/>
              <w:keepNext/>
              <w:keepLines/>
              <w:jc w:val="right"/>
              <w:rPr>
                <w:highlight w:val="black"/>
              </w:rPr>
            </w:pPr>
            <w:r>
              <w:rPr>
                <w:noProof/>
                <w:color w:val="000000"/>
                <w:highlight w:val="black"/>
              </w:rPr>
              <w:t>'''''''''''''''''</w:t>
            </w:r>
          </w:p>
        </w:tc>
      </w:tr>
      <w:tr w:rsidR="00AC1962" w:rsidRPr="00E2771E" w:rsidTr="00C66FDD">
        <w:tc>
          <w:tcPr>
            <w:tcW w:w="2120" w:type="pct"/>
            <w:tcBorders>
              <w:right w:val="nil"/>
            </w:tcBorders>
            <w:vAlign w:val="center"/>
          </w:tcPr>
          <w:p w:rsidR="00AC1962" w:rsidRPr="005E6CBC" w:rsidRDefault="00AC1962" w:rsidP="00AA6D1E">
            <w:pPr>
              <w:pStyle w:val="Tabletext"/>
              <w:keepNext/>
              <w:keepLines/>
              <w:rPr>
                <w:rFonts w:ascii="Times" w:hAnsi="Times"/>
                <w:snapToGrid w:val="0"/>
              </w:rPr>
            </w:pPr>
            <w:r>
              <w:t>Incremental cost/extra LY g</w:t>
            </w:r>
            <w:r w:rsidRPr="005E6CBC">
              <w:t>ained</w:t>
            </w:r>
          </w:p>
        </w:tc>
        <w:tc>
          <w:tcPr>
            <w:tcW w:w="960" w:type="pct"/>
            <w:tcBorders>
              <w:left w:val="nil"/>
              <w:right w:val="nil"/>
            </w:tcBorders>
          </w:tcPr>
          <w:p w:rsidR="00AC1962" w:rsidRPr="00A0799B" w:rsidRDefault="00AC1962" w:rsidP="00AA6D1E">
            <w:pPr>
              <w:pStyle w:val="Tabletext"/>
              <w:keepNext/>
              <w:keepLines/>
              <w:jc w:val="right"/>
              <w:rPr>
                <w:rFonts w:ascii="Times" w:hAnsi="Times"/>
                <w:snapToGrid w:val="0"/>
              </w:rPr>
            </w:pPr>
          </w:p>
        </w:tc>
        <w:tc>
          <w:tcPr>
            <w:tcW w:w="960" w:type="pct"/>
            <w:tcBorders>
              <w:left w:val="nil"/>
            </w:tcBorders>
          </w:tcPr>
          <w:p w:rsidR="00AC1962" w:rsidRPr="00A0799B" w:rsidRDefault="00AC1962" w:rsidP="00AA6D1E">
            <w:pPr>
              <w:pStyle w:val="Tabletext"/>
              <w:keepNext/>
              <w:keepLines/>
              <w:jc w:val="right"/>
              <w:rPr>
                <w:rFonts w:ascii="Times" w:hAnsi="Times"/>
                <w:snapToGrid w:val="0"/>
              </w:rPr>
            </w:pP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tcBorders>
              <w:bottom w:val="single" w:sz="4" w:space="0" w:color="auto"/>
              <w:right w:val="nil"/>
            </w:tcBorders>
            <w:vAlign w:val="center"/>
          </w:tcPr>
          <w:p w:rsidR="00AC1962" w:rsidRPr="005E6CBC" w:rsidRDefault="00AC1962" w:rsidP="00AA6D1E">
            <w:pPr>
              <w:pStyle w:val="Tabletext"/>
              <w:keepNext/>
              <w:keepLines/>
            </w:pPr>
            <w:r w:rsidRPr="005E6CBC">
              <w:t xml:space="preserve">Incremental cost/extra </w:t>
            </w:r>
            <w:r>
              <w:t>QA</w:t>
            </w:r>
            <w:r w:rsidRPr="005E6CBC">
              <w:t>LY gained</w:t>
            </w:r>
          </w:p>
        </w:tc>
        <w:tc>
          <w:tcPr>
            <w:tcW w:w="960" w:type="pct"/>
            <w:tcBorders>
              <w:left w:val="nil"/>
              <w:bottom w:val="single" w:sz="4" w:space="0" w:color="auto"/>
              <w:right w:val="nil"/>
            </w:tcBorders>
          </w:tcPr>
          <w:p w:rsidR="00AC1962" w:rsidRPr="00A0799B" w:rsidRDefault="00AC1962" w:rsidP="00AA6D1E">
            <w:pPr>
              <w:pStyle w:val="Tabletext"/>
              <w:keepNext/>
              <w:keepLines/>
              <w:jc w:val="right"/>
            </w:pPr>
          </w:p>
        </w:tc>
        <w:tc>
          <w:tcPr>
            <w:tcW w:w="960" w:type="pct"/>
            <w:tcBorders>
              <w:left w:val="nil"/>
              <w:bottom w:val="single" w:sz="4" w:space="0" w:color="auto"/>
            </w:tcBorders>
          </w:tcPr>
          <w:p w:rsidR="00AC1962" w:rsidRPr="00A0799B" w:rsidRDefault="00AC1962" w:rsidP="00AA6D1E">
            <w:pPr>
              <w:pStyle w:val="Tabletext"/>
              <w:keepNext/>
              <w:keepLines/>
              <w:jc w:val="right"/>
            </w:pPr>
          </w:p>
        </w:tc>
        <w:tc>
          <w:tcPr>
            <w:tcW w:w="960" w:type="pct"/>
            <w:tcBorders>
              <w:bottom w:val="single" w:sz="4" w:space="0" w:color="auto"/>
            </w:tcBorders>
          </w:tcPr>
          <w:p w:rsidR="00AC1962" w:rsidRPr="00A0799B" w:rsidRDefault="00AC1962" w:rsidP="00AA6D1E">
            <w:pPr>
              <w:pStyle w:val="Tabletext"/>
              <w:keepNext/>
              <w:keepLines/>
              <w:jc w:val="right"/>
            </w:pPr>
            <w:r w:rsidRPr="00A0799B">
              <w:t>$</w:t>
            </w:r>
            <w:r w:rsidR="00E77FA0">
              <w:rPr>
                <w:noProof/>
                <w:color w:val="000000"/>
                <w:highlight w:val="black"/>
              </w:rPr>
              <w:t>''''''''''''''''</w:t>
            </w:r>
          </w:p>
        </w:tc>
      </w:tr>
      <w:tr w:rsidR="00AC1962" w:rsidRPr="00EE64D8" w:rsidTr="00C66FDD">
        <w:tc>
          <w:tcPr>
            <w:tcW w:w="2120" w:type="pct"/>
            <w:tcBorders>
              <w:right w:val="nil"/>
            </w:tcBorders>
            <w:vAlign w:val="center"/>
          </w:tcPr>
          <w:p w:rsidR="00AC1962" w:rsidRPr="005E6CBC" w:rsidRDefault="00AC1962" w:rsidP="00AA6D1E">
            <w:pPr>
              <w:pStyle w:val="Tabletext"/>
              <w:keepNext/>
              <w:keepLines/>
              <w:rPr>
                <w:b/>
                <w:snapToGrid w:val="0"/>
              </w:rPr>
            </w:pPr>
            <w:r w:rsidRPr="005E6CBC">
              <w:rPr>
                <w:b/>
                <w:snapToGrid w:val="0"/>
              </w:rPr>
              <w:t xml:space="preserve">Step 5: </w:t>
            </w:r>
            <w:r>
              <w:rPr>
                <w:b/>
                <w:snapToGrid w:val="0"/>
              </w:rPr>
              <w:t>I</w:t>
            </w:r>
            <w:r w:rsidRPr="00276149">
              <w:rPr>
                <w:b/>
                <w:snapToGrid w:val="0"/>
              </w:rPr>
              <w:t>nclusion of end of life costs</w:t>
            </w:r>
          </w:p>
        </w:tc>
        <w:tc>
          <w:tcPr>
            <w:tcW w:w="960" w:type="pct"/>
            <w:tcBorders>
              <w:left w:val="nil"/>
              <w:right w:val="nil"/>
            </w:tcBorders>
          </w:tcPr>
          <w:p w:rsidR="00AC1962" w:rsidRPr="00A0799B" w:rsidRDefault="00AC1962" w:rsidP="00AA6D1E">
            <w:pPr>
              <w:pStyle w:val="Tabletext"/>
              <w:keepNext/>
              <w:keepLines/>
              <w:rPr>
                <w:b/>
                <w:snapToGrid w:val="0"/>
              </w:rPr>
            </w:pPr>
          </w:p>
        </w:tc>
        <w:tc>
          <w:tcPr>
            <w:tcW w:w="960" w:type="pct"/>
            <w:tcBorders>
              <w:left w:val="nil"/>
              <w:right w:val="nil"/>
            </w:tcBorders>
          </w:tcPr>
          <w:p w:rsidR="00AC1962" w:rsidRPr="00A0799B" w:rsidRDefault="00AC1962" w:rsidP="00AA6D1E">
            <w:pPr>
              <w:pStyle w:val="Tabletext"/>
              <w:keepNext/>
              <w:keepLines/>
              <w:rPr>
                <w:b/>
                <w:snapToGrid w:val="0"/>
              </w:rPr>
            </w:pPr>
          </w:p>
        </w:tc>
        <w:tc>
          <w:tcPr>
            <w:tcW w:w="960" w:type="pct"/>
            <w:tcBorders>
              <w:left w:val="nil"/>
            </w:tcBorders>
          </w:tcPr>
          <w:p w:rsidR="00AC1962" w:rsidRPr="00A0799B" w:rsidRDefault="00AC1962" w:rsidP="00AA6D1E">
            <w:pPr>
              <w:pStyle w:val="Tabletext"/>
              <w:keepNext/>
              <w:keepLines/>
              <w:rPr>
                <w:b/>
                <w:snapToGrid w:val="0"/>
              </w:rPr>
            </w:pP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rsidRPr="00E2771E">
              <w:t>Costs</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vAlign w:val="center"/>
          </w:tcPr>
          <w:p w:rsidR="00AC1962" w:rsidRPr="00E2771E" w:rsidRDefault="00AC1962" w:rsidP="00AA6D1E">
            <w:pPr>
              <w:pStyle w:val="Tabletext"/>
              <w:keepNext/>
              <w:keepLines/>
              <w:rPr>
                <w:rFonts w:ascii="Times" w:hAnsi="Times"/>
              </w:rPr>
            </w:pPr>
            <w:r>
              <w:t>LY gained</w:t>
            </w:r>
          </w:p>
        </w:tc>
        <w:tc>
          <w:tcPr>
            <w:tcW w:w="960" w:type="pct"/>
          </w:tcPr>
          <w:p w:rsidR="00AC1962" w:rsidRPr="00A0799B" w:rsidRDefault="00AC1962" w:rsidP="00AA6D1E">
            <w:pPr>
              <w:pStyle w:val="Tabletext"/>
              <w:keepNext/>
              <w:keepLines/>
              <w:jc w:val="right"/>
              <w:rPr>
                <w:rFonts w:ascii="Times" w:hAnsi="Times"/>
              </w:rPr>
            </w:pPr>
            <w:r w:rsidRPr="00A0799B">
              <w:t>2.1833</w:t>
            </w:r>
          </w:p>
        </w:tc>
        <w:tc>
          <w:tcPr>
            <w:tcW w:w="960" w:type="pct"/>
          </w:tcPr>
          <w:p w:rsidR="00AC1962" w:rsidRPr="00A0799B" w:rsidRDefault="00AC1962" w:rsidP="00AA6D1E">
            <w:pPr>
              <w:pStyle w:val="Tabletext"/>
              <w:keepNext/>
              <w:keepLines/>
              <w:jc w:val="right"/>
              <w:rPr>
                <w:rFonts w:ascii="Times" w:hAnsi="Times"/>
              </w:rPr>
            </w:pPr>
            <w:r w:rsidRPr="00A0799B">
              <w:t>0.7973</w:t>
            </w:r>
          </w:p>
        </w:tc>
        <w:tc>
          <w:tcPr>
            <w:tcW w:w="960" w:type="pct"/>
          </w:tcPr>
          <w:p w:rsidR="00AC1962" w:rsidRPr="00A0799B" w:rsidRDefault="00AC1962" w:rsidP="00AA6D1E">
            <w:pPr>
              <w:pStyle w:val="Tabletext"/>
              <w:keepNext/>
              <w:keepLines/>
              <w:jc w:val="right"/>
            </w:pPr>
            <w:r w:rsidRPr="00A0799B">
              <w:t>1.3860</w:t>
            </w:r>
          </w:p>
        </w:tc>
      </w:tr>
      <w:tr w:rsidR="00AC1962" w:rsidRPr="00E2771E" w:rsidTr="00C66FDD">
        <w:tc>
          <w:tcPr>
            <w:tcW w:w="2120" w:type="pct"/>
            <w:tcBorders>
              <w:bottom w:val="single" w:sz="4" w:space="0" w:color="auto"/>
            </w:tcBorders>
            <w:vAlign w:val="center"/>
          </w:tcPr>
          <w:p w:rsidR="00AC1962" w:rsidRPr="00E2771E" w:rsidRDefault="00AC1962" w:rsidP="00AA6D1E">
            <w:pPr>
              <w:pStyle w:val="Tabletext"/>
              <w:keepNext/>
              <w:keepLines/>
            </w:pPr>
            <w:r>
              <w:t>QALY gained</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Borders>
              <w:bottom w:val="single" w:sz="4" w:space="0" w:color="auto"/>
            </w:tcBorders>
          </w:tcPr>
          <w:p w:rsidR="00AC1962" w:rsidRPr="00E77FA0" w:rsidRDefault="00E77FA0" w:rsidP="00AA6D1E">
            <w:pPr>
              <w:pStyle w:val="Tabletext"/>
              <w:keepNext/>
              <w:keepLines/>
              <w:jc w:val="right"/>
              <w:rPr>
                <w:highlight w:val="black"/>
              </w:rPr>
            </w:pPr>
            <w:r>
              <w:rPr>
                <w:noProof/>
                <w:color w:val="000000"/>
                <w:highlight w:val="black"/>
              </w:rPr>
              <w:t>'''''''''''''''</w:t>
            </w:r>
          </w:p>
        </w:tc>
        <w:tc>
          <w:tcPr>
            <w:tcW w:w="960" w:type="pct"/>
          </w:tcPr>
          <w:p w:rsidR="00AC1962" w:rsidRPr="00E77FA0" w:rsidRDefault="00E77FA0" w:rsidP="00AA6D1E">
            <w:pPr>
              <w:pStyle w:val="Tabletext"/>
              <w:keepNext/>
              <w:keepLines/>
              <w:jc w:val="right"/>
              <w:rPr>
                <w:highlight w:val="black"/>
              </w:rPr>
            </w:pPr>
            <w:r>
              <w:rPr>
                <w:noProof/>
                <w:color w:val="000000"/>
                <w:highlight w:val="black"/>
              </w:rPr>
              <w:t>'''''''''''''''''</w:t>
            </w:r>
          </w:p>
        </w:tc>
      </w:tr>
      <w:tr w:rsidR="00AC1962" w:rsidRPr="00E2771E" w:rsidTr="00C66FDD">
        <w:tc>
          <w:tcPr>
            <w:tcW w:w="2120" w:type="pct"/>
            <w:tcBorders>
              <w:bottom w:val="single" w:sz="4" w:space="0" w:color="auto"/>
              <w:right w:val="nil"/>
            </w:tcBorders>
            <w:vAlign w:val="center"/>
          </w:tcPr>
          <w:p w:rsidR="00AC1962" w:rsidRPr="005E6CBC" w:rsidRDefault="00AC1962" w:rsidP="00AA6D1E">
            <w:pPr>
              <w:pStyle w:val="Tabletext"/>
              <w:keepNext/>
              <w:keepLines/>
              <w:rPr>
                <w:rFonts w:ascii="Times" w:hAnsi="Times"/>
                <w:snapToGrid w:val="0"/>
              </w:rPr>
            </w:pPr>
            <w:r>
              <w:t>Incremental cost/extra LY g</w:t>
            </w:r>
            <w:r w:rsidRPr="005E6CBC">
              <w:t>ained</w:t>
            </w:r>
          </w:p>
        </w:tc>
        <w:tc>
          <w:tcPr>
            <w:tcW w:w="960" w:type="pct"/>
            <w:tcBorders>
              <w:left w:val="nil"/>
              <w:bottom w:val="single" w:sz="4" w:space="0" w:color="auto"/>
              <w:right w:val="nil"/>
            </w:tcBorders>
          </w:tcPr>
          <w:p w:rsidR="00AC1962" w:rsidRPr="00A0799B" w:rsidRDefault="00AC1962" w:rsidP="00AA6D1E">
            <w:pPr>
              <w:pStyle w:val="Tabletext"/>
              <w:keepNext/>
              <w:keepLines/>
              <w:jc w:val="right"/>
              <w:rPr>
                <w:rFonts w:ascii="Times" w:hAnsi="Times"/>
                <w:snapToGrid w:val="0"/>
              </w:rPr>
            </w:pPr>
          </w:p>
        </w:tc>
        <w:tc>
          <w:tcPr>
            <w:tcW w:w="960" w:type="pct"/>
            <w:tcBorders>
              <w:left w:val="nil"/>
              <w:bottom w:val="single" w:sz="4" w:space="0" w:color="auto"/>
            </w:tcBorders>
          </w:tcPr>
          <w:p w:rsidR="00AC1962" w:rsidRPr="00A0799B" w:rsidRDefault="00AC1962" w:rsidP="00AA6D1E">
            <w:pPr>
              <w:pStyle w:val="Tabletext"/>
              <w:keepNext/>
              <w:keepLines/>
              <w:jc w:val="right"/>
              <w:rPr>
                <w:rFonts w:ascii="Times" w:hAnsi="Times"/>
                <w:snapToGrid w:val="0"/>
              </w:rPr>
            </w:pPr>
          </w:p>
        </w:tc>
        <w:tc>
          <w:tcPr>
            <w:tcW w:w="960" w:type="pct"/>
          </w:tcPr>
          <w:p w:rsidR="00AC1962" w:rsidRPr="00A0799B" w:rsidRDefault="00AC1962" w:rsidP="00AA6D1E">
            <w:pPr>
              <w:pStyle w:val="Tabletext"/>
              <w:keepNext/>
              <w:keepLines/>
              <w:jc w:val="right"/>
              <w:rPr>
                <w:rFonts w:ascii="Times" w:hAnsi="Times"/>
              </w:rPr>
            </w:pPr>
            <w:r w:rsidRPr="00A0799B">
              <w:t>$</w:t>
            </w:r>
            <w:r w:rsidR="00E77FA0">
              <w:rPr>
                <w:noProof/>
                <w:color w:val="000000"/>
                <w:highlight w:val="black"/>
              </w:rPr>
              <w:t>'''''''''''''''''</w:t>
            </w:r>
          </w:p>
        </w:tc>
      </w:tr>
      <w:tr w:rsidR="00AC1962" w:rsidRPr="00E2771E" w:rsidTr="00C66FDD">
        <w:tc>
          <w:tcPr>
            <w:tcW w:w="2120" w:type="pct"/>
            <w:tcBorders>
              <w:right w:val="nil"/>
            </w:tcBorders>
            <w:vAlign w:val="center"/>
          </w:tcPr>
          <w:p w:rsidR="00AC1962" w:rsidRPr="00276149" w:rsidRDefault="00AC1962" w:rsidP="00AA6D1E">
            <w:pPr>
              <w:pStyle w:val="Tabletext"/>
              <w:keepNext/>
              <w:keepLines/>
              <w:rPr>
                <w:b/>
              </w:rPr>
            </w:pPr>
            <w:r w:rsidRPr="00276149">
              <w:rPr>
                <w:b/>
              </w:rPr>
              <w:t>Incremental cost/extra QALY gained (base case)</w:t>
            </w:r>
          </w:p>
        </w:tc>
        <w:tc>
          <w:tcPr>
            <w:tcW w:w="960" w:type="pct"/>
            <w:tcBorders>
              <w:left w:val="nil"/>
              <w:right w:val="nil"/>
            </w:tcBorders>
          </w:tcPr>
          <w:p w:rsidR="00AC1962" w:rsidRPr="00A0799B" w:rsidRDefault="00AC1962" w:rsidP="00AA6D1E">
            <w:pPr>
              <w:pStyle w:val="Tabletext"/>
              <w:keepNext/>
              <w:keepLines/>
              <w:jc w:val="right"/>
              <w:rPr>
                <w:b/>
              </w:rPr>
            </w:pPr>
          </w:p>
        </w:tc>
        <w:tc>
          <w:tcPr>
            <w:tcW w:w="960" w:type="pct"/>
            <w:tcBorders>
              <w:left w:val="nil"/>
            </w:tcBorders>
          </w:tcPr>
          <w:p w:rsidR="00AC1962" w:rsidRPr="00A0799B" w:rsidRDefault="00AC1962" w:rsidP="00AA6D1E">
            <w:pPr>
              <w:pStyle w:val="Tabletext"/>
              <w:keepNext/>
              <w:keepLines/>
              <w:jc w:val="right"/>
              <w:rPr>
                <w:b/>
              </w:rPr>
            </w:pPr>
          </w:p>
        </w:tc>
        <w:tc>
          <w:tcPr>
            <w:tcW w:w="960" w:type="pct"/>
          </w:tcPr>
          <w:p w:rsidR="00AC1962" w:rsidRPr="00A0799B" w:rsidRDefault="00AC1962" w:rsidP="00AA6D1E">
            <w:pPr>
              <w:pStyle w:val="Tabletext"/>
              <w:keepNext/>
              <w:keepLines/>
              <w:jc w:val="right"/>
              <w:rPr>
                <w:b/>
              </w:rPr>
            </w:pPr>
            <w:r w:rsidRPr="00A0799B">
              <w:rPr>
                <w:b/>
              </w:rPr>
              <w:t>$</w:t>
            </w:r>
            <w:r w:rsidR="00E77FA0">
              <w:rPr>
                <w:b/>
                <w:noProof/>
                <w:color w:val="000000"/>
                <w:highlight w:val="black"/>
              </w:rPr>
              <w:t>'''''''''''''</w:t>
            </w:r>
          </w:p>
        </w:tc>
      </w:tr>
    </w:tbl>
    <w:p w:rsidR="00AC1962" w:rsidRPr="00F57528" w:rsidRDefault="00AC1962" w:rsidP="00AA6D1E">
      <w:pPr>
        <w:pStyle w:val="TableFooter"/>
        <w:keepNext/>
        <w:keepLines/>
      </w:pPr>
      <w:r w:rsidRPr="00F57528">
        <w:t xml:space="preserve">Note: Estimates in italics were revised during the evaluation to 1) apply the effective price through all steps in the analysis (not just in step 7, as was presented in the submission); 2) correct for minor errors identified relating to the quality-of-life adjustment in the progression-free off treatment health state up to cycle 18 and </w:t>
      </w:r>
      <w:r>
        <w:t>the</w:t>
      </w:r>
      <w:r w:rsidRPr="00F57528">
        <w:t xml:space="preserve"> cost per 100 mg vial of rituximab </w:t>
      </w:r>
      <w:r>
        <w:t>used;</w:t>
      </w:r>
      <w:r w:rsidRPr="00F57528">
        <w:t xml:space="preserve"> and 3) to use the current fees (as of July 1, 2019) for the efficient funding of chemotherapy drugs and MBS items 105, 13915 and 13918.</w:t>
      </w:r>
    </w:p>
    <w:p w:rsidR="00AC1962" w:rsidRDefault="00AC1962" w:rsidP="00AA6D1E">
      <w:pPr>
        <w:pStyle w:val="TableFooter"/>
        <w:keepNext/>
        <w:keepLines/>
      </w:pPr>
      <w:r>
        <w:t xml:space="preserve">BR = rituximab used in combination with </w:t>
      </w:r>
      <w:proofErr w:type="spellStart"/>
      <w:r>
        <w:t>bendamustine</w:t>
      </w:r>
      <w:proofErr w:type="spellEnd"/>
      <w:r>
        <w:t xml:space="preserve">; LY = life years; </w:t>
      </w:r>
      <w:proofErr w:type="spellStart"/>
      <w:r>
        <w:t>Pola+BR</w:t>
      </w:r>
      <w:proofErr w:type="spellEnd"/>
      <w:r>
        <w:t xml:space="preserve"> = </w:t>
      </w:r>
      <w:proofErr w:type="spellStart"/>
      <w:r>
        <w:t>polatuzumab</w:t>
      </w:r>
      <w:proofErr w:type="spellEnd"/>
      <w:r>
        <w:t xml:space="preserve"> </w:t>
      </w:r>
      <w:proofErr w:type="spellStart"/>
      <w:r>
        <w:t>vedotin</w:t>
      </w:r>
      <w:proofErr w:type="spellEnd"/>
      <w:r>
        <w:t xml:space="preserve"> </w:t>
      </w:r>
      <w:r w:rsidRPr="0022383F">
        <w:t xml:space="preserve">in combination with </w:t>
      </w:r>
      <w:proofErr w:type="spellStart"/>
      <w:r w:rsidRPr="0022383F">
        <w:t>bendamustine</w:t>
      </w:r>
      <w:proofErr w:type="spellEnd"/>
      <w:r w:rsidRPr="0022383F">
        <w:t xml:space="preserve"> and rituximab</w:t>
      </w:r>
      <w:r>
        <w:t>; QALY = quality-adjusted life years.</w:t>
      </w:r>
    </w:p>
    <w:p w:rsidR="00AC1962" w:rsidRDefault="00AC1962" w:rsidP="00AA6D1E">
      <w:pPr>
        <w:pStyle w:val="TableFooter"/>
        <w:keepNext/>
        <w:keepLines/>
        <w:rPr>
          <w:rStyle w:val="CommentReference"/>
        </w:rPr>
      </w:pPr>
      <w:r>
        <w:t xml:space="preserve">Source: </w:t>
      </w:r>
      <w:r w:rsidRPr="001D08A9">
        <w:t>C</w:t>
      </w:r>
      <w:r w:rsidRPr="00D71B0A">
        <w:t>ompiled during the evaluation based on ‘Results Table’ worksheet in the ‘Economic Evaluation.xlsx’ workbook included in the submission</w:t>
      </w:r>
      <w:r>
        <w:t>.</w:t>
      </w:r>
    </w:p>
    <w:p w:rsidR="00D110BD" w:rsidRPr="00D110BD" w:rsidRDefault="00D110BD" w:rsidP="00E723BA"/>
    <w:p w:rsidR="006943DC" w:rsidRPr="00502F52" w:rsidRDefault="006943DC" w:rsidP="00095881">
      <w:pPr>
        <w:pStyle w:val="ListParagraph"/>
        <w:widowControl/>
        <w:numPr>
          <w:ilvl w:val="1"/>
          <w:numId w:val="2"/>
        </w:numPr>
      </w:pPr>
      <w:r w:rsidRPr="00502F52">
        <w:t>The ESC considered that</w:t>
      </w:r>
      <w:r w:rsidR="00AC2CEA" w:rsidRPr="00502F52">
        <w:t xml:space="preserve"> the results of the model were not reliable </w:t>
      </w:r>
      <w:r w:rsidR="00EC4177" w:rsidRPr="00502F52">
        <w:t>and the key issue was the</w:t>
      </w:r>
      <w:r w:rsidR="00AC2CEA" w:rsidRPr="00502F52">
        <w:t xml:space="preserve"> </w:t>
      </w:r>
      <w:r w:rsidR="0022728A" w:rsidRPr="00502F52">
        <w:t>uncertaint</w:t>
      </w:r>
      <w:r w:rsidR="00EC4177" w:rsidRPr="00502F52">
        <w:t>y</w:t>
      </w:r>
      <w:r w:rsidR="0022728A" w:rsidRPr="00502F52">
        <w:t xml:space="preserve"> </w:t>
      </w:r>
      <w:r w:rsidR="00F15CFD" w:rsidRPr="00502F52">
        <w:t>of</w:t>
      </w:r>
      <w:r w:rsidR="0022728A" w:rsidRPr="00502F52">
        <w:t xml:space="preserve"> the clinical data</w:t>
      </w:r>
      <w:r w:rsidR="00AC2CEA" w:rsidRPr="00502F52">
        <w:t xml:space="preserve"> from Trial GO29365</w:t>
      </w:r>
      <w:r w:rsidR="0022728A" w:rsidRPr="00502F52">
        <w:t xml:space="preserve"> </w:t>
      </w:r>
      <w:r w:rsidR="00EC4177" w:rsidRPr="00502F52">
        <w:t xml:space="preserve">(given the small number of patients and confounding due to the imbalance in prognostic factors between arms). </w:t>
      </w:r>
    </w:p>
    <w:p w:rsidR="00A86E8B" w:rsidRPr="00B657B9" w:rsidRDefault="00B657B9" w:rsidP="00095881">
      <w:pPr>
        <w:pStyle w:val="ListParagraph"/>
        <w:widowControl/>
        <w:numPr>
          <w:ilvl w:val="1"/>
          <w:numId w:val="2"/>
        </w:numPr>
      </w:pPr>
      <w:r w:rsidRPr="00B657B9">
        <w:t>The resu</w:t>
      </w:r>
      <w:r>
        <w:t>lts of the key sensitivity analyses are summarised below.</w:t>
      </w:r>
    </w:p>
    <w:p w:rsidR="00D276EF" w:rsidRPr="00A86E8B" w:rsidRDefault="00D276EF" w:rsidP="00F15CFD">
      <w:pPr>
        <w:pStyle w:val="Caption"/>
        <w:keepNext/>
        <w:keepLines/>
      </w:pPr>
      <w:bookmarkStart w:id="17" w:name="_Ref18940314"/>
      <w:r>
        <w:lastRenderedPageBreak/>
        <w:t xml:space="preserve">Table </w:t>
      </w:r>
      <w:r w:rsidR="00273E9C">
        <w:rPr>
          <w:noProof/>
        </w:rPr>
        <w:t>13</w:t>
      </w:r>
      <w:bookmarkEnd w:id="17"/>
      <w:r w:rsidRPr="00D276EF">
        <w:t>: Results of key sensitivity analyses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1204"/>
        <w:gridCol w:w="1204"/>
        <w:gridCol w:w="991"/>
        <w:gridCol w:w="851"/>
      </w:tblGrid>
      <w:tr w:rsidR="00D276EF" w:rsidRPr="00264D26" w:rsidTr="00481635">
        <w:trPr>
          <w:tblHeader/>
        </w:trPr>
        <w:tc>
          <w:tcPr>
            <w:tcW w:w="2692" w:type="pct"/>
          </w:tcPr>
          <w:p w:rsidR="00D276EF" w:rsidRPr="00264D26" w:rsidRDefault="00D276EF" w:rsidP="00F15CFD">
            <w:pPr>
              <w:pStyle w:val="Tabletext"/>
              <w:keepNext/>
              <w:keepLines/>
              <w:tabs>
                <w:tab w:val="left" w:pos="142"/>
              </w:tabs>
              <w:rPr>
                <w:b/>
              </w:rPr>
            </w:pPr>
            <w:r>
              <w:rPr>
                <w:b/>
              </w:rPr>
              <w:t>Analyses</w:t>
            </w:r>
          </w:p>
        </w:tc>
        <w:tc>
          <w:tcPr>
            <w:tcW w:w="654" w:type="pct"/>
          </w:tcPr>
          <w:p w:rsidR="00D276EF" w:rsidRPr="00264D26" w:rsidRDefault="00D276EF" w:rsidP="00F15CFD">
            <w:pPr>
              <w:pStyle w:val="Tabletext"/>
              <w:keepNext/>
              <w:keepLines/>
              <w:jc w:val="center"/>
              <w:rPr>
                <w:b/>
              </w:rPr>
            </w:pPr>
            <w:r w:rsidRPr="00264D26">
              <w:rPr>
                <w:b/>
              </w:rPr>
              <w:t>Incremental cost</w:t>
            </w:r>
          </w:p>
        </w:tc>
        <w:tc>
          <w:tcPr>
            <w:tcW w:w="654" w:type="pct"/>
          </w:tcPr>
          <w:p w:rsidR="00D276EF" w:rsidRPr="00264D26" w:rsidRDefault="00D276EF" w:rsidP="00F15CFD">
            <w:pPr>
              <w:pStyle w:val="Tabletext"/>
              <w:keepNext/>
              <w:keepLines/>
              <w:jc w:val="center"/>
              <w:rPr>
                <w:b/>
              </w:rPr>
            </w:pPr>
            <w:r w:rsidRPr="00264D26">
              <w:rPr>
                <w:b/>
              </w:rPr>
              <w:t>Incremental QALY</w:t>
            </w:r>
          </w:p>
        </w:tc>
        <w:tc>
          <w:tcPr>
            <w:tcW w:w="538" w:type="pct"/>
          </w:tcPr>
          <w:p w:rsidR="00D276EF" w:rsidRPr="00264D26" w:rsidRDefault="00D276EF" w:rsidP="00F15CFD">
            <w:pPr>
              <w:pStyle w:val="Tabletext"/>
              <w:keepNext/>
              <w:keepLines/>
              <w:jc w:val="center"/>
              <w:rPr>
                <w:b/>
              </w:rPr>
            </w:pPr>
            <w:r w:rsidRPr="00264D26">
              <w:rPr>
                <w:b/>
              </w:rPr>
              <w:t>ICER</w:t>
            </w:r>
          </w:p>
        </w:tc>
        <w:tc>
          <w:tcPr>
            <w:tcW w:w="462" w:type="pct"/>
          </w:tcPr>
          <w:p w:rsidR="00D276EF" w:rsidRPr="00264D26" w:rsidRDefault="00D276EF" w:rsidP="00F15CFD">
            <w:pPr>
              <w:pStyle w:val="Tabletext"/>
              <w:keepNext/>
              <w:keepLines/>
              <w:jc w:val="center"/>
              <w:rPr>
                <w:b/>
              </w:rPr>
            </w:pPr>
            <w:r>
              <w:rPr>
                <w:b/>
              </w:rPr>
              <w:t>% change</w:t>
            </w:r>
          </w:p>
        </w:tc>
      </w:tr>
      <w:tr w:rsidR="00D276EF" w:rsidRPr="00E6550E" w:rsidTr="00481635">
        <w:tc>
          <w:tcPr>
            <w:tcW w:w="2692" w:type="pct"/>
            <w:tcBorders>
              <w:bottom w:val="single" w:sz="4" w:space="0" w:color="auto"/>
            </w:tcBorders>
          </w:tcPr>
          <w:p w:rsidR="00D276EF" w:rsidRPr="00511483" w:rsidRDefault="00D276EF" w:rsidP="00F15CFD">
            <w:pPr>
              <w:pStyle w:val="Tabletext"/>
              <w:keepNext/>
              <w:keepLines/>
              <w:tabs>
                <w:tab w:val="left" w:pos="142"/>
              </w:tabs>
              <w:rPr>
                <w:b/>
              </w:rPr>
            </w:pPr>
            <w:r w:rsidRPr="00511483">
              <w:rPr>
                <w:b/>
              </w:rPr>
              <w:t>Base case</w:t>
            </w:r>
          </w:p>
        </w:tc>
        <w:tc>
          <w:tcPr>
            <w:tcW w:w="654" w:type="pct"/>
            <w:tcBorders>
              <w:bottom w:val="single" w:sz="4" w:space="0" w:color="auto"/>
            </w:tcBorders>
          </w:tcPr>
          <w:p w:rsidR="00D276EF" w:rsidRPr="00511483" w:rsidRDefault="00D276EF" w:rsidP="00F15CFD">
            <w:pPr>
              <w:pStyle w:val="Tabletext"/>
              <w:keepNext/>
              <w:keepLines/>
              <w:jc w:val="center"/>
              <w:rPr>
                <w:b/>
              </w:rPr>
            </w:pPr>
            <w:r w:rsidRPr="00511483">
              <w:rPr>
                <w:b/>
              </w:rPr>
              <w:t>$</w:t>
            </w:r>
            <w:r w:rsidR="00E77FA0">
              <w:rPr>
                <w:b/>
                <w:noProof/>
                <w:color w:val="000000"/>
                <w:highlight w:val="black"/>
              </w:rPr>
              <w:t>'''''''''''''</w:t>
            </w:r>
          </w:p>
        </w:tc>
        <w:tc>
          <w:tcPr>
            <w:tcW w:w="654" w:type="pct"/>
            <w:tcBorders>
              <w:bottom w:val="single" w:sz="4" w:space="0" w:color="auto"/>
            </w:tcBorders>
          </w:tcPr>
          <w:p w:rsidR="00D276EF" w:rsidRPr="00E77FA0" w:rsidRDefault="00E77FA0" w:rsidP="00F15CFD">
            <w:pPr>
              <w:pStyle w:val="Tabletext"/>
              <w:keepNext/>
              <w:keepLines/>
              <w:jc w:val="center"/>
              <w:rPr>
                <w:b/>
                <w:highlight w:val="black"/>
              </w:rPr>
            </w:pPr>
            <w:r>
              <w:rPr>
                <w:b/>
                <w:noProof/>
                <w:color w:val="000000"/>
                <w:highlight w:val="black"/>
              </w:rPr>
              <w:t>'''''''''''''</w:t>
            </w:r>
          </w:p>
        </w:tc>
        <w:tc>
          <w:tcPr>
            <w:tcW w:w="538" w:type="pct"/>
            <w:tcBorders>
              <w:bottom w:val="single" w:sz="4" w:space="0" w:color="auto"/>
            </w:tcBorders>
          </w:tcPr>
          <w:p w:rsidR="00D276EF" w:rsidRPr="00511483" w:rsidRDefault="00D276EF" w:rsidP="00F15CFD">
            <w:pPr>
              <w:pStyle w:val="Tabletext"/>
              <w:keepNext/>
              <w:keepLines/>
              <w:jc w:val="center"/>
              <w:rPr>
                <w:b/>
              </w:rPr>
            </w:pPr>
            <w:r w:rsidRPr="00511483">
              <w:rPr>
                <w:b/>
              </w:rPr>
              <w:t>$</w:t>
            </w:r>
            <w:r w:rsidR="00E77FA0">
              <w:rPr>
                <w:b/>
                <w:noProof/>
                <w:color w:val="000000"/>
                <w:highlight w:val="black"/>
              </w:rPr>
              <w:t>''''''''''''</w:t>
            </w:r>
          </w:p>
        </w:tc>
        <w:tc>
          <w:tcPr>
            <w:tcW w:w="462" w:type="pct"/>
            <w:tcBorders>
              <w:bottom w:val="single" w:sz="4" w:space="0" w:color="auto"/>
            </w:tcBorders>
          </w:tcPr>
          <w:p w:rsidR="00D276EF" w:rsidRPr="00511483" w:rsidRDefault="00D276EF" w:rsidP="00F15CFD">
            <w:pPr>
              <w:pStyle w:val="Tabletext"/>
              <w:keepNext/>
              <w:keepLines/>
              <w:jc w:val="center"/>
              <w:rPr>
                <w:b/>
              </w:rPr>
            </w:pPr>
          </w:p>
        </w:tc>
      </w:tr>
      <w:tr w:rsidR="002617F9" w:rsidRPr="002617F9" w:rsidTr="002C352F">
        <w:tc>
          <w:tcPr>
            <w:tcW w:w="2692" w:type="pct"/>
            <w:tcBorders>
              <w:bottom w:val="nil"/>
            </w:tcBorders>
          </w:tcPr>
          <w:p w:rsidR="002617F9" w:rsidRPr="00511483" w:rsidRDefault="002617F9" w:rsidP="00F15CFD">
            <w:pPr>
              <w:pStyle w:val="Tabletext"/>
              <w:keepNext/>
              <w:keepLines/>
              <w:tabs>
                <w:tab w:val="left" w:pos="142"/>
              </w:tabs>
            </w:pPr>
            <w:r w:rsidRPr="00511483">
              <w:t xml:space="preserve">No. of </w:t>
            </w:r>
            <w:proofErr w:type="spellStart"/>
            <w:r w:rsidRPr="00511483">
              <w:t>polatuzumab</w:t>
            </w:r>
            <w:proofErr w:type="spellEnd"/>
            <w:r w:rsidRPr="00511483">
              <w:t xml:space="preserve"> </w:t>
            </w:r>
            <w:proofErr w:type="spellStart"/>
            <w:r w:rsidRPr="00511483">
              <w:t>vedotin</w:t>
            </w:r>
            <w:proofErr w:type="spellEnd"/>
            <w:r w:rsidRPr="00511483">
              <w:t xml:space="preserve"> vials (base case: 1 140 mg vial)</w:t>
            </w:r>
          </w:p>
        </w:tc>
        <w:tc>
          <w:tcPr>
            <w:tcW w:w="654" w:type="pct"/>
            <w:tcBorders>
              <w:bottom w:val="nil"/>
            </w:tcBorders>
          </w:tcPr>
          <w:p w:rsidR="002617F9" w:rsidRPr="00511483" w:rsidRDefault="002617F9" w:rsidP="00F15CFD">
            <w:pPr>
              <w:pStyle w:val="Tabletext"/>
              <w:keepNext/>
              <w:keepLines/>
              <w:jc w:val="center"/>
            </w:pPr>
          </w:p>
        </w:tc>
        <w:tc>
          <w:tcPr>
            <w:tcW w:w="654" w:type="pct"/>
            <w:tcBorders>
              <w:bottom w:val="nil"/>
            </w:tcBorders>
          </w:tcPr>
          <w:p w:rsidR="002617F9" w:rsidRPr="00511483" w:rsidRDefault="002617F9" w:rsidP="00F15CFD">
            <w:pPr>
              <w:pStyle w:val="Tabletext"/>
              <w:keepNext/>
              <w:keepLines/>
              <w:jc w:val="center"/>
            </w:pPr>
          </w:p>
        </w:tc>
        <w:tc>
          <w:tcPr>
            <w:tcW w:w="538" w:type="pct"/>
            <w:tcBorders>
              <w:bottom w:val="nil"/>
            </w:tcBorders>
          </w:tcPr>
          <w:p w:rsidR="002617F9" w:rsidRPr="00511483" w:rsidRDefault="002617F9" w:rsidP="00F15CFD">
            <w:pPr>
              <w:pStyle w:val="Tabletext"/>
              <w:keepNext/>
              <w:keepLines/>
              <w:jc w:val="center"/>
            </w:pPr>
          </w:p>
        </w:tc>
        <w:tc>
          <w:tcPr>
            <w:tcW w:w="462" w:type="pct"/>
            <w:tcBorders>
              <w:bottom w:val="nil"/>
            </w:tcBorders>
          </w:tcPr>
          <w:p w:rsidR="002617F9" w:rsidRPr="00511483" w:rsidRDefault="002617F9" w:rsidP="00F15CFD">
            <w:pPr>
              <w:pStyle w:val="Tabletext"/>
              <w:keepNext/>
              <w:keepLines/>
              <w:jc w:val="center"/>
            </w:pPr>
          </w:p>
        </w:tc>
      </w:tr>
      <w:tr w:rsidR="002617F9" w:rsidRPr="00E6550E" w:rsidTr="002C352F">
        <w:tc>
          <w:tcPr>
            <w:tcW w:w="2692" w:type="pct"/>
            <w:tcBorders>
              <w:top w:val="nil"/>
              <w:bottom w:val="nil"/>
            </w:tcBorders>
          </w:tcPr>
          <w:p w:rsidR="002617F9" w:rsidRPr="00511483" w:rsidRDefault="002617F9" w:rsidP="00F15CFD">
            <w:pPr>
              <w:pStyle w:val="Tabletext"/>
              <w:keepNext/>
              <w:keepLines/>
              <w:tabs>
                <w:tab w:val="left" w:pos="142"/>
              </w:tabs>
            </w:pPr>
            <w:r w:rsidRPr="00511483">
              <w:tab/>
              <w:t>1.35 140 mg vials (average estimated from GO29365)</w:t>
            </w:r>
            <w:r w:rsidR="00511483" w:rsidRPr="00511483">
              <w:t>*</w:t>
            </w:r>
          </w:p>
        </w:tc>
        <w:tc>
          <w:tcPr>
            <w:tcW w:w="654" w:type="pct"/>
            <w:tcBorders>
              <w:top w:val="nil"/>
              <w:bottom w:val="nil"/>
            </w:tcBorders>
          </w:tcPr>
          <w:p w:rsidR="002617F9" w:rsidRPr="00511483" w:rsidRDefault="002617F9" w:rsidP="00F15CFD">
            <w:pPr>
              <w:pStyle w:val="Tabletext"/>
              <w:keepNext/>
              <w:keepLines/>
              <w:jc w:val="center"/>
            </w:pPr>
            <w:r w:rsidRPr="00511483">
              <w:t>$</w:t>
            </w:r>
            <w:r w:rsidR="00E77FA0">
              <w:rPr>
                <w:noProof/>
                <w:color w:val="000000"/>
                <w:highlight w:val="black"/>
              </w:rPr>
              <w:t>'''''''''''''''''</w:t>
            </w:r>
          </w:p>
        </w:tc>
        <w:tc>
          <w:tcPr>
            <w:tcW w:w="654" w:type="pct"/>
            <w:tcBorders>
              <w:top w:val="nil"/>
              <w:bottom w:val="nil"/>
            </w:tcBorders>
          </w:tcPr>
          <w:p w:rsidR="002617F9" w:rsidRPr="00E77FA0" w:rsidRDefault="00E77FA0" w:rsidP="00F15CFD">
            <w:pPr>
              <w:pStyle w:val="Tabletext"/>
              <w:keepNext/>
              <w:keepLines/>
              <w:jc w:val="center"/>
              <w:rPr>
                <w:highlight w:val="black"/>
              </w:rPr>
            </w:pPr>
            <w:r>
              <w:rPr>
                <w:noProof/>
                <w:color w:val="000000"/>
                <w:highlight w:val="black"/>
              </w:rPr>
              <w:t>''''''''''''''''</w:t>
            </w:r>
          </w:p>
        </w:tc>
        <w:tc>
          <w:tcPr>
            <w:tcW w:w="538" w:type="pct"/>
            <w:tcBorders>
              <w:top w:val="nil"/>
              <w:bottom w:val="nil"/>
            </w:tcBorders>
          </w:tcPr>
          <w:p w:rsidR="002617F9" w:rsidRPr="00511483" w:rsidRDefault="002617F9" w:rsidP="00F15CFD">
            <w:pPr>
              <w:pStyle w:val="Tabletext"/>
              <w:keepNext/>
              <w:keepLines/>
              <w:jc w:val="center"/>
            </w:pPr>
            <w:r w:rsidRPr="00511483">
              <w:t>$</w:t>
            </w:r>
            <w:r w:rsidR="00E77FA0">
              <w:rPr>
                <w:noProof/>
                <w:color w:val="000000"/>
                <w:highlight w:val="black"/>
              </w:rPr>
              <w:t>''''''''''''''''''</w:t>
            </w:r>
          </w:p>
        </w:tc>
        <w:tc>
          <w:tcPr>
            <w:tcW w:w="462" w:type="pct"/>
            <w:tcBorders>
              <w:top w:val="nil"/>
              <w:bottom w:val="nil"/>
            </w:tcBorders>
          </w:tcPr>
          <w:p w:rsidR="002617F9" w:rsidRPr="00511483" w:rsidRDefault="00E77FA0" w:rsidP="00F15CFD">
            <w:pPr>
              <w:pStyle w:val="Tabletext"/>
              <w:keepNext/>
              <w:keepLines/>
              <w:jc w:val="center"/>
            </w:pPr>
            <w:r>
              <w:rPr>
                <w:noProof/>
                <w:color w:val="000000"/>
                <w:highlight w:val="black"/>
              </w:rPr>
              <w:t>''''''''''</w:t>
            </w:r>
            <w:r w:rsidR="002617F9" w:rsidRPr="00511483">
              <w:t>%</w:t>
            </w:r>
          </w:p>
        </w:tc>
      </w:tr>
      <w:tr w:rsidR="002617F9" w:rsidRPr="00E6550E" w:rsidTr="002C352F">
        <w:tc>
          <w:tcPr>
            <w:tcW w:w="2692" w:type="pct"/>
            <w:tcBorders>
              <w:top w:val="nil"/>
              <w:bottom w:val="single" w:sz="4" w:space="0" w:color="auto"/>
            </w:tcBorders>
          </w:tcPr>
          <w:p w:rsidR="002617F9" w:rsidRPr="00511483" w:rsidRDefault="002617F9" w:rsidP="00F15CFD">
            <w:pPr>
              <w:pStyle w:val="Tabletext"/>
              <w:keepNext/>
              <w:keepLines/>
              <w:tabs>
                <w:tab w:val="left" w:pos="142"/>
              </w:tabs>
            </w:pPr>
            <w:r w:rsidRPr="00511483">
              <w:tab/>
              <w:t xml:space="preserve">0.58 140 mg vials and 2.13 30 mg vials (average from GO29365, allowing for the </w:t>
            </w:r>
            <w:r w:rsidR="00940E00" w:rsidRPr="00511483">
              <w:t xml:space="preserve">availability of the </w:t>
            </w:r>
            <w:r w:rsidRPr="00511483">
              <w:t>30 mg preparation)</w:t>
            </w:r>
            <w:r w:rsidR="00511483" w:rsidRPr="00511483">
              <w:t>*</w:t>
            </w:r>
          </w:p>
        </w:tc>
        <w:tc>
          <w:tcPr>
            <w:tcW w:w="654" w:type="pct"/>
            <w:tcBorders>
              <w:top w:val="nil"/>
              <w:bottom w:val="single" w:sz="4" w:space="0" w:color="auto"/>
            </w:tcBorders>
          </w:tcPr>
          <w:p w:rsidR="002617F9" w:rsidRPr="00511483" w:rsidRDefault="002617F9" w:rsidP="00F15CFD">
            <w:pPr>
              <w:pStyle w:val="Tabletext"/>
              <w:keepNext/>
              <w:keepLines/>
              <w:jc w:val="center"/>
            </w:pPr>
            <w:r w:rsidRPr="00511483">
              <w:t>$</w:t>
            </w:r>
            <w:r w:rsidR="00E77FA0">
              <w:rPr>
                <w:noProof/>
                <w:color w:val="000000"/>
                <w:highlight w:val="black"/>
              </w:rPr>
              <w:t>''''''''''''''''</w:t>
            </w:r>
          </w:p>
        </w:tc>
        <w:tc>
          <w:tcPr>
            <w:tcW w:w="654" w:type="pct"/>
            <w:tcBorders>
              <w:top w:val="nil"/>
              <w:bottom w:val="single" w:sz="4" w:space="0" w:color="auto"/>
            </w:tcBorders>
          </w:tcPr>
          <w:p w:rsidR="002617F9" w:rsidRPr="00E77FA0" w:rsidRDefault="00E77FA0" w:rsidP="00F15CFD">
            <w:pPr>
              <w:pStyle w:val="Tabletext"/>
              <w:keepNext/>
              <w:keepLines/>
              <w:jc w:val="center"/>
              <w:rPr>
                <w:highlight w:val="black"/>
              </w:rPr>
            </w:pPr>
            <w:r>
              <w:rPr>
                <w:noProof/>
                <w:color w:val="000000"/>
                <w:highlight w:val="black"/>
              </w:rPr>
              <w:t>'''''''''''''''</w:t>
            </w:r>
          </w:p>
        </w:tc>
        <w:tc>
          <w:tcPr>
            <w:tcW w:w="538" w:type="pct"/>
            <w:tcBorders>
              <w:top w:val="nil"/>
              <w:bottom w:val="single" w:sz="4" w:space="0" w:color="auto"/>
            </w:tcBorders>
          </w:tcPr>
          <w:p w:rsidR="002617F9" w:rsidRPr="00511483" w:rsidRDefault="002617F9" w:rsidP="00F15CFD">
            <w:pPr>
              <w:pStyle w:val="Tabletext"/>
              <w:keepNext/>
              <w:keepLines/>
              <w:jc w:val="center"/>
            </w:pPr>
            <w:r w:rsidRPr="00511483">
              <w:t>$</w:t>
            </w:r>
            <w:r w:rsidR="00E77FA0">
              <w:rPr>
                <w:noProof/>
                <w:color w:val="000000"/>
                <w:highlight w:val="black"/>
              </w:rPr>
              <w:t>'''''''''''''''''</w:t>
            </w:r>
          </w:p>
        </w:tc>
        <w:tc>
          <w:tcPr>
            <w:tcW w:w="462" w:type="pct"/>
            <w:tcBorders>
              <w:top w:val="nil"/>
              <w:bottom w:val="single" w:sz="4" w:space="0" w:color="auto"/>
            </w:tcBorders>
          </w:tcPr>
          <w:p w:rsidR="002617F9" w:rsidRPr="00511483" w:rsidRDefault="00E77FA0" w:rsidP="00F15CFD">
            <w:pPr>
              <w:pStyle w:val="Tabletext"/>
              <w:keepNext/>
              <w:keepLines/>
              <w:jc w:val="center"/>
            </w:pPr>
            <w:r>
              <w:rPr>
                <w:noProof/>
                <w:color w:val="000000"/>
                <w:highlight w:val="black"/>
              </w:rPr>
              <w:t>'''''''</w:t>
            </w:r>
            <w:r w:rsidR="002617F9" w:rsidRPr="00511483">
              <w:t>%</w:t>
            </w:r>
          </w:p>
        </w:tc>
      </w:tr>
      <w:tr w:rsidR="00A628EA" w:rsidRPr="00431FEB" w:rsidTr="00481635">
        <w:tc>
          <w:tcPr>
            <w:tcW w:w="2692" w:type="pct"/>
            <w:tcBorders>
              <w:top w:val="nil"/>
              <w:bottom w:val="single" w:sz="4" w:space="0" w:color="auto"/>
            </w:tcBorders>
          </w:tcPr>
          <w:p w:rsidR="00A628EA" w:rsidRPr="00511483" w:rsidRDefault="00A628EA" w:rsidP="00F15CFD">
            <w:pPr>
              <w:pStyle w:val="Tabletext"/>
              <w:keepNext/>
              <w:keepLines/>
              <w:tabs>
                <w:tab w:val="left" w:pos="142"/>
              </w:tabs>
            </w:pPr>
            <w:r w:rsidRPr="00511483">
              <w:t xml:space="preserve">Comparator costs </w:t>
            </w:r>
            <w:proofErr w:type="spellStart"/>
            <w:r w:rsidRPr="00511483">
              <w:t>RGemOx</w:t>
            </w:r>
            <w:proofErr w:type="spellEnd"/>
            <w:r w:rsidRPr="00511483">
              <w:t xml:space="preserve"> (base case: BR) </w:t>
            </w:r>
            <w:r w:rsidRPr="00511483">
              <w:rPr>
                <w:b/>
              </w:rPr>
              <w:t>(#6)</w:t>
            </w:r>
            <w:r w:rsidRPr="00511483">
              <w:rPr>
                <w:vertAlign w:val="superscript"/>
              </w:rPr>
              <w:t xml:space="preserve"> </w:t>
            </w:r>
            <w:r w:rsidR="00511483" w:rsidRPr="00511483">
              <w:rPr>
                <w:vertAlign w:val="superscript"/>
              </w:rPr>
              <w:t xml:space="preserve">* </w:t>
            </w:r>
            <w:r w:rsidRPr="00511483">
              <w:rPr>
                <w:vertAlign w:val="superscript"/>
              </w:rPr>
              <w:t>a</w:t>
            </w:r>
          </w:p>
        </w:tc>
        <w:tc>
          <w:tcPr>
            <w:tcW w:w="654" w:type="pct"/>
            <w:tcBorders>
              <w:top w:val="nil"/>
              <w:bottom w:val="single" w:sz="4" w:space="0" w:color="auto"/>
            </w:tcBorders>
          </w:tcPr>
          <w:p w:rsidR="00A628EA" w:rsidRPr="00511483" w:rsidRDefault="00A628EA" w:rsidP="00F15CFD">
            <w:pPr>
              <w:pStyle w:val="Tabletext"/>
              <w:keepNext/>
              <w:keepLines/>
              <w:jc w:val="center"/>
            </w:pPr>
            <w:r w:rsidRPr="00511483">
              <w:t>$</w:t>
            </w:r>
            <w:r w:rsidR="00E77FA0">
              <w:rPr>
                <w:noProof/>
                <w:color w:val="000000"/>
                <w:highlight w:val="black"/>
              </w:rPr>
              <w:t>'''''''''''''''</w:t>
            </w:r>
          </w:p>
        </w:tc>
        <w:tc>
          <w:tcPr>
            <w:tcW w:w="654" w:type="pct"/>
            <w:tcBorders>
              <w:top w:val="nil"/>
              <w:bottom w:val="single" w:sz="4" w:space="0" w:color="auto"/>
            </w:tcBorders>
          </w:tcPr>
          <w:p w:rsidR="00A628EA" w:rsidRPr="00E77FA0" w:rsidRDefault="00E77FA0" w:rsidP="00F15CFD">
            <w:pPr>
              <w:pStyle w:val="Tabletext"/>
              <w:keepNext/>
              <w:keepLines/>
              <w:jc w:val="center"/>
              <w:rPr>
                <w:highlight w:val="black"/>
              </w:rPr>
            </w:pPr>
            <w:r>
              <w:rPr>
                <w:noProof/>
                <w:color w:val="000000"/>
                <w:highlight w:val="black"/>
              </w:rPr>
              <w:t>''''''''''''''''''</w:t>
            </w:r>
          </w:p>
        </w:tc>
        <w:tc>
          <w:tcPr>
            <w:tcW w:w="538" w:type="pct"/>
            <w:tcBorders>
              <w:top w:val="nil"/>
              <w:bottom w:val="single" w:sz="4" w:space="0" w:color="auto"/>
            </w:tcBorders>
          </w:tcPr>
          <w:p w:rsidR="00A628EA" w:rsidRPr="00511483" w:rsidRDefault="00A628EA" w:rsidP="00F15CFD">
            <w:pPr>
              <w:pStyle w:val="Tabletext"/>
              <w:keepNext/>
              <w:keepLines/>
              <w:jc w:val="center"/>
            </w:pPr>
            <w:r w:rsidRPr="00511483">
              <w:t>$</w:t>
            </w:r>
            <w:r w:rsidR="00E77FA0">
              <w:rPr>
                <w:noProof/>
                <w:color w:val="000000"/>
                <w:highlight w:val="black"/>
              </w:rPr>
              <w:t>''''''''''''''''</w:t>
            </w:r>
          </w:p>
        </w:tc>
        <w:tc>
          <w:tcPr>
            <w:tcW w:w="462" w:type="pct"/>
            <w:tcBorders>
              <w:top w:val="nil"/>
              <w:bottom w:val="single" w:sz="4" w:space="0" w:color="auto"/>
            </w:tcBorders>
          </w:tcPr>
          <w:p w:rsidR="00A628EA" w:rsidRPr="00511483" w:rsidRDefault="00E77FA0" w:rsidP="00F15CFD">
            <w:pPr>
              <w:pStyle w:val="Tabletext"/>
              <w:keepNext/>
              <w:keepLines/>
              <w:jc w:val="right"/>
            </w:pPr>
            <w:r>
              <w:rPr>
                <w:noProof/>
                <w:color w:val="000000"/>
                <w:highlight w:val="black"/>
              </w:rPr>
              <w:t>'''''''</w:t>
            </w:r>
            <w:r w:rsidR="00A628EA" w:rsidRPr="00511483">
              <w:t>%</w:t>
            </w:r>
          </w:p>
        </w:tc>
      </w:tr>
      <w:tr w:rsidR="00D276EF" w:rsidTr="00481635">
        <w:tc>
          <w:tcPr>
            <w:tcW w:w="2692" w:type="pct"/>
            <w:tcBorders>
              <w:top w:val="single" w:sz="4" w:space="0" w:color="auto"/>
              <w:bottom w:val="nil"/>
            </w:tcBorders>
          </w:tcPr>
          <w:p w:rsidR="00D276EF" w:rsidRPr="00511483" w:rsidRDefault="00D276EF" w:rsidP="00F15CFD">
            <w:pPr>
              <w:pStyle w:val="Tabletext"/>
              <w:keepNext/>
              <w:keepLines/>
              <w:tabs>
                <w:tab w:val="left" w:pos="142"/>
              </w:tabs>
            </w:pPr>
            <w:r w:rsidRPr="00511483">
              <w:t>Time horizon (base case: 15 years)</w:t>
            </w:r>
          </w:p>
        </w:tc>
        <w:tc>
          <w:tcPr>
            <w:tcW w:w="654" w:type="pct"/>
            <w:tcBorders>
              <w:top w:val="single" w:sz="4" w:space="0" w:color="auto"/>
              <w:bottom w:val="nil"/>
            </w:tcBorders>
          </w:tcPr>
          <w:p w:rsidR="00D276EF" w:rsidRPr="00511483" w:rsidRDefault="00D276EF" w:rsidP="00F15CFD">
            <w:pPr>
              <w:pStyle w:val="Tabletext"/>
              <w:keepNext/>
              <w:keepLines/>
              <w:jc w:val="center"/>
            </w:pPr>
          </w:p>
        </w:tc>
        <w:tc>
          <w:tcPr>
            <w:tcW w:w="654" w:type="pct"/>
            <w:tcBorders>
              <w:top w:val="single" w:sz="4" w:space="0" w:color="auto"/>
              <w:bottom w:val="nil"/>
            </w:tcBorders>
          </w:tcPr>
          <w:p w:rsidR="00D276EF" w:rsidRPr="00E77FA0" w:rsidRDefault="00D276EF" w:rsidP="00F15CFD">
            <w:pPr>
              <w:pStyle w:val="Tabletext"/>
              <w:keepNext/>
              <w:keepLines/>
              <w:jc w:val="center"/>
            </w:pPr>
          </w:p>
        </w:tc>
        <w:tc>
          <w:tcPr>
            <w:tcW w:w="538" w:type="pct"/>
            <w:tcBorders>
              <w:top w:val="single" w:sz="4" w:space="0" w:color="auto"/>
              <w:bottom w:val="nil"/>
            </w:tcBorders>
          </w:tcPr>
          <w:p w:rsidR="00D276EF" w:rsidRPr="00511483" w:rsidRDefault="00D276EF" w:rsidP="00F15CFD">
            <w:pPr>
              <w:pStyle w:val="Tabletext"/>
              <w:keepNext/>
              <w:keepLines/>
              <w:jc w:val="center"/>
            </w:pPr>
          </w:p>
        </w:tc>
        <w:tc>
          <w:tcPr>
            <w:tcW w:w="462" w:type="pct"/>
            <w:tcBorders>
              <w:top w:val="single" w:sz="4" w:space="0" w:color="auto"/>
              <w:bottom w:val="nil"/>
            </w:tcBorders>
          </w:tcPr>
          <w:p w:rsidR="00D276EF" w:rsidRPr="00511483" w:rsidRDefault="00D276EF" w:rsidP="00F15CFD">
            <w:pPr>
              <w:pStyle w:val="Tabletext"/>
              <w:keepNext/>
              <w:keepLines/>
              <w:jc w:val="right"/>
            </w:pPr>
          </w:p>
        </w:tc>
      </w:tr>
      <w:tr w:rsidR="00D276EF" w:rsidRPr="00E56C2D" w:rsidTr="00481635">
        <w:tc>
          <w:tcPr>
            <w:tcW w:w="2692" w:type="pct"/>
            <w:tcBorders>
              <w:top w:val="nil"/>
              <w:bottom w:val="nil"/>
            </w:tcBorders>
          </w:tcPr>
          <w:p w:rsidR="00D276EF" w:rsidRPr="00511483" w:rsidRDefault="00D276EF" w:rsidP="00F15CFD">
            <w:pPr>
              <w:pStyle w:val="Tabletext"/>
              <w:keepNext/>
              <w:keepLines/>
              <w:tabs>
                <w:tab w:val="left" w:pos="142"/>
              </w:tabs>
            </w:pPr>
            <w:r w:rsidRPr="00511483">
              <w:tab/>
              <w:t>2.2 years (trial time horizon)</w:t>
            </w:r>
            <w:r w:rsidR="00511483" w:rsidRPr="00511483">
              <w:t>*</w:t>
            </w:r>
          </w:p>
        </w:tc>
        <w:tc>
          <w:tcPr>
            <w:tcW w:w="654" w:type="pct"/>
            <w:tcBorders>
              <w:top w:val="nil"/>
              <w:bottom w:val="nil"/>
            </w:tcBorders>
          </w:tcPr>
          <w:p w:rsidR="00D276EF" w:rsidRPr="00511483" w:rsidRDefault="00D276EF" w:rsidP="00F15CFD">
            <w:pPr>
              <w:pStyle w:val="Tabletext"/>
              <w:keepNext/>
              <w:keepLines/>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F15CFD">
            <w:pPr>
              <w:pStyle w:val="Tabletext"/>
              <w:keepNext/>
              <w:keepLines/>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F15CFD">
            <w:pPr>
              <w:pStyle w:val="Tabletext"/>
              <w:keepNext/>
              <w:keepLines/>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F15CFD">
            <w:pPr>
              <w:pStyle w:val="Tabletext"/>
              <w:keepNext/>
              <w:keepLines/>
              <w:jc w:val="right"/>
            </w:pPr>
            <w:r>
              <w:rPr>
                <w:noProof/>
                <w:color w:val="000000"/>
                <w:highlight w:val="black"/>
              </w:rPr>
              <w:t>'''''''''''''</w:t>
            </w:r>
            <w:r w:rsidR="00D276EF" w:rsidRPr="00511483">
              <w:t>%</w:t>
            </w:r>
          </w:p>
        </w:tc>
      </w:tr>
      <w:tr w:rsidR="00D276EF" w:rsidRPr="00431FEB" w:rsidTr="00481635">
        <w:tc>
          <w:tcPr>
            <w:tcW w:w="2692" w:type="pct"/>
            <w:tcBorders>
              <w:top w:val="nil"/>
              <w:bottom w:val="nil"/>
            </w:tcBorders>
          </w:tcPr>
          <w:p w:rsidR="00D276EF" w:rsidRPr="00511483" w:rsidRDefault="00D276EF" w:rsidP="00F15CFD">
            <w:pPr>
              <w:pStyle w:val="Tabletext"/>
              <w:keepNext/>
              <w:keepLines/>
              <w:tabs>
                <w:tab w:val="left" w:pos="142"/>
              </w:tabs>
            </w:pPr>
            <w:r w:rsidRPr="00511483">
              <w:tab/>
              <w:t xml:space="preserve">7.5 years </w:t>
            </w:r>
            <w:r w:rsidRPr="00511483">
              <w:rPr>
                <w:b/>
              </w:rPr>
              <w:t>(#</w:t>
            </w:r>
            <w:r w:rsidR="00544A14" w:rsidRPr="00511483">
              <w:rPr>
                <w:b/>
              </w:rPr>
              <w:t>4</w:t>
            </w:r>
            <w:r w:rsidRPr="00511483">
              <w:rPr>
                <w:b/>
              </w:rPr>
              <w:t>)</w:t>
            </w:r>
            <w:r w:rsidR="00511483" w:rsidRPr="00511483">
              <w:rPr>
                <w:b/>
              </w:rPr>
              <w:t>*</w:t>
            </w:r>
          </w:p>
        </w:tc>
        <w:tc>
          <w:tcPr>
            <w:tcW w:w="654" w:type="pct"/>
            <w:tcBorders>
              <w:top w:val="nil"/>
              <w:bottom w:val="nil"/>
            </w:tcBorders>
          </w:tcPr>
          <w:p w:rsidR="00D276EF" w:rsidRPr="00511483" w:rsidRDefault="00D276EF" w:rsidP="00F15CFD">
            <w:pPr>
              <w:pStyle w:val="Tabletext"/>
              <w:keepNext/>
              <w:keepLines/>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F15CFD">
            <w:pPr>
              <w:pStyle w:val="Tabletext"/>
              <w:keepNext/>
              <w:keepLines/>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F15CFD">
            <w:pPr>
              <w:pStyle w:val="Tabletext"/>
              <w:keepNext/>
              <w:keepLines/>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F15CFD">
            <w:pPr>
              <w:pStyle w:val="Tabletext"/>
              <w:keepNext/>
              <w:keepLines/>
              <w:jc w:val="right"/>
            </w:pPr>
            <w:r>
              <w:rPr>
                <w:noProof/>
                <w:color w:val="000000"/>
                <w:highlight w:val="black"/>
              </w:rPr>
              <w:t>''''''''''</w:t>
            </w:r>
            <w:r w:rsidR="00D276EF" w:rsidRPr="00511483">
              <w:t>%</w:t>
            </w:r>
          </w:p>
        </w:tc>
      </w:tr>
      <w:tr w:rsidR="00D276EF" w:rsidTr="00481635">
        <w:tc>
          <w:tcPr>
            <w:tcW w:w="2692" w:type="pct"/>
            <w:tcBorders>
              <w:top w:val="nil"/>
              <w:bottom w:val="nil"/>
            </w:tcBorders>
          </w:tcPr>
          <w:p w:rsidR="00D276EF" w:rsidRPr="00511483" w:rsidRDefault="00D276EF" w:rsidP="00F15CFD">
            <w:pPr>
              <w:pStyle w:val="Tabletext"/>
              <w:keepNext/>
              <w:keepLines/>
              <w:tabs>
                <w:tab w:val="left" w:pos="142"/>
              </w:tabs>
            </w:pPr>
            <w:r w:rsidRPr="00511483">
              <w:tab/>
              <w:t>10 years</w:t>
            </w:r>
          </w:p>
        </w:tc>
        <w:tc>
          <w:tcPr>
            <w:tcW w:w="654" w:type="pct"/>
            <w:tcBorders>
              <w:top w:val="nil"/>
              <w:bottom w:val="nil"/>
            </w:tcBorders>
          </w:tcPr>
          <w:p w:rsidR="00D276EF" w:rsidRPr="00511483" w:rsidRDefault="00D276EF" w:rsidP="00F15CFD">
            <w:pPr>
              <w:pStyle w:val="Tabletext"/>
              <w:keepNext/>
              <w:keepLines/>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F15CFD">
            <w:pPr>
              <w:pStyle w:val="Tabletext"/>
              <w:keepNext/>
              <w:keepLines/>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F15CFD">
            <w:pPr>
              <w:pStyle w:val="Tabletext"/>
              <w:keepNext/>
              <w:keepLines/>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F15CFD">
            <w:pPr>
              <w:pStyle w:val="Tabletext"/>
              <w:keepNext/>
              <w:keepLines/>
              <w:jc w:val="right"/>
            </w:pPr>
            <w:r>
              <w:rPr>
                <w:noProof/>
                <w:color w:val="000000"/>
                <w:highlight w:val="black"/>
              </w:rPr>
              <w:t>''''''''</w:t>
            </w:r>
            <w:r w:rsidR="00D276EF" w:rsidRPr="00511483">
              <w:t>%</w:t>
            </w:r>
          </w:p>
        </w:tc>
      </w:tr>
      <w:tr w:rsidR="00D276EF" w:rsidTr="00481635">
        <w:tc>
          <w:tcPr>
            <w:tcW w:w="2692" w:type="pct"/>
            <w:tcBorders>
              <w:top w:val="single" w:sz="4" w:space="0" w:color="auto"/>
              <w:bottom w:val="nil"/>
            </w:tcBorders>
          </w:tcPr>
          <w:p w:rsidR="00D276EF" w:rsidRPr="00511483" w:rsidRDefault="00D276EF" w:rsidP="00C66FDD">
            <w:pPr>
              <w:pStyle w:val="Tabletext"/>
              <w:tabs>
                <w:tab w:val="left" w:pos="142"/>
              </w:tabs>
            </w:pPr>
            <w:r w:rsidRPr="00511483">
              <w:t>Extrapolation of PFS (base case: log-normal)</w:t>
            </w:r>
          </w:p>
        </w:tc>
        <w:tc>
          <w:tcPr>
            <w:tcW w:w="654" w:type="pct"/>
            <w:tcBorders>
              <w:top w:val="single" w:sz="4" w:space="0" w:color="auto"/>
              <w:bottom w:val="nil"/>
            </w:tcBorders>
          </w:tcPr>
          <w:p w:rsidR="00D276EF" w:rsidRPr="00511483" w:rsidRDefault="00D276EF" w:rsidP="00C66FDD">
            <w:pPr>
              <w:pStyle w:val="Tabletext"/>
              <w:jc w:val="center"/>
            </w:pPr>
          </w:p>
        </w:tc>
        <w:tc>
          <w:tcPr>
            <w:tcW w:w="654" w:type="pct"/>
            <w:tcBorders>
              <w:top w:val="single" w:sz="4" w:space="0" w:color="auto"/>
              <w:bottom w:val="nil"/>
            </w:tcBorders>
          </w:tcPr>
          <w:p w:rsidR="00D276EF" w:rsidRPr="00E77FA0" w:rsidRDefault="00D276EF" w:rsidP="00C66FDD">
            <w:pPr>
              <w:pStyle w:val="Tabletext"/>
              <w:jc w:val="center"/>
            </w:pPr>
          </w:p>
        </w:tc>
        <w:tc>
          <w:tcPr>
            <w:tcW w:w="538" w:type="pct"/>
            <w:tcBorders>
              <w:top w:val="single" w:sz="4" w:space="0" w:color="auto"/>
              <w:bottom w:val="nil"/>
            </w:tcBorders>
          </w:tcPr>
          <w:p w:rsidR="00D276EF" w:rsidRPr="00511483" w:rsidRDefault="00D276EF" w:rsidP="00C66FDD">
            <w:pPr>
              <w:pStyle w:val="Tabletext"/>
              <w:jc w:val="center"/>
            </w:pPr>
          </w:p>
        </w:tc>
        <w:tc>
          <w:tcPr>
            <w:tcW w:w="462" w:type="pct"/>
            <w:tcBorders>
              <w:top w:val="single" w:sz="4" w:space="0" w:color="auto"/>
              <w:bottom w:val="nil"/>
            </w:tcBorders>
          </w:tcPr>
          <w:p w:rsidR="00D276EF" w:rsidRPr="00511483" w:rsidRDefault="00D276EF" w:rsidP="00C66FDD">
            <w:pPr>
              <w:pStyle w:val="Tabletext"/>
              <w:jc w:val="right"/>
            </w:pPr>
          </w:p>
        </w:tc>
      </w:tr>
      <w:tr w:rsidR="00D276EF" w:rsidRPr="00431FEB" w:rsidTr="00481635">
        <w:tc>
          <w:tcPr>
            <w:tcW w:w="2692" w:type="pct"/>
            <w:tcBorders>
              <w:top w:val="nil"/>
              <w:bottom w:val="nil"/>
            </w:tcBorders>
          </w:tcPr>
          <w:p w:rsidR="00D276EF" w:rsidRPr="00511483" w:rsidRDefault="00D276EF" w:rsidP="00544A14">
            <w:pPr>
              <w:pStyle w:val="Tabletext"/>
              <w:tabs>
                <w:tab w:val="left" w:pos="142"/>
              </w:tabs>
            </w:pPr>
            <w:r w:rsidRPr="00511483">
              <w:tab/>
              <w:t xml:space="preserve">Exponential extrapolation </w:t>
            </w:r>
            <w:r w:rsidRPr="00511483">
              <w:rPr>
                <w:b/>
              </w:rPr>
              <w:t>(#</w:t>
            </w:r>
            <w:r w:rsidR="00544A14" w:rsidRPr="00511483">
              <w:rPr>
                <w:b/>
              </w:rPr>
              <w:t>2</w:t>
            </w:r>
            <w:r w:rsidRPr="00511483">
              <w:rPr>
                <w:b/>
              </w:rPr>
              <w:t>)</w:t>
            </w:r>
            <w:r w:rsidR="00511483" w:rsidRPr="00511483">
              <w:rPr>
                <w:b/>
              </w:rPr>
              <w:t>*</w:t>
            </w:r>
          </w:p>
        </w:tc>
        <w:tc>
          <w:tcPr>
            <w:tcW w:w="654"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C66FDD">
            <w:pPr>
              <w:pStyle w:val="Tabletext"/>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C66FDD">
            <w:pPr>
              <w:pStyle w:val="Tabletext"/>
              <w:jc w:val="right"/>
            </w:pPr>
            <w:r>
              <w:rPr>
                <w:noProof/>
                <w:color w:val="000000"/>
                <w:highlight w:val="black"/>
              </w:rPr>
              <w:t>'''''''</w:t>
            </w:r>
            <w:r w:rsidR="00D276EF" w:rsidRPr="00511483">
              <w:t>%</w:t>
            </w:r>
          </w:p>
        </w:tc>
      </w:tr>
      <w:tr w:rsidR="00D276EF" w:rsidTr="00481635">
        <w:tc>
          <w:tcPr>
            <w:tcW w:w="2692" w:type="pct"/>
            <w:tcBorders>
              <w:top w:val="nil"/>
              <w:bottom w:val="nil"/>
            </w:tcBorders>
          </w:tcPr>
          <w:p w:rsidR="00D276EF" w:rsidRPr="00511483" w:rsidRDefault="00D276EF" w:rsidP="00C66FDD">
            <w:pPr>
              <w:pStyle w:val="Tabletext"/>
              <w:tabs>
                <w:tab w:val="left" w:pos="142"/>
              </w:tabs>
            </w:pPr>
            <w:r w:rsidRPr="00511483">
              <w:tab/>
              <w:t>Weibull extrapolation</w:t>
            </w:r>
          </w:p>
        </w:tc>
        <w:tc>
          <w:tcPr>
            <w:tcW w:w="654"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C66FDD">
            <w:pPr>
              <w:pStyle w:val="Tabletext"/>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C66FDD">
            <w:pPr>
              <w:pStyle w:val="Tabletext"/>
              <w:jc w:val="right"/>
            </w:pPr>
            <w:r>
              <w:rPr>
                <w:noProof/>
                <w:color w:val="000000"/>
                <w:highlight w:val="black"/>
              </w:rPr>
              <w:t>''''''''</w:t>
            </w:r>
            <w:r w:rsidR="00D276EF" w:rsidRPr="00511483">
              <w:t>%</w:t>
            </w:r>
          </w:p>
        </w:tc>
      </w:tr>
      <w:tr w:rsidR="00D276EF" w:rsidTr="00481635">
        <w:tc>
          <w:tcPr>
            <w:tcW w:w="2692" w:type="pct"/>
            <w:tcBorders>
              <w:top w:val="single" w:sz="4" w:space="0" w:color="auto"/>
              <w:bottom w:val="nil"/>
            </w:tcBorders>
          </w:tcPr>
          <w:p w:rsidR="00D276EF" w:rsidRPr="00511483" w:rsidRDefault="00D276EF" w:rsidP="00C66FDD">
            <w:pPr>
              <w:pStyle w:val="Tabletext"/>
              <w:tabs>
                <w:tab w:val="left" w:pos="142"/>
              </w:tabs>
            </w:pPr>
            <w:r w:rsidRPr="00511483">
              <w:t>Extrapolation of OS (base case: log-normal)</w:t>
            </w:r>
          </w:p>
        </w:tc>
        <w:tc>
          <w:tcPr>
            <w:tcW w:w="654" w:type="pct"/>
            <w:tcBorders>
              <w:top w:val="single" w:sz="4" w:space="0" w:color="auto"/>
              <w:bottom w:val="nil"/>
            </w:tcBorders>
          </w:tcPr>
          <w:p w:rsidR="00D276EF" w:rsidRPr="00511483" w:rsidRDefault="00D276EF" w:rsidP="00C66FDD">
            <w:pPr>
              <w:pStyle w:val="Tabletext"/>
              <w:jc w:val="center"/>
            </w:pPr>
          </w:p>
        </w:tc>
        <w:tc>
          <w:tcPr>
            <w:tcW w:w="654" w:type="pct"/>
            <w:tcBorders>
              <w:top w:val="single" w:sz="4" w:space="0" w:color="auto"/>
              <w:bottom w:val="nil"/>
            </w:tcBorders>
          </w:tcPr>
          <w:p w:rsidR="00D276EF" w:rsidRPr="00E77FA0" w:rsidRDefault="00D276EF" w:rsidP="00C66FDD">
            <w:pPr>
              <w:pStyle w:val="Tabletext"/>
              <w:jc w:val="center"/>
            </w:pPr>
          </w:p>
        </w:tc>
        <w:tc>
          <w:tcPr>
            <w:tcW w:w="538" w:type="pct"/>
            <w:tcBorders>
              <w:top w:val="single" w:sz="4" w:space="0" w:color="auto"/>
              <w:bottom w:val="nil"/>
            </w:tcBorders>
          </w:tcPr>
          <w:p w:rsidR="00D276EF" w:rsidRPr="00511483" w:rsidRDefault="00D276EF" w:rsidP="00C66FDD">
            <w:pPr>
              <w:pStyle w:val="Tabletext"/>
              <w:jc w:val="center"/>
            </w:pPr>
          </w:p>
        </w:tc>
        <w:tc>
          <w:tcPr>
            <w:tcW w:w="462" w:type="pct"/>
            <w:tcBorders>
              <w:top w:val="single" w:sz="4" w:space="0" w:color="auto"/>
              <w:bottom w:val="nil"/>
            </w:tcBorders>
          </w:tcPr>
          <w:p w:rsidR="00D276EF" w:rsidRPr="00511483" w:rsidRDefault="00D276EF" w:rsidP="00C66FDD">
            <w:pPr>
              <w:pStyle w:val="Tabletext"/>
              <w:jc w:val="right"/>
            </w:pPr>
          </w:p>
        </w:tc>
      </w:tr>
      <w:tr w:rsidR="00D276EF" w:rsidTr="00481635">
        <w:tc>
          <w:tcPr>
            <w:tcW w:w="2692" w:type="pct"/>
            <w:tcBorders>
              <w:top w:val="nil"/>
              <w:bottom w:val="nil"/>
            </w:tcBorders>
          </w:tcPr>
          <w:p w:rsidR="00D276EF" w:rsidRPr="00511483" w:rsidRDefault="00D276EF" w:rsidP="00544A14">
            <w:pPr>
              <w:pStyle w:val="Tabletext"/>
              <w:tabs>
                <w:tab w:val="left" w:pos="142"/>
              </w:tabs>
            </w:pPr>
            <w:r w:rsidRPr="00511483">
              <w:tab/>
              <w:t xml:space="preserve">Exponential extrapolation </w:t>
            </w:r>
            <w:r w:rsidRPr="00511483">
              <w:rPr>
                <w:b/>
              </w:rPr>
              <w:t>(#</w:t>
            </w:r>
            <w:r w:rsidR="00544A14" w:rsidRPr="00511483">
              <w:rPr>
                <w:b/>
              </w:rPr>
              <w:t>3</w:t>
            </w:r>
            <w:r w:rsidRPr="00511483">
              <w:rPr>
                <w:b/>
              </w:rPr>
              <w:t>)</w:t>
            </w:r>
          </w:p>
        </w:tc>
        <w:tc>
          <w:tcPr>
            <w:tcW w:w="654"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C66FDD">
            <w:pPr>
              <w:pStyle w:val="Tabletext"/>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C66FDD">
            <w:pPr>
              <w:pStyle w:val="Tabletext"/>
              <w:jc w:val="right"/>
            </w:pPr>
            <w:r>
              <w:rPr>
                <w:noProof/>
                <w:color w:val="000000"/>
                <w:highlight w:val="black"/>
              </w:rPr>
              <w:t>''''''''''</w:t>
            </w:r>
            <w:r w:rsidR="00D276EF" w:rsidRPr="00511483">
              <w:t>%</w:t>
            </w:r>
          </w:p>
        </w:tc>
      </w:tr>
      <w:tr w:rsidR="00D276EF" w:rsidRPr="00431FEB" w:rsidTr="00481635">
        <w:tc>
          <w:tcPr>
            <w:tcW w:w="2692" w:type="pct"/>
            <w:tcBorders>
              <w:top w:val="nil"/>
              <w:bottom w:val="nil"/>
            </w:tcBorders>
          </w:tcPr>
          <w:p w:rsidR="00D276EF" w:rsidRPr="00511483" w:rsidRDefault="00D276EF" w:rsidP="00C66FDD">
            <w:pPr>
              <w:pStyle w:val="Tabletext"/>
              <w:tabs>
                <w:tab w:val="left" w:pos="142"/>
              </w:tabs>
            </w:pPr>
            <w:r w:rsidRPr="00511483">
              <w:tab/>
              <w:t>Weibull extrapolation</w:t>
            </w:r>
            <w:r w:rsidR="00511483" w:rsidRPr="00511483">
              <w:t>*</w:t>
            </w:r>
          </w:p>
        </w:tc>
        <w:tc>
          <w:tcPr>
            <w:tcW w:w="654"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654" w:type="pct"/>
            <w:tcBorders>
              <w:top w:val="nil"/>
              <w:bottom w:val="nil"/>
            </w:tcBorders>
          </w:tcPr>
          <w:p w:rsidR="00D276EF" w:rsidRPr="00E77FA0" w:rsidRDefault="00E77FA0" w:rsidP="00C66FDD">
            <w:pPr>
              <w:pStyle w:val="Tabletext"/>
              <w:jc w:val="center"/>
              <w:rPr>
                <w:highlight w:val="black"/>
              </w:rPr>
            </w:pPr>
            <w:r>
              <w:rPr>
                <w:noProof/>
                <w:color w:val="000000"/>
                <w:highlight w:val="black"/>
              </w:rPr>
              <w:t>'''''''''''''''</w:t>
            </w:r>
          </w:p>
        </w:tc>
        <w:tc>
          <w:tcPr>
            <w:tcW w:w="538" w:type="pct"/>
            <w:tcBorders>
              <w:top w:val="nil"/>
              <w:bottom w:val="nil"/>
            </w:tcBorders>
          </w:tcPr>
          <w:p w:rsidR="00D276EF" w:rsidRPr="00511483" w:rsidRDefault="00D276EF" w:rsidP="00C66FDD">
            <w:pPr>
              <w:pStyle w:val="Tabletext"/>
              <w:jc w:val="center"/>
            </w:pPr>
            <w:r w:rsidRPr="00511483">
              <w:t>$</w:t>
            </w:r>
            <w:r w:rsidR="00E77FA0">
              <w:rPr>
                <w:noProof/>
                <w:color w:val="000000"/>
                <w:highlight w:val="black"/>
              </w:rPr>
              <w:t>'''''''''''''''''</w:t>
            </w:r>
          </w:p>
        </w:tc>
        <w:tc>
          <w:tcPr>
            <w:tcW w:w="462" w:type="pct"/>
            <w:tcBorders>
              <w:top w:val="nil"/>
              <w:bottom w:val="nil"/>
            </w:tcBorders>
          </w:tcPr>
          <w:p w:rsidR="00D276EF" w:rsidRPr="00511483" w:rsidRDefault="00E77FA0" w:rsidP="00C66FDD">
            <w:pPr>
              <w:pStyle w:val="Tabletext"/>
              <w:jc w:val="right"/>
            </w:pPr>
            <w:r>
              <w:rPr>
                <w:noProof/>
                <w:color w:val="000000"/>
                <w:highlight w:val="black"/>
              </w:rPr>
              <w:t>''''''''''</w:t>
            </w:r>
            <w:r w:rsidR="00D276EF" w:rsidRPr="00511483">
              <w:t>%</w:t>
            </w:r>
          </w:p>
        </w:tc>
      </w:tr>
      <w:tr w:rsidR="00300DB8" w:rsidRPr="00431FEB" w:rsidTr="00481635">
        <w:tc>
          <w:tcPr>
            <w:tcW w:w="2692" w:type="pct"/>
            <w:tcBorders>
              <w:top w:val="nil"/>
              <w:bottom w:val="nil"/>
            </w:tcBorders>
          </w:tcPr>
          <w:p w:rsidR="00300DB8" w:rsidRPr="006A491B" w:rsidRDefault="00300DB8" w:rsidP="00300DB8">
            <w:pPr>
              <w:pStyle w:val="Tabletext"/>
              <w:tabs>
                <w:tab w:val="left" w:pos="142"/>
              </w:tabs>
            </w:pPr>
            <w:r w:rsidRPr="006A491B">
              <w:tab/>
            </w:r>
            <w:proofErr w:type="spellStart"/>
            <w:r w:rsidRPr="006A491B">
              <w:t>Gompertz</w:t>
            </w:r>
            <w:proofErr w:type="spellEnd"/>
            <w:r w:rsidRPr="006A491B">
              <w:t xml:space="preserve"> extrapolation</w:t>
            </w:r>
            <w:r w:rsidR="006A491B" w:rsidRPr="006A491B">
              <w:t>*</w:t>
            </w:r>
          </w:p>
        </w:tc>
        <w:tc>
          <w:tcPr>
            <w:tcW w:w="654" w:type="pct"/>
            <w:tcBorders>
              <w:top w:val="nil"/>
              <w:bottom w:val="nil"/>
            </w:tcBorders>
          </w:tcPr>
          <w:p w:rsidR="00300DB8" w:rsidRPr="006A491B" w:rsidRDefault="00300DB8" w:rsidP="00300DB8">
            <w:pPr>
              <w:pStyle w:val="Tabletext"/>
              <w:jc w:val="center"/>
            </w:pPr>
            <w:r w:rsidRPr="006A491B">
              <w:t>$</w:t>
            </w:r>
            <w:r w:rsidR="00E77FA0">
              <w:rPr>
                <w:noProof/>
                <w:color w:val="000000"/>
                <w:highlight w:val="black"/>
              </w:rPr>
              <w:t>''''''''''''''''</w:t>
            </w:r>
          </w:p>
        </w:tc>
        <w:tc>
          <w:tcPr>
            <w:tcW w:w="654" w:type="pct"/>
            <w:tcBorders>
              <w:top w:val="nil"/>
              <w:bottom w:val="nil"/>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bottom w:val="nil"/>
            </w:tcBorders>
          </w:tcPr>
          <w:p w:rsidR="00300DB8" w:rsidRPr="006A491B" w:rsidRDefault="00300DB8" w:rsidP="00300DB8">
            <w:pPr>
              <w:pStyle w:val="Tabletext"/>
              <w:jc w:val="center"/>
            </w:pPr>
            <w:r w:rsidRPr="006A491B">
              <w:t>$</w:t>
            </w:r>
            <w:r w:rsidR="00E77FA0">
              <w:rPr>
                <w:noProof/>
                <w:color w:val="000000"/>
                <w:highlight w:val="black"/>
              </w:rPr>
              <w:t>'''''''''''''''</w:t>
            </w:r>
          </w:p>
        </w:tc>
        <w:tc>
          <w:tcPr>
            <w:tcW w:w="462" w:type="pct"/>
            <w:tcBorders>
              <w:top w:val="nil"/>
              <w:bottom w:val="nil"/>
            </w:tcBorders>
          </w:tcPr>
          <w:p w:rsidR="00300DB8" w:rsidRPr="006A491B" w:rsidRDefault="00E77FA0" w:rsidP="00300DB8">
            <w:pPr>
              <w:pStyle w:val="Tabletext"/>
              <w:jc w:val="right"/>
            </w:pPr>
            <w:r>
              <w:rPr>
                <w:noProof/>
                <w:color w:val="000000"/>
                <w:highlight w:val="black"/>
              </w:rPr>
              <w:t>''''''''''</w:t>
            </w:r>
            <w:r w:rsidR="00300DB8" w:rsidRPr="006A491B">
              <w:t>%</w:t>
            </w:r>
          </w:p>
        </w:tc>
      </w:tr>
      <w:tr w:rsidR="00300DB8" w:rsidTr="00481635">
        <w:tc>
          <w:tcPr>
            <w:tcW w:w="2692" w:type="pct"/>
            <w:tcBorders>
              <w:top w:val="single" w:sz="4" w:space="0" w:color="auto"/>
              <w:bottom w:val="nil"/>
            </w:tcBorders>
          </w:tcPr>
          <w:p w:rsidR="00300DB8" w:rsidRPr="00511483" w:rsidRDefault="00300DB8" w:rsidP="00300DB8">
            <w:pPr>
              <w:pStyle w:val="Tabletext"/>
              <w:tabs>
                <w:tab w:val="left" w:pos="142"/>
              </w:tabs>
            </w:pPr>
            <w:r w:rsidRPr="00511483">
              <w:t>OS and PFS KM truncation time point (base case: 10.3 months)</w:t>
            </w:r>
          </w:p>
        </w:tc>
        <w:tc>
          <w:tcPr>
            <w:tcW w:w="654" w:type="pct"/>
            <w:tcBorders>
              <w:top w:val="single" w:sz="4" w:space="0" w:color="auto"/>
              <w:bottom w:val="nil"/>
            </w:tcBorders>
          </w:tcPr>
          <w:p w:rsidR="00300DB8" w:rsidRPr="00511483" w:rsidRDefault="00300DB8" w:rsidP="00300DB8">
            <w:pPr>
              <w:pStyle w:val="Tabletext"/>
              <w:jc w:val="center"/>
            </w:pPr>
          </w:p>
        </w:tc>
        <w:tc>
          <w:tcPr>
            <w:tcW w:w="654" w:type="pct"/>
            <w:tcBorders>
              <w:top w:val="single" w:sz="4" w:space="0" w:color="auto"/>
              <w:bottom w:val="nil"/>
            </w:tcBorders>
          </w:tcPr>
          <w:p w:rsidR="00300DB8" w:rsidRPr="00E77FA0" w:rsidRDefault="00300DB8" w:rsidP="00300DB8">
            <w:pPr>
              <w:pStyle w:val="Tabletext"/>
              <w:jc w:val="center"/>
            </w:pPr>
          </w:p>
        </w:tc>
        <w:tc>
          <w:tcPr>
            <w:tcW w:w="538" w:type="pct"/>
            <w:tcBorders>
              <w:top w:val="single" w:sz="4" w:space="0" w:color="auto"/>
              <w:bottom w:val="nil"/>
            </w:tcBorders>
          </w:tcPr>
          <w:p w:rsidR="00300DB8" w:rsidRPr="00511483" w:rsidRDefault="00300DB8" w:rsidP="00300DB8">
            <w:pPr>
              <w:pStyle w:val="Tabletext"/>
              <w:jc w:val="center"/>
            </w:pPr>
          </w:p>
        </w:tc>
        <w:tc>
          <w:tcPr>
            <w:tcW w:w="462" w:type="pct"/>
            <w:tcBorders>
              <w:top w:val="single" w:sz="4" w:space="0" w:color="auto"/>
              <w:bottom w:val="nil"/>
            </w:tcBorders>
          </w:tcPr>
          <w:p w:rsidR="00300DB8" w:rsidRPr="00511483" w:rsidRDefault="00300DB8" w:rsidP="00300DB8">
            <w:pPr>
              <w:pStyle w:val="Tabletext"/>
              <w:jc w:val="right"/>
            </w:pPr>
          </w:p>
        </w:tc>
      </w:tr>
      <w:tr w:rsidR="00300DB8" w:rsidRPr="00E56C2D" w:rsidTr="00481635">
        <w:tc>
          <w:tcPr>
            <w:tcW w:w="2692" w:type="pct"/>
            <w:tcBorders>
              <w:top w:val="nil"/>
              <w:bottom w:val="nil"/>
            </w:tcBorders>
          </w:tcPr>
          <w:p w:rsidR="00300DB8" w:rsidRPr="00511483" w:rsidRDefault="00300DB8" w:rsidP="00300DB8">
            <w:pPr>
              <w:pStyle w:val="Tabletext"/>
              <w:tabs>
                <w:tab w:val="left" w:pos="142"/>
              </w:tabs>
            </w:pPr>
            <w:r w:rsidRPr="00511483">
              <w:tab/>
              <w:t xml:space="preserve">Median OS and PFS </w:t>
            </w:r>
            <w:r w:rsidRPr="00511483">
              <w:rPr>
                <w:b/>
              </w:rPr>
              <w:t>(#1)*</w:t>
            </w:r>
          </w:p>
        </w:tc>
        <w:tc>
          <w:tcPr>
            <w:tcW w:w="654"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654" w:type="pct"/>
            <w:tcBorders>
              <w:top w:val="nil"/>
              <w:bottom w:val="nil"/>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462" w:type="pct"/>
            <w:tcBorders>
              <w:top w:val="nil"/>
              <w:bottom w:val="nil"/>
            </w:tcBorders>
          </w:tcPr>
          <w:p w:rsidR="00300DB8" w:rsidRPr="00511483" w:rsidRDefault="00E77FA0" w:rsidP="00300DB8">
            <w:pPr>
              <w:pStyle w:val="Tabletext"/>
              <w:jc w:val="right"/>
            </w:pPr>
            <w:r>
              <w:rPr>
                <w:noProof/>
                <w:color w:val="000000"/>
                <w:highlight w:val="black"/>
              </w:rPr>
              <w:t>''''''''''</w:t>
            </w:r>
            <w:r w:rsidR="00300DB8" w:rsidRPr="00511483">
              <w:t>%</w:t>
            </w:r>
          </w:p>
        </w:tc>
      </w:tr>
      <w:tr w:rsidR="00300DB8" w:rsidTr="00481635">
        <w:tc>
          <w:tcPr>
            <w:tcW w:w="2692" w:type="pct"/>
            <w:tcBorders>
              <w:top w:val="single" w:sz="4" w:space="0" w:color="auto"/>
              <w:bottom w:val="nil"/>
            </w:tcBorders>
          </w:tcPr>
          <w:p w:rsidR="00300DB8" w:rsidRPr="00511483" w:rsidRDefault="00300DB8" w:rsidP="00300DB8">
            <w:pPr>
              <w:pStyle w:val="Tabletext"/>
              <w:tabs>
                <w:tab w:val="left" w:pos="142"/>
              </w:tabs>
            </w:pPr>
            <w:r w:rsidRPr="00511483">
              <w:t>Source of utility weights (base case: NICE 2018b)</w:t>
            </w:r>
          </w:p>
        </w:tc>
        <w:tc>
          <w:tcPr>
            <w:tcW w:w="654" w:type="pct"/>
            <w:tcBorders>
              <w:top w:val="single" w:sz="4" w:space="0" w:color="auto"/>
              <w:bottom w:val="nil"/>
            </w:tcBorders>
          </w:tcPr>
          <w:p w:rsidR="00300DB8" w:rsidRPr="00511483" w:rsidRDefault="00300DB8" w:rsidP="00300DB8">
            <w:pPr>
              <w:pStyle w:val="Tabletext"/>
              <w:jc w:val="center"/>
            </w:pPr>
          </w:p>
        </w:tc>
        <w:tc>
          <w:tcPr>
            <w:tcW w:w="654" w:type="pct"/>
            <w:tcBorders>
              <w:top w:val="single" w:sz="4" w:space="0" w:color="auto"/>
              <w:bottom w:val="nil"/>
            </w:tcBorders>
          </w:tcPr>
          <w:p w:rsidR="00300DB8" w:rsidRPr="00E77FA0" w:rsidRDefault="00300DB8" w:rsidP="00300DB8">
            <w:pPr>
              <w:pStyle w:val="Tabletext"/>
              <w:jc w:val="center"/>
            </w:pPr>
          </w:p>
        </w:tc>
        <w:tc>
          <w:tcPr>
            <w:tcW w:w="538" w:type="pct"/>
            <w:tcBorders>
              <w:top w:val="single" w:sz="4" w:space="0" w:color="auto"/>
              <w:bottom w:val="nil"/>
            </w:tcBorders>
          </w:tcPr>
          <w:p w:rsidR="00300DB8" w:rsidRPr="00511483" w:rsidRDefault="00300DB8" w:rsidP="00300DB8">
            <w:pPr>
              <w:pStyle w:val="Tabletext"/>
              <w:jc w:val="center"/>
            </w:pPr>
          </w:p>
        </w:tc>
        <w:tc>
          <w:tcPr>
            <w:tcW w:w="462" w:type="pct"/>
            <w:tcBorders>
              <w:top w:val="single" w:sz="4" w:space="0" w:color="auto"/>
              <w:bottom w:val="nil"/>
            </w:tcBorders>
          </w:tcPr>
          <w:p w:rsidR="00300DB8" w:rsidRPr="00511483" w:rsidRDefault="00300DB8" w:rsidP="00300DB8">
            <w:pPr>
              <w:pStyle w:val="Tabletext"/>
              <w:jc w:val="right"/>
            </w:pPr>
          </w:p>
        </w:tc>
      </w:tr>
      <w:tr w:rsidR="00300DB8" w:rsidTr="00481635">
        <w:tc>
          <w:tcPr>
            <w:tcW w:w="2692" w:type="pct"/>
            <w:tcBorders>
              <w:top w:val="nil"/>
              <w:bottom w:val="nil"/>
            </w:tcBorders>
          </w:tcPr>
          <w:p w:rsidR="00300DB8" w:rsidRPr="00511483" w:rsidRDefault="00300DB8" w:rsidP="00300DB8">
            <w:pPr>
              <w:pStyle w:val="Tabletext"/>
              <w:tabs>
                <w:tab w:val="left" w:pos="142"/>
              </w:tabs>
            </w:pPr>
            <w:r w:rsidRPr="00511483">
              <w:tab/>
              <w:t>Utility weights from Roth (2018)</w:t>
            </w:r>
            <w:r w:rsidRPr="00511483">
              <w:rPr>
                <w:vertAlign w:val="superscript"/>
              </w:rPr>
              <w:t>b</w:t>
            </w:r>
          </w:p>
        </w:tc>
        <w:tc>
          <w:tcPr>
            <w:tcW w:w="654"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654" w:type="pct"/>
            <w:tcBorders>
              <w:top w:val="nil"/>
              <w:bottom w:val="nil"/>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462" w:type="pct"/>
            <w:tcBorders>
              <w:top w:val="nil"/>
              <w:bottom w:val="nil"/>
            </w:tcBorders>
          </w:tcPr>
          <w:p w:rsidR="00300DB8" w:rsidRPr="00511483" w:rsidRDefault="00E77FA0" w:rsidP="00300DB8">
            <w:pPr>
              <w:pStyle w:val="Tabletext"/>
              <w:jc w:val="right"/>
            </w:pPr>
            <w:r>
              <w:rPr>
                <w:noProof/>
                <w:color w:val="000000"/>
                <w:highlight w:val="black"/>
              </w:rPr>
              <w:t>'''''''''''</w:t>
            </w:r>
            <w:r w:rsidR="00300DB8" w:rsidRPr="00511483">
              <w:t>%</w:t>
            </w:r>
          </w:p>
        </w:tc>
      </w:tr>
      <w:tr w:rsidR="00300DB8" w:rsidTr="00481635">
        <w:tc>
          <w:tcPr>
            <w:tcW w:w="2692" w:type="pct"/>
            <w:tcBorders>
              <w:top w:val="nil"/>
              <w:bottom w:val="nil"/>
            </w:tcBorders>
          </w:tcPr>
          <w:p w:rsidR="00300DB8" w:rsidRPr="00511483" w:rsidRDefault="00300DB8" w:rsidP="00300DB8">
            <w:pPr>
              <w:pStyle w:val="Tabletext"/>
              <w:tabs>
                <w:tab w:val="left" w:pos="142"/>
              </w:tabs>
            </w:pPr>
            <w:r w:rsidRPr="00511483">
              <w:tab/>
              <w:t>Utility weights from Wang (2018)</w:t>
            </w:r>
            <w:r w:rsidRPr="00511483">
              <w:rPr>
                <w:vertAlign w:val="superscript"/>
              </w:rPr>
              <w:t>c</w:t>
            </w:r>
            <w:r w:rsidRPr="00511483">
              <w:t xml:space="preserve"> EQ-5D-5L</w:t>
            </w:r>
          </w:p>
        </w:tc>
        <w:tc>
          <w:tcPr>
            <w:tcW w:w="654"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654" w:type="pct"/>
            <w:tcBorders>
              <w:top w:val="nil"/>
              <w:bottom w:val="nil"/>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462" w:type="pct"/>
            <w:tcBorders>
              <w:top w:val="nil"/>
              <w:bottom w:val="nil"/>
            </w:tcBorders>
          </w:tcPr>
          <w:p w:rsidR="00300DB8" w:rsidRPr="00511483" w:rsidRDefault="00E77FA0" w:rsidP="00300DB8">
            <w:pPr>
              <w:pStyle w:val="Tabletext"/>
              <w:jc w:val="right"/>
            </w:pPr>
            <w:r>
              <w:rPr>
                <w:noProof/>
                <w:color w:val="000000"/>
                <w:highlight w:val="black"/>
              </w:rPr>
              <w:t>''''''''</w:t>
            </w:r>
            <w:r w:rsidR="00300DB8" w:rsidRPr="00511483">
              <w:t>%</w:t>
            </w:r>
          </w:p>
        </w:tc>
      </w:tr>
      <w:tr w:rsidR="00300DB8" w:rsidTr="00481635">
        <w:tc>
          <w:tcPr>
            <w:tcW w:w="2692" w:type="pct"/>
            <w:tcBorders>
              <w:top w:val="nil"/>
              <w:bottom w:val="nil"/>
            </w:tcBorders>
          </w:tcPr>
          <w:p w:rsidR="00300DB8" w:rsidRPr="00511483" w:rsidRDefault="00300DB8" w:rsidP="00300DB8">
            <w:pPr>
              <w:pStyle w:val="Tabletext"/>
              <w:tabs>
                <w:tab w:val="left" w:pos="142"/>
              </w:tabs>
            </w:pPr>
            <w:r w:rsidRPr="00511483">
              <w:tab/>
              <w:t>Utility weights from Wang (2018)</w:t>
            </w:r>
            <w:r w:rsidRPr="00511483">
              <w:rPr>
                <w:vertAlign w:val="superscript"/>
              </w:rPr>
              <w:t>c</w:t>
            </w:r>
            <w:r w:rsidRPr="00511483">
              <w:t xml:space="preserve"> EQ-5D-3L</w:t>
            </w:r>
          </w:p>
        </w:tc>
        <w:tc>
          <w:tcPr>
            <w:tcW w:w="654"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654" w:type="pct"/>
            <w:tcBorders>
              <w:top w:val="nil"/>
              <w:bottom w:val="nil"/>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bottom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462" w:type="pct"/>
            <w:tcBorders>
              <w:top w:val="nil"/>
              <w:bottom w:val="nil"/>
            </w:tcBorders>
          </w:tcPr>
          <w:p w:rsidR="00300DB8" w:rsidRPr="00511483" w:rsidRDefault="00E77FA0" w:rsidP="00300DB8">
            <w:pPr>
              <w:pStyle w:val="Tabletext"/>
              <w:jc w:val="right"/>
            </w:pPr>
            <w:r>
              <w:rPr>
                <w:noProof/>
                <w:color w:val="000000"/>
                <w:highlight w:val="black"/>
              </w:rPr>
              <w:t>''''''''''</w:t>
            </w:r>
            <w:r w:rsidR="00300DB8" w:rsidRPr="00511483">
              <w:t>%</w:t>
            </w:r>
          </w:p>
        </w:tc>
      </w:tr>
      <w:tr w:rsidR="00300DB8" w:rsidTr="00481635">
        <w:tc>
          <w:tcPr>
            <w:tcW w:w="2692" w:type="pct"/>
            <w:tcBorders>
              <w:top w:val="nil"/>
            </w:tcBorders>
          </w:tcPr>
          <w:p w:rsidR="00300DB8" w:rsidRPr="00511483" w:rsidRDefault="00300DB8" w:rsidP="00300DB8">
            <w:pPr>
              <w:pStyle w:val="Tabletext"/>
              <w:tabs>
                <w:tab w:val="left" w:pos="142"/>
              </w:tabs>
            </w:pPr>
            <w:r w:rsidRPr="00511483">
              <w:tab/>
              <w:t xml:space="preserve">Utility weights from NICE </w:t>
            </w:r>
            <w:r w:rsidR="00A3160D">
              <w:t xml:space="preserve">for TA559 </w:t>
            </w:r>
            <w:r w:rsidRPr="00511483">
              <w:t>(2018a)</w:t>
            </w:r>
          </w:p>
        </w:tc>
        <w:tc>
          <w:tcPr>
            <w:tcW w:w="654" w:type="pct"/>
            <w:tcBorders>
              <w:top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654" w:type="pct"/>
            <w:tcBorders>
              <w:top w:val="nil"/>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tcBorders>
          </w:tcPr>
          <w:p w:rsidR="00300DB8" w:rsidRPr="00511483" w:rsidRDefault="00300DB8" w:rsidP="00300DB8">
            <w:pPr>
              <w:pStyle w:val="Tabletext"/>
              <w:jc w:val="center"/>
            </w:pPr>
            <w:r w:rsidRPr="00511483">
              <w:t>$</w:t>
            </w:r>
            <w:r w:rsidR="00E77FA0">
              <w:rPr>
                <w:noProof/>
                <w:color w:val="000000"/>
                <w:highlight w:val="black"/>
              </w:rPr>
              <w:t>''''''''''''''''''</w:t>
            </w:r>
          </w:p>
        </w:tc>
        <w:tc>
          <w:tcPr>
            <w:tcW w:w="462" w:type="pct"/>
            <w:tcBorders>
              <w:top w:val="nil"/>
            </w:tcBorders>
          </w:tcPr>
          <w:p w:rsidR="00300DB8" w:rsidRPr="00511483" w:rsidRDefault="00E77FA0" w:rsidP="00300DB8">
            <w:pPr>
              <w:pStyle w:val="Tabletext"/>
              <w:jc w:val="right"/>
            </w:pPr>
            <w:r>
              <w:rPr>
                <w:noProof/>
                <w:color w:val="000000"/>
                <w:highlight w:val="black"/>
              </w:rPr>
              <w:t>''''''''''</w:t>
            </w:r>
            <w:r w:rsidR="00300DB8" w:rsidRPr="00511483">
              <w:t>%</w:t>
            </w:r>
          </w:p>
        </w:tc>
      </w:tr>
      <w:tr w:rsidR="00300DB8" w:rsidRPr="00431FEB" w:rsidTr="00481635">
        <w:tc>
          <w:tcPr>
            <w:tcW w:w="2692" w:type="pct"/>
            <w:tcBorders>
              <w:top w:val="nil"/>
              <w:bottom w:val="single" w:sz="4" w:space="0" w:color="auto"/>
            </w:tcBorders>
          </w:tcPr>
          <w:p w:rsidR="00300DB8" w:rsidRPr="00511483" w:rsidRDefault="00300DB8" w:rsidP="00300DB8">
            <w:pPr>
              <w:pStyle w:val="Tabletext"/>
              <w:tabs>
                <w:tab w:val="left" w:pos="142"/>
              </w:tabs>
            </w:pPr>
            <w:r w:rsidRPr="00511483">
              <w:t xml:space="preserve">Applying treatment-related AE </w:t>
            </w:r>
            <w:proofErr w:type="spellStart"/>
            <w:r w:rsidRPr="00511483">
              <w:t>disutilities</w:t>
            </w:r>
            <w:proofErr w:type="spellEnd"/>
            <w:r w:rsidRPr="00511483">
              <w:t xml:space="preserve"> (base case: not included) </w:t>
            </w:r>
            <w:r w:rsidRPr="00511483">
              <w:rPr>
                <w:b/>
              </w:rPr>
              <w:t>(#5)</w:t>
            </w:r>
            <w:r w:rsidRPr="00511483">
              <w:t>*</w:t>
            </w:r>
            <w:r w:rsidRPr="00511483">
              <w:rPr>
                <w:b/>
              </w:rPr>
              <w:t xml:space="preserve"> </w:t>
            </w:r>
            <w:r w:rsidRPr="00511483">
              <w:rPr>
                <w:vertAlign w:val="superscript"/>
              </w:rPr>
              <w:t>d</w:t>
            </w:r>
          </w:p>
        </w:tc>
        <w:tc>
          <w:tcPr>
            <w:tcW w:w="654" w:type="pct"/>
            <w:tcBorders>
              <w:top w:val="nil"/>
              <w:bottom w:val="single" w:sz="4" w:space="0" w:color="auto"/>
            </w:tcBorders>
          </w:tcPr>
          <w:p w:rsidR="00300DB8" w:rsidRPr="00511483" w:rsidRDefault="00300DB8" w:rsidP="00300DB8">
            <w:pPr>
              <w:pStyle w:val="Tabletext"/>
              <w:jc w:val="center"/>
            </w:pPr>
            <w:r w:rsidRPr="00511483">
              <w:t>$</w:t>
            </w:r>
            <w:r w:rsidR="00E77FA0">
              <w:rPr>
                <w:noProof/>
                <w:color w:val="000000"/>
                <w:highlight w:val="black"/>
              </w:rPr>
              <w:t>'''''''''''''''''</w:t>
            </w:r>
          </w:p>
        </w:tc>
        <w:tc>
          <w:tcPr>
            <w:tcW w:w="654" w:type="pct"/>
            <w:tcBorders>
              <w:top w:val="nil"/>
              <w:bottom w:val="single" w:sz="4" w:space="0" w:color="auto"/>
            </w:tcBorders>
          </w:tcPr>
          <w:p w:rsidR="00300DB8" w:rsidRPr="00E77FA0" w:rsidRDefault="00E77FA0" w:rsidP="00300DB8">
            <w:pPr>
              <w:pStyle w:val="Tabletext"/>
              <w:jc w:val="center"/>
              <w:rPr>
                <w:highlight w:val="black"/>
              </w:rPr>
            </w:pPr>
            <w:r>
              <w:rPr>
                <w:noProof/>
                <w:color w:val="000000"/>
                <w:highlight w:val="black"/>
              </w:rPr>
              <w:t>''''''''''''''''</w:t>
            </w:r>
          </w:p>
        </w:tc>
        <w:tc>
          <w:tcPr>
            <w:tcW w:w="538" w:type="pct"/>
            <w:tcBorders>
              <w:top w:val="nil"/>
              <w:bottom w:val="single" w:sz="4" w:space="0" w:color="auto"/>
            </w:tcBorders>
          </w:tcPr>
          <w:p w:rsidR="00300DB8" w:rsidRPr="00511483" w:rsidRDefault="00300DB8" w:rsidP="00300DB8">
            <w:pPr>
              <w:pStyle w:val="Tabletext"/>
              <w:jc w:val="center"/>
            </w:pPr>
            <w:r w:rsidRPr="00511483">
              <w:t>$</w:t>
            </w:r>
            <w:r w:rsidR="00E77FA0">
              <w:rPr>
                <w:noProof/>
                <w:color w:val="000000"/>
                <w:highlight w:val="black"/>
              </w:rPr>
              <w:t>'''''''''''''''</w:t>
            </w:r>
          </w:p>
        </w:tc>
        <w:tc>
          <w:tcPr>
            <w:tcW w:w="462" w:type="pct"/>
            <w:tcBorders>
              <w:top w:val="nil"/>
              <w:bottom w:val="single" w:sz="4" w:space="0" w:color="auto"/>
            </w:tcBorders>
          </w:tcPr>
          <w:p w:rsidR="00300DB8" w:rsidRPr="00511483" w:rsidRDefault="00E77FA0" w:rsidP="00300DB8">
            <w:pPr>
              <w:pStyle w:val="Tabletext"/>
              <w:jc w:val="right"/>
            </w:pPr>
            <w:r>
              <w:rPr>
                <w:noProof/>
                <w:color w:val="000000"/>
                <w:highlight w:val="black"/>
              </w:rPr>
              <w:t>'''''''</w:t>
            </w:r>
            <w:r w:rsidR="00300DB8" w:rsidRPr="00511483">
              <w:t>%</w:t>
            </w:r>
          </w:p>
        </w:tc>
      </w:tr>
      <w:tr w:rsidR="00300DB8" w:rsidRPr="001956F9" w:rsidTr="00481635">
        <w:tc>
          <w:tcPr>
            <w:tcW w:w="2692" w:type="pct"/>
            <w:tcBorders>
              <w:right w:val="nil"/>
            </w:tcBorders>
          </w:tcPr>
          <w:p w:rsidR="00300DB8" w:rsidRPr="00511483" w:rsidRDefault="00300DB8" w:rsidP="00300DB8">
            <w:pPr>
              <w:pStyle w:val="Tabletext"/>
              <w:tabs>
                <w:tab w:val="left" w:pos="142"/>
              </w:tabs>
              <w:rPr>
                <w:b/>
              </w:rPr>
            </w:pPr>
            <w:r w:rsidRPr="00511483">
              <w:rPr>
                <w:b/>
              </w:rPr>
              <w:t>Multivariate analyses</w:t>
            </w:r>
          </w:p>
        </w:tc>
        <w:tc>
          <w:tcPr>
            <w:tcW w:w="654" w:type="pct"/>
            <w:tcBorders>
              <w:left w:val="nil"/>
              <w:right w:val="nil"/>
            </w:tcBorders>
          </w:tcPr>
          <w:p w:rsidR="00300DB8" w:rsidRPr="00511483" w:rsidRDefault="00300DB8" w:rsidP="00300DB8">
            <w:pPr>
              <w:pStyle w:val="Tabletext"/>
              <w:tabs>
                <w:tab w:val="left" w:pos="142"/>
              </w:tabs>
              <w:rPr>
                <w:b/>
              </w:rPr>
            </w:pPr>
          </w:p>
        </w:tc>
        <w:tc>
          <w:tcPr>
            <w:tcW w:w="654" w:type="pct"/>
            <w:tcBorders>
              <w:left w:val="nil"/>
              <w:right w:val="nil"/>
            </w:tcBorders>
          </w:tcPr>
          <w:p w:rsidR="00300DB8" w:rsidRPr="00E77FA0" w:rsidRDefault="00300DB8" w:rsidP="00300DB8">
            <w:pPr>
              <w:pStyle w:val="Tabletext"/>
              <w:tabs>
                <w:tab w:val="left" w:pos="142"/>
              </w:tabs>
              <w:rPr>
                <w:b/>
              </w:rPr>
            </w:pPr>
          </w:p>
        </w:tc>
        <w:tc>
          <w:tcPr>
            <w:tcW w:w="538" w:type="pct"/>
            <w:tcBorders>
              <w:left w:val="nil"/>
              <w:right w:val="nil"/>
            </w:tcBorders>
          </w:tcPr>
          <w:p w:rsidR="00300DB8" w:rsidRPr="00511483" w:rsidRDefault="00300DB8" w:rsidP="00300DB8">
            <w:pPr>
              <w:pStyle w:val="Tabletext"/>
              <w:tabs>
                <w:tab w:val="left" w:pos="142"/>
              </w:tabs>
              <w:rPr>
                <w:b/>
              </w:rPr>
            </w:pPr>
          </w:p>
        </w:tc>
        <w:tc>
          <w:tcPr>
            <w:tcW w:w="462" w:type="pct"/>
            <w:tcBorders>
              <w:left w:val="nil"/>
            </w:tcBorders>
          </w:tcPr>
          <w:p w:rsidR="00300DB8" w:rsidRPr="00511483" w:rsidRDefault="00300DB8" w:rsidP="00300DB8">
            <w:pPr>
              <w:pStyle w:val="Tabletext"/>
              <w:tabs>
                <w:tab w:val="left" w:pos="142"/>
              </w:tabs>
              <w:rPr>
                <w:b/>
              </w:rPr>
            </w:pPr>
          </w:p>
        </w:tc>
      </w:tr>
      <w:tr w:rsidR="00300DB8" w:rsidRPr="001956F9" w:rsidTr="007B79B8">
        <w:tc>
          <w:tcPr>
            <w:tcW w:w="2692" w:type="pct"/>
          </w:tcPr>
          <w:p w:rsidR="00300DB8" w:rsidRPr="00511483" w:rsidRDefault="00300DB8" w:rsidP="00300DB8">
            <w:pPr>
              <w:pStyle w:val="Tabletext"/>
              <w:tabs>
                <w:tab w:val="left" w:pos="142"/>
              </w:tabs>
            </w:pPr>
            <w:r w:rsidRPr="00511483">
              <w:t>#1, #2 AND #3 (i.e. extrapolation and KM truncation time point)*</w:t>
            </w:r>
          </w:p>
        </w:tc>
        <w:tc>
          <w:tcPr>
            <w:tcW w:w="654" w:type="pct"/>
          </w:tcPr>
          <w:p w:rsidR="00300DB8" w:rsidRPr="00511483" w:rsidRDefault="00300DB8" w:rsidP="00300DB8">
            <w:pPr>
              <w:pStyle w:val="Tabletext"/>
              <w:jc w:val="center"/>
            </w:pPr>
            <w:r w:rsidRPr="00511483">
              <w:t>$</w:t>
            </w:r>
            <w:r w:rsidR="00E77FA0">
              <w:rPr>
                <w:noProof/>
                <w:color w:val="000000"/>
                <w:highlight w:val="black"/>
              </w:rPr>
              <w:t>'''''''''''''''</w:t>
            </w:r>
          </w:p>
        </w:tc>
        <w:tc>
          <w:tcPr>
            <w:tcW w:w="654" w:type="pct"/>
          </w:tcPr>
          <w:p w:rsidR="00300DB8" w:rsidRPr="00E77FA0" w:rsidRDefault="00E77FA0" w:rsidP="00300DB8">
            <w:pPr>
              <w:pStyle w:val="Tabletext"/>
              <w:jc w:val="center"/>
              <w:rPr>
                <w:highlight w:val="black"/>
              </w:rPr>
            </w:pPr>
            <w:r>
              <w:rPr>
                <w:noProof/>
                <w:color w:val="000000"/>
                <w:highlight w:val="black"/>
              </w:rPr>
              <w:t>''''''''''''''''</w:t>
            </w:r>
          </w:p>
        </w:tc>
        <w:tc>
          <w:tcPr>
            <w:tcW w:w="538" w:type="pct"/>
          </w:tcPr>
          <w:p w:rsidR="00300DB8" w:rsidRPr="00511483" w:rsidRDefault="00300DB8" w:rsidP="00300DB8">
            <w:pPr>
              <w:pStyle w:val="Tabletext"/>
              <w:jc w:val="center"/>
            </w:pPr>
            <w:r w:rsidRPr="00511483">
              <w:t>$</w:t>
            </w:r>
            <w:r w:rsidR="00E77FA0">
              <w:rPr>
                <w:noProof/>
                <w:color w:val="000000"/>
                <w:highlight w:val="black"/>
              </w:rPr>
              <w:t>'''''''''''''''''</w:t>
            </w:r>
          </w:p>
        </w:tc>
        <w:tc>
          <w:tcPr>
            <w:tcW w:w="462" w:type="pct"/>
          </w:tcPr>
          <w:p w:rsidR="00300DB8" w:rsidRPr="00511483" w:rsidRDefault="00E77FA0" w:rsidP="00300DB8">
            <w:pPr>
              <w:pStyle w:val="Tabletext"/>
              <w:jc w:val="center"/>
            </w:pPr>
            <w:r>
              <w:rPr>
                <w:noProof/>
                <w:color w:val="000000"/>
                <w:highlight w:val="black"/>
              </w:rPr>
              <w:t>'''''''''''</w:t>
            </w:r>
            <w:r w:rsidR="00300DB8" w:rsidRPr="00511483">
              <w:t>%</w:t>
            </w:r>
          </w:p>
        </w:tc>
      </w:tr>
      <w:tr w:rsidR="00300DB8" w:rsidRPr="001956F9" w:rsidTr="007B79B8">
        <w:tc>
          <w:tcPr>
            <w:tcW w:w="2692" w:type="pct"/>
          </w:tcPr>
          <w:p w:rsidR="00300DB8" w:rsidRPr="00511483" w:rsidRDefault="00300DB8" w:rsidP="00300DB8">
            <w:pPr>
              <w:pStyle w:val="Tabletext"/>
              <w:tabs>
                <w:tab w:val="left" w:pos="142"/>
              </w:tabs>
            </w:pPr>
            <w:r w:rsidRPr="00511483">
              <w:t>#1, #2, #3 AND #4 (as above + time horizon)*</w:t>
            </w:r>
          </w:p>
        </w:tc>
        <w:tc>
          <w:tcPr>
            <w:tcW w:w="654" w:type="pct"/>
          </w:tcPr>
          <w:p w:rsidR="00300DB8" w:rsidRPr="00511483" w:rsidRDefault="00300DB8" w:rsidP="00300DB8">
            <w:pPr>
              <w:pStyle w:val="Tabletext"/>
              <w:jc w:val="center"/>
            </w:pPr>
            <w:r w:rsidRPr="00511483">
              <w:t>$</w:t>
            </w:r>
            <w:r w:rsidR="00E77FA0">
              <w:rPr>
                <w:noProof/>
                <w:color w:val="000000"/>
                <w:highlight w:val="black"/>
              </w:rPr>
              <w:t>'''''''''''''''''</w:t>
            </w:r>
          </w:p>
        </w:tc>
        <w:tc>
          <w:tcPr>
            <w:tcW w:w="654" w:type="pct"/>
          </w:tcPr>
          <w:p w:rsidR="00300DB8" w:rsidRPr="00E77FA0" w:rsidRDefault="00E77FA0" w:rsidP="00300DB8">
            <w:pPr>
              <w:pStyle w:val="Tabletext"/>
              <w:jc w:val="center"/>
              <w:rPr>
                <w:highlight w:val="black"/>
              </w:rPr>
            </w:pPr>
            <w:r>
              <w:rPr>
                <w:noProof/>
                <w:color w:val="000000"/>
                <w:highlight w:val="black"/>
              </w:rPr>
              <w:t>'''''''''''''''</w:t>
            </w:r>
          </w:p>
        </w:tc>
        <w:tc>
          <w:tcPr>
            <w:tcW w:w="538" w:type="pct"/>
          </w:tcPr>
          <w:p w:rsidR="00300DB8" w:rsidRPr="00511483" w:rsidRDefault="00300DB8" w:rsidP="00300DB8">
            <w:pPr>
              <w:pStyle w:val="Tabletext"/>
              <w:jc w:val="center"/>
            </w:pPr>
            <w:r w:rsidRPr="00511483">
              <w:t>$</w:t>
            </w:r>
            <w:r w:rsidR="00E77FA0">
              <w:rPr>
                <w:noProof/>
                <w:color w:val="000000"/>
                <w:highlight w:val="black"/>
              </w:rPr>
              <w:t>'''''''''''''''''</w:t>
            </w:r>
          </w:p>
        </w:tc>
        <w:tc>
          <w:tcPr>
            <w:tcW w:w="462" w:type="pct"/>
          </w:tcPr>
          <w:p w:rsidR="00300DB8" w:rsidRPr="00511483" w:rsidRDefault="00E77FA0" w:rsidP="00300DB8">
            <w:pPr>
              <w:pStyle w:val="Tabletext"/>
              <w:jc w:val="center"/>
            </w:pPr>
            <w:r>
              <w:rPr>
                <w:noProof/>
                <w:color w:val="000000"/>
                <w:highlight w:val="black"/>
              </w:rPr>
              <w:t>''''''''''</w:t>
            </w:r>
            <w:r w:rsidR="00300DB8" w:rsidRPr="00511483">
              <w:t>%</w:t>
            </w:r>
          </w:p>
        </w:tc>
      </w:tr>
      <w:tr w:rsidR="00300DB8" w:rsidRPr="001956F9" w:rsidTr="007B79B8">
        <w:tc>
          <w:tcPr>
            <w:tcW w:w="2692" w:type="pct"/>
          </w:tcPr>
          <w:p w:rsidR="00300DB8" w:rsidRPr="00511483" w:rsidRDefault="00300DB8" w:rsidP="00300DB8">
            <w:pPr>
              <w:pStyle w:val="Tabletext"/>
              <w:tabs>
                <w:tab w:val="left" w:pos="142"/>
              </w:tabs>
            </w:pPr>
            <w:r w:rsidRPr="00511483">
              <w:t>#1, #2, #3, #4 AND #5 (as above + AE disutility)*</w:t>
            </w:r>
          </w:p>
        </w:tc>
        <w:tc>
          <w:tcPr>
            <w:tcW w:w="654" w:type="pct"/>
          </w:tcPr>
          <w:p w:rsidR="00300DB8" w:rsidRPr="00511483" w:rsidRDefault="00300DB8" w:rsidP="00300DB8">
            <w:pPr>
              <w:pStyle w:val="Tabletext"/>
              <w:jc w:val="center"/>
            </w:pPr>
            <w:r w:rsidRPr="00511483">
              <w:t>$</w:t>
            </w:r>
            <w:r w:rsidR="00E77FA0">
              <w:rPr>
                <w:noProof/>
                <w:color w:val="000000"/>
                <w:highlight w:val="black"/>
              </w:rPr>
              <w:t>''''''''''''''''</w:t>
            </w:r>
          </w:p>
        </w:tc>
        <w:tc>
          <w:tcPr>
            <w:tcW w:w="654" w:type="pct"/>
          </w:tcPr>
          <w:p w:rsidR="00300DB8" w:rsidRPr="00E77FA0" w:rsidRDefault="00E77FA0" w:rsidP="00300DB8">
            <w:pPr>
              <w:pStyle w:val="Tabletext"/>
              <w:jc w:val="center"/>
              <w:rPr>
                <w:highlight w:val="black"/>
              </w:rPr>
            </w:pPr>
            <w:r>
              <w:rPr>
                <w:noProof/>
                <w:color w:val="000000"/>
                <w:highlight w:val="black"/>
              </w:rPr>
              <w:t>'''''''''''''''</w:t>
            </w:r>
          </w:p>
        </w:tc>
        <w:tc>
          <w:tcPr>
            <w:tcW w:w="538" w:type="pct"/>
          </w:tcPr>
          <w:p w:rsidR="00300DB8" w:rsidRPr="00511483" w:rsidRDefault="00300DB8" w:rsidP="00300DB8">
            <w:pPr>
              <w:pStyle w:val="Tabletext"/>
              <w:jc w:val="center"/>
            </w:pPr>
            <w:r w:rsidRPr="00511483">
              <w:t>$</w:t>
            </w:r>
            <w:r w:rsidR="00E77FA0">
              <w:rPr>
                <w:noProof/>
                <w:color w:val="000000"/>
                <w:highlight w:val="black"/>
              </w:rPr>
              <w:t>'''''''''''''''''</w:t>
            </w:r>
          </w:p>
        </w:tc>
        <w:tc>
          <w:tcPr>
            <w:tcW w:w="462" w:type="pct"/>
          </w:tcPr>
          <w:p w:rsidR="00300DB8" w:rsidRPr="00511483" w:rsidRDefault="00E77FA0" w:rsidP="00300DB8">
            <w:pPr>
              <w:pStyle w:val="Tabletext"/>
              <w:jc w:val="center"/>
            </w:pPr>
            <w:r>
              <w:rPr>
                <w:noProof/>
                <w:color w:val="000000"/>
                <w:highlight w:val="black"/>
              </w:rPr>
              <w:t>'''''''''''</w:t>
            </w:r>
            <w:r w:rsidR="00300DB8" w:rsidRPr="00511483">
              <w:t>%</w:t>
            </w:r>
          </w:p>
        </w:tc>
      </w:tr>
      <w:tr w:rsidR="00300DB8" w:rsidRPr="001956F9" w:rsidTr="007B79B8">
        <w:tc>
          <w:tcPr>
            <w:tcW w:w="2692" w:type="pct"/>
          </w:tcPr>
          <w:p w:rsidR="00300DB8" w:rsidRPr="00511483" w:rsidRDefault="00300DB8" w:rsidP="00300DB8">
            <w:pPr>
              <w:pStyle w:val="Tabletext"/>
              <w:tabs>
                <w:tab w:val="left" w:pos="142"/>
              </w:tabs>
            </w:pPr>
            <w:r w:rsidRPr="00511483">
              <w:t xml:space="preserve">#1, #2, #3, #4, #5 AND #6 (as above + </w:t>
            </w:r>
            <w:proofErr w:type="spellStart"/>
            <w:r w:rsidRPr="00511483">
              <w:t>RGemOx</w:t>
            </w:r>
            <w:proofErr w:type="spellEnd"/>
            <w:r w:rsidRPr="00511483">
              <w:t xml:space="preserve"> costs)*</w:t>
            </w:r>
          </w:p>
        </w:tc>
        <w:tc>
          <w:tcPr>
            <w:tcW w:w="654" w:type="pct"/>
          </w:tcPr>
          <w:p w:rsidR="00300DB8" w:rsidRPr="00511483" w:rsidRDefault="00300DB8" w:rsidP="00300DB8">
            <w:pPr>
              <w:pStyle w:val="Tabletext"/>
              <w:jc w:val="center"/>
            </w:pPr>
            <w:r w:rsidRPr="00511483">
              <w:t>$</w:t>
            </w:r>
            <w:r w:rsidR="00E77FA0">
              <w:rPr>
                <w:noProof/>
                <w:color w:val="000000"/>
                <w:highlight w:val="black"/>
              </w:rPr>
              <w:t>'''''''''''''''</w:t>
            </w:r>
          </w:p>
        </w:tc>
        <w:tc>
          <w:tcPr>
            <w:tcW w:w="654" w:type="pct"/>
          </w:tcPr>
          <w:p w:rsidR="00300DB8" w:rsidRPr="00E77FA0" w:rsidRDefault="00E77FA0" w:rsidP="00300DB8">
            <w:pPr>
              <w:pStyle w:val="Tabletext"/>
              <w:jc w:val="center"/>
              <w:rPr>
                <w:highlight w:val="black"/>
              </w:rPr>
            </w:pPr>
            <w:r>
              <w:rPr>
                <w:noProof/>
                <w:color w:val="000000"/>
                <w:highlight w:val="black"/>
              </w:rPr>
              <w:t>''''''''''''''''</w:t>
            </w:r>
          </w:p>
        </w:tc>
        <w:tc>
          <w:tcPr>
            <w:tcW w:w="538" w:type="pct"/>
          </w:tcPr>
          <w:p w:rsidR="00300DB8" w:rsidRPr="00511483" w:rsidRDefault="00300DB8" w:rsidP="00300DB8">
            <w:pPr>
              <w:pStyle w:val="Tabletext"/>
              <w:jc w:val="center"/>
            </w:pPr>
            <w:r w:rsidRPr="00511483">
              <w:t>$</w:t>
            </w:r>
            <w:r w:rsidR="00E77FA0">
              <w:rPr>
                <w:noProof/>
                <w:color w:val="000000"/>
                <w:highlight w:val="black"/>
              </w:rPr>
              <w:t>''''''''''''''''''</w:t>
            </w:r>
          </w:p>
        </w:tc>
        <w:tc>
          <w:tcPr>
            <w:tcW w:w="462" w:type="pct"/>
          </w:tcPr>
          <w:p w:rsidR="00300DB8" w:rsidRPr="00511483" w:rsidRDefault="00E77FA0" w:rsidP="00300DB8">
            <w:pPr>
              <w:pStyle w:val="Tabletext"/>
              <w:jc w:val="center"/>
            </w:pPr>
            <w:r>
              <w:rPr>
                <w:noProof/>
                <w:color w:val="000000"/>
                <w:highlight w:val="black"/>
              </w:rPr>
              <w:t>'''''''''''</w:t>
            </w:r>
            <w:r w:rsidR="00300DB8" w:rsidRPr="00511483">
              <w:t>%</w:t>
            </w:r>
          </w:p>
        </w:tc>
      </w:tr>
    </w:tbl>
    <w:p w:rsidR="00D276EF" w:rsidRPr="00511483" w:rsidRDefault="006A491B" w:rsidP="00D276EF">
      <w:pPr>
        <w:pStyle w:val="TableFooter"/>
      </w:pPr>
      <w:r>
        <w:t>* D</w:t>
      </w:r>
      <w:r w:rsidR="00511483">
        <w:t>enotes a</w:t>
      </w:r>
      <w:r w:rsidR="00D276EF" w:rsidRPr="00511483">
        <w:t>nalyses</w:t>
      </w:r>
      <w:r w:rsidR="00511483">
        <w:t xml:space="preserve"> </w:t>
      </w:r>
      <w:r w:rsidR="00D276EF" w:rsidRPr="00511483">
        <w:t>conducted during the evaluation. All results were conducted around base case estimates which had been revised during the evaluation to correct for minor errors identified relating to the quality-of-life adjustment in the progression-free off treatment health state up to cycle 18 and the cost per 100 mg vial of rituximab used; and to use the current fees (as of July 1, 2019) for the efficient funding of chemotherapy drugs and MBS items 105, 13915 and 13918.</w:t>
      </w:r>
    </w:p>
    <w:p w:rsidR="003E6312" w:rsidRPr="00511483" w:rsidRDefault="003E6312" w:rsidP="003E6312">
      <w:pPr>
        <w:pStyle w:val="TableFooter"/>
      </w:pPr>
      <w:proofErr w:type="spellStart"/>
      <w:proofErr w:type="gramStart"/>
      <w:r w:rsidRPr="00511483">
        <w:rPr>
          <w:vertAlign w:val="superscript"/>
        </w:rPr>
        <w:t>a</w:t>
      </w:r>
      <w:proofErr w:type="spellEnd"/>
      <w:proofErr w:type="gramEnd"/>
      <w:r w:rsidRPr="00511483">
        <w:t xml:space="preserve"> The cost of </w:t>
      </w:r>
      <w:proofErr w:type="spellStart"/>
      <w:r w:rsidRPr="00511483">
        <w:t>RGemOx</w:t>
      </w:r>
      <w:proofErr w:type="spellEnd"/>
      <w:r w:rsidRPr="00511483">
        <w:t xml:space="preserve"> </w:t>
      </w:r>
      <w:r w:rsidRPr="001B6AB4">
        <w:t xml:space="preserve">was </w:t>
      </w:r>
      <w:r w:rsidRPr="00A55D20">
        <w:t xml:space="preserve">based on </w:t>
      </w:r>
      <w:r w:rsidR="00E77FA0">
        <w:rPr>
          <w:noProof/>
          <w:color w:val="000000"/>
          <w:highlight w:val="black"/>
        </w:rPr>
        <w:t>'''''''''</w:t>
      </w:r>
      <w:r w:rsidRPr="00A55D20">
        <w:t> mg of rituximab (weighted average cost per treatment cycle of $</w:t>
      </w:r>
      <w:r w:rsidR="00E77FA0">
        <w:rPr>
          <w:noProof/>
          <w:color w:val="000000"/>
          <w:highlight w:val="black"/>
        </w:rPr>
        <w:t>'''''''''''''''''''''''</w:t>
      </w:r>
      <w:r w:rsidRPr="00A55D20">
        <w:t xml:space="preserve">), </w:t>
      </w:r>
      <w:r w:rsidR="00E77FA0">
        <w:rPr>
          <w:noProof/>
          <w:color w:val="000000"/>
          <w:highlight w:val="black"/>
        </w:rPr>
        <w:t>''''''''''''</w:t>
      </w:r>
      <w:r w:rsidRPr="00A55D20">
        <w:t> mg gemcitabine (weighted average cost of $</w:t>
      </w:r>
      <w:r w:rsidR="00E77FA0">
        <w:rPr>
          <w:noProof/>
          <w:color w:val="000000"/>
          <w:highlight w:val="black"/>
        </w:rPr>
        <w:t>''''''''''''''''</w:t>
      </w:r>
      <w:r w:rsidRPr="00A55D20">
        <w:t xml:space="preserve">) and </w:t>
      </w:r>
      <w:r w:rsidR="00E77FA0">
        <w:rPr>
          <w:noProof/>
          <w:color w:val="000000"/>
          <w:highlight w:val="black"/>
        </w:rPr>
        <w:t>''''''''''</w:t>
      </w:r>
      <w:r w:rsidRPr="00A55D20">
        <w:t xml:space="preserve"> mg </w:t>
      </w:r>
      <w:proofErr w:type="spellStart"/>
      <w:r w:rsidRPr="00A55D20">
        <w:t>oxaliplatin</w:t>
      </w:r>
      <w:proofErr w:type="spellEnd"/>
      <w:r w:rsidRPr="00A55D20">
        <w:t xml:space="preserve"> (weighted average cost of $</w:t>
      </w:r>
      <w:r w:rsidR="00E77FA0">
        <w:rPr>
          <w:noProof/>
          <w:color w:val="000000"/>
          <w:highlight w:val="black"/>
        </w:rPr>
        <w:t>'''''''''''''''''</w:t>
      </w:r>
      <w:r w:rsidRPr="00A55D20">
        <w:t>). This totalled $</w:t>
      </w:r>
      <w:r w:rsidR="00E77FA0">
        <w:rPr>
          <w:noProof/>
          <w:color w:val="000000"/>
          <w:highlight w:val="black"/>
        </w:rPr>
        <w:t>'''''''''''''''''''''</w:t>
      </w:r>
      <w:r w:rsidRPr="00A55D20">
        <w:t xml:space="preserve"> per treatment cycle. Cycles were administered every two weeks over one day, assuming an average of </w:t>
      </w:r>
      <w:r w:rsidR="00E77FA0">
        <w:rPr>
          <w:noProof/>
          <w:color w:val="000000"/>
          <w:highlight w:val="black"/>
        </w:rPr>
        <w:t>''''''''</w:t>
      </w:r>
      <w:r w:rsidRPr="00A55D20">
        <w:t xml:space="preserve"> cycles per patient (based on the</w:t>
      </w:r>
      <w:r w:rsidRPr="00511483">
        <w:t xml:space="preserve"> proportion on patients in the progression-free on treatment health state in cycles 0, 2, 4, 6, 8, 10, 12 and 14). Cost per treatment cycle of medical resource use (i.e. specialists attendances and blood tests), and the cost of treating AE, were as for BR. </w:t>
      </w:r>
    </w:p>
    <w:p w:rsidR="0095405F" w:rsidRPr="00511483" w:rsidRDefault="00D276EF" w:rsidP="00D276EF">
      <w:pPr>
        <w:pStyle w:val="TableFooter"/>
      </w:pPr>
      <w:r w:rsidRPr="00511483">
        <w:rPr>
          <w:vertAlign w:val="superscript"/>
        </w:rPr>
        <w:t>b</w:t>
      </w:r>
      <w:r w:rsidRPr="00511483">
        <w:t xml:space="preserve"> </w:t>
      </w:r>
      <w:r w:rsidR="0095405F" w:rsidRPr="00511483">
        <w:t xml:space="preserve">Roth JA, Sullivan SD, Lin VW, Bansal A, </w:t>
      </w:r>
      <w:proofErr w:type="spellStart"/>
      <w:r w:rsidR="0095405F" w:rsidRPr="00511483">
        <w:t>Purdum</w:t>
      </w:r>
      <w:proofErr w:type="spellEnd"/>
      <w:r w:rsidR="0095405F" w:rsidRPr="00511483">
        <w:t xml:space="preserve"> AG, </w:t>
      </w:r>
      <w:proofErr w:type="spellStart"/>
      <w:r w:rsidR="0095405F" w:rsidRPr="00511483">
        <w:t>Navale</w:t>
      </w:r>
      <w:proofErr w:type="spellEnd"/>
      <w:r w:rsidR="0095405F" w:rsidRPr="00511483">
        <w:t xml:space="preserve"> L, et al. Cost-effectiveness of </w:t>
      </w:r>
      <w:proofErr w:type="spellStart"/>
      <w:r w:rsidR="0095405F" w:rsidRPr="00511483">
        <w:t>axicabtagene</w:t>
      </w:r>
      <w:proofErr w:type="spellEnd"/>
      <w:r w:rsidR="0095405F" w:rsidRPr="00511483">
        <w:t xml:space="preserve"> </w:t>
      </w:r>
      <w:proofErr w:type="spellStart"/>
      <w:r w:rsidR="0095405F" w:rsidRPr="00511483">
        <w:t>ciloleucel</w:t>
      </w:r>
      <w:proofErr w:type="spellEnd"/>
      <w:r w:rsidR="0095405F" w:rsidRPr="00511483">
        <w:t xml:space="preserve"> for adult patients with relapsed or refractory large B-cell lymphoma in the United States. Journal of medical economics. 2018 Dec</w:t>
      </w:r>
      <w:proofErr w:type="gramStart"/>
      <w:r w:rsidR="0095405F" w:rsidRPr="00511483">
        <w:t>;21</w:t>
      </w:r>
      <w:proofErr w:type="gramEnd"/>
      <w:r w:rsidR="0095405F" w:rsidRPr="00511483">
        <w:t>(12):1238-45.</w:t>
      </w:r>
    </w:p>
    <w:p w:rsidR="0095405F" w:rsidRPr="00511483" w:rsidRDefault="0095405F" w:rsidP="00D276EF">
      <w:pPr>
        <w:pStyle w:val="TableFooter"/>
      </w:pPr>
      <w:r w:rsidRPr="00511483">
        <w:rPr>
          <w:vertAlign w:val="superscript"/>
        </w:rPr>
        <w:t>c</w:t>
      </w:r>
      <w:r w:rsidRPr="00511483">
        <w:t xml:space="preserve"> Wang H, </w:t>
      </w:r>
      <w:proofErr w:type="spellStart"/>
      <w:r w:rsidRPr="00511483">
        <w:t>Manca</w:t>
      </w:r>
      <w:proofErr w:type="spellEnd"/>
      <w:r w:rsidRPr="00511483">
        <w:t xml:space="preserve"> A, Crouch S, </w:t>
      </w:r>
      <w:proofErr w:type="spellStart"/>
      <w:r w:rsidRPr="00511483">
        <w:t>Bagguley</w:t>
      </w:r>
      <w:proofErr w:type="spellEnd"/>
      <w:r w:rsidRPr="00511483">
        <w:t xml:space="preserve"> T, Yu G, </w:t>
      </w:r>
      <w:proofErr w:type="spellStart"/>
      <w:r w:rsidRPr="00511483">
        <w:t>Aas</w:t>
      </w:r>
      <w:proofErr w:type="spellEnd"/>
      <w:r w:rsidRPr="00511483">
        <w:t xml:space="preserve"> E, et al. </w:t>
      </w:r>
      <w:r w:rsidR="00AA56C7" w:rsidRPr="00511483">
        <w:t>Health-state utility values in diffuse large B-cell lymphoma</w:t>
      </w:r>
      <w:r w:rsidRPr="00511483">
        <w:t>. Value in Health. [Conference Abstract]. 2018</w:t>
      </w:r>
      <w:proofErr w:type="gramStart"/>
      <w:r w:rsidRPr="00511483">
        <w:t>;21:S74</w:t>
      </w:r>
      <w:proofErr w:type="gramEnd"/>
      <w:r w:rsidRPr="00511483">
        <w:t>.</w:t>
      </w:r>
    </w:p>
    <w:p w:rsidR="00D276EF" w:rsidRPr="00511483" w:rsidRDefault="0095405F" w:rsidP="00D276EF">
      <w:pPr>
        <w:pStyle w:val="TableFooter"/>
      </w:pPr>
      <w:proofErr w:type="gramStart"/>
      <w:r w:rsidRPr="00511483">
        <w:rPr>
          <w:vertAlign w:val="superscript"/>
        </w:rPr>
        <w:t>d</w:t>
      </w:r>
      <w:proofErr w:type="gramEnd"/>
      <w:r w:rsidRPr="00511483">
        <w:t xml:space="preserve"> </w:t>
      </w:r>
      <w:r w:rsidR="00481635" w:rsidRPr="00511483">
        <w:t xml:space="preserve">Estimation of differential disutility was based on the rates of treatment-related AEs from GO29365, with application of AE </w:t>
      </w:r>
      <w:proofErr w:type="spellStart"/>
      <w:r w:rsidR="00481635" w:rsidRPr="00511483">
        <w:t>disutilities</w:t>
      </w:r>
      <w:proofErr w:type="spellEnd"/>
      <w:r w:rsidR="00481635" w:rsidRPr="00511483">
        <w:t xml:space="preserve"> identified in </w:t>
      </w:r>
      <w:r w:rsidRPr="00511483">
        <w:t xml:space="preserve">the </w:t>
      </w:r>
      <w:r w:rsidR="00481635" w:rsidRPr="00511483">
        <w:t xml:space="preserve">NICE </w:t>
      </w:r>
      <w:r w:rsidRPr="00511483">
        <w:t xml:space="preserve">Technology Appraisal of </w:t>
      </w:r>
      <w:proofErr w:type="spellStart"/>
      <w:r w:rsidRPr="00511483">
        <w:t>Axicabtagene</w:t>
      </w:r>
      <w:proofErr w:type="spellEnd"/>
      <w:r w:rsidRPr="00511483">
        <w:t xml:space="preserve"> </w:t>
      </w:r>
      <w:proofErr w:type="spellStart"/>
      <w:r w:rsidRPr="00511483">
        <w:t>ciloleucel</w:t>
      </w:r>
      <w:proofErr w:type="spellEnd"/>
      <w:r w:rsidRPr="00511483">
        <w:t xml:space="preserve"> (NICE TA559)</w:t>
      </w:r>
      <w:r w:rsidR="00481635" w:rsidRPr="00511483">
        <w:t xml:space="preserve">. </w:t>
      </w:r>
    </w:p>
    <w:p w:rsidR="00D276EF" w:rsidRPr="00511483" w:rsidRDefault="00D276EF" w:rsidP="00D276EF">
      <w:pPr>
        <w:pStyle w:val="TableFooter"/>
      </w:pPr>
      <w:r w:rsidRPr="00511483">
        <w:t xml:space="preserve">AE = adverse event; BR = rituximab used in combination with </w:t>
      </w:r>
      <w:proofErr w:type="spellStart"/>
      <w:r w:rsidRPr="00511483">
        <w:t>bendamustine</w:t>
      </w:r>
      <w:proofErr w:type="spellEnd"/>
      <w:r w:rsidRPr="00511483">
        <w:t xml:space="preserve">; ICER = incremental cost-effectiveness ratio; KM = Kaplan-Meier; OS = overall survival; PFS = progression-free survival; </w:t>
      </w:r>
      <w:proofErr w:type="spellStart"/>
      <w:r w:rsidRPr="00511483">
        <w:t>Pola+BR</w:t>
      </w:r>
      <w:proofErr w:type="spellEnd"/>
      <w:r w:rsidRPr="00511483">
        <w:t xml:space="preserve"> = </w:t>
      </w:r>
      <w:proofErr w:type="spellStart"/>
      <w:r w:rsidRPr="00511483">
        <w:t>polatuzumab</w:t>
      </w:r>
      <w:proofErr w:type="spellEnd"/>
      <w:r w:rsidRPr="00511483">
        <w:t xml:space="preserve"> </w:t>
      </w:r>
      <w:proofErr w:type="spellStart"/>
      <w:r w:rsidRPr="00511483">
        <w:t>vedotin</w:t>
      </w:r>
      <w:proofErr w:type="spellEnd"/>
      <w:r w:rsidRPr="00511483">
        <w:t xml:space="preserve"> in combination with </w:t>
      </w:r>
      <w:proofErr w:type="spellStart"/>
      <w:r w:rsidRPr="00511483">
        <w:t>bendamustine</w:t>
      </w:r>
      <w:proofErr w:type="spellEnd"/>
      <w:r w:rsidRPr="00511483">
        <w:t xml:space="preserve"> and rituximab; QALY = quality-adjusted life year; </w:t>
      </w:r>
      <w:proofErr w:type="spellStart"/>
      <w:r w:rsidRPr="00511483">
        <w:t>RGemOx</w:t>
      </w:r>
      <w:proofErr w:type="spellEnd"/>
      <w:r w:rsidRPr="00511483">
        <w:t xml:space="preserve"> = rituximab in combination with gemcitabine and </w:t>
      </w:r>
      <w:proofErr w:type="spellStart"/>
      <w:r w:rsidRPr="00511483">
        <w:t>oxaliplatin</w:t>
      </w:r>
      <w:proofErr w:type="spellEnd"/>
      <w:r w:rsidRPr="00511483">
        <w:t>.</w:t>
      </w:r>
    </w:p>
    <w:p w:rsidR="00D276EF" w:rsidRPr="00511483" w:rsidRDefault="00D276EF" w:rsidP="00D276EF">
      <w:pPr>
        <w:pStyle w:val="TableFooter"/>
      </w:pPr>
      <w:r w:rsidRPr="00511483">
        <w:t>Source: Compiled during the evaluation based on Section 3.9 and the ‘Results Table’ worksheet in the ‘Economic Evaluation.xlsx’ workbook included in the submission.</w:t>
      </w:r>
    </w:p>
    <w:p w:rsidR="00D276EF" w:rsidRPr="00D276EF" w:rsidRDefault="00D276EF" w:rsidP="00D276EF"/>
    <w:p w:rsidR="00D3326A" w:rsidRDefault="00D3326A" w:rsidP="00095881">
      <w:pPr>
        <w:pStyle w:val="ListParagraph"/>
        <w:widowControl/>
        <w:numPr>
          <w:ilvl w:val="1"/>
          <w:numId w:val="2"/>
        </w:numPr>
      </w:pPr>
      <w:r>
        <w:lastRenderedPageBreak/>
        <w:t xml:space="preserve">The PBAC noted that the number of </w:t>
      </w:r>
      <w:proofErr w:type="spellStart"/>
      <w:r>
        <w:t>polatuzumab</w:t>
      </w:r>
      <w:proofErr w:type="spellEnd"/>
      <w:r w:rsidR="00EF42B4">
        <w:t xml:space="preserve"> </w:t>
      </w:r>
      <w:proofErr w:type="spellStart"/>
      <w:r w:rsidR="00EF42B4">
        <w:t>vedotin</w:t>
      </w:r>
      <w:proofErr w:type="spellEnd"/>
      <w:r>
        <w:t xml:space="preserve"> vials applied was a key driver of the model</w:t>
      </w:r>
      <w:r w:rsidR="00EF42B4">
        <w:t xml:space="preserve"> with the ICER increasing to $</w:t>
      </w:r>
      <w:r w:rsidR="00DB239F">
        <w:t>4</w:t>
      </w:r>
      <w:r w:rsidR="007C27D4">
        <w:t>5,000/QALY - $75,000</w:t>
      </w:r>
      <w:r w:rsidR="00EF42B4">
        <w:t>/QALY when the number of 140 mg vials increased from 1 to 1.35</w:t>
      </w:r>
      <w:r>
        <w:t>. The PBAC considered that</w:t>
      </w:r>
      <w:r w:rsidR="00EF42B4">
        <w:t>,</w:t>
      </w:r>
      <w:r>
        <w:t xml:space="preserve"> as </w:t>
      </w:r>
      <w:r w:rsidR="00E77FA0">
        <w:rPr>
          <w:noProof/>
          <w:color w:val="000000"/>
          <w:highlight w:val="black"/>
        </w:rPr>
        <w:t>'''''</w:t>
      </w:r>
      <w:r>
        <w:t xml:space="preserve">% of </w:t>
      </w:r>
      <w:r w:rsidR="00EF42B4">
        <w:t xml:space="preserve">R/R DLBCL patients ineligible for SCT would require 2 vials (see paragraph 2.3), listing without availability of the 30 mg </w:t>
      </w:r>
      <w:r w:rsidR="00AD7873">
        <w:t xml:space="preserve">vial </w:t>
      </w:r>
      <w:r w:rsidR="00EF42B4">
        <w:t xml:space="preserve">would result in significant wastage and increase the </w:t>
      </w:r>
      <w:r w:rsidR="000A1CAA">
        <w:t xml:space="preserve">level of </w:t>
      </w:r>
      <w:r w:rsidR="00EF42B4">
        <w:t xml:space="preserve">uncertainty </w:t>
      </w:r>
      <w:r w:rsidR="000A1CAA">
        <w:t xml:space="preserve">about the </w:t>
      </w:r>
      <w:r w:rsidR="00EF42B4">
        <w:t>cost-effectiveness</w:t>
      </w:r>
      <w:r w:rsidR="00AD7873">
        <w:t xml:space="preserve"> of </w:t>
      </w:r>
      <w:proofErr w:type="spellStart"/>
      <w:r w:rsidR="00AD7873">
        <w:t>polatuzumab</w:t>
      </w:r>
      <w:proofErr w:type="spellEnd"/>
      <w:r w:rsidR="00AD7873">
        <w:t xml:space="preserve"> </w:t>
      </w:r>
      <w:proofErr w:type="spellStart"/>
      <w:r w:rsidR="00AD7873">
        <w:t>vedotin</w:t>
      </w:r>
      <w:proofErr w:type="spellEnd"/>
      <w:r w:rsidR="00EF42B4">
        <w:t>.</w:t>
      </w:r>
      <w:r w:rsidR="0095754E">
        <w:t xml:space="preserve"> </w:t>
      </w:r>
    </w:p>
    <w:p w:rsidR="00EE4C19" w:rsidRDefault="00B7368C" w:rsidP="00095881">
      <w:pPr>
        <w:pStyle w:val="ListParagraph"/>
        <w:widowControl/>
        <w:numPr>
          <w:ilvl w:val="1"/>
          <w:numId w:val="2"/>
        </w:numPr>
      </w:pPr>
      <w:r w:rsidRPr="00511483">
        <w:t xml:space="preserve">As noted above, the submission assumed </w:t>
      </w:r>
      <w:r w:rsidR="00A628EA" w:rsidRPr="00511483">
        <w:t xml:space="preserve">a </w:t>
      </w:r>
      <w:r w:rsidRPr="00511483">
        <w:t xml:space="preserve">continued treatment effect throughout the modelled time horizon, which </w:t>
      </w:r>
      <w:r w:rsidR="00630DED">
        <w:t>was not</w:t>
      </w:r>
      <w:r w:rsidRPr="00511483">
        <w:t xml:space="preserve"> justified. Among all the parametric functions presented in the submission, </w:t>
      </w:r>
      <w:r w:rsidR="00334140" w:rsidRPr="00511483">
        <w:t xml:space="preserve">only </w:t>
      </w:r>
      <w:r w:rsidR="00630DED">
        <w:t xml:space="preserve">the </w:t>
      </w:r>
      <w:r w:rsidR="00334140" w:rsidRPr="00511483">
        <w:t xml:space="preserve">Weibull, </w:t>
      </w:r>
      <w:proofErr w:type="spellStart"/>
      <w:r w:rsidR="00334140" w:rsidRPr="00511483">
        <w:t>Gompertz</w:t>
      </w:r>
      <w:proofErr w:type="spellEnd"/>
      <w:r w:rsidR="00334140" w:rsidRPr="00511483">
        <w:t xml:space="preserve"> and exponential distributions showed convergence of OS curves for the two treatment arms </w:t>
      </w:r>
      <w:r w:rsidR="00630DED">
        <w:t>within</w:t>
      </w:r>
      <w:r w:rsidR="00334140" w:rsidRPr="00511483">
        <w:t xml:space="preserve"> the model time horizon and </w:t>
      </w:r>
      <w:r w:rsidR="00481635" w:rsidRPr="00511483">
        <w:t xml:space="preserve">of these, the </w:t>
      </w:r>
      <w:r w:rsidR="00334140" w:rsidRPr="00511483">
        <w:t xml:space="preserve">exponential </w:t>
      </w:r>
      <w:r w:rsidR="00481635" w:rsidRPr="00511483">
        <w:t xml:space="preserve">model </w:t>
      </w:r>
      <w:r w:rsidR="00334140" w:rsidRPr="00511483">
        <w:t>fitted to the trial data best. The ICER increase</w:t>
      </w:r>
      <w:r w:rsidR="00A628EA" w:rsidRPr="00511483">
        <w:t>d</w:t>
      </w:r>
      <w:r w:rsidR="00334140" w:rsidRPr="00511483">
        <w:t xml:space="preserve"> to $</w:t>
      </w:r>
      <w:r w:rsidR="00D34D73">
        <w:t>4</w:t>
      </w:r>
      <w:r w:rsidR="007C27D4">
        <w:t>5,000/QALY - $75,000</w:t>
      </w:r>
      <w:r w:rsidR="00334140" w:rsidRPr="00511483">
        <w:t xml:space="preserve">/QALY when using </w:t>
      </w:r>
      <w:r w:rsidR="00481635" w:rsidRPr="00511483">
        <w:t xml:space="preserve">the </w:t>
      </w:r>
      <w:r w:rsidR="00334140" w:rsidRPr="00511483">
        <w:t xml:space="preserve">exponential function to extrapolate OS. However, the exponential function still assumed a </w:t>
      </w:r>
      <w:r w:rsidR="00CA4208">
        <w:t>prolonged</w:t>
      </w:r>
      <w:r w:rsidR="00CA4208" w:rsidRPr="00511483">
        <w:t xml:space="preserve"> </w:t>
      </w:r>
      <w:r w:rsidR="00334140" w:rsidRPr="00511483">
        <w:t xml:space="preserve">treatment effect of </w:t>
      </w:r>
      <w:proofErr w:type="spellStart"/>
      <w:r w:rsidR="00334140" w:rsidRPr="00511483">
        <w:t>Pola+BR</w:t>
      </w:r>
      <w:proofErr w:type="spellEnd"/>
      <w:r w:rsidR="00334140" w:rsidRPr="00511483">
        <w:t xml:space="preserve"> versus BR and the modelled OS curves for the two treatment arms did not converge until </w:t>
      </w:r>
      <w:r w:rsidR="00481635" w:rsidRPr="00511483">
        <w:t>approximately 12 years</w:t>
      </w:r>
      <w:r w:rsidR="00334140" w:rsidRPr="00511483">
        <w:t xml:space="preserve">. Therefore, extrapolation using </w:t>
      </w:r>
      <w:r w:rsidR="00481635" w:rsidRPr="00511483">
        <w:t xml:space="preserve">the </w:t>
      </w:r>
      <w:r w:rsidR="00334140" w:rsidRPr="00511483">
        <w:t xml:space="preserve">exponential function may still overestimate the benefit of </w:t>
      </w:r>
      <w:proofErr w:type="spellStart"/>
      <w:r w:rsidR="00334140" w:rsidRPr="00511483">
        <w:t>Pola+BR</w:t>
      </w:r>
      <w:proofErr w:type="spellEnd"/>
      <w:r w:rsidR="00334140" w:rsidRPr="00511483">
        <w:t xml:space="preserve">. </w:t>
      </w:r>
    </w:p>
    <w:p w:rsidR="00D276EF" w:rsidRPr="00511483" w:rsidRDefault="00334140" w:rsidP="00095881">
      <w:pPr>
        <w:pStyle w:val="ListParagraph"/>
        <w:widowControl/>
        <w:numPr>
          <w:ilvl w:val="1"/>
          <w:numId w:val="2"/>
        </w:numPr>
      </w:pPr>
      <w:r w:rsidRPr="00511483">
        <w:t xml:space="preserve">The chosen parametric functions for PFS extrapolation had </w:t>
      </w:r>
      <w:r w:rsidR="007D6F71" w:rsidRPr="00511483">
        <w:t xml:space="preserve">a </w:t>
      </w:r>
      <w:r w:rsidRPr="00511483">
        <w:t xml:space="preserve">smaller impact on the result of the </w:t>
      </w:r>
      <w:r w:rsidR="005B7F3B" w:rsidRPr="00511483">
        <w:t xml:space="preserve">economic model, although all of these parametric functions assumed continued PFS benefit of </w:t>
      </w:r>
      <w:proofErr w:type="spellStart"/>
      <w:r w:rsidR="005B7F3B" w:rsidRPr="00511483">
        <w:t>Pola+BR</w:t>
      </w:r>
      <w:proofErr w:type="spellEnd"/>
      <w:r w:rsidR="005B7F3B" w:rsidRPr="00511483">
        <w:t>.</w:t>
      </w:r>
    </w:p>
    <w:p w:rsidR="00A44734" w:rsidRPr="00511483" w:rsidRDefault="00A44734" w:rsidP="00095881">
      <w:pPr>
        <w:pStyle w:val="ListParagraph"/>
        <w:keepNext/>
        <w:widowControl/>
        <w:numPr>
          <w:ilvl w:val="1"/>
          <w:numId w:val="2"/>
        </w:numPr>
      </w:pPr>
      <w:r w:rsidRPr="00511483">
        <w:t xml:space="preserve">The submission did not present multivariate analyses. These </w:t>
      </w:r>
      <w:r w:rsidR="00E55D12">
        <w:t>were</w:t>
      </w:r>
      <w:r w:rsidRPr="00511483">
        <w:t xml:space="preserve"> conducted in a step-wise manner during the evaluation in </w:t>
      </w:r>
      <w:r w:rsidR="00273E9C" w:rsidRPr="00511483">
        <w:t xml:space="preserve">Table </w:t>
      </w:r>
      <w:r w:rsidR="00273E9C" w:rsidRPr="00511483">
        <w:rPr>
          <w:noProof/>
        </w:rPr>
        <w:t>13</w:t>
      </w:r>
      <w:r w:rsidRPr="00511483">
        <w:t xml:space="preserve">. While the results of the multivariate analysis address a number of the uncertainties present in the submission’s model, this does not account for the underlying uncertainty associated with the prognostic imbalances between the trial arms in GO29365, or the assumption of </w:t>
      </w:r>
      <w:r w:rsidR="00CA4208">
        <w:t>a prolonged</w:t>
      </w:r>
      <w:r w:rsidRPr="00511483">
        <w:t xml:space="preserve"> treatment effect of </w:t>
      </w:r>
      <w:proofErr w:type="spellStart"/>
      <w:r w:rsidRPr="00511483">
        <w:t>Pola+BR</w:t>
      </w:r>
      <w:proofErr w:type="spellEnd"/>
      <w:r w:rsidRPr="00511483">
        <w:t xml:space="preserve"> relative to BR alone. </w:t>
      </w:r>
    </w:p>
    <w:p w:rsidR="00C25D9C" w:rsidRPr="002C2775" w:rsidRDefault="00C25D9C" w:rsidP="00F3604C">
      <w:pPr>
        <w:pStyle w:val="Heading2"/>
        <w:spacing w:before="240" w:after="120"/>
      </w:pPr>
      <w:bookmarkStart w:id="18" w:name="_Toc19627198"/>
      <w:r w:rsidRPr="002C2775">
        <w:t>D</w:t>
      </w:r>
      <w:r w:rsidR="00481635">
        <w:t>rug cost/patient/</w:t>
      </w:r>
      <w:r w:rsidRPr="002C2775">
        <w:t>course</w:t>
      </w:r>
      <w:bookmarkEnd w:id="18"/>
    </w:p>
    <w:p w:rsidR="009F4A6F" w:rsidRPr="00511483" w:rsidRDefault="008D5B96" w:rsidP="00095881">
      <w:pPr>
        <w:pStyle w:val="ListParagraph"/>
        <w:keepNext/>
        <w:widowControl/>
        <w:numPr>
          <w:ilvl w:val="1"/>
          <w:numId w:val="2"/>
        </w:numPr>
      </w:pPr>
      <w:r>
        <w:t xml:space="preserve">Patients can receive up to six cycles of </w:t>
      </w:r>
      <w:proofErr w:type="spellStart"/>
      <w:r>
        <w:t>Pola+BR</w:t>
      </w:r>
      <w:proofErr w:type="spellEnd"/>
      <w:r>
        <w:t xml:space="preserve"> or BR treatment. In </w:t>
      </w:r>
      <w:r w:rsidR="00AA56C7">
        <w:t xml:space="preserve">Trial </w:t>
      </w:r>
      <w:r>
        <w:t xml:space="preserve">GO29365, patients randomised to </w:t>
      </w:r>
      <w:proofErr w:type="spellStart"/>
      <w:r>
        <w:t>Pola+BR</w:t>
      </w:r>
      <w:proofErr w:type="spellEnd"/>
      <w:r>
        <w:t xml:space="preserve"> received, on average</w:t>
      </w:r>
      <w:r w:rsidRPr="002B4583">
        <w:t xml:space="preserve">, </w:t>
      </w:r>
      <w:r w:rsidR="00E77FA0">
        <w:rPr>
          <w:noProof/>
          <w:color w:val="000000"/>
          <w:highlight w:val="black"/>
        </w:rPr>
        <w:t xml:space="preserve">''''''' </w:t>
      </w:r>
      <w:r>
        <w:t xml:space="preserve">cycles of </w:t>
      </w:r>
      <w:proofErr w:type="spellStart"/>
      <w:r>
        <w:t>Pola+BR</w:t>
      </w:r>
      <w:proofErr w:type="spellEnd"/>
      <w:r>
        <w:t xml:space="preserve">. At an average cost per treatment cycle of </w:t>
      </w:r>
      <w:proofErr w:type="spellStart"/>
      <w:r>
        <w:t>polatuzumab</w:t>
      </w:r>
      <w:proofErr w:type="spellEnd"/>
      <w:r>
        <w:t xml:space="preserve"> </w:t>
      </w:r>
      <w:proofErr w:type="spellStart"/>
      <w:r>
        <w:t>vedotin</w:t>
      </w:r>
      <w:proofErr w:type="spellEnd"/>
      <w:r>
        <w:t xml:space="preserve"> of $</w:t>
      </w:r>
      <w:r w:rsidR="00E77FA0">
        <w:rPr>
          <w:noProof/>
          <w:color w:val="000000"/>
          <w:highlight w:val="black"/>
        </w:rPr>
        <w:t>''''''''''''''</w:t>
      </w:r>
      <w:r>
        <w:t xml:space="preserve">, the average cost per treatment course of </w:t>
      </w:r>
      <w:proofErr w:type="spellStart"/>
      <w:r>
        <w:t>polatuzumab</w:t>
      </w:r>
      <w:proofErr w:type="spellEnd"/>
      <w:r>
        <w:t xml:space="preserve"> </w:t>
      </w:r>
      <w:proofErr w:type="spellStart"/>
      <w:r>
        <w:t>vedotin</w:t>
      </w:r>
      <w:proofErr w:type="spellEnd"/>
      <w:r>
        <w:t xml:space="preserve"> is estimated to be $</w:t>
      </w:r>
      <w:r w:rsidR="00E77FA0">
        <w:rPr>
          <w:noProof/>
          <w:color w:val="000000"/>
          <w:highlight w:val="black"/>
        </w:rPr>
        <w:t>''''''''''''''</w:t>
      </w:r>
      <w:r>
        <w:t xml:space="preserve">. The average costs per treatment course of </w:t>
      </w:r>
      <w:proofErr w:type="spellStart"/>
      <w:r>
        <w:t>bendamustine</w:t>
      </w:r>
      <w:proofErr w:type="spellEnd"/>
      <w:r>
        <w:t xml:space="preserve"> and </w:t>
      </w:r>
      <w:r w:rsidRPr="00502F52">
        <w:t xml:space="preserve">rituximab when used in combination with </w:t>
      </w:r>
      <w:proofErr w:type="spellStart"/>
      <w:r w:rsidR="00F31376" w:rsidRPr="00502F52">
        <w:t>polatuzumab</w:t>
      </w:r>
      <w:proofErr w:type="spellEnd"/>
      <w:r w:rsidR="00F31376" w:rsidRPr="00502F52">
        <w:t xml:space="preserve"> </w:t>
      </w:r>
      <w:proofErr w:type="spellStart"/>
      <w:r w:rsidR="00F31376" w:rsidRPr="00502F52">
        <w:t>vedotin</w:t>
      </w:r>
      <w:proofErr w:type="spellEnd"/>
      <w:r w:rsidR="00F31376" w:rsidRPr="00502F52">
        <w:t xml:space="preserve"> are $</w:t>
      </w:r>
      <w:r w:rsidR="00E77FA0">
        <w:rPr>
          <w:noProof/>
          <w:color w:val="000000"/>
          <w:highlight w:val="black"/>
        </w:rPr>
        <w:t>''''''''''''''</w:t>
      </w:r>
      <w:r w:rsidRPr="00502F52">
        <w:t xml:space="preserve"> and $</w:t>
      </w:r>
      <w:r w:rsidR="00E77FA0">
        <w:rPr>
          <w:noProof/>
          <w:color w:val="000000"/>
          <w:highlight w:val="black"/>
        </w:rPr>
        <w:t>''''''''''''</w:t>
      </w:r>
      <w:r w:rsidRPr="00502F52">
        <w:t xml:space="preserve"> (revised: $</w:t>
      </w:r>
      <w:r w:rsidR="00E77FA0">
        <w:rPr>
          <w:noProof/>
          <w:color w:val="000000"/>
          <w:highlight w:val="black"/>
        </w:rPr>
        <w:t>'''''''''''</w:t>
      </w:r>
      <w:r w:rsidRPr="00502F52">
        <w:t xml:space="preserve">), respectively. The total average treatment course cost of </w:t>
      </w:r>
      <w:proofErr w:type="spellStart"/>
      <w:r w:rsidRPr="00502F52">
        <w:t>Pola+BR</w:t>
      </w:r>
      <w:proofErr w:type="spellEnd"/>
      <w:r w:rsidRPr="00502F52">
        <w:t xml:space="preserve"> is estimated to be $</w:t>
      </w:r>
      <w:r w:rsidR="00E77FA0">
        <w:rPr>
          <w:noProof/>
          <w:color w:val="000000"/>
          <w:highlight w:val="black"/>
        </w:rPr>
        <w:t>''''''''''''''</w:t>
      </w:r>
      <w:r w:rsidRPr="00502F52">
        <w:t xml:space="preserve"> (revised: $</w:t>
      </w:r>
      <w:r w:rsidR="00E77FA0">
        <w:rPr>
          <w:noProof/>
          <w:color w:val="000000"/>
          <w:highlight w:val="black"/>
        </w:rPr>
        <w:t>'''''''''''''</w:t>
      </w:r>
      <w:r w:rsidRPr="00502F52">
        <w:t xml:space="preserve">). </w:t>
      </w:r>
      <w:r w:rsidR="009F4A6F" w:rsidRPr="00502F52">
        <w:t xml:space="preserve">In the financial analysis, patients were assumed to receive 5 cycles of </w:t>
      </w:r>
      <w:proofErr w:type="spellStart"/>
      <w:r w:rsidR="009F4A6F" w:rsidRPr="00502F52">
        <w:t>Pola+BR</w:t>
      </w:r>
      <w:proofErr w:type="spellEnd"/>
      <w:r w:rsidR="009F4A6F" w:rsidRPr="00502F52">
        <w:t>, which was based on the median number of cycle</w:t>
      </w:r>
      <w:r w:rsidR="00D924AB" w:rsidRPr="00502F52">
        <w:t>s</w:t>
      </w:r>
      <w:r w:rsidR="009F4A6F" w:rsidRPr="00502F52">
        <w:t xml:space="preserve"> received in GO29365. The cost per treatment course costed was therefore $</w:t>
      </w:r>
      <w:r w:rsidR="00E77FA0">
        <w:rPr>
          <w:noProof/>
          <w:color w:val="000000"/>
          <w:highlight w:val="black"/>
        </w:rPr>
        <w:t>''''''''''''''</w:t>
      </w:r>
      <w:r w:rsidR="009F4A6F" w:rsidRPr="00502F52">
        <w:t xml:space="preserve"> (revised: </w:t>
      </w:r>
      <w:r w:rsidR="009F4A6F" w:rsidRPr="00502F52">
        <w:lastRenderedPageBreak/>
        <w:t>$</w:t>
      </w:r>
      <w:r w:rsidR="00E77FA0">
        <w:rPr>
          <w:noProof/>
          <w:color w:val="000000"/>
          <w:highlight w:val="black"/>
        </w:rPr>
        <w:t>''''''''''''''</w:t>
      </w:r>
      <w:r w:rsidR="009F4A6F" w:rsidRPr="00511483">
        <w:t>).</w:t>
      </w:r>
      <w:r w:rsidR="00A628EA" w:rsidRPr="00511483">
        <w:t xml:space="preserve"> I</w:t>
      </w:r>
      <w:r w:rsidR="00F15CFD">
        <w:t>n this case, i</w:t>
      </w:r>
      <w:r w:rsidR="00A628EA" w:rsidRPr="00511483">
        <w:t xml:space="preserve">t </w:t>
      </w:r>
      <w:r w:rsidR="00F15CFD">
        <w:t>may</w:t>
      </w:r>
      <w:r w:rsidR="00A628EA" w:rsidRPr="00511483">
        <w:t xml:space="preserve"> not </w:t>
      </w:r>
      <w:r w:rsidR="00F15CFD">
        <w:t xml:space="preserve">be </w:t>
      </w:r>
      <w:r w:rsidR="00A628EA" w:rsidRPr="00511483">
        <w:t xml:space="preserve">reasonable to </w:t>
      </w:r>
      <w:r w:rsidR="00F15CFD">
        <w:t xml:space="preserve">have </w:t>
      </w:r>
      <w:r w:rsidR="00A628EA" w:rsidRPr="00511483">
        <w:t>assume</w:t>
      </w:r>
      <w:r w:rsidR="00F15CFD">
        <w:t>d</w:t>
      </w:r>
      <w:r w:rsidR="00A628EA" w:rsidRPr="00511483">
        <w:t xml:space="preserve"> different costs in the economic and financial analyses.</w:t>
      </w:r>
    </w:p>
    <w:p w:rsidR="009F4A6F" w:rsidRPr="00511483" w:rsidRDefault="008D5B96" w:rsidP="00095881">
      <w:pPr>
        <w:pStyle w:val="ListParagraph"/>
        <w:keepNext/>
        <w:widowControl/>
        <w:numPr>
          <w:ilvl w:val="1"/>
          <w:numId w:val="2"/>
        </w:numPr>
      </w:pPr>
      <w:r w:rsidRPr="00511483">
        <w:t xml:space="preserve">In </w:t>
      </w:r>
      <w:r w:rsidR="00AA56C7" w:rsidRPr="00511483">
        <w:t xml:space="preserve">Trial </w:t>
      </w:r>
      <w:r w:rsidRPr="00511483">
        <w:t xml:space="preserve">GO29365, patients randomised to BR received, on average, </w:t>
      </w:r>
      <w:r w:rsidR="00E77FA0">
        <w:rPr>
          <w:noProof/>
          <w:color w:val="000000"/>
          <w:highlight w:val="black"/>
        </w:rPr>
        <w:t>'''''''</w:t>
      </w:r>
      <w:r w:rsidRPr="002B4583">
        <w:t xml:space="preserve"> cycles</w:t>
      </w:r>
      <w:r w:rsidRPr="00511483">
        <w:t xml:space="preserve"> of treatment. The average costs per treatment course of </w:t>
      </w:r>
      <w:proofErr w:type="spellStart"/>
      <w:r w:rsidRPr="00511483">
        <w:t>bendamustine</w:t>
      </w:r>
      <w:proofErr w:type="spellEnd"/>
      <w:r w:rsidRPr="00511483">
        <w:t xml:space="preserve"> and rituximab </w:t>
      </w:r>
      <w:r w:rsidR="00F31376" w:rsidRPr="00511483">
        <w:t>are estimated to be $</w:t>
      </w:r>
      <w:r w:rsidR="00E77FA0">
        <w:rPr>
          <w:noProof/>
          <w:color w:val="000000"/>
          <w:highlight w:val="black"/>
        </w:rPr>
        <w:t>'''''''''''</w:t>
      </w:r>
      <w:r w:rsidRPr="00511483">
        <w:t xml:space="preserve"> and $</w:t>
      </w:r>
      <w:r w:rsidR="00E77FA0">
        <w:rPr>
          <w:noProof/>
          <w:color w:val="000000"/>
          <w:highlight w:val="black"/>
        </w:rPr>
        <w:t>'''''''''''</w:t>
      </w:r>
      <w:r w:rsidRPr="00511483">
        <w:t xml:space="preserve"> (revised: $</w:t>
      </w:r>
      <w:r w:rsidR="00E77FA0">
        <w:rPr>
          <w:noProof/>
          <w:color w:val="000000"/>
          <w:highlight w:val="black"/>
        </w:rPr>
        <w:t>''''''''''''</w:t>
      </w:r>
      <w:r w:rsidRPr="00511483">
        <w:t>). The total average treatment course cost of BR is estimated to be $</w:t>
      </w:r>
      <w:r w:rsidR="00E77FA0">
        <w:rPr>
          <w:noProof/>
          <w:color w:val="000000"/>
          <w:highlight w:val="black"/>
        </w:rPr>
        <w:t>''''''''''''''</w:t>
      </w:r>
      <w:r w:rsidRPr="00511483">
        <w:t xml:space="preserve"> (revised: $</w:t>
      </w:r>
      <w:r w:rsidR="00E77FA0">
        <w:rPr>
          <w:noProof/>
          <w:color w:val="000000"/>
          <w:highlight w:val="black"/>
        </w:rPr>
        <w:t>'''''''''''''</w:t>
      </w:r>
      <w:r w:rsidRPr="00511483">
        <w:t>).</w:t>
      </w:r>
      <w:r w:rsidR="009F4A6F" w:rsidRPr="00511483">
        <w:t xml:space="preserve"> </w:t>
      </w:r>
    </w:p>
    <w:p w:rsidR="009F4A6F" w:rsidRPr="00511483" w:rsidRDefault="009F4A6F" w:rsidP="00095881">
      <w:pPr>
        <w:pStyle w:val="ListParagraph"/>
        <w:keepNext/>
        <w:widowControl/>
        <w:numPr>
          <w:ilvl w:val="1"/>
          <w:numId w:val="2"/>
        </w:numPr>
      </w:pPr>
      <w:r w:rsidRPr="00511483">
        <w:t xml:space="preserve">In the financial analysis, the submission assumed that in the absence of </w:t>
      </w:r>
      <w:proofErr w:type="spellStart"/>
      <w:r w:rsidRPr="00511483">
        <w:t>Pola+BR</w:t>
      </w:r>
      <w:proofErr w:type="spellEnd"/>
      <w:r w:rsidRPr="00511483">
        <w:t xml:space="preserve">, patients would receive </w:t>
      </w:r>
      <w:r w:rsidR="00E77FA0">
        <w:rPr>
          <w:noProof/>
          <w:color w:val="000000"/>
          <w:highlight w:val="black"/>
        </w:rPr>
        <w:t>'''</w:t>
      </w:r>
      <w:r w:rsidRPr="00511483">
        <w:t xml:space="preserve"> cycles (i.e. a full treatment course) of </w:t>
      </w:r>
      <w:proofErr w:type="spellStart"/>
      <w:r w:rsidRPr="00511483">
        <w:t>RGemOx</w:t>
      </w:r>
      <w:proofErr w:type="spellEnd"/>
      <w:r w:rsidRPr="00511483">
        <w:t xml:space="preserve"> treatment. This is not reasonable given that patients</w:t>
      </w:r>
      <w:r w:rsidR="00F46774" w:rsidRPr="00511483">
        <w:t xml:space="preserve"> on </w:t>
      </w:r>
      <w:r w:rsidR="00AA56C7" w:rsidRPr="00511483">
        <w:t xml:space="preserve">the </w:t>
      </w:r>
      <w:r w:rsidR="00F46774" w:rsidRPr="00511483">
        <w:t>comparator treatment in GO29365 received approximately half of the planned number of treatment cycles</w:t>
      </w:r>
      <w:r w:rsidR="007D6F71" w:rsidRPr="00511483">
        <w:t xml:space="preserve"> (primarily due to disease progression)</w:t>
      </w:r>
      <w:r w:rsidR="00F46774" w:rsidRPr="00511483">
        <w:t>.</w:t>
      </w:r>
      <w:r w:rsidRPr="00511483">
        <w:t xml:space="preserve"> The cost per treatment course of </w:t>
      </w:r>
      <w:proofErr w:type="spellStart"/>
      <w:r w:rsidRPr="00511483">
        <w:t>RGemOx</w:t>
      </w:r>
      <w:proofErr w:type="spellEnd"/>
      <w:r w:rsidRPr="00511483">
        <w:t xml:space="preserve"> was estimated to be $</w:t>
      </w:r>
      <w:r w:rsidR="00E77FA0">
        <w:rPr>
          <w:noProof/>
          <w:color w:val="000000"/>
          <w:highlight w:val="black"/>
        </w:rPr>
        <w:t>'''''''''''''</w:t>
      </w:r>
      <w:r w:rsidRPr="00511483">
        <w:t xml:space="preserve"> (revised: $</w:t>
      </w:r>
      <w:r w:rsidR="00E77FA0">
        <w:rPr>
          <w:noProof/>
          <w:color w:val="000000"/>
          <w:highlight w:val="black"/>
        </w:rPr>
        <w:t>'''''''''''''</w:t>
      </w:r>
      <w:r w:rsidRPr="00511483">
        <w:t>).</w:t>
      </w:r>
    </w:p>
    <w:p w:rsidR="008D5B96" w:rsidRDefault="008D5B96" w:rsidP="00095881">
      <w:pPr>
        <w:pStyle w:val="ListParagraph"/>
        <w:keepNext/>
        <w:widowControl/>
        <w:numPr>
          <w:ilvl w:val="1"/>
          <w:numId w:val="2"/>
        </w:numPr>
      </w:pPr>
      <w:r>
        <w:t xml:space="preserve">A comparison of the costs </w:t>
      </w:r>
      <w:r w:rsidR="009F4A6F">
        <w:t>applied in the model</w:t>
      </w:r>
      <w:r>
        <w:t xml:space="preserve"> relative to those estimated in </w:t>
      </w:r>
      <w:r w:rsidR="009F4A6F">
        <w:t>the financial analysis</w:t>
      </w:r>
      <w:r>
        <w:t xml:space="preserve"> is presented in </w:t>
      </w:r>
      <w:r w:rsidR="00273E9C">
        <w:t xml:space="preserve">Table </w:t>
      </w:r>
      <w:r w:rsidR="00273E9C">
        <w:rPr>
          <w:noProof/>
        </w:rPr>
        <w:t>14</w:t>
      </w:r>
      <w:r>
        <w:t>.</w:t>
      </w:r>
    </w:p>
    <w:p w:rsidR="00C66B1D" w:rsidRDefault="00C66B1D" w:rsidP="00C66B1D">
      <w:pPr>
        <w:pStyle w:val="Caption"/>
        <w:keepNext/>
      </w:pPr>
      <w:bookmarkStart w:id="19" w:name="_Ref18057222"/>
      <w:r>
        <w:t xml:space="preserve">Table </w:t>
      </w:r>
      <w:r w:rsidR="00273E9C">
        <w:rPr>
          <w:noProof/>
        </w:rPr>
        <w:t>14</w:t>
      </w:r>
      <w:bookmarkEnd w:id="19"/>
      <w:r>
        <w:t xml:space="preserve">: </w:t>
      </w:r>
      <w:r w:rsidRPr="00C66B1D">
        <w:t>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1338"/>
        <w:gridCol w:w="1212"/>
        <w:gridCol w:w="1464"/>
        <w:gridCol w:w="1338"/>
        <w:gridCol w:w="1338"/>
        <w:gridCol w:w="1338"/>
      </w:tblGrid>
      <w:tr w:rsidR="00C66B1D" w:rsidRPr="00267637" w:rsidTr="00DA6EEA">
        <w:trPr>
          <w:jc w:val="center"/>
        </w:trPr>
        <w:tc>
          <w:tcPr>
            <w:tcW w:w="548" w:type="pct"/>
            <w:shd w:val="clear" w:color="auto" w:fill="auto"/>
            <w:vAlign w:val="center"/>
          </w:tcPr>
          <w:p w:rsidR="00C66B1D" w:rsidRPr="00267637" w:rsidRDefault="00C66B1D" w:rsidP="00E66992">
            <w:pPr>
              <w:keepNext/>
              <w:widowControl/>
              <w:jc w:val="left"/>
              <w:rPr>
                <w:rFonts w:ascii="Arial Narrow" w:hAnsi="Arial Narrow"/>
                <w:b/>
                <w:sz w:val="20"/>
                <w:lang w:val="en-US"/>
              </w:rPr>
            </w:pPr>
          </w:p>
        </w:tc>
        <w:tc>
          <w:tcPr>
            <w:tcW w:w="742" w:type="pct"/>
            <w:shd w:val="clear" w:color="auto" w:fill="auto"/>
            <w:vAlign w:val="center"/>
          </w:tcPr>
          <w:p w:rsidR="00C66B1D" w:rsidRPr="00267637" w:rsidRDefault="00C66B1D" w:rsidP="00E66992">
            <w:pPr>
              <w:keepNext/>
              <w:widowControl/>
              <w:jc w:val="center"/>
              <w:rPr>
                <w:rFonts w:ascii="Arial Narrow" w:hAnsi="Arial Narrow"/>
                <w:b/>
                <w:sz w:val="20"/>
                <w:lang w:val="en-US"/>
              </w:rPr>
            </w:pPr>
            <w:proofErr w:type="spellStart"/>
            <w:r>
              <w:rPr>
                <w:rFonts w:ascii="Arial Narrow" w:hAnsi="Arial Narrow"/>
                <w:b/>
                <w:sz w:val="20"/>
                <w:lang w:val="en-US"/>
              </w:rPr>
              <w:t>Pola+BR</w:t>
            </w:r>
            <w:proofErr w:type="spellEnd"/>
          </w:p>
          <w:p w:rsidR="00C66B1D" w:rsidRPr="00267637" w:rsidRDefault="00C66B1D" w:rsidP="00E66992">
            <w:pPr>
              <w:keepNext/>
              <w:widowControl/>
              <w:jc w:val="center"/>
              <w:rPr>
                <w:rFonts w:ascii="Arial Narrow" w:hAnsi="Arial Narrow"/>
                <w:b/>
                <w:sz w:val="20"/>
                <w:lang w:val="en-US"/>
              </w:rPr>
            </w:pPr>
            <w:r w:rsidRPr="00267637">
              <w:rPr>
                <w:rFonts w:ascii="Arial Narrow" w:hAnsi="Arial Narrow"/>
                <w:b/>
                <w:sz w:val="20"/>
                <w:lang w:val="en-US"/>
              </w:rPr>
              <w:t>Trial dose and duration</w:t>
            </w:r>
          </w:p>
        </w:tc>
        <w:tc>
          <w:tcPr>
            <w:tcW w:w="672" w:type="pct"/>
            <w:shd w:val="clear" w:color="auto" w:fill="auto"/>
            <w:vAlign w:val="center"/>
          </w:tcPr>
          <w:p w:rsidR="00C66B1D" w:rsidRPr="00267637" w:rsidRDefault="00C66B1D" w:rsidP="00E66992">
            <w:pPr>
              <w:keepNext/>
              <w:widowControl/>
              <w:jc w:val="center"/>
              <w:rPr>
                <w:rFonts w:ascii="Arial Narrow" w:hAnsi="Arial Narrow"/>
                <w:b/>
                <w:sz w:val="20"/>
                <w:lang w:val="en-US"/>
              </w:rPr>
            </w:pPr>
            <w:proofErr w:type="spellStart"/>
            <w:r>
              <w:rPr>
                <w:rFonts w:ascii="Arial Narrow" w:hAnsi="Arial Narrow"/>
                <w:b/>
                <w:sz w:val="20"/>
                <w:lang w:val="en-US"/>
              </w:rPr>
              <w:t>Pola+BR</w:t>
            </w:r>
            <w:proofErr w:type="spellEnd"/>
          </w:p>
          <w:p w:rsidR="00C66B1D" w:rsidRPr="00267637" w:rsidRDefault="00C66B1D" w:rsidP="00E66992">
            <w:pPr>
              <w:keepNext/>
              <w:widowControl/>
              <w:jc w:val="center"/>
              <w:rPr>
                <w:rFonts w:ascii="Arial Narrow" w:hAnsi="Arial Narrow"/>
                <w:b/>
                <w:sz w:val="20"/>
                <w:lang w:val="en-US"/>
              </w:rPr>
            </w:pPr>
            <w:r w:rsidRPr="00267637">
              <w:rPr>
                <w:rFonts w:ascii="Arial Narrow" w:hAnsi="Arial Narrow"/>
                <w:b/>
                <w:sz w:val="20"/>
                <w:lang w:val="en-US"/>
              </w:rPr>
              <w:t>Model</w:t>
            </w:r>
          </w:p>
        </w:tc>
        <w:tc>
          <w:tcPr>
            <w:tcW w:w="812" w:type="pct"/>
            <w:shd w:val="clear" w:color="auto" w:fill="auto"/>
            <w:vAlign w:val="center"/>
          </w:tcPr>
          <w:p w:rsidR="00C66B1D" w:rsidRPr="00267637" w:rsidRDefault="00C66B1D" w:rsidP="00E66992">
            <w:pPr>
              <w:keepNext/>
              <w:widowControl/>
              <w:jc w:val="center"/>
              <w:rPr>
                <w:rFonts w:ascii="Arial Narrow" w:hAnsi="Arial Narrow"/>
                <w:b/>
                <w:sz w:val="20"/>
                <w:lang w:val="en-US"/>
              </w:rPr>
            </w:pPr>
            <w:proofErr w:type="spellStart"/>
            <w:r>
              <w:rPr>
                <w:rFonts w:ascii="Arial Narrow" w:hAnsi="Arial Narrow"/>
                <w:b/>
                <w:sz w:val="20"/>
                <w:lang w:val="en-US"/>
              </w:rPr>
              <w:t>Pola+BR</w:t>
            </w:r>
            <w:proofErr w:type="spellEnd"/>
          </w:p>
          <w:p w:rsidR="00C66B1D" w:rsidRPr="00267637" w:rsidRDefault="00C66B1D" w:rsidP="00E66992">
            <w:pPr>
              <w:keepNext/>
              <w:widowControl/>
              <w:jc w:val="center"/>
              <w:rPr>
                <w:rFonts w:ascii="Arial Narrow" w:hAnsi="Arial Narrow"/>
                <w:b/>
                <w:sz w:val="20"/>
                <w:lang w:val="en-US"/>
              </w:rPr>
            </w:pPr>
            <w:r w:rsidRPr="00267637">
              <w:rPr>
                <w:rFonts w:ascii="Arial Narrow" w:hAnsi="Arial Narrow"/>
                <w:b/>
                <w:sz w:val="20"/>
                <w:lang w:val="en-US"/>
              </w:rPr>
              <w:t>Financial estimates</w:t>
            </w:r>
          </w:p>
        </w:tc>
        <w:tc>
          <w:tcPr>
            <w:tcW w:w="742" w:type="pct"/>
            <w:shd w:val="clear" w:color="auto" w:fill="auto"/>
            <w:vAlign w:val="center"/>
          </w:tcPr>
          <w:p w:rsidR="00C66B1D" w:rsidRPr="00267637" w:rsidRDefault="00C66B1D" w:rsidP="00E66992">
            <w:pPr>
              <w:keepNext/>
              <w:widowControl/>
              <w:jc w:val="center"/>
              <w:rPr>
                <w:rFonts w:ascii="Arial Narrow" w:hAnsi="Arial Narrow"/>
                <w:b/>
                <w:sz w:val="20"/>
                <w:lang w:val="en-US"/>
              </w:rPr>
            </w:pPr>
            <w:r>
              <w:rPr>
                <w:rFonts w:ascii="Arial Narrow" w:hAnsi="Arial Narrow"/>
                <w:b/>
                <w:sz w:val="20"/>
                <w:lang w:val="en-US"/>
              </w:rPr>
              <w:t>BR</w:t>
            </w:r>
          </w:p>
          <w:p w:rsidR="00C66B1D" w:rsidRPr="00267637" w:rsidRDefault="00C66B1D" w:rsidP="00E66992">
            <w:pPr>
              <w:keepNext/>
              <w:widowControl/>
              <w:jc w:val="center"/>
              <w:rPr>
                <w:rFonts w:ascii="Arial Narrow" w:hAnsi="Arial Narrow"/>
                <w:b/>
                <w:sz w:val="20"/>
                <w:lang w:val="en-US"/>
              </w:rPr>
            </w:pPr>
            <w:r w:rsidRPr="00267637">
              <w:rPr>
                <w:rFonts w:ascii="Arial Narrow" w:hAnsi="Arial Narrow"/>
                <w:b/>
                <w:sz w:val="20"/>
                <w:lang w:val="en-US"/>
              </w:rPr>
              <w:t>Trial dose and duration</w:t>
            </w:r>
          </w:p>
        </w:tc>
        <w:tc>
          <w:tcPr>
            <w:tcW w:w="742" w:type="pct"/>
            <w:shd w:val="clear" w:color="auto" w:fill="auto"/>
            <w:vAlign w:val="center"/>
          </w:tcPr>
          <w:p w:rsidR="00C66B1D" w:rsidRPr="00267637" w:rsidRDefault="00C66B1D" w:rsidP="00E66992">
            <w:pPr>
              <w:keepNext/>
              <w:widowControl/>
              <w:jc w:val="center"/>
              <w:rPr>
                <w:rFonts w:ascii="Arial Narrow" w:hAnsi="Arial Narrow"/>
                <w:b/>
                <w:sz w:val="20"/>
                <w:lang w:val="en-US"/>
              </w:rPr>
            </w:pPr>
            <w:r>
              <w:rPr>
                <w:rFonts w:ascii="Arial Narrow" w:hAnsi="Arial Narrow"/>
                <w:b/>
                <w:sz w:val="20"/>
                <w:lang w:val="en-US"/>
              </w:rPr>
              <w:t>BR</w:t>
            </w:r>
          </w:p>
          <w:p w:rsidR="00C66B1D" w:rsidRPr="00267637" w:rsidRDefault="00C66B1D" w:rsidP="00E66992">
            <w:pPr>
              <w:keepNext/>
              <w:widowControl/>
              <w:jc w:val="center"/>
              <w:rPr>
                <w:rFonts w:ascii="Arial Narrow" w:hAnsi="Arial Narrow"/>
                <w:b/>
                <w:sz w:val="20"/>
                <w:lang w:val="en-US"/>
              </w:rPr>
            </w:pPr>
            <w:r w:rsidRPr="00267637">
              <w:rPr>
                <w:rFonts w:ascii="Arial Narrow" w:hAnsi="Arial Narrow"/>
                <w:b/>
                <w:sz w:val="20"/>
                <w:lang w:val="en-US"/>
              </w:rPr>
              <w:t xml:space="preserve">Model </w:t>
            </w:r>
          </w:p>
        </w:tc>
        <w:tc>
          <w:tcPr>
            <w:tcW w:w="742" w:type="pct"/>
          </w:tcPr>
          <w:p w:rsidR="00C66B1D" w:rsidRPr="00267637" w:rsidRDefault="00C66B1D" w:rsidP="00E66992">
            <w:pPr>
              <w:keepNext/>
              <w:widowControl/>
              <w:jc w:val="center"/>
              <w:rPr>
                <w:rFonts w:ascii="Arial Narrow" w:hAnsi="Arial Narrow"/>
                <w:b/>
                <w:sz w:val="20"/>
                <w:lang w:val="en-US"/>
              </w:rPr>
            </w:pPr>
            <w:proofErr w:type="spellStart"/>
            <w:r>
              <w:rPr>
                <w:rFonts w:ascii="Arial Narrow" w:hAnsi="Arial Narrow"/>
                <w:b/>
                <w:sz w:val="20"/>
                <w:lang w:val="en-US"/>
              </w:rPr>
              <w:t>RGemOx</w:t>
            </w:r>
            <w:proofErr w:type="spellEnd"/>
          </w:p>
          <w:p w:rsidR="00C66B1D" w:rsidRPr="00267637" w:rsidRDefault="00C66B1D" w:rsidP="00E66992">
            <w:pPr>
              <w:keepNext/>
              <w:widowControl/>
              <w:jc w:val="center"/>
              <w:rPr>
                <w:rFonts w:ascii="Arial Narrow" w:hAnsi="Arial Narrow"/>
                <w:b/>
                <w:sz w:val="20"/>
                <w:lang w:val="en-US"/>
              </w:rPr>
            </w:pPr>
            <w:r w:rsidRPr="00267637">
              <w:rPr>
                <w:rFonts w:ascii="Arial Narrow" w:hAnsi="Arial Narrow"/>
                <w:b/>
                <w:sz w:val="20"/>
                <w:lang w:val="en-US"/>
              </w:rPr>
              <w:t>Financial estimates</w:t>
            </w:r>
          </w:p>
        </w:tc>
      </w:tr>
      <w:tr w:rsidR="00C66B1D" w:rsidRPr="00667735" w:rsidTr="00DA6EEA">
        <w:trPr>
          <w:jc w:val="center"/>
        </w:trPr>
        <w:tc>
          <w:tcPr>
            <w:tcW w:w="548" w:type="pct"/>
            <w:shd w:val="clear" w:color="auto" w:fill="auto"/>
            <w:vAlign w:val="center"/>
          </w:tcPr>
          <w:p w:rsidR="00C66B1D" w:rsidRPr="00267637" w:rsidRDefault="00C66B1D" w:rsidP="00E66992">
            <w:pPr>
              <w:keepNext/>
              <w:widowControl/>
              <w:jc w:val="left"/>
              <w:rPr>
                <w:rFonts w:ascii="Arial Narrow" w:hAnsi="Arial Narrow"/>
                <w:sz w:val="20"/>
                <w:lang w:val="en-US"/>
              </w:rPr>
            </w:pPr>
            <w:r w:rsidRPr="00267637">
              <w:rPr>
                <w:rFonts w:ascii="Arial Narrow" w:hAnsi="Arial Narrow"/>
                <w:sz w:val="20"/>
                <w:lang w:val="en-US"/>
              </w:rPr>
              <w:t>Mean dose</w:t>
            </w:r>
          </w:p>
        </w:tc>
        <w:tc>
          <w:tcPr>
            <w:tcW w:w="1414" w:type="pct"/>
            <w:gridSpan w:val="2"/>
            <w:shd w:val="clear" w:color="auto" w:fill="auto"/>
            <w:vAlign w:val="center"/>
          </w:tcPr>
          <w:p w:rsidR="00C66B1D" w:rsidRPr="002B4583" w:rsidRDefault="00C66B1D" w:rsidP="00E66992">
            <w:pPr>
              <w:keepNext/>
              <w:widowControl/>
              <w:jc w:val="center"/>
              <w:rPr>
                <w:rFonts w:ascii="Arial Narrow" w:hAnsi="Arial Narrow"/>
                <w:sz w:val="20"/>
                <w:lang w:val="en-US"/>
              </w:rPr>
            </w:pPr>
            <w:proofErr w:type="spellStart"/>
            <w:r w:rsidRPr="002B4583">
              <w:rPr>
                <w:rFonts w:ascii="Arial Narrow" w:hAnsi="Arial Narrow"/>
                <w:sz w:val="20"/>
                <w:lang w:val="en-US"/>
              </w:rPr>
              <w:t>Pola</w:t>
            </w:r>
            <w:proofErr w:type="spellEnd"/>
            <w:r w:rsidRPr="002B4583">
              <w:rPr>
                <w:rFonts w:ascii="Arial Narrow" w:hAnsi="Arial Narrow"/>
                <w:sz w:val="20"/>
                <w:lang w:val="en-US"/>
              </w:rPr>
              <w:t xml:space="preserve">: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B: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R: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tc>
        <w:tc>
          <w:tcPr>
            <w:tcW w:w="812" w:type="pct"/>
            <w:shd w:val="clear" w:color="auto" w:fill="auto"/>
            <w:vAlign w:val="center"/>
          </w:tcPr>
          <w:p w:rsidR="00C66B1D" w:rsidRPr="002B4583" w:rsidRDefault="00C66B1D" w:rsidP="00E66992">
            <w:pPr>
              <w:keepNext/>
              <w:widowControl/>
              <w:jc w:val="center"/>
              <w:rPr>
                <w:rFonts w:ascii="Arial Narrow" w:hAnsi="Arial Narrow"/>
                <w:sz w:val="20"/>
                <w:lang w:val="en-US"/>
              </w:rPr>
            </w:pPr>
            <w:proofErr w:type="spellStart"/>
            <w:r w:rsidRPr="002B4583">
              <w:rPr>
                <w:rFonts w:ascii="Arial Narrow" w:hAnsi="Arial Narrow"/>
                <w:sz w:val="20"/>
                <w:lang w:val="en-US"/>
              </w:rPr>
              <w:t>Pola</w:t>
            </w:r>
            <w:proofErr w:type="spellEnd"/>
            <w:r w:rsidRPr="002B4583">
              <w:rPr>
                <w:rFonts w:ascii="Arial Narrow" w:hAnsi="Arial Narrow"/>
                <w:sz w:val="20"/>
                <w:lang w:val="en-US"/>
              </w:rPr>
              <w:t xml:space="preserve">: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B: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R: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tc>
        <w:tc>
          <w:tcPr>
            <w:tcW w:w="1484" w:type="pct"/>
            <w:gridSpan w:val="2"/>
            <w:shd w:val="clear" w:color="auto" w:fill="auto"/>
            <w:vAlign w:val="center"/>
          </w:tcPr>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B: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R: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tc>
        <w:tc>
          <w:tcPr>
            <w:tcW w:w="742" w:type="pct"/>
            <w:vAlign w:val="center"/>
          </w:tcPr>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R: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Gem: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p w:rsidR="00C66B1D" w:rsidRPr="002B4583" w:rsidRDefault="00C66B1D" w:rsidP="00E66992">
            <w:pPr>
              <w:keepNext/>
              <w:widowControl/>
              <w:jc w:val="center"/>
              <w:rPr>
                <w:rFonts w:ascii="Arial Narrow" w:hAnsi="Arial Narrow"/>
                <w:sz w:val="20"/>
                <w:lang w:val="en-US"/>
              </w:rPr>
            </w:pPr>
            <w:r w:rsidRPr="002B4583">
              <w:rPr>
                <w:rFonts w:ascii="Arial Narrow" w:hAnsi="Arial Narrow"/>
                <w:sz w:val="20"/>
                <w:lang w:val="en-US"/>
              </w:rPr>
              <w:t xml:space="preserve">Ox: </w:t>
            </w:r>
            <w:r w:rsidR="00E77FA0">
              <w:rPr>
                <w:rFonts w:ascii="Arial Narrow" w:hAnsi="Arial Narrow"/>
                <w:noProof/>
                <w:color w:val="000000"/>
                <w:sz w:val="20"/>
                <w:highlight w:val="black"/>
                <w:lang w:val="en-US"/>
              </w:rPr>
              <w:t>'''''''''</w:t>
            </w:r>
            <w:r w:rsidRPr="002B4583">
              <w:rPr>
                <w:rFonts w:ascii="Arial Narrow" w:hAnsi="Arial Narrow"/>
                <w:sz w:val="20"/>
                <w:lang w:val="en-US"/>
              </w:rPr>
              <w:t> mg</w:t>
            </w:r>
          </w:p>
        </w:tc>
      </w:tr>
      <w:tr w:rsidR="00C66B1D" w:rsidRPr="00267637" w:rsidTr="00DA6EEA">
        <w:trPr>
          <w:jc w:val="center"/>
        </w:trPr>
        <w:tc>
          <w:tcPr>
            <w:tcW w:w="548" w:type="pct"/>
            <w:shd w:val="clear" w:color="auto" w:fill="auto"/>
            <w:vAlign w:val="center"/>
          </w:tcPr>
          <w:p w:rsidR="00C66B1D" w:rsidRPr="00267637" w:rsidRDefault="00C66B1D" w:rsidP="00E66992">
            <w:pPr>
              <w:keepNext/>
              <w:widowControl/>
              <w:jc w:val="left"/>
              <w:rPr>
                <w:rFonts w:ascii="Arial Narrow" w:hAnsi="Arial Narrow"/>
                <w:sz w:val="20"/>
                <w:lang w:val="en-US"/>
              </w:rPr>
            </w:pPr>
            <w:r w:rsidRPr="00267637">
              <w:rPr>
                <w:rFonts w:ascii="Arial Narrow" w:hAnsi="Arial Narrow"/>
                <w:sz w:val="20"/>
                <w:lang w:val="en-US"/>
              </w:rPr>
              <w:t>Mean duration</w:t>
            </w:r>
          </w:p>
        </w:tc>
        <w:tc>
          <w:tcPr>
            <w:tcW w:w="1414" w:type="pct"/>
            <w:gridSpan w:val="2"/>
            <w:shd w:val="clear" w:color="auto" w:fill="auto"/>
            <w:vAlign w:val="center"/>
          </w:tcPr>
          <w:p w:rsidR="00C66B1D" w:rsidRPr="002B4583" w:rsidRDefault="00E77FA0" w:rsidP="00DA6EEA">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C66B1D" w:rsidRPr="002B4583">
              <w:rPr>
                <w:rFonts w:ascii="Arial Narrow" w:hAnsi="Arial Narrow"/>
                <w:sz w:val="20"/>
                <w:lang w:val="en-US"/>
              </w:rPr>
              <w:t xml:space="preserve"> cycles </w:t>
            </w:r>
            <w:r w:rsidR="00DA6EEA" w:rsidRPr="002B4583">
              <w:rPr>
                <w:rFonts w:ascii="Arial Narrow" w:hAnsi="Arial Narrow"/>
                <w:sz w:val="20"/>
                <w:lang w:val="en-US"/>
              </w:rPr>
              <w:br/>
            </w:r>
            <w:r w:rsidR="00C66B1D" w:rsidRPr="002B4583">
              <w:rPr>
                <w:rFonts w:ascii="Arial Narrow" w:hAnsi="Arial Narrow"/>
                <w:sz w:val="20"/>
                <w:lang w:val="en-US"/>
              </w:rPr>
              <w:t>(GO29365</w:t>
            </w:r>
            <w:r w:rsidR="00DA6EEA" w:rsidRPr="002B4583">
              <w:rPr>
                <w:rFonts w:ascii="Arial Narrow" w:hAnsi="Arial Narrow"/>
                <w:sz w:val="20"/>
                <w:lang w:val="en-US"/>
              </w:rPr>
              <w:t xml:space="preserve"> mean</w:t>
            </w:r>
            <w:r w:rsidR="00C66B1D" w:rsidRPr="002B4583">
              <w:rPr>
                <w:rFonts w:ascii="Arial Narrow" w:hAnsi="Arial Narrow"/>
                <w:sz w:val="20"/>
                <w:lang w:val="en-US"/>
              </w:rPr>
              <w:t>)</w:t>
            </w:r>
          </w:p>
        </w:tc>
        <w:tc>
          <w:tcPr>
            <w:tcW w:w="812" w:type="pct"/>
            <w:shd w:val="clear" w:color="auto" w:fill="auto"/>
            <w:vAlign w:val="center"/>
          </w:tcPr>
          <w:p w:rsidR="00C66B1D" w:rsidRPr="002B4583" w:rsidRDefault="00C66B1D" w:rsidP="00DA6EEA">
            <w:pPr>
              <w:keepNext/>
              <w:widowControl/>
              <w:jc w:val="center"/>
              <w:rPr>
                <w:rFonts w:ascii="Arial Narrow" w:hAnsi="Arial Narrow"/>
                <w:sz w:val="20"/>
                <w:lang w:val="en-US"/>
              </w:rPr>
            </w:pPr>
            <w:r w:rsidRPr="002B4583">
              <w:rPr>
                <w:rFonts w:ascii="Arial Narrow" w:hAnsi="Arial Narrow"/>
                <w:sz w:val="20"/>
                <w:lang w:val="en-US"/>
              </w:rPr>
              <w:t xml:space="preserve">5 cycles </w:t>
            </w:r>
            <w:r w:rsidR="00DA6EEA" w:rsidRPr="002B4583">
              <w:rPr>
                <w:rFonts w:ascii="Arial Narrow" w:hAnsi="Arial Narrow"/>
                <w:sz w:val="20"/>
                <w:lang w:val="en-US"/>
              </w:rPr>
              <w:br/>
            </w:r>
            <w:r w:rsidRPr="002B4583">
              <w:rPr>
                <w:rFonts w:ascii="Arial Narrow" w:hAnsi="Arial Narrow"/>
                <w:sz w:val="20"/>
                <w:lang w:val="en-US"/>
              </w:rPr>
              <w:t>(GO29365</w:t>
            </w:r>
            <w:r w:rsidR="00DA6EEA" w:rsidRPr="002B4583">
              <w:rPr>
                <w:rFonts w:ascii="Arial Narrow" w:hAnsi="Arial Narrow"/>
                <w:sz w:val="20"/>
                <w:lang w:val="en-US"/>
              </w:rPr>
              <w:t xml:space="preserve"> median</w:t>
            </w:r>
            <w:r w:rsidRPr="002B4583">
              <w:rPr>
                <w:rFonts w:ascii="Arial Narrow" w:hAnsi="Arial Narrow"/>
                <w:sz w:val="20"/>
                <w:lang w:val="en-US"/>
              </w:rPr>
              <w:t>)</w:t>
            </w:r>
          </w:p>
        </w:tc>
        <w:tc>
          <w:tcPr>
            <w:tcW w:w="1484" w:type="pct"/>
            <w:gridSpan w:val="2"/>
            <w:shd w:val="clear" w:color="auto" w:fill="auto"/>
            <w:vAlign w:val="center"/>
          </w:tcPr>
          <w:p w:rsidR="00C66B1D" w:rsidRPr="002B4583" w:rsidRDefault="00E77FA0" w:rsidP="00DA6EEA">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C66B1D" w:rsidRPr="002B4583">
              <w:rPr>
                <w:rFonts w:ascii="Arial Narrow" w:hAnsi="Arial Narrow"/>
                <w:sz w:val="20"/>
                <w:lang w:val="en-US"/>
              </w:rPr>
              <w:t xml:space="preserve"> cycles </w:t>
            </w:r>
            <w:r w:rsidR="00DA6EEA" w:rsidRPr="002B4583">
              <w:rPr>
                <w:rFonts w:ascii="Arial Narrow" w:hAnsi="Arial Narrow"/>
                <w:sz w:val="20"/>
                <w:lang w:val="en-US"/>
              </w:rPr>
              <w:br/>
            </w:r>
            <w:r w:rsidR="00C66B1D" w:rsidRPr="002B4583">
              <w:rPr>
                <w:rFonts w:ascii="Arial Narrow" w:hAnsi="Arial Narrow"/>
                <w:sz w:val="20"/>
                <w:lang w:val="en-US"/>
              </w:rPr>
              <w:t>(GO29365</w:t>
            </w:r>
            <w:r w:rsidR="00DA6EEA" w:rsidRPr="002B4583">
              <w:rPr>
                <w:rFonts w:ascii="Arial Narrow" w:hAnsi="Arial Narrow"/>
                <w:sz w:val="20"/>
                <w:lang w:val="en-US"/>
              </w:rPr>
              <w:t xml:space="preserve"> mean</w:t>
            </w:r>
            <w:r w:rsidR="00C66B1D" w:rsidRPr="002B4583">
              <w:rPr>
                <w:rFonts w:ascii="Arial Narrow" w:hAnsi="Arial Narrow"/>
                <w:sz w:val="20"/>
                <w:lang w:val="en-US"/>
              </w:rPr>
              <w:t>)</w:t>
            </w:r>
          </w:p>
        </w:tc>
        <w:tc>
          <w:tcPr>
            <w:tcW w:w="742" w:type="pct"/>
            <w:vAlign w:val="center"/>
          </w:tcPr>
          <w:p w:rsidR="00C66B1D" w:rsidRPr="002B4583" w:rsidRDefault="00E77FA0" w:rsidP="00E66992">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C66B1D" w:rsidRPr="002B4583">
              <w:rPr>
                <w:rFonts w:ascii="Arial Narrow" w:hAnsi="Arial Narrow"/>
                <w:sz w:val="20"/>
                <w:lang w:val="en-US"/>
              </w:rPr>
              <w:t xml:space="preserve"> cycles (assumption)</w:t>
            </w:r>
          </w:p>
        </w:tc>
      </w:tr>
      <w:tr w:rsidR="00C66B1D" w:rsidRPr="00A60098" w:rsidTr="00DA6EEA">
        <w:trPr>
          <w:jc w:val="center"/>
        </w:trPr>
        <w:tc>
          <w:tcPr>
            <w:tcW w:w="548" w:type="pct"/>
            <w:shd w:val="clear" w:color="auto" w:fill="auto"/>
            <w:vAlign w:val="center"/>
          </w:tcPr>
          <w:p w:rsidR="00C66B1D" w:rsidRPr="00267637" w:rsidRDefault="00C66B1D" w:rsidP="00E66992">
            <w:pPr>
              <w:keepNext/>
              <w:widowControl/>
              <w:jc w:val="left"/>
              <w:rPr>
                <w:rFonts w:ascii="Arial Narrow" w:hAnsi="Arial Narrow"/>
                <w:sz w:val="20"/>
                <w:lang w:val="en-US"/>
              </w:rPr>
            </w:pPr>
            <w:r w:rsidRPr="00267637">
              <w:rPr>
                <w:rFonts w:ascii="Arial Narrow" w:hAnsi="Arial Narrow"/>
                <w:sz w:val="20"/>
                <w:lang w:val="en-US"/>
              </w:rPr>
              <w:t>Cost/patient//course</w:t>
            </w:r>
          </w:p>
        </w:tc>
        <w:tc>
          <w:tcPr>
            <w:tcW w:w="1414" w:type="pct"/>
            <w:gridSpan w:val="2"/>
            <w:shd w:val="clear" w:color="auto" w:fill="auto"/>
            <w:vAlign w:val="center"/>
          </w:tcPr>
          <w:p w:rsidR="00C66B1D" w:rsidRDefault="00C66B1D" w:rsidP="00E66992">
            <w:pPr>
              <w:keepNext/>
              <w:widowControl/>
              <w:jc w:val="center"/>
              <w:rPr>
                <w:rFonts w:ascii="Arial Narrow" w:hAnsi="Arial Narrow"/>
                <w:sz w:val="20"/>
                <w:lang w:val="en-US"/>
              </w:rPr>
            </w:pPr>
            <w:proofErr w:type="spellStart"/>
            <w:r>
              <w:rPr>
                <w:rFonts w:ascii="Arial Narrow" w:hAnsi="Arial Narrow"/>
                <w:sz w:val="20"/>
                <w:lang w:val="en-US"/>
              </w:rPr>
              <w:t>Pola</w:t>
            </w:r>
            <w:proofErr w:type="spellEnd"/>
            <w:r>
              <w:rPr>
                <w:rFonts w:ascii="Arial Narrow" w:hAnsi="Arial Narrow"/>
                <w:sz w:val="20"/>
                <w:lang w:val="en-US"/>
              </w:rPr>
              <w:t>: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B: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CC5199" w:rsidRDefault="00C66B1D" w:rsidP="00E66992">
            <w:pPr>
              <w:keepNext/>
              <w:widowControl/>
              <w:jc w:val="center"/>
              <w:rPr>
                <w:rFonts w:ascii="Arial Narrow" w:hAnsi="Arial Narrow"/>
                <w:sz w:val="20"/>
                <w:lang w:val="en-US"/>
              </w:rPr>
            </w:pPr>
            <w:r>
              <w:rPr>
                <w:rFonts w:ascii="Arial Narrow" w:hAnsi="Arial Narrow"/>
                <w:sz w:val="20"/>
                <w:lang w:val="en-US"/>
              </w:rPr>
              <w:t>Total: $</w:t>
            </w:r>
            <w:r w:rsidR="00E77FA0">
              <w:rPr>
                <w:rFonts w:ascii="Arial Narrow" w:hAnsi="Arial Narrow"/>
                <w:noProof/>
                <w:color w:val="000000"/>
                <w:sz w:val="20"/>
                <w:highlight w:val="black"/>
                <w:lang w:val="en-US"/>
              </w:rPr>
              <w:t>'''''''''''''''''</w:t>
            </w:r>
          </w:p>
        </w:tc>
        <w:tc>
          <w:tcPr>
            <w:tcW w:w="812" w:type="pct"/>
            <w:shd w:val="clear" w:color="auto" w:fill="auto"/>
            <w:vAlign w:val="center"/>
          </w:tcPr>
          <w:p w:rsidR="00C66B1D" w:rsidRDefault="00C66B1D" w:rsidP="00E66992">
            <w:pPr>
              <w:keepNext/>
              <w:widowControl/>
              <w:jc w:val="center"/>
              <w:rPr>
                <w:rFonts w:ascii="Arial Narrow" w:hAnsi="Arial Narrow"/>
                <w:sz w:val="20"/>
                <w:lang w:val="en-US"/>
              </w:rPr>
            </w:pPr>
            <w:proofErr w:type="spellStart"/>
            <w:r>
              <w:rPr>
                <w:rFonts w:ascii="Arial Narrow" w:hAnsi="Arial Narrow"/>
                <w:sz w:val="20"/>
                <w:lang w:val="en-US"/>
              </w:rPr>
              <w:t>Pola</w:t>
            </w:r>
            <w:proofErr w:type="spellEnd"/>
            <w:r>
              <w:rPr>
                <w:rFonts w:ascii="Arial Narrow" w:hAnsi="Arial Narrow"/>
                <w:sz w:val="20"/>
                <w:lang w:val="en-US"/>
              </w:rPr>
              <w:t>: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B: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CC5199" w:rsidRDefault="00C66B1D" w:rsidP="00E66992">
            <w:pPr>
              <w:keepNext/>
              <w:widowControl/>
              <w:jc w:val="center"/>
              <w:rPr>
                <w:rFonts w:ascii="Arial Narrow" w:hAnsi="Arial Narrow"/>
                <w:sz w:val="20"/>
                <w:lang w:val="en-US"/>
              </w:rPr>
            </w:pPr>
            <w:r>
              <w:rPr>
                <w:rFonts w:ascii="Arial Narrow" w:hAnsi="Arial Narrow"/>
                <w:sz w:val="20"/>
                <w:lang w:val="en-US"/>
              </w:rPr>
              <w:t>Total: $</w:t>
            </w:r>
            <w:r w:rsidR="00E77FA0">
              <w:rPr>
                <w:rFonts w:ascii="Arial Narrow" w:hAnsi="Arial Narrow"/>
                <w:noProof/>
                <w:color w:val="000000"/>
                <w:sz w:val="20"/>
                <w:highlight w:val="black"/>
                <w:lang w:val="en-US"/>
              </w:rPr>
              <w:t>''''''''''''''''</w:t>
            </w:r>
          </w:p>
        </w:tc>
        <w:tc>
          <w:tcPr>
            <w:tcW w:w="1484" w:type="pct"/>
            <w:gridSpan w:val="2"/>
            <w:shd w:val="clear" w:color="auto" w:fill="auto"/>
            <w:vAlign w:val="center"/>
          </w:tcPr>
          <w:p w:rsidR="00C66B1D" w:rsidRDefault="00C66B1D" w:rsidP="00E66992">
            <w:pPr>
              <w:keepNext/>
              <w:widowControl/>
              <w:jc w:val="center"/>
              <w:rPr>
                <w:rFonts w:ascii="Arial Narrow" w:hAnsi="Arial Narrow"/>
                <w:sz w:val="20"/>
                <w:lang w:val="en-US"/>
              </w:rPr>
            </w:pPr>
            <w:r>
              <w:rPr>
                <w:rFonts w:ascii="Arial Narrow" w:hAnsi="Arial Narrow"/>
                <w:sz w:val="20"/>
                <w:lang w:val="en-US"/>
              </w:rPr>
              <w:t>B: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CC5199" w:rsidRDefault="00C66B1D" w:rsidP="00E66992">
            <w:pPr>
              <w:keepNext/>
              <w:widowControl/>
              <w:jc w:val="center"/>
              <w:rPr>
                <w:rFonts w:ascii="Arial Narrow" w:hAnsi="Arial Narrow"/>
                <w:sz w:val="20"/>
                <w:lang w:val="en-US"/>
              </w:rPr>
            </w:pPr>
            <w:r>
              <w:rPr>
                <w:rFonts w:ascii="Arial Narrow" w:hAnsi="Arial Narrow"/>
                <w:sz w:val="20"/>
                <w:lang w:val="en-US"/>
              </w:rPr>
              <w:t>Total: $</w:t>
            </w:r>
            <w:r w:rsidR="00E77FA0">
              <w:rPr>
                <w:rFonts w:ascii="Arial Narrow" w:hAnsi="Arial Narrow"/>
                <w:noProof/>
                <w:color w:val="000000"/>
                <w:sz w:val="20"/>
                <w:highlight w:val="black"/>
                <w:lang w:val="en-US"/>
              </w:rPr>
              <w:t>'''''''''''''''</w:t>
            </w:r>
          </w:p>
        </w:tc>
        <w:tc>
          <w:tcPr>
            <w:tcW w:w="742" w:type="pct"/>
            <w:vAlign w:val="center"/>
          </w:tcPr>
          <w:p w:rsidR="00C66B1D" w:rsidRDefault="00C66B1D" w:rsidP="00E66992">
            <w:pPr>
              <w:keepNext/>
              <w:widowControl/>
              <w:jc w:val="center"/>
              <w:rPr>
                <w:rFonts w:ascii="Arial Narrow" w:hAnsi="Arial Narrow"/>
                <w:sz w:val="20"/>
                <w:lang w:val="en-US"/>
              </w:rPr>
            </w:pPr>
            <w:r>
              <w:rPr>
                <w:rFonts w:ascii="Arial Narrow" w:hAnsi="Arial Narrow"/>
                <w:sz w:val="20"/>
                <w:lang w:val="en-US"/>
              </w:rPr>
              <w:t>R: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Gem: $</w:t>
            </w:r>
            <w:r w:rsidR="00E77FA0">
              <w:rPr>
                <w:rFonts w:ascii="Arial Narrow" w:hAnsi="Arial Narrow"/>
                <w:noProof/>
                <w:color w:val="000000"/>
                <w:sz w:val="20"/>
                <w:highlight w:val="black"/>
                <w:lang w:val="en-US"/>
              </w:rPr>
              <w:t>'''''''''''''</w:t>
            </w:r>
          </w:p>
          <w:p w:rsidR="00C66B1D" w:rsidRDefault="00C66B1D" w:rsidP="00E66992">
            <w:pPr>
              <w:keepNext/>
              <w:widowControl/>
              <w:jc w:val="center"/>
              <w:rPr>
                <w:rFonts w:ascii="Arial Narrow" w:hAnsi="Arial Narrow"/>
                <w:sz w:val="20"/>
                <w:lang w:val="en-US"/>
              </w:rPr>
            </w:pPr>
            <w:r>
              <w:rPr>
                <w:rFonts w:ascii="Arial Narrow" w:hAnsi="Arial Narrow"/>
                <w:sz w:val="20"/>
                <w:lang w:val="en-US"/>
              </w:rPr>
              <w:t>Ox: $</w:t>
            </w:r>
            <w:r w:rsidR="00E77FA0">
              <w:rPr>
                <w:rFonts w:ascii="Arial Narrow" w:hAnsi="Arial Narrow"/>
                <w:noProof/>
                <w:color w:val="000000"/>
                <w:sz w:val="20"/>
                <w:highlight w:val="black"/>
                <w:lang w:val="en-US"/>
              </w:rPr>
              <w:t>''''''''''''''</w:t>
            </w:r>
          </w:p>
          <w:p w:rsidR="00C66B1D" w:rsidRPr="00CC5199" w:rsidRDefault="00C66B1D" w:rsidP="00E66992">
            <w:pPr>
              <w:keepNext/>
              <w:widowControl/>
              <w:jc w:val="center"/>
              <w:rPr>
                <w:rFonts w:ascii="Arial Narrow" w:hAnsi="Arial Narrow"/>
                <w:sz w:val="20"/>
                <w:lang w:val="en-US"/>
              </w:rPr>
            </w:pPr>
            <w:r>
              <w:rPr>
                <w:rFonts w:ascii="Arial Narrow" w:hAnsi="Arial Narrow"/>
                <w:sz w:val="20"/>
                <w:lang w:val="en-US"/>
              </w:rPr>
              <w:t>Total: $</w:t>
            </w:r>
            <w:r w:rsidR="00E77FA0">
              <w:rPr>
                <w:rFonts w:ascii="Arial Narrow" w:hAnsi="Arial Narrow"/>
                <w:noProof/>
                <w:color w:val="000000"/>
                <w:sz w:val="20"/>
                <w:highlight w:val="black"/>
                <w:lang w:val="en-US"/>
              </w:rPr>
              <w:t>'''''''''''''''</w:t>
            </w:r>
          </w:p>
        </w:tc>
      </w:tr>
      <w:tr w:rsidR="00C66B1D" w:rsidRPr="00A60098" w:rsidTr="00DA6EEA">
        <w:trPr>
          <w:jc w:val="center"/>
        </w:trPr>
        <w:tc>
          <w:tcPr>
            <w:tcW w:w="548" w:type="pct"/>
            <w:shd w:val="clear" w:color="auto" w:fill="auto"/>
            <w:vAlign w:val="center"/>
          </w:tcPr>
          <w:p w:rsidR="00C66B1D" w:rsidRPr="006A491B" w:rsidRDefault="00C66B1D" w:rsidP="00E66992">
            <w:pPr>
              <w:keepNext/>
              <w:widowControl/>
              <w:jc w:val="left"/>
              <w:rPr>
                <w:rFonts w:ascii="Arial Narrow" w:hAnsi="Arial Narrow"/>
                <w:sz w:val="20"/>
                <w:lang w:val="en-US"/>
              </w:rPr>
            </w:pPr>
            <w:r w:rsidRPr="006A491B">
              <w:rPr>
                <w:rFonts w:ascii="Arial Narrow" w:hAnsi="Arial Narrow"/>
                <w:sz w:val="20"/>
                <w:lang w:val="en-US"/>
              </w:rPr>
              <w:t>Revised</w:t>
            </w:r>
            <w:r w:rsidR="006A491B" w:rsidRPr="006A491B">
              <w:rPr>
                <w:rFonts w:ascii="Arial Narrow" w:hAnsi="Arial Narrow"/>
                <w:sz w:val="20"/>
                <w:lang w:val="en-US"/>
              </w:rPr>
              <w:t>*</w:t>
            </w:r>
          </w:p>
        </w:tc>
        <w:tc>
          <w:tcPr>
            <w:tcW w:w="1414" w:type="pct"/>
            <w:gridSpan w:val="2"/>
            <w:shd w:val="clear" w:color="auto" w:fill="auto"/>
            <w:vAlign w:val="center"/>
          </w:tcPr>
          <w:p w:rsidR="00C66B1D" w:rsidRPr="006A491B" w:rsidRDefault="00C66B1D" w:rsidP="00E66992">
            <w:pPr>
              <w:keepNext/>
              <w:widowControl/>
              <w:jc w:val="center"/>
              <w:rPr>
                <w:rFonts w:ascii="Arial Narrow" w:hAnsi="Arial Narrow"/>
                <w:sz w:val="20"/>
                <w:lang w:val="en-US"/>
              </w:rPr>
            </w:pPr>
            <w:proofErr w:type="spellStart"/>
            <w:r w:rsidRPr="006A491B">
              <w:rPr>
                <w:rFonts w:ascii="Arial Narrow" w:hAnsi="Arial Narrow"/>
                <w:sz w:val="20"/>
                <w:lang w:val="en-US"/>
              </w:rPr>
              <w:t>Pola</w:t>
            </w:r>
            <w:proofErr w:type="spellEnd"/>
            <w:r w:rsidRPr="006A491B">
              <w:rPr>
                <w:rFonts w:ascii="Arial Narrow" w:hAnsi="Arial Narrow"/>
                <w:sz w:val="20"/>
                <w:lang w:val="en-US"/>
              </w:rPr>
              <w:t>: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B: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Total: $</w:t>
            </w:r>
            <w:r w:rsidR="00E77FA0">
              <w:rPr>
                <w:rFonts w:ascii="Arial Narrow" w:hAnsi="Arial Narrow"/>
                <w:noProof/>
                <w:color w:val="000000"/>
                <w:sz w:val="20"/>
                <w:highlight w:val="black"/>
                <w:lang w:val="en-US"/>
              </w:rPr>
              <w:t>'''''''''''''''''</w:t>
            </w:r>
          </w:p>
        </w:tc>
        <w:tc>
          <w:tcPr>
            <w:tcW w:w="812" w:type="pct"/>
            <w:shd w:val="clear" w:color="auto" w:fill="auto"/>
            <w:vAlign w:val="center"/>
          </w:tcPr>
          <w:p w:rsidR="00C66B1D" w:rsidRPr="006A491B" w:rsidRDefault="00C66B1D" w:rsidP="00E66992">
            <w:pPr>
              <w:keepNext/>
              <w:widowControl/>
              <w:jc w:val="center"/>
              <w:rPr>
                <w:rFonts w:ascii="Arial Narrow" w:hAnsi="Arial Narrow"/>
                <w:sz w:val="20"/>
                <w:lang w:val="en-US"/>
              </w:rPr>
            </w:pPr>
            <w:proofErr w:type="spellStart"/>
            <w:r w:rsidRPr="006A491B">
              <w:rPr>
                <w:rFonts w:ascii="Arial Narrow" w:hAnsi="Arial Narrow"/>
                <w:sz w:val="20"/>
                <w:lang w:val="en-US"/>
              </w:rPr>
              <w:t>Pola</w:t>
            </w:r>
            <w:proofErr w:type="spellEnd"/>
            <w:r w:rsidRPr="006A491B">
              <w:rPr>
                <w:rFonts w:ascii="Arial Narrow" w:hAnsi="Arial Narrow"/>
                <w:sz w:val="20"/>
                <w:lang w:val="en-US"/>
              </w:rPr>
              <w:t>: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B: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Total: $</w:t>
            </w:r>
            <w:r w:rsidR="00E77FA0">
              <w:rPr>
                <w:rFonts w:ascii="Arial Narrow" w:hAnsi="Arial Narrow"/>
                <w:noProof/>
                <w:color w:val="000000"/>
                <w:sz w:val="20"/>
                <w:highlight w:val="black"/>
                <w:lang w:val="en-US"/>
              </w:rPr>
              <w:t>''''''''''''''''</w:t>
            </w:r>
          </w:p>
        </w:tc>
        <w:tc>
          <w:tcPr>
            <w:tcW w:w="1484" w:type="pct"/>
            <w:gridSpan w:val="2"/>
            <w:shd w:val="clear" w:color="auto" w:fill="auto"/>
            <w:vAlign w:val="center"/>
          </w:tcPr>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B: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Total: $</w:t>
            </w:r>
            <w:r w:rsidR="00E77FA0">
              <w:rPr>
                <w:rFonts w:ascii="Arial Narrow" w:hAnsi="Arial Narrow"/>
                <w:noProof/>
                <w:color w:val="000000"/>
                <w:sz w:val="20"/>
                <w:highlight w:val="black"/>
                <w:lang w:val="en-US"/>
              </w:rPr>
              <w:t>''''''''''''''''</w:t>
            </w:r>
          </w:p>
        </w:tc>
        <w:tc>
          <w:tcPr>
            <w:tcW w:w="742" w:type="pct"/>
            <w:vAlign w:val="center"/>
          </w:tcPr>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R: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Gem: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Ox: $</w:t>
            </w:r>
            <w:r w:rsidR="00E77FA0">
              <w:rPr>
                <w:rFonts w:ascii="Arial Narrow" w:hAnsi="Arial Narrow"/>
                <w:noProof/>
                <w:color w:val="000000"/>
                <w:sz w:val="20"/>
                <w:highlight w:val="black"/>
                <w:lang w:val="en-US"/>
              </w:rPr>
              <w:t>'''''''''''''</w:t>
            </w:r>
          </w:p>
          <w:p w:rsidR="00C66B1D" w:rsidRPr="006A491B" w:rsidRDefault="00C66B1D" w:rsidP="00E66992">
            <w:pPr>
              <w:keepNext/>
              <w:widowControl/>
              <w:jc w:val="center"/>
              <w:rPr>
                <w:rFonts w:ascii="Arial Narrow" w:hAnsi="Arial Narrow"/>
                <w:sz w:val="20"/>
                <w:lang w:val="en-US"/>
              </w:rPr>
            </w:pPr>
            <w:r w:rsidRPr="006A491B">
              <w:rPr>
                <w:rFonts w:ascii="Arial Narrow" w:hAnsi="Arial Narrow"/>
                <w:sz w:val="20"/>
                <w:lang w:val="en-US"/>
              </w:rPr>
              <w:t>Total: $</w:t>
            </w:r>
            <w:r w:rsidR="00E77FA0">
              <w:rPr>
                <w:rFonts w:ascii="Arial Narrow" w:hAnsi="Arial Narrow"/>
                <w:noProof/>
                <w:color w:val="000000"/>
                <w:sz w:val="20"/>
                <w:highlight w:val="black"/>
                <w:lang w:val="en-US"/>
              </w:rPr>
              <w:t>'''''''''''''''''</w:t>
            </w:r>
          </w:p>
        </w:tc>
      </w:tr>
    </w:tbl>
    <w:p w:rsidR="003E6312" w:rsidRPr="00511483" w:rsidRDefault="006A491B" w:rsidP="003E6312">
      <w:pPr>
        <w:pStyle w:val="TableFooter"/>
      </w:pPr>
      <w:r>
        <w:t>*Denotes e</w:t>
      </w:r>
      <w:r w:rsidR="003E6312" w:rsidRPr="00511483">
        <w:t>st</w:t>
      </w:r>
      <w:r>
        <w:t xml:space="preserve">imates </w:t>
      </w:r>
      <w:r w:rsidR="003E6312" w:rsidRPr="00511483">
        <w:t>revised during the evaluation to correct for minor errors identified relating to the cost per 100 mg vial of rituximab used and to use the current fees (as of July 1, 2019) for the efficient funding of chemotherapy drugs.</w:t>
      </w:r>
    </w:p>
    <w:p w:rsidR="00A628EA" w:rsidRPr="00511483" w:rsidRDefault="00A628EA" w:rsidP="00A628EA">
      <w:pPr>
        <w:pStyle w:val="TableFooter"/>
      </w:pPr>
      <w:r w:rsidRPr="00511483">
        <w:t xml:space="preserve">BR = rituximab used in combination with </w:t>
      </w:r>
      <w:proofErr w:type="spellStart"/>
      <w:r w:rsidRPr="00511483">
        <w:t>bendamustine</w:t>
      </w:r>
      <w:proofErr w:type="spellEnd"/>
      <w:r w:rsidRPr="00511483">
        <w:t xml:space="preserve">; </w:t>
      </w:r>
      <w:proofErr w:type="spellStart"/>
      <w:r w:rsidRPr="00511483">
        <w:t>Pola+BR</w:t>
      </w:r>
      <w:proofErr w:type="spellEnd"/>
      <w:r w:rsidRPr="00511483">
        <w:t xml:space="preserve"> = </w:t>
      </w:r>
      <w:proofErr w:type="spellStart"/>
      <w:r w:rsidRPr="00511483">
        <w:t>polatuzumab</w:t>
      </w:r>
      <w:proofErr w:type="spellEnd"/>
      <w:r w:rsidRPr="00511483">
        <w:t xml:space="preserve"> </w:t>
      </w:r>
      <w:proofErr w:type="spellStart"/>
      <w:r w:rsidRPr="00511483">
        <w:t>vedotin</w:t>
      </w:r>
      <w:proofErr w:type="spellEnd"/>
      <w:r w:rsidRPr="00511483">
        <w:t xml:space="preserve"> in combination with </w:t>
      </w:r>
      <w:proofErr w:type="spellStart"/>
      <w:r w:rsidRPr="00511483">
        <w:t>bendamustine</w:t>
      </w:r>
      <w:proofErr w:type="spellEnd"/>
      <w:r w:rsidRPr="00511483">
        <w:t xml:space="preserve"> and rituximab; </w:t>
      </w:r>
      <w:proofErr w:type="spellStart"/>
      <w:r w:rsidRPr="00511483">
        <w:t>RGemOx</w:t>
      </w:r>
      <w:proofErr w:type="spellEnd"/>
      <w:r w:rsidRPr="00511483">
        <w:t xml:space="preserve"> = rituximab in combination with gemcitabine and </w:t>
      </w:r>
      <w:proofErr w:type="spellStart"/>
      <w:r w:rsidRPr="00511483">
        <w:t>oxaliplatin</w:t>
      </w:r>
      <w:proofErr w:type="spellEnd"/>
      <w:r w:rsidRPr="00511483">
        <w:t>.</w:t>
      </w:r>
    </w:p>
    <w:p w:rsidR="00C66B1D" w:rsidRPr="00511483" w:rsidRDefault="00C66B1D" w:rsidP="00C66B1D">
      <w:pPr>
        <w:pStyle w:val="TableFooter"/>
        <w:rPr>
          <w:sz w:val="20"/>
        </w:rPr>
      </w:pPr>
      <w:r w:rsidRPr="00511483">
        <w:t xml:space="preserve">Source: Compiled during the evaluation based on the ‘Economic Evaluation.xlsx’ and the ‘Section 4 Workbook.xlsx’ workbooks included in the submission. </w:t>
      </w:r>
    </w:p>
    <w:p w:rsidR="00A60098" w:rsidRPr="001E2B1E" w:rsidRDefault="00A60098" w:rsidP="00267637"/>
    <w:p w:rsidR="005B750F" w:rsidRPr="005B750F" w:rsidRDefault="00B60939" w:rsidP="00F3604C">
      <w:pPr>
        <w:pStyle w:val="Heading2"/>
        <w:spacing w:before="240" w:after="120"/>
      </w:pPr>
      <w:bookmarkStart w:id="20" w:name="_Toc19627199"/>
      <w:r w:rsidRPr="00C9624D">
        <w:t>Estimated PBS usage &amp; financial implications</w:t>
      </w:r>
      <w:bookmarkEnd w:id="20"/>
    </w:p>
    <w:p w:rsidR="005B750F" w:rsidRPr="00B201A4" w:rsidRDefault="00095881" w:rsidP="00095881">
      <w:pPr>
        <w:pStyle w:val="ListParagraph"/>
        <w:widowControl/>
        <w:numPr>
          <w:ilvl w:val="1"/>
          <w:numId w:val="2"/>
        </w:numPr>
      </w:pPr>
      <w:bookmarkStart w:id="21" w:name="_Toc19627200"/>
      <w:r>
        <w:t>This</w:t>
      </w:r>
      <w:r w:rsidR="005B750F">
        <w:t xml:space="preserve"> submission </w:t>
      </w:r>
      <w:r>
        <w:t>was</w:t>
      </w:r>
      <w:r w:rsidR="005B750F">
        <w:t xml:space="preserve"> considered by DUS</w:t>
      </w:r>
      <w:r w:rsidR="005B750F" w:rsidRPr="006956FD">
        <w:t xml:space="preserve">C. </w:t>
      </w:r>
      <w:r w:rsidR="005B750F" w:rsidRPr="00366C02">
        <w:t xml:space="preserve">The submission </w:t>
      </w:r>
      <w:r w:rsidR="005B750F">
        <w:t xml:space="preserve">used an epidemiological approach to estimate the financial impact of </w:t>
      </w:r>
      <w:proofErr w:type="spellStart"/>
      <w:r w:rsidR="005B750F">
        <w:t>Pola+BR</w:t>
      </w:r>
      <w:proofErr w:type="spellEnd"/>
      <w:r w:rsidR="005B750F">
        <w:t>.</w:t>
      </w:r>
    </w:p>
    <w:p w:rsidR="005B750F" w:rsidRPr="00B50DB8" w:rsidRDefault="005B750F" w:rsidP="00095881">
      <w:pPr>
        <w:pStyle w:val="ListParagraph"/>
        <w:widowControl/>
        <w:numPr>
          <w:ilvl w:val="1"/>
          <w:numId w:val="2"/>
        </w:numPr>
      </w:pPr>
      <w:r>
        <w:t xml:space="preserve">The estimated use and financial implications of listing </w:t>
      </w:r>
      <w:proofErr w:type="spellStart"/>
      <w:r>
        <w:t>Pola+BR</w:t>
      </w:r>
      <w:proofErr w:type="spellEnd"/>
      <w:r>
        <w:t xml:space="preserve"> </w:t>
      </w:r>
      <w:r w:rsidR="001C39E7">
        <w:t xml:space="preserve">(as estimated in the submission) </w:t>
      </w:r>
      <w:r>
        <w:t>are summarised below.</w:t>
      </w:r>
      <w:r w:rsidR="00AE0108">
        <w:t xml:space="preserve"> </w:t>
      </w:r>
      <w:r w:rsidR="00AE0108" w:rsidRPr="00D75534">
        <w:rPr>
          <w:rFonts w:asciiTheme="minorHAnsi" w:hAnsiTheme="minorHAnsi"/>
          <w:bCs/>
        </w:rPr>
        <w:t xml:space="preserve">At year 6, the estimated number of </w:t>
      </w:r>
      <w:r w:rsidR="00881AA1">
        <w:rPr>
          <w:rFonts w:asciiTheme="minorHAnsi" w:hAnsiTheme="minorHAnsi"/>
          <w:bCs/>
        </w:rPr>
        <w:t xml:space="preserve">treated </w:t>
      </w:r>
      <w:r w:rsidR="00746276">
        <w:rPr>
          <w:rFonts w:asciiTheme="minorHAnsi" w:hAnsiTheme="minorHAnsi"/>
          <w:bCs/>
        </w:rPr>
        <w:lastRenderedPageBreak/>
        <w:t xml:space="preserve">patients was less than </w:t>
      </w:r>
      <w:r w:rsidR="000D78A7">
        <w:rPr>
          <w:rFonts w:asciiTheme="minorHAnsi" w:hAnsiTheme="minorHAnsi"/>
          <w:bCs/>
        </w:rPr>
        <w:t>10,000</w:t>
      </w:r>
      <w:r w:rsidR="00AE0108" w:rsidRPr="00D75534">
        <w:rPr>
          <w:rFonts w:asciiTheme="minorHAnsi" w:hAnsiTheme="minorHAnsi"/>
          <w:bCs/>
        </w:rPr>
        <w:t xml:space="preserve"> and the ne</w:t>
      </w:r>
      <w:r w:rsidR="00D75534" w:rsidRPr="00D75534">
        <w:rPr>
          <w:rFonts w:asciiTheme="minorHAnsi" w:hAnsiTheme="minorHAnsi"/>
          <w:bCs/>
        </w:rPr>
        <w:t>t cost to the PBS</w:t>
      </w:r>
      <w:r w:rsidR="00881AA1">
        <w:rPr>
          <w:rFonts w:asciiTheme="minorHAnsi" w:hAnsiTheme="minorHAnsi"/>
          <w:bCs/>
        </w:rPr>
        <w:t>/RPBS</w:t>
      </w:r>
      <w:r w:rsidR="00D75534" w:rsidRPr="00D75534">
        <w:rPr>
          <w:rFonts w:asciiTheme="minorHAnsi" w:hAnsiTheme="minorHAnsi"/>
          <w:bCs/>
        </w:rPr>
        <w:t xml:space="preserve"> would be $</w:t>
      </w:r>
      <w:r w:rsidR="00746276">
        <w:rPr>
          <w:rFonts w:asciiTheme="minorHAnsi" w:hAnsiTheme="minorHAnsi"/>
          <w:bCs/>
        </w:rPr>
        <w:t>20 - $30</w:t>
      </w:r>
      <w:r w:rsidR="00D75534" w:rsidRPr="00D75534">
        <w:rPr>
          <w:rFonts w:asciiTheme="minorHAnsi" w:hAnsiTheme="minorHAnsi"/>
          <w:bCs/>
        </w:rPr>
        <w:t xml:space="preserve"> million</w:t>
      </w:r>
      <w:r w:rsidR="00AE0108" w:rsidRPr="00D75534">
        <w:rPr>
          <w:rFonts w:ascii="Arial" w:hAnsi="Arial"/>
          <w:bCs/>
          <w:sz w:val="22"/>
        </w:rPr>
        <w:t>.</w:t>
      </w:r>
      <w:r w:rsidR="00AE0108">
        <w:rPr>
          <w:rFonts w:ascii="Arial" w:hAnsi="Arial"/>
          <w:bCs/>
          <w:sz w:val="22"/>
        </w:rPr>
        <w:t xml:space="preserve"> </w:t>
      </w:r>
    </w:p>
    <w:p w:rsidR="005B750F" w:rsidRDefault="005B750F" w:rsidP="005B750F">
      <w:pPr>
        <w:pStyle w:val="Caption"/>
        <w:keepNext/>
        <w:rPr>
          <w:rStyle w:val="CommentReference"/>
          <w:b/>
        </w:rPr>
      </w:pPr>
      <w:r w:rsidRPr="00AB0834">
        <w:rPr>
          <w:rStyle w:val="CommentReference"/>
          <w:b/>
        </w:rPr>
        <w:t xml:space="preserve">Table </w:t>
      </w:r>
      <w:r>
        <w:rPr>
          <w:rStyle w:val="CommentReference"/>
          <w:b/>
          <w:noProof/>
        </w:rPr>
        <w:t>15</w:t>
      </w:r>
      <w:r w:rsidRPr="00AB0834">
        <w:rPr>
          <w:rStyle w:val="CommentReference"/>
          <w:b/>
        </w:rPr>
        <w:t>: Estimated use and financial implications</w:t>
      </w:r>
      <w:r w:rsidR="001C39E7">
        <w:rPr>
          <w:rStyle w:val="CommentReference"/>
          <w:b/>
        </w:rPr>
        <w:t xml:space="preserve"> (as estimated in submission)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7"/>
        <w:gridCol w:w="1157"/>
        <w:gridCol w:w="1157"/>
        <w:gridCol w:w="1157"/>
        <w:gridCol w:w="1157"/>
      </w:tblGrid>
      <w:tr w:rsidR="005B750F" w:rsidRPr="00D1078F" w:rsidTr="00B96A7A">
        <w:trPr>
          <w:tblHeader/>
        </w:trPr>
        <w:tc>
          <w:tcPr>
            <w:tcW w:w="1118" w:type="pct"/>
            <w:shd w:val="clear" w:color="auto" w:fill="auto"/>
            <w:vAlign w:val="center"/>
          </w:tcPr>
          <w:p w:rsidR="005B750F" w:rsidRPr="003639A6" w:rsidRDefault="005B750F" w:rsidP="00B96A7A">
            <w:pPr>
              <w:pStyle w:val="Tabletext"/>
            </w:pPr>
          </w:p>
        </w:tc>
        <w:tc>
          <w:tcPr>
            <w:tcW w:w="647" w:type="pct"/>
            <w:shd w:val="clear" w:color="auto" w:fill="auto"/>
            <w:vAlign w:val="center"/>
          </w:tcPr>
          <w:p w:rsidR="005B750F" w:rsidRPr="00D1078F" w:rsidRDefault="005B750F" w:rsidP="00B96A7A">
            <w:pPr>
              <w:pStyle w:val="Tabletext"/>
              <w:jc w:val="center"/>
              <w:rPr>
                <w:b/>
              </w:rPr>
            </w:pPr>
            <w:r w:rsidRPr="00D1078F">
              <w:rPr>
                <w:b/>
              </w:rPr>
              <w:t>Year 1</w:t>
            </w:r>
          </w:p>
        </w:tc>
        <w:tc>
          <w:tcPr>
            <w:tcW w:w="647" w:type="pct"/>
            <w:shd w:val="clear" w:color="auto" w:fill="auto"/>
            <w:vAlign w:val="center"/>
          </w:tcPr>
          <w:p w:rsidR="005B750F" w:rsidRPr="00D1078F" w:rsidRDefault="005B750F" w:rsidP="00B96A7A">
            <w:pPr>
              <w:pStyle w:val="Tabletext"/>
              <w:jc w:val="center"/>
              <w:rPr>
                <w:b/>
              </w:rPr>
            </w:pPr>
            <w:r w:rsidRPr="00D1078F">
              <w:rPr>
                <w:b/>
              </w:rPr>
              <w:t>Year 2</w:t>
            </w:r>
          </w:p>
        </w:tc>
        <w:tc>
          <w:tcPr>
            <w:tcW w:w="647" w:type="pct"/>
            <w:shd w:val="clear" w:color="auto" w:fill="auto"/>
            <w:vAlign w:val="center"/>
          </w:tcPr>
          <w:p w:rsidR="005B750F" w:rsidRPr="00D1078F" w:rsidRDefault="005B750F" w:rsidP="00B96A7A">
            <w:pPr>
              <w:pStyle w:val="Tabletext"/>
              <w:jc w:val="center"/>
              <w:rPr>
                <w:b/>
              </w:rPr>
            </w:pPr>
            <w:r w:rsidRPr="00D1078F">
              <w:rPr>
                <w:b/>
              </w:rPr>
              <w:t>Year 3</w:t>
            </w:r>
          </w:p>
        </w:tc>
        <w:tc>
          <w:tcPr>
            <w:tcW w:w="647" w:type="pct"/>
            <w:shd w:val="clear" w:color="auto" w:fill="auto"/>
            <w:vAlign w:val="center"/>
          </w:tcPr>
          <w:p w:rsidR="005B750F" w:rsidRPr="00D1078F" w:rsidRDefault="005B750F" w:rsidP="00B96A7A">
            <w:pPr>
              <w:pStyle w:val="Tabletext"/>
              <w:jc w:val="center"/>
              <w:rPr>
                <w:b/>
              </w:rPr>
            </w:pPr>
            <w:r w:rsidRPr="00D1078F">
              <w:rPr>
                <w:b/>
              </w:rPr>
              <w:t>Year 4</w:t>
            </w:r>
          </w:p>
        </w:tc>
        <w:tc>
          <w:tcPr>
            <w:tcW w:w="647" w:type="pct"/>
            <w:shd w:val="clear" w:color="auto" w:fill="auto"/>
            <w:vAlign w:val="center"/>
          </w:tcPr>
          <w:p w:rsidR="005B750F" w:rsidRPr="00D1078F" w:rsidRDefault="005B750F" w:rsidP="00B96A7A">
            <w:pPr>
              <w:pStyle w:val="Tabletext"/>
              <w:jc w:val="center"/>
              <w:rPr>
                <w:b/>
              </w:rPr>
            </w:pPr>
            <w:r w:rsidRPr="00D1078F">
              <w:rPr>
                <w:b/>
              </w:rPr>
              <w:t>Year 5</w:t>
            </w:r>
          </w:p>
        </w:tc>
        <w:tc>
          <w:tcPr>
            <w:tcW w:w="647" w:type="pct"/>
          </w:tcPr>
          <w:p w:rsidR="005B750F" w:rsidRPr="00D1078F" w:rsidRDefault="005B750F" w:rsidP="00B96A7A">
            <w:pPr>
              <w:pStyle w:val="Tabletext"/>
              <w:jc w:val="center"/>
              <w:rPr>
                <w:b/>
              </w:rPr>
            </w:pPr>
            <w:r w:rsidRPr="00D1078F">
              <w:rPr>
                <w:b/>
              </w:rPr>
              <w:t>Year 6</w:t>
            </w:r>
          </w:p>
        </w:tc>
      </w:tr>
      <w:tr w:rsidR="005B750F" w:rsidRPr="00D1078F" w:rsidTr="00B96A7A">
        <w:tc>
          <w:tcPr>
            <w:tcW w:w="5000" w:type="pct"/>
            <w:gridSpan w:val="7"/>
            <w:shd w:val="clear" w:color="auto" w:fill="auto"/>
            <w:vAlign w:val="center"/>
          </w:tcPr>
          <w:p w:rsidR="005B750F" w:rsidRPr="00D1078F" w:rsidRDefault="005B750F" w:rsidP="00B96A7A">
            <w:pPr>
              <w:pStyle w:val="Tabletext"/>
              <w:rPr>
                <w:b/>
                <w:bCs/>
                <w:color w:val="000000"/>
              </w:rPr>
            </w:pPr>
            <w:r w:rsidRPr="00D1078F">
              <w:rPr>
                <w:b/>
                <w:bCs/>
                <w:color w:val="000000"/>
              </w:rPr>
              <w:t>Estimated extent of use</w:t>
            </w:r>
          </w:p>
        </w:tc>
      </w:tr>
      <w:tr w:rsidR="005B750F" w:rsidRPr="003639A6" w:rsidTr="00B96A7A">
        <w:tc>
          <w:tcPr>
            <w:tcW w:w="1118" w:type="pct"/>
            <w:shd w:val="clear" w:color="auto" w:fill="auto"/>
            <w:vAlign w:val="center"/>
          </w:tcPr>
          <w:p w:rsidR="005B750F" w:rsidRPr="003639A6" w:rsidRDefault="005B750F" w:rsidP="00B96A7A">
            <w:pPr>
              <w:pStyle w:val="Tabletext"/>
              <w:rPr>
                <w:rFonts w:ascii="Times" w:hAnsi="Times"/>
              </w:rPr>
            </w:pPr>
            <w:r w:rsidRPr="003639A6">
              <w:t>Number of patients treated</w:t>
            </w:r>
          </w:p>
        </w:tc>
        <w:tc>
          <w:tcPr>
            <w:tcW w:w="647" w:type="pct"/>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Pr>
          <w:p w:rsidR="005B750F" w:rsidRPr="00E77FA0" w:rsidRDefault="00E77FA0" w:rsidP="00B96A7A">
            <w:pPr>
              <w:pStyle w:val="Tabletext"/>
              <w:jc w:val="center"/>
              <w:rPr>
                <w:bCs/>
                <w:color w:val="000000"/>
                <w:highlight w:val="black"/>
              </w:rPr>
            </w:pPr>
            <w:r>
              <w:rPr>
                <w:noProof/>
                <w:color w:val="000000"/>
                <w:highlight w:val="black"/>
              </w:rPr>
              <w:t>'''''''''</w:t>
            </w:r>
          </w:p>
        </w:tc>
      </w:tr>
      <w:tr w:rsidR="005B750F" w:rsidRPr="003639A6" w:rsidTr="00B96A7A">
        <w:tc>
          <w:tcPr>
            <w:tcW w:w="5000" w:type="pct"/>
            <w:gridSpan w:val="7"/>
            <w:tcBorders>
              <w:bottom w:val="single" w:sz="4" w:space="0" w:color="auto"/>
            </w:tcBorders>
            <w:shd w:val="clear" w:color="auto" w:fill="auto"/>
            <w:vAlign w:val="center"/>
          </w:tcPr>
          <w:p w:rsidR="005B750F" w:rsidRPr="003639A6" w:rsidRDefault="005B750F" w:rsidP="00B96A7A">
            <w:pPr>
              <w:pStyle w:val="Tabletext"/>
              <w:rPr>
                <w:bCs/>
                <w:color w:val="000000"/>
              </w:rPr>
            </w:pPr>
            <w:r w:rsidRPr="003639A6">
              <w:t xml:space="preserve">Number of </w:t>
            </w:r>
            <w:r>
              <w:t>scripts</w:t>
            </w:r>
            <w:r w:rsidRPr="003639A6">
              <w:t xml:space="preserve"> dispensed</w:t>
            </w:r>
            <w:r>
              <w:t xml:space="preserve"> </w:t>
            </w:r>
            <w:r w:rsidRPr="003639A6">
              <w:rPr>
                <w:vertAlign w:val="superscript"/>
              </w:rPr>
              <w:t>a</w:t>
            </w:r>
          </w:p>
        </w:tc>
      </w:tr>
      <w:tr w:rsidR="005B750F" w:rsidRPr="003639A6" w:rsidTr="00B96A7A">
        <w:tc>
          <w:tcPr>
            <w:tcW w:w="1118" w:type="pct"/>
            <w:tcBorders>
              <w:bottom w:val="nil"/>
            </w:tcBorders>
            <w:shd w:val="clear" w:color="auto" w:fill="auto"/>
            <w:vAlign w:val="center"/>
          </w:tcPr>
          <w:p w:rsidR="005B750F" w:rsidRPr="003639A6" w:rsidRDefault="005B750F" w:rsidP="00B96A7A">
            <w:pPr>
              <w:pStyle w:val="Tabletext"/>
            </w:pPr>
            <w:proofErr w:type="spellStart"/>
            <w:r w:rsidRPr="00F4752F">
              <w:t>polatuzumab</w:t>
            </w:r>
            <w:proofErr w:type="spellEnd"/>
            <w:r w:rsidRPr="00F4752F">
              <w:t xml:space="preserve"> </w:t>
            </w:r>
            <w:proofErr w:type="spellStart"/>
            <w:r w:rsidRPr="00F4752F">
              <w:t>vedotin</w:t>
            </w:r>
            <w:proofErr w:type="spellEnd"/>
          </w:p>
        </w:tc>
        <w:tc>
          <w:tcPr>
            <w:tcW w:w="647" w:type="pct"/>
            <w:tcBorders>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bottom w:val="nil"/>
            </w:tcBorders>
          </w:tcPr>
          <w:p w:rsidR="005B750F" w:rsidRPr="00E77FA0" w:rsidRDefault="00E77FA0" w:rsidP="00B96A7A">
            <w:pPr>
              <w:pStyle w:val="Tabletext"/>
              <w:jc w:val="center"/>
              <w:rPr>
                <w:bCs/>
                <w:color w:val="000000"/>
                <w:highlight w:val="black"/>
              </w:rPr>
            </w:pPr>
            <w:r>
              <w:rPr>
                <w:noProof/>
                <w:color w:val="000000"/>
                <w:highlight w:val="black"/>
              </w:rPr>
              <w:t>''''''''''''</w:t>
            </w:r>
          </w:p>
        </w:tc>
      </w:tr>
      <w:tr w:rsidR="005B750F" w:rsidRPr="003639A6" w:rsidTr="00B96A7A">
        <w:tc>
          <w:tcPr>
            <w:tcW w:w="1118" w:type="pct"/>
            <w:tcBorders>
              <w:top w:val="nil"/>
              <w:bottom w:val="nil"/>
            </w:tcBorders>
            <w:shd w:val="clear" w:color="auto" w:fill="auto"/>
            <w:vAlign w:val="center"/>
          </w:tcPr>
          <w:p w:rsidR="005B750F" w:rsidRPr="003639A6" w:rsidRDefault="005B750F" w:rsidP="00B96A7A">
            <w:pPr>
              <w:pStyle w:val="Tabletext"/>
            </w:pPr>
            <w:proofErr w:type="spellStart"/>
            <w:r w:rsidRPr="00F4752F">
              <w:t>bendamustine</w:t>
            </w:r>
            <w:proofErr w:type="spellEnd"/>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tcPr>
          <w:p w:rsidR="005B750F" w:rsidRPr="00E77FA0" w:rsidRDefault="00E77FA0" w:rsidP="00B96A7A">
            <w:pPr>
              <w:pStyle w:val="Tabletext"/>
              <w:jc w:val="center"/>
              <w:rPr>
                <w:bCs/>
                <w:color w:val="000000"/>
                <w:highlight w:val="black"/>
              </w:rPr>
            </w:pPr>
            <w:r>
              <w:rPr>
                <w:noProof/>
                <w:color w:val="000000"/>
                <w:highlight w:val="black"/>
              </w:rPr>
              <w:t>''''''''''''''</w:t>
            </w:r>
          </w:p>
        </w:tc>
      </w:tr>
      <w:tr w:rsidR="005B750F" w:rsidRPr="003639A6" w:rsidTr="00B96A7A">
        <w:tc>
          <w:tcPr>
            <w:tcW w:w="1118" w:type="pct"/>
            <w:tcBorders>
              <w:top w:val="nil"/>
              <w:bottom w:val="nil"/>
            </w:tcBorders>
            <w:shd w:val="clear" w:color="auto" w:fill="auto"/>
            <w:vAlign w:val="center"/>
          </w:tcPr>
          <w:p w:rsidR="005B750F" w:rsidRPr="003639A6" w:rsidRDefault="005B750F" w:rsidP="00B96A7A">
            <w:pPr>
              <w:pStyle w:val="Tabletext"/>
            </w:pPr>
            <w:r w:rsidRPr="00F4752F">
              <w:t>rituximab</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bottom w:val="nil"/>
            </w:tcBorders>
          </w:tcPr>
          <w:p w:rsidR="005B750F" w:rsidRPr="00E77FA0" w:rsidRDefault="00E77FA0" w:rsidP="00B96A7A">
            <w:pPr>
              <w:pStyle w:val="Tabletext"/>
              <w:jc w:val="center"/>
              <w:rPr>
                <w:bCs/>
                <w:color w:val="000000"/>
                <w:highlight w:val="black"/>
              </w:rPr>
            </w:pPr>
            <w:r>
              <w:rPr>
                <w:noProof/>
                <w:color w:val="000000"/>
                <w:highlight w:val="black"/>
              </w:rPr>
              <w:t>''''''''''''</w:t>
            </w:r>
          </w:p>
        </w:tc>
      </w:tr>
      <w:tr w:rsidR="005B750F" w:rsidRPr="003639A6" w:rsidTr="00B96A7A">
        <w:tc>
          <w:tcPr>
            <w:tcW w:w="1118" w:type="pct"/>
            <w:tcBorders>
              <w:top w:val="nil"/>
            </w:tcBorders>
            <w:shd w:val="clear" w:color="auto" w:fill="auto"/>
            <w:vAlign w:val="center"/>
          </w:tcPr>
          <w:p w:rsidR="005B750F" w:rsidRPr="003639A6" w:rsidRDefault="005B750F" w:rsidP="00B96A7A">
            <w:pPr>
              <w:pStyle w:val="Tabletext"/>
            </w:pPr>
            <w:r w:rsidRPr="00F4752F">
              <w:t>Total administrations</w:t>
            </w:r>
          </w:p>
        </w:tc>
        <w:tc>
          <w:tcPr>
            <w:tcW w:w="647" w:type="pct"/>
            <w:tcBorders>
              <w:top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tcBorders>
            <w:shd w:val="clear" w:color="auto" w:fill="auto"/>
          </w:tcPr>
          <w:p w:rsidR="005B750F" w:rsidRPr="00E77FA0" w:rsidRDefault="00E77FA0" w:rsidP="00B96A7A">
            <w:pPr>
              <w:pStyle w:val="Tabletext"/>
              <w:jc w:val="center"/>
              <w:rPr>
                <w:bCs/>
                <w:color w:val="000000"/>
                <w:highlight w:val="black"/>
              </w:rPr>
            </w:pPr>
            <w:r>
              <w:rPr>
                <w:noProof/>
                <w:color w:val="000000"/>
                <w:highlight w:val="black"/>
              </w:rPr>
              <w:t>'''''''''''''</w:t>
            </w:r>
          </w:p>
        </w:tc>
        <w:tc>
          <w:tcPr>
            <w:tcW w:w="647" w:type="pct"/>
            <w:tcBorders>
              <w:top w:val="nil"/>
            </w:tcBorders>
          </w:tcPr>
          <w:p w:rsidR="005B750F" w:rsidRPr="00E77FA0" w:rsidRDefault="00E77FA0" w:rsidP="00B96A7A">
            <w:pPr>
              <w:pStyle w:val="Tabletext"/>
              <w:jc w:val="center"/>
              <w:rPr>
                <w:bCs/>
                <w:color w:val="000000"/>
                <w:highlight w:val="black"/>
              </w:rPr>
            </w:pPr>
            <w:r>
              <w:rPr>
                <w:noProof/>
                <w:color w:val="000000"/>
                <w:highlight w:val="black"/>
              </w:rPr>
              <w:t>''''''''''''''</w:t>
            </w:r>
          </w:p>
        </w:tc>
      </w:tr>
      <w:tr w:rsidR="005B750F" w:rsidRPr="00D1078F" w:rsidTr="00B96A7A">
        <w:tc>
          <w:tcPr>
            <w:tcW w:w="5000" w:type="pct"/>
            <w:gridSpan w:val="7"/>
            <w:tcBorders>
              <w:bottom w:val="single" w:sz="4" w:space="0" w:color="auto"/>
            </w:tcBorders>
            <w:shd w:val="clear" w:color="auto" w:fill="auto"/>
            <w:vAlign w:val="center"/>
          </w:tcPr>
          <w:p w:rsidR="005B750F" w:rsidRPr="00D1078F" w:rsidRDefault="005B750F" w:rsidP="00B96A7A">
            <w:pPr>
              <w:pStyle w:val="Tabletext"/>
              <w:rPr>
                <w:b/>
                <w:bCs/>
                <w:color w:val="000000"/>
              </w:rPr>
            </w:pPr>
            <w:r w:rsidRPr="00D1078F">
              <w:rPr>
                <w:b/>
                <w:bCs/>
                <w:color w:val="000000"/>
              </w:rPr>
              <w:t xml:space="preserve">Estimated </w:t>
            </w:r>
            <w:r>
              <w:rPr>
                <w:b/>
                <w:bCs/>
                <w:color w:val="000000"/>
              </w:rPr>
              <w:t xml:space="preserve">financial implications of </w:t>
            </w:r>
            <w:proofErr w:type="spellStart"/>
            <w:r>
              <w:rPr>
                <w:b/>
                <w:bCs/>
                <w:color w:val="000000"/>
              </w:rPr>
              <w:t>Pola+BR</w:t>
            </w:r>
            <w:proofErr w:type="spellEnd"/>
          </w:p>
        </w:tc>
      </w:tr>
      <w:tr w:rsidR="005B750F" w:rsidRPr="003639A6" w:rsidTr="00B96A7A">
        <w:tc>
          <w:tcPr>
            <w:tcW w:w="1118" w:type="pct"/>
            <w:tcBorders>
              <w:bottom w:val="nil"/>
            </w:tcBorders>
            <w:shd w:val="clear" w:color="auto" w:fill="auto"/>
            <w:vAlign w:val="center"/>
          </w:tcPr>
          <w:p w:rsidR="005B750F" w:rsidRPr="003639A6" w:rsidRDefault="005B750F" w:rsidP="00B96A7A">
            <w:pPr>
              <w:pStyle w:val="Tabletext"/>
              <w:rPr>
                <w:rFonts w:ascii="Times" w:hAnsi="Times"/>
              </w:rPr>
            </w:pPr>
            <w:r>
              <w:rPr>
                <w:sz w:val="19"/>
                <w:szCs w:val="19"/>
              </w:rPr>
              <w:t>C</w:t>
            </w:r>
            <w:r w:rsidRPr="003639A6">
              <w:rPr>
                <w:sz w:val="19"/>
                <w:szCs w:val="19"/>
              </w:rPr>
              <w:t>ost to PBS/RPBS</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46606E">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46606E">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46606E">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46606E">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46606E">
              <w:t>$</w:t>
            </w:r>
            <w:r w:rsidR="00E77FA0">
              <w:rPr>
                <w:noProof/>
                <w:color w:val="000000"/>
                <w:highlight w:val="black"/>
              </w:rPr>
              <w:t>'''''''''''''''''''''''</w:t>
            </w:r>
          </w:p>
        </w:tc>
        <w:tc>
          <w:tcPr>
            <w:tcW w:w="647" w:type="pct"/>
            <w:tcBorders>
              <w:bottom w:val="nil"/>
            </w:tcBorders>
          </w:tcPr>
          <w:p w:rsidR="005B750F" w:rsidRPr="003639A6" w:rsidRDefault="005B750F" w:rsidP="00B96A7A">
            <w:pPr>
              <w:pStyle w:val="Tabletext"/>
              <w:jc w:val="right"/>
              <w:rPr>
                <w:bCs/>
                <w:color w:val="000000"/>
              </w:rPr>
            </w:pPr>
            <w:r w:rsidRPr="0046606E">
              <w:t>$</w:t>
            </w:r>
            <w:r w:rsidR="00E77FA0">
              <w:rPr>
                <w:noProof/>
                <w:color w:val="000000"/>
                <w:highlight w:val="black"/>
              </w:rPr>
              <w:t>'''''''''''''''''''''''''''''</w:t>
            </w:r>
          </w:p>
        </w:tc>
      </w:tr>
      <w:tr w:rsidR="005B750F" w:rsidRPr="003639A6" w:rsidTr="00B96A7A">
        <w:tc>
          <w:tcPr>
            <w:tcW w:w="1118" w:type="pct"/>
            <w:tcBorders>
              <w:top w:val="nil"/>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sidRPr="006A491B">
              <w:rPr>
                <w:sz w:val="19"/>
                <w:szCs w:val="19"/>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tcPr>
          <w:p w:rsidR="005B750F" w:rsidRPr="006A491B" w:rsidRDefault="005B750F" w:rsidP="00B96A7A">
            <w:pPr>
              <w:pStyle w:val="Tabletext"/>
              <w:jc w:val="right"/>
              <w:rPr>
                <w:bCs/>
                <w:color w:val="000000"/>
              </w:rPr>
            </w:pPr>
            <w:r w:rsidRPr="006A491B">
              <w:t>$</w:t>
            </w:r>
            <w:r w:rsidR="00E77FA0">
              <w:rPr>
                <w:noProof/>
                <w:color w:val="000000"/>
                <w:highlight w:val="black"/>
              </w:rPr>
              <w:t>'''''''''''''''''''''''''</w:t>
            </w:r>
          </w:p>
        </w:tc>
      </w:tr>
      <w:tr w:rsidR="005B750F" w:rsidRPr="003639A6" w:rsidTr="00B96A7A">
        <w:tc>
          <w:tcPr>
            <w:tcW w:w="1118" w:type="pct"/>
            <w:tcBorders>
              <w:bottom w:val="single" w:sz="4" w:space="0" w:color="auto"/>
            </w:tcBorders>
            <w:shd w:val="clear" w:color="auto" w:fill="auto"/>
            <w:vAlign w:val="center"/>
          </w:tcPr>
          <w:p w:rsidR="005B750F" w:rsidRDefault="005B750F" w:rsidP="00B96A7A">
            <w:pPr>
              <w:pStyle w:val="Tabletext"/>
              <w:rPr>
                <w:sz w:val="19"/>
                <w:szCs w:val="19"/>
              </w:rPr>
            </w:pPr>
            <w:proofErr w:type="spellStart"/>
            <w:r>
              <w:rPr>
                <w:sz w:val="19"/>
                <w:szCs w:val="19"/>
              </w:rPr>
              <w:t>Copayments</w:t>
            </w:r>
            <w:proofErr w:type="spellEnd"/>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0C7CC2">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0C7CC2">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0C7CC2">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0C7CC2">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0C7CC2">
              <w:t>$</w:t>
            </w:r>
            <w:r w:rsidR="00E77FA0">
              <w:rPr>
                <w:noProof/>
                <w:color w:val="000000"/>
                <w:highlight w:val="black"/>
              </w:rPr>
              <w:t>''''''''''''''''</w:t>
            </w:r>
          </w:p>
        </w:tc>
        <w:tc>
          <w:tcPr>
            <w:tcW w:w="647" w:type="pct"/>
            <w:tcBorders>
              <w:bottom w:val="single" w:sz="4" w:space="0" w:color="auto"/>
            </w:tcBorders>
          </w:tcPr>
          <w:p w:rsidR="005B750F" w:rsidRPr="003639A6" w:rsidRDefault="005B750F" w:rsidP="00B96A7A">
            <w:pPr>
              <w:pStyle w:val="Tabletext"/>
              <w:jc w:val="right"/>
              <w:rPr>
                <w:bCs/>
                <w:color w:val="000000"/>
              </w:rPr>
            </w:pPr>
            <w:r>
              <w:t>−</w:t>
            </w:r>
            <w:r w:rsidRPr="000C7CC2">
              <w:t>$</w:t>
            </w:r>
            <w:r w:rsidR="00E77FA0">
              <w:rPr>
                <w:noProof/>
                <w:color w:val="000000"/>
                <w:highlight w:val="black"/>
              </w:rPr>
              <w:t>'''''''''''''''</w:t>
            </w:r>
          </w:p>
        </w:tc>
      </w:tr>
      <w:tr w:rsidR="005B750F" w:rsidRPr="003639A6" w:rsidTr="00B96A7A">
        <w:tc>
          <w:tcPr>
            <w:tcW w:w="1118" w:type="pct"/>
            <w:tcBorders>
              <w:bottom w:val="nil"/>
            </w:tcBorders>
            <w:shd w:val="clear" w:color="auto" w:fill="auto"/>
            <w:vAlign w:val="center"/>
          </w:tcPr>
          <w:p w:rsidR="005B750F" w:rsidRDefault="005B750F" w:rsidP="00B96A7A">
            <w:pPr>
              <w:pStyle w:val="Tabletext"/>
              <w:rPr>
                <w:sz w:val="19"/>
                <w:szCs w:val="19"/>
              </w:rPr>
            </w:pPr>
            <w:r>
              <w:rPr>
                <w:sz w:val="19"/>
                <w:szCs w:val="19"/>
              </w:rPr>
              <w:t xml:space="preserve">Cost to PBS/RPBS less </w:t>
            </w:r>
            <w:proofErr w:type="spellStart"/>
            <w:r>
              <w:rPr>
                <w:sz w:val="19"/>
                <w:szCs w:val="19"/>
              </w:rPr>
              <w:t>copayments</w:t>
            </w:r>
            <w:proofErr w:type="spellEnd"/>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r>
      <w:tr w:rsidR="005B750F" w:rsidRPr="003639A6" w:rsidTr="00B96A7A">
        <w:tc>
          <w:tcPr>
            <w:tcW w:w="1118" w:type="pct"/>
            <w:tcBorders>
              <w:top w:val="nil"/>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sidRPr="006A491B">
              <w:rPr>
                <w:sz w:val="19"/>
                <w:szCs w:val="19"/>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tcPr>
          <w:p w:rsidR="005B750F" w:rsidRPr="006A491B" w:rsidRDefault="005B750F" w:rsidP="00B96A7A">
            <w:pPr>
              <w:pStyle w:val="Tabletext"/>
              <w:jc w:val="right"/>
              <w:rPr>
                <w:bCs/>
                <w:color w:val="000000"/>
              </w:rPr>
            </w:pPr>
            <w:r w:rsidRPr="006A491B">
              <w:t>$</w:t>
            </w:r>
            <w:r w:rsidR="00E77FA0">
              <w:rPr>
                <w:noProof/>
                <w:color w:val="000000"/>
                <w:highlight w:val="black"/>
              </w:rPr>
              <w:t>''''''''''''''''''''''''''''</w:t>
            </w:r>
          </w:p>
        </w:tc>
      </w:tr>
      <w:tr w:rsidR="005B750F" w:rsidRPr="003639A6" w:rsidTr="00B96A7A">
        <w:tc>
          <w:tcPr>
            <w:tcW w:w="5000" w:type="pct"/>
            <w:gridSpan w:val="7"/>
            <w:tcBorders>
              <w:bottom w:val="single" w:sz="4" w:space="0" w:color="auto"/>
            </w:tcBorders>
            <w:shd w:val="clear" w:color="auto" w:fill="auto"/>
            <w:vAlign w:val="center"/>
          </w:tcPr>
          <w:p w:rsidR="005B750F" w:rsidRPr="003639A6" w:rsidRDefault="005B750F" w:rsidP="00B96A7A">
            <w:pPr>
              <w:pStyle w:val="Tabletext"/>
              <w:rPr>
                <w:bCs/>
                <w:color w:val="000000"/>
              </w:rPr>
            </w:pPr>
            <w:r w:rsidRPr="00D1078F">
              <w:rPr>
                <w:b/>
                <w:bCs/>
                <w:color w:val="000000"/>
              </w:rPr>
              <w:t xml:space="preserve">Estimated </w:t>
            </w:r>
            <w:r>
              <w:rPr>
                <w:b/>
                <w:bCs/>
                <w:color w:val="000000"/>
              </w:rPr>
              <w:t xml:space="preserve">cost offsets due to reduction in use of </w:t>
            </w:r>
            <w:proofErr w:type="spellStart"/>
            <w:r>
              <w:rPr>
                <w:b/>
                <w:bCs/>
                <w:color w:val="000000"/>
              </w:rPr>
              <w:t>RGemOx</w:t>
            </w:r>
            <w:proofErr w:type="spellEnd"/>
            <w:r>
              <w:rPr>
                <w:b/>
                <w:bCs/>
                <w:color w:val="000000"/>
              </w:rPr>
              <w:t xml:space="preserve"> </w:t>
            </w:r>
            <w:r w:rsidRPr="0025119B">
              <w:rPr>
                <w:b/>
                <w:bCs/>
                <w:color w:val="000000"/>
                <w:vertAlign w:val="superscript"/>
              </w:rPr>
              <w:t>b</w:t>
            </w:r>
          </w:p>
        </w:tc>
      </w:tr>
      <w:tr w:rsidR="005B750F" w:rsidRPr="003639A6" w:rsidTr="00B96A7A">
        <w:tc>
          <w:tcPr>
            <w:tcW w:w="1118" w:type="pct"/>
            <w:tcBorders>
              <w:bottom w:val="nil"/>
            </w:tcBorders>
            <w:shd w:val="clear" w:color="auto" w:fill="auto"/>
            <w:vAlign w:val="center"/>
          </w:tcPr>
          <w:p w:rsidR="005B750F" w:rsidRDefault="005B750F" w:rsidP="00B96A7A">
            <w:pPr>
              <w:pStyle w:val="Tabletext"/>
              <w:rPr>
                <w:sz w:val="19"/>
                <w:szCs w:val="19"/>
              </w:rPr>
            </w:pPr>
            <w:r>
              <w:rPr>
                <w:sz w:val="19"/>
                <w:szCs w:val="19"/>
              </w:rPr>
              <w:t>C</w:t>
            </w:r>
            <w:r w:rsidRPr="003639A6">
              <w:rPr>
                <w:sz w:val="19"/>
                <w:szCs w:val="19"/>
              </w:rPr>
              <w:t xml:space="preserve">ost </w:t>
            </w:r>
            <w:r>
              <w:rPr>
                <w:sz w:val="19"/>
                <w:szCs w:val="19"/>
              </w:rPr>
              <w:t xml:space="preserve">offsets </w:t>
            </w:r>
            <w:r w:rsidRPr="003639A6">
              <w:rPr>
                <w:sz w:val="19"/>
                <w:szCs w:val="19"/>
              </w:rPr>
              <w:t>to PBS/RPBS</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5E1232">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5E1232">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5E1232">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5E1232">
              <w:t>$</w:t>
            </w:r>
            <w:r w:rsidR="00E77FA0">
              <w:rPr>
                <w:noProof/>
                <w:color w:val="000000"/>
                <w:highlight w:val="black"/>
              </w:rPr>
              <w:t>''''''''''''''''''''''''</w:t>
            </w:r>
          </w:p>
        </w:tc>
        <w:tc>
          <w:tcPr>
            <w:tcW w:w="647" w:type="pct"/>
            <w:tcBorders>
              <w:bottom w:val="nil"/>
            </w:tcBorders>
            <w:shd w:val="clear" w:color="auto" w:fill="auto"/>
          </w:tcPr>
          <w:p w:rsidR="005B750F" w:rsidRPr="003639A6" w:rsidRDefault="005B750F" w:rsidP="00B96A7A">
            <w:pPr>
              <w:pStyle w:val="Tabletext"/>
              <w:jc w:val="right"/>
              <w:rPr>
                <w:bCs/>
                <w:color w:val="000000"/>
              </w:rPr>
            </w:pPr>
            <w:r w:rsidRPr="005E1232">
              <w:t>$</w:t>
            </w:r>
            <w:r w:rsidR="00E77FA0">
              <w:rPr>
                <w:noProof/>
                <w:color w:val="000000"/>
                <w:highlight w:val="black"/>
              </w:rPr>
              <w:t>'''''''''''''''''''''''</w:t>
            </w:r>
          </w:p>
        </w:tc>
        <w:tc>
          <w:tcPr>
            <w:tcW w:w="647" w:type="pct"/>
            <w:tcBorders>
              <w:bottom w:val="nil"/>
            </w:tcBorders>
          </w:tcPr>
          <w:p w:rsidR="005B750F" w:rsidRPr="003639A6" w:rsidRDefault="005B750F" w:rsidP="00B96A7A">
            <w:pPr>
              <w:pStyle w:val="Tabletext"/>
              <w:jc w:val="right"/>
              <w:rPr>
                <w:bCs/>
                <w:color w:val="000000"/>
              </w:rPr>
            </w:pPr>
            <w:r w:rsidRPr="005E1232">
              <w:t>$</w:t>
            </w:r>
            <w:r w:rsidR="00E77FA0">
              <w:rPr>
                <w:noProof/>
                <w:color w:val="000000"/>
                <w:highlight w:val="black"/>
              </w:rPr>
              <w:t>'''''''''''''''''''''''''</w:t>
            </w:r>
          </w:p>
        </w:tc>
      </w:tr>
      <w:tr w:rsidR="005B750F" w:rsidRPr="003639A6" w:rsidTr="00B96A7A">
        <w:tc>
          <w:tcPr>
            <w:tcW w:w="1118" w:type="pct"/>
            <w:tcBorders>
              <w:top w:val="nil"/>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Pr>
                <w:sz w:val="19"/>
                <w:szCs w:val="19"/>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tcPr>
          <w:p w:rsidR="005B750F" w:rsidRPr="006A491B" w:rsidRDefault="005B750F" w:rsidP="00B96A7A">
            <w:pPr>
              <w:pStyle w:val="Tabletext"/>
              <w:jc w:val="right"/>
              <w:rPr>
                <w:bCs/>
                <w:color w:val="000000"/>
              </w:rPr>
            </w:pPr>
            <w:r w:rsidRPr="006A491B">
              <w:t>$</w:t>
            </w:r>
            <w:r w:rsidR="00E77FA0">
              <w:rPr>
                <w:noProof/>
                <w:color w:val="000000"/>
                <w:highlight w:val="black"/>
              </w:rPr>
              <w:t>'''''''''''''''''''''''</w:t>
            </w:r>
          </w:p>
        </w:tc>
      </w:tr>
      <w:tr w:rsidR="005B750F" w:rsidRPr="003639A6" w:rsidTr="00B96A7A">
        <w:tc>
          <w:tcPr>
            <w:tcW w:w="1118" w:type="pct"/>
            <w:tcBorders>
              <w:bottom w:val="single" w:sz="4" w:space="0" w:color="auto"/>
            </w:tcBorders>
            <w:shd w:val="clear" w:color="auto" w:fill="auto"/>
            <w:vAlign w:val="center"/>
          </w:tcPr>
          <w:p w:rsidR="005B750F" w:rsidRDefault="005B750F" w:rsidP="00B96A7A">
            <w:pPr>
              <w:pStyle w:val="Tabletext"/>
              <w:rPr>
                <w:sz w:val="19"/>
                <w:szCs w:val="19"/>
              </w:rPr>
            </w:pPr>
            <w:proofErr w:type="spellStart"/>
            <w:r>
              <w:rPr>
                <w:sz w:val="19"/>
                <w:szCs w:val="19"/>
              </w:rPr>
              <w:t>Copayments</w:t>
            </w:r>
            <w:proofErr w:type="spellEnd"/>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C65644">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C65644">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C65644">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C65644">
              <w:t>$</w:t>
            </w:r>
            <w:r w:rsidR="00E77FA0">
              <w:rPr>
                <w:noProof/>
                <w:color w:val="000000"/>
                <w:highlight w:val="black"/>
              </w:rPr>
              <w:t>'''''''''''''''''</w:t>
            </w:r>
          </w:p>
        </w:tc>
        <w:tc>
          <w:tcPr>
            <w:tcW w:w="647" w:type="pct"/>
            <w:tcBorders>
              <w:bottom w:val="single" w:sz="4" w:space="0" w:color="auto"/>
            </w:tcBorders>
            <w:shd w:val="clear" w:color="auto" w:fill="auto"/>
          </w:tcPr>
          <w:p w:rsidR="005B750F" w:rsidRPr="003639A6" w:rsidRDefault="005B750F" w:rsidP="00B96A7A">
            <w:pPr>
              <w:pStyle w:val="Tabletext"/>
              <w:jc w:val="right"/>
              <w:rPr>
                <w:bCs/>
                <w:color w:val="000000"/>
              </w:rPr>
            </w:pPr>
            <w:r>
              <w:t>−</w:t>
            </w:r>
            <w:r w:rsidRPr="00C65644">
              <w:t>$</w:t>
            </w:r>
            <w:r w:rsidR="00E77FA0">
              <w:rPr>
                <w:noProof/>
                <w:color w:val="000000"/>
                <w:highlight w:val="black"/>
              </w:rPr>
              <w:t>''''''''''''''''</w:t>
            </w:r>
          </w:p>
        </w:tc>
        <w:tc>
          <w:tcPr>
            <w:tcW w:w="647" w:type="pct"/>
            <w:tcBorders>
              <w:bottom w:val="single" w:sz="4" w:space="0" w:color="auto"/>
            </w:tcBorders>
          </w:tcPr>
          <w:p w:rsidR="005B750F" w:rsidRPr="003639A6" w:rsidRDefault="005B750F" w:rsidP="00B96A7A">
            <w:pPr>
              <w:pStyle w:val="Tabletext"/>
              <w:jc w:val="right"/>
              <w:rPr>
                <w:bCs/>
                <w:color w:val="000000"/>
              </w:rPr>
            </w:pPr>
            <w:r>
              <w:t>−</w:t>
            </w:r>
            <w:r w:rsidRPr="00C65644">
              <w:t>$</w:t>
            </w:r>
            <w:r w:rsidR="00E77FA0">
              <w:rPr>
                <w:noProof/>
                <w:color w:val="000000"/>
                <w:highlight w:val="black"/>
              </w:rPr>
              <w:t>''''''''''''''''''</w:t>
            </w:r>
          </w:p>
        </w:tc>
      </w:tr>
      <w:tr w:rsidR="005B750F" w:rsidRPr="003639A6" w:rsidTr="00B96A7A">
        <w:tc>
          <w:tcPr>
            <w:tcW w:w="1118" w:type="pct"/>
            <w:tcBorders>
              <w:bottom w:val="nil"/>
            </w:tcBorders>
            <w:shd w:val="clear" w:color="auto" w:fill="auto"/>
            <w:vAlign w:val="center"/>
          </w:tcPr>
          <w:p w:rsidR="005B750F" w:rsidRDefault="005B750F" w:rsidP="00B96A7A">
            <w:pPr>
              <w:pStyle w:val="Tabletext"/>
              <w:rPr>
                <w:sz w:val="19"/>
                <w:szCs w:val="19"/>
              </w:rPr>
            </w:pPr>
            <w:r>
              <w:rPr>
                <w:sz w:val="19"/>
                <w:szCs w:val="19"/>
              </w:rPr>
              <w:t xml:space="preserve">Cost offsets to PBS/RPBS less </w:t>
            </w:r>
            <w:proofErr w:type="spellStart"/>
            <w:r>
              <w:rPr>
                <w:sz w:val="19"/>
                <w:szCs w:val="19"/>
              </w:rPr>
              <w:t>copayments</w:t>
            </w:r>
            <w:proofErr w:type="spellEnd"/>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vAlign w:val="bottom"/>
          </w:tcPr>
          <w:p w:rsidR="005B750F" w:rsidRPr="00F4752F" w:rsidRDefault="005B750F" w:rsidP="00B96A7A">
            <w:pPr>
              <w:pStyle w:val="Tabletext"/>
              <w:jc w:val="right"/>
              <w:rPr>
                <w:bCs/>
                <w:color w:val="000000"/>
              </w:rPr>
            </w:pPr>
            <w:r w:rsidRPr="00F4752F">
              <w:t>$</w:t>
            </w:r>
            <w:r w:rsidR="00E77FA0">
              <w:rPr>
                <w:noProof/>
                <w:color w:val="000000"/>
                <w:highlight w:val="black"/>
              </w:rPr>
              <w:t>''''''''''''''''''''''''</w:t>
            </w:r>
          </w:p>
        </w:tc>
      </w:tr>
      <w:tr w:rsidR="005B750F" w:rsidRPr="003639A6" w:rsidTr="00B96A7A">
        <w:tc>
          <w:tcPr>
            <w:tcW w:w="1118" w:type="pct"/>
            <w:tcBorders>
              <w:top w:val="nil"/>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Pr>
                <w:sz w:val="19"/>
                <w:szCs w:val="19"/>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tcBorders>
          </w:tcPr>
          <w:p w:rsidR="005B750F" w:rsidRPr="006A491B" w:rsidRDefault="005B750F" w:rsidP="00B96A7A">
            <w:pPr>
              <w:pStyle w:val="Tabletext"/>
              <w:jc w:val="right"/>
              <w:rPr>
                <w:bCs/>
                <w:color w:val="000000"/>
              </w:rPr>
            </w:pPr>
            <w:r w:rsidRPr="006A491B">
              <w:t>$</w:t>
            </w:r>
            <w:r w:rsidR="00E77FA0">
              <w:rPr>
                <w:noProof/>
                <w:color w:val="000000"/>
                <w:highlight w:val="black"/>
              </w:rPr>
              <w:t>'''''''''''''''''''''''</w:t>
            </w:r>
          </w:p>
        </w:tc>
      </w:tr>
      <w:tr w:rsidR="005B750F" w:rsidRPr="00FC22AB" w:rsidTr="00B96A7A">
        <w:tc>
          <w:tcPr>
            <w:tcW w:w="5000" w:type="pct"/>
            <w:gridSpan w:val="7"/>
            <w:tcBorders>
              <w:bottom w:val="single" w:sz="4" w:space="0" w:color="auto"/>
            </w:tcBorders>
            <w:shd w:val="clear" w:color="auto" w:fill="auto"/>
            <w:vAlign w:val="center"/>
          </w:tcPr>
          <w:p w:rsidR="005B750F" w:rsidRPr="00FC22AB" w:rsidRDefault="005B750F" w:rsidP="00B96A7A">
            <w:pPr>
              <w:pStyle w:val="Tabletext"/>
              <w:rPr>
                <w:b/>
                <w:bCs/>
                <w:color w:val="000000"/>
              </w:rPr>
            </w:pPr>
            <w:r w:rsidRPr="00FC22AB">
              <w:rPr>
                <w:b/>
                <w:bCs/>
                <w:color w:val="000000"/>
              </w:rPr>
              <w:t>Net financial implications</w:t>
            </w:r>
          </w:p>
        </w:tc>
      </w:tr>
      <w:tr w:rsidR="005B750F" w:rsidRPr="003639A6" w:rsidTr="00B96A7A">
        <w:tc>
          <w:tcPr>
            <w:tcW w:w="1118" w:type="pct"/>
            <w:tcBorders>
              <w:bottom w:val="nil"/>
            </w:tcBorders>
            <w:shd w:val="clear" w:color="auto" w:fill="auto"/>
            <w:vAlign w:val="center"/>
          </w:tcPr>
          <w:p w:rsidR="005B750F" w:rsidRDefault="005B750F" w:rsidP="00B96A7A">
            <w:pPr>
              <w:pStyle w:val="Tabletext"/>
              <w:rPr>
                <w:sz w:val="19"/>
                <w:szCs w:val="19"/>
              </w:rPr>
            </w:pPr>
            <w:r>
              <w:rPr>
                <w:sz w:val="19"/>
                <w:szCs w:val="19"/>
              </w:rPr>
              <w:t>Net cost to PBS/RPBS</w:t>
            </w:r>
          </w:p>
        </w:tc>
        <w:tc>
          <w:tcPr>
            <w:tcW w:w="647" w:type="pct"/>
            <w:tcBorders>
              <w:bottom w:val="nil"/>
            </w:tcBorders>
            <w:shd w:val="clear" w:color="auto" w:fill="auto"/>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shd w:val="clear" w:color="auto" w:fill="auto"/>
          </w:tcPr>
          <w:p w:rsidR="005B750F" w:rsidRPr="00F4752F" w:rsidRDefault="005B750F" w:rsidP="00B96A7A">
            <w:pPr>
              <w:pStyle w:val="Tabletext"/>
              <w:jc w:val="right"/>
              <w:rPr>
                <w:bCs/>
                <w:color w:val="000000"/>
              </w:rPr>
            </w:pPr>
            <w:r w:rsidRPr="00F4752F">
              <w:t>$</w:t>
            </w:r>
            <w:r w:rsidR="00E77FA0">
              <w:rPr>
                <w:noProof/>
                <w:color w:val="000000"/>
                <w:highlight w:val="black"/>
              </w:rPr>
              <w:t>'''''''''''''''''''''''''''''</w:t>
            </w:r>
          </w:p>
        </w:tc>
        <w:tc>
          <w:tcPr>
            <w:tcW w:w="647" w:type="pct"/>
            <w:tcBorders>
              <w:bottom w:val="nil"/>
            </w:tcBorders>
          </w:tcPr>
          <w:p w:rsidR="005B750F" w:rsidRPr="00F4752F" w:rsidRDefault="005B750F" w:rsidP="00B96A7A">
            <w:pPr>
              <w:pStyle w:val="Tabletext"/>
              <w:jc w:val="right"/>
              <w:rPr>
                <w:bCs/>
                <w:color w:val="000000"/>
              </w:rPr>
            </w:pPr>
            <w:r w:rsidRPr="00F4752F">
              <w:t>$</w:t>
            </w:r>
            <w:r w:rsidR="00E77FA0">
              <w:rPr>
                <w:noProof/>
                <w:color w:val="000000"/>
                <w:highlight w:val="black"/>
              </w:rPr>
              <w:t>'''''''''''''''''''''''''''''</w:t>
            </w:r>
          </w:p>
        </w:tc>
      </w:tr>
      <w:tr w:rsidR="005B750F" w:rsidRPr="003639A6" w:rsidTr="00B96A7A">
        <w:tc>
          <w:tcPr>
            <w:tcW w:w="1118" w:type="pct"/>
            <w:tcBorders>
              <w:top w:val="nil"/>
              <w:bottom w:val="single" w:sz="4" w:space="0" w:color="auto"/>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Pr>
                <w:sz w:val="19"/>
                <w:szCs w:val="19"/>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rPr>
                <w:bCs/>
                <w:color w:val="000000"/>
              </w:rPr>
            </w:pPr>
            <w:r w:rsidRPr="006A491B">
              <w:t>$</w:t>
            </w:r>
            <w:r w:rsidR="00E77FA0">
              <w:rPr>
                <w:noProof/>
                <w:color w:val="000000"/>
                <w:highlight w:val="black"/>
              </w:rPr>
              <w:t>''''''''''''''''''''''''''</w:t>
            </w:r>
          </w:p>
        </w:tc>
        <w:tc>
          <w:tcPr>
            <w:tcW w:w="647" w:type="pct"/>
            <w:tcBorders>
              <w:top w:val="nil"/>
              <w:bottom w:val="single" w:sz="4" w:space="0" w:color="auto"/>
            </w:tcBorders>
          </w:tcPr>
          <w:p w:rsidR="005B750F" w:rsidRPr="006A491B" w:rsidRDefault="005B750F" w:rsidP="00B96A7A">
            <w:pPr>
              <w:pStyle w:val="Tabletext"/>
              <w:jc w:val="right"/>
              <w:rPr>
                <w:bCs/>
                <w:color w:val="000000"/>
              </w:rPr>
            </w:pPr>
            <w:r w:rsidRPr="006A491B">
              <w:t>$</w:t>
            </w:r>
            <w:r w:rsidR="00E77FA0">
              <w:rPr>
                <w:noProof/>
                <w:color w:val="000000"/>
                <w:highlight w:val="black"/>
              </w:rPr>
              <w:t>''''''''''''''''''''''''''</w:t>
            </w:r>
          </w:p>
        </w:tc>
      </w:tr>
      <w:tr w:rsidR="005B750F" w:rsidRPr="003639A6" w:rsidTr="00B96A7A">
        <w:tc>
          <w:tcPr>
            <w:tcW w:w="1118" w:type="pct"/>
            <w:tcBorders>
              <w:bottom w:val="nil"/>
            </w:tcBorders>
            <w:shd w:val="clear" w:color="auto" w:fill="auto"/>
            <w:vAlign w:val="center"/>
          </w:tcPr>
          <w:p w:rsidR="005B750F" w:rsidRPr="003639A6" w:rsidRDefault="005B750F" w:rsidP="00B96A7A">
            <w:pPr>
              <w:pStyle w:val="Tabletext"/>
              <w:rPr>
                <w:rFonts w:ascii="Times" w:hAnsi="Times"/>
              </w:rPr>
            </w:pPr>
            <w:r>
              <w:rPr>
                <w:sz w:val="19"/>
                <w:szCs w:val="19"/>
              </w:rPr>
              <w:t>Net cost to</w:t>
            </w:r>
            <w:r w:rsidRPr="003639A6">
              <w:rPr>
                <w:sz w:val="19"/>
                <w:szCs w:val="19"/>
              </w:rPr>
              <w:t xml:space="preserve"> MBS</w:t>
            </w:r>
          </w:p>
        </w:tc>
        <w:tc>
          <w:tcPr>
            <w:tcW w:w="647" w:type="pct"/>
            <w:tcBorders>
              <w:bottom w:val="nil"/>
            </w:tcBorders>
            <w:shd w:val="clear" w:color="auto" w:fill="auto"/>
          </w:tcPr>
          <w:p w:rsidR="005B750F" w:rsidRPr="0025119B"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25119B"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25119B"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25119B"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25119B" w:rsidRDefault="005B750F" w:rsidP="00B96A7A">
            <w:pPr>
              <w:pStyle w:val="Tabletext"/>
              <w:jc w:val="right"/>
            </w:pPr>
            <w:r w:rsidRPr="0096252E">
              <w:t>$</w:t>
            </w:r>
            <w:r w:rsidR="00E77FA0">
              <w:rPr>
                <w:noProof/>
                <w:color w:val="000000"/>
                <w:highlight w:val="black"/>
              </w:rPr>
              <w:t>'''''''''''''''</w:t>
            </w:r>
          </w:p>
        </w:tc>
        <w:tc>
          <w:tcPr>
            <w:tcW w:w="647" w:type="pct"/>
            <w:tcBorders>
              <w:bottom w:val="nil"/>
            </w:tcBorders>
          </w:tcPr>
          <w:p w:rsidR="005B750F" w:rsidRPr="0025119B" w:rsidRDefault="005B750F" w:rsidP="00B96A7A">
            <w:pPr>
              <w:pStyle w:val="Tabletext"/>
              <w:jc w:val="right"/>
            </w:pPr>
            <w:r w:rsidRPr="0096252E">
              <w:t>$</w:t>
            </w:r>
            <w:r w:rsidR="00E77FA0">
              <w:rPr>
                <w:noProof/>
                <w:color w:val="000000"/>
                <w:highlight w:val="black"/>
              </w:rPr>
              <w:t>''''''''''''''</w:t>
            </w:r>
          </w:p>
        </w:tc>
      </w:tr>
      <w:tr w:rsidR="005B750F" w:rsidRPr="003639A6" w:rsidTr="00B96A7A">
        <w:tc>
          <w:tcPr>
            <w:tcW w:w="1118" w:type="pct"/>
            <w:tcBorders>
              <w:top w:val="nil"/>
              <w:bottom w:val="single" w:sz="4" w:space="0" w:color="auto"/>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Pr>
                <w:sz w:val="19"/>
                <w:szCs w:val="19"/>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bottom w:val="single" w:sz="4" w:space="0" w:color="auto"/>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bottom w:val="single" w:sz="4" w:space="0" w:color="auto"/>
            </w:tcBorders>
          </w:tcPr>
          <w:p w:rsidR="005B750F" w:rsidRPr="006A491B" w:rsidRDefault="005B750F" w:rsidP="00B96A7A">
            <w:pPr>
              <w:pStyle w:val="Tabletext"/>
              <w:jc w:val="right"/>
            </w:pPr>
            <w:r w:rsidRPr="006A491B">
              <w:t>$</w:t>
            </w:r>
            <w:r w:rsidR="00E77FA0">
              <w:rPr>
                <w:noProof/>
                <w:color w:val="000000"/>
                <w:highlight w:val="black"/>
              </w:rPr>
              <w:t>'''''''''''''</w:t>
            </w:r>
          </w:p>
        </w:tc>
      </w:tr>
      <w:tr w:rsidR="005B750F" w:rsidRPr="003639A6" w:rsidTr="00B96A7A">
        <w:tc>
          <w:tcPr>
            <w:tcW w:w="1118" w:type="pct"/>
            <w:tcBorders>
              <w:bottom w:val="nil"/>
            </w:tcBorders>
            <w:shd w:val="clear" w:color="auto" w:fill="auto"/>
            <w:vAlign w:val="center"/>
          </w:tcPr>
          <w:p w:rsidR="005B750F" w:rsidRPr="008868B2" w:rsidRDefault="005B750F" w:rsidP="00B96A7A">
            <w:pPr>
              <w:pStyle w:val="Tabletext"/>
              <w:rPr>
                <w:sz w:val="19"/>
                <w:szCs w:val="19"/>
              </w:rPr>
            </w:pPr>
            <w:r w:rsidRPr="008868B2">
              <w:rPr>
                <w:sz w:val="19"/>
                <w:szCs w:val="19"/>
              </w:rPr>
              <w:t>Net cost to Government</w:t>
            </w:r>
          </w:p>
        </w:tc>
        <w:tc>
          <w:tcPr>
            <w:tcW w:w="647" w:type="pct"/>
            <w:tcBorders>
              <w:bottom w:val="nil"/>
            </w:tcBorders>
            <w:shd w:val="clear" w:color="auto" w:fill="auto"/>
          </w:tcPr>
          <w:p w:rsidR="005B750F" w:rsidRPr="008868B2"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8868B2"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8868B2"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8868B2" w:rsidRDefault="005B750F" w:rsidP="00B96A7A">
            <w:pPr>
              <w:pStyle w:val="Tabletext"/>
              <w:jc w:val="right"/>
            </w:pPr>
            <w:r w:rsidRPr="0096252E">
              <w:t>$</w:t>
            </w:r>
            <w:r w:rsidR="00E77FA0">
              <w:rPr>
                <w:noProof/>
                <w:color w:val="000000"/>
                <w:highlight w:val="black"/>
              </w:rPr>
              <w:t>''''''''''''''''''''''''</w:t>
            </w:r>
          </w:p>
        </w:tc>
        <w:tc>
          <w:tcPr>
            <w:tcW w:w="647" w:type="pct"/>
            <w:tcBorders>
              <w:bottom w:val="nil"/>
            </w:tcBorders>
            <w:shd w:val="clear" w:color="auto" w:fill="auto"/>
          </w:tcPr>
          <w:p w:rsidR="005B750F" w:rsidRPr="008868B2" w:rsidRDefault="005B750F" w:rsidP="00B96A7A">
            <w:pPr>
              <w:pStyle w:val="Tabletext"/>
              <w:jc w:val="right"/>
            </w:pPr>
            <w:r w:rsidRPr="0096252E">
              <w:t>$</w:t>
            </w:r>
            <w:r w:rsidR="00E77FA0">
              <w:rPr>
                <w:noProof/>
                <w:color w:val="000000"/>
                <w:highlight w:val="black"/>
              </w:rPr>
              <w:t>''''''''''''''''''''''''</w:t>
            </w:r>
          </w:p>
        </w:tc>
        <w:tc>
          <w:tcPr>
            <w:tcW w:w="647" w:type="pct"/>
            <w:tcBorders>
              <w:bottom w:val="nil"/>
            </w:tcBorders>
          </w:tcPr>
          <w:p w:rsidR="005B750F" w:rsidRPr="008868B2" w:rsidRDefault="005B750F" w:rsidP="00B96A7A">
            <w:pPr>
              <w:pStyle w:val="Tabletext"/>
              <w:jc w:val="right"/>
            </w:pPr>
            <w:r w:rsidRPr="0096252E">
              <w:t>$</w:t>
            </w:r>
            <w:r w:rsidR="00E77FA0">
              <w:rPr>
                <w:noProof/>
                <w:color w:val="000000"/>
                <w:highlight w:val="black"/>
              </w:rPr>
              <w:t>'''''''''''''''''''''''''''''</w:t>
            </w:r>
          </w:p>
        </w:tc>
      </w:tr>
      <w:tr w:rsidR="005B750F" w:rsidRPr="003639A6" w:rsidTr="00B96A7A">
        <w:tc>
          <w:tcPr>
            <w:tcW w:w="1118" w:type="pct"/>
            <w:tcBorders>
              <w:top w:val="nil"/>
            </w:tcBorders>
            <w:shd w:val="clear" w:color="auto" w:fill="auto"/>
            <w:vAlign w:val="center"/>
          </w:tcPr>
          <w:p w:rsidR="005B750F" w:rsidRPr="006A491B" w:rsidRDefault="005B750F" w:rsidP="00B96A7A">
            <w:pPr>
              <w:pStyle w:val="Tabletext"/>
              <w:rPr>
                <w:sz w:val="19"/>
                <w:szCs w:val="19"/>
              </w:rPr>
            </w:pPr>
            <w:r w:rsidRPr="006A491B">
              <w:rPr>
                <w:sz w:val="19"/>
                <w:szCs w:val="19"/>
              </w:rPr>
              <w:t>Revised</w:t>
            </w:r>
            <w:r w:rsidR="006A491B">
              <w:rPr>
                <w:sz w:val="19"/>
                <w:szCs w:val="19"/>
              </w:rPr>
              <w:t>*</w:t>
            </w:r>
          </w:p>
        </w:tc>
        <w:tc>
          <w:tcPr>
            <w:tcW w:w="647" w:type="pct"/>
            <w:tcBorders>
              <w:top w:val="nil"/>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tcBorders>
            <w:shd w:val="clear" w:color="auto" w:fill="auto"/>
          </w:tcPr>
          <w:p w:rsidR="005B750F" w:rsidRPr="006A491B" w:rsidRDefault="005B750F" w:rsidP="00B96A7A">
            <w:pPr>
              <w:pStyle w:val="Tabletext"/>
              <w:jc w:val="right"/>
            </w:pPr>
            <w:r w:rsidRPr="006A491B">
              <w:t>$</w:t>
            </w:r>
            <w:r w:rsidR="00E77FA0">
              <w:rPr>
                <w:noProof/>
                <w:color w:val="000000"/>
                <w:highlight w:val="black"/>
              </w:rPr>
              <w:t>'''''''''''''''''''''''''''''</w:t>
            </w:r>
          </w:p>
        </w:tc>
        <w:tc>
          <w:tcPr>
            <w:tcW w:w="647" w:type="pct"/>
            <w:tcBorders>
              <w:top w:val="nil"/>
            </w:tcBorders>
          </w:tcPr>
          <w:p w:rsidR="005B750F" w:rsidRPr="006A491B" w:rsidRDefault="005B750F" w:rsidP="00B96A7A">
            <w:pPr>
              <w:pStyle w:val="Tabletext"/>
              <w:jc w:val="right"/>
            </w:pPr>
            <w:r w:rsidRPr="006A491B">
              <w:t>$</w:t>
            </w:r>
            <w:r w:rsidR="00E77FA0">
              <w:rPr>
                <w:noProof/>
                <w:color w:val="000000"/>
                <w:highlight w:val="black"/>
              </w:rPr>
              <w:t>'''''''''''''''''''''''''''</w:t>
            </w:r>
          </w:p>
        </w:tc>
      </w:tr>
    </w:tbl>
    <w:p w:rsidR="005B750F" w:rsidRDefault="006A491B" w:rsidP="005B750F">
      <w:pPr>
        <w:pStyle w:val="TableFooter"/>
      </w:pPr>
      <w:r>
        <w:t xml:space="preserve">*Denotes estimates </w:t>
      </w:r>
      <w:r w:rsidR="005B750F" w:rsidRPr="00510C08">
        <w:t>revised during the evaluation to use the updated fees and mark-ups, effective July 1st, 2019</w:t>
      </w:r>
      <w:r w:rsidR="005B750F">
        <w:t xml:space="preserve">. In addition, the price per 100 mg rituximab vial was based on the ex-manufacturer price per vial of two 100 mg vials. The current price per 100 mg vial from the applicable </w:t>
      </w:r>
      <w:r w:rsidR="005B750F" w:rsidRPr="00D30A43">
        <w:t>chemotherapy PBS items (4614W and 7257Y</w:t>
      </w:r>
      <w:r w:rsidR="005B750F">
        <w:t xml:space="preserve">: $308.90) has been used in the revised estimates. As </w:t>
      </w:r>
      <w:r w:rsidR="005B750F" w:rsidRPr="00510C08">
        <w:t xml:space="preserve">the submission did not include the $20.00 additional compound fee paid directly to TGA-licensed compounders, </w:t>
      </w:r>
      <w:r w:rsidR="005B750F">
        <w:t xml:space="preserve">this has not been included in the </w:t>
      </w:r>
      <w:r w:rsidR="005B750F" w:rsidRPr="00510C08">
        <w:t>revised estimates.</w:t>
      </w:r>
    </w:p>
    <w:p w:rsidR="005B750F" w:rsidRDefault="005B750F" w:rsidP="005B750F">
      <w:pPr>
        <w:pStyle w:val="TableFooter"/>
        <w:tabs>
          <w:tab w:val="left" w:pos="142"/>
        </w:tabs>
      </w:pPr>
      <w:proofErr w:type="spellStart"/>
      <w:proofErr w:type="gramStart"/>
      <w:r w:rsidRPr="003639A6">
        <w:rPr>
          <w:vertAlign w:val="superscript"/>
        </w:rPr>
        <w:t>a</w:t>
      </w:r>
      <w:proofErr w:type="spellEnd"/>
      <w:proofErr w:type="gramEnd"/>
      <w:r>
        <w:t xml:space="preserve"> </w:t>
      </w:r>
      <w:r w:rsidRPr="003639A6">
        <w:t xml:space="preserve">Assuming </w:t>
      </w:r>
      <w:r>
        <w:t>median 5 scripts</w:t>
      </w:r>
      <w:r w:rsidRPr="003639A6">
        <w:t xml:space="preserve"> per </w:t>
      </w:r>
      <w:r>
        <w:t>patient</w:t>
      </w:r>
      <w:r w:rsidRPr="003639A6">
        <w:t xml:space="preserve"> </w:t>
      </w:r>
      <w:r>
        <w:t xml:space="preserve">for </w:t>
      </w:r>
      <w:proofErr w:type="spellStart"/>
      <w:r>
        <w:t>polatuzumab</w:t>
      </w:r>
      <w:proofErr w:type="spellEnd"/>
      <w:r>
        <w:t xml:space="preserve"> </w:t>
      </w:r>
      <w:proofErr w:type="spellStart"/>
      <w:r>
        <w:t>vedotin</w:t>
      </w:r>
      <w:proofErr w:type="spellEnd"/>
      <w:r>
        <w:t xml:space="preserve"> and rituximab, and 10 scripts for </w:t>
      </w:r>
      <w:proofErr w:type="spellStart"/>
      <w:r>
        <w:t>bendamustine</w:t>
      </w:r>
      <w:proofErr w:type="spellEnd"/>
      <w:r>
        <w:t xml:space="preserve"> </w:t>
      </w:r>
      <w:r w:rsidRPr="003639A6">
        <w:t>as estimated by the submission.</w:t>
      </w:r>
    </w:p>
    <w:p w:rsidR="005B750F" w:rsidRDefault="005B750F" w:rsidP="005B750F">
      <w:pPr>
        <w:pStyle w:val="TableFooter"/>
        <w:tabs>
          <w:tab w:val="left" w:pos="142"/>
        </w:tabs>
      </w:pPr>
      <w:proofErr w:type="gramStart"/>
      <w:r w:rsidRPr="0025119B">
        <w:rPr>
          <w:vertAlign w:val="superscript"/>
        </w:rPr>
        <w:t>b</w:t>
      </w:r>
      <w:proofErr w:type="gramEnd"/>
      <w:r>
        <w:t xml:space="preserve"> The submission assumed </w:t>
      </w:r>
      <w:r w:rsidR="00E77FA0">
        <w:rPr>
          <w:noProof/>
          <w:color w:val="000000"/>
          <w:highlight w:val="black"/>
        </w:rPr>
        <w:t>'''''''''''''</w:t>
      </w:r>
      <w:r>
        <w:t xml:space="preserve"> cycles of </w:t>
      </w:r>
      <w:proofErr w:type="spellStart"/>
      <w:r>
        <w:t>RGemOx</w:t>
      </w:r>
      <w:proofErr w:type="spellEnd"/>
      <w:r>
        <w:t xml:space="preserve"> would be offset per patient.</w:t>
      </w:r>
    </w:p>
    <w:p w:rsidR="005B750F" w:rsidRDefault="005B750F" w:rsidP="005B750F">
      <w:pPr>
        <w:pStyle w:val="TableFooter"/>
        <w:rPr>
          <w:rStyle w:val="CommentReference"/>
        </w:rPr>
      </w:pPr>
      <w:r>
        <w:t xml:space="preserve">Source: </w:t>
      </w:r>
      <w:r w:rsidRPr="00054D9C">
        <w:rPr>
          <w:rFonts w:eastAsiaTheme="minorEastAsia"/>
        </w:rPr>
        <w:t>Table 4.12, 4.13, 4.14, pp 119-120</w:t>
      </w:r>
      <w:r>
        <w:rPr>
          <w:rFonts w:eastAsiaTheme="minorEastAsia"/>
        </w:rPr>
        <w:t xml:space="preserve">, </w:t>
      </w:r>
      <w:r>
        <w:t xml:space="preserve">Tables 4.17, 4.21, pp 123 and p127, </w:t>
      </w:r>
      <w:r w:rsidRPr="00F27A08">
        <w:rPr>
          <w:rFonts w:cstheme="minorHAnsi"/>
        </w:rPr>
        <w:t>Table</w:t>
      </w:r>
      <w:r>
        <w:rPr>
          <w:rFonts w:cstheme="minorHAnsi"/>
        </w:rPr>
        <w:t xml:space="preserve"> 4.25, p 130 of the submission</w:t>
      </w:r>
      <w:r w:rsidRPr="00054D9C">
        <w:rPr>
          <w:rFonts w:eastAsiaTheme="minorEastAsia"/>
        </w:rPr>
        <w:t>.</w:t>
      </w:r>
    </w:p>
    <w:p w:rsidR="005B750F" w:rsidRDefault="005B750F" w:rsidP="005B750F"/>
    <w:p w:rsidR="005B750F" w:rsidRPr="00095881" w:rsidRDefault="005B750F" w:rsidP="00095881">
      <w:pPr>
        <w:pStyle w:val="ListParagraph"/>
        <w:widowControl/>
        <w:numPr>
          <w:ilvl w:val="1"/>
          <w:numId w:val="2"/>
        </w:numPr>
      </w:pPr>
      <w:r w:rsidRPr="0006553D">
        <w:t xml:space="preserve">The </w:t>
      </w:r>
      <w:r>
        <w:t>submission estimated the</w:t>
      </w:r>
      <w:r w:rsidRPr="0006553D">
        <w:t xml:space="preserve"> incidence of NHL using a linear regression model, extrapolating NHL incidence in Australia from 1996 to 2015 reported in the Australian Cancer Incidence and Mortality (ACIM) book for NHL.</w:t>
      </w:r>
      <w:r>
        <w:t xml:space="preserve"> </w:t>
      </w:r>
      <w:r w:rsidRPr="00095881">
        <w:t xml:space="preserve">The </w:t>
      </w:r>
      <w:r w:rsidR="008A682E">
        <w:t xml:space="preserve">commentary noted that the </w:t>
      </w:r>
      <w:r w:rsidRPr="00095881">
        <w:t xml:space="preserve">submission’s estimates </w:t>
      </w:r>
      <w:r w:rsidR="008A682E">
        <w:t>we</w:t>
      </w:r>
      <w:r w:rsidRPr="00095881">
        <w:t>re lower than those estimated by the AIHW</w:t>
      </w:r>
      <w:r w:rsidRPr="00095881">
        <w:rPr>
          <w:rStyle w:val="FootnoteReference"/>
        </w:rPr>
        <w:t xml:space="preserve"> </w:t>
      </w:r>
      <w:r w:rsidRPr="00095881">
        <w:rPr>
          <w:rStyle w:val="FootnoteReference"/>
        </w:rPr>
        <w:footnoteReference w:id="18"/>
      </w:r>
      <w:r w:rsidRPr="00095881">
        <w:t xml:space="preserve">. </w:t>
      </w:r>
    </w:p>
    <w:p w:rsidR="005B750F" w:rsidRPr="00095881" w:rsidRDefault="005B750F" w:rsidP="00095881">
      <w:pPr>
        <w:pStyle w:val="ListParagraph"/>
        <w:widowControl/>
        <w:numPr>
          <w:ilvl w:val="1"/>
          <w:numId w:val="2"/>
        </w:numPr>
      </w:pPr>
      <w:r w:rsidRPr="00095881">
        <w:t xml:space="preserve">The submission estimated that DLBCL would </w:t>
      </w:r>
      <w:r w:rsidRPr="00492C96">
        <w:t>comprise 30% to 40% of all NHL</w:t>
      </w:r>
      <w:r w:rsidRPr="00095881">
        <w:t xml:space="preserve"> in Australia, based on a combination of Australian </w:t>
      </w:r>
      <w:r w:rsidRPr="00095881">
        <w:rPr>
          <w:rFonts w:asciiTheme="minorHAnsi" w:hAnsiTheme="minorHAnsi" w:cstheme="minorHAnsi"/>
          <w:noProof/>
        </w:rPr>
        <w:t xml:space="preserve">and global data. It </w:t>
      </w:r>
      <w:r w:rsidRPr="00095881">
        <w:t xml:space="preserve">used the data for a </w:t>
      </w:r>
      <w:r w:rsidRPr="00095881">
        <w:lastRenderedPageBreak/>
        <w:t>single year collected in QLD in 2009</w:t>
      </w:r>
      <w:r w:rsidRPr="00095881">
        <w:rPr>
          <w:rFonts w:asciiTheme="minorHAnsi" w:hAnsiTheme="minorHAnsi" w:cstheme="minorHAnsi"/>
          <w:noProof/>
        </w:rPr>
        <w:t xml:space="preserve"> to arrive at a DLBCL proportion of 36% of NHL. </w:t>
      </w:r>
      <w:r w:rsidRPr="00095881">
        <w:t>Review articles and population statistics taken from Australia (DLBCL proportion of 20%)</w:t>
      </w:r>
      <w:r w:rsidRPr="00095881">
        <w:rPr>
          <w:rStyle w:val="FootnoteReference"/>
        </w:rPr>
        <w:footnoteReference w:id="19"/>
      </w:r>
      <w:r w:rsidRPr="00095881">
        <w:t>, Canada (23%)</w:t>
      </w:r>
      <w:r w:rsidRPr="00095881">
        <w:rPr>
          <w:rStyle w:val="FootnoteReference"/>
        </w:rPr>
        <w:footnoteReference w:id="20"/>
      </w:r>
      <w:r w:rsidRPr="00095881">
        <w:t xml:space="preserve"> and the US (28.6%)</w:t>
      </w:r>
      <w:r w:rsidRPr="00095881">
        <w:rPr>
          <w:rStyle w:val="FootnoteReference"/>
        </w:rPr>
        <w:footnoteReference w:id="21"/>
      </w:r>
      <w:r w:rsidRPr="00095881">
        <w:rPr>
          <w:rFonts w:asciiTheme="minorHAnsi" w:hAnsiTheme="minorHAnsi" w:cstheme="minorHAnsi"/>
          <w:noProof/>
        </w:rPr>
        <w:t> </w:t>
      </w:r>
      <w:r w:rsidRPr="00095881">
        <w:rPr>
          <w:rStyle w:val="FootnoteReference"/>
          <w:rFonts w:asciiTheme="minorHAnsi" w:hAnsiTheme="minorHAnsi" w:cstheme="minorHAnsi"/>
          <w:noProof/>
        </w:rPr>
        <w:footnoteReference w:id="22"/>
      </w:r>
      <w:r w:rsidRPr="00095881">
        <w:rPr>
          <w:rFonts w:asciiTheme="minorHAnsi" w:hAnsiTheme="minorHAnsi" w:cstheme="minorHAnsi"/>
          <w:noProof/>
        </w:rPr>
        <w:t xml:space="preserve"> suggest the submission likely overestimated the incidence of DLBCL as a proportion of NHL</w:t>
      </w:r>
      <w:r w:rsidRPr="00095881">
        <w:t xml:space="preserve">. </w:t>
      </w:r>
    </w:p>
    <w:p w:rsidR="005B750F" w:rsidRPr="00095881" w:rsidRDefault="005B750F" w:rsidP="00095881">
      <w:pPr>
        <w:pStyle w:val="ListParagraph"/>
        <w:widowControl/>
        <w:numPr>
          <w:ilvl w:val="1"/>
          <w:numId w:val="2"/>
        </w:numPr>
      </w:pPr>
      <w:r w:rsidRPr="00095881">
        <w:t xml:space="preserve">The submission assumed that, in the absence of </w:t>
      </w:r>
      <w:proofErr w:type="spellStart"/>
      <w:r w:rsidRPr="00095881">
        <w:t>Pola+BR</w:t>
      </w:r>
      <w:proofErr w:type="spellEnd"/>
      <w:r w:rsidRPr="00095881">
        <w:t xml:space="preserve">, all patients would have received a PBS-subsidised therapy, nominated to be </w:t>
      </w:r>
      <w:proofErr w:type="spellStart"/>
      <w:r w:rsidRPr="00095881">
        <w:t>RGemOx</w:t>
      </w:r>
      <w:proofErr w:type="spellEnd"/>
      <w:r w:rsidRPr="00095881">
        <w:t xml:space="preserve"> (noting that this differed from the comparator presented in the clinical evidence and modelled economic evaluation). </w:t>
      </w:r>
    </w:p>
    <w:p w:rsidR="005B750F" w:rsidRPr="00095881" w:rsidRDefault="005B750F" w:rsidP="00095881">
      <w:pPr>
        <w:pStyle w:val="ListParagraph"/>
        <w:widowControl/>
        <w:numPr>
          <w:ilvl w:val="1"/>
          <w:numId w:val="2"/>
        </w:numPr>
      </w:pPr>
      <w:r w:rsidRPr="00095881">
        <w:t>Furthermore</w:t>
      </w:r>
      <w:r w:rsidR="00711189">
        <w:t xml:space="preserve"> the commentary considered that</w:t>
      </w:r>
      <w:r w:rsidRPr="00095881">
        <w:t xml:space="preserve">, in some patients, </w:t>
      </w:r>
      <w:proofErr w:type="spellStart"/>
      <w:r w:rsidRPr="00095881">
        <w:t>RGemOx</w:t>
      </w:r>
      <w:proofErr w:type="spellEnd"/>
      <w:r w:rsidRPr="00095881">
        <w:t xml:space="preserve"> use may be displaced to a later line of therapy rather than replaced. It is noted that </w:t>
      </w:r>
      <w:r w:rsidR="00E77FA0">
        <w:rPr>
          <w:noProof/>
          <w:color w:val="000000"/>
          <w:highlight w:val="black"/>
        </w:rPr>
        <w:t>''''''</w:t>
      </w:r>
      <w:r w:rsidRPr="00095881">
        <w:t xml:space="preserve">% of patients in the </w:t>
      </w:r>
      <w:proofErr w:type="spellStart"/>
      <w:r w:rsidRPr="00095881">
        <w:t>Pola+BR</w:t>
      </w:r>
      <w:proofErr w:type="spellEnd"/>
      <w:r w:rsidRPr="00095881">
        <w:t xml:space="preserve"> arm of key trial GO29365 received subsequent anti-lymphoma treatment. Thus the cost offsets presented in the submission may be further overestimated.</w:t>
      </w:r>
    </w:p>
    <w:p w:rsidR="005B750F" w:rsidRPr="00095881" w:rsidRDefault="005B750F" w:rsidP="00095881">
      <w:pPr>
        <w:pStyle w:val="ListParagraph"/>
        <w:widowControl/>
        <w:numPr>
          <w:ilvl w:val="1"/>
          <w:numId w:val="2"/>
        </w:numPr>
      </w:pPr>
      <w:r w:rsidRPr="00095881">
        <w:t xml:space="preserve">In calculating the cost-offset from </w:t>
      </w:r>
      <w:proofErr w:type="spellStart"/>
      <w:r w:rsidRPr="00095881">
        <w:t>RGemOx</w:t>
      </w:r>
      <w:proofErr w:type="spellEnd"/>
      <w:r w:rsidRPr="00095881">
        <w:t xml:space="preserve">, the submission assumed that patients would be receiving </w:t>
      </w:r>
      <w:r w:rsidR="00E77FA0">
        <w:rPr>
          <w:noProof/>
          <w:color w:val="000000"/>
          <w:highlight w:val="black"/>
        </w:rPr>
        <w:t xml:space="preserve">'' </w:t>
      </w:r>
      <w:r w:rsidRPr="00095881">
        <w:t xml:space="preserve">cycles of </w:t>
      </w:r>
      <w:proofErr w:type="spellStart"/>
      <w:r w:rsidRPr="00095881">
        <w:t>RGemOx</w:t>
      </w:r>
      <w:proofErr w:type="spellEnd"/>
      <w:r w:rsidRPr="00095881">
        <w:t xml:space="preserve"> in current clinical practice. </w:t>
      </w:r>
      <w:r w:rsidR="001C39E7">
        <w:rPr>
          <w:rFonts w:asciiTheme="minorHAnsi" w:hAnsiTheme="minorHAnsi" w:cstheme="minorHAnsi"/>
        </w:rPr>
        <w:t>The commentary considered that i</w:t>
      </w:r>
      <w:r w:rsidRPr="00095881">
        <w:rPr>
          <w:rFonts w:asciiTheme="minorHAnsi" w:hAnsiTheme="minorHAnsi" w:cstheme="minorHAnsi"/>
        </w:rPr>
        <w:t xml:space="preserve">t may not </w:t>
      </w:r>
      <w:r w:rsidR="001C39E7">
        <w:rPr>
          <w:rFonts w:asciiTheme="minorHAnsi" w:hAnsiTheme="minorHAnsi" w:cstheme="minorHAnsi"/>
        </w:rPr>
        <w:t xml:space="preserve">have </w:t>
      </w:r>
      <w:r w:rsidRPr="00095881">
        <w:rPr>
          <w:rFonts w:asciiTheme="minorHAnsi" w:hAnsiTheme="minorHAnsi" w:cstheme="minorHAnsi"/>
        </w:rPr>
        <w:t>be</w:t>
      </w:r>
      <w:r w:rsidR="001C39E7">
        <w:rPr>
          <w:rFonts w:asciiTheme="minorHAnsi" w:hAnsiTheme="minorHAnsi" w:cstheme="minorHAnsi"/>
        </w:rPr>
        <w:t>en</w:t>
      </w:r>
      <w:r w:rsidRPr="00095881">
        <w:rPr>
          <w:rFonts w:asciiTheme="minorHAnsi" w:hAnsiTheme="minorHAnsi" w:cstheme="minorHAnsi"/>
        </w:rPr>
        <w:t xml:space="preserve"> reasonable to assume that patients will be able to receive a full treatment course of </w:t>
      </w:r>
      <w:proofErr w:type="spellStart"/>
      <w:r w:rsidRPr="00095881">
        <w:rPr>
          <w:rFonts w:asciiTheme="minorHAnsi" w:hAnsiTheme="minorHAnsi" w:cstheme="minorHAnsi"/>
        </w:rPr>
        <w:t>RGemOx</w:t>
      </w:r>
      <w:proofErr w:type="spellEnd"/>
      <w:r w:rsidRPr="00095881">
        <w:rPr>
          <w:rFonts w:asciiTheme="minorHAnsi" w:hAnsiTheme="minorHAnsi" w:cstheme="minorHAnsi"/>
        </w:rPr>
        <w:t>, particularly when the median treatment duration in the BR comparator arm in GO29365 was 50% of a full course, with only 23.1% completing the full course.</w:t>
      </w:r>
    </w:p>
    <w:p w:rsidR="005B750F" w:rsidRPr="00095881" w:rsidRDefault="005B750F" w:rsidP="00095881">
      <w:pPr>
        <w:pStyle w:val="ListParagraph"/>
        <w:widowControl/>
        <w:numPr>
          <w:ilvl w:val="1"/>
          <w:numId w:val="2"/>
        </w:numPr>
      </w:pPr>
      <w:r w:rsidRPr="00095881">
        <w:rPr>
          <w:rFonts w:asciiTheme="minorHAnsi" w:hAnsiTheme="minorHAnsi" w:cstheme="minorHAnsi"/>
        </w:rPr>
        <w:t xml:space="preserve">In summary, the submission overestimated the cost-offset from the substitution for </w:t>
      </w:r>
      <w:proofErr w:type="spellStart"/>
      <w:r w:rsidRPr="00095881">
        <w:rPr>
          <w:rFonts w:asciiTheme="minorHAnsi" w:hAnsiTheme="minorHAnsi" w:cstheme="minorHAnsi"/>
        </w:rPr>
        <w:t>RGemOx</w:t>
      </w:r>
      <w:proofErr w:type="spellEnd"/>
      <w:r w:rsidRPr="00095881">
        <w:rPr>
          <w:rFonts w:asciiTheme="minorHAnsi" w:hAnsiTheme="minorHAnsi" w:cstheme="minorHAnsi"/>
        </w:rPr>
        <w:t xml:space="preserve"> should </w:t>
      </w:r>
      <w:proofErr w:type="spellStart"/>
      <w:r w:rsidRPr="00095881">
        <w:rPr>
          <w:rFonts w:asciiTheme="minorHAnsi" w:hAnsiTheme="minorHAnsi" w:cstheme="minorHAnsi"/>
        </w:rPr>
        <w:t>Pola+BR</w:t>
      </w:r>
      <w:proofErr w:type="spellEnd"/>
      <w:r w:rsidRPr="00095881">
        <w:rPr>
          <w:rFonts w:asciiTheme="minorHAnsi" w:hAnsiTheme="minorHAnsi" w:cstheme="minorHAnsi"/>
        </w:rPr>
        <w:t xml:space="preserve"> be listed on the PBS.</w:t>
      </w:r>
    </w:p>
    <w:p w:rsidR="00095881" w:rsidRPr="00095881" w:rsidRDefault="00095881" w:rsidP="00095881">
      <w:pPr>
        <w:pStyle w:val="ListParagraph"/>
        <w:widowControl/>
        <w:numPr>
          <w:ilvl w:val="1"/>
          <w:numId w:val="2"/>
        </w:numPr>
        <w:rPr>
          <w:rFonts w:asciiTheme="minorHAnsi" w:hAnsiTheme="minorHAnsi" w:cstheme="minorHAnsi"/>
        </w:rPr>
      </w:pPr>
      <w:r w:rsidRPr="00095881">
        <w:rPr>
          <w:rFonts w:asciiTheme="minorHAnsi" w:hAnsiTheme="minorHAnsi" w:cstheme="minorHAnsi"/>
        </w:rPr>
        <w:t>DUSC consider</w:t>
      </w:r>
      <w:r w:rsidR="00881AA1">
        <w:rPr>
          <w:rFonts w:asciiTheme="minorHAnsi" w:hAnsiTheme="minorHAnsi" w:cstheme="minorHAnsi"/>
        </w:rPr>
        <w:t>ed</w:t>
      </w:r>
      <w:r w:rsidRPr="00095881">
        <w:rPr>
          <w:rFonts w:asciiTheme="minorHAnsi" w:hAnsiTheme="minorHAnsi" w:cstheme="minorHAnsi"/>
        </w:rPr>
        <w:t xml:space="preserve"> </w:t>
      </w:r>
      <w:r w:rsidR="00881AA1">
        <w:rPr>
          <w:rFonts w:asciiTheme="minorHAnsi" w:hAnsiTheme="minorHAnsi" w:cstheme="minorHAnsi"/>
        </w:rPr>
        <w:t xml:space="preserve">that </w:t>
      </w:r>
      <w:r w:rsidRPr="00095881">
        <w:rPr>
          <w:rFonts w:asciiTheme="minorHAnsi" w:hAnsiTheme="minorHAnsi" w:cstheme="minorHAnsi"/>
        </w:rPr>
        <w:t xml:space="preserve">the estimates presented in the submission </w:t>
      </w:r>
      <w:r w:rsidR="00881AA1">
        <w:rPr>
          <w:rFonts w:asciiTheme="minorHAnsi" w:hAnsiTheme="minorHAnsi" w:cstheme="minorHAnsi"/>
        </w:rPr>
        <w:t>wer</w:t>
      </w:r>
      <w:r w:rsidRPr="00095881">
        <w:rPr>
          <w:rFonts w:asciiTheme="minorHAnsi" w:hAnsiTheme="minorHAnsi" w:cstheme="minorHAnsi"/>
        </w:rPr>
        <w:t xml:space="preserve">e underestimated. The main issues </w:t>
      </w:r>
      <w:r w:rsidR="00881AA1">
        <w:rPr>
          <w:rFonts w:asciiTheme="minorHAnsi" w:hAnsiTheme="minorHAnsi" w:cstheme="minorHAnsi"/>
        </w:rPr>
        <w:t>we</w:t>
      </w:r>
      <w:r w:rsidRPr="00095881">
        <w:rPr>
          <w:rFonts w:asciiTheme="minorHAnsi" w:hAnsiTheme="minorHAnsi" w:cstheme="minorHAnsi"/>
        </w:rPr>
        <w:t>re:</w:t>
      </w:r>
    </w:p>
    <w:p w:rsidR="00095881" w:rsidRPr="00B93413" w:rsidRDefault="00095881" w:rsidP="00095881">
      <w:pPr>
        <w:pStyle w:val="ListParagraph"/>
        <w:widowControl/>
        <w:numPr>
          <w:ilvl w:val="1"/>
          <w:numId w:val="1"/>
        </w:numPr>
        <w:spacing w:after="0"/>
      </w:pPr>
      <w:r>
        <w:t>The proportion of patients with DLBCL may be overestimated. However, DUSC considered that overall the submission’s forecast of the treated population was underestimated as most other assumptions informing the estimates were underestimated.</w:t>
      </w:r>
    </w:p>
    <w:p w:rsidR="00095881" w:rsidRPr="00095881" w:rsidRDefault="00095881" w:rsidP="00095881">
      <w:pPr>
        <w:pStyle w:val="ListParagraph"/>
        <w:widowControl/>
        <w:numPr>
          <w:ilvl w:val="1"/>
          <w:numId w:val="1"/>
        </w:numPr>
        <w:spacing w:after="0"/>
      </w:pPr>
      <w:r w:rsidRPr="00095881">
        <w:t>There was no consideration of a prevalent population who would become refractory or relapsing over time.</w:t>
      </w:r>
    </w:p>
    <w:p w:rsidR="00095881" w:rsidRPr="00383422" w:rsidRDefault="00095881" w:rsidP="00095881">
      <w:pPr>
        <w:pStyle w:val="ListParagraph"/>
        <w:widowControl/>
        <w:numPr>
          <w:ilvl w:val="1"/>
          <w:numId w:val="1"/>
        </w:numPr>
        <w:spacing w:after="0"/>
      </w:pPr>
      <w:r w:rsidRPr="00095881">
        <w:t>Growth in the elderly population was not accounted for.</w:t>
      </w:r>
    </w:p>
    <w:p w:rsidR="00095881" w:rsidRPr="00095881" w:rsidRDefault="00095881" w:rsidP="00095881">
      <w:pPr>
        <w:pStyle w:val="ListParagraph"/>
        <w:widowControl/>
        <w:numPr>
          <w:ilvl w:val="1"/>
          <w:numId w:val="1"/>
        </w:numPr>
        <w:spacing w:after="0"/>
      </w:pPr>
      <w:r w:rsidRPr="00095881">
        <w:t>The eligible population was underestimated, as the failure rate of stem cell transplantation (SCT) was likely to be higher than estimated.</w:t>
      </w:r>
    </w:p>
    <w:p w:rsidR="00095881" w:rsidRPr="00095881" w:rsidRDefault="00095881" w:rsidP="00095881">
      <w:pPr>
        <w:pStyle w:val="ListParagraph"/>
        <w:widowControl/>
        <w:numPr>
          <w:ilvl w:val="1"/>
          <w:numId w:val="1"/>
        </w:numPr>
        <w:spacing w:after="0"/>
      </w:pPr>
      <w:r w:rsidRPr="00095881">
        <w:lastRenderedPageBreak/>
        <w:t xml:space="preserve">The uptake rate will likely be higher than the submission’s assumption of </w:t>
      </w:r>
      <w:r w:rsidR="00E77FA0">
        <w:rPr>
          <w:noProof/>
          <w:color w:val="000000"/>
          <w:highlight w:val="black"/>
        </w:rPr>
        <w:t>'''''</w:t>
      </w:r>
      <w:r w:rsidRPr="00095881">
        <w:t>%, particularly in the later years, as</w:t>
      </w:r>
      <w:r w:rsidRPr="001105A8">
        <w:t xml:space="preserve"> </w:t>
      </w:r>
      <w:proofErr w:type="spellStart"/>
      <w:r w:rsidRPr="00095881">
        <w:t>polatuzumab</w:t>
      </w:r>
      <w:proofErr w:type="spellEnd"/>
      <w:r w:rsidRPr="00095881">
        <w:t xml:space="preserve"> </w:t>
      </w:r>
      <w:proofErr w:type="spellStart"/>
      <w:r w:rsidRPr="00095881">
        <w:t>vedotin</w:t>
      </w:r>
      <w:proofErr w:type="spellEnd"/>
      <w:r w:rsidRPr="00095881">
        <w:t xml:space="preserve"> in combination with </w:t>
      </w:r>
      <w:proofErr w:type="spellStart"/>
      <w:r w:rsidRPr="00095881">
        <w:t>bendamustine</w:t>
      </w:r>
      <w:proofErr w:type="spellEnd"/>
      <w:r w:rsidRPr="00095881">
        <w:t xml:space="preserve"> and rituximab (</w:t>
      </w:r>
      <w:proofErr w:type="spellStart"/>
      <w:r w:rsidRPr="00095881">
        <w:t>Pola+BR</w:t>
      </w:r>
      <w:proofErr w:type="spellEnd"/>
      <w:r w:rsidRPr="00095881">
        <w:t xml:space="preserve">) </w:t>
      </w:r>
      <w:r w:rsidR="00C07BFC">
        <w:t>may</w:t>
      </w:r>
      <w:r w:rsidRPr="00095881">
        <w:t xml:space="preserve"> become the standard practice in the target population and as clinicians become familiar with the management of its adverse effects.</w:t>
      </w:r>
    </w:p>
    <w:p w:rsidR="00095881" w:rsidRDefault="00095881" w:rsidP="00095881">
      <w:pPr>
        <w:pStyle w:val="ListParagraph"/>
        <w:widowControl/>
        <w:numPr>
          <w:ilvl w:val="1"/>
          <w:numId w:val="1"/>
        </w:numPr>
        <w:spacing w:after="0"/>
      </w:pPr>
      <w:r w:rsidRPr="00A662C4">
        <w:t xml:space="preserve">Cost-offsets from the substitution for </w:t>
      </w:r>
      <w:proofErr w:type="spellStart"/>
      <w:r w:rsidRPr="00A662C4">
        <w:t>RGemOx</w:t>
      </w:r>
      <w:proofErr w:type="spellEnd"/>
      <w:r w:rsidRPr="00A662C4">
        <w:t xml:space="preserve"> (rituximab plus gemcitabine and </w:t>
      </w:r>
      <w:proofErr w:type="spellStart"/>
      <w:r w:rsidRPr="00A662C4">
        <w:t>oxaliplatin</w:t>
      </w:r>
      <w:proofErr w:type="spellEnd"/>
      <w:r w:rsidRPr="00A662C4">
        <w:t>)</w:t>
      </w:r>
      <w:r w:rsidRPr="00B92AE2">
        <w:t xml:space="preserve"> </w:t>
      </w:r>
      <w:r>
        <w:t xml:space="preserve">were overestimated. </w:t>
      </w:r>
    </w:p>
    <w:p w:rsidR="00095881" w:rsidRPr="00095881" w:rsidRDefault="00095881" w:rsidP="00095881">
      <w:pPr>
        <w:pStyle w:val="ListParagraph"/>
        <w:widowControl/>
        <w:numPr>
          <w:ilvl w:val="1"/>
          <w:numId w:val="1"/>
        </w:numPr>
        <w:spacing w:after="0"/>
      </w:pPr>
      <w:r w:rsidRPr="001C385E">
        <w:t xml:space="preserve">The higher rate of Grade 3-4 adverse events observed in the </w:t>
      </w:r>
      <w:proofErr w:type="spellStart"/>
      <w:r w:rsidRPr="001C385E">
        <w:t>Pola+BR</w:t>
      </w:r>
      <w:proofErr w:type="spellEnd"/>
      <w:r w:rsidRPr="001C385E">
        <w:t xml:space="preserve"> arm were not costed.</w:t>
      </w:r>
    </w:p>
    <w:p w:rsidR="00E9657D" w:rsidRPr="00833601" w:rsidRDefault="00095881" w:rsidP="003B1A60">
      <w:pPr>
        <w:pStyle w:val="ListParagraph"/>
        <w:widowControl/>
        <w:numPr>
          <w:ilvl w:val="1"/>
          <w:numId w:val="1"/>
        </w:numPr>
        <w:spacing w:after="0"/>
      </w:pPr>
      <w:r w:rsidRPr="00833601">
        <w:t xml:space="preserve">There is potential for wastage due to </w:t>
      </w:r>
      <w:r>
        <w:t xml:space="preserve">the </w:t>
      </w:r>
      <w:r w:rsidRPr="00833601">
        <w:t>availability of only one vial size (140 mg)</w:t>
      </w:r>
      <w:r>
        <w:t xml:space="preserve">. </w:t>
      </w:r>
    </w:p>
    <w:p w:rsidR="00095881" w:rsidRDefault="00E9657D" w:rsidP="003B1A60">
      <w:pPr>
        <w:pStyle w:val="ListParagraph"/>
        <w:widowControl/>
        <w:numPr>
          <w:ilvl w:val="1"/>
          <w:numId w:val="2"/>
        </w:numPr>
        <w:spacing w:before="240"/>
        <w:rPr>
          <w:rFonts w:asciiTheme="minorHAnsi" w:hAnsiTheme="minorHAnsi" w:cstheme="minorHAnsi"/>
        </w:rPr>
      </w:pPr>
      <w:r>
        <w:rPr>
          <w:rFonts w:asciiTheme="minorHAnsi" w:hAnsiTheme="minorHAnsi" w:cstheme="minorHAnsi"/>
        </w:rPr>
        <w:t>In response to the issues raised by DUSC</w:t>
      </w:r>
      <w:r w:rsidR="001C39E7">
        <w:rPr>
          <w:rFonts w:asciiTheme="minorHAnsi" w:hAnsiTheme="minorHAnsi" w:cstheme="minorHAnsi"/>
        </w:rPr>
        <w:t>,</w:t>
      </w:r>
      <w:r>
        <w:rPr>
          <w:rFonts w:asciiTheme="minorHAnsi" w:hAnsiTheme="minorHAnsi" w:cstheme="minorHAnsi"/>
        </w:rPr>
        <w:t xml:space="preserve"> the pre-PBAC response argued that</w:t>
      </w:r>
      <w:r w:rsidR="00126968">
        <w:rPr>
          <w:rFonts w:asciiTheme="minorHAnsi" w:hAnsiTheme="minorHAnsi" w:cstheme="minorHAnsi"/>
        </w:rPr>
        <w:t xml:space="preserve"> </w:t>
      </w:r>
      <w:r>
        <w:rPr>
          <w:rFonts w:asciiTheme="minorHAnsi" w:hAnsiTheme="minorHAnsi" w:cstheme="minorHAnsi"/>
        </w:rPr>
        <w:t xml:space="preserve">given the aggressive nature of R/R DLBCL there is not expected to be a prevalent pool of patients who would risk further progression of their disease and awaiting PBS listing of </w:t>
      </w:r>
      <w:proofErr w:type="spellStart"/>
      <w:r>
        <w:rPr>
          <w:rFonts w:asciiTheme="minorHAnsi" w:hAnsiTheme="minorHAnsi" w:cstheme="minorHAnsi"/>
        </w:rPr>
        <w:t>Pola+BR</w:t>
      </w:r>
      <w:proofErr w:type="spellEnd"/>
      <w:r w:rsidR="00126968">
        <w:rPr>
          <w:rFonts w:asciiTheme="minorHAnsi" w:hAnsiTheme="minorHAnsi" w:cstheme="minorHAnsi"/>
        </w:rPr>
        <w:t>. T</w:t>
      </w:r>
      <w:r>
        <w:rPr>
          <w:rFonts w:asciiTheme="minorHAnsi" w:hAnsiTheme="minorHAnsi" w:cstheme="minorHAnsi"/>
        </w:rPr>
        <w:t xml:space="preserve">he sponsor </w:t>
      </w:r>
      <w:r w:rsidR="00126968">
        <w:rPr>
          <w:rFonts w:asciiTheme="minorHAnsi" w:hAnsiTheme="minorHAnsi" w:cstheme="minorHAnsi"/>
        </w:rPr>
        <w:t xml:space="preserve">also </w:t>
      </w:r>
      <w:r>
        <w:rPr>
          <w:rFonts w:asciiTheme="minorHAnsi" w:hAnsiTheme="minorHAnsi" w:cstheme="minorHAnsi"/>
        </w:rPr>
        <w:t xml:space="preserve">accepted the use of </w:t>
      </w:r>
      <w:r w:rsidR="00126968">
        <w:rPr>
          <w:rFonts w:asciiTheme="minorHAnsi" w:hAnsiTheme="minorHAnsi" w:cstheme="minorHAnsi"/>
        </w:rPr>
        <w:t>AIHW estimates (see paragraph 6.56</w:t>
      </w:r>
      <w:r w:rsidR="003B1A60">
        <w:rPr>
          <w:rFonts w:asciiTheme="minorHAnsi" w:hAnsiTheme="minorHAnsi" w:cstheme="minorHAnsi"/>
        </w:rPr>
        <w:t>)</w:t>
      </w:r>
      <w:r w:rsidR="008A682E">
        <w:rPr>
          <w:rFonts w:asciiTheme="minorHAnsi" w:hAnsiTheme="minorHAnsi" w:cstheme="minorHAnsi"/>
        </w:rPr>
        <w:t>, which the sponsor considered</w:t>
      </w:r>
      <w:r w:rsidR="00126968">
        <w:rPr>
          <w:rFonts w:asciiTheme="minorHAnsi" w:hAnsiTheme="minorHAnsi" w:cstheme="minorHAnsi"/>
        </w:rPr>
        <w:t xml:space="preserve"> would allow for growth in the entire population (inclusive of the elderly population) and that the use of </w:t>
      </w:r>
      <w:r w:rsidR="00E77FA0">
        <w:rPr>
          <w:rFonts w:asciiTheme="minorHAnsi" w:hAnsiTheme="minorHAnsi" w:cstheme="minorHAnsi"/>
          <w:noProof/>
          <w:color w:val="000000"/>
          <w:highlight w:val="black"/>
        </w:rPr>
        <w:t>''''''</w:t>
      </w:r>
      <w:r w:rsidR="00126968">
        <w:rPr>
          <w:rFonts w:asciiTheme="minorHAnsi" w:hAnsiTheme="minorHAnsi" w:cstheme="minorHAnsi"/>
        </w:rPr>
        <w:t xml:space="preserve"> cycles of </w:t>
      </w:r>
      <w:proofErr w:type="spellStart"/>
      <w:r w:rsidR="00126968">
        <w:rPr>
          <w:rFonts w:asciiTheme="minorHAnsi" w:hAnsiTheme="minorHAnsi" w:cstheme="minorHAnsi"/>
        </w:rPr>
        <w:t>RGemOx</w:t>
      </w:r>
      <w:proofErr w:type="spellEnd"/>
      <w:r w:rsidR="00126968">
        <w:rPr>
          <w:rFonts w:asciiTheme="minorHAnsi" w:hAnsiTheme="minorHAnsi" w:cstheme="minorHAnsi"/>
        </w:rPr>
        <w:t xml:space="preserve"> instead of a full </w:t>
      </w:r>
      <w:r w:rsidR="00E77FA0">
        <w:rPr>
          <w:rFonts w:asciiTheme="minorHAnsi" w:hAnsiTheme="minorHAnsi" w:cstheme="minorHAnsi"/>
          <w:noProof/>
          <w:color w:val="000000"/>
          <w:highlight w:val="black"/>
        </w:rPr>
        <w:t>'''</w:t>
      </w:r>
      <w:r w:rsidR="00126968">
        <w:rPr>
          <w:rFonts w:asciiTheme="minorHAnsi" w:hAnsiTheme="minorHAnsi" w:cstheme="minorHAnsi"/>
        </w:rPr>
        <w:t xml:space="preserve"> cycles would be appropriate. </w:t>
      </w:r>
      <w:r w:rsidR="00F56192">
        <w:rPr>
          <w:rFonts w:asciiTheme="minorHAnsi" w:hAnsiTheme="minorHAnsi" w:cstheme="minorHAnsi"/>
        </w:rPr>
        <w:t xml:space="preserve">In addition, the pre-PBAC </w:t>
      </w:r>
      <w:r w:rsidR="00174B8D">
        <w:rPr>
          <w:rFonts w:asciiTheme="minorHAnsi" w:hAnsiTheme="minorHAnsi" w:cstheme="minorHAnsi"/>
        </w:rPr>
        <w:t>response reiterated</w:t>
      </w:r>
      <w:r w:rsidR="00F56192">
        <w:rPr>
          <w:rFonts w:asciiTheme="minorHAnsi" w:hAnsiTheme="minorHAnsi" w:cstheme="minorHAnsi"/>
        </w:rPr>
        <w:t xml:space="preserve"> the intent of the sponsor to submit a 30 mg </w:t>
      </w:r>
      <w:proofErr w:type="spellStart"/>
      <w:r w:rsidR="003B1A60" w:rsidRPr="00D87937">
        <w:rPr>
          <w:rFonts w:asciiTheme="minorHAnsi" w:hAnsiTheme="minorHAnsi"/>
          <w:bCs/>
          <w:lang w:val="en-GB"/>
        </w:rPr>
        <w:t>pola</w:t>
      </w:r>
      <w:r w:rsidR="003B1A60">
        <w:rPr>
          <w:rFonts w:asciiTheme="minorHAnsi" w:hAnsiTheme="minorHAnsi"/>
          <w:bCs/>
          <w:lang w:val="en-GB"/>
        </w:rPr>
        <w:t>tuzumab</w:t>
      </w:r>
      <w:proofErr w:type="spellEnd"/>
      <w:r w:rsidR="003B1A60">
        <w:rPr>
          <w:rFonts w:asciiTheme="minorHAnsi" w:hAnsiTheme="minorHAnsi"/>
          <w:bCs/>
          <w:lang w:val="en-GB"/>
        </w:rPr>
        <w:t xml:space="preserve"> </w:t>
      </w:r>
      <w:proofErr w:type="spellStart"/>
      <w:r w:rsidR="003B1A60">
        <w:rPr>
          <w:rFonts w:asciiTheme="minorHAnsi" w:hAnsiTheme="minorHAnsi"/>
          <w:bCs/>
          <w:lang w:val="en-GB"/>
        </w:rPr>
        <w:t>vedotin</w:t>
      </w:r>
      <w:proofErr w:type="spellEnd"/>
      <w:r w:rsidR="003B1A60">
        <w:rPr>
          <w:rFonts w:asciiTheme="minorHAnsi" w:hAnsiTheme="minorHAnsi"/>
          <w:bCs/>
          <w:lang w:val="en-GB"/>
        </w:rPr>
        <w:t xml:space="preserve"> </w:t>
      </w:r>
      <w:r w:rsidR="00F56192">
        <w:rPr>
          <w:rFonts w:asciiTheme="minorHAnsi" w:hAnsiTheme="minorHAnsi" w:cstheme="minorHAnsi"/>
        </w:rPr>
        <w:t xml:space="preserve">vial size to minimise wastage. </w:t>
      </w:r>
    </w:p>
    <w:p w:rsidR="001C39E7" w:rsidRPr="00C9624D" w:rsidRDefault="001C39E7" w:rsidP="00F3604C">
      <w:pPr>
        <w:pStyle w:val="Heading2"/>
        <w:spacing w:before="240" w:after="120"/>
      </w:pPr>
      <w:bookmarkStart w:id="22" w:name="_Toc19627201"/>
      <w:r w:rsidRPr="00C9624D">
        <w:t>Financial Management – Risk Sharing Arrangements</w:t>
      </w:r>
      <w:bookmarkEnd w:id="22"/>
    </w:p>
    <w:p w:rsidR="001C39E7" w:rsidRPr="000E4D36" w:rsidRDefault="001C39E7" w:rsidP="001C39E7">
      <w:pPr>
        <w:pStyle w:val="ListParagraph"/>
        <w:widowControl/>
        <w:numPr>
          <w:ilvl w:val="1"/>
          <w:numId w:val="2"/>
        </w:numPr>
      </w:pPr>
      <w:r w:rsidRPr="000E4D36">
        <w:t>The submission did not propose any risk sharing arrangements.</w:t>
      </w:r>
    </w:p>
    <w:p w:rsidR="002F32A0" w:rsidRPr="002F32A0" w:rsidRDefault="002F32A0" w:rsidP="00904CDF">
      <w:pPr>
        <w:pStyle w:val="PBACHeading1"/>
        <w:numPr>
          <w:ilvl w:val="0"/>
          <w:numId w:val="0"/>
        </w:numPr>
        <w:ind w:left="720"/>
        <w:rPr>
          <w:b w:val="0"/>
          <w:i/>
          <w:sz w:val="24"/>
        </w:rPr>
      </w:pPr>
      <w:r w:rsidRPr="002F32A0">
        <w:rPr>
          <w:b w:val="0"/>
          <w:i/>
          <w:sz w:val="24"/>
        </w:rPr>
        <w:t>For more detail on PBAC’s view, see section 7 PBAC outcome.</w:t>
      </w:r>
    </w:p>
    <w:p w:rsidR="00095881" w:rsidRPr="00904CDF" w:rsidRDefault="00095881" w:rsidP="00904CDF">
      <w:pPr>
        <w:pStyle w:val="PBACHeading1"/>
        <w:spacing w:before="240" w:after="120"/>
        <w:outlineLvl w:val="0"/>
      </w:pPr>
      <w:r w:rsidRPr="00904CDF">
        <w:t>PBAC Outcome</w:t>
      </w:r>
    </w:p>
    <w:p w:rsidR="00D87937" w:rsidRPr="00D87937" w:rsidRDefault="00D87937" w:rsidP="00D87937">
      <w:pPr>
        <w:numPr>
          <w:ilvl w:val="1"/>
          <w:numId w:val="2"/>
        </w:numPr>
        <w:spacing w:after="120"/>
        <w:rPr>
          <w:rFonts w:asciiTheme="minorHAnsi" w:hAnsiTheme="minorHAnsi"/>
          <w:bCs/>
          <w:lang w:val="en-GB"/>
        </w:rPr>
      </w:pPr>
      <w:r w:rsidRPr="00D87937">
        <w:rPr>
          <w:rFonts w:asciiTheme="minorHAnsi" w:hAnsiTheme="minorHAnsi"/>
          <w:bCs/>
          <w:lang w:val="en-GB"/>
        </w:rPr>
        <w:t xml:space="preserve">The PBAC did not recommend the listing of </w:t>
      </w:r>
      <w:proofErr w:type="spellStart"/>
      <w:r w:rsidRPr="00D87937">
        <w:rPr>
          <w:rFonts w:asciiTheme="minorHAnsi" w:hAnsiTheme="minorHAnsi"/>
          <w:bCs/>
          <w:lang w:val="en-GB"/>
        </w:rPr>
        <w:t>pola</w:t>
      </w:r>
      <w:r>
        <w:rPr>
          <w:rFonts w:asciiTheme="minorHAnsi" w:hAnsiTheme="minorHAnsi"/>
          <w:bCs/>
          <w:lang w:val="en-GB"/>
        </w:rPr>
        <w:t>tuzumab</w:t>
      </w:r>
      <w:proofErr w:type="spellEnd"/>
      <w:r>
        <w:rPr>
          <w:rFonts w:asciiTheme="minorHAnsi" w:hAnsiTheme="minorHAnsi"/>
          <w:bCs/>
          <w:lang w:val="en-GB"/>
        </w:rPr>
        <w:t xml:space="preserve"> </w:t>
      </w:r>
      <w:proofErr w:type="spellStart"/>
      <w:r>
        <w:rPr>
          <w:rFonts w:asciiTheme="minorHAnsi" w:hAnsiTheme="minorHAnsi"/>
          <w:bCs/>
          <w:lang w:val="en-GB"/>
        </w:rPr>
        <w:t>vedotin</w:t>
      </w:r>
      <w:proofErr w:type="spellEnd"/>
      <w:r>
        <w:rPr>
          <w:rFonts w:asciiTheme="minorHAnsi" w:hAnsiTheme="minorHAnsi"/>
          <w:bCs/>
          <w:lang w:val="en-GB"/>
        </w:rPr>
        <w:t xml:space="preserve"> </w:t>
      </w:r>
      <w:r w:rsidRPr="00D87937">
        <w:rPr>
          <w:rFonts w:asciiTheme="minorHAnsi" w:hAnsiTheme="minorHAnsi"/>
          <w:bCs/>
          <w:lang w:val="en-GB"/>
        </w:rPr>
        <w:t xml:space="preserve">in combination with </w:t>
      </w:r>
      <w:proofErr w:type="spellStart"/>
      <w:r w:rsidRPr="00D87937">
        <w:rPr>
          <w:rFonts w:asciiTheme="minorHAnsi" w:hAnsiTheme="minorHAnsi"/>
          <w:bCs/>
          <w:lang w:val="en-GB"/>
        </w:rPr>
        <w:t>bendamustine</w:t>
      </w:r>
      <w:proofErr w:type="spellEnd"/>
      <w:r w:rsidRPr="00D87937">
        <w:rPr>
          <w:rFonts w:asciiTheme="minorHAnsi" w:hAnsiTheme="minorHAnsi"/>
          <w:bCs/>
          <w:lang w:val="en-GB"/>
        </w:rPr>
        <w:t xml:space="preserve"> and rituximab (</w:t>
      </w:r>
      <w:proofErr w:type="spellStart"/>
      <w:r w:rsidRPr="00D87937">
        <w:rPr>
          <w:rFonts w:asciiTheme="minorHAnsi" w:hAnsiTheme="minorHAnsi"/>
          <w:bCs/>
          <w:lang w:val="en-GB"/>
        </w:rPr>
        <w:t>Pola+BR</w:t>
      </w:r>
      <w:proofErr w:type="spellEnd"/>
      <w:r w:rsidRPr="00D87937">
        <w:rPr>
          <w:rFonts w:asciiTheme="minorHAnsi" w:hAnsiTheme="minorHAnsi"/>
          <w:bCs/>
          <w:lang w:val="en-GB"/>
        </w:rPr>
        <w:t xml:space="preserve">) for the treatment of patients with relapsed or refractory diffuse large B-cell lymphoma </w:t>
      </w:r>
      <w:r>
        <w:rPr>
          <w:rFonts w:asciiTheme="minorHAnsi" w:hAnsiTheme="minorHAnsi"/>
          <w:bCs/>
          <w:lang w:val="en-GB"/>
        </w:rPr>
        <w:t xml:space="preserve">(R/R DLBCL) </w:t>
      </w:r>
      <w:r w:rsidRPr="00D87937">
        <w:rPr>
          <w:rFonts w:asciiTheme="minorHAnsi" w:hAnsiTheme="minorHAnsi"/>
          <w:bCs/>
          <w:lang w:val="en-GB"/>
        </w:rPr>
        <w:t>who are ineligible for stem cell transplantation</w:t>
      </w:r>
      <w:r w:rsidR="00735FAA">
        <w:rPr>
          <w:rFonts w:asciiTheme="minorHAnsi" w:hAnsiTheme="minorHAnsi"/>
          <w:bCs/>
          <w:lang w:val="en-GB"/>
        </w:rPr>
        <w:t xml:space="preserve"> (SCT)</w:t>
      </w:r>
      <w:r w:rsidRPr="00D87937">
        <w:rPr>
          <w:rFonts w:asciiTheme="minorHAnsi" w:hAnsiTheme="minorHAnsi"/>
          <w:bCs/>
          <w:lang w:val="en-GB"/>
        </w:rPr>
        <w:t xml:space="preserve">. The PBAC considered that the validity of the clinical effectiveness data presented was very uncertain as the results were likely confounded in favour of </w:t>
      </w:r>
      <w:proofErr w:type="spellStart"/>
      <w:r w:rsidRPr="00D87937">
        <w:rPr>
          <w:rFonts w:asciiTheme="minorHAnsi" w:hAnsiTheme="minorHAnsi"/>
          <w:bCs/>
          <w:lang w:val="en-GB"/>
        </w:rPr>
        <w:t>Pola+BR</w:t>
      </w:r>
      <w:proofErr w:type="spellEnd"/>
      <w:r w:rsidRPr="00D87937">
        <w:rPr>
          <w:rFonts w:asciiTheme="minorHAnsi" w:hAnsiTheme="minorHAnsi"/>
          <w:bCs/>
          <w:lang w:val="en-GB"/>
        </w:rPr>
        <w:t xml:space="preserve">. Given the limitations with the clinical data, the PBAC considered the estimated </w:t>
      </w:r>
      <w:r w:rsidR="00794C1A">
        <w:rPr>
          <w:rFonts w:asciiTheme="minorHAnsi" w:hAnsiTheme="minorHAnsi"/>
          <w:bCs/>
          <w:lang w:val="en-GB"/>
        </w:rPr>
        <w:t xml:space="preserve">incremental </w:t>
      </w:r>
      <w:r w:rsidRPr="00D87937">
        <w:rPr>
          <w:rFonts w:asciiTheme="minorHAnsi" w:hAnsiTheme="minorHAnsi"/>
          <w:bCs/>
          <w:lang w:val="en-GB"/>
        </w:rPr>
        <w:t>cost-effectiveness ratio</w:t>
      </w:r>
      <w:r w:rsidR="00794C1A">
        <w:rPr>
          <w:rFonts w:asciiTheme="minorHAnsi" w:hAnsiTheme="minorHAnsi"/>
          <w:bCs/>
          <w:lang w:val="en-GB"/>
        </w:rPr>
        <w:t xml:space="preserve"> (ICER)</w:t>
      </w:r>
      <w:r w:rsidRPr="00D87937">
        <w:rPr>
          <w:rFonts w:asciiTheme="minorHAnsi" w:hAnsiTheme="minorHAnsi"/>
          <w:bCs/>
          <w:lang w:val="en-GB"/>
        </w:rPr>
        <w:t xml:space="preserve"> was very uncertain. </w:t>
      </w:r>
    </w:p>
    <w:p w:rsidR="00D87937" w:rsidRDefault="00D87937" w:rsidP="00D87937">
      <w:pPr>
        <w:numPr>
          <w:ilvl w:val="1"/>
          <w:numId w:val="2"/>
        </w:numPr>
        <w:spacing w:after="120"/>
        <w:rPr>
          <w:rFonts w:asciiTheme="minorHAnsi" w:hAnsiTheme="minorHAnsi"/>
          <w:bCs/>
          <w:lang w:val="en-GB"/>
        </w:rPr>
      </w:pPr>
      <w:r w:rsidRPr="00CA28F1">
        <w:rPr>
          <w:rFonts w:asciiTheme="minorHAnsi" w:hAnsiTheme="minorHAnsi"/>
          <w:bCs/>
          <w:lang w:val="en-GB"/>
        </w:rPr>
        <w:t>The PBAC welcomed the input from individuals, health care professionals and</w:t>
      </w:r>
      <w:r>
        <w:rPr>
          <w:rFonts w:asciiTheme="minorHAnsi" w:hAnsiTheme="minorHAnsi"/>
          <w:bCs/>
          <w:lang w:val="en-GB"/>
        </w:rPr>
        <w:t xml:space="preserve"> </w:t>
      </w:r>
      <w:r w:rsidRPr="00CA28F1">
        <w:rPr>
          <w:rFonts w:asciiTheme="minorHAnsi" w:hAnsiTheme="minorHAnsi"/>
          <w:bCs/>
          <w:lang w:val="en-GB"/>
        </w:rPr>
        <w:t>organisations which highlighted</w:t>
      </w:r>
      <w:r w:rsidR="004F450B">
        <w:rPr>
          <w:rFonts w:asciiTheme="minorHAnsi" w:hAnsiTheme="minorHAnsi"/>
          <w:bCs/>
          <w:lang w:val="en-GB"/>
        </w:rPr>
        <w:t xml:space="preserve"> the need for new treatment options for patients with R/R DLBCL that were ineligible for SCT</w:t>
      </w:r>
      <w:r>
        <w:rPr>
          <w:rFonts w:asciiTheme="minorHAnsi" w:hAnsiTheme="minorHAnsi"/>
          <w:bCs/>
          <w:lang w:val="en-GB"/>
        </w:rPr>
        <w:t xml:space="preserve">. </w:t>
      </w:r>
    </w:p>
    <w:p w:rsidR="00D87937" w:rsidRDefault="004F450B" w:rsidP="00095881">
      <w:pPr>
        <w:numPr>
          <w:ilvl w:val="1"/>
          <w:numId w:val="2"/>
        </w:numPr>
        <w:spacing w:after="120"/>
        <w:rPr>
          <w:rFonts w:asciiTheme="minorHAnsi" w:hAnsiTheme="minorHAnsi"/>
          <w:bCs/>
          <w:lang w:val="en-GB"/>
        </w:rPr>
      </w:pPr>
      <w:r>
        <w:t xml:space="preserve">The PBAC accepted the proposed clinical place for </w:t>
      </w:r>
      <w:proofErr w:type="spellStart"/>
      <w:r>
        <w:t>Pola+BR</w:t>
      </w:r>
      <w:proofErr w:type="spellEnd"/>
      <w:r>
        <w:t xml:space="preserve"> </w:t>
      </w:r>
      <w:r w:rsidR="00957495">
        <w:t xml:space="preserve">which </w:t>
      </w:r>
      <w:r>
        <w:t>was for use in patients with R/R DLBCL who have failed prior therapies, and are either ineligible for SCT, or who have had disease relapse following SCT</w:t>
      </w:r>
      <w:r w:rsidR="00735FAA">
        <w:t>.</w:t>
      </w:r>
    </w:p>
    <w:p w:rsidR="00735FAA" w:rsidRDefault="00735FAA" w:rsidP="00095881">
      <w:pPr>
        <w:numPr>
          <w:ilvl w:val="1"/>
          <w:numId w:val="2"/>
        </w:numPr>
        <w:spacing w:after="120"/>
        <w:rPr>
          <w:rFonts w:asciiTheme="minorHAnsi" w:hAnsiTheme="minorHAnsi"/>
          <w:bCs/>
          <w:lang w:val="en-GB"/>
        </w:rPr>
      </w:pPr>
      <w:r>
        <w:rPr>
          <w:rFonts w:asciiTheme="minorHAnsi" w:hAnsiTheme="minorHAnsi"/>
          <w:bCs/>
          <w:lang w:val="en-GB"/>
        </w:rPr>
        <w:t xml:space="preserve">The </w:t>
      </w:r>
      <w:r w:rsidR="00844CC4">
        <w:rPr>
          <w:rFonts w:asciiTheme="minorHAnsi" w:hAnsiTheme="minorHAnsi"/>
          <w:bCs/>
          <w:lang w:val="en-GB"/>
        </w:rPr>
        <w:t xml:space="preserve">PBAC did not accept </w:t>
      </w:r>
      <w:proofErr w:type="spellStart"/>
      <w:r w:rsidR="00844CC4">
        <w:t>bendamustine</w:t>
      </w:r>
      <w:proofErr w:type="spellEnd"/>
      <w:r w:rsidR="00844CC4">
        <w:t xml:space="preserve"> in combination with rituximab (BR), the </w:t>
      </w:r>
      <w:r w:rsidR="00844CC4">
        <w:lastRenderedPageBreak/>
        <w:t>nominated comparator, as an appropriate proxy f</w:t>
      </w:r>
      <w:r w:rsidR="005A3CB0">
        <w:t xml:space="preserve">or standard of care in </w:t>
      </w:r>
      <w:r w:rsidR="005A3CB0">
        <w:rPr>
          <w:rFonts w:asciiTheme="minorHAnsi" w:hAnsiTheme="minorHAnsi"/>
          <w:bCs/>
          <w:lang w:val="en-GB"/>
        </w:rPr>
        <w:t>R/R DLBCL</w:t>
      </w:r>
      <w:r w:rsidR="00844CC4">
        <w:t xml:space="preserve">. The PBAC agreed with the ESC </w:t>
      </w:r>
      <w:r w:rsidR="00421EE7">
        <w:t xml:space="preserve">that BR does not reflect current clinical practice in Australia as </w:t>
      </w:r>
      <w:proofErr w:type="spellStart"/>
      <w:r w:rsidR="00421EE7">
        <w:t>bendamustine</w:t>
      </w:r>
      <w:proofErr w:type="spellEnd"/>
      <w:r w:rsidR="00421EE7">
        <w:t xml:space="preserve"> is not TGA registered or PBS-listed for this indication.</w:t>
      </w:r>
      <w:r w:rsidR="001B1144">
        <w:t xml:space="preserve"> As such the PBAC considered the cost-effectiveness of BR for R/R DLBCL in Australia is unknown.</w:t>
      </w:r>
      <w:r w:rsidR="00421EE7">
        <w:t xml:space="preserve"> </w:t>
      </w:r>
      <w:r w:rsidR="001B1144">
        <w:t xml:space="preserve">The PBAC agreed with the submission </w:t>
      </w:r>
      <w:r w:rsidR="00421EE7">
        <w:t xml:space="preserve">that </w:t>
      </w:r>
      <w:proofErr w:type="spellStart"/>
      <w:r w:rsidR="00421EE7">
        <w:t>RGemOx</w:t>
      </w:r>
      <w:proofErr w:type="spellEnd"/>
      <w:r w:rsidR="009D51A3">
        <w:t xml:space="preserve"> </w:t>
      </w:r>
      <w:r w:rsidR="009D51A3" w:rsidRPr="00A0799B">
        <w:t xml:space="preserve">(rituximab plus gemcitabine and </w:t>
      </w:r>
      <w:proofErr w:type="spellStart"/>
      <w:r w:rsidR="009D51A3" w:rsidRPr="00A0799B">
        <w:t>oxaliplatin</w:t>
      </w:r>
      <w:proofErr w:type="spellEnd"/>
      <w:r w:rsidR="009D51A3" w:rsidRPr="00A0799B">
        <w:t>)</w:t>
      </w:r>
      <w:r w:rsidR="00421EE7">
        <w:t xml:space="preserve"> is the treatment regimen most likely to be used in the proposed population in Australian clinical practice. </w:t>
      </w:r>
      <w:r w:rsidR="00AA5E74">
        <w:t xml:space="preserve">The PBAC noted the similar overall survival (OS) benefit reported for BR and </w:t>
      </w:r>
      <w:proofErr w:type="spellStart"/>
      <w:r w:rsidR="00AA5E74">
        <w:t>RGemOx</w:t>
      </w:r>
      <w:proofErr w:type="spellEnd"/>
      <w:r w:rsidR="00AA5E74">
        <w:t xml:space="preserve"> in the </w:t>
      </w:r>
      <w:proofErr w:type="spellStart"/>
      <w:r w:rsidR="001B1144">
        <w:t>Ittu</w:t>
      </w:r>
      <w:proofErr w:type="spellEnd"/>
      <w:r w:rsidR="001B1144">
        <w:t xml:space="preserve"> (2018)</w:t>
      </w:r>
      <w:r w:rsidR="00AA5E74">
        <w:t xml:space="preserve"> study</w:t>
      </w:r>
      <w:r w:rsidR="001B1144">
        <w:t xml:space="preserve"> </w:t>
      </w:r>
      <w:r w:rsidR="00AA5E74">
        <w:t xml:space="preserve">but did not agree with the submission that based on these results </w:t>
      </w:r>
      <w:r w:rsidR="002A6B94">
        <w:t xml:space="preserve">the </w:t>
      </w:r>
      <w:r w:rsidR="00AA5E74">
        <w:t xml:space="preserve">regimens </w:t>
      </w:r>
      <w:r w:rsidR="002A6B94">
        <w:t>are</w:t>
      </w:r>
      <w:r w:rsidR="0062018D">
        <w:t xml:space="preserve"> </w:t>
      </w:r>
      <w:r w:rsidR="009D51A3">
        <w:t>equivalent</w:t>
      </w:r>
      <w:r w:rsidR="00AA5E74">
        <w:t>.</w:t>
      </w:r>
      <w:r w:rsidR="009D51A3">
        <w:t xml:space="preserve"> </w:t>
      </w:r>
      <w:r w:rsidR="005A3CB0">
        <w:t>Instead, t</w:t>
      </w:r>
      <w:r w:rsidR="009D51A3">
        <w:t>he PBAC considered that the</w:t>
      </w:r>
      <w:r w:rsidR="00844CC4">
        <w:t xml:space="preserve"> </w:t>
      </w:r>
      <w:proofErr w:type="spellStart"/>
      <w:r w:rsidR="009D51A3" w:rsidRPr="00A0799B">
        <w:rPr>
          <w:rFonts w:asciiTheme="minorHAnsi" w:hAnsiTheme="minorHAnsi"/>
        </w:rPr>
        <w:t>Ittu</w:t>
      </w:r>
      <w:proofErr w:type="spellEnd"/>
      <w:r w:rsidR="009D51A3" w:rsidRPr="00A0799B">
        <w:rPr>
          <w:rFonts w:asciiTheme="minorHAnsi" w:hAnsiTheme="minorHAnsi"/>
        </w:rPr>
        <w:t xml:space="preserve"> (2018) and </w:t>
      </w:r>
      <w:r w:rsidR="00D6705C">
        <w:rPr>
          <w:rFonts w:asciiTheme="minorHAnsi" w:hAnsiTheme="minorHAnsi"/>
        </w:rPr>
        <w:t>key trial (</w:t>
      </w:r>
      <w:r w:rsidR="009D51A3" w:rsidRPr="00A0799B">
        <w:rPr>
          <w:rFonts w:asciiTheme="minorHAnsi" w:hAnsiTheme="minorHAnsi"/>
        </w:rPr>
        <w:t>GO29365</w:t>
      </w:r>
      <w:r w:rsidR="00D6705C">
        <w:rPr>
          <w:rFonts w:asciiTheme="minorHAnsi" w:hAnsiTheme="minorHAnsi"/>
        </w:rPr>
        <w:t>)</w:t>
      </w:r>
      <w:r w:rsidR="009D51A3" w:rsidRPr="00A0799B">
        <w:rPr>
          <w:rFonts w:asciiTheme="minorHAnsi" w:hAnsiTheme="minorHAnsi"/>
        </w:rPr>
        <w:t xml:space="preserve"> populations differed substantially in terms of disease stage and lines of therapy</w:t>
      </w:r>
      <w:r w:rsidR="009D51A3">
        <w:rPr>
          <w:rFonts w:asciiTheme="minorHAnsi" w:hAnsiTheme="minorHAnsi"/>
        </w:rPr>
        <w:t xml:space="preserve"> and hence the </w:t>
      </w:r>
      <w:r w:rsidR="009D51A3" w:rsidRPr="00A0799B">
        <w:rPr>
          <w:rFonts w:asciiTheme="minorHAnsi" w:hAnsiTheme="minorHAnsi"/>
        </w:rPr>
        <w:t>efficacy of BR</w:t>
      </w:r>
      <w:r w:rsidR="009D51A3">
        <w:rPr>
          <w:rFonts w:asciiTheme="minorHAnsi" w:hAnsiTheme="minorHAnsi"/>
        </w:rPr>
        <w:t xml:space="preserve"> reported</w:t>
      </w:r>
      <w:r w:rsidR="009D51A3" w:rsidRPr="00A0799B">
        <w:rPr>
          <w:rFonts w:asciiTheme="minorHAnsi" w:hAnsiTheme="minorHAnsi"/>
        </w:rPr>
        <w:t xml:space="preserve"> in </w:t>
      </w:r>
      <w:proofErr w:type="spellStart"/>
      <w:r w:rsidR="009D51A3" w:rsidRPr="00A0799B">
        <w:rPr>
          <w:rFonts w:asciiTheme="minorHAnsi" w:hAnsiTheme="minorHAnsi"/>
        </w:rPr>
        <w:t>Ittu</w:t>
      </w:r>
      <w:proofErr w:type="spellEnd"/>
      <w:r w:rsidR="009D51A3" w:rsidRPr="00A0799B">
        <w:rPr>
          <w:rFonts w:asciiTheme="minorHAnsi" w:hAnsiTheme="minorHAnsi"/>
        </w:rPr>
        <w:t xml:space="preserve"> (2018) was not applicable to the BR treatment arm in GO29365</w:t>
      </w:r>
      <w:r w:rsidR="009D51A3">
        <w:rPr>
          <w:rFonts w:asciiTheme="minorHAnsi" w:hAnsiTheme="minorHAnsi"/>
        </w:rPr>
        <w:t>.</w:t>
      </w:r>
    </w:p>
    <w:p w:rsidR="00CB1B79" w:rsidRPr="00CB1B79" w:rsidRDefault="005A3CB0" w:rsidP="008D0503">
      <w:pPr>
        <w:numPr>
          <w:ilvl w:val="1"/>
          <w:numId w:val="2"/>
        </w:numPr>
        <w:spacing w:after="120"/>
      </w:pPr>
      <w:r w:rsidRPr="00A0799B">
        <w:t xml:space="preserve">The </w:t>
      </w:r>
      <w:r w:rsidR="00D6705C">
        <w:t xml:space="preserve">PBAC considered the </w:t>
      </w:r>
      <w:r w:rsidRPr="00A0799B">
        <w:t>results from the randomised phase of the GO29365</w:t>
      </w:r>
      <w:r w:rsidR="00D6705C">
        <w:t xml:space="preserve"> trial</w:t>
      </w:r>
      <w:r w:rsidRPr="00A0799B">
        <w:t xml:space="preserve">, which compared </w:t>
      </w:r>
      <w:proofErr w:type="spellStart"/>
      <w:r w:rsidRPr="00A0799B">
        <w:t>Pola+BR</w:t>
      </w:r>
      <w:proofErr w:type="spellEnd"/>
      <w:r w:rsidRPr="00A0799B">
        <w:t xml:space="preserve"> with BR,</w:t>
      </w:r>
      <w:r w:rsidR="00D6705C">
        <w:t xml:space="preserve"> to be</w:t>
      </w:r>
      <w:r w:rsidRPr="00A0799B">
        <w:t xml:space="preserve"> unreliable given the small numbers of patients and the dissimilarities in baseline prognostic factors between treatment arms. </w:t>
      </w:r>
      <w:r w:rsidR="00A278BB" w:rsidRPr="00C205B8">
        <w:rPr>
          <w:rFonts w:asciiTheme="minorHAnsi" w:hAnsiTheme="minorHAnsi" w:cstheme="minorHAnsi"/>
        </w:rPr>
        <w:t xml:space="preserve">The PBAC agreed with the ESC that the imbalances evident were not adequately addressed by the </w:t>
      </w:r>
      <w:r w:rsidR="00A278BB" w:rsidRPr="005A3CB0">
        <w:t>multiple Cox-regression</w:t>
      </w:r>
      <w:r w:rsidR="00A278BB">
        <w:t xml:space="preserve"> analyses for IPI score</w:t>
      </w:r>
      <w:r w:rsidR="00A278BB" w:rsidRPr="005A3CB0">
        <w:t xml:space="preserve"> </w:t>
      </w:r>
      <w:r w:rsidR="00A278BB">
        <w:t xml:space="preserve">as the greatest imbalances </w:t>
      </w:r>
      <w:r w:rsidR="00A278BB" w:rsidRPr="005A3CB0">
        <w:t xml:space="preserve">between </w:t>
      </w:r>
      <w:proofErr w:type="spellStart"/>
      <w:proofErr w:type="gramStart"/>
      <w:r w:rsidR="00A278BB" w:rsidRPr="005A3CB0">
        <w:t>Pola+BR</w:t>
      </w:r>
      <w:proofErr w:type="spellEnd"/>
      <w:proofErr w:type="gramEnd"/>
      <w:r w:rsidR="00A278BB" w:rsidRPr="005A3CB0">
        <w:t xml:space="preserve"> and BR treatment arms</w:t>
      </w:r>
      <w:r w:rsidR="00A278BB">
        <w:t xml:space="preserve"> were not accurately represented</w:t>
      </w:r>
      <w:r w:rsidR="00A278BB" w:rsidRPr="005A3CB0">
        <w:t>.</w:t>
      </w:r>
      <w:r w:rsidR="00A278BB">
        <w:t xml:space="preserve"> </w:t>
      </w:r>
      <w:r w:rsidRPr="00A0799B">
        <w:t xml:space="preserve">The </w:t>
      </w:r>
      <w:r w:rsidR="00D6705C">
        <w:t xml:space="preserve">PBAC </w:t>
      </w:r>
      <w:r w:rsidR="00A278BB">
        <w:t xml:space="preserve">also </w:t>
      </w:r>
      <w:r w:rsidR="004841B4">
        <w:t xml:space="preserve">noted the pre-PBAC </w:t>
      </w:r>
      <w:r w:rsidR="005A66C9">
        <w:t xml:space="preserve">response’s </w:t>
      </w:r>
      <w:r w:rsidR="004841B4">
        <w:t xml:space="preserve">argument that </w:t>
      </w:r>
      <w:r w:rsidR="004841B4">
        <w:rPr>
          <w:rFonts w:asciiTheme="minorHAnsi" w:hAnsiTheme="minorHAnsi" w:cstheme="minorHAnsi"/>
        </w:rPr>
        <w:t xml:space="preserve">the differences between baseline prognostic factors, in particular International Prognostic Index (IPI) scores and bulky disease, were not statistically significantly different. The PBAC considered that small patient numbers likely contributed to the </w:t>
      </w:r>
      <w:r w:rsidR="00AF320E">
        <w:rPr>
          <w:rFonts w:asciiTheme="minorHAnsi" w:hAnsiTheme="minorHAnsi" w:cstheme="minorHAnsi"/>
        </w:rPr>
        <w:t>lack of</w:t>
      </w:r>
      <w:r w:rsidR="00FA6AC6">
        <w:rPr>
          <w:rFonts w:asciiTheme="minorHAnsi" w:hAnsiTheme="minorHAnsi" w:cstheme="minorHAnsi"/>
        </w:rPr>
        <w:t xml:space="preserve"> </w:t>
      </w:r>
      <w:r w:rsidR="004629AD">
        <w:rPr>
          <w:rFonts w:asciiTheme="minorHAnsi" w:hAnsiTheme="minorHAnsi" w:cstheme="minorHAnsi"/>
        </w:rPr>
        <w:t xml:space="preserve">statistically </w:t>
      </w:r>
      <w:r w:rsidR="00FA6AC6">
        <w:rPr>
          <w:rFonts w:asciiTheme="minorHAnsi" w:hAnsiTheme="minorHAnsi" w:cstheme="minorHAnsi"/>
        </w:rPr>
        <w:t>s</w:t>
      </w:r>
      <w:r w:rsidR="004841B4">
        <w:rPr>
          <w:rFonts w:asciiTheme="minorHAnsi" w:hAnsiTheme="minorHAnsi" w:cstheme="minorHAnsi"/>
        </w:rPr>
        <w:t>ignificant difference</w:t>
      </w:r>
      <w:r w:rsidR="00833D1F">
        <w:rPr>
          <w:rFonts w:asciiTheme="minorHAnsi" w:hAnsiTheme="minorHAnsi" w:cstheme="minorHAnsi"/>
        </w:rPr>
        <w:t xml:space="preserve"> between treatment arms</w:t>
      </w:r>
      <w:r w:rsidR="004841B4">
        <w:rPr>
          <w:rFonts w:asciiTheme="minorHAnsi" w:hAnsiTheme="minorHAnsi" w:cstheme="minorHAnsi"/>
        </w:rPr>
        <w:t>.</w:t>
      </w:r>
      <w:r w:rsidR="00FA6AC6">
        <w:rPr>
          <w:rFonts w:asciiTheme="minorHAnsi" w:hAnsiTheme="minorHAnsi" w:cstheme="minorHAnsi"/>
        </w:rPr>
        <w:t xml:space="preserve"> </w:t>
      </w:r>
      <w:r w:rsidR="00AC6AF3">
        <w:rPr>
          <w:rFonts w:asciiTheme="minorHAnsi" w:hAnsiTheme="minorHAnsi" w:cstheme="minorHAnsi"/>
        </w:rPr>
        <w:t>In addition, t</w:t>
      </w:r>
      <w:r w:rsidR="00A11489">
        <w:rPr>
          <w:rFonts w:asciiTheme="minorHAnsi" w:hAnsiTheme="minorHAnsi" w:cstheme="minorHAnsi"/>
        </w:rPr>
        <w:t xml:space="preserve">he PBAC </w:t>
      </w:r>
      <w:r w:rsidR="006D7D7E">
        <w:rPr>
          <w:rFonts w:asciiTheme="minorHAnsi" w:hAnsiTheme="minorHAnsi" w:cstheme="minorHAnsi"/>
        </w:rPr>
        <w:t xml:space="preserve">considered the </w:t>
      </w:r>
      <w:r w:rsidR="004629AD">
        <w:rPr>
          <w:rFonts w:asciiTheme="minorHAnsi" w:hAnsiTheme="minorHAnsi" w:cstheme="minorHAnsi"/>
        </w:rPr>
        <w:t xml:space="preserve">nearly </w:t>
      </w:r>
      <w:r w:rsidR="00833D1F">
        <w:rPr>
          <w:rFonts w:asciiTheme="minorHAnsi" w:hAnsiTheme="minorHAnsi" w:cstheme="minorHAnsi"/>
        </w:rPr>
        <w:t xml:space="preserve">2-fold higher proportion of patients with </w:t>
      </w:r>
      <w:r w:rsidR="006D7D7E">
        <w:rPr>
          <w:rFonts w:asciiTheme="minorHAnsi" w:hAnsiTheme="minorHAnsi" w:cstheme="minorHAnsi"/>
        </w:rPr>
        <w:t xml:space="preserve">IPI score </w:t>
      </w:r>
      <w:r w:rsidR="00FA6AC6">
        <w:rPr>
          <w:rFonts w:asciiTheme="minorHAnsi" w:hAnsiTheme="minorHAnsi" w:cstheme="minorHAnsi"/>
        </w:rPr>
        <w:t xml:space="preserve">of 4-5 </w:t>
      </w:r>
      <w:r w:rsidR="00833D1F">
        <w:rPr>
          <w:rFonts w:asciiTheme="minorHAnsi" w:hAnsiTheme="minorHAnsi" w:cstheme="minorHAnsi"/>
        </w:rPr>
        <w:t>in the BR arm</w:t>
      </w:r>
      <w:r w:rsidR="00A11489">
        <w:rPr>
          <w:rFonts w:asciiTheme="minorHAnsi" w:hAnsiTheme="minorHAnsi" w:cstheme="minorHAnsi"/>
        </w:rPr>
        <w:t xml:space="preserve"> </w:t>
      </w:r>
      <w:r w:rsidR="00CE70F7">
        <w:rPr>
          <w:rFonts w:asciiTheme="minorHAnsi" w:hAnsiTheme="minorHAnsi" w:cstheme="minorHAnsi"/>
        </w:rPr>
        <w:t>would likely affect treatment outcomes</w:t>
      </w:r>
      <w:r w:rsidR="0002203B">
        <w:rPr>
          <w:rFonts w:asciiTheme="minorHAnsi" w:hAnsiTheme="minorHAnsi" w:cstheme="minorHAnsi"/>
        </w:rPr>
        <w:t xml:space="preserve"> despite the lack of an observed statistically significant difference</w:t>
      </w:r>
      <w:r w:rsidR="008D0503">
        <w:rPr>
          <w:rFonts w:asciiTheme="minorHAnsi" w:hAnsiTheme="minorHAnsi" w:cstheme="minorHAnsi"/>
        </w:rPr>
        <w:t>.</w:t>
      </w:r>
      <w:r w:rsidR="00C205B8">
        <w:rPr>
          <w:rFonts w:asciiTheme="minorHAnsi" w:hAnsiTheme="minorHAnsi" w:cstheme="minorHAnsi"/>
        </w:rPr>
        <w:t xml:space="preserve"> The PBAC concluded that </w:t>
      </w:r>
      <w:r w:rsidR="00B31135">
        <w:rPr>
          <w:rFonts w:asciiTheme="minorHAnsi" w:hAnsiTheme="minorHAnsi" w:cstheme="minorHAnsi"/>
        </w:rPr>
        <w:t xml:space="preserve">randomisation in the GO29365 trial did not appear successful with </w:t>
      </w:r>
      <w:r w:rsidR="00C205B8">
        <w:rPr>
          <w:rFonts w:asciiTheme="minorHAnsi" w:hAnsiTheme="minorHAnsi" w:cstheme="minorHAnsi"/>
        </w:rPr>
        <w:t xml:space="preserve">the differences in baseline prognostic factors </w:t>
      </w:r>
      <w:r w:rsidR="00B31135">
        <w:rPr>
          <w:rFonts w:asciiTheme="minorHAnsi" w:hAnsiTheme="minorHAnsi" w:cstheme="minorHAnsi"/>
        </w:rPr>
        <w:t>biased in favour</w:t>
      </w:r>
      <w:r w:rsidR="00C205B8">
        <w:rPr>
          <w:rFonts w:asciiTheme="minorHAnsi" w:hAnsiTheme="minorHAnsi" w:cstheme="minorHAnsi"/>
        </w:rPr>
        <w:t xml:space="preserve"> </w:t>
      </w:r>
      <w:r w:rsidR="00B31135">
        <w:rPr>
          <w:rFonts w:asciiTheme="minorHAnsi" w:hAnsiTheme="minorHAnsi" w:cstheme="minorHAnsi"/>
        </w:rPr>
        <w:t xml:space="preserve">of </w:t>
      </w:r>
      <w:proofErr w:type="spellStart"/>
      <w:r w:rsidR="00C205B8">
        <w:rPr>
          <w:rFonts w:asciiTheme="minorHAnsi" w:hAnsiTheme="minorHAnsi" w:cstheme="minorHAnsi"/>
        </w:rPr>
        <w:t>Pola+BR</w:t>
      </w:r>
      <w:proofErr w:type="spellEnd"/>
      <w:r w:rsidR="00B31135">
        <w:rPr>
          <w:rFonts w:asciiTheme="minorHAnsi" w:hAnsiTheme="minorHAnsi" w:cstheme="minorHAnsi"/>
        </w:rPr>
        <w:t xml:space="preserve"> as patients in the BR arm were likely to be sicker or have a poorer prognosis</w:t>
      </w:r>
      <w:r w:rsidR="00C205B8">
        <w:rPr>
          <w:rFonts w:asciiTheme="minorHAnsi" w:hAnsiTheme="minorHAnsi" w:cstheme="minorHAnsi"/>
        </w:rPr>
        <w:t xml:space="preserve">. </w:t>
      </w:r>
    </w:p>
    <w:p w:rsidR="00C345BC" w:rsidRDefault="00CE70F7" w:rsidP="00C205B8">
      <w:pPr>
        <w:numPr>
          <w:ilvl w:val="1"/>
          <w:numId w:val="2"/>
        </w:numPr>
        <w:spacing w:after="120"/>
      </w:pPr>
      <w:r>
        <w:rPr>
          <w:rFonts w:asciiTheme="minorHAnsi" w:hAnsiTheme="minorHAnsi" w:cstheme="minorHAnsi"/>
        </w:rPr>
        <w:t xml:space="preserve">The PBAC noted that the GO29365 trial reported treatment benefits for </w:t>
      </w:r>
      <w:proofErr w:type="spellStart"/>
      <w:r>
        <w:rPr>
          <w:rFonts w:asciiTheme="minorHAnsi" w:hAnsiTheme="minorHAnsi" w:cstheme="minorHAnsi"/>
        </w:rPr>
        <w:t>Pola+BR</w:t>
      </w:r>
      <w:proofErr w:type="spellEnd"/>
      <w:r>
        <w:rPr>
          <w:rFonts w:asciiTheme="minorHAnsi" w:hAnsiTheme="minorHAnsi" w:cstheme="minorHAnsi"/>
        </w:rPr>
        <w:t xml:space="preserve"> over BR alone for complete response</w:t>
      </w:r>
      <w:r w:rsidR="00C205B8">
        <w:rPr>
          <w:rFonts w:asciiTheme="minorHAnsi" w:hAnsiTheme="minorHAnsi" w:cstheme="minorHAnsi"/>
        </w:rPr>
        <w:t xml:space="preserve"> (CR)</w:t>
      </w:r>
      <w:r>
        <w:rPr>
          <w:rFonts w:asciiTheme="minorHAnsi" w:hAnsiTheme="minorHAnsi" w:cstheme="minorHAnsi"/>
        </w:rPr>
        <w:t>, progression-free survival</w:t>
      </w:r>
      <w:r w:rsidR="00C205B8">
        <w:rPr>
          <w:rFonts w:asciiTheme="minorHAnsi" w:hAnsiTheme="minorHAnsi" w:cstheme="minorHAnsi"/>
        </w:rPr>
        <w:t xml:space="preserve"> (PFS)</w:t>
      </w:r>
      <w:r w:rsidR="00616DDB">
        <w:rPr>
          <w:rFonts w:asciiTheme="minorHAnsi" w:hAnsiTheme="minorHAnsi" w:cstheme="minorHAnsi"/>
        </w:rPr>
        <w:t xml:space="preserve"> and OS</w:t>
      </w:r>
      <w:r>
        <w:rPr>
          <w:rFonts w:asciiTheme="minorHAnsi" w:hAnsiTheme="minorHAnsi" w:cstheme="minorHAnsi"/>
        </w:rPr>
        <w:t xml:space="preserve">. However, </w:t>
      </w:r>
      <w:r w:rsidR="005A66C9">
        <w:rPr>
          <w:rFonts w:asciiTheme="minorHAnsi" w:hAnsiTheme="minorHAnsi" w:cstheme="minorHAnsi"/>
        </w:rPr>
        <w:t xml:space="preserve">the </w:t>
      </w:r>
      <w:r>
        <w:t xml:space="preserve">PBAC considered that the </w:t>
      </w:r>
      <w:r w:rsidRPr="00A0799B">
        <w:t xml:space="preserve">imbalance in prognostic factors makes it difficult to determine whether the observed treatment effect is attributable to </w:t>
      </w:r>
      <w:proofErr w:type="spellStart"/>
      <w:r w:rsidRPr="00A0799B">
        <w:t>Pola+BR</w:t>
      </w:r>
      <w:proofErr w:type="spellEnd"/>
      <w:r>
        <w:t>.</w:t>
      </w:r>
      <w:r w:rsidR="00C205B8">
        <w:t xml:space="preserve"> </w:t>
      </w:r>
      <w:r w:rsidR="00176BE2" w:rsidRPr="005A3CB0">
        <w:t xml:space="preserve">The </w:t>
      </w:r>
      <w:r w:rsidR="00176BE2">
        <w:t xml:space="preserve">PBAC concluded </w:t>
      </w:r>
      <w:r w:rsidR="00176BE2" w:rsidRPr="005A3CB0">
        <w:t xml:space="preserve">that the validity of the clinical effectiveness data presented was uncertain as the results were likely confounded in favour of </w:t>
      </w:r>
      <w:proofErr w:type="spellStart"/>
      <w:r w:rsidR="00176BE2" w:rsidRPr="005A3CB0">
        <w:t>Pola+BR</w:t>
      </w:r>
      <w:proofErr w:type="spellEnd"/>
      <w:r w:rsidR="005A66C9">
        <w:t>.</w:t>
      </w:r>
    </w:p>
    <w:p w:rsidR="00176BE2" w:rsidRPr="005B750F" w:rsidRDefault="00176BE2" w:rsidP="00176BE2">
      <w:pPr>
        <w:pStyle w:val="ListParagraph"/>
        <w:widowControl/>
        <w:numPr>
          <w:ilvl w:val="1"/>
          <w:numId w:val="2"/>
        </w:numPr>
      </w:pPr>
      <w:r w:rsidRPr="00502F52">
        <w:rPr>
          <w:rFonts w:asciiTheme="minorHAnsi" w:hAnsiTheme="minorHAnsi"/>
        </w:rPr>
        <w:t xml:space="preserve">Due to concerns regarding the appropriateness of </w:t>
      </w:r>
      <w:r w:rsidRPr="00502F52">
        <w:rPr>
          <w:rFonts w:cs="Calibri"/>
          <w:snapToGrid/>
          <w:szCs w:val="24"/>
          <w:lang w:val="en-US" w:eastAsia="en-AU"/>
        </w:rPr>
        <w:t>BR as the nominated comparator</w:t>
      </w:r>
      <w:r w:rsidR="00316709">
        <w:rPr>
          <w:rFonts w:cs="Calibri"/>
          <w:snapToGrid/>
          <w:szCs w:val="24"/>
          <w:lang w:val="en-US" w:eastAsia="en-AU"/>
        </w:rPr>
        <w:t xml:space="preserve">, </w:t>
      </w:r>
      <w:r w:rsidRPr="00502F52">
        <w:rPr>
          <w:rFonts w:cs="Calibri"/>
          <w:snapToGrid/>
          <w:szCs w:val="24"/>
          <w:lang w:val="en-US" w:eastAsia="en-AU"/>
        </w:rPr>
        <w:t>the likely impact of confounding</w:t>
      </w:r>
      <w:r w:rsidR="00796A0C">
        <w:rPr>
          <w:rFonts w:cs="Calibri"/>
          <w:snapToGrid/>
          <w:szCs w:val="24"/>
          <w:lang w:val="en-US" w:eastAsia="en-AU"/>
        </w:rPr>
        <w:t xml:space="preserve"> factors</w:t>
      </w:r>
      <w:r w:rsidRPr="00502F52">
        <w:rPr>
          <w:rFonts w:cs="Calibri"/>
          <w:snapToGrid/>
          <w:szCs w:val="24"/>
          <w:lang w:val="en-US" w:eastAsia="en-AU"/>
        </w:rPr>
        <w:t xml:space="preserve"> on the clinical benefit obser</w:t>
      </w:r>
      <w:r>
        <w:rPr>
          <w:rFonts w:cs="Calibri"/>
          <w:snapToGrid/>
          <w:szCs w:val="24"/>
          <w:lang w:val="en-US" w:eastAsia="en-AU"/>
        </w:rPr>
        <w:t>ved in the G029365 trial</w:t>
      </w:r>
      <w:r w:rsidR="00316709">
        <w:rPr>
          <w:rFonts w:cs="Calibri"/>
          <w:snapToGrid/>
          <w:szCs w:val="24"/>
          <w:lang w:val="en-US" w:eastAsia="en-AU"/>
        </w:rPr>
        <w:t xml:space="preserve"> and small patient numbers</w:t>
      </w:r>
      <w:r>
        <w:rPr>
          <w:rFonts w:cs="Calibri"/>
          <w:snapToGrid/>
          <w:szCs w:val="24"/>
          <w:lang w:val="en-US" w:eastAsia="en-AU"/>
        </w:rPr>
        <w:t xml:space="preserve"> </w:t>
      </w:r>
      <w:r w:rsidR="00316709">
        <w:rPr>
          <w:rFonts w:cs="Calibri"/>
          <w:snapToGrid/>
          <w:szCs w:val="24"/>
          <w:lang w:val="en-US" w:eastAsia="en-AU"/>
        </w:rPr>
        <w:t xml:space="preserve">in the trial, </w:t>
      </w:r>
      <w:r>
        <w:rPr>
          <w:rFonts w:cs="Calibri"/>
          <w:snapToGrid/>
          <w:szCs w:val="24"/>
          <w:lang w:val="en-US" w:eastAsia="en-AU"/>
        </w:rPr>
        <w:t>the PBAC</w:t>
      </w:r>
      <w:r w:rsidRPr="00502F52">
        <w:rPr>
          <w:rFonts w:cs="Calibri"/>
          <w:snapToGrid/>
          <w:szCs w:val="24"/>
          <w:lang w:val="en-US" w:eastAsia="en-AU"/>
        </w:rPr>
        <w:t xml:space="preserve"> considered that the clinical claim was not adequately supported by the evidence presented in the submission. </w:t>
      </w:r>
    </w:p>
    <w:p w:rsidR="00176BE2" w:rsidRDefault="00616DDB" w:rsidP="00C205B8">
      <w:pPr>
        <w:numPr>
          <w:ilvl w:val="1"/>
          <w:numId w:val="2"/>
        </w:numPr>
        <w:spacing w:after="120"/>
      </w:pPr>
      <w:r>
        <w:lastRenderedPageBreak/>
        <w:t>The PBAC noted the</w:t>
      </w:r>
      <w:r w:rsidR="00316709">
        <w:t xml:space="preserve"> higher rate of Grade 3-4 adverse events (AEs), AEs leading to discontinuation of any study drug, Grade </w:t>
      </w:r>
      <w:r w:rsidR="00316709">
        <w:rPr>
          <w:rFonts w:cs="Calibri"/>
        </w:rPr>
        <w:t>≥</w:t>
      </w:r>
      <w:r w:rsidR="00316709">
        <w:t xml:space="preserve"> 3 neutropenia and peripheral neuropathy in the </w:t>
      </w:r>
      <w:r w:rsidR="00F953C2">
        <w:t xml:space="preserve">randomised </w:t>
      </w:r>
      <w:proofErr w:type="spellStart"/>
      <w:r w:rsidR="00F953C2">
        <w:t>Pola+BR</w:t>
      </w:r>
      <w:proofErr w:type="spellEnd"/>
      <w:r w:rsidR="00F953C2">
        <w:t xml:space="preserve"> arm of the GO29365 trial compared to the BR arm. However, the PBAC considered </w:t>
      </w:r>
      <w:r w:rsidR="002F32A0">
        <w:t xml:space="preserve">that the relative safety may differ in clinical practice as the </w:t>
      </w:r>
      <w:r w:rsidR="00F953C2">
        <w:t>imbalance in baseline prognostic factors outlined in paragraph 7.5</w:t>
      </w:r>
      <w:r w:rsidR="00C9573D">
        <w:t xml:space="preserve"> raises concerns regarding the true </w:t>
      </w:r>
      <w:r>
        <w:t xml:space="preserve">incidence of </w:t>
      </w:r>
      <w:r w:rsidR="00C9573D">
        <w:t xml:space="preserve">AE reported for </w:t>
      </w:r>
      <w:proofErr w:type="spellStart"/>
      <w:r w:rsidR="00C9573D">
        <w:t>Pola+BR</w:t>
      </w:r>
      <w:proofErr w:type="spellEnd"/>
      <w:r w:rsidR="00F953C2">
        <w:t xml:space="preserve">. </w:t>
      </w:r>
    </w:p>
    <w:p w:rsidR="0089782A" w:rsidRDefault="0089782A" w:rsidP="00C205B8">
      <w:pPr>
        <w:numPr>
          <w:ilvl w:val="1"/>
          <w:numId w:val="2"/>
        </w:numPr>
        <w:spacing w:after="120"/>
      </w:pPr>
      <w:r>
        <w:t>In addition, the PBAC was concerned regarding the applicability of the GO29365 trial to the proposed Australian PBS population. The PBAC noted the latter is likely to be older and have more comorbidities than participants in</w:t>
      </w:r>
      <w:r w:rsidR="00616DDB">
        <w:t xml:space="preserve"> the</w:t>
      </w:r>
      <w:r>
        <w:t xml:space="preserve"> GO29365 trial</w:t>
      </w:r>
      <w:r w:rsidR="00616DDB">
        <w:t>,</w:t>
      </w:r>
      <w:r w:rsidR="00356EB4">
        <w:t xml:space="preserve"> potentially leading to an overestimation of the efficacy and an underestimation of the AEs that would be observed in clinical practice with </w:t>
      </w:r>
      <w:proofErr w:type="spellStart"/>
      <w:r w:rsidR="00356EB4">
        <w:t>Pola+BR</w:t>
      </w:r>
      <w:proofErr w:type="spellEnd"/>
      <w:r w:rsidR="00356EB4">
        <w:t xml:space="preserve">. </w:t>
      </w:r>
    </w:p>
    <w:p w:rsidR="000A1CAA" w:rsidRDefault="0089782A" w:rsidP="009817B1">
      <w:pPr>
        <w:numPr>
          <w:ilvl w:val="1"/>
          <w:numId w:val="2"/>
        </w:numPr>
        <w:spacing w:after="120"/>
        <w:rPr>
          <w:rFonts w:asciiTheme="minorHAnsi" w:hAnsiTheme="minorHAnsi"/>
          <w:bCs/>
          <w:lang w:val="en-GB"/>
        </w:rPr>
      </w:pPr>
      <w:r w:rsidRPr="0089782A">
        <w:rPr>
          <w:rFonts w:asciiTheme="minorHAnsi" w:hAnsiTheme="minorHAnsi"/>
          <w:bCs/>
          <w:lang w:val="en-GB"/>
        </w:rPr>
        <w:t xml:space="preserve">The </w:t>
      </w:r>
      <w:r w:rsidR="00273782">
        <w:rPr>
          <w:rFonts w:asciiTheme="minorHAnsi" w:hAnsiTheme="minorHAnsi"/>
          <w:bCs/>
          <w:lang w:val="en-GB"/>
        </w:rPr>
        <w:t xml:space="preserve">PBAC considered </w:t>
      </w:r>
      <w:r w:rsidR="004E725F">
        <w:rPr>
          <w:rFonts w:asciiTheme="minorHAnsi" w:hAnsiTheme="minorHAnsi"/>
          <w:bCs/>
          <w:lang w:val="en-GB"/>
        </w:rPr>
        <w:t xml:space="preserve">that </w:t>
      </w:r>
      <w:r w:rsidR="00273782">
        <w:rPr>
          <w:rFonts w:asciiTheme="minorHAnsi" w:hAnsiTheme="minorHAnsi"/>
          <w:bCs/>
          <w:lang w:val="en-GB"/>
        </w:rPr>
        <w:t xml:space="preserve">the economic model </w:t>
      </w:r>
      <w:r w:rsidR="004E725F">
        <w:rPr>
          <w:rFonts w:asciiTheme="minorHAnsi" w:hAnsiTheme="minorHAnsi"/>
          <w:bCs/>
          <w:lang w:val="en-GB"/>
        </w:rPr>
        <w:t xml:space="preserve">was </w:t>
      </w:r>
      <w:r w:rsidR="00273782">
        <w:rPr>
          <w:rFonts w:asciiTheme="minorHAnsi" w:hAnsiTheme="minorHAnsi"/>
          <w:bCs/>
          <w:lang w:val="en-GB"/>
        </w:rPr>
        <w:t>unreliable due to the uncertainties in the underpinning clinical data from the GO29365 trial</w:t>
      </w:r>
      <w:r w:rsidR="00AB11C9">
        <w:rPr>
          <w:rFonts w:asciiTheme="minorHAnsi" w:hAnsiTheme="minorHAnsi"/>
          <w:bCs/>
          <w:lang w:val="en-GB"/>
        </w:rPr>
        <w:t xml:space="preserve"> and the use of BR as the nominated comparator</w:t>
      </w:r>
      <w:r w:rsidR="00273782">
        <w:rPr>
          <w:rFonts w:asciiTheme="minorHAnsi" w:hAnsiTheme="minorHAnsi"/>
          <w:bCs/>
          <w:lang w:val="en-GB"/>
        </w:rPr>
        <w:t xml:space="preserve">. </w:t>
      </w:r>
      <w:r w:rsidR="00E72199" w:rsidRPr="003B604A">
        <w:rPr>
          <w:rFonts w:asciiTheme="minorHAnsi" w:hAnsiTheme="minorHAnsi"/>
          <w:bCs/>
          <w:lang w:val="en-GB"/>
        </w:rPr>
        <w:t>In addition,</w:t>
      </w:r>
      <w:r w:rsidR="003B604A">
        <w:rPr>
          <w:rFonts w:asciiTheme="minorHAnsi" w:hAnsiTheme="minorHAnsi"/>
          <w:bCs/>
          <w:lang w:val="en-GB"/>
        </w:rPr>
        <w:t xml:space="preserve"> </w:t>
      </w:r>
      <w:r w:rsidR="009817B1">
        <w:rPr>
          <w:rFonts w:asciiTheme="minorHAnsi" w:hAnsiTheme="minorHAnsi"/>
          <w:bCs/>
          <w:lang w:val="en-GB"/>
        </w:rPr>
        <w:t xml:space="preserve">the PBAC </w:t>
      </w:r>
      <w:r w:rsidR="009817B1" w:rsidRPr="009817B1">
        <w:rPr>
          <w:rFonts w:asciiTheme="minorHAnsi" w:hAnsiTheme="minorHAnsi"/>
          <w:bCs/>
          <w:lang w:val="en-GB"/>
        </w:rPr>
        <w:t>considered that the extrapolation of unreliable trial data from G029365 (with a mean duration of follow-up of 10.3 month) to 15 years further increased the uncertainty in the cost-effectiveness estimates</w:t>
      </w:r>
      <w:r w:rsidR="009817B1">
        <w:rPr>
          <w:rFonts w:asciiTheme="minorHAnsi" w:hAnsiTheme="minorHAnsi"/>
          <w:bCs/>
          <w:lang w:val="en-GB"/>
        </w:rPr>
        <w:t>. T</w:t>
      </w:r>
      <w:r w:rsidR="003B604A">
        <w:rPr>
          <w:rFonts w:asciiTheme="minorHAnsi" w:hAnsiTheme="minorHAnsi"/>
          <w:bCs/>
          <w:lang w:val="en-GB"/>
        </w:rPr>
        <w:t xml:space="preserve">he PBAC </w:t>
      </w:r>
      <w:r w:rsidR="009817B1">
        <w:rPr>
          <w:rFonts w:asciiTheme="minorHAnsi" w:hAnsiTheme="minorHAnsi"/>
          <w:bCs/>
          <w:lang w:val="en-GB"/>
        </w:rPr>
        <w:t xml:space="preserve">considered that the </w:t>
      </w:r>
      <w:r w:rsidR="003B604A">
        <w:rPr>
          <w:rFonts w:asciiTheme="minorHAnsi" w:hAnsiTheme="minorHAnsi"/>
          <w:bCs/>
          <w:lang w:val="en-GB"/>
        </w:rPr>
        <w:t>model</w:t>
      </w:r>
      <w:r w:rsidR="009817B1">
        <w:rPr>
          <w:rFonts w:asciiTheme="minorHAnsi" w:hAnsiTheme="minorHAnsi"/>
          <w:bCs/>
          <w:lang w:val="en-GB"/>
        </w:rPr>
        <w:t>’s</w:t>
      </w:r>
      <w:r w:rsidR="003B604A">
        <w:rPr>
          <w:rFonts w:asciiTheme="minorHAnsi" w:hAnsiTheme="minorHAnsi"/>
          <w:bCs/>
          <w:lang w:val="en-GB"/>
        </w:rPr>
        <w:t xml:space="preserve"> </w:t>
      </w:r>
      <w:r w:rsidRPr="003B604A">
        <w:rPr>
          <w:rFonts w:asciiTheme="minorHAnsi" w:hAnsiTheme="minorHAnsi"/>
          <w:bCs/>
          <w:lang w:val="en-GB"/>
        </w:rPr>
        <w:t>assum</w:t>
      </w:r>
      <w:r w:rsidR="009817B1">
        <w:rPr>
          <w:rFonts w:asciiTheme="minorHAnsi" w:hAnsiTheme="minorHAnsi"/>
          <w:bCs/>
          <w:lang w:val="en-GB"/>
        </w:rPr>
        <w:t>ption of</w:t>
      </w:r>
      <w:r w:rsidRPr="003B604A">
        <w:rPr>
          <w:rFonts w:asciiTheme="minorHAnsi" w:hAnsiTheme="minorHAnsi"/>
          <w:bCs/>
          <w:lang w:val="en-GB"/>
        </w:rPr>
        <w:t xml:space="preserve"> a continued treatment effect of </w:t>
      </w:r>
      <w:proofErr w:type="spellStart"/>
      <w:r w:rsidRPr="003B604A">
        <w:rPr>
          <w:rFonts w:asciiTheme="minorHAnsi" w:hAnsiTheme="minorHAnsi"/>
          <w:bCs/>
          <w:lang w:val="en-GB"/>
        </w:rPr>
        <w:t>Pola+BR</w:t>
      </w:r>
      <w:proofErr w:type="spellEnd"/>
      <w:r w:rsidRPr="003B604A">
        <w:rPr>
          <w:rFonts w:asciiTheme="minorHAnsi" w:hAnsiTheme="minorHAnsi"/>
          <w:bCs/>
          <w:lang w:val="en-GB"/>
        </w:rPr>
        <w:t xml:space="preserve"> ve</w:t>
      </w:r>
      <w:r w:rsidR="00947DD9" w:rsidRPr="003B604A">
        <w:rPr>
          <w:rFonts w:asciiTheme="minorHAnsi" w:hAnsiTheme="minorHAnsi"/>
          <w:bCs/>
          <w:lang w:val="en-GB"/>
        </w:rPr>
        <w:t xml:space="preserve">rsus BR throughout the modelled </w:t>
      </w:r>
      <w:r w:rsidRPr="003B604A">
        <w:rPr>
          <w:rFonts w:asciiTheme="minorHAnsi" w:hAnsiTheme="minorHAnsi"/>
          <w:bCs/>
          <w:lang w:val="en-GB"/>
        </w:rPr>
        <w:t>time horiz</w:t>
      </w:r>
      <w:r w:rsidR="00E72199" w:rsidRPr="003B604A">
        <w:rPr>
          <w:rFonts w:asciiTheme="minorHAnsi" w:hAnsiTheme="minorHAnsi"/>
          <w:bCs/>
          <w:lang w:val="en-GB"/>
        </w:rPr>
        <w:t>on</w:t>
      </w:r>
      <w:r w:rsidR="009817B1">
        <w:rPr>
          <w:rFonts w:asciiTheme="minorHAnsi" w:hAnsiTheme="minorHAnsi"/>
          <w:bCs/>
          <w:lang w:val="en-GB"/>
        </w:rPr>
        <w:t xml:space="preserve"> was not adequately supported by the available data</w:t>
      </w:r>
      <w:r w:rsidRPr="003B604A">
        <w:rPr>
          <w:rFonts w:asciiTheme="minorHAnsi" w:hAnsiTheme="minorHAnsi"/>
          <w:bCs/>
          <w:lang w:val="en-GB"/>
        </w:rPr>
        <w:t xml:space="preserve">. </w:t>
      </w:r>
      <w:r w:rsidR="003B604A">
        <w:rPr>
          <w:rFonts w:asciiTheme="minorHAnsi" w:hAnsiTheme="minorHAnsi"/>
          <w:bCs/>
          <w:lang w:val="en-GB"/>
        </w:rPr>
        <w:t xml:space="preserve">The PBAC </w:t>
      </w:r>
      <w:r w:rsidR="002F069D">
        <w:rPr>
          <w:rFonts w:asciiTheme="minorHAnsi" w:hAnsiTheme="minorHAnsi"/>
          <w:bCs/>
          <w:lang w:val="en-GB"/>
        </w:rPr>
        <w:t xml:space="preserve">considered the 15 year </w:t>
      </w:r>
      <w:r w:rsidR="003B604A">
        <w:rPr>
          <w:rFonts w:asciiTheme="minorHAnsi" w:hAnsiTheme="minorHAnsi"/>
          <w:bCs/>
          <w:lang w:val="en-GB"/>
        </w:rPr>
        <w:t xml:space="preserve">time horizon and the </w:t>
      </w:r>
      <w:r w:rsidR="004F69F7">
        <w:rPr>
          <w:rFonts w:asciiTheme="minorHAnsi" w:hAnsiTheme="minorHAnsi"/>
          <w:bCs/>
          <w:lang w:val="en-GB"/>
        </w:rPr>
        <w:t xml:space="preserve">extrapolated PFS and OS benefits reported </w:t>
      </w:r>
      <w:r w:rsidR="002F069D">
        <w:rPr>
          <w:rFonts w:asciiTheme="minorHAnsi" w:hAnsiTheme="minorHAnsi"/>
          <w:bCs/>
          <w:lang w:val="en-GB"/>
        </w:rPr>
        <w:t>over this period</w:t>
      </w:r>
      <w:r w:rsidR="004F69F7">
        <w:rPr>
          <w:rFonts w:asciiTheme="minorHAnsi" w:hAnsiTheme="minorHAnsi"/>
          <w:bCs/>
          <w:lang w:val="en-GB"/>
        </w:rPr>
        <w:t xml:space="preserve"> </w:t>
      </w:r>
      <w:r w:rsidR="00F83B1F">
        <w:rPr>
          <w:rFonts w:asciiTheme="minorHAnsi" w:hAnsiTheme="minorHAnsi"/>
          <w:bCs/>
          <w:lang w:val="en-GB"/>
        </w:rPr>
        <w:t xml:space="preserve">to be </w:t>
      </w:r>
      <w:r w:rsidR="004F69F7">
        <w:rPr>
          <w:rFonts w:asciiTheme="minorHAnsi" w:hAnsiTheme="minorHAnsi"/>
          <w:bCs/>
          <w:lang w:val="en-GB"/>
        </w:rPr>
        <w:t>inconsistent with the prognosis for R/R DLBCL</w:t>
      </w:r>
      <w:r w:rsidR="002F069D">
        <w:rPr>
          <w:rFonts w:asciiTheme="minorHAnsi" w:hAnsiTheme="minorHAnsi"/>
          <w:bCs/>
          <w:lang w:val="en-GB"/>
        </w:rPr>
        <w:t xml:space="preserve">. The PBAC </w:t>
      </w:r>
      <w:r w:rsidR="00377803">
        <w:rPr>
          <w:rFonts w:asciiTheme="minorHAnsi" w:hAnsiTheme="minorHAnsi"/>
          <w:bCs/>
          <w:lang w:val="en-GB"/>
        </w:rPr>
        <w:t xml:space="preserve">noted </w:t>
      </w:r>
      <w:r w:rsidR="00AD7873">
        <w:rPr>
          <w:rFonts w:asciiTheme="minorHAnsi" w:hAnsiTheme="minorHAnsi"/>
          <w:bCs/>
          <w:lang w:val="en-GB"/>
        </w:rPr>
        <w:t xml:space="preserve">the </w:t>
      </w:r>
      <w:r w:rsidR="00377803">
        <w:rPr>
          <w:rFonts w:asciiTheme="minorHAnsi" w:hAnsiTheme="minorHAnsi"/>
          <w:bCs/>
          <w:lang w:val="en-GB"/>
        </w:rPr>
        <w:t xml:space="preserve">time horizon to be a key driver of the model and </w:t>
      </w:r>
      <w:r w:rsidR="00F331E7">
        <w:rPr>
          <w:rFonts w:asciiTheme="minorHAnsi" w:hAnsiTheme="minorHAnsi"/>
          <w:bCs/>
          <w:lang w:val="en-GB"/>
        </w:rPr>
        <w:t xml:space="preserve">advised that </w:t>
      </w:r>
      <w:r w:rsidR="00554823">
        <w:rPr>
          <w:rFonts w:asciiTheme="minorHAnsi" w:hAnsiTheme="minorHAnsi"/>
          <w:bCs/>
          <w:lang w:val="en-GB"/>
        </w:rPr>
        <w:t>a 15 year time horizon did not seem clinically plausible</w:t>
      </w:r>
      <w:r w:rsidR="009C50BD">
        <w:rPr>
          <w:rFonts w:asciiTheme="minorHAnsi" w:hAnsiTheme="minorHAnsi"/>
          <w:bCs/>
          <w:lang w:val="en-GB"/>
        </w:rPr>
        <w:t xml:space="preserve"> based on the evidence available</w:t>
      </w:r>
      <w:r w:rsidR="009817B1">
        <w:rPr>
          <w:rFonts w:asciiTheme="minorHAnsi" w:hAnsiTheme="minorHAnsi"/>
          <w:bCs/>
          <w:lang w:val="en-GB"/>
        </w:rPr>
        <w:t>.</w:t>
      </w:r>
      <w:r w:rsidR="0095754E">
        <w:rPr>
          <w:rFonts w:asciiTheme="minorHAnsi" w:hAnsiTheme="minorHAnsi"/>
          <w:bCs/>
          <w:lang w:val="en-GB"/>
        </w:rPr>
        <w:t xml:space="preserve"> </w:t>
      </w:r>
    </w:p>
    <w:p w:rsidR="004F69F7" w:rsidRPr="00AD7873" w:rsidRDefault="000A1CAA" w:rsidP="00AD7873">
      <w:pPr>
        <w:numPr>
          <w:ilvl w:val="1"/>
          <w:numId w:val="2"/>
        </w:numPr>
        <w:spacing w:after="120"/>
        <w:rPr>
          <w:rFonts w:asciiTheme="minorHAnsi" w:hAnsiTheme="minorHAnsi"/>
          <w:bCs/>
          <w:lang w:val="en-GB"/>
        </w:rPr>
      </w:pPr>
      <w:r>
        <w:rPr>
          <w:rFonts w:asciiTheme="minorHAnsi" w:hAnsiTheme="minorHAnsi"/>
          <w:bCs/>
          <w:lang w:val="en-GB"/>
        </w:rPr>
        <w:t>Further, t</w:t>
      </w:r>
      <w:r w:rsidR="00976DAC" w:rsidRPr="00AD7873">
        <w:rPr>
          <w:rFonts w:asciiTheme="minorHAnsi" w:hAnsiTheme="minorHAnsi"/>
          <w:bCs/>
          <w:lang w:val="en-GB"/>
        </w:rPr>
        <w:t xml:space="preserve">he PBAC noted </w:t>
      </w:r>
      <w:r w:rsidR="00F331E7" w:rsidRPr="00AD7873">
        <w:rPr>
          <w:rFonts w:asciiTheme="minorHAnsi" w:hAnsiTheme="minorHAnsi"/>
          <w:bCs/>
          <w:lang w:val="en-GB"/>
        </w:rPr>
        <w:t xml:space="preserve">that </w:t>
      </w:r>
      <w:r w:rsidR="00976DAC" w:rsidRPr="00AD7873">
        <w:rPr>
          <w:rFonts w:asciiTheme="minorHAnsi" w:hAnsiTheme="minorHAnsi"/>
          <w:bCs/>
          <w:lang w:val="en-GB"/>
        </w:rPr>
        <w:t xml:space="preserve">the </w:t>
      </w:r>
      <w:r w:rsidR="000E7F98">
        <w:rPr>
          <w:rFonts w:asciiTheme="minorHAnsi" w:hAnsiTheme="minorHAnsi"/>
          <w:bCs/>
          <w:lang w:val="en-GB"/>
        </w:rPr>
        <w:t>literature-based</w:t>
      </w:r>
      <w:r w:rsidR="00976DAC" w:rsidRPr="00AD7873">
        <w:rPr>
          <w:rFonts w:asciiTheme="minorHAnsi" w:hAnsiTheme="minorHAnsi"/>
          <w:bCs/>
          <w:lang w:val="en-GB"/>
        </w:rPr>
        <w:t xml:space="preserve"> utility values used to inform the </w:t>
      </w:r>
      <w:r w:rsidR="00F331E7" w:rsidRPr="00AD7873">
        <w:rPr>
          <w:rFonts w:asciiTheme="minorHAnsi" w:hAnsiTheme="minorHAnsi"/>
          <w:bCs/>
          <w:lang w:val="en-GB"/>
        </w:rPr>
        <w:t xml:space="preserve">economic </w:t>
      </w:r>
      <w:r w:rsidR="00976DAC" w:rsidRPr="00AD7873">
        <w:rPr>
          <w:rFonts w:asciiTheme="minorHAnsi" w:hAnsiTheme="minorHAnsi"/>
          <w:bCs/>
          <w:lang w:val="en-GB"/>
        </w:rPr>
        <w:t>model were the highest of the published values identified</w:t>
      </w:r>
      <w:r w:rsidR="00F331E7" w:rsidRPr="00AD7873">
        <w:rPr>
          <w:rFonts w:asciiTheme="minorHAnsi" w:hAnsiTheme="minorHAnsi"/>
          <w:bCs/>
          <w:lang w:val="en-GB"/>
        </w:rPr>
        <w:t xml:space="preserve">. The PBAC </w:t>
      </w:r>
      <w:r w:rsidR="00377803" w:rsidRPr="00AD7873">
        <w:rPr>
          <w:rFonts w:asciiTheme="minorHAnsi" w:hAnsiTheme="minorHAnsi"/>
          <w:bCs/>
          <w:lang w:val="en-GB"/>
        </w:rPr>
        <w:t>considered that,</w:t>
      </w:r>
      <w:r w:rsidR="00F331E7" w:rsidRPr="00AD7873">
        <w:rPr>
          <w:rFonts w:asciiTheme="minorHAnsi" w:hAnsiTheme="minorHAnsi"/>
          <w:bCs/>
          <w:lang w:val="en-GB"/>
        </w:rPr>
        <w:t xml:space="preserve"> due to the limitations in the clinical data presented, more conservative utility values </w:t>
      </w:r>
      <w:r w:rsidR="002F069D" w:rsidRPr="00AD7873">
        <w:rPr>
          <w:rFonts w:asciiTheme="minorHAnsi" w:hAnsiTheme="minorHAnsi"/>
          <w:bCs/>
          <w:lang w:val="en-GB"/>
        </w:rPr>
        <w:t xml:space="preserve">should </w:t>
      </w:r>
      <w:r w:rsidR="00377803" w:rsidRPr="00AD7873">
        <w:rPr>
          <w:rFonts w:asciiTheme="minorHAnsi" w:hAnsiTheme="minorHAnsi"/>
          <w:bCs/>
          <w:lang w:val="en-GB"/>
        </w:rPr>
        <w:t xml:space="preserve">be used with additional disutility </w:t>
      </w:r>
      <w:r w:rsidR="00AB11C9" w:rsidRPr="00AD7873">
        <w:rPr>
          <w:rFonts w:asciiTheme="minorHAnsi" w:hAnsiTheme="minorHAnsi"/>
          <w:bCs/>
          <w:lang w:val="en-GB"/>
        </w:rPr>
        <w:t xml:space="preserve">incorporated in the model </w:t>
      </w:r>
      <w:r w:rsidR="00377803" w:rsidRPr="00AD7873">
        <w:rPr>
          <w:rFonts w:asciiTheme="minorHAnsi" w:hAnsiTheme="minorHAnsi"/>
          <w:bCs/>
          <w:lang w:val="en-GB"/>
        </w:rPr>
        <w:t xml:space="preserve">for the higher rate of AEs associated </w:t>
      </w:r>
      <w:proofErr w:type="spellStart"/>
      <w:r w:rsidR="00AB11C9" w:rsidRPr="00AD7873">
        <w:rPr>
          <w:rFonts w:asciiTheme="minorHAnsi" w:hAnsiTheme="minorHAnsi"/>
          <w:bCs/>
          <w:lang w:val="en-GB"/>
        </w:rPr>
        <w:t>Pola+BR</w:t>
      </w:r>
      <w:proofErr w:type="spellEnd"/>
      <w:r w:rsidR="00377803" w:rsidRPr="00AD7873">
        <w:rPr>
          <w:rFonts w:asciiTheme="minorHAnsi" w:hAnsiTheme="minorHAnsi"/>
          <w:bCs/>
          <w:lang w:val="en-GB"/>
        </w:rPr>
        <w:t>.</w:t>
      </w:r>
      <w:r w:rsidR="00AD7873">
        <w:rPr>
          <w:rFonts w:asciiTheme="minorHAnsi" w:hAnsiTheme="minorHAnsi"/>
          <w:bCs/>
          <w:lang w:val="en-GB"/>
        </w:rPr>
        <w:t xml:space="preserve"> The PBAC considered the resulting ICER </w:t>
      </w:r>
      <w:r w:rsidR="00AE0108" w:rsidRPr="00D87937">
        <w:rPr>
          <w:rFonts w:asciiTheme="minorHAnsi" w:hAnsiTheme="minorHAnsi"/>
          <w:bCs/>
          <w:lang w:val="en-GB"/>
        </w:rPr>
        <w:t xml:space="preserve">very uncertain </w:t>
      </w:r>
      <w:r w:rsidR="00AE0108">
        <w:rPr>
          <w:rFonts w:asciiTheme="minorHAnsi" w:hAnsiTheme="minorHAnsi"/>
          <w:bCs/>
          <w:lang w:val="en-GB"/>
        </w:rPr>
        <w:t xml:space="preserve">due to the aforementioned reasons. </w:t>
      </w:r>
    </w:p>
    <w:p w:rsidR="00AE0108" w:rsidRDefault="00F56192" w:rsidP="00095881">
      <w:pPr>
        <w:numPr>
          <w:ilvl w:val="1"/>
          <w:numId w:val="2"/>
        </w:numPr>
        <w:spacing w:after="120"/>
      </w:pPr>
      <w:r>
        <w:t xml:space="preserve">The PBAC considered the financial estimates to be moderately uncertain and likely underestimated. </w:t>
      </w:r>
      <w:r w:rsidR="004F26D2">
        <w:t xml:space="preserve">The PBAC agreed with DUSC that </w:t>
      </w:r>
      <w:r w:rsidR="004F26D2" w:rsidRPr="00095881">
        <w:t>consideration of a prevalent population who would become refractory or relapsing over time</w:t>
      </w:r>
      <w:r w:rsidR="00E466A3">
        <w:t xml:space="preserve"> was required and that</w:t>
      </w:r>
      <w:r w:rsidR="00F83B1F">
        <w:t>,</w:t>
      </w:r>
      <w:r w:rsidR="00E466A3">
        <w:t xml:space="preserve"> </w:t>
      </w:r>
      <w:r w:rsidR="00257B47">
        <w:t xml:space="preserve">in the absence of a 30 mg vial, there would be significant wastage of </w:t>
      </w:r>
      <w:proofErr w:type="spellStart"/>
      <w:r w:rsidR="00257B47">
        <w:t>polatuzumab</w:t>
      </w:r>
      <w:proofErr w:type="spellEnd"/>
      <w:r w:rsidR="00257B47">
        <w:t xml:space="preserve"> </w:t>
      </w:r>
      <w:proofErr w:type="spellStart"/>
      <w:r w:rsidR="00257B47">
        <w:t>vedotin</w:t>
      </w:r>
      <w:proofErr w:type="spellEnd"/>
      <w:r w:rsidR="00257B47">
        <w:t xml:space="preserve"> that would need to be accounted for in financial arrangements.</w:t>
      </w:r>
      <w:r w:rsidR="00E466A3">
        <w:t xml:space="preserve"> </w:t>
      </w:r>
    </w:p>
    <w:p w:rsidR="00E466A3" w:rsidRPr="00AE0108" w:rsidRDefault="00891FFE" w:rsidP="00095881">
      <w:pPr>
        <w:numPr>
          <w:ilvl w:val="1"/>
          <w:numId w:val="2"/>
        </w:numPr>
        <w:spacing w:after="120"/>
      </w:pPr>
      <w:r>
        <w:t xml:space="preserve">The PBAC proposed that any future submission should be a major submission. However, the PBAC considered that </w:t>
      </w:r>
      <w:r w:rsidRPr="00502F52">
        <w:rPr>
          <w:rFonts w:asciiTheme="minorHAnsi" w:hAnsiTheme="minorHAnsi" w:cstheme="minorHAnsi"/>
        </w:rPr>
        <w:t>as randomisation in the G029365 trial did not appear successful, more mature data are unlikely to eliminate uncertainty.</w:t>
      </w:r>
      <w:r>
        <w:rPr>
          <w:rFonts w:asciiTheme="minorHAnsi" w:hAnsiTheme="minorHAnsi" w:cstheme="minorHAnsi"/>
        </w:rPr>
        <w:t xml:space="preserve"> </w:t>
      </w:r>
      <w:r w:rsidR="002B227D">
        <w:rPr>
          <w:rFonts w:asciiTheme="minorHAnsi" w:hAnsiTheme="minorHAnsi" w:cstheme="minorHAnsi"/>
        </w:rPr>
        <w:t xml:space="preserve">The PBAC </w:t>
      </w:r>
      <w:r w:rsidR="0027734D">
        <w:rPr>
          <w:rFonts w:asciiTheme="minorHAnsi" w:hAnsiTheme="minorHAnsi" w:cstheme="minorHAnsi"/>
        </w:rPr>
        <w:t>considered that further assessment of BR compared to</w:t>
      </w:r>
      <w:r w:rsidR="002B227D">
        <w:rPr>
          <w:rFonts w:asciiTheme="minorHAnsi" w:hAnsiTheme="minorHAnsi" w:cstheme="minorHAnsi"/>
        </w:rPr>
        <w:t xml:space="preserve"> </w:t>
      </w:r>
      <w:r w:rsidR="002B227D">
        <w:t xml:space="preserve">standard of care </w:t>
      </w:r>
      <w:r w:rsidR="0027734D">
        <w:t xml:space="preserve">R/R DLBCL </w:t>
      </w:r>
      <w:r w:rsidR="002B227D">
        <w:t xml:space="preserve">regimens </w:t>
      </w:r>
      <w:r w:rsidR="0027734D">
        <w:t xml:space="preserve">such as </w:t>
      </w:r>
      <w:proofErr w:type="spellStart"/>
      <w:r w:rsidR="0027734D">
        <w:t>RGemOx</w:t>
      </w:r>
      <w:proofErr w:type="spellEnd"/>
      <w:r w:rsidR="0027734D">
        <w:t xml:space="preserve"> may be required</w:t>
      </w:r>
      <w:r w:rsidR="00613C90">
        <w:t xml:space="preserve">, for example an indirect comparison. However, the PBAC considered this would still not overcome the limitations of the </w:t>
      </w:r>
      <w:r w:rsidR="0027734D" w:rsidRPr="00502F52">
        <w:rPr>
          <w:rFonts w:asciiTheme="minorHAnsi" w:hAnsiTheme="minorHAnsi" w:cstheme="minorHAnsi"/>
        </w:rPr>
        <w:t>G029365</w:t>
      </w:r>
      <w:r w:rsidR="00613C90">
        <w:rPr>
          <w:rFonts w:asciiTheme="minorHAnsi" w:hAnsiTheme="minorHAnsi" w:cstheme="minorHAnsi"/>
        </w:rPr>
        <w:t xml:space="preserve"> study</w:t>
      </w:r>
      <w:r w:rsidR="0027734D">
        <w:rPr>
          <w:rFonts w:asciiTheme="minorHAnsi" w:hAnsiTheme="minorHAnsi" w:cstheme="minorHAnsi"/>
        </w:rPr>
        <w:t>. The PBAC noted that treatment costs will need to reflect the likel</w:t>
      </w:r>
      <w:r w:rsidR="00F83B1F">
        <w:rPr>
          <w:rFonts w:asciiTheme="minorHAnsi" w:hAnsiTheme="minorHAnsi" w:cstheme="minorHAnsi"/>
        </w:rPr>
        <w:t xml:space="preserve">y </w:t>
      </w:r>
      <w:r w:rsidR="00F83B1F">
        <w:rPr>
          <w:rFonts w:asciiTheme="minorHAnsi" w:hAnsiTheme="minorHAnsi" w:cstheme="minorHAnsi"/>
        </w:rPr>
        <w:lastRenderedPageBreak/>
        <w:t xml:space="preserve">high degree of uncertainty in any future </w:t>
      </w:r>
      <w:r w:rsidR="0027734D">
        <w:rPr>
          <w:rFonts w:asciiTheme="minorHAnsi" w:hAnsiTheme="minorHAnsi" w:cstheme="minorHAnsi"/>
        </w:rPr>
        <w:t>clinical and economic evaluations.</w:t>
      </w:r>
      <w:r w:rsidR="0095754E">
        <w:rPr>
          <w:rFonts w:asciiTheme="minorHAnsi" w:hAnsiTheme="minorHAnsi" w:cstheme="minorHAnsi"/>
        </w:rPr>
        <w:t xml:space="preserve"> </w:t>
      </w:r>
    </w:p>
    <w:p w:rsidR="00095881" w:rsidRPr="000969CE" w:rsidRDefault="00095881" w:rsidP="000969CE">
      <w:pPr>
        <w:numPr>
          <w:ilvl w:val="1"/>
          <w:numId w:val="2"/>
        </w:numPr>
        <w:spacing w:after="120"/>
        <w:rPr>
          <w:rFonts w:asciiTheme="minorHAnsi" w:hAnsiTheme="minorHAnsi"/>
          <w:bCs/>
          <w:lang w:val="en-GB"/>
        </w:rPr>
      </w:pPr>
      <w:r w:rsidRPr="00525B39">
        <w:rPr>
          <w:rFonts w:asciiTheme="minorHAnsi" w:hAnsiTheme="minorHAnsi"/>
          <w:bCs/>
          <w:lang w:val="en-GB"/>
        </w:rPr>
        <w:t>The PBAC noted</w:t>
      </w:r>
      <w:r w:rsidR="000969CE">
        <w:rPr>
          <w:rFonts w:asciiTheme="minorHAnsi" w:hAnsiTheme="minorHAnsi"/>
          <w:bCs/>
          <w:lang w:val="en-GB"/>
        </w:rPr>
        <w:t xml:space="preserve"> that this submission is </w:t>
      </w:r>
      <w:r w:rsidRPr="00525B39">
        <w:rPr>
          <w:rFonts w:asciiTheme="minorHAnsi" w:hAnsiTheme="minorHAnsi"/>
          <w:bCs/>
          <w:lang w:val="en-GB"/>
        </w:rPr>
        <w:t>eligibl</w:t>
      </w:r>
      <w:r w:rsidR="000969CE">
        <w:rPr>
          <w:rFonts w:asciiTheme="minorHAnsi" w:hAnsiTheme="minorHAnsi"/>
          <w:bCs/>
          <w:lang w:val="en-GB"/>
        </w:rPr>
        <w:t>e for an Independent Review</w:t>
      </w:r>
      <w:r w:rsidRPr="000969CE">
        <w:rPr>
          <w:rFonts w:asciiTheme="minorHAnsi" w:hAnsiTheme="minorHAnsi"/>
          <w:bCs/>
          <w:i/>
          <w:lang w:val="en-GB"/>
        </w:rPr>
        <w:t>.</w:t>
      </w:r>
    </w:p>
    <w:p w:rsidR="00095881" w:rsidRPr="00525B39" w:rsidRDefault="00095881" w:rsidP="00095881">
      <w:pPr>
        <w:spacing w:before="240"/>
        <w:rPr>
          <w:rFonts w:asciiTheme="minorHAnsi" w:hAnsiTheme="minorHAnsi"/>
          <w:b/>
          <w:bCs/>
          <w:lang w:val="en-GB"/>
        </w:rPr>
      </w:pPr>
      <w:r w:rsidRPr="00525B39">
        <w:rPr>
          <w:rFonts w:asciiTheme="minorHAnsi" w:hAnsiTheme="minorHAnsi"/>
          <w:b/>
          <w:bCs/>
          <w:lang w:val="en-GB"/>
        </w:rPr>
        <w:t>Outcome:</w:t>
      </w:r>
    </w:p>
    <w:p w:rsidR="00095881" w:rsidRPr="00904CDF" w:rsidRDefault="00095881" w:rsidP="00095881">
      <w:pPr>
        <w:rPr>
          <w:rFonts w:asciiTheme="minorHAnsi" w:hAnsiTheme="minorHAnsi"/>
          <w:bCs/>
          <w:lang w:val="en-GB"/>
        </w:rPr>
      </w:pPr>
      <w:r w:rsidRPr="00525B39">
        <w:rPr>
          <w:rFonts w:asciiTheme="minorHAnsi" w:hAnsiTheme="minorHAnsi"/>
          <w:bCs/>
          <w:lang w:val="en-GB"/>
        </w:rPr>
        <w:t>R</w:t>
      </w:r>
      <w:r w:rsidR="000969CE">
        <w:rPr>
          <w:rFonts w:asciiTheme="minorHAnsi" w:hAnsiTheme="minorHAnsi"/>
          <w:bCs/>
          <w:lang w:val="en-GB"/>
        </w:rPr>
        <w:t>ejected</w:t>
      </w:r>
    </w:p>
    <w:p w:rsidR="00904CDF" w:rsidRDefault="00904CDF" w:rsidP="00904CDF">
      <w:pPr>
        <w:pStyle w:val="PBACHeading1"/>
        <w:spacing w:before="240" w:after="120"/>
        <w:outlineLvl w:val="0"/>
      </w:pPr>
      <w:r w:rsidRPr="00904CDF">
        <w:t>Context for Decision</w:t>
      </w:r>
    </w:p>
    <w:p w:rsidR="004846FF" w:rsidRPr="004846FF" w:rsidRDefault="004846FF" w:rsidP="004846FF">
      <w:pPr>
        <w:widowControl/>
        <w:spacing w:after="120" w:line="276" w:lineRule="auto"/>
        <w:rPr>
          <w:rFonts w:asciiTheme="minorHAnsi" w:eastAsiaTheme="minorHAnsi" w:hAnsiTheme="minorHAnsi"/>
          <w:bCs/>
          <w:snapToGrid/>
        </w:rPr>
      </w:pPr>
      <w:r w:rsidRPr="004846FF">
        <w:rPr>
          <w:rFonts w:asciiTheme="minorHAnsi" w:eastAsiaTheme="minorHAnsi" w:hAnsiTheme="minorHAnsi"/>
          <w:bCs/>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04CDF" w:rsidRPr="00904CDF" w:rsidRDefault="00904CDF" w:rsidP="00904CDF">
      <w:pPr>
        <w:pStyle w:val="PBACHeading1"/>
        <w:spacing w:before="240" w:after="120"/>
        <w:outlineLvl w:val="0"/>
      </w:pPr>
      <w:r w:rsidRPr="00904CDF">
        <w:t>Sponsor’s Comment</w:t>
      </w:r>
    </w:p>
    <w:p w:rsidR="002B5CBE" w:rsidRPr="004846FF" w:rsidRDefault="00904CDF" w:rsidP="004846FF">
      <w:pPr>
        <w:widowControl/>
        <w:spacing w:after="120" w:line="276" w:lineRule="auto"/>
        <w:rPr>
          <w:rFonts w:asciiTheme="minorHAnsi" w:eastAsiaTheme="minorHAnsi" w:hAnsiTheme="minorHAnsi"/>
          <w:bCs/>
          <w:snapToGrid/>
        </w:rPr>
      </w:pPr>
      <w:r w:rsidRPr="00904CDF">
        <w:rPr>
          <w:rFonts w:asciiTheme="minorHAnsi" w:eastAsiaTheme="minorHAnsi" w:hAnsiTheme="minorHAnsi"/>
          <w:bCs/>
          <w:snapToGrid/>
        </w:rPr>
        <w:t>The sponsor had no comment.</w:t>
      </w:r>
      <w:bookmarkEnd w:id="21"/>
    </w:p>
    <w:sectPr w:rsidR="002B5CBE" w:rsidRPr="004846FF" w:rsidSect="0082258C">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32C39" w16cid:durableId="2194B47F"/>
  <w16cid:commentId w16cid:paraId="393CCF05" w16cid:durableId="2194B533"/>
  <w16cid:commentId w16cid:paraId="743EEBD5" w16cid:durableId="2194B40C"/>
  <w16cid:commentId w16cid:paraId="44DE3D8D" w16cid:durableId="2194B68B"/>
  <w16cid:commentId w16cid:paraId="46293BE2" w16cid:durableId="2194B40D"/>
  <w16cid:commentId w16cid:paraId="0396E29A" w16cid:durableId="2194B7CE"/>
  <w16cid:commentId w16cid:paraId="607A20E5" w16cid:durableId="2194C52B"/>
  <w16cid:commentId w16cid:paraId="502D7846" w16cid:durableId="2194C6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A0" w:rsidRDefault="00E77FA0" w:rsidP="00124A51">
      <w:r>
        <w:separator/>
      </w:r>
    </w:p>
    <w:p w:rsidR="00E77FA0" w:rsidRDefault="00E77FA0"/>
  </w:endnote>
  <w:endnote w:type="continuationSeparator" w:id="0">
    <w:p w:rsidR="00E77FA0" w:rsidRDefault="00E77FA0" w:rsidP="00124A51">
      <w:r>
        <w:continuationSeparator/>
      </w:r>
    </w:p>
    <w:p w:rsidR="00E77FA0" w:rsidRDefault="00E77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A0" w:rsidRDefault="00E7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02163"/>
      <w:docPartObj>
        <w:docPartGallery w:val="Page Numbers (Bottom of Page)"/>
        <w:docPartUnique/>
      </w:docPartObj>
    </w:sdtPr>
    <w:sdtEndPr>
      <w:rPr>
        <w:b/>
        <w:noProof/>
      </w:rPr>
    </w:sdtEndPr>
    <w:sdtContent>
      <w:p w:rsidR="0055542C" w:rsidRDefault="0055542C">
        <w:pPr>
          <w:pStyle w:val="Footer"/>
          <w:jc w:val="center"/>
        </w:pPr>
      </w:p>
      <w:p w:rsidR="0055542C" w:rsidRPr="008F6781" w:rsidRDefault="0055542C" w:rsidP="008F6781">
        <w:pPr>
          <w:pStyle w:val="Footer"/>
          <w:jc w:val="center"/>
          <w:rPr>
            <w:b/>
          </w:rPr>
        </w:pPr>
        <w:r w:rsidRPr="00502F52">
          <w:rPr>
            <w:b/>
          </w:rPr>
          <w:fldChar w:fldCharType="begin"/>
        </w:r>
        <w:r w:rsidRPr="00502F52">
          <w:rPr>
            <w:b/>
          </w:rPr>
          <w:instrText xml:space="preserve"> PAGE   \* MERGEFORMAT </w:instrText>
        </w:r>
        <w:r w:rsidRPr="00502F52">
          <w:rPr>
            <w:b/>
          </w:rPr>
          <w:fldChar w:fldCharType="separate"/>
        </w:r>
        <w:r w:rsidR="00D64D5F">
          <w:rPr>
            <w:b/>
            <w:noProof/>
          </w:rPr>
          <w:t>22</w:t>
        </w:r>
        <w:r w:rsidRPr="00502F52">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A0" w:rsidRDefault="00E7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A0" w:rsidRDefault="00E77FA0" w:rsidP="00124A51">
      <w:r>
        <w:separator/>
      </w:r>
    </w:p>
    <w:p w:rsidR="00E77FA0" w:rsidRPr="00F52438" w:rsidRDefault="00E77FA0">
      <w:pPr>
        <w:rPr>
          <w:sz w:val="8"/>
        </w:rPr>
      </w:pPr>
    </w:p>
  </w:footnote>
  <w:footnote w:type="continuationSeparator" w:id="0">
    <w:p w:rsidR="00E77FA0" w:rsidRDefault="00E77FA0" w:rsidP="00124A51">
      <w:r>
        <w:continuationSeparator/>
      </w:r>
    </w:p>
    <w:p w:rsidR="00E77FA0" w:rsidRDefault="00E77FA0"/>
  </w:footnote>
  <w:footnote w:id="1">
    <w:p w:rsidR="0055542C" w:rsidRDefault="0055542C">
      <w:pPr>
        <w:pStyle w:val="FootnoteText"/>
      </w:pPr>
      <w:r>
        <w:rPr>
          <w:rStyle w:val="FootnoteReference"/>
        </w:rPr>
        <w:footnoteRef/>
      </w:r>
      <w:r>
        <w:t xml:space="preserve"> </w:t>
      </w:r>
      <w:proofErr w:type="spellStart"/>
      <w:r w:rsidRPr="00C02462">
        <w:t>Dosio</w:t>
      </w:r>
      <w:proofErr w:type="spellEnd"/>
      <w:r w:rsidRPr="00C02462">
        <w:t xml:space="preserve"> F, </w:t>
      </w:r>
      <w:proofErr w:type="spellStart"/>
      <w:r w:rsidRPr="00C02462">
        <w:t>Brusa</w:t>
      </w:r>
      <w:proofErr w:type="spellEnd"/>
      <w:r w:rsidRPr="00C02462">
        <w:t xml:space="preserve"> P, Cattel L. Immunotoxins and anticancer drug conjugate assemblies: the role of the linkage between components. Tox</w:t>
      </w:r>
      <w:r>
        <w:t>ins (Basel). 2011</w:t>
      </w:r>
      <w:proofErr w:type="gramStart"/>
      <w:r>
        <w:t>;3</w:t>
      </w:r>
      <w:proofErr w:type="gramEnd"/>
      <w:r>
        <w:t>(7):848–883.</w:t>
      </w:r>
    </w:p>
  </w:footnote>
  <w:footnote w:id="2">
    <w:p w:rsidR="0055542C" w:rsidRPr="00770024" w:rsidRDefault="0055542C" w:rsidP="00474459">
      <w:pPr>
        <w:widowControl/>
        <w:autoSpaceDE w:val="0"/>
        <w:autoSpaceDN w:val="0"/>
        <w:adjustRightInd w:val="0"/>
        <w:rPr>
          <w:rFonts w:asciiTheme="minorHAnsi" w:hAnsiTheme="minorHAnsi" w:cstheme="minorHAnsi"/>
          <w:sz w:val="20"/>
          <w:szCs w:val="20"/>
        </w:rPr>
      </w:pPr>
      <w:r w:rsidRPr="00770024">
        <w:rPr>
          <w:rStyle w:val="FootnoteReference"/>
          <w:rFonts w:asciiTheme="minorHAnsi" w:hAnsiTheme="minorHAnsi" w:cstheme="minorHAnsi"/>
          <w:sz w:val="20"/>
          <w:szCs w:val="20"/>
        </w:rPr>
        <w:footnoteRef/>
      </w:r>
      <w:r w:rsidRPr="00770024">
        <w:rPr>
          <w:rFonts w:asciiTheme="minorHAnsi" w:hAnsiTheme="minorHAnsi" w:cstheme="minorHAnsi"/>
          <w:sz w:val="20"/>
          <w:szCs w:val="20"/>
        </w:rPr>
        <w:t xml:space="preserve"> </w:t>
      </w:r>
      <w:r w:rsidRPr="00770024">
        <w:rPr>
          <w:rFonts w:asciiTheme="minorHAnsi" w:hAnsiTheme="minorHAnsi" w:cstheme="minorHAnsi"/>
          <w:snapToGrid/>
          <w:sz w:val="20"/>
          <w:szCs w:val="20"/>
          <w:lang w:eastAsia="en-AU"/>
        </w:rPr>
        <w:t>Freedman A, Aster J. Epidemiology, clinical manifestations, pathologic features, and diagnosis of diffuse large B cell lymphoma. 2018.</w:t>
      </w:r>
    </w:p>
  </w:footnote>
  <w:footnote w:id="3">
    <w:p w:rsidR="0055542C" w:rsidRPr="00770024" w:rsidRDefault="0055542C" w:rsidP="00474459">
      <w:pPr>
        <w:widowControl/>
        <w:autoSpaceDE w:val="0"/>
        <w:autoSpaceDN w:val="0"/>
        <w:adjustRightInd w:val="0"/>
        <w:rPr>
          <w:rFonts w:asciiTheme="minorHAnsi" w:hAnsiTheme="minorHAnsi" w:cstheme="minorHAnsi"/>
          <w:sz w:val="20"/>
          <w:szCs w:val="20"/>
        </w:rPr>
      </w:pPr>
      <w:r w:rsidRPr="00770024">
        <w:rPr>
          <w:rStyle w:val="FootnoteReference"/>
          <w:rFonts w:asciiTheme="minorHAnsi" w:hAnsiTheme="minorHAnsi" w:cstheme="minorHAnsi"/>
          <w:sz w:val="20"/>
          <w:szCs w:val="20"/>
        </w:rPr>
        <w:footnoteRef/>
      </w:r>
      <w:r w:rsidRPr="00770024">
        <w:rPr>
          <w:rFonts w:asciiTheme="minorHAnsi" w:hAnsiTheme="minorHAnsi" w:cstheme="minorHAnsi"/>
          <w:sz w:val="20"/>
          <w:szCs w:val="20"/>
        </w:rPr>
        <w:t xml:space="preserve"> </w:t>
      </w:r>
      <w:r w:rsidRPr="00770024">
        <w:rPr>
          <w:rFonts w:asciiTheme="minorHAnsi" w:hAnsiTheme="minorHAnsi" w:cstheme="minorHAnsi"/>
          <w:snapToGrid/>
          <w:sz w:val="20"/>
          <w:szCs w:val="20"/>
          <w:lang w:eastAsia="en-AU"/>
        </w:rPr>
        <w:t>NCCN. National Comprehensive Cancer Network. Diffuse Large B-Cell Lymphoma. Version 2.2019. 2019.</w:t>
      </w:r>
    </w:p>
  </w:footnote>
  <w:footnote w:id="4">
    <w:p w:rsidR="0055542C" w:rsidRPr="00770024" w:rsidRDefault="0055542C" w:rsidP="00474459">
      <w:pPr>
        <w:widowControl/>
        <w:autoSpaceDE w:val="0"/>
        <w:autoSpaceDN w:val="0"/>
        <w:adjustRightInd w:val="0"/>
        <w:rPr>
          <w:rFonts w:asciiTheme="minorHAnsi" w:hAnsiTheme="minorHAnsi" w:cstheme="minorHAnsi"/>
          <w:sz w:val="20"/>
          <w:szCs w:val="20"/>
        </w:rPr>
      </w:pPr>
      <w:r w:rsidRPr="00770024">
        <w:rPr>
          <w:rStyle w:val="FootnoteReference"/>
          <w:rFonts w:asciiTheme="minorHAnsi" w:hAnsiTheme="minorHAnsi" w:cstheme="minorHAnsi"/>
          <w:sz w:val="20"/>
          <w:szCs w:val="20"/>
        </w:rPr>
        <w:footnoteRef/>
      </w:r>
      <w:r w:rsidRPr="00770024">
        <w:rPr>
          <w:rFonts w:asciiTheme="minorHAnsi" w:hAnsiTheme="minorHAnsi" w:cstheme="minorHAnsi"/>
          <w:sz w:val="20"/>
          <w:szCs w:val="20"/>
        </w:rPr>
        <w:t xml:space="preserve"> T</w:t>
      </w:r>
      <w:r w:rsidRPr="00770024">
        <w:rPr>
          <w:rFonts w:asciiTheme="minorHAnsi" w:hAnsiTheme="minorHAnsi" w:cstheme="minorHAnsi"/>
          <w:snapToGrid/>
          <w:sz w:val="20"/>
          <w:szCs w:val="20"/>
          <w:lang w:eastAsia="en-AU"/>
        </w:rPr>
        <w:t xml:space="preserve">illy H, Gomes da Silva M, </w:t>
      </w:r>
      <w:proofErr w:type="spellStart"/>
      <w:r w:rsidRPr="00770024">
        <w:rPr>
          <w:rFonts w:asciiTheme="minorHAnsi" w:hAnsiTheme="minorHAnsi" w:cstheme="minorHAnsi"/>
          <w:snapToGrid/>
          <w:sz w:val="20"/>
          <w:szCs w:val="20"/>
          <w:lang w:eastAsia="en-AU"/>
        </w:rPr>
        <w:t>Vitolo</w:t>
      </w:r>
      <w:proofErr w:type="spellEnd"/>
      <w:r w:rsidRPr="00770024">
        <w:rPr>
          <w:rFonts w:asciiTheme="minorHAnsi" w:hAnsiTheme="minorHAnsi" w:cstheme="minorHAnsi"/>
          <w:snapToGrid/>
          <w:sz w:val="20"/>
          <w:szCs w:val="20"/>
          <w:lang w:eastAsia="en-AU"/>
        </w:rPr>
        <w:t xml:space="preserve"> U, Jack A, </w:t>
      </w:r>
      <w:proofErr w:type="spellStart"/>
      <w:r w:rsidRPr="00770024">
        <w:rPr>
          <w:rFonts w:asciiTheme="minorHAnsi" w:hAnsiTheme="minorHAnsi" w:cstheme="minorHAnsi"/>
          <w:snapToGrid/>
          <w:sz w:val="20"/>
          <w:szCs w:val="20"/>
          <w:lang w:eastAsia="en-AU"/>
        </w:rPr>
        <w:t>Meignan</w:t>
      </w:r>
      <w:proofErr w:type="spellEnd"/>
      <w:r w:rsidRPr="00770024">
        <w:rPr>
          <w:rFonts w:asciiTheme="minorHAnsi" w:hAnsiTheme="minorHAnsi" w:cstheme="minorHAnsi"/>
          <w:snapToGrid/>
          <w:sz w:val="20"/>
          <w:szCs w:val="20"/>
          <w:lang w:eastAsia="en-AU"/>
        </w:rPr>
        <w:t xml:space="preserve"> M, Lopez-Guillermo A, et al. Diffuse large B-cell lymphoma (DLBCL): ESMO Clinical Practice Guidelines for diagnosis, treatment and follow-up†. Annals of Oncology. 2015</w:t>
      </w:r>
      <w:proofErr w:type="gramStart"/>
      <w:r w:rsidRPr="00770024">
        <w:rPr>
          <w:rFonts w:asciiTheme="minorHAnsi" w:hAnsiTheme="minorHAnsi" w:cstheme="minorHAnsi"/>
          <w:snapToGrid/>
          <w:sz w:val="20"/>
          <w:szCs w:val="20"/>
          <w:lang w:eastAsia="en-AU"/>
        </w:rPr>
        <w:t>;26</w:t>
      </w:r>
      <w:proofErr w:type="gramEnd"/>
      <w:r w:rsidRPr="00770024">
        <w:rPr>
          <w:rFonts w:asciiTheme="minorHAnsi" w:hAnsiTheme="minorHAnsi" w:cstheme="minorHAnsi"/>
          <w:snapToGrid/>
          <w:sz w:val="20"/>
          <w:szCs w:val="20"/>
          <w:lang w:eastAsia="en-AU"/>
        </w:rPr>
        <w:t>(suppl_5):v116-v25.</w:t>
      </w:r>
    </w:p>
  </w:footnote>
  <w:footnote w:id="5">
    <w:p w:rsidR="0055542C" w:rsidRDefault="0055542C" w:rsidP="00474459">
      <w:pPr>
        <w:pStyle w:val="FootnoteText"/>
        <w:jc w:val="left"/>
      </w:pPr>
      <w:r>
        <w:rPr>
          <w:rStyle w:val="FootnoteReference"/>
        </w:rPr>
        <w:footnoteRef/>
      </w:r>
      <w:r>
        <w:t xml:space="preserve"> As presented in the submission: </w:t>
      </w:r>
      <w:r w:rsidRPr="00E050CF">
        <w:t xml:space="preserve">Sarkozy C et al. Randomized phase 2 trial of </w:t>
      </w:r>
      <w:proofErr w:type="spellStart"/>
      <w:r w:rsidRPr="00E050CF">
        <w:t>polatuzumab</w:t>
      </w:r>
      <w:proofErr w:type="spellEnd"/>
      <w:r w:rsidRPr="00E050CF">
        <w:t xml:space="preserve"> </w:t>
      </w:r>
      <w:proofErr w:type="spellStart"/>
      <w:r w:rsidRPr="00E050CF">
        <w:t>vedotin</w:t>
      </w:r>
      <w:proofErr w:type="spellEnd"/>
      <w:r w:rsidRPr="00E050CF">
        <w:t xml:space="preserve"> (</w:t>
      </w:r>
      <w:proofErr w:type="spellStart"/>
      <w:r w:rsidRPr="00E050CF">
        <w:t>pola</w:t>
      </w:r>
      <w:proofErr w:type="spellEnd"/>
      <w:r w:rsidRPr="00E050CF">
        <w:t xml:space="preserve">) with </w:t>
      </w:r>
      <w:proofErr w:type="spellStart"/>
      <w:r w:rsidRPr="00E050CF">
        <w:t>bendamustine</w:t>
      </w:r>
      <w:proofErr w:type="spellEnd"/>
      <w:r w:rsidRPr="00E050CF">
        <w:t xml:space="preserve"> and rituximab (BR) in relapsed/refractory (r/r) FL and DLBCL. Data </w:t>
      </w:r>
      <w:proofErr w:type="spellStart"/>
      <w:r w:rsidRPr="00E050CF">
        <w:t>cutoff</w:t>
      </w:r>
      <w:proofErr w:type="spellEnd"/>
      <w:r w:rsidRPr="00E050CF">
        <w:t xml:space="preserve"> 24 Oct 2017</w:t>
      </w:r>
      <w:r>
        <w:t>.</w:t>
      </w:r>
      <w:r w:rsidRPr="00E050CF">
        <w:t xml:space="preserve"> Journal of Clinical Oncology 2018; 36(15</w:t>
      </w:r>
      <w:r>
        <w:t>)</w:t>
      </w:r>
    </w:p>
  </w:footnote>
  <w:footnote w:id="6">
    <w:p w:rsidR="0055542C" w:rsidRPr="000F657D" w:rsidRDefault="0055542C" w:rsidP="00FB51AF">
      <w:pPr>
        <w:widowControl/>
        <w:autoSpaceDE w:val="0"/>
        <w:autoSpaceDN w:val="0"/>
        <w:adjustRightInd w:val="0"/>
        <w:jc w:val="left"/>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r w:rsidRPr="000F657D">
        <w:rPr>
          <w:rFonts w:asciiTheme="minorHAnsi" w:hAnsiTheme="minorHAnsi" w:cstheme="minorHAnsi"/>
          <w:snapToGrid/>
          <w:sz w:val="20"/>
          <w:szCs w:val="20"/>
          <w:lang w:eastAsia="en-AU"/>
        </w:rPr>
        <w:t xml:space="preserve">Crump M, </w:t>
      </w:r>
      <w:proofErr w:type="spellStart"/>
      <w:r w:rsidRPr="000F657D">
        <w:rPr>
          <w:rFonts w:asciiTheme="minorHAnsi" w:hAnsiTheme="minorHAnsi" w:cstheme="minorHAnsi"/>
          <w:snapToGrid/>
          <w:sz w:val="20"/>
          <w:szCs w:val="20"/>
          <w:lang w:eastAsia="en-AU"/>
        </w:rPr>
        <w:t>Neelapu</w:t>
      </w:r>
      <w:proofErr w:type="spellEnd"/>
      <w:r w:rsidRPr="000F657D">
        <w:rPr>
          <w:rFonts w:asciiTheme="minorHAnsi" w:hAnsiTheme="minorHAnsi" w:cstheme="minorHAnsi"/>
          <w:snapToGrid/>
          <w:sz w:val="20"/>
          <w:szCs w:val="20"/>
          <w:lang w:eastAsia="en-AU"/>
        </w:rPr>
        <w:t xml:space="preserve"> SS, Farooq U, Van Den </w:t>
      </w:r>
      <w:proofErr w:type="spellStart"/>
      <w:r w:rsidRPr="000F657D">
        <w:rPr>
          <w:rFonts w:asciiTheme="minorHAnsi" w:hAnsiTheme="minorHAnsi" w:cstheme="minorHAnsi"/>
          <w:snapToGrid/>
          <w:sz w:val="20"/>
          <w:szCs w:val="20"/>
          <w:lang w:eastAsia="en-AU"/>
        </w:rPr>
        <w:t>Neste</w:t>
      </w:r>
      <w:proofErr w:type="spellEnd"/>
      <w:r w:rsidRPr="000F657D">
        <w:rPr>
          <w:rFonts w:asciiTheme="minorHAnsi" w:hAnsiTheme="minorHAnsi" w:cstheme="minorHAnsi"/>
          <w:snapToGrid/>
          <w:sz w:val="20"/>
          <w:szCs w:val="20"/>
          <w:lang w:eastAsia="en-AU"/>
        </w:rPr>
        <w:t xml:space="preserve"> E, </w:t>
      </w:r>
      <w:proofErr w:type="spellStart"/>
      <w:r w:rsidRPr="000F657D">
        <w:rPr>
          <w:rFonts w:asciiTheme="minorHAnsi" w:hAnsiTheme="minorHAnsi" w:cstheme="minorHAnsi"/>
          <w:snapToGrid/>
          <w:sz w:val="20"/>
          <w:szCs w:val="20"/>
          <w:lang w:eastAsia="en-AU"/>
        </w:rPr>
        <w:t>Kuruvilla</w:t>
      </w:r>
      <w:proofErr w:type="spellEnd"/>
      <w:r w:rsidRPr="000F657D">
        <w:rPr>
          <w:rFonts w:asciiTheme="minorHAnsi" w:hAnsiTheme="minorHAnsi" w:cstheme="minorHAnsi"/>
          <w:snapToGrid/>
          <w:sz w:val="20"/>
          <w:szCs w:val="20"/>
          <w:lang w:eastAsia="en-AU"/>
        </w:rPr>
        <w:t xml:space="preserve"> J, Westin J, et al. Outcomes in refractory diffuse large B-cell lymphoma: results from the international SCHOLAR-1 study. Blood. 2017 Oct 19</w:t>
      </w:r>
      <w:proofErr w:type="gramStart"/>
      <w:r w:rsidRPr="000F657D">
        <w:rPr>
          <w:rFonts w:asciiTheme="minorHAnsi" w:hAnsiTheme="minorHAnsi" w:cstheme="minorHAnsi"/>
          <w:snapToGrid/>
          <w:sz w:val="20"/>
          <w:szCs w:val="20"/>
          <w:lang w:eastAsia="en-AU"/>
        </w:rPr>
        <w:t>;130</w:t>
      </w:r>
      <w:proofErr w:type="gramEnd"/>
      <w:r w:rsidRPr="000F657D">
        <w:rPr>
          <w:rFonts w:asciiTheme="minorHAnsi" w:hAnsiTheme="minorHAnsi" w:cstheme="minorHAnsi"/>
          <w:snapToGrid/>
          <w:sz w:val="20"/>
          <w:szCs w:val="20"/>
          <w:lang w:eastAsia="en-AU"/>
        </w:rPr>
        <w:t>(16):1800-8.</w:t>
      </w:r>
    </w:p>
  </w:footnote>
  <w:footnote w:id="7">
    <w:p w:rsidR="0055542C" w:rsidRPr="000F657D" w:rsidRDefault="0055542C" w:rsidP="00FB51AF">
      <w:pPr>
        <w:widowControl/>
        <w:autoSpaceDE w:val="0"/>
        <w:autoSpaceDN w:val="0"/>
        <w:adjustRightInd w:val="0"/>
        <w:jc w:val="left"/>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r w:rsidRPr="000F657D">
        <w:rPr>
          <w:rFonts w:asciiTheme="minorHAnsi" w:hAnsiTheme="minorHAnsi" w:cstheme="minorHAnsi"/>
          <w:snapToGrid/>
          <w:sz w:val="20"/>
          <w:szCs w:val="20"/>
          <w:lang w:eastAsia="en-AU"/>
        </w:rPr>
        <w:t xml:space="preserve">El </w:t>
      </w:r>
      <w:proofErr w:type="spellStart"/>
      <w:r w:rsidRPr="000F657D">
        <w:rPr>
          <w:rFonts w:asciiTheme="minorHAnsi" w:hAnsiTheme="minorHAnsi" w:cstheme="minorHAnsi"/>
          <w:snapToGrid/>
          <w:sz w:val="20"/>
          <w:szCs w:val="20"/>
          <w:lang w:eastAsia="en-AU"/>
        </w:rPr>
        <w:t>Gnaoui</w:t>
      </w:r>
      <w:proofErr w:type="spellEnd"/>
      <w:r w:rsidRPr="000F657D">
        <w:rPr>
          <w:rFonts w:asciiTheme="minorHAnsi" w:hAnsiTheme="minorHAnsi" w:cstheme="minorHAnsi"/>
          <w:snapToGrid/>
          <w:sz w:val="20"/>
          <w:szCs w:val="20"/>
          <w:lang w:eastAsia="en-AU"/>
        </w:rPr>
        <w:t xml:space="preserve"> T, Dupuis J, </w:t>
      </w:r>
      <w:proofErr w:type="spellStart"/>
      <w:r w:rsidRPr="000F657D">
        <w:rPr>
          <w:rFonts w:asciiTheme="minorHAnsi" w:hAnsiTheme="minorHAnsi" w:cstheme="minorHAnsi"/>
          <w:snapToGrid/>
          <w:sz w:val="20"/>
          <w:szCs w:val="20"/>
          <w:lang w:eastAsia="en-AU"/>
        </w:rPr>
        <w:t>Belhadj</w:t>
      </w:r>
      <w:proofErr w:type="spellEnd"/>
      <w:r w:rsidRPr="000F657D">
        <w:rPr>
          <w:rFonts w:asciiTheme="minorHAnsi" w:hAnsiTheme="minorHAnsi" w:cstheme="minorHAnsi"/>
          <w:snapToGrid/>
          <w:sz w:val="20"/>
          <w:szCs w:val="20"/>
          <w:lang w:eastAsia="en-AU"/>
        </w:rPr>
        <w:t xml:space="preserve"> K, </w:t>
      </w:r>
      <w:proofErr w:type="spellStart"/>
      <w:r w:rsidRPr="000F657D">
        <w:rPr>
          <w:rFonts w:asciiTheme="minorHAnsi" w:hAnsiTheme="minorHAnsi" w:cstheme="minorHAnsi"/>
          <w:snapToGrid/>
          <w:sz w:val="20"/>
          <w:szCs w:val="20"/>
          <w:lang w:eastAsia="en-AU"/>
        </w:rPr>
        <w:t>Jais</w:t>
      </w:r>
      <w:proofErr w:type="spellEnd"/>
      <w:r w:rsidRPr="000F657D">
        <w:rPr>
          <w:rFonts w:asciiTheme="minorHAnsi" w:hAnsiTheme="minorHAnsi" w:cstheme="minorHAnsi"/>
          <w:snapToGrid/>
          <w:sz w:val="20"/>
          <w:szCs w:val="20"/>
          <w:lang w:eastAsia="en-AU"/>
        </w:rPr>
        <w:t xml:space="preserve"> J-P, </w:t>
      </w:r>
      <w:proofErr w:type="spellStart"/>
      <w:r w:rsidRPr="000F657D">
        <w:rPr>
          <w:rFonts w:asciiTheme="minorHAnsi" w:hAnsiTheme="minorHAnsi" w:cstheme="minorHAnsi"/>
          <w:snapToGrid/>
          <w:sz w:val="20"/>
          <w:szCs w:val="20"/>
          <w:lang w:eastAsia="en-AU"/>
        </w:rPr>
        <w:t>Rahmouni</w:t>
      </w:r>
      <w:proofErr w:type="spellEnd"/>
      <w:r w:rsidRPr="000F657D">
        <w:rPr>
          <w:rFonts w:asciiTheme="minorHAnsi" w:hAnsiTheme="minorHAnsi" w:cstheme="minorHAnsi"/>
          <w:snapToGrid/>
          <w:sz w:val="20"/>
          <w:szCs w:val="20"/>
          <w:lang w:eastAsia="en-AU"/>
        </w:rPr>
        <w:t xml:space="preserve"> A, </w:t>
      </w:r>
      <w:proofErr w:type="spellStart"/>
      <w:r w:rsidRPr="000F657D">
        <w:rPr>
          <w:rFonts w:asciiTheme="minorHAnsi" w:hAnsiTheme="minorHAnsi" w:cstheme="minorHAnsi"/>
          <w:snapToGrid/>
          <w:sz w:val="20"/>
          <w:szCs w:val="20"/>
          <w:lang w:eastAsia="en-AU"/>
        </w:rPr>
        <w:t>Copie</w:t>
      </w:r>
      <w:proofErr w:type="spellEnd"/>
      <w:r w:rsidRPr="000F657D">
        <w:rPr>
          <w:rFonts w:asciiTheme="minorHAnsi" w:hAnsiTheme="minorHAnsi" w:cstheme="minorHAnsi"/>
          <w:snapToGrid/>
          <w:sz w:val="20"/>
          <w:szCs w:val="20"/>
          <w:lang w:eastAsia="en-AU"/>
        </w:rPr>
        <w:t xml:space="preserve">-Bergman C, et al. Rituximab, gemcitabine and </w:t>
      </w:r>
      <w:proofErr w:type="spellStart"/>
      <w:r w:rsidRPr="000F657D">
        <w:rPr>
          <w:rFonts w:asciiTheme="minorHAnsi" w:hAnsiTheme="minorHAnsi" w:cstheme="minorHAnsi"/>
          <w:snapToGrid/>
          <w:sz w:val="20"/>
          <w:szCs w:val="20"/>
          <w:lang w:eastAsia="en-AU"/>
        </w:rPr>
        <w:t>oxaliplatin</w:t>
      </w:r>
      <w:proofErr w:type="spellEnd"/>
      <w:r w:rsidRPr="000F657D">
        <w:rPr>
          <w:rFonts w:asciiTheme="minorHAnsi" w:hAnsiTheme="minorHAnsi" w:cstheme="minorHAnsi"/>
          <w:snapToGrid/>
          <w:sz w:val="20"/>
          <w:szCs w:val="20"/>
          <w:lang w:eastAsia="en-AU"/>
        </w:rPr>
        <w:t>: an effective salvage regimen for patients with relapsed or refractory B-cell lymphoma not candidates for high-dose therapy. Annals of Oncology. 2007</w:t>
      </w:r>
      <w:proofErr w:type="gramStart"/>
      <w:r w:rsidRPr="000F657D">
        <w:rPr>
          <w:rFonts w:asciiTheme="minorHAnsi" w:hAnsiTheme="minorHAnsi" w:cstheme="minorHAnsi"/>
          <w:snapToGrid/>
          <w:sz w:val="20"/>
          <w:szCs w:val="20"/>
          <w:lang w:eastAsia="en-AU"/>
        </w:rPr>
        <w:t>;18</w:t>
      </w:r>
      <w:proofErr w:type="gramEnd"/>
      <w:r w:rsidRPr="000F657D">
        <w:rPr>
          <w:rFonts w:asciiTheme="minorHAnsi" w:hAnsiTheme="minorHAnsi" w:cstheme="minorHAnsi"/>
          <w:snapToGrid/>
          <w:sz w:val="20"/>
          <w:szCs w:val="20"/>
          <w:lang w:eastAsia="en-AU"/>
        </w:rPr>
        <w:t>(8):1363-8.</w:t>
      </w:r>
    </w:p>
  </w:footnote>
  <w:footnote w:id="8">
    <w:p w:rsidR="0055542C" w:rsidRPr="00E74D61" w:rsidRDefault="0055542C" w:rsidP="00FB51AF">
      <w:pPr>
        <w:widowControl/>
        <w:autoSpaceDE w:val="0"/>
        <w:autoSpaceDN w:val="0"/>
        <w:adjustRightInd w:val="0"/>
        <w:jc w:val="left"/>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proofErr w:type="spellStart"/>
      <w:r w:rsidRPr="000F657D">
        <w:rPr>
          <w:rFonts w:asciiTheme="minorHAnsi" w:hAnsiTheme="minorHAnsi" w:cstheme="minorHAnsi"/>
          <w:snapToGrid/>
          <w:sz w:val="20"/>
          <w:szCs w:val="20"/>
          <w:lang w:eastAsia="en-AU"/>
        </w:rPr>
        <w:t>Gisselbrecht</w:t>
      </w:r>
      <w:proofErr w:type="spellEnd"/>
      <w:r w:rsidRPr="000F657D">
        <w:rPr>
          <w:rFonts w:asciiTheme="minorHAnsi" w:hAnsiTheme="minorHAnsi" w:cstheme="minorHAnsi"/>
          <w:snapToGrid/>
          <w:sz w:val="20"/>
          <w:szCs w:val="20"/>
          <w:lang w:eastAsia="en-AU"/>
        </w:rPr>
        <w:t xml:space="preserve"> C, Van Den </w:t>
      </w:r>
      <w:proofErr w:type="spellStart"/>
      <w:r w:rsidRPr="000F657D">
        <w:rPr>
          <w:rFonts w:asciiTheme="minorHAnsi" w:hAnsiTheme="minorHAnsi" w:cstheme="minorHAnsi"/>
          <w:snapToGrid/>
          <w:sz w:val="20"/>
          <w:szCs w:val="20"/>
          <w:lang w:eastAsia="en-AU"/>
        </w:rPr>
        <w:t>Neste</w:t>
      </w:r>
      <w:proofErr w:type="spellEnd"/>
      <w:r w:rsidRPr="000F657D">
        <w:rPr>
          <w:rFonts w:asciiTheme="minorHAnsi" w:hAnsiTheme="minorHAnsi" w:cstheme="minorHAnsi"/>
          <w:snapToGrid/>
          <w:sz w:val="20"/>
          <w:szCs w:val="20"/>
          <w:lang w:eastAsia="en-AU"/>
        </w:rPr>
        <w:t xml:space="preserve"> E. How I manage patients with relapsed/refractory diffuse large B cell lymphoma. </w:t>
      </w:r>
      <w:r w:rsidRPr="00E74D61">
        <w:rPr>
          <w:rFonts w:asciiTheme="minorHAnsi" w:hAnsiTheme="minorHAnsi" w:cstheme="minorHAnsi"/>
          <w:snapToGrid/>
          <w:sz w:val="20"/>
          <w:szCs w:val="20"/>
          <w:lang w:eastAsia="en-AU"/>
        </w:rPr>
        <w:t xml:space="preserve">Br J </w:t>
      </w:r>
      <w:proofErr w:type="spellStart"/>
      <w:r w:rsidRPr="00E74D61">
        <w:rPr>
          <w:rFonts w:asciiTheme="minorHAnsi" w:hAnsiTheme="minorHAnsi" w:cstheme="minorHAnsi"/>
          <w:snapToGrid/>
          <w:sz w:val="20"/>
          <w:szCs w:val="20"/>
          <w:lang w:eastAsia="en-AU"/>
        </w:rPr>
        <w:t>Haematol</w:t>
      </w:r>
      <w:proofErr w:type="spellEnd"/>
      <w:r w:rsidRPr="00E74D61">
        <w:rPr>
          <w:rFonts w:asciiTheme="minorHAnsi" w:hAnsiTheme="minorHAnsi" w:cstheme="minorHAnsi"/>
          <w:snapToGrid/>
          <w:sz w:val="20"/>
          <w:szCs w:val="20"/>
          <w:lang w:eastAsia="en-AU"/>
        </w:rPr>
        <w:t>. 2018</w:t>
      </w:r>
      <w:proofErr w:type="gramStart"/>
      <w:r w:rsidRPr="00E74D61">
        <w:rPr>
          <w:rFonts w:asciiTheme="minorHAnsi" w:hAnsiTheme="minorHAnsi" w:cstheme="minorHAnsi"/>
          <w:snapToGrid/>
          <w:sz w:val="20"/>
          <w:szCs w:val="20"/>
          <w:lang w:eastAsia="en-AU"/>
        </w:rPr>
        <w:t>;182</w:t>
      </w:r>
      <w:proofErr w:type="gramEnd"/>
      <w:r w:rsidRPr="00E74D61">
        <w:rPr>
          <w:rFonts w:asciiTheme="minorHAnsi" w:hAnsiTheme="minorHAnsi" w:cstheme="minorHAnsi"/>
          <w:snapToGrid/>
          <w:sz w:val="20"/>
          <w:szCs w:val="20"/>
          <w:lang w:eastAsia="en-AU"/>
        </w:rPr>
        <w:t>(5):633-43.</w:t>
      </w:r>
    </w:p>
  </w:footnote>
  <w:footnote w:id="9">
    <w:p w:rsidR="0055542C" w:rsidRPr="000F657D" w:rsidRDefault="0055542C" w:rsidP="00FB51AF">
      <w:pPr>
        <w:widowControl/>
        <w:autoSpaceDE w:val="0"/>
        <w:autoSpaceDN w:val="0"/>
        <w:adjustRightInd w:val="0"/>
        <w:jc w:val="left"/>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E74D61">
        <w:rPr>
          <w:rFonts w:asciiTheme="minorHAnsi" w:hAnsiTheme="minorHAnsi" w:cstheme="minorHAnsi"/>
          <w:sz w:val="20"/>
          <w:szCs w:val="20"/>
        </w:rPr>
        <w:t xml:space="preserve"> </w:t>
      </w:r>
      <w:proofErr w:type="spellStart"/>
      <w:r w:rsidRPr="00E74D61">
        <w:rPr>
          <w:rFonts w:asciiTheme="minorHAnsi" w:hAnsiTheme="minorHAnsi" w:cstheme="minorHAnsi"/>
          <w:snapToGrid/>
          <w:sz w:val="20"/>
          <w:szCs w:val="20"/>
          <w:lang w:eastAsia="en-AU"/>
        </w:rPr>
        <w:t>Mounier</w:t>
      </w:r>
      <w:proofErr w:type="spellEnd"/>
      <w:r w:rsidRPr="00E74D61">
        <w:rPr>
          <w:rFonts w:asciiTheme="minorHAnsi" w:hAnsiTheme="minorHAnsi" w:cstheme="minorHAnsi"/>
          <w:snapToGrid/>
          <w:sz w:val="20"/>
          <w:szCs w:val="20"/>
          <w:lang w:eastAsia="en-AU"/>
        </w:rPr>
        <w:t xml:space="preserve"> N, El </w:t>
      </w:r>
      <w:proofErr w:type="spellStart"/>
      <w:r w:rsidRPr="00E74D61">
        <w:rPr>
          <w:rFonts w:asciiTheme="minorHAnsi" w:hAnsiTheme="minorHAnsi" w:cstheme="minorHAnsi"/>
          <w:snapToGrid/>
          <w:sz w:val="20"/>
          <w:szCs w:val="20"/>
          <w:lang w:eastAsia="en-AU"/>
        </w:rPr>
        <w:t>Gnaoui</w:t>
      </w:r>
      <w:proofErr w:type="spellEnd"/>
      <w:r w:rsidRPr="00E74D61">
        <w:rPr>
          <w:rFonts w:asciiTheme="minorHAnsi" w:hAnsiTheme="minorHAnsi" w:cstheme="minorHAnsi"/>
          <w:snapToGrid/>
          <w:sz w:val="20"/>
          <w:szCs w:val="20"/>
          <w:lang w:eastAsia="en-AU"/>
        </w:rPr>
        <w:t xml:space="preserve"> T, Tilly H, </w:t>
      </w:r>
      <w:proofErr w:type="spellStart"/>
      <w:r w:rsidRPr="00E74D61">
        <w:rPr>
          <w:rFonts w:asciiTheme="minorHAnsi" w:hAnsiTheme="minorHAnsi" w:cstheme="minorHAnsi"/>
          <w:snapToGrid/>
          <w:sz w:val="20"/>
          <w:szCs w:val="20"/>
          <w:lang w:eastAsia="en-AU"/>
        </w:rPr>
        <w:t>Canioni</w:t>
      </w:r>
      <w:proofErr w:type="spellEnd"/>
      <w:r w:rsidRPr="00E74D61">
        <w:rPr>
          <w:rFonts w:asciiTheme="minorHAnsi" w:hAnsiTheme="minorHAnsi" w:cstheme="minorHAnsi"/>
          <w:snapToGrid/>
          <w:sz w:val="20"/>
          <w:szCs w:val="20"/>
          <w:lang w:eastAsia="en-AU"/>
        </w:rPr>
        <w:t xml:space="preserve"> D, </w:t>
      </w:r>
      <w:proofErr w:type="spellStart"/>
      <w:r w:rsidRPr="00E74D61">
        <w:rPr>
          <w:rFonts w:asciiTheme="minorHAnsi" w:hAnsiTheme="minorHAnsi" w:cstheme="minorHAnsi"/>
          <w:snapToGrid/>
          <w:sz w:val="20"/>
          <w:szCs w:val="20"/>
          <w:lang w:eastAsia="en-AU"/>
        </w:rPr>
        <w:t>Sebban</w:t>
      </w:r>
      <w:proofErr w:type="spellEnd"/>
      <w:r w:rsidRPr="00E74D61">
        <w:rPr>
          <w:rFonts w:asciiTheme="minorHAnsi" w:hAnsiTheme="minorHAnsi" w:cstheme="minorHAnsi"/>
          <w:snapToGrid/>
          <w:sz w:val="20"/>
          <w:szCs w:val="20"/>
          <w:lang w:eastAsia="en-AU"/>
        </w:rPr>
        <w:t xml:space="preserve"> C, </w:t>
      </w:r>
      <w:proofErr w:type="spellStart"/>
      <w:r w:rsidRPr="00E74D61">
        <w:rPr>
          <w:rFonts w:asciiTheme="minorHAnsi" w:hAnsiTheme="minorHAnsi" w:cstheme="minorHAnsi"/>
          <w:snapToGrid/>
          <w:sz w:val="20"/>
          <w:szCs w:val="20"/>
          <w:lang w:eastAsia="en-AU"/>
        </w:rPr>
        <w:t>Casasnovas</w:t>
      </w:r>
      <w:proofErr w:type="spellEnd"/>
      <w:r w:rsidRPr="00E74D61">
        <w:rPr>
          <w:rFonts w:asciiTheme="minorHAnsi" w:hAnsiTheme="minorHAnsi" w:cstheme="minorHAnsi"/>
          <w:snapToGrid/>
          <w:sz w:val="20"/>
          <w:szCs w:val="20"/>
          <w:lang w:eastAsia="en-AU"/>
        </w:rPr>
        <w:t xml:space="preserve"> R-O, et al. </w:t>
      </w:r>
      <w:r w:rsidRPr="000F657D">
        <w:rPr>
          <w:rFonts w:asciiTheme="minorHAnsi" w:hAnsiTheme="minorHAnsi" w:cstheme="minorHAnsi"/>
          <w:snapToGrid/>
          <w:sz w:val="20"/>
          <w:szCs w:val="20"/>
          <w:lang w:eastAsia="en-AU"/>
        </w:rPr>
        <w:t xml:space="preserve">Rituximab plus gemcitabine and </w:t>
      </w:r>
      <w:proofErr w:type="spellStart"/>
      <w:r w:rsidRPr="000F657D">
        <w:rPr>
          <w:rFonts w:asciiTheme="minorHAnsi" w:hAnsiTheme="minorHAnsi" w:cstheme="minorHAnsi"/>
          <w:snapToGrid/>
          <w:sz w:val="20"/>
          <w:szCs w:val="20"/>
          <w:lang w:eastAsia="en-AU"/>
        </w:rPr>
        <w:t>oxaliplatin</w:t>
      </w:r>
      <w:proofErr w:type="spellEnd"/>
      <w:r w:rsidRPr="000F657D">
        <w:rPr>
          <w:rFonts w:asciiTheme="minorHAnsi" w:hAnsiTheme="minorHAnsi" w:cstheme="minorHAnsi"/>
          <w:snapToGrid/>
          <w:sz w:val="20"/>
          <w:szCs w:val="20"/>
          <w:lang w:eastAsia="en-AU"/>
        </w:rPr>
        <w:t xml:space="preserve"> in patients with refractory/relapsed diffuse large B-cell lymphoma who are not candidates for high-dose therapy. A phase II Lymphoma Study Association trial. </w:t>
      </w:r>
      <w:proofErr w:type="spellStart"/>
      <w:r w:rsidRPr="000F657D">
        <w:rPr>
          <w:rFonts w:asciiTheme="minorHAnsi" w:hAnsiTheme="minorHAnsi" w:cstheme="minorHAnsi"/>
          <w:snapToGrid/>
          <w:sz w:val="20"/>
          <w:szCs w:val="20"/>
          <w:lang w:eastAsia="en-AU"/>
        </w:rPr>
        <w:t>Haematologica</w:t>
      </w:r>
      <w:proofErr w:type="spellEnd"/>
      <w:r w:rsidRPr="000F657D">
        <w:rPr>
          <w:rFonts w:asciiTheme="minorHAnsi" w:hAnsiTheme="minorHAnsi" w:cstheme="minorHAnsi"/>
          <w:snapToGrid/>
          <w:sz w:val="20"/>
          <w:szCs w:val="20"/>
          <w:lang w:eastAsia="en-AU"/>
        </w:rPr>
        <w:t>. 2013</w:t>
      </w:r>
      <w:proofErr w:type="gramStart"/>
      <w:r w:rsidRPr="000F657D">
        <w:rPr>
          <w:rFonts w:asciiTheme="minorHAnsi" w:hAnsiTheme="minorHAnsi" w:cstheme="minorHAnsi"/>
          <w:snapToGrid/>
          <w:sz w:val="20"/>
          <w:szCs w:val="20"/>
          <w:lang w:eastAsia="en-AU"/>
        </w:rPr>
        <w:t>;98</w:t>
      </w:r>
      <w:proofErr w:type="gramEnd"/>
      <w:r w:rsidRPr="000F657D">
        <w:rPr>
          <w:rFonts w:asciiTheme="minorHAnsi" w:hAnsiTheme="minorHAnsi" w:cstheme="minorHAnsi"/>
          <w:snapToGrid/>
          <w:sz w:val="20"/>
          <w:szCs w:val="20"/>
          <w:lang w:eastAsia="en-AU"/>
        </w:rPr>
        <w:t>(11):1726-31.</w:t>
      </w:r>
    </w:p>
  </w:footnote>
  <w:footnote w:id="10">
    <w:p w:rsidR="0055542C" w:rsidRPr="000F657D" w:rsidRDefault="0055542C" w:rsidP="00FB51AF">
      <w:pPr>
        <w:widowControl/>
        <w:autoSpaceDE w:val="0"/>
        <w:autoSpaceDN w:val="0"/>
        <w:adjustRightInd w:val="0"/>
        <w:jc w:val="left"/>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proofErr w:type="spellStart"/>
      <w:r w:rsidRPr="000F657D">
        <w:rPr>
          <w:rFonts w:asciiTheme="minorHAnsi" w:hAnsiTheme="minorHAnsi" w:cstheme="minorHAnsi"/>
          <w:snapToGrid/>
          <w:sz w:val="20"/>
          <w:szCs w:val="20"/>
          <w:lang w:eastAsia="en-AU"/>
        </w:rPr>
        <w:t>Ziepert</w:t>
      </w:r>
      <w:proofErr w:type="spellEnd"/>
      <w:r w:rsidRPr="000F657D">
        <w:rPr>
          <w:rFonts w:asciiTheme="minorHAnsi" w:hAnsiTheme="minorHAnsi" w:cstheme="minorHAnsi"/>
          <w:snapToGrid/>
          <w:sz w:val="20"/>
          <w:szCs w:val="20"/>
          <w:lang w:eastAsia="en-AU"/>
        </w:rPr>
        <w:t xml:space="preserve"> M, </w:t>
      </w:r>
      <w:proofErr w:type="spellStart"/>
      <w:r w:rsidRPr="000F657D">
        <w:rPr>
          <w:rFonts w:asciiTheme="minorHAnsi" w:hAnsiTheme="minorHAnsi" w:cstheme="minorHAnsi"/>
          <w:snapToGrid/>
          <w:sz w:val="20"/>
          <w:szCs w:val="20"/>
          <w:lang w:eastAsia="en-AU"/>
        </w:rPr>
        <w:t>Hasenclever</w:t>
      </w:r>
      <w:proofErr w:type="spellEnd"/>
      <w:r w:rsidRPr="000F657D">
        <w:rPr>
          <w:rFonts w:asciiTheme="minorHAnsi" w:hAnsiTheme="minorHAnsi" w:cstheme="minorHAnsi"/>
          <w:snapToGrid/>
          <w:sz w:val="20"/>
          <w:szCs w:val="20"/>
          <w:lang w:eastAsia="en-AU"/>
        </w:rPr>
        <w:t xml:space="preserve"> D, </w:t>
      </w:r>
      <w:proofErr w:type="spellStart"/>
      <w:r w:rsidRPr="000F657D">
        <w:rPr>
          <w:rFonts w:asciiTheme="minorHAnsi" w:hAnsiTheme="minorHAnsi" w:cstheme="minorHAnsi"/>
          <w:snapToGrid/>
          <w:sz w:val="20"/>
          <w:szCs w:val="20"/>
          <w:lang w:eastAsia="en-AU"/>
        </w:rPr>
        <w:t>Kuhnt</w:t>
      </w:r>
      <w:proofErr w:type="spellEnd"/>
      <w:r w:rsidRPr="000F657D">
        <w:rPr>
          <w:rFonts w:asciiTheme="minorHAnsi" w:hAnsiTheme="minorHAnsi" w:cstheme="minorHAnsi"/>
          <w:snapToGrid/>
          <w:sz w:val="20"/>
          <w:szCs w:val="20"/>
          <w:lang w:eastAsia="en-AU"/>
        </w:rPr>
        <w:t xml:space="preserve"> E, Glass B, Schmitz N, </w:t>
      </w:r>
      <w:proofErr w:type="spellStart"/>
      <w:r w:rsidRPr="000F657D">
        <w:rPr>
          <w:rFonts w:asciiTheme="minorHAnsi" w:hAnsiTheme="minorHAnsi" w:cstheme="minorHAnsi"/>
          <w:snapToGrid/>
          <w:sz w:val="20"/>
          <w:szCs w:val="20"/>
          <w:lang w:eastAsia="en-AU"/>
        </w:rPr>
        <w:t>Pfreundschuh</w:t>
      </w:r>
      <w:proofErr w:type="spellEnd"/>
      <w:r w:rsidRPr="000F657D">
        <w:rPr>
          <w:rFonts w:asciiTheme="minorHAnsi" w:hAnsiTheme="minorHAnsi" w:cstheme="minorHAnsi"/>
          <w:snapToGrid/>
          <w:sz w:val="20"/>
          <w:szCs w:val="20"/>
          <w:lang w:eastAsia="en-AU"/>
        </w:rPr>
        <w:t xml:space="preserve"> M, et al. Standard International prognostic index remains a valid predictor of outcome for patients with aggressive CD20+ B-cell lymphoma in the rituximab era. Journal of clinical oncology. 2010</w:t>
      </w:r>
      <w:proofErr w:type="gramStart"/>
      <w:r w:rsidRPr="000F657D">
        <w:rPr>
          <w:rFonts w:asciiTheme="minorHAnsi" w:hAnsiTheme="minorHAnsi" w:cstheme="minorHAnsi"/>
          <w:snapToGrid/>
          <w:sz w:val="20"/>
          <w:szCs w:val="20"/>
          <w:lang w:eastAsia="en-AU"/>
        </w:rPr>
        <w:t>;28</w:t>
      </w:r>
      <w:proofErr w:type="gramEnd"/>
      <w:r w:rsidRPr="000F657D">
        <w:rPr>
          <w:rFonts w:asciiTheme="minorHAnsi" w:hAnsiTheme="minorHAnsi" w:cstheme="minorHAnsi"/>
          <w:snapToGrid/>
          <w:sz w:val="20"/>
          <w:szCs w:val="20"/>
          <w:lang w:eastAsia="en-AU"/>
        </w:rPr>
        <w:t>(14):2373-80.</w:t>
      </w:r>
    </w:p>
  </w:footnote>
  <w:footnote w:id="11">
    <w:p w:rsidR="0055542C" w:rsidRPr="000F657D" w:rsidRDefault="0055542C" w:rsidP="00FB51AF">
      <w:pPr>
        <w:widowControl/>
        <w:autoSpaceDE w:val="0"/>
        <w:autoSpaceDN w:val="0"/>
        <w:adjustRightInd w:val="0"/>
        <w:jc w:val="left"/>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r w:rsidRPr="000F657D">
        <w:rPr>
          <w:rFonts w:asciiTheme="minorHAnsi" w:hAnsiTheme="minorHAnsi" w:cstheme="minorHAnsi"/>
          <w:snapToGrid/>
          <w:sz w:val="20"/>
          <w:szCs w:val="20"/>
          <w:lang w:eastAsia="en-AU"/>
        </w:rPr>
        <w:t xml:space="preserve">Song M-K, Chung J-S, Sung-Yong O, Lee G-W, Kim S-G, </w:t>
      </w:r>
      <w:proofErr w:type="spellStart"/>
      <w:r w:rsidRPr="000F657D">
        <w:rPr>
          <w:rFonts w:asciiTheme="minorHAnsi" w:hAnsiTheme="minorHAnsi" w:cstheme="minorHAnsi"/>
          <w:snapToGrid/>
          <w:sz w:val="20"/>
          <w:szCs w:val="20"/>
          <w:lang w:eastAsia="en-AU"/>
        </w:rPr>
        <w:t>Seol</w:t>
      </w:r>
      <w:proofErr w:type="spellEnd"/>
      <w:r w:rsidRPr="000F657D">
        <w:rPr>
          <w:rFonts w:asciiTheme="minorHAnsi" w:hAnsiTheme="minorHAnsi" w:cstheme="minorHAnsi"/>
          <w:snapToGrid/>
          <w:sz w:val="20"/>
          <w:szCs w:val="20"/>
          <w:lang w:eastAsia="en-AU"/>
        </w:rPr>
        <w:t xml:space="preserve"> Y-M, et al. Clinical impact of bulky mass in the patient with primary </w:t>
      </w:r>
      <w:proofErr w:type="spellStart"/>
      <w:r w:rsidRPr="000F657D">
        <w:rPr>
          <w:rFonts w:asciiTheme="minorHAnsi" w:hAnsiTheme="minorHAnsi" w:cstheme="minorHAnsi"/>
          <w:snapToGrid/>
          <w:sz w:val="20"/>
          <w:szCs w:val="20"/>
          <w:lang w:eastAsia="en-AU"/>
        </w:rPr>
        <w:t>extranodal</w:t>
      </w:r>
      <w:proofErr w:type="spellEnd"/>
      <w:r w:rsidRPr="000F657D">
        <w:rPr>
          <w:rFonts w:asciiTheme="minorHAnsi" w:hAnsiTheme="minorHAnsi" w:cstheme="minorHAnsi"/>
          <w:snapToGrid/>
          <w:sz w:val="20"/>
          <w:szCs w:val="20"/>
          <w:lang w:eastAsia="en-AU"/>
        </w:rPr>
        <w:t xml:space="preserve"> diffuse large B cell lymphoma treated with R-CHOP therapy. Annals of </w:t>
      </w:r>
      <w:proofErr w:type="spellStart"/>
      <w:r w:rsidRPr="000F657D">
        <w:rPr>
          <w:rFonts w:asciiTheme="minorHAnsi" w:hAnsiTheme="minorHAnsi" w:cstheme="minorHAnsi"/>
          <w:snapToGrid/>
          <w:sz w:val="20"/>
          <w:szCs w:val="20"/>
          <w:lang w:eastAsia="en-AU"/>
        </w:rPr>
        <w:t>hematology</w:t>
      </w:r>
      <w:proofErr w:type="spellEnd"/>
      <w:r w:rsidRPr="000F657D">
        <w:rPr>
          <w:rFonts w:asciiTheme="minorHAnsi" w:hAnsiTheme="minorHAnsi" w:cstheme="minorHAnsi"/>
          <w:snapToGrid/>
          <w:sz w:val="20"/>
          <w:szCs w:val="20"/>
          <w:lang w:eastAsia="en-AU"/>
        </w:rPr>
        <w:t>. 2010</w:t>
      </w:r>
      <w:proofErr w:type="gramStart"/>
      <w:r w:rsidRPr="000F657D">
        <w:rPr>
          <w:rFonts w:asciiTheme="minorHAnsi" w:hAnsiTheme="minorHAnsi" w:cstheme="minorHAnsi"/>
          <w:snapToGrid/>
          <w:sz w:val="20"/>
          <w:szCs w:val="20"/>
          <w:lang w:eastAsia="en-AU"/>
        </w:rPr>
        <w:t>;89</w:t>
      </w:r>
      <w:proofErr w:type="gramEnd"/>
      <w:r w:rsidRPr="000F657D">
        <w:rPr>
          <w:rFonts w:asciiTheme="minorHAnsi" w:hAnsiTheme="minorHAnsi" w:cstheme="minorHAnsi"/>
          <w:snapToGrid/>
          <w:sz w:val="20"/>
          <w:szCs w:val="20"/>
          <w:lang w:eastAsia="en-AU"/>
        </w:rPr>
        <w:t>(10):985-91.</w:t>
      </w:r>
    </w:p>
  </w:footnote>
  <w:footnote w:id="12">
    <w:p w:rsidR="0055542C" w:rsidRPr="00043F66" w:rsidRDefault="0055542C" w:rsidP="000C7302">
      <w:pPr>
        <w:pStyle w:val="FootnoteText"/>
        <w:rPr>
          <w:rFonts w:asciiTheme="minorHAnsi" w:hAnsiTheme="minorHAnsi" w:cstheme="minorHAnsi"/>
        </w:rPr>
      </w:pPr>
      <w:r w:rsidRPr="00043F66">
        <w:rPr>
          <w:rStyle w:val="FootnoteReference"/>
          <w:rFonts w:asciiTheme="minorHAnsi" w:hAnsiTheme="minorHAnsi" w:cstheme="minorHAnsi"/>
        </w:rPr>
        <w:footnoteRef/>
      </w:r>
      <w:r w:rsidRPr="00043F66">
        <w:rPr>
          <w:rFonts w:asciiTheme="minorHAnsi" w:hAnsiTheme="minorHAnsi" w:cstheme="minorHAnsi"/>
        </w:rPr>
        <w:t xml:space="preserve"> IPSOS Global Oncology Monitor – NHL Treatment Landscape</w:t>
      </w:r>
      <w:r>
        <w:rPr>
          <w:rFonts w:asciiTheme="minorHAnsi" w:hAnsiTheme="minorHAnsi" w:cstheme="minorHAnsi"/>
        </w:rPr>
        <w:t>.</w:t>
      </w:r>
      <w:r w:rsidRPr="00043F66">
        <w:rPr>
          <w:rFonts w:asciiTheme="minorHAnsi" w:hAnsiTheme="minorHAnsi" w:cstheme="minorHAnsi"/>
        </w:rPr>
        <w:t xml:space="preserve"> Q4, 2018.</w:t>
      </w:r>
    </w:p>
  </w:footnote>
  <w:footnote w:id="13">
    <w:p w:rsidR="0055542C" w:rsidRDefault="0055542C" w:rsidP="000C7302">
      <w:pPr>
        <w:pStyle w:val="FootnoteText"/>
      </w:pPr>
      <w:r>
        <w:rPr>
          <w:rStyle w:val="FootnoteReference"/>
        </w:rPr>
        <w:footnoteRef/>
      </w:r>
      <w:r>
        <w:t xml:space="preserve"> Roche Lymphoma Advisory Board: Executive Summary, p. 3, May 2019.</w:t>
      </w:r>
    </w:p>
  </w:footnote>
  <w:footnote w:id="14">
    <w:p w:rsidR="0055542C" w:rsidRPr="000F657D" w:rsidRDefault="0055542C" w:rsidP="00474459">
      <w:pPr>
        <w:widowControl/>
        <w:autoSpaceDE w:val="0"/>
        <w:autoSpaceDN w:val="0"/>
        <w:adjustRightInd w:val="0"/>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proofErr w:type="spellStart"/>
      <w:r w:rsidRPr="000F657D">
        <w:rPr>
          <w:rFonts w:asciiTheme="minorHAnsi" w:hAnsiTheme="minorHAnsi" w:cstheme="minorHAnsi"/>
          <w:snapToGrid/>
          <w:sz w:val="20"/>
          <w:szCs w:val="20"/>
          <w:lang w:eastAsia="en-AU"/>
        </w:rPr>
        <w:t>Ittu</w:t>
      </w:r>
      <w:proofErr w:type="spellEnd"/>
      <w:r w:rsidRPr="000F657D">
        <w:rPr>
          <w:rFonts w:asciiTheme="minorHAnsi" w:hAnsiTheme="minorHAnsi" w:cstheme="minorHAnsi"/>
          <w:snapToGrid/>
          <w:sz w:val="20"/>
          <w:szCs w:val="20"/>
          <w:lang w:eastAsia="en-AU"/>
        </w:rPr>
        <w:t xml:space="preserve"> RI, Shang A, </w:t>
      </w:r>
      <w:proofErr w:type="spellStart"/>
      <w:r w:rsidRPr="000F657D">
        <w:rPr>
          <w:rFonts w:asciiTheme="minorHAnsi" w:hAnsiTheme="minorHAnsi" w:cstheme="minorHAnsi"/>
          <w:snapToGrid/>
          <w:sz w:val="20"/>
          <w:szCs w:val="20"/>
          <w:lang w:eastAsia="en-AU"/>
        </w:rPr>
        <w:t>Velde</w:t>
      </w:r>
      <w:proofErr w:type="spellEnd"/>
      <w:r w:rsidRPr="000F657D">
        <w:rPr>
          <w:rFonts w:asciiTheme="minorHAnsi" w:hAnsiTheme="minorHAnsi" w:cstheme="minorHAnsi"/>
          <w:snapToGrid/>
          <w:sz w:val="20"/>
          <w:szCs w:val="20"/>
          <w:lang w:eastAsia="en-AU"/>
        </w:rPr>
        <w:t xml:space="preserve"> NV. Comparable Overall Survival with Rituximab-</w:t>
      </w:r>
      <w:proofErr w:type="spellStart"/>
      <w:r w:rsidRPr="000F657D">
        <w:rPr>
          <w:rFonts w:asciiTheme="minorHAnsi" w:hAnsiTheme="minorHAnsi" w:cstheme="minorHAnsi"/>
          <w:snapToGrid/>
          <w:sz w:val="20"/>
          <w:szCs w:val="20"/>
          <w:lang w:eastAsia="en-AU"/>
        </w:rPr>
        <w:t>Bendamustine</w:t>
      </w:r>
      <w:proofErr w:type="spellEnd"/>
      <w:r w:rsidRPr="000F657D">
        <w:rPr>
          <w:rFonts w:asciiTheme="minorHAnsi" w:hAnsiTheme="minorHAnsi" w:cstheme="minorHAnsi"/>
          <w:snapToGrid/>
          <w:sz w:val="20"/>
          <w:szCs w:val="20"/>
          <w:lang w:eastAsia="en-AU"/>
        </w:rPr>
        <w:t xml:space="preserve"> (R-Benda) and Rituximab-Gemcitabine-</w:t>
      </w:r>
      <w:proofErr w:type="spellStart"/>
      <w:r w:rsidRPr="000F657D">
        <w:rPr>
          <w:rFonts w:asciiTheme="minorHAnsi" w:hAnsiTheme="minorHAnsi" w:cstheme="minorHAnsi"/>
          <w:snapToGrid/>
          <w:sz w:val="20"/>
          <w:szCs w:val="20"/>
          <w:lang w:eastAsia="en-AU"/>
        </w:rPr>
        <w:t>Oxaliplatin</w:t>
      </w:r>
      <w:proofErr w:type="spellEnd"/>
      <w:r w:rsidRPr="000F657D">
        <w:rPr>
          <w:rFonts w:asciiTheme="minorHAnsi" w:hAnsiTheme="minorHAnsi" w:cstheme="minorHAnsi"/>
          <w:snapToGrid/>
          <w:sz w:val="20"/>
          <w:szCs w:val="20"/>
          <w:lang w:eastAsia="en-AU"/>
        </w:rPr>
        <w:t xml:space="preserve"> (R-</w:t>
      </w:r>
      <w:proofErr w:type="spellStart"/>
      <w:r w:rsidRPr="000F657D">
        <w:rPr>
          <w:rFonts w:asciiTheme="minorHAnsi" w:hAnsiTheme="minorHAnsi" w:cstheme="minorHAnsi"/>
          <w:snapToGrid/>
          <w:sz w:val="20"/>
          <w:szCs w:val="20"/>
          <w:lang w:eastAsia="en-AU"/>
        </w:rPr>
        <w:t>GemOx</w:t>
      </w:r>
      <w:proofErr w:type="spellEnd"/>
      <w:r w:rsidRPr="000F657D">
        <w:rPr>
          <w:rFonts w:asciiTheme="minorHAnsi" w:hAnsiTheme="minorHAnsi" w:cstheme="minorHAnsi"/>
          <w:snapToGrid/>
          <w:sz w:val="20"/>
          <w:szCs w:val="20"/>
          <w:lang w:eastAsia="en-AU"/>
        </w:rPr>
        <w:t xml:space="preserve">) When Used As Second-Line (2L) Treatment for Diffuse Large B-Cell Lymphoma (DLBCL): A Real-World Study Using US Veterans Health Administration Data. </w:t>
      </w:r>
      <w:r w:rsidRPr="00EF0E8D">
        <w:rPr>
          <w:rFonts w:asciiTheme="minorHAnsi" w:hAnsiTheme="minorHAnsi" w:cstheme="minorHAnsi"/>
          <w:i/>
          <w:snapToGrid/>
          <w:sz w:val="20"/>
          <w:szCs w:val="20"/>
          <w:lang w:eastAsia="en-AU"/>
        </w:rPr>
        <w:t>Blood</w:t>
      </w:r>
      <w:r w:rsidRPr="000F657D">
        <w:rPr>
          <w:rFonts w:asciiTheme="minorHAnsi" w:hAnsiTheme="minorHAnsi" w:cstheme="minorHAnsi"/>
          <w:snapToGrid/>
          <w:sz w:val="20"/>
          <w:szCs w:val="20"/>
          <w:lang w:eastAsia="en-AU"/>
        </w:rPr>
        <w:t>. 2018</w:t>
      </w:r>
      <w:proofErr w:type="gramStart"/>
      <w:r w:rsidRPr="000F657D">
        <w:rPr>
          <w:rFonts w:asciiTheme="minorHAnsi" w:hAnsiTheme="minorHAnsi" w:cstheme="minorHAnsi"/>
          <w:snapToGrid/>
          <w:sz w:val="20"/>
          <w:szCs w:val="20"/>
          <w:lang w:eastAsia="en-AU"/>
        </w:rPr>
        <w:t>;132</w:t>
      </w:r>
      <w:proofErr w:type="gramEnd"/>
      <w:r w:rsidRPr="000F657D">
        <w:rPr>
          <w:rFonts w:asciiTheme="minorHAnsi" w:hAnsiTheme="minorHAnsi" w:cstheme="minorHAnsi"/>
          <w:snapToGrid/>
          <w:sz w:val="20"/>
          <w:szCs w:val="20"/>
          <w:lang w:eastAsia="en-AU"/>
        </w:rPr>
        <w:t>(</w:t>
      </w:r>
      <w:proofErr w:type="spellStart"/>
      <w:r w:rsidRPr="000F657D">
        <w:rPr>
          <w:rFonts w:asciiTheme="minorHAnsi" w:hAnsiTheme="minorHAnsi" w:cstheme="minorHAnsi"/>
          <w:snapToGrid/>
          <w:sz w:val="20"/>
          <w:szCs w:val="20"/>
          <w:lang w:eastAsia="en-AU"/>
        </w:rPr>
        <w:t>Suppl</w:t>
      </w:r>
      <w:proofErr w:type="spellEnd"/>
      <w:r w:rsidRPr="000F657D">
        <w:rPr>
          <w:rFonts w:asciiTheme="minorHAnsi" w:hAnsiTheme="minorHAnsi" w:cstheme="minorHAnsi"/>
          <w:snapToGrid/>
          <w:sz w:val="20"/>
          <w:szCs w:val="20"/>
          <w:lang w:eastAsia="en-AU"/>
        </w:rPr>
        <w:t xml:space="preserve"> 1).</w:t>
      </w:r>
    </w:p>
  </w:footnote>
  <w:footnote w:id="15">
    <w:p w:rsidR="0055542C" w:rsidRDefault="0055542C" w:rsidP="00971FF0">
      <w:pPr>
        <w:pStyle w:val="FootnoteText"/>
      </w:pPr>
      <w:r>
        <w:rPr>
          <w:rStyle w:val="FootnoteReference"/>
        </w:rPr>
        <w:footnoteRef/>
      </w:r>
      <w:r>
        <w:t xml:space="preserve"> </w:t>
      </w:r>
      <w:r w:rsidRPr="00FA430D">
        <w:t xml:space="preserve">McMillan A, Martín A, </w:t>
      </w:r>
      <w:proofErr w:type="spellStart"/>
      <w:r w:rsidRPr="00FA430D">
        <w:t>Haioun</w:t>
      </w:r>
      <w:proofErr w:type="spellEnd"/>
      <w:r w:rsidRPr="00FA430D">
        <w:t xml:space="preserve"> C, </w:t>
      </w:r>
      <w:proofErr w:type="spellStart"/>
      <w:r w:rsidRPr="00FA430D">
        <w:t>Chiappella</w:t>
      </w:r>
      <w:proofErr w:type="spellEnd"/>
      <w:r w:rsidRPr="00FA430D">
        <w:t xml:space="preserve"> A, Di Rocco A, Rueda A, et al. Post Relapse Survival Rates in Diffuse Large B-Cell Lymphoma. </w:t>
      </w:r>
      <w:r w:rsidRPr="00FA430D">
        <w:rPr>
          <w:i/>
        </w:rPr>
        <w:t>Blood</w:t>
      </w:r>
      <w:r w:rsidRPr="00FA430D">
        <w:t>. 2016</w:t>
      </w:r>
      <w:proofErr w:type="gramStart"/>
      <w:r w:rsidRPr="00FA430D">
        <w:t>;22</w:t>
      </w:r>
      <w:proofErr w:type="gramEnd"/>
      <w:r w:rsidRPr="00FA430D">
        <w:t>(128):4204.</w:t>
      </w:r>
    </w:p>
  </w:footnote>
  <w:footnote w:id="16">
    <w:p w:rsidR="0055542C" w:rsidRPr="000F657D" w:rsidRDefault="0055542C" w:rsidP="00474459">
      <w:pPr>
        <w:widowControl/>
        <w:autoSpaceDE w:val="0"/>
        <w:autoSpaceDN w:val="0"/>
        <w:adjustRightInd w:val="0"/>
        <w:rPr>
          <w:rFonts w:asciiTheme="minorHAnsi" w:hAnsiTheme="minorHAnsi" w:cstheme="minorHAnsi"/>
          <w:sz w:val="20"/>
          <w:szCs w:val="20"/>
        </w:rPr>
      </w:pPr>
      <w:r w:rsidRPr="000F657D">
        <w:rPr>
          <w:rStyle w:val="FootnoteReference"/>
          <w:rFonts w:asciiTheme="minorHAnsi" w:hAnsiTheme="minorHAnsi" w:cstheme="minorHAnsi"/>
          <w:sz w:val="20"/>
          <w:szCs w:val="20"/>
        </w:rPr>
        <w:footnoteRef/>
      </w:r>
      <w:r w:rsidRPr="000F657D">
        <w:rPr>
          <w:rFonts w:asciiTheme="minorHAnsi" w:hAnsiTheme="minorHAnsi" w:cstheme="minorHAnsi"/>
          <w:sz w:val="20"/>
          <w:szCs w:val="20"/>
        </w:rPr>
        <w:t xml:space="preserve"> </w:t>
      </w:r>
      <w:r w:rsidRPr="000F657D">
        <w:rPr>
          <w:rFonts w:asciiTheme="minorHAnsi" w:hAnsiTheme="minorHAnsi" w:cstheme="minorHAnsi"/>
          <w:snapToGrid/>
          <w:sz w:val="20"/>
          <w:szCs w:val="20"/>
          <w:lang w:eastAsia="en-AU"/>
        </w:rPr>
        <w:t xml:space="preserve">NICE. National Institute for Health and Care Excellence. </w:t>
      </w:r>
      <w:proofErr w:type="spellStart"/>
      <w:r w:rsidRPr="000F657D">
        <w:rPr>
          <w:rFonts w:asciiTheme="minorHAnsi" w:hAnsiTheme="minorHAnsi" w:cstheme="minorHAnsi"/>
          <w:snapToGrid/>
          <w:sz w:val="20"/>
          <w:szCs w:val="20"/>
          <w:lang w:eastAsia="en-AU"/>
        </w:rPr>
        <w:t>Tisagenlecleucel</w:t>
      </w:r>
      <w:proofErr w:type="spellEnd"/>
      <w:r w:rsidRPr="000F657D">
        <w:rPr>
          <w:rFonts w:asciiTheme="minorHAnsi" w:hAnsiTheme="minorHAnsi" w:cstheme="minorHAnsi"/>
          <w:snapToGrid/>
          <w:sz w:val="20"/>
          <w:szCs w:val="20"/>
          <w:lang w:eastAsia="en-AU"/>
        </w:rPr>
        <w:t>-T for treating relapsed or refractory diffuse large B-cell lymphoma [ID1166]. 2018.</w:t>
      </w:r>
    </w:p>
  </w:footnote>
  <w:footnote w:id="17">
    <w:p w:rsidR="0055542C" w:rsidRDefault="0055542C" w:rsidP="00B90844">
      <w:pPr>
        <w:pStyle w:val="FootnoteText"/>
      </w:pPr>
      <w:r>
        <w:rPr>
          <w:rStyle w:val="FootnoteReference"/>
        </w:rPr>
        <w:footnoteRef/>
      </w:r>
      <w:r>
        <w:t xml:space="preserve"> </w:t>
      </w:r>
      <w:r w:rsidRPr="00C35CD7">
        <w:t>NICE. National Institute for Health and Care Excellence.</w:t>
      </w:r>
      <w:r>
        <w:t xml:space="preserve"> </w:t>
      </w:r>
      <w:proofErr w:type="spellStart"/>
      <w:r w:rsidRPr="00C35CD7">
        <w:t>Axicabtagene</w:t>
      </w:r>
      <w:proofErr w:type="spellEnd"/>
      <w:r w:rsidRPr="00C35CD7">
        <w:t xml:space="preserve"> </w:t>
      </w:r>
      <w:proofErr w:type="spellStart"/>
      <w:r w:rsidRPr="00C35CD7">
        <w:t>ciloleucel</w:t>
      </w:r>
      <w:proofErr w:type="spellEnd"/>
      <w:r w:rsidRPr="00C35CD7">
        <w:t xml:space="preserve"> for treating diffuse large B-cell lymphoma and primary mediastinal B-cell lymphoma after 2 or more systemic therapies [ID1115]. 2018</w:t>
      </w:r>
    </w:p>
  </w:footnote>
  <w:footnote w:id="18">
    <w:p w:rsidR="0055542C" w:rsidRPr="00971FF0" w:rsidRDefault="0055542C" w:rsidP="005B750F">
      <w:pPr>
        <w:pStyle w:val="FootnoteText"/>
        <w:rPr>
          <w:rFonts w:asciiTheme="minorHAnsi" w:hAnsiTheme="minorHAnsi" w:cstheme="minorHAnsi"/>
        </w:rPr>
      </w:pPr>
      <w:r w:rsidRPr="00971FF0">
        <w:rPr>
          <w:rStyle w:val="FootnoteReference"/>
          <w:rFonts w:asciiTheme="minorHAnsi" w:hAnsiTheme="minorHAnsi" w:cstheme="minorHAnsi"/>
        </w:rPr>
        <w:footnoteRef/>
      </w:r>
      <w:r w:rsidRPr="00971FF0">
        <w:rPr>
          <w:rFonts w:asciiTheme="minorHAnsi" w:hAnsiTheme="minorHAnsi" w:cstheme="minorHAnsi"/>
        </w:rPr>
        <w:t xml:space="preserve"> </w:t>
      </w:r>
      <w:r w:rsidRPr="00971FF0">
        <w:rPr>
          <w:rFonts w:asciiTheme="minorHAnsi" w:hAnsiTheme="minorHAnsi" w:cstheme="minorHAnsi"/>
          <w:snapToGrid/>
          <w:lang w:eastAsia="en-AU"/>
        </w:rPr>
        <w:t xml:space="preserve">Australian Institute of Health and Welfare. Cancer data in Australia. Canberra: AIHW; 2019; Available from: </w:t>
      </w:r>
      <w:hyperlink r:id="rId1" w:history="1">
        <w:r w:rsidRPr="00971FF0">
          <w:rPr>
            <w:rFonts w:asciiTheme="minorHAnsi" w:hAnsiTheme="minorHAnsi" w:cstheme="minorHAnsi"/>
            <w:snapToGrid/>
            <w:lang w:eastAsia="en-AU"/>
          </w:rPr>
          <w:t>https://www.aihw.gov.au/reports/cancer/cancer-data-in-australia/contents/summary</w:t>
        </w:r>
      </w:hyperlink>
    </w:p>
  </w:footnote>
  <w:footnote w:id="19">
    <w:p w:rsidR="0055542C" w:rsidRDefault="0055542C" w:rsidP="0002044C">
      <w:pPr>
        <w:pStyle w:val="FootnoteText"/>
        <w:jc w:val="left"/>
      </w:pPr>
      <w:r>
        <w:rPr>
          <w:rStyle w:val="FootnoteReference"/>
        </w:rPr>
        <w:footnoteRef/>
      </w:r>
      <w:r>
        <w:t xml:space="preserve"> </w:t>
      </w:r>
      <w:r w:rsidRPr="00BB6486">
        <w:t xml:space="preserve">van </w:t>
      </w:r>
      <w:proofErr w:type="spellStart"/>
      <w:r w:rsidRPr="00BB6486">
        <w:t>Leeuwen</w:t>
      </w:r>
      <w:proofErr w:type="spellEnd"/>
      <w:r w:rsidRPr="00BB6486">
        <w:t xml:space="preserve"> MT, Turner JJ, </w:t>
      </w:r>
      <w:proofErr w:type="spellStart"/>
      <w:r w:rsidRPr="00BB6486">
        <w:t>Joske</w:t>
      </w:r>
      <w:proofErr w:type="spellEnd"/>
      <w:r w:rsidRPr="00BB6486">
        <w:t xml:space="preserve"> DJ, Falster MO, </w:t>
      </w:r>
      <w:proofErr w:type="spellStart"/>
      <w:r w:rsidRPr="00BB6486">
        <w:t>Srasuebkul</w:t>
      </w:r>
      <w:proofErr w:type="spellEnd"/>
      <w:r w:rsidRPr="00BB6486">
        <w:t xml:space="preserve"> P, Meagher NS, et al. Lymphoid neoplasm incidence by WHO subtype in Australia 1982-2006. </w:t>
      </w:r>
      <w:proofErr w:type="spellStart"/>
      <w:r w:rsidRPr="00BB6486">
        <w:t>Int</w:t>
      </w:r>
      <w:proofErr w:type="spellEnd"/>
      <w:r w:rsidRPr="00BB6486">
        <w:t xml:space="preserve"> J Cancer. 2014 Nov 1</w:t>
      </w:r>
      <w:proofErr w:type="gramStart"/>
      <w:r w:rsidRPr="00BB6486">
        <w:t>;135</w:t>
      </w:r>
      <w:proofErr w:type="gramEnd"/>
      <w:r w:rsidRPr="00BB6486">
        <w:t>(9):2146-56.</w:t>
      </w:r>
    </w:p>
  </w:footnote>
  <w:footnote w:id="20">
    <w:p w:rsidR="0055542C" w:rsidRDefault="0055542C" w:rsidP="0002044C">
      <w:pPr>
        <w:pStyle w:val="FootnoteText"/>
        <w:jc w:val="left"/>
      </w:pPr>
      <w:r>
        <w:rPr>
          <w:rStyle w:val="FootnoteReference"/>
        </w:rPr>
        <w:footnoteRef/>
      </w:r>
      <w:r>
        <w:t xml:space="preserve"> </w:t>
      </w:r>
      <w:r w:rsidRPr="00BB6486">
        <w:t xml:space="preserve">Ye X, Mahmud S, </w:t>
      </w:r>
      <w:proofErr w:type="spellStart"/>
      <w:r w:rsidRPr="00BB6486">
        <w:t>Skrabek</w:t>
      </w:r>
      <w:proofErr w:type="spellEnd"/>
      <w:r w:rsidRPr="00BB6486">
        <w:t xml:space="preserve"> P, </w:t>
      </w:r>
      <w:proofErr w:type="spellStart"/>
      <w:r w:rsidRPr="00BB6486">
        <w:t>Lix</w:t>
      </w:r>
      <w:proofErr w:type="spellEnd"/>
      <w:r w:rsidRPr="00BB6486">
        <w:t xml:space="preserve"> L, Johnston JB. Long-term time trends in incidence, survival and mortality of lymphomas by subtype among adults in Manitoba, Canada: a population-based study using cancer registry data. BMJ Open. 2017 Jul 17</w:t>
      </w:r>
      <w:proofErr w:type="gramStart"/>
      <w:r w:rsidRPr="00BB6486">
        <w:t>;7</w:t>
      </w:r>
      <w:proofErr w:type="gramEnd"/>
      <w:r w:rsidRPr="00BB6486">
        <w:t>(7):e015106.</w:t>
      </w:r>
    </w:p>
  </w:footnote>
  <w:footnote w:id="21">
    <w:p w:rsidR="0055542C" w:rsidRDefault="0055542C" w:rsidP="0002044C">
      <w:pPr>
        <w:pStyle w:val="FootnoteText"/>
        <w:jc w:val="left"/>
      </w:pPr>
      <w:r>
        <w:rPr>
          <w:rStyle w:val="FootnoteReference"/>
        </w:rPr>
        <w:footnoteRef/>
      </w:r>
      <w:r>
        <w:t xml:space="preserve"> </w:t>
      </w:r>
      <w:r w:rsidRPr="00BB6486">
        <w:t>SEER. Cancer Stat Facts: NHL - Diffuse Large B-Cell Lymphoma (DLBCL). 2019.</w:t>
      </w:r>
    </w:p>
  </w:footnote>
  <w:footnote w:id="22">
    <w:p w:rsidR="0055542C" w:rsidRDefault="0055542C" w:rsidP="0002044C">
      <w:pPr>
        <w:pStyle w:val="FootnoteText"/>
        <w:jc w:val="left"/>
      </w:pPr>
      <w:r>
        <w:rPr>
          <w:rStyle w:val="FootnoteReference"/>
        </w:rPr>
        <w:footnoteRef/>
      </w:r>
      <w:r>
        <w:t xml:space="preserve"> </w:t>
      </w:r>
      <w:r w:rsidRPr="00BB6486">
        <w:t>SEER. Cancer Stat Facts: Non-Hodgkin Lymphoma.</w:t>
      </w:r>
      <w:r>
        <w:t xml:space="preserve"> </w:t>
      </w:r>
      <w:r w:rsidRPr="00BB6486">
        <w:t xml:space="preserve">2019; Available from: </w:t>
      </w:r>
      <w:r w:rsidRPr="00474459">
        <w:t>https://seer.cancer.gov/statfacts/html/nhl.html.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A0" w:rsidRDefault="00E77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2C" w:rsidRPr="00502F52" w:rsidRDefault="0055542C" w:rsidP="00502F52">
    <w:pPr>
      <w:pStyle w:val="Header"/>
      <w:keepNext/>
      <w:ind w:left="360"/>
      <w:jc w:val="center"/>
      <w:rPr>
        <w:rFonts w:asciiTheme="minorHAnsi" w:hAnsiTheme="minorHAnsi"/>
        <w:i/>
      </w:rPr>
    </w:pPr>
    <w:r>
      <w:rPr>
        <w:rFonts w:asciiTheme="minorHAnsi" w:hAnsiTheme="minorHAnsi"/>
        <w:i/>
      </w:rPr>
      <w:t xml:space="preserve">Public Summary Document </w:t>
    </w:r>
    <w:r w:rsidRPr="00502F52">
      <w:rPr>
        <w:rFonts w:asciiTheme="minorHAnsi" w:hAnsiTheme="minorHAnsi"/>
        <w:i/>
      </w:rPr>
      <w:t xml:space="preserve">– </w:t>
    </w:r>
    <w:r>
      <w:rPr>
        <w:rFonts w:asciiTheme="minorHAnsi" w:hAnsiTheme="minorHAnsi"/>
        <w:i/>
      </w:rPr>
      <w:t>November</w:t>
    </w:r>
    <w:r w:rsidRPr="00502F52">
      <w:rPr>
        <w:rFonts w:asciiTheme="minorHAnsi" w:hAnsiTheme="minorHAnsi"/>
        <w:i/>
      </w:rPr>
      <w:t xml:space="preserve"> 2019 PBAC Meeting</w:t>
    </w:r>
  </w:p>
  <w:p w:rsidR="0055542C" w:rsidRDefault="005554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A0" w:rsidRDefault="00E7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AC31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B3FC6"/>
    <w:multiLevelType w:val="hybridMultilevel"/>
    <w:tmpl w:val="AAA86A42"/>
    <w:lvl w:ilvl="0" w:tplc="EC8C657C">
      <w:start w:val="1"/>
      <w:numFmt w:val="bullet"/>
      <w:pStyle w:val="BulletList"/>
      <w:lvlText w:val=""/>
      <w:lvlJc w:val="left"/>
      <w:pPr>
        <w:tabs>
          <w:tab w:val="num" w:pos="360"/>
        </w:tabs>
        <w:ind w:left="360" w:hanging="360"/>
      </w:pPr>
      <w:rPr>
        <w:rFonts w:ascii="Symbol" w:hAnsi="Symbol" w:hint="default"/>
      </w:rPr>
    </w:lvl>
    <w:lvl w:ilvl="1" w:tplc="5950AD9E">
      <w:numFmt w:val="bullet"/>
      <w:lvlText w:val="–"/>
      <w:lvlJc w:val="left"/>
      <w:pPr>
        <w:ind w:left="1440" w:hanging="360"/>
      </w:pPr>
      <w:rPr>
        <w:rFonts w:ascii="Arial" w:eastAsia="MS UI Gothic" w:hAnsi="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56A42348"/>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C02F1"/>
    <w:multiLevelType w:val="hybridMultilevel"/>
    <w:tmpl w:val="210060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9759B"/>
    <w:multiLevelType w:val="hybridMultilevel"/>
    <w:tmpl w:val="ABA8E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DD7822"/>
    <w:multiLevelType w:val="hybridMultilevel"/>
    <w:tmpl w:val="A9B404AE"/>
    <w:lvl w:ilvl="0" w:tplc="DB9CA378">
      <w:start w:val="1"/>
      <w:numFmt w:val="bullet"/>
      <w:pStyle w:val="ListBullet2ndleve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B03C2"/>
    <w:multiLevelType w:val="hybridMultilevel"/>
    <w:tmpl w:val="AECE91EA"/>
    <w:lvl w:ilvl="0" w:tplc="0C090013">
      <w:start w:val="1"/>
      <w:numFmt w:val="upperRoman"/>
      <w:lvlText w:val="%1."/>
      <w:lvlJc w:val="right"/>
      <w:pPr>
        <w:ind w:left="725" w:hanging="360"/>
      </w:pPr>
      <w:rPr>
        <w:rFonts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16" w15:restartNumberingAfterBreak="0">
    <w:nsid w:val="784D033C"/>
    <w:multiLevelType w:val="multilevel"/>
    <w:tmpl w:val="48AAF3F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
  </w:num>
  <w:num w:numId="2">
    <w:abstractNumId w:val="16"/>
  </w:num>
  <w:num w:numId="3">
    <w:abstractNumId w:val="11"/>
  </w:num>
  <w:num w:numId="4">
    <w:abstractNumId w:val="10"/>
  </w:num>
  <w:num w:numId="5">
    <w:abstractNumId w:val="12"/>
  </w:num>
  <w:num w:numId="6">
    <w:abstractNumId w:val="0"/>
  </w:num>
  <w:num w:numId="7">
    <w:abstractNumId w:val="5"/>
  </w:num>
  <w:num w:numId="8">
    <w:abstractNumId w:val="14"/>
  </w:num>
  <w:num w:numId="9">
    <w:abstractNumId w:val="7"/>
  </w:num>
  <w:num w:numId="10">
    <w:abstractNumId w:val="17"/>
  </w:num>
  <w:num w:numId="11">
    <w:abstractNumId w:val="15"/>
  </w:num>
  <w:num w:numId="12">
    <w:abstractNumId w:val="3"/>
  </w:num>
  <w:num w:numId="13">
    <w:abstractNumId w:val="9"/>
  </w:num>
  <w:num w:numId="14">
    <w:abstractNumId w:val="1"/>
  </w:num>
  <w:num w:numId="15">
    <w:abstractNumId w:val="8"/>
  </w:num>
  <w:num w:numId="16">
    <w:abstractNumId w:val="6"/>
  </w:num>
  <w:num w:numId="17">
    <w:abstractNumId w:val="13"/>
  </w:num>
  <w:num w:numId="18">
    <w:abstractNumId w:val="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f9pzrt5xdpf6ewpzdp0wefv0vw959p29ff&quot;&gt;My EndNote Library&lt;record-ids&gt;&lt;item&gt;2&lt;/item&gt;&lt;item&gt;4&lt;/item&gt;&lt;item&gt;5&lt;/item&gt;&lt;item&gt;6&lt;/item&gt;&lt;item&gt;7&lt;/item&gt;&lt;item&gt;8&lt;/item&gt;&lt;item&gt;12&lt;/item&gt;&lt;item&gt;13&lt;/item&gt;&lt;item&gt;14&lt;/item&gt;&lt;item&gt;15&lt;/item&gt;&lt;item&gt;17&lt;/item&gt;&lt;item&gt;18&lt;/item&gt;&lt;item&gt;19&lt;/item&gt;&lt;item&gt;20&lt;/item&gt;&lt;item&gt;21&lt;/item&gt;&lt;item&gt;23&lt;/item&gt;&lt;item&gt;42&lt;/item&gt;&lt;item&gt;43&lt;/item&gt;&lt;item&gt;44&lt;/item&gt;&lt;item&gt;64&lt;/item&gt;&lt;item&gt;68&lt;/item&gt;&lt;item&gt;74&lt;/item&gt;&lt;item&gt;77&lt;/item&gt;&lt;item&gt;79&lt;/item&gt;&lt;item&gt;85&lt;/item&gt;&lt;item&gt;87&lt;/item&gt;&lt;item&gt;91&lt;/item&gt;&lt;item&gt;102&lt;/item&gt;&lt;item&gt;103&lt;/item&gt;&lt;item&gt;117&lt;/item&gt;&lt;item&gt;118&lt;/item&gt;&lt;item&gt;119&lt;/item&gt;&lt;item&gt;120&lt;/item&gt;&lt;item&gt;121&lt;/item&gt;&lt;item&gt;122&lt;/item&gt;&lt;item&gt;138&lt;/item&gt;&lt;item&gt;139&lt;/item&gt;&lt;item&gt;144&lt;/item&gt;&lt;item&gt;146&lt;/item&gt;&lt;item&gt;150&lt;/item&gt;&lt;item&gt;151&lt;/item&gt;&lt;item&gt;152&lt;/item&gt;&lt;item&gt;153&lt;/item&gt;&lt;item&gt;154&lt;/item&gt;&lt;item&gt;155&lt;/item&gt;&lt;/record-ids&gt;&lt;/item&gt;&lt;/Libraries&gt;"/>
  </w:docVars>
  <w:rsids>
    <w:rsidRoot w:val="00E65E79"/>
    <w:rsid w:val="00000790"/>
    <w:rsid w:val="0000103A"/>
    <w:rsid w:val="0000110B"/>
    <w:rsid w:val="00003499"/>
    <w:rsid w:val="000039B7"/>
    <w:rsid w:val="00005F57"/>
    <w:rsid w:val="00010A53"/>
    <w:rsid w:val="00012F37"/>
    <w:rsid w:val="00013247"/>
    <w:rsid w:val="0001420A"/>
    <w:rsid w:val="00015886"/>
    <w:rsid w:val="00015C68"/>
    <w:rsid w:val="000162EF"/>
    <w:rsid w:val="000165F9"/>
    <w:rsid w:val="00017779"/>
    <w:rsid w:val="00017AB9"/>
    <w:rsid w:val="0002044C"/>
    <w:rsid w:val="000215F2"/>
    <w:rsid w:val="0002203B"/>
    <w:rsid w:val="0002225F"/>
    <w:rsid w:val="00023763"/>
    <w:rsid w:val="00024E79"/>
    <w:rsid w:val="0002565E"/>
    <w:rsid w:val="00031A9D"/>
    <w:rsid w:val="00033863"/>
    <w:rsid w:val="00033B57"/>
    <w:rsid w:val="0003560A"/>
    <w:rsid w:val="00035DC0"/>
    <w:rsid w:val="00036829"/>
    <w:rsid w:val="00037FC5"/>
    <w:rsid w:val="00040895"/>
    <w:rsid w:val="00040EFE"/>
    <w:rsid w:val="00041FC6"/>
    <w:rsid w:val="00042D5D"/>
    <w:rsid w:val="00043629"/>
    <w:rsid w:val="00043C37"/>
    <w:rsid w:val="00043F66"/>
    <w:rsid w:val="00044E7D"/>
    <w:rsid w:val="00045017"/>
    <w:rsid w:val="00045A2B"/>
    <w:rsid w:val="00045ED0"/>
    <w:rsid w:val="0004698F"/>
    <w:rsid w:val="000539D0"/>
    <w:rsid w:val="00054092"/>
    <w:rsid w:val="00054621"/>
    <w:rsid w:val="000546D7"/>
    <w:rsid w:val="00054D9C"/>
    <w:rsid w:val="0006553D"/>
    <w:rsid w:val="00066360"/>
    <w:rsid w:val="000706C6"/>
    <w:rsid w:val="00071248"/>
    <w:rsid w:val="00071954"/>
    <w:rsid w:val="00071BD9"/>
    <w:rsid w:val="000720B9"/>
    <w:rsid w:val="00072C7E"/>
    <w:rsid w:val="000737F7"/>
    <w:rsid w:val="00073EF2"/>
    <w:rsid w:val="0007535F"/>
    <w:rsid w:val="00075523"/>
    <w:rsid w:val="0007615F"/>
    <w:rsid w:val="00076247"/>
    <w:rsid w:val="0007672F"/>
    <w:rsid w:val="000774F0"/>
    <w:rsid w:val="00080909"/>
    <w:rsid w:val="000812CA"/>
    <w:rsid w:val="00081786"/>
    <w:rsid w:val="0008213C"/>
    <w:rsid w:val="0008258D"/>
    <w:rsid w:val="00083E99"/>
    <w:rsid w:val="00084132"/>
    <w:rsid w:val="00084362"/>
    <w:rsid w:val="00084BFD"/>
    <w:rsid w:val="000856C5"/>
    <w:rsid w:val="000861D3"/>
    <w:rsid w:val="00090C7E"/>
    <w:rsid w:val="00091064"/>
    <w:rsid w:val="00092600"/>
    <w:rsid w:val="0009262B"/>
    <w:rsid w:val="000930CE"/>
    <w:rsid w:val="00093310"/>
    <w:rsid w:val="0009445C"/>
    <w:rsid w:val="00095881"/>
    <w:rsid w:val="00095FE5"/>
    <w:rsid w:val="00096284"/>
    <w:rsid w:val="000969CE"/>
    <w:rsid w:val="00096E41"/>
    <w:rsid w:val="000A1CAA"/>
    <w:rsid w:val="000A6A0D"/>
    <w:rsid w:val="000A7D08"/>
    <w:rsid w:val="000B0670"/>
    <w:rsid w:val="000B0E75"/>
    <w:rsid w:val="000B15DF"/>
    <w:rsid w:val="000B2EBF"/>
    <w:rsid w:val="000B2F50"/>
    <w:rsid w:val="000B39C5"/>
    <w:rsid w:val="000B402D"/>
    <w:rsid w:val="000B5B95"/>
    <w:rsid w:val="000B6CAC"/>
    <w:rsid w:val="000B6DA5"/>
    <w:rsid w:val="000B7612"/>
    <w:rsid w:val="000C3DF9"/>
    <w:rsid w:val="000C3F3A"/>
    <w:rsid w:val="000C6713"/>
    <w:rsid w:val="000C7302"/>
    <w:rsid w:val="000D0C09"/>
    <w:rsid w:val="000D1BFC"/>
    <w:rsid w:val="000D241E"/>
    <w:rsid w:val="000D281A"/>
    <w:rsid w:val="000D2D46"/>
    <w:rsid w:val="000D326A"/>
    <w:rsid w:val="000D51FB"/>
    <w:rsid w:val="000D78A7"/>
    <w:rsid w:val="000D7C53"/>
    <w:rsid w:val="000E135D"/>
    <w:rsid w:val="000E3AEA"/>
    <w:rsid w:val="000E3DE2"/>
    <w:rsid w:val="000E4D36"/>
    <w:rsid w:val="000E72A1"/>
    <w:rsid w:val="000E7F98"/>
    <w:rsid w:val="000F00BA"/>
    <w:rsid w:val="000F186D"/>
    <w:rsid w:val="000F316A"/>
    <w:rsid w:val="000F3772"/>
    <w:rsid w:val="000F3C74"/>
    <w:rsid w:val="000F4BB8"/>
    <w:rsid w:val="000F4C0A"/>
    <w:rsid w:val="000F657D"/>
    <w:rsid w:val="000F7127"/>
    <w:rsid w:val="000F7704"/>
    <w:rsid w:val="00100CF1"/>
    <w:rsid w:val="00100F8A"/>
    <w:rsid w:val="00105AE2"/>
    <w:rsid w:val="00106B80"/>
    <w:rsid w:val="0010745B"/>
    <w:rsid w:val="0011032E"/>
    <w:rsid w:val="0011348B"/>
    <w:rsid w:val="00113701"/>
    <w:rsid w:val="00115982"/>
    <w:rsid w:val="00115FD8"/>
    <w:rsid w:val="00116C53"/>
    <w:rsid w:val="00120469"/>
    <w:rsid w:val="0012126E"/>
    <w:rsid w:val="00121799"/>
    <w:rsid w:val="001222FC"/>
    <w:rsid w:val="001225E6"/>
    <w:rsid w:val="00124A51"/>
    <w:rsid w:val="00124E1A"/>
    <w:rsid w:val="00126621"/>
    <w:rsid w:val="00126968"/>
    <w:rsid w:val="0012781A"/>
    <w:rsid w:val="001301E9"/>
    <w:rsid w:val="00131D82"/>
    <w:rsid w:val="00133D36"/>
    <w:rsid w:val="00137645"/>
    <w:rsid w:val="0014015A"/>
    <w:rsid w:val="00140E99"/>
    <w:rsid w:val="00142783"/>
    <w:rsid w:val="00144315"/>
    <w:rsid w:val="0014534E"/>
    <w:rsid w:val="00145540"/>
    <w:rsid w:val="001456B0"/>
    <w:rsid w:val="001522B4"/>
    <w:rsid w:val="001539D6"/>
    <w:rsid w:val="00156A2A"/>
    <w:rsid w:val="00157130"/>
    <w:rsid w:val="001576B1"/>
    <w:rsid w:val="00160A4C"/>
    <w:rsid w:val="00162913"/>
    <w:rsid w:val="00163EFF"/>
    <w:rsid w:val="00164A6E"/>
    <w:rsid w:val="001661FB"/>
    <w:rsid w:val="0016690B"/>
    <w:rsid w:val="0016784B"/>
    <w:rsid w:val="00167D53"/>
    <w:rsid w:val="00173565"/>
    <w:rsid w:val="00173B07"/>
    <w:rsid w:val="00174B8D"/>
    <w:rsid w:val="00176BE2"/>
    <w:rsid w:val="00177140"/>
    <w:rsid w:val="0018140D"/>
    <w:rsid w:val="00181D9C"/>
    <w:rsid w:val="00182291"/>
    <w:rsid w:val="00182EA6"/>
    <w:rsid w:val="001866C0"/>
    <w:rsid w:val="0018737B"/>
    <w:rsid w:val="0018752F"/>
    <w:rsid w:val="001917CA"/>
    <w:rsid w:val="00193124"/>
    <w:rsid w:val="00195222"/>
    <w:rsid w:val="00195CD0"/>
    <w:rsid w:val="001975D8"/>
    <w:rsid w:val="001A107B"/>
    <w:rsid w:val="001A43FA"/>
    <w:rsid w:val="001A59FB"/>
    <w:rsid w:val="001A6354"/>
    <w:rsid w:val="001A6D96"/>
    <w:rsid w:val="001A7AE8"/>
    <w:rsid w:val="001A7BB5"/>
    <w:rsid w:val="001A7F17"/>
    <w:rsid w:val="001B1144"/>
    <w:rsid w:val="001B204E"/>
    <w:rsid w:val="001B3443"/>
    <w:rsid w:val="001B4D20"/>
    <w:rsid w:val="001B520D"/>
    <w:rsid w:val="001B6AB4"/>
    <w:rsid w:val="001B7C1F"/>
    <w:rsid w:val="001C091E"/>
    <w:rsid w:val="001C2A9B"/>
    <w:rsid w:val="001C39E7"/>
    <w:rsid w:val="001C4299"/>
    <w:rsid w:val="001C4FEA"/>
    <w:rsid w:val="001C5B7B"/>
    <w:rsid w:val="001C5F94"/>
    <w:rsid w:val="001C6E66"/>
    <w:rsid w:val="001D0FFF"/>
    <w:rsid w:val="001D115B"/>
    <w:rsid w:val="001D566F"/>
    <w:rsid w:val="001D7F89"/>
    <w:rsid w:val="001E238E"/>
    <w:rsid w:val="001E2483"/>
    <w:rsid w:val="001E2B1E"/>
    <w:rsid w:val="001E30D4"/>
    <w:rsid w:val="001E396A"/>
    <w:rsid w:val="001E52EB"/>
    <w:rsid w:val="001E5CD8"/>
    <w:rsid w:val="001E5D7F"/>
    <w:rsid w:val="001E61D2"/>
    <w:rsid w:val="001E6BEA"/>
    <w:rsid w:val="001E740C"/>
    <w:rsid w:val="001F10D9"/>
    <w:rsid w:val="001F1235"/>
    <w:rsid w:val="001F1CB3"/>
    <w:rsid w:val="001F38B5"/>
    <w:rsid w:val="001F55B5"/>
    <w:rsid w:val="001F6E86"/>
    <w:rsid w:val="001F7361"/>
    <w:rsid w:val="001F75C6"/>
    <w:rsid w:val="00200597"/>
    <w:rsid w:val="002011B0"/>
    <w:rsid w:val="0020144E"/>
    <w:rsid w:val="00201AB3"/>
    <w:rsid w:val="00203181"/>
    <w:rsid w:val="00203783"/>
    <w:rsid w:val="0020385F"/>
    <w:rsid w:val="002061F8"/>
    <w:rsid w:val="00206EA9"/>
    <w:rsid w:val="00207021"/>
    <w:rsid w:val="0020732F"/>
    <w:rsid w:val="00207553"/>
    <w:rsid w:val="00207D00"/>
    <w:rsid w:val="002105C1"/>
    <w:rsid w:val="002122D5"/>
    <w:rsid w:val="00212F04"/>
    <w:rsid w:val="0021440C"/>
    <w:rsid w:val="0021529E"/>
    <w:rsid w:val="002170C2"/>
    <w:rsid w:val="002178FA"/>
    <w:rsid w:val="00217D4D"/>
    <w:rsid w:val="0022233E"/>
    <w:rsid w:val="00223451"/>
    <w:rsid w:val="00223B49"/>
    <w:rsid w:val="00224DD4"/>
    <w:rsid w:val="00226FB9"/>
    <w:rsid w:val="0022728A"/>
    <w:rsid w:val="0023000E"/>
    <w:rsid w:val="002309CC"/>
    <w:rsid w:val="0023209F"/>
    <w:rsid w:val="00234CA5"/>
    <w:rsid w:val="0023629D"/>
    <w:rsid w:val="00237255"/>
    <w:rsid w:val="0024067A"/>
    <w:rsid w:val="00240DC6"/>
    <w:rsid w:val="002424AF"/>
    <w:rsid w:val="00242C20"/>
    <w:rsid w:val="00242E92"/>
    <w:rsid w:val="002439DC"/>
    <w:rsid w:val="00243BC1"/>
    <w:rsid w:val="00244DC8"/>
    <w:rsid w:val="002458BA"/>
    <w:rsid w:val="0024636C"/>
    <w:rsid w:val="002464D6"/>
    <w:rsid w:val="00246919"/>
    <w:rsid w:val="00247925"/>
    <w:rsid w:val="00250B24"/>
    <w:rsid w:val="00251CFB"/>
    <w:rsid w:val="00253644"/>
    <w:rsid w:val="00253CC8"/>
    <w:rsid w:val="00254DCF"/>
    <w:rsid w:val="0025534B"/>
    <w:rsid w:val="00255BB7"/>
    <w:rsid w:val="00255FD0"/>
    <w:rsid w:val="00257541"/>
    <w:rsid w:val="00257B47"/>
    <w:rsid w:val="002617F9"/>
    <w:rsid w:val="00262A1A"/>
    <w:rsid w:val="00262A87"/>
    <w:rsid w:val="00262C64"/>
    <w:rsid w:val="00264609"/>
    <w:rsid w:val="00264D26"/>
    <w:rsid w:val="00265086"/>
    <w:rsid w:val="002655A3"/>
    <w:rsid w:val="00266C07"/>
    <w:rsid w:val="00267637"/>
    <w:rsid w:val="00267642"/>
    <w:rsid w:val="00267AEA"/>
    <w:rsid w:val="00270034"/>
    <w:rsid w:val="002700E6"/>
    <w:rsid w:val="0027294B"/>
    <w:rsid w:val="00273782"/>
    <w:rsid w:val="00273A0E"/>
    <w:rsid w:val="00273E9C"/>
    <w:rsid w:val="00275C5A"/>
    <w:rsid w:val="00275D33"/>
    <w:rsid w:val="0027734D"/>
    <w:rsid w:val="00281014"/>
    <w:rsid w:val="002830DD"/>
    <w:rsid w:val="00287EA0"/>
    <w:rsid w:val="002936A4"/>
    <w:rsid w:val="002A0635"/>
    <w:rsid w:val="002A149A"/>
    <w:rsid w:val="002A14AB"/>
    <w:rsid w:val="002A2F50"/>
    <w:rsid w:val="002A6B94"/>
    <w:rsid w:val="002A6D11"/>
    <w:rsid w:val="002A729D"/>
    <w:rsid w:val="002B048D"/>
    <w:rsid w:val="002B09A4"/>
    <w:rsid w:val="002B1C1F"/>
    <w:rsid w:val="002B227D"/>
    <w:rsid w:val="002B432F"/>
    <w:rsid w:val="002B453D"/>
    <w:rsid w:val="002B4583"/>
    <w:rsid w:val="002B5CBE"/>
    <w:rsid w:val="002B62B3"/>
    <w:rsid w:val="002B6561"/>
    <w:rsid w:val="002B6754"/>
    <w:rsid w:val="002B6CCE"/>
    <w:rsid w:val="002C0049"/>
    <w:rsid w:val="002C20C0"/>
    <w:rsid w:val="002C2510"/>
    <w:rsid w:val="002C2775"/>
    <w:rsid w:val="002C27C1"/>
    <w:rsid w:val="002C352F"/>
    <w:rsid w:val="002C5099"/>
    <w:rsid w:val="002C5100"/>
    <w:rsid w:val="002C5889"/>
    <w:rsid w:val="002C71CE"/>
    <w:rsid w:val="002C757F"/>
    <w:rsid w:val="002C77B3"/>
    <w:rsid w:val="002C7F0C"/>
    <w:rsid w:val="002D0A83"/>
    <w:rsid w:val="002D1EBA"/>
    <w:rsid w:val="002D32F1"/>
    <w:rsid w:val="002D39F0"/>
    <w:rsid w:val="002D3FC3"/>
    <w:rsid w:val="002D516A"/>
    <w:rsid w:val="002D577C"/>
    <w:rsid w:val="002D596F"/>
    <w:rsid w:val="002E15B9"/>
    <w:rsid w:val="002E17D5"/>
    <w:rsid w:val="002E2158"/>
    <w:rsid w:val="002E2318"/>
    <w:rsid w:val="002E26DE"/>
    <w:rsid w:val="002E5070"/>
    <w:rsid w:val="002E6388"/>
    <w:rsid w:val="002E7150"/>
    <w:rsid w:val="002E7668"/>
    <w:rsid w:val="002E7722"/>
    <w:rsid w:val="002F069D"/>
    <w:rsid w:val="002F07BA"/>
    <w:rsid w:val="002F0DA9"/>
    <w:rsid w:val="002F306A"/>
    <w:rsid w:val="002F32A0"/>
    <w:rsid w:val="002F36B5"/>
    <w:rsid w:val="002F4D23"/>
    <w:rsid w:val="002F4ECF"/>
    <w:rsid w:val="002F643C"/>
    <w:rsid w:val="002F71C0"/>
    <w:rsid w:val="00300DB8"/>
    <w:rsid w:val="00301017"/>
    <w:rsid w:val="0030155F"/>
    <w:rsid w:val="0030587B"/>
    <w:rsid w:val="003059B5"/>
    <w:rsid w:val="003063CC"/>
    <w:rsid w:val="00306D98"/>
    <w:rsid w:val="0030786C"/>
    <w:rsid w:val="0031031A"/>
    <w:rsid w:val="00310981"/>
    <w:rsid w:val="00310CFD"/>
    <w:rsid w:val="00315498"/>
    <w:rsid w:val="003160C0"/>
    <w:rsid w:val="00316709"/>
    <w:rsid w:val="00321125"/>
    <w:rsid w:val="00322107"/>
    <w:rsid w:val="00322846"/>
    <w:rsid w:val="003230BE"/>
    <w:rsid w:val="003231A6"/>
    <w:rsid w:val="00326DA7"/>
    <w:rsid w:val="003270E4"/>
    <w:rsid w:val="00330AD0"/>
    <w:rsid w:val="00330F5C"/>
    <w:rsid w:val="00332BE9"/>
    <w:rsid w:val="0033389D"/>
    <w:rsid w:val="00334140"/>
    <w:rsid w:val="003343F5"/>
    <w:rsid w:val="00334F78"/>
    <w:rsid w:val="00335B8E"/>
    <w:rsid w:val="003366C9"/>
    <w:rsid w:val="003371B0"/>
    <w:rsid w:val="00340DF1"/>
    <w:rsid w:val="00341214"/>
    <w:rsid w:val="00345B0C"/>
    <w:rsid w:val="00347F9C"/>
    <w:rsid w:val="003517F9"/>
    <w:rsid w:val="0035357E"/>
    <w:rsid w:val="00353FC6"/>
    <w:rsid w:val="0035620E"/>
    <w:rsid w:val="00356EB4"/>
    <w:rsid w:val="00357BB1"/>
    <w:rsid w:val="003624C4"/>
    <w:rsid w:val="003641C2"/>
    <w:rsid w:val="003650C1"/>
    <w:rsid w:val="0036545F"/>
    <w:rsid w:val="003654AC"/>
    <w:rsid w:val="0036765D"/>
    <w:rsid w:val="003710CF"/>
    <w:rsid w:val="003716F9"/>
    <w:rsid w:val="0037358A"/>
    <w:rsid w:val="003750F6"/>
    <w:rsid w:val="003760FC"/>
    <w:rsid w:val="00376793"/>
    <w:rsid w:val="00377803"/>
    <w:rsid w:val="0038365C"/>
    <w:rsid w:val="0038369B"/>
    <w:rsid w:val="00383B78"/>
    <w:rsid w:val="00385A9D"/>
    <w:rsid w:val="00385E64"/>
    <w:rsid w:val="003902B1"/>
    <w:rsid w:val="00392A01"/>
    <w:rsid w:val="00392D85"/>
    <w:rsid w:val="00394796"/>
    <w:rsid w:val="00394F94"/>
    <w:rsid w:val="0039519A"/>
    <w:rsid w:val="00396896"/>
    <w:rsid w:val="00396DA0"/>
    <w:rsid w:val="00396FD0"/>
    <w:rsid w:val="00397AE6"/>
    <w:rsid w:val="003A0F55"/>
    <w:rsid w:val="003A1A7A"/>
    <w:rsid w:val="003A2392"/>
    <w:rsid w:val="003A2831"/>
    <w:rsid w:val="003A3ED1"/>
    <w:rsid w:val="003B058B"/>
    <w:rsid w:val="003B1A60"/>
    <w:rsid w:val="003B30D6"/>
    <w:rsid w:val="003B5B61"/>
    <w:rsid w:val="003B604A"/>
    <w:rsid w:val="003B6503"/>
    <w:rsid w:val="003C1654"/>
    <w:rsid w:val="003C3A10"/>
    <w:rsid w:val="003C5B70"/>
    <w:rsid w:val="003C7D19"/>
    <w:rsid w:val="003D057A"/>
    <w:rsid w:val="003D05F4"/>
    <w:rsid w:val="003D0E98"/>
    <w:rsid w:val="003D1828"/>
    <w:rsid w:val="003D1C98"/>
    <w:rsid w:val="003D1DE4"/>
    <w:rsid w:val="003D2422"/>
    <w:rsid w:val="003D26CA"/>
    <w:rsid w:val="003D3469"/>
    <w:rsid w:val="003D3562"/>
    <w:rsid w:val="003D39A1"/>
    <w:rsid w:val="003D3F72"/>
    <w:rsid w:val="003D3FBF"/>
    <w:rsid w:val="003D4A30"/>
    <w:rsid w:val="003D4B5D"/>
    <w:rsid w:val="003D5FB7"/>
    <w:rsid w:val="003D62AC"/>
    <w:rsid w:val="003D79BB"/>
    <w:rsid w:val="003D7C98"/>
    <w:rsid w:val="003E0543"/>
    <w:rsid w:val="003E104D"/>
    <w:rsid w:val="003E403F"/>
    <w:rsid w:val="003E57A1"/>
    <w:rsid w:val="003E6312"/>
    <w:rsid w:val="003F0618"/>
    <w:rsid w:val="003F0E6A"/>
    <w:rsid w:val="003F1FFE"/>
    <w:rsid w:val="003F3E48"/>
    <w:rsid w:val="003F4156"/>
    <w:rsid w:val="003F5C7B"/>
    <w:rsid w:val="003F5FEF"/>
    <w:rsid w:val="003F6337"/>
    <w:rsid w:val="0040055D"/>
    <w:rsid w:val="00400B29"/>
    <w:rsid w:val="004012C9"/>
    <w:rsid w:val="0040504B"/>
    <w:rsid w:val="00405FBA"/>
    <w:rsid w:val="00410708"/>
    <w:rsid w:val="00410EC7"/>
    <w:rsid w:val="00411B39"/>
    <w:rsid w:val="00413A1E"/>
    <w:rsid w:val="00414476"/>
    <w:rsid w:val="00414C2E"/>
    <w:rsid w:val="004151CF"/>
    <w:rsid w:val="00416364"/>
    <w:rsid w:val="00420AA6"/>
    <w:rsid w:val="00420B9F"/>
    <w:rsid w:val="00421EE7"/>
    <w:rsid w:val="00422260"/>
    <w:rsid w:val="00423E95"/>
    <w:rsid w:val="0042413F"/>
    <w:rsid w:val="0042469E"/>
    <w:rsid w:val="00425F83"/>
    <w:rsid w:val="00426628"/>
    <w:rsid w:val="00426841"/>
    <w:rsid w:val="004319F8"/>
    <w:rsid w:val="00431E55"/>
    <w:rsid w:val="004321F6"/>
    <w:rsid w:val="00433044"/>
    <w:rsid w:val="00433D73"/>
    <w:rsid w:val="00433DEB"/>
    <w:rsid w:val="004375B9"/>
    <w:rsid w:val="004428D0"/>
    <w:rsid w:val="004431A0"/>
    <w:rsid w:val="004443A7"/>
    <w:rsid w:val="0044442C"/>
    <w:rsid w:val="00445941"/>
    <w:rsid w:val="004464EB"/>
    <w:rsid w:val="00447D26"/>
    <w:rsid w:val="004505AC"/>
    <w:rsid w:val="004537F3"/>
    <w:rsid w:val="00454A6C"/>
    <w:rsid w:val="00455D20"/>
    <w:rsid w:val="00455D45"/>
    <w:rsid w:val="00456CAE"/>
    <w:rsid w:val="004602BB"/>
    <w:rsid w:val="00460EC6"/>
    <w:rsid w:val="00461029"/>
    <w:rsid w:val="004629AD"/>
    <w:rsid w:val="00464595"/>
    <w:rsid w:val="00465F4C"/>
    <w:rsid w:val="00470C0A"/>
    <w:rsid w:val="00472A79"/>
    <w:rsid w:val="00473F19"/>
    <w:rsid w:val="00474459"/>
    <w:rsid w:val="00475E22"/>
    <w:rsid w:val="0048088E"/>
    <w:rsid w:val="00481635"/>
    <w:rsid w:val="00482720"/>
    <w:rsid w:val="00482EBF"/>
    <w:rsid w:val="004833F9"/>
    <w:rsid w:val="004835E7"/>
    <w:rsid w:val="004838D8"/>
    <w:rsid w:val="004841B4"/>
    <w:rsid w:val="004846FF"/>
    <w:rsid w:val="00484A21"/>
    <w:rsid w:val="004867E2"/>
    <w:rsid w:val="00490809"/>
    <w:rsid w:val="00491B3A"/>
    <w:rsid w:val="00492C96"/>
    <w:rsid w:val="00492CFD"/>
    <w:rsid w:val="004940F5"/>
    <w:rsid w:val="00494C16"/>
    <w:rsid w:val="00494DD5"/>
    <w:rsid w:val="004959F2"/>
    <w:rsid w:val="004961B1"/>
    <w:rsid w:val="004962A8"/>
    <w:rsid w:val="004962D2"/>
    <w:rsid w:val="00496CFF"/>
    <w:rsid w:val="00497F14"/>
    <w:rsid w:val="004A0DA1"/>
    <w:rsid w:val="004A39C2"/>
    <w:rsid w:val="004A4267"/>
    <w:rsid w:val="004A4EB8"/>
    <w:rsid w:val="004A52E9"/>
    <w:rsid w:val="004A5BFF"/>
    <w:rsid w:val="004A6597"/>
    <w:rsid w:val="004A7848"/>
    <w:rsid w:val="004B04D1"/>
    <w:rsid w:val="004B1CB4"/>
    <w:rsid w:val="004B28F0"/>
    <w:rsid w:val="004B2F18"/>
    <w:rsid w:val="004B3DDB"/>
    <w:rsid w:val="004B44FD"/>
    <w:rsid w:val="004B561B"/>
    <w:rsid w:val="004B5CFC"/>
    <w:rsid w:val="004B6AC5"/>
    <w:rsid w:val="004B774D"/>
    <w:rsid w:val="004B7C12"/>
    <w:rsid w:val="004C4AED"/>
    <w:rsid w:val="004C61C2"/>
    <w:rsid w:val="004D00E6"/>
    <w:rsid w:val="004D118B"/>
    <w:rsid w:val="004D2C2D"/>
    <w:rsid w:val="004D5C81"/>
    <w:rsid w:val="004D7227"/>
    <w:rsid w:val="004D7F6C"/>
    <w:rsid w:val="004E0E7F"/>
    <w:rsid w:val="004E0EB8"/>
    <w:rsid w:val="004E294B"/>
    <w:rsid w:val="004E2ADC"/>
    <w:rsid w:val="004E43B2"/>
    <w:rsid w:val="004E4C66"/>
    <w:rsid w:val="004E725F"/>
    <w:rsid w:val="004F06A3"/>
    <w:rsid w:val="004F147B"/>
    <w:rsid w:val="004F1D02"/>
    <w:rsid w:val="004F2679"/>
    <w:rsid w:val="004F26D2"/>
    <w:rsid w:val="004F2F21"/>
    <w:rsid w:val="004F450B"/>
    <w:rsid w:val="004F4FC6"/>
    <w:rsid w:val="004F6913"/>
    <w:rsid w:val="004F69F7"/>
    <w:rsid w:val="004F7865"/>
    <w:rsid w:val="00500806"/>
    <w:rsid w:val="0050219B"/>
    <w:rsid w:val="00502889"/>
    <w:rsid w:val="00502F52"/>
    <w:rsid w:val="005033C9"/>
    <w:rsid w:val="00503960"/>
    <w:rsid w:val="00503F17"/>
    <w:rsid w:val="0050574B"/>
    <w:rsid w:val="005060A7"/>
    <w:rsid w:val="00506928"/>
    <w:rsid w:val="00507C06"/>
    <w:rsid w:val="0051047C"/>
    <w:rsid w:val="00511483"/>
    <w:rsid w:val="005152B5"/>
    <w:rsid w:val="00521319"/>
    <w:rsid w:val="00522654"/>
    <w:rsid w:val="00522BC8"/>
    <w:rsid w:val="00523C28"/>
    <w:rsid w:val="00523E29"/>
    <w:rsid w:val="00523F2D"/>
    <w:rsid w:val="00525CAC"/>
    <w:rsid w:val="00526E0A"/>
    <w:rsid w:val="005330ED"/>
    <w:rsid w:val="00534AD2"/>
    <w:rsid w:val="00536F42"/>
    <w:rsid w:val="00537182"/>
    <w:rsid w:val="00541608"/>
    <w:rsid w:val="00541D50"/>
    <w:rsid w:val="0054230F"/>
    <w:rsid w:val="00542743"/>
    <w:rsid w:val="00542C2D"/>
    <w:rsid w:val="00544A14"/>
    <w:rsid w:val="005462C8"/>
    <w:rsid w:val="00547AA1"/>
    <w:rsid w:val="00551985"/>
    <w:rsid w:val="00552BD3"/>
    <w:rsid w:val="00554823"/>
    <w:rsid w:val="00555109"/>
    <w:rsid w:val="0055542C"/>
    <w:rsid w:val="00560935"/>
    <w:rsid w:val="00564808"/>
    <w:rsid w:val="005654AD"/>
    <w:rsid w:val="0056696F"/>
    <w:rsid w:val="00566F8F"/>
    <w:rsid w:val="00571528"/>
    <w:rsid w:val="00572269"/>
    <w:rsid w:val="0057244A"/>
    <w:rsid w:val="00575D8D"/>
    <w:rsid w:val="00576972"/>
    <w:rsid w:val="0058265F"/>
    <w:rsid w:val="00582AC4"/>
    <w:rsid w:val="005831DD"/>
    <w:rsid w:val="00583699"/>
    <w:rsid w:val="00585CDD"/>
    <w:rsid w:val="00586C07"/>
    <w:rsid w:val="00587058"/>
    <w:rsid w:val="005903A0"/>
    <w:rsid w:val="00591957"/>
    <w:rsid w:val="00597BF9"/>
    <w:rsid w:val="005A0695"/>
    <w:rsid w:val="005A1E12"/>
    <w:rsid w:val="005A373D"/>
    <w:rsid w:val="005A3CB0"/>
    <w:rsid w:val="005A66C9"/>
    <w:rsid w:val="005A7EBF"/>
    <w:rsid w:val="005B0367"/>
    <w:rsid w:val="005B27EA"/>
    <w:rsid w:val="005B5857"/>
    <w:rsid w:val="005B750F"/>
    <w:rsid w:val="005B7F3B"/>
    <w:rsid w:val="005C174E"/>
    <w:rsid w:val="005C1B83"/>
    <w:rsid w:val="005C230A"/>
    <w:rsid w:val="005C2D55"/>
    <w:rsid w:val="005C346B"/>
    <w:rsid w:val="005C6929"/>
    <w:rsid w:val="005C778E"/>
    <w:rsid w:val="005D044D"/>
    <w:rsid w:val="005D0ABD"/>
    <w:rsid w:val="005D18AD"/>
    <w:rsid w:val="005D26B4"/>
    <w:rsid w:val="005D2A97"/>
    <w:rsid w:val="005D33F0"/>
    <w:rsid w:val="005D7566"/>
    <w:rsid w:val="005D7A13"/>
    <w:rsid w:val="005E1EDC"/>
    <w:rsid w:val="005E6CBC"/>
    <w:rsid w:val="005E73C0"/>
    <w:rsid w:val="005F1741"/>
    <w:rsid w:val="005F2706"/>
    <w:rsid w:val="005F6A8F"/>
    <w:rsid w:val="005F7EDB"/>
    <w:rsid w:val="006004F0"/>
    <w:rsid w:val="006013D2"/>
    <w:rsid w:val="00603DB9"/>
    <w:rsid w:val="006053C2"/>
    <w:rsid w:val="0060694B"/>
    <w:rsid w:val="00606A51"/>
    <w:rsid w:val="00607669"/>
    <w:rsid w:val="00607AFD"/>
    <w:rsid w:val="00612F97"/>
    <w:rsid w:val="0061345D"/>
    <w:rsid w:val="00613C1D"/>
    <w:rsid w:val="00613C90"/>
    <w:rsid w:val="006143A7"/>
    <w:rsid w:val="00615CA1"/>
    <w:rsid w:val="00616340"/>
    <w:rsid w:val="006165AD"/>
    <w:rsid w:val="00616802"/>
    <w:rsid w:val="00616DDB"/>
    <w:rsid w:val="00617E12"/>
    <w:rsid w:val="0062018D"/>
    <w:rsid w:val="00620C78"/>
    <w:rsid w:val="00621477"/>
    <w:rsid w:val="0062152F"/>
    <w:rsid w:val="00626744"/>
    <w:rsid w:val="00626F88"/>
    <w:rsid w:val="00630DED"/>
    <w:rsid w:val="0063158F"/>
    <w:rsid w:val="00631D6B"/>
    <w:rsid w:val="006321D9"/>
    <w:rsid w:val="006330A1"/>
    <w:rsid w:val="0063479F"/>
    <w:rsid w:val="00635003"/>
    <w:rsid w:val="006353F0"/>
    <w:rsid w:val="006364A1"/>
    <w:rsid w:val="006378E1"/>
    <w:rsid w:val="00637BFD"/>
    <w:rsid w:val="0064154B"/>
    <w:rsid w:val="00641C4E"/>
    <w:rsid w:val="0064670A"/>
    <w:rsid w:val="006471CC"/>
    <w:rsid w:val="00647DAD"/>
    <w:rsid w:val="0065079F"/>
    <w:rsid w:val="0065379F"/>
    <w:rsid w:val="006577E1"/>
    <w:rsid w:val="00661859"/>
    <w:rsid w:val="00661C6B"/>
    <w:rsid w:val="006624E0"/>
    <w:rsid w:val="00664CBE"/>
    <w:rsid w:val="006669E0"/>
    <w:rsid w:val="00667735"/>
    <w:rsid w:val="006716C6"/>
    <w:rsid w:val="00671936"/>
    <w:rsid w:val="00674E42"/>
    <w:rsid w:val="00675F77"/>
    <w:rsid w:val="00681E5B"/>
    <w:rsid w:val="00682112"/>
    <w:rsid w:val="00683562"/>
    <w:rsid w:val="0068675E"/>
    <w:rsid w:val="00686957"/>
    <w:rsid w:val="006872BA"/>
    <w:rsid w:val="00690D8E"/>
    <w:rsid w:val="00691648"/>
    <w:rsid w:val="006917D7"/>
    <w:rsid w:val="00693D0D"/>
    <w:rsid w:val="006943AE"/>
    <w:rsid w:val="006943DC"/>
    <w:rsid w:val="00694F44"/>
    <w:rsid w:val="006956FD"/>
    <w:rsid w:val="0069692E"/>
    <w:rsid w:val="006A1D07"/>
    <w:rsid w:val="006A21AE"/>
    <w:rsid w:val="006A35C1"/>
    <w:rsid w:val="006A491B"/>
    <w:rsid w:val="006A7E5F"/>
    <w:rsid w:val="006B0DC5"/>
    <w:rsid w:val="006B261B"/>
    <w:rsid w:val="006B2C90"/>
    <w:rsid w:val="006B3E1A"/>
    <w:rsid w:val="006B6DD0"/>
    <w:rsid w:val="006B6E5D"/>
    <w:rsid w:val="006B6F10"/>
    <w:rsid w:val="006C14EF"/>
    <w:rsid w:val="006C2A8E"/>
    <w:rsid w:val="006C6168"/>
    <w:rsid w:val="006D3C7D"/>
    <w:rsid w:val="006D3DD6"/>
    <w:rsid w:val="006D5D5F"/>
    <w:rsid w:val="006D6FE4"/>
    <w:rsid w:val="006D7D7E"/>
    <w:rsid w:val="006E227C"/>
    <w:rsid w:val="006E274A"/>
    <w:rsid w:val="006E432C"/>
    <w:rsid w:val="006E44EA"/>
    <w:rsid w:val="006E63FA"/>
    <w:rsid w:val="006E7F3B"/>
    <w:rsid w:val="006F306C"/>
    <w:rsid w:val="006F63A5"/>
    <w:rsid w:val="006F7836"/>
    <w:rsid w:val="0070142B"/>
    <w:rsid w:val="00701F53"/>
    <w:rsid w:val="0070276E"/>
    <w:rsid w:val="00702F8F"/>
    <w:rsid w:val="007049DB"/>
    <w:rsid w:val="00710019"/>
    <w:rsid w:val="00711189"/>
    <w:rsid w:val="00711A36"/>
    <w:rsid w:val="00713DBA"/>
    <w:rsid w:val="00715076"/>
    <w:rsid w:val="0071529C"/>
    <w:rsid w:val="00716236"/>
    <w:rsid w:val="007172AD"/>
    <w:rsid w:val="00720109"/>
    <w:rsid w:val="00720B24"/>
    <w:rsid w:val="00722715"/>
    <w:rsid w:val="00722B1B"/>
    <w:rsid w:val="0072416F"/>
    <w:rsid w:val="00724A2B"/>
    <w:rsid w:val="007257D3"/>
    <w:rsid w:val="00727C94"/>
    <w:rsid w:val="00731EAE"/>
    <w:rsid w:val="00735033"/>
    <w:rsid w:val="00735328"/>
    <w:rsid w:val="00735FAA"/>
    <w:rsid w:val="0073685B"/>
    <w:rsid w:val="00741504"/>
    <w:rsid w:val="00741BC7"/>
    <w:rsid w:val="007441B5"/>
    <w:rsid w:val="00746276"/>
    <w:rsid w:val="00746BFC"/>
    <w:rsid w:val="007470C7"/>
    <w:rsid w:val="0074786B"/>
    <w:rsid w:val="007507CC"/>
    <w:rsid w:val="0075124A"/>
    <w:rsid w:val="0075183C"/>
    <w:rsid w:val="007520AC"/>
    <w:rsid w:val="00752142"/>
    <w:rsid w:val="007523F9"/>
    <w:rsid w:val="007573E8"/>
    <w:rsid w:val="00757F7E"/>
    <w:rsid w:val="00760C4E"/>
    <w:rsid w:val="007628D6"/>
    <w:rsid w:val="00765B1A"/>
    <w:rsid w:val="0076708C"/>
    <w:rsid w:val="0076756D"/>
    <w:rsid w:val="00767598"/>
    <w:rsid w:val="00770024"/>
    <w:rsid w:val="00770115"/>
    <w:rsid w:val="00773112"/>
    <w:rsid w:val="00774239"/>
    <w:rsid w:val="00777709"/>
    <w:rsid w:val="00777751"/>
    <w:rsid w:val="00780B42"/>
    <w:rsid w:val="007827B6"/>
    <w:rsid w:val="00782958"/>
    <w:rsid w:val="007843F2"/>
    <w:rsid w:val="00784B39"/>
    <w:rsid w:val="007863D6"/>
    <w:rsid w:val="00792A77"/>
    <w:rsid w:val="00793F26"/>
    <w:rsid w:val="00794C1A"/>
    <w:rsid w:val="00796A0C"/>
    <w:rsid w:val="00797C81"/>
    <w:rsid w:val="007A0A12"/>
    <w:rsid w:val="007A0C1E"/>
    <w:rsid w:val="007A132D"/>
    <w:rsid w:val="007A3B42"/>
    <w:rsid w:val="007A5372"/>
    <w:rsid w:val="007A5437"/>
    <w:rsid w:val="007A700D"/>
    <w:rsid w:val="007B0D68"/>
    <w:rsid w:val="007B10B7"/>
    <w:rsid w:val="007B1C2B"/>
    <w:rsid w:val="007B251D"/>
    <w:rsid w:val="007B34D1"/>
    <w:rsid w:val="007B4F58"/>
    <w:rsid w:val="007B528D"/>
    <w:rsid w:val="007B600E"/>
    <w:rsid w:val="007B6F64"/>
    <w:rsid w:val="007B77D1"/>
    <w:rsid w:val="007B79B8"/>
    <w:rsid w:val="007B7F12"/>
    <w:rsid w:val="007C1CD9"/>
    <w:rsid w:val="007C27D4"/>
    <w:rsid w:val="007C361D"/>
    <w:rsid w:val="007C3905"/>
    <w:rsid w:val="007C4B84"/>
    <w:rsid w:val="007C751D"/>
    <w:rsid w:val="007D004F"/>
    <w:rsid w:val="007D0B38"/>
    <w:rsid w:val="007D2C5A"/>
    <w:rsid w:val="007D5440"/>
    <w:rsid w:val="007D54DA"/>
    <w:rsid w:val="007D6377"/>
    <w:rsid w:val="007D6F71"/>
    <w:rsid w:val="007E00B7"/>
    <w:rsid w:val="007E1CA0"/>
    <w:rsid w:val="007E2570"/>
    <w:rsid w:val="007E3855"/>
    <w:rsid w:val="007E590C"/>
    <w:rsid w:val="007E6E34"/>
    <w:rsid w:val="007E6E9D"/>
    <w:rsid w:val="007E76E1"/>
    <w:rsid w:val="007F1017"/>
    <w:rsid w:val="007F4162"/>
    <w:rsid w:val="007F4A3F"/>
    <w:rsid w:val="007F4A61"/>
    <w:rsid w:val="007F5020"/>
    <w:rsid w:val="007F61C2"/>
    <w:rsid w:val="007F79E2"/>
    <w:rsid w:val="007F7BF1"/>
    <w:rsid w:val="008001D3"/>
    <w:rsid w:val="00802C09"/>
    <w:rsid w:val="00803002"/>
    <w:rsid w:val="008031DF"/>
    <w:rsid w:val="00804751"/>
    <w:rsid w:val="00805142"/>
    <w:rsid w:val="00806554"/>
    <w:rsid w:val="00807A8B"/>
    <w:rsid w:val="0081098C"/>
    <w:rsid w:val="00810BFE"/>
    <w:rsid w:val="00811383"/>
    <w:rsid w:val="00811D9D"/>
    <w:rsid w:val="00812149"/>
    <w:rsid w:val="00812CAC"/>
    <w:rsid w:val="0081354C"/>
    <w:rsid w:val="008166EF"/>
    <w:rsid w:val="0081747F"/>
    <w:rsid w:val="008211E7"/>
    <w:rsid w:val="0082258C"/>
    <w:rsid w:val="00823BF2"/>
    <w:rsid w:val="008246B1"/>
    <w:rsid w:val="00825751"/>
    <w:rsid w:val="008264EB"/>
    <w:rsid w:val="0083296C"/>
    <w:rsid w:val="00833B05"/>
    <w:rsid w:val="00833D1F"/>
    <w:rsid w:val="008362B4"/>
    <w:rsid w:val="00837A59"/>
    <w:rsid w:val="008404FD"/>
    <w:rsid w:val="00840CA2"/>
    <w:rsid w:val="00840E22"/>
    <w:rsid w:val="00843302"/>
    <w:rsid w:val="008435AE"/>
    <w:rsid w:val="0084374F"/>
    <w:rsid w:val="00844CC4"/>
    <w:rsid w:val="00845A1A"/>
    <w:rsid w:val="0084634A"/>
    <w:rsid w:val="00847DF5"/>
    <w:rsid w:val="0085309D"/>
    <w:rsid w:val="00856897"/>
    <w:rsid w:val="008568D8"/>
    <w:rsid w:val="00856E9A"/>
    <w:rsid w:val="008605E1"/>
    <w:rsid w:val="0086075D"/>
    <w:rsid w:val="00861B72"/>
    <w:rsid w:val="00861F30"/>
    <w:rsid w:val="008620B8"/>
    <w:rsid w:val="00862502"/>
    <w:rsid w:val="00862F7F"/>
    <w:rsid w:val="008636B3"/>
    <w:rsid w:val="00863CFF"/>
    <w:rsid w:val="008640CF"/>
    <w:rsid w:val="008651AD"/>
    <w:rsid w:val="008660D4"/>
    <w:rsid w:val="00866D62"/>
    <w:rsid w:val="00871FA9"/>
    <w:rsid w:val="00872871"/>
    <w:rsid w:val="008728E9"/>
    <w:rsid w:val="00877D60"/>
    <w:rsid w:val="00881AA1"/>
    <w:rsid w:val="00882874"/>
    <w:rsid w:val="00883787"/>
    <w:rsid w:val="00884ADB"/>
    <w:rsid w:val="008868B2"/>
    <w:rsid w:val="00886CD2"/>
    <w:rsid w:val="00886DEA"/>
    <w:rsid w:val="00891FFE"/>
    <w:rsid w:val="008924AF"/>
    <w:rsid w:val="00892A36"/>
    <w:rsid w:val="00893239"/>
    <w:rsid w:val="0089412F"/>
    <w:rsid w:val="00894489"/>
    <w:rsid w:val="008963A5"/>
    <w:rsid w:val="0089782A"/>
    <w:rsid w:val="00897FB2"/>
    <w:rsid w:val="008A1C04"/>
    <w:rsid w:val="008A2737"/>
    <w:rsid w:val="008A3363"/>
    <w:rsid w:val="008A3371"/>
    <w:rsid w:val="008A3C3E"/>
    <w:rsid w:val="008A5B02"/>
    <w:rsid w:val="008A682E"/>
    <w:rsid w:val="008A6D7B"/>
    <w:rsid w:val="008A6DCF"/>
    <w:rsid w:val="008A7619"/>
    <w:rsid w:val="008A79DE"/>
    <w:rsid w:val="008B07DE"/>
    <w:rsid w:val="008B1757"/>
    <w:rsid w:val="008B7540"/>
    <w:rsid w:val="008B7D7E"/>
    <w:rsid w:val="008C1AB1"/>
    <w:rsid w:val="008C2781"/>
    <w:rsid w:val="008C4A50"/>
    <w:rsid w:val="008C7AA1"/>
    <w:rsid w:val="008C7ECB"/>
    <w:rsid w:val="008D0331"/>
    <w:rsid w:val="008D0503"/>
    <w:rsid w:val="008D4755"/>
    <w:rsid w:val="008D4C3D"/>
    <w:rsid w:val="008D5B96"/>
    <w:rsid w:val="008D7A67"/>
    <w:rsid w:val="008E0D3C"/>
    <w:rsid w:val="008E1B9E"/>
    <w:rsid w:val="008E27B5"/>
    <w:rsid w:val="008E330A"/>
    <w:rsid w:val="008E55AB"/>
    <w:rsid w:val="008E6181"/>
    <w:rsid w:val="008E7714"/>
    <w:rsid w:val="008F0D30"/>
    <w:rsid w:val="008F120A"/>
    <w:rsid w:val="008F18CE"/>
    <w:rsid w:val="008F27E0"/>
    <w:rsid w:val="008F3C9D"/>
    <w:rsid w:val="008F48EB"/>
    <w:rsid w:val="008F4DE5"/>
    <w:rsid w:val="008F4F0B"/>
    <w:rsid w:val="008F5664"/>
    <w:rsid w:val="008F6781"/>
    <w:rsid w:val="00901D4C"/>
    <w:rsid w:val="00903867"/>
    <w:rsid w:val="0090409E"/>
    <w:rsid w:val="0090441E"/>
    <w:rsid w:val="009046C4"/>
    <w:rsid w:val="00904CDF"/>
    <w:rsid w:val="009053DE"/>
    <w:rsid w:val="009062A5"/>
    <w:rsid w:val="00907E4C"/>
    <w:rsid w:val="00910776"/>
    <w:rsid w:val="00911272"/>
    <w:rsid w:val="009135D6"/>
    <w:rsid w:val="00914C77"/>
    <w:rsid w:val="00917857"/>
    <w:rsid w:val="00922207"/>
    <w:rsid w:val="0092369B"/>
    <w:rsid w:val="00924B64"/>
    <w:rsid w:val="00927F39"/>
    <w:rsid w:val="0093026B"/>
    <w:rsid w:val="00931208"/>
    <w:rsid w:val="009313B7"/>
    <w:rsid w:val="009329E3"/>
    <w:rsid w:val="009341F7"/>
    <w:rsid w:val="00936850"/>
    <w:rsid w:val="00940E00"/>
    <w:rsid w:val="00942503"/>
    <w:rsid w:val="009425EF"/>
    <w:rsid w:val="00942C0D"/>
    <w:rsid w:val="00943425"/>
    <w:rsid w:val="009463FE"/>
    <w:rsid w:val="00947DD9"/>
    <w:rsid w:val="009510A2"/>
    <w:rsid w:val="00952C1F"/>
    <w:rsid w:val="00953257"/>
    <w:rsid w:val="0095405F"/>
    <w:rsid w:val="0095576A"/>
    <w:rsid w:val="009559BB"/>
    <w:rsid w:val="00956EAB"/>
    <w:rsid w:val="00957495"/>
    <w:rsid w:val="0095754E"/>
    <w:rsid w:val="00962974"/>
    <w:rsid w:val="00962CB9"/>
    <w:rsid w:val="009641A4"/>
    <w:rsid w:val="00964312"/>
    <w:rsid w:val="00965712"/>
    <w:rsid w:val="009657C9"/>
    <w:rsid w:val="00965B8A"/>
    <w:rsid w:val="009678F4"/>
    <w:rsid w:val="00967E18"/>
    <w:rsid w:val="009717AC"/>
    <w:rsid w:val="00971FF0"/>
    <w:rsid w:val="00973A29"/>
    <w:rsid w:val="00976DAC"/>
    <w:rsid w:val="0097706C"/>
    <w:rsid w:val="009802CF"/>
    <w:rsid w:val="009817B1"/>
    <w:rsid w:val="00981B1B"/>
    <w:rsid w:val="009830A2"/>
    <w:rsid w:val="00983E57"/>
    <w:rsid w:val="0098675D"/>
    <w:rsid w:val="0099059C"/>
    <w:rsid w:val="00990DF7"/>
    <w:rsid w:val="009935F2"/>
    <w:rsid w:val="0099646E"/>
    <w:rsid w:val="00996B1A"/>
    <w:rsid w:val="00996FC9"/>
    <w:rsid w:val="0099771A"/>
    <w:rsid w:val="009A18C9"/>
    <w:rsid w:val="009A3B92"/>
    <w:rsid w:val="009A3F21"/>
    <w:rsid w:val="009A4BBD"/>
    <w:rsid w:val="009A59CE"/>
    <w:rsid w:val="009A7960"/>
    <w:rsid w:val="009A7F10"/>
    <w:rsid w:val="009B28AC"/>
    <w:rsid w:val="009B2F3C"/>
    <w:rsid w:val="009B2F62"/>
    <w:rsid w:val="009B3E26"/>
    <w:rsid w:val="009B56E0"/>
    <w:rsid w:val="009B5858"/>
    <w:rsid w:val="009B6C50"/>
    <w:rsid w:val="009B7653"/>
    <w:rsid w:val="009C0C25"/>
    <w:rsid w:val="009C36B4"/>
    <w:rsid w:val="009C4CEE"/>
    <w:rsid w:val="009C50BD"/>
    <w:rsid w:val="009C5476"/>
    <w:rsid w:val="009C6CEA"/>
    <w:rsid w:val="009C6E14"/>
    <w:rsid w:val="009C70F4"/>
    <w:rsid w:val="009C7B85"/>
    <w:rsid w:val="009D08EC"/>
    <w:rsid w:val="009D0E5F"/>
    <w:rsid w:val="009D51A3"/>
    <w:rsid w:val="009D5B91"/>
    <w:rsid w:val="009D6586"/>
    <w:rsid w:val="009D792E"/>
    <w:rsid w:val="009E0DFE"/>
    <w:rsid w:val="009E27C9"/>
    <w:rsid w:val="009E2DF4"/>
    <w:rsid w:val="009E4C07"/>
    <w:rsid w:val="009E5F67"/>
    <w:rsid w:val="009F40C1"/>
    <w:rsid w:val="009F4A6F"/>
    <w:rsid w:val="009F5588"/>
    <w:rsid w:val="009F71A6"/>
    <w:rsid w:val="00A00119"/>
    <w:rsid w:val="00A01184"/>
    <w:rsid w:val="00A027B4"/>
    <w:rsid w:val="00A03D43"/>
    <w:rsid w:val="00A04380"/>
    <w:rsid w:val="00A04748"/>
    <w:rsid w:val="00A056C8"/>
    <w:rsid w:val="00A06883"/>
    <w:rsid w:val="00A0799B"/>
    <w:rsid w:val="00A07BD2"/>
    <w:rsid w:val="00A11489"/>
    <w:rsid w:val="00A11CD0"/>
    <w:rsid w:val="00A121A9"/>
    <w:rsid w:val="00A13948"/>
    <w:rsid w:val="00A13CCB"/>
    <w:rsid w:val="00A1555B"/>
    <w:rsid w:val="00A155C5"/>
    <w:rsid w:val="00A16549"/>
    <w:rsid w:val="00A16AD8"/>
    <w:rsid w:val="00A21CF3"/>
    <w:rsid w:val="00A268E9"/>
    <w:rsid w:val="00A278BB"/>
    <w:rsid w:val="00A27AEC"/>
    <w:rsid w:val="00A3073A"/>
    <w:rsid w:val="00A3160D"/>
    <w:rsid w:val="00A320DB"/>
    <w:rsid w:val="00A33616"/>
    <w:rsid w:val="00A35AF4"/>
    <w:rsid w:val="00A35D16"/>
    <w:rsid w:val="00A37BCD"/>
    <w:rsid w:val="00A37FE1"/>
    <w:rsid w:val="00A417A0"/>
    <w:rsid w:val="00A41F57"/>
    <w:rsid w:val="00A43C59"/>
    <w:rsid w:val="00A44734"/>
    <w:rsid w:val="00A50ECD"/>
    <w:rsid w:val="00A50F74"/>
    <w:rsid w:val="00A518F3"/>
    <w:rsid w:val="00A51F65"/>
    <w:rsid w:val="00A52182"/>
    <w:rsid w:val="00A52729"/>
    <w:rsid w:val="00A53675"/>
    <w:rsid w:val="00A5445C"/>
    <w:rsid w:val="00A55D20"/>
    <w:rsid w:val="00A56353"/>
    <w:rsid w:val="00A564D7"/>
    <w:rsid w:val="00A566FE"/>
    <w:rsid w:val="00A56B6A"/>
    <w:rsid w:val="00A578DC"/>
    <w:rsid w:val="00A60098"/>
    <w:rsid w:val="00A60A6C"/>
    <w:rsid w:val="00A62028"/>
    <w:rsid w:val="00A628EA"/>
    <w:rsid w:val="00A638A8"/>
    <w:rsid w:val="00A64860"/>
    <w:rsid w:val="00A65ECB"/>
    <w:rsid w:val="00A6725B"/>
    <w:rsid w:val="00A67EA2"/>
    <w:rsid w:val="00A7026D"/>
    <w:rsid w:val="00A70605"/>
    <w:rsid w:val="00A73134"/>
    <w:rsid w:val="00A73485"/>
    <w:rsid w:val="00A75AFB"/>
    <w:rsid w:val="00A777B2"/>
    <w:rsid w:val="00A83243"/>
    <w:rsid w:val="00A83EFF"/>
    <w:rsid w:val="00A84F99"/>
    <w:rsid w:val="00A86B85"/>
    <w:rsid w:val="00A86E8B"/>
    <w:rsid w:val="00A87164"/>
    <w:rsid w:val="00A87D7F"/>
    <w:rsid w:val="00A907F6"/>
    <w:rsid w:val="00A93072"/>
    <w:rsid w:val="00A93953"/>
    <w:rsid w:val="00A9461B"/>
    <w:rsid w:val="00A957B4"/>
    <w:rsid w:val="00A959D8"/>
    <w:rsid w:val="00A95B08"/>
    <w:rsid w:val="00AA06CC"/>
    <w:rsid w:val="00AA0ED8"/>
    <w:rsid w:val="00AA113D"/>
    <w:rsid w:val="00AA4331"/>
    <w:rsid w:val="00AA56C7"/>
    <w:rsid w:val="00AA5E74"/>
    <w:rsid w:val="00AA6C7D"/>
    <w:rsid w:val="00AA6D1E"/>
    <w:rsid w:val="00AA7FD6"/>
    <w:rsid w:val="00AB042A"/>
    <w:rsid w:val="00AB0834"/>
    <w:rsid w:val="00AB11C9"/>
    <w:rsid w:val="00AB1385"/>
    <w:rsid w:val="00AB2B05"/>
    <w:rsid w:val="00AB2D34"/>
    <w:rsid w:val="00AB3430"/>
    <w:rsid w:val="00AB4AD1"/>
    <w:rsid w:val="00AB6AF1"/>
    <w:rsid w:val="00AB7CFA"/>
    <w:rsid w:val="00AB7E11"/>
    <w:rsid w:val="00AC16F7"/>
    <w:rsid w:val="00AC1962"/>
    <w:rsid w:val="00AC2134"/>
    <w:rsid w:val="00AC2CEA"/>
    <w:rsid w:val="00AC5B48"/>
    <w:rsid w:val="00AC6AF3"/>
    <w:rsid w:val="00AD2AF9"/>
    <w:rsid w:val="00AD38E9"/>
    <w:rsid w:val="00AD48C4"/>
    <w:rsid w:val="00AD5F8B"/>
    <w:rsid w:val="00AD6502"/>
    <w:rsid w:val="00AD65DD"/>
    <w:rsid w:val="00AD7873"/>
    <w:rsid w:val="00AE0108"/>
    <w:rsid w:val="00AE118F"/>
    <w:rsid w:val="00AE2080"/>
    <w:rsid w:val="00AE5A58"/>
    <w:rsid w:val="00AF1315"/>
    <w:rsid w:val="00AF19BF"/>
    <w:rsid w:val="00AF2DC3"/>
    <w:rsid w:val="00AF2FD8"/>
    <w:rsid w:val="00AF320E"/>
    <w:rsid w:val="00AF5EE5"/>
    <w:rsid w:val="00B02AC9"/>
    <w:rsid w:val="00B033E5"/>
    <w:rsid w:val="00B03742"/>
    <w:rsid w:val="00B03A63"/>
    <w:rsid w:val="00B107A8"/>
    <w:rsid w:val="00B111EC"/>
    <w:rsid w:val="00B13062"/>
    <w:rsid w:val="00B132A4"/>
    <w:rsid w:val="00B13B45"/>
    <w:rsid w:val="00B1727C"/>
    <w:rsid w:val="00B201A4"/>
    <w:rsid w:val="00B213A6"/>
    <w:rsid w:val="00B21AF9"/>
    <w:rsid w:val="00B2355A"/>
    <w:rsid w:val="00B23879"/>
    <w:rsid w:val="00B24A2A"/>
    <w:rsid w:val="00B24DF6"/>
    <w:rsid w:val="00B2550B"/>
    <w:rsid w:val="00B25A0A"/>
    <w:rsid w:val="00B279F0"/>
    <w:rsid w:val="00B31135"/>
    <w:rsid w:val="00B3351C"/>
    <w:rsid w:val="00B34FE2"/>
    <w:rsid w:val="00B357D8"/>
    <w:rsid w:val="00B37BFC"/>
    <w:rsid w:val="00B37F78"/>
    <w:rsid w:val="00B40358"/>
    <w:rsid w:val="00B41614"/>
    <w:rsid w:val="00B42851"/>
    <w:rsid w:val="00B42935"/>
    <w:rsid w:val="00B42F80"/>
    <w:rsid w:val="00B435CB"/>
    <w:rsid w:val="00B45CF0"/>
    <w:rsid w:val="00B46B23"/>
    <w:rsid w:val="00B50DB8"/>
    <w:rsid w:val="00B5180E"/>
    <w:rsid w:val="00B53654"/>
    <w:rsid w:val="00B53905"/>
    <w:rsid w:val="00B547BB"/>
    <w:rsid w:val="00B54B5B"/>
    <w:rsid w:val="00B5562E"/>
    <w:rsid w:val="00B57000"/>
    <w:rsid w:val="00B60281"/>
    <w:rsid w:val="00B60939"/>
    <w:rsid w:val="00B60AFD"/>
    <w:rsid w:val="00B61722"/>
    <w:rsid w:val="00B62715"/>
    <w:rsid w:val="00B62E43"/>
    <w:rsid w:val="00B657B9"/>
    <w:rsid w:val="00B7368C"/>
    <w:rsid w:val="00B76511"/>
    <w:rsid w:val="00B818A4"/>
    <w:rsid w:val="00B825A9"/>
    <w:rsid w:val="00B82E52"/>
    <w:rsid w:val="00B82F1B"/>
    <w:rsid w:val="00B838F9"/>
    <w:rsid w:val="00B83A8A"/>
    <w:rsid w:val="00B84117"/>
    <w:rsid w:val="00B844FA"/>
    <w:rsid w:val="00B8483B"/>
    <w:rsid w:val="00B85AA2"/>
    <w:rsid w:val="00B8649C"/>
    <w:rsid w:val="00B864B9"/>
    <w:rsid w:val="00B8790D"/>
    <w:rsid w:val="00B87F0A"/>
    <w:rsid w:val="00B90844"/>
    <w:rsid w:val="00B91B3F"/>
    <w:rsid w:val="00B92D0B"/>
    <w:rsid w:val="00B933CD"/>
    <w:rsid w:val="00B933E6"/>
    <w:rsid w:val="00B944B6"/>
    <w:rsid w:val="00B946F2"/>
    <w:rsid w:val="00B947E8"/>
    <w:rsid w:val="00B94945"/>
    <w:rsid w:val="00B9529D"/>
    <w:rsid w:val="00B95340"/>
    <w:rsid w:val="00B965AD"/>
    <w:rsid w:val="00B96A7A"/>
    <w:rsid w:val="00B972BC"/>
    <w:rsid w:val="00BA014F"/>
    <w:rsid w:val="00BA0F93"/>
    <w:rsid w:val="00BA1961"/>
    <w:rsid w:val="00BA322D"/>
    <w:rsid w:val="00BA3926"/>
    <w:rsid w:val="00BA687A"/>
    <w:rsid w:val="00BB0BDD"/>
    <w:rsid w:val="00BB1AD5"/>
    <w:rsid w:val="00BB22C4"/>
    <w:rsid w:val="00BB29D1"/>
    <w:rsid w:val="00BB2A73"/>
    <w:rsid w:val="00BB305D"/>
    <w:rsid w:val="00BB4ACC"/>
    <w:rsid w:val="00BB4B86"/>
    <w:rsid w:val="00BB4F8C"/>
    <w:rsid w:val="00BB52B1"/>
    <w:rsid w:val="00BB6486"/>
    <w:rsid w:val="00BB703E"/>
    <w:rsid w:val="00BB7405"/>
    <w:rsid w:val="00BC0ACB"/>
    <w:rsid w:val="00BC3631"/>
    <w:rsid w:val="00BD0151"/>
    <w:rsid w:val="00BD20F3"/>
    <w:rsid w:val="00BD2AD2"/>
    <w:rsid w:val="00BD494A"/>
    <w:rsid w:val="00BD678E"/>
    <w:rsid w:val="00BD68A3"/>
    <w:rsid w:val="00BD6938"/>
    <w:rsid w:val="00BD6CF3"/>
    <w:rsid w:val="00BD74E2"/>
    <w:rsid w:val="00BE0F02"/>
    <w:rsid w:val="00BE1F6E"/>
    <w:rsid w:val="00BE2180"/>
    <w:rsid w:val="00BE21F2"/>
    <w:rsid w:val="00BE3097"/>
    <w:rsid w:val="00BE31C7"/>
    <w:rsid w:val="00BE4275"/>
    <w:rsid w:val="00BE4A57"/>
    <w:rsid w:val="00BE6264"/>
    <w:rsid w:val="00BF0216"/>
    <w:rsid w:val="00BF0F95"/>
    <w:rsid w:val="00BF14C1"/>
    <w:rsid w:val="00BF1763"/>
    <w:rsid w:val="00BF182A"/>
    <w:rsid w:val="00BF2433"/>
    <w:rsid w:val="00BF4A6C"/>
    <w:rsid w:val="00BF61C9"/>
    <w:rsid w:val="00BF65D0"/>
    <w:rsid w:val="00BF6C94"/>
    <w:rsid w:val="00C00424"/>
    <w:rsid w:val="00C02462"/>
    <w:rsid w:val="00C044D9"/>
    <w:rsid w:val="00C062D0"/>
    <w:rsid w:val="00C07BFC"/>
    <w:rsid w:val="00C10012"/>
    <w:rsid w:val="00C10F83"/>
    <w:rsid w:val="00C11040"/>
    <w:rsid w:val="00C12C14"/>
    <w:rsid w:val="00C13CD3"/>
    <w:rsid w:val="00C1526B"/>
    <w:rsid w:val="00C177CE"/>
    <w:rsid w:val="00C200AA"/>
    <w:rsid w:val="00C205B8"/>
    <w:rsid w:val="00C211A1"/>
    <w:rsid w:val="00C217B0"/>
    <w:rsid w:val="00C22F6B"/>
    <w:rsid w:val="00C237ED"/>
    <w:rsid w:val="00C24632"/>
    <w:rsid w:val="00C24AC5"/>
    <w:rsid w:val="00C25418"/>
    <w:rsid w:val="00C25D9C"/>
    <w:rsid w:val="00C2778B"/>
    <w:rsid w:val="00C307E2"/>
    <w:rsid w:val="00C3120C"/>
    <w:rsid w:val="00C31649"/>
    <w:rsid w:val="00C32AC8"/>
    <w:rsid w:val="00C3320D"/>
    <w:rsid w:val="00C345BC"/>
    <w:rsid w:val="00C3497E"/>
    <w:rsid w:val="00C34BE5"/>
    <w:rsid w:val="00C34D97"/>
    <w:rsid w:val="00C35CD7"/>
    <w:rsid w:val="00C40385"/>
    <w:rsid w:val="00C40E71"/>
    <w:rsid w:val="00C475AA"/>
    <w:rsid w:val="00C50670"/>
    <w:rsid w:val="00C5375F"/>
    <w:rsid w:val="00C6104F"/>
    <w:rsid w:val="00C61CE8"/>
    <w:rsid w:val="00C65576"/>
    <w:rsid w:val="00C65B76"/>
    <w:rsid w:val="00C66165"/>
    <w:rsid w:val="00C66B1D"/>
    <w:rsid w:val="00C66FDD"/>
    <w:rsid w:val="00C7151A"/>
    <w:rsid w:val="00C71F60"/>
    <w:rsid w:val="00C72241"/>
    <w:rsid w:val="00C74683"/>
    <w:rsid w:val="00C74E59"/>
    <w:rsid w:val="00C750C8"/>
    <w:rsid w:val="00C7560F"/>
    <w:rsid w:val="00C7629A"/>
    <w:rsid w:val="00C77466"/>
    <w:rsid w:val="00C7763B"/>
    <w:rsid w:val="00C80A0E"/>
    <w:rsid w:val="00C8213F"/>
    <w:rsid w:val="00C83589"/>
    <w:rsid w:val="00C850F4"/>
    <w:rsid w:val="00C8797A"/>
    <w:rsid w:val="00C900B8"/>
    <w:rsid w:val="00C90BF2"/>
    <w:rsid w:val="00C90C71"/>
    <w:rsid w:val="00C91711"/>
    <w:rsid w:val="00C931CF"/>
    <w:rsid w:val="00C938CF"/>
    <w:rsid w:val="00C93CE4"/>
    <w:rsid w:val="00C9573D"/>
    <w:rsid w:val="00C9624D"/>
    <w:rsid w:val="00C96651"/>
    <w:rsid w:val="00C969DA"/>
    <w:rsid w:val="00CA05DF"/>
    <w:rsid w:val="00CA2C77"/>
    <w:rsid w:val="00CA4208"/>
    <w:rsid w:val="00CA444F"/>
    <w:rsid w:val="00CA5245"/>
    <w:rsid w:val="00CA599F"/>
    <w:rsid w:val="00CA71F4"/>
    <w:rsid w:val="00CA7B09"/>
    <w:rsid w:val="00CB15F1"/>
    <w:rsid w:val="00CB1B79"/>
    <w:rsid w:val="00CB2F2A"/>
    <w:rsid w:val="00CB4236"/>
    <w:rsid w:val="00CB502F"/>
    <w:rsid w:val="00CB5B1A"/>
    <w:rsid w:val="00CB6B22"/>
    <w:rsid w:val="00CB7F5F"/>
    <w:rsid w:val="00CC0E11"/>
    <w:rsid w:val="00CC1868"/>
    <w:rsid w:val="00CC1AD4"/>
    <w:rsid w:val="00CC1B39"/>
    <w:rsid w:val="00CC2016"/>
    <w:rsid w:val="00CC3625"/>
    <w:rsid w:val="00CC5199"/>
    <w:rsid w:val="00CC5ADC"/>
    <w:rsid w:val="00CC71D0"/>
    <w:rsid w:val="00CC7B14"/>
    <w:rsid w:val="00CC7DE5"/>
    <w:rsid w:val="00CD0B5D"/>
    <w:rsid w:val="00CD0DF1"/>
    <w:rsid w:val="00CD142A"/>
    <w:rsid w:val="00CD3056"/>
    <w:rsid w:val="00CD6ADC"/>
    <w:rsid w:val="00CD6B56"/>
    <w:rsid w:val="00CD7F2E"/>
    <w:rsid w:val="00CE6274"/>
    <w:rsid w:val="00CE70F7"/>
    <w:rsid w:val="00CF2ADD"/>
    <w:rsid w:val="00CF2B8D"/>
    <w:rsid w:val="00CF41F9"/>
    <w:rsid w:val="00CF456B"/>
    <w:rsid w:val="00CF522E"/>
    <w:rsid w:val="00CF5772"/>
    <w:rsid w:val="00CF5A22"/>
    <w:rsid w:val="00D0262E"/>
    <w:rsid w:val="00D02D52"/>
    <w:rsid w:val="00D036EF"/>
    <w:rsid w:val="00D04A32"/>
    <w:rsid w:val="00D07548"/>
    <w:rsid w:val="00D07899"/>
    <w:rsid w:val="00D1036E"/>
    <w:rsid w:val="00D110BD"/>
    <w:rsid w:val="00D13675"/>
    <w:rsid w:val="00D141E1"/>
    <w:rsid w:val="00D14FDD"/>
    <w:rsid w:val="00D167FB"/>
    <w:rsid w:val="00D17AD5"/>
    <w:rsid w:val="00D17D6C"/>
    <w:rsid w:val="00D20B9A"/>
    <w:rsid w:val="00D21946"/>
    <w:rsid w:val="00D250BA"/>
    <w:rsid w:val="00D26ABE"/>
    <w:rsid w:val="00D2754D"/>
    <w:rsid w:val="00D276EF"/>
    <w:rsid w:val="00D2779D"/>
    <w:rsid w:val="00D27B27"/>
    <w:rsid w:val="00D327F0"/>
    <w:rsid w:val="00D328BA"/>
    <w:rsid w:val="00D3326A"/>
    <w:rsid w:val="00D33BE9"/>
    <w:rsid w:val="00D33CD2"/>
    <w:rsid w:val="00D34162"/>
    <w:rsid w:val="00D34BBC"/>
    <w:rsid w:val="00D34D73"/>
    <w:rsid w:val="00D357FF"/>
    <w:rsid w:val="00D424C7"/>
    <w:rsid w:val="00D43095"/>
    <w:rsid w:val="00D43214"/>
    <w:rsid w:val="00D4381D"/>
    <w:rsid w:val="00D43B2A"/>
    <w:rsid w:val="00D460A5"/>
    <w:rsid w:val="00D46263"/>
    <w:rsid w:val="00D47575"/>
    <w:rsid w:val="00D54624"/>
    <w:rsid w:val="00D56061"/>
    <w:rsid w:val="00D601C2"/>
    <w:rsid w:val="00D61497"/>
    <w:rsid w:val="00D61CD9"/>
    <w:rsid w:val="00D64D5F"/>
    <w:rsid w:val="00D658A3"/>
    <w:rsid w:val="00D66207"/>
    <w:rsid w:val="00D66628"/>
    <w:rsid w:val="00D66943"/>
    <w:rsid w:val="00D6705C"/>
    <w:rsid w:val="00D70F16"/>
    <w:rsid w:val="00D71E97"/>
    <w:rsid w:val="00D7226C"/>
    <w:rsid w:val="00D75534"/>
    <w:rsid w:val="00D76A44"/>
    <w:rsid w:val="00D76B5D"/>
    <w:rsid w:val="00D80309"/>
    <w:rsid w:val="00D815EF"/>
    <w:rsid w:val="00D862F5"/>
    <w:rsid w:val="00D86BF8"/>
    <w:rsid w:val="00D86D6E"/>
    <w:rsid w:val="00D877F3"/>
    <w:rsid w:val="00D87937"/>
    <w:rsid w:val="00D904B2"/>
    <w:rsid w:val="00D90D10"/>
    <w:rsid w:val="00D91923"/>
    <w:rsid w:val="00D924AB"/>
    <w:rsid w:val="00D93753"/>
    <w:rsid w:val="00D93762"/>
    <w:rsid w:val="00D95AF7"/>
    <w:rsid w:val="00D9725F"/>
    <w:rsid w:val="00DA0405"/>
    <w:rsid w:val="00DA29A1"/>
    <w:rsid w:val="00DA3167"/>
    <w:rsid w:val="00DA4198"/>
    <w:rsid w:val="00DA4DC3"/>
    <w:rsid w:val="00DA69ED"/>
    <w:rsid w:val="00DA6EEA"/>
    <w:rsid w:val="00DA77A5"/>
    <w:rsid w:val="00DA7813"/>
    <w:rsid w:val="00DB08C6"/>
    <w:rsid w:val="00DB239F"/>
    <w:rsid w:val="00DB484F"/>
    <w:rsid w:val="00DB614F"/>
    <w:rsid w:val="00DB6BF1"/>
    <w:rsid w:val="00DB7693"/>
    <w:rsid w:val="00DC04F6"/>
    <w:rsid w:val="00DC0BB7"/>
    <w:rsid w:val="00DC3C57"/>
    <w:rsid w:val="00DC5501"/>
    <w:rsid w:val="00DD102B"/>
    <w:rsid w:val="00DD273C"/>
    <w:rsid w:val="00DD3BFA"/>
    <w:rsid w:val="00DD3F28"/>
    <w:rsid w:val="00DD4537"/>
    <w:rsid w:val="00DD4E15"/>
    <w:rsid w:val="00DD7A9A"/>
    <w:rsid w:val="00DE0588"/>
    <w:rsid w:val="00DE3138"/>
    <w:rsid w:val="00DE37F8"/>
    <w:rsid w:val="00DE4FCB"/>
    <w:rsid w:val="00DE6901"/>
    <w:rsid w:val="00DE7832"/>
    <w:rsid w:val="00DE78CE"/>
    <w:rsid w:val="00DF0894"/>
    <w:rsid w:val="00DF18FC"/>
    <w:rsid w:val="00DF21E1"/>
    <w:rsid w:val="00DF57EF"/>
    <w:rsid w:val="00DF5D2B"/>
    <w:rsid w:val="00E00E8E"/>
    <w:rsid w:val="00E050CF"/>
    <w:rsid w:val="00E05406"/>
    <w:rsid w:val="00E05630"/>
    <w:rsid w:val="00E06DBB"/>
    <w:rsid w:val="00E0731A"/>
    <w:rsid w:val="00E10149"/>
    <w:rsid w:val="00E10314"/>
    <w:rsid w:val="00E12389"/>
    <w:rsid w:val="00E12D45"/>
    <w:rsid w:val="00E154B5"/>
    <w:rsid w:val="00E15E83"/>
    <w:rsid w:val="00E16372"/>
    <w:rsid w:val="00E20AD8"/>
    <w:rsid w:val="00E20E4D"/>
    <w:rsid w:val="00E20ED6"/>
    <w:rsid w:val="00E21358"/>
    <w:rsid w:val="00E2249B"/>
    <w:rsid w:val="00E22A0D"/>
    <w:rsid w:val="00E2771E"/>
    <w:rsid w:val="00E30080"/>
    <w:rsid w:val="00E32127"/>
    <w:rsid w:val="00E34948"/>
    <w:rsid w:val="00E359D9"/>
    <w:rsid w:val="00E361BA"/>
    <w:rsid w:val="00E36533"/>
    <w:rsid w:val="00E3659A"/>
    <w:rsid w:val="00E37569"/>
    <w:rsid w:val="00E40B54"/>
    <w:rsid w:val="00E41677"/>
    <w:rsid w:val="00E41E30"/>
    <w:rsid w:val="00E43D70"/>
    <w:rsid w:val="00E4409F"/>
    <w:rsid w:val="00E460F6"/>
    <w:rsid w:val="00E466A3"/>
    <w:rsid w:val="00E466F3"/>
    <w:rsid w:val="00E47B2C"/>
    <w:rsid w:val="00E47FA8"/>
    <w:rsid w:val="00E51560"/>
    <w:rsid w:val="00E517CC"/>
    <w:rsid w:val="00E51FF2"/>
    <w:rsid w:val="00E527C8"/>
    <w:rsid w:val="00E53541"/>
    <w:rsid w:val="00E54347"/>
    <w:rsid w:val="00E55424"/>
    <w:rsid w:val="00E55BB5"/>
    <w:rsid w:val="00E55D12"/>
    <w:rsid w:val="00E625D3"/>
    <w:rsid w:val="00E63115"/>
    <w:rsid w:val="00E64C65"/>
    <w:rsid w:val="00E65E79"/>
    <w:rsid w:val="00E66992"/>
    <w:rsid w:val="00E66BA2"/>
    <w:rsid w:val="00E67416"/>
    <w:rsid w:val="00E70895"/>
    <w:rsid w:val="00E718B6"/>
    <w:rsid w:val="00E72199"/>
    <w:rsid w:val="00E723BA"/>
    <w:rsid w:val="00E73581"/>
    <w:rsid w:val="00E74D61"/>
    <w:rsid w:val="00E75E67"/>
    <w:rsid w:val="00E77B93"/>
    <w:rsid w:val="00E77FA0"/>
    <w:rsid w:val="00E818D5"/>
    <w:rsid w:val="00E833F7"/>
    <w:rsid w:val="00E83BDF"/>
    <w:rsid w:val="00E86F8B"/>
    <w:rsid w:val="00E87A1D"/>
    <w:rsid w:val="00E9002D"/>
    <w:rsid w:val="00E91908"/>
    <w:rsid w:val="00E926A5"/>
    <w:rsid w:val="00E95003"/>
    <w:rsid w:val="00E9573F"/>
    <w:rsid w:val="00E95F0B"/>
    <w:rsid w:val="00E9657D"/>
    <w:rsid w:val="00EA0D9A"/>
    <w:rsid w:val="00EA17C3"/>
    <w:rsid w:val="00EA2CAA"/>
    <w:rsid w:val="00EA3864"/>
    <w:rsid w:val="00EA3B80"/>
    <w:rsid w:val="00EA5D4E"/>
    <w:rsid w:val="00EA6AFD"/>
    <w:rsid w:val="00EB15B6"/>
    <w:rsid w:val="00EB1676"/>
    <w:rsid w:val="00EB4916"/>
    <w:rsid w:val="00EC00C9"/>
    <w:rsid w:val="00EC0C0E"/>
    <w:rsid w:val="00EC18A1"/>
    <w:rsid w:val="00EC2649"/>
    <w:rsid w:val="00EC284D"/>
    <w:rsid w:val="00EC3C99"/>
    <w:rsid w:val="00EC4177"/>
    <w:rsid w:val="00EC59B6"/>
    <w:rsid w:val="00EC7577"/>
    <w:rsid w:val="00ED1A4E"/>
    <w:rsid w:val="00ED27E1"/>
    <w:rsid w:val="00ED57EA"/>
    <w:rsid w:val="00ED5C4F"/>
    <w:rsid w:val="00EE07D3"/>
    <w:rsid w:val="00EE22AF"/>
    <w:rsid w:val="00EE4C19"/>
    <w:rsid w:val="00EE511B"/>
    <w:rsid w:val="00EE5F60"/>
    <w:rsid w:val="00EE72B1"/>
    <w:rsid w:val="00EE7D0F"/>
    <w:rsid w:val="00EF0171"/>
    <w:rsid w:val="00EF0BBA"/>
    <w:rsid w:val="00EF0E8D"/>
    <w:rsid w:val="00EF1B25"/>
    <w:rsid w:val="00EF30AC"/>
    <w:rsid w:val="00EF42B4"/>
    <w:rsid w:val="00EF4747"/>
    <w:rsid w:val="00EF4BF8"/>
    <w:rsid w:val="00F00759"/>
    <w:rsid w:val="00F0114E"/>
    <w:rsid w:val="00F015EC"/>
    <w:rsid w:val="00F0206A"/>
    <w:rsid w:val="00F02253"/>
    <w:rsid w:val="00F02D43"/>
    <w:rsid w:val="00F03775"/>
    <w:rsid w:val="00F03C2E"/>
    <w:rsid w:val="00F04A66"/>
    <w:rsid w:val="00F0516C"/>
    <w:rsid w:val="00F05A30"/>
    <w:rsid w:val="00F063A7"/>
    <w:rsid w:val="00F067A2"/>
    <w:rsid w:val="00F100EE"/>
    <w:rsid w:val="00F1263A"/>
    <w:rsid w:val="00F15CFD"/>
    <w:rsid w:val="00F20106"/>
    <w:rsid w:val="00F22680"/>
    <w:rsid w:val="00F24837"/>
    <w:rsid w:val="00F2575F"/>
    <w:rsid w:val="00F27565"/>
    <w:rsid w:val="00F27DD7"/>
    <w:rsid w:val="00F310D4"/>
    <w:rsid w:val="00F31376"/>
    <w:rsid w:val="00F31D5A"/>
    <w:rsid w:val="00F331E7"/>
    <w:rsid w:val="00F33C38"/>
    <w:rsid w:val="00F33DE9"/>
    <w:rsid w:val="00F35DA2"/>
    <w:rsid w:val="00F3604C"/>
    <w:rsid w:val="00F36093"/>
    <w:rsid w:val="00F3619A"/>
    <w:rsid w:val="00F36BBB"/>
    <w:rsid w:val="00F40AAA"/>
    <w:rsid w:val="00F40BA7"/>
    <w:rsid w:val="00F42056"/>
    <w:rsid w:val="00F42E0C"/>
    <w:rsid w:val="00F4642E"/>
    <w:rsid w:val="00F46774"/>
    <w:rsid w:val="00F46CB6"/>
    <w:rsid w:val="00F47DE8"/>
    <w:rsid w:val="00F51E28"/>
    <w:rsid w:val="00F52438"/>
    <w:rsid w:val="00F542C1"/>
    <w:rsid w:val="00F55E73"/>
    <w:rsid w:val="00F55EDA"/>
    <w:rsid w:val="00F56192"/>
    <w:rsid w:val="00F56E0E"/>
    <w:rsid w:val="00F60092"/>
    <w:rsid w:val="00F612C9"/>
    <w:rsid w:val="00F6427E"/>
    <w:rsid w:val="00F645B5"/>
    <w:rsid w:val="00F64BA6"/>
    <w:rsid w:val="00F65F4B"/>
    <w:rsid w:val="00F70C9D"/>
    <w:rsid w:val="00F71718"/>
    <w:rsid w:val="00F71F2B"/>
    <w:rsid w:val="00F7390E"/>
    <w:rsid w:val="00F740E0"/>
    <w:rsid w:val="00F74473"/>
    <w:rsid w:val="00F74CD9"/>
    <w:rsid w:val="00F769BF"/>
    <w:rsid w:val="00F769F9"/>
    <w:rsid w:val="00F77D2F"/>
    <w:rsid w:val="00F809B6"/>
    <w:rsid w:val="00F80A7B"/>
    <w:rsid w:val="00F80DC7"/>
    <w:rsid w:val="00F80E5D"/>
    <w:rsid w:val="00F83B1F"/>
    <w:rsid w:val="00F84DE1"/>
    <w:rsid w:val="00F851CE"/>
    <w:rsid w:val="00F87947"/>
    <w:rsid w:val="00F9080A"/>
    <w:rsid w:val="00F91219"/>
    <w:rsid w:val="00F93B40"/>
    <w:rsid w:val="00F94944"/>
    <w:rsid w:val="00F953C2"/>
    <w:rsid w:val="00F957B8"/>
    <w:rsid w:val="00F96927"/>
    <w:rsid w:val="00F97A78"/>
    <w:rsid w:val="00FA0913"/>
    <w:rsid w:val="00FA0B20"/>
    <w:rsid w:val="00FA0B86"/>
    <w:rsid w:val="00FA1868"/>
    <w:rsid w:val="00FA24E7"/>
    <w:rsid w:val="00FA2D80"/>
    <w:rsid w:val="00FA5531"/>
    <w:rsid w:val="00FA615D"/>
    <w:rsid w:val="00FA6338"/>
    <w:rsid w:val="00FA6AC6"/>
    <w:rsid w:val="00FB0AF1"/>
    <w:rsid w:val="00FB1253"/>
    <w:rsid w:val="00FB2FCB"/>
    <w:rsid w:val="00FB3B1A"/>
    <w:rsid w:val="00FB4A9C"/>
    <w:rsid w:val="00FB51AF"/>
    <w:rsid w:val="00FB74E7"/>
    <w:rsid w:val="00FC1074"/>
    <w:rsid w:val="00FC1884"/>
    <w:rsid w:val="00FC371D"/>
    <w:rsid w:val="00FC3BBF"/>
    <w:rsid w:val="00FC472D"/>
    <w:rsid w:val="00FC47DC"/>
    <w:rsid w:val="00FC4F6F"/>
    <w:rsid w:val="00FC52BF"/>
    <w:rsid w:val="00FC5F0B"/>
    <w:rsid w:val="00FC6606"/>
    <w:rsid w:val="00FD2100"/>
    <w:rsid w:val="00FD39D3"/>
    <w:rsid w:val="00FD436C"/>
    <w:rsid w:val="00FD446D"/>
    <w:rsid w:val="00FD5744"/>
    <w:rsid w:val="00FD6394"/>
    <w:rsid w:val="00FD6801"/>
    <w:rsid w:val="00FE0C49"/>
    <w:rsid w:val="00FE0E6C"/>
    <w:rsid w:val="00FE1121"/>
    <w:rsid w:val="00FE2D1A"/>
    <w:rsid w:val="00FE4A63"/>
    <w:rsid w:val="00FE4ED5"/>
    <w:rsid w:val="00FE70C3"/>
    <w:rsid w:val="00FF1417"/>
    <w:rsid w:val="00FF1BD8"/>
    <w:rsid w:val="00FF3DCF"/>
    <w:rsid w:val="00FF492C"/>
    <w:rsid w:val="00FF4A21"/>
    <w:rsid w:val="00FF54C8"/>
    <w:rsid w:val="00FF5AA3"/>
    <w:rsid w:val="00FF5AD8"/>
    <w:rsid w:val="00FF60BB"/>
    <w:rsid w:val="00FF70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sid w:val="006577E1"/>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6577E1"/>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L,Bullet Point,Bulletr List Paragraph,Content descriptions,FooterText,List Bullet 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L Char,Bullet Poin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A60098"/>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nhideWhenUsed/>
    <w:rsid w:val="002655A3"/>
    <w:rPr>
      <w:sz w:val="20"/>
      <w:szCs w:val="20"/>
    </w:rPr>
  </w:style>
  <w:style w:type="character" w:customStyle="1" w:styleId="FootnoteTextChar">
    <w:name w:val="Footnote Text Char"/>
    <w:basedOn w:val="DefaultParagraphFont"/>
    <w:link w:val="FootnoteText"/>
    <w:rsid w:val="002655A3"/>
    <w:rPr>
      <w:rFonts w:ascii="Calibri" w:hAnsi="Calibri" w:cs="Arial"/>
      <w:snapToGrid w:val="0"/>
      <w:lang w:eastAsia="en-US"/>
    </w:rPr>
  </w:style>
  <w:style w:type="character" w:styleId="FootnoteReference">
    <w:name w:val="footnote reference"/>
    <w:basedOn w:val="DefaultParagraphFont"/>
    <w:semiHidden/>
    <w:unhideWhenUsed/>
    <w:rsid w:val="002655A3"/>
    <w:rPr>
      <w:vertAlign w:val="superscript"/>
    </w:rPr>
  </w:style>
  <w:style w:type="paragraph" w:customStyle="1" w:styleId="TableText1">
    <w:name w:val="TableText"/>
    <w:basedOn w:val="Normal"/>
    <w:link w:val="TableTextChar1"/>
    <w:uiPriority w:val="3"/>
    <w:qFormat/>
    <w:rsid w:val="00560935"/>
    <w:pPr>
      <w:widowControl/>
      <w:spacing w:before="20" w:after="20"/>
      <w:jc w:val="left"/>
    </w:pPr>
    <w:rPr>
      <w:rFonts w:cs="Calibri"/>
      <w:bCs/>
      <w:snapToGrid/>
      <w:sz w:val="20"/>
      <w:szCs w:val="20"/>
      <w:lang w:eastAsia="zh-CN"/>
    </w:rPr>
  </w:style>
  <w:style w:type="character" w:customStyle="1" w:styleId="TableTextChar1">
    <w:name w:val="TableText Char"/>
    <w:basedOn w:val="DefaultParagraphFont"/>
    <w:link w:val="TableText1"/>
    <w:uiPriority w:val="3"/>
    <w:rsid w:val="00560935"/>
    <w:rPr>
      <w:rFonts w:ascii="Calibri" w:hAnsi="Calibri" w:cs="Calibri"/>
      <w:bCs/>
      <w:lang w:eastAsia="zh-CN"/>
    </w:rPr>
  </w:style>
  <w:style w:type="paragraph" w:customStyle="1" w:styleId="TableHeadingRow">
    <w:name w:val="TableHeadingRow"/>
    <w:basedOn w:val="TableText1"/>
    <w:uiPriority w:val="3"/>
    <w:qFormat/>
    <w:rsid w:val="0069692E"/>
    <w:pPr>
      <w:keepNext/>
      <w:spacing w:before="40" w:after="40"/>
      <w:jc w:val="center"/>
    </w:pPr>
    <w:rPr>
      <w:b/>
      <w:bCs w:val="0"/>
    </w:rPr>
  </w:style>
  <w:style w:type="character" w:customStyle="1" w:styleId="TableTextChar0">
    <w:name w:val="Table Text Char"/>
    <w:link w:val="TableText0"/>
    <w:rsid w:val="00CC1868"/>
    <w:rPr>
      <w:rFonts w:ascii="Arial Narrow" w:eastAsiaTheme="minorHAnsi" w:hAnsi="Arial Narrow" w:cstheme="minorBidi"/>
      <w:szCs w:val="22"/>
      <w:lang w:eastAsia="en-US"/>
    </w:rPr>
  </w:style>
  <w:style w:type="paragraph" w:customStyle="1" w:styleId="TableNotes">
    <w:name w:val="TableNotes"/>
    <w:basedOn w:val="Normal"/>
    <w:next w:val="Normal"/>
    <w:link w:val="TableNotesChar"/>
    <w:uiPriority w:val="3"/>
    <w:qFormat/>
    <w:rsid w:val="00C3320D"/>
    <w:pPr>
      <w:widowControl/>
      <w:tabs>
        <w:tab w:val="left" w:pos="1134"/>
      </w:tabs>
      <w:ind w:left="1134" w:hanging="1134"/>
      <w:jc w:val="left"/>
    </w:pPr>
    <w:rPr>
      <w:rFonts w:eastAsiaTheme="minorEastAsia" w:cstheme="minorBidi"/>
      <w:snapToGrid/>
      <w:sz w:val="18"/>
      <w:szCs w:val="18"/>
      <w:lang w:eastAsia="zh-CN"/>
    </w:rPr>
  </w:style>
  <w:style w:type="character" w:customStyle="1" w:styleId="TableNotesChar">
    <w:name w:val="TableNotes Char"/>
    <w:basedOn w:val="DefaultParagraphFont"/>
    <w:link w:val="TableNotes"/>
    <w:uiPriority w:val="3"/>
    <w:rsid w:val="00C3320D"/>
    <w:rPr>
      <w:rFonts w:ascii="Calibri" w:eastAsiaTheme="minorEastAsia" w:hAnsi="Calibri" w:cstheme="minorBidi"/>
      <w:sz w:val="18"/>
      <w:szCs w:val="18"/>
      <w:lang w:eastAsia="zh-CN"/>
    </w:rPr>
  </w:style>
  <w:style w:type="paragraph" w:customStyle="1" w:styleId="EndNoteBibliographyTitle">
    <w:name w:val="EndNote Bibliography Title"/>
    <w:basedOn w:val="Normal"/>
    <w:link w:val="EndNoteBibliographyTitleChar"/>
    <w:rsid w:val="00C77466"/>
    <w:pPr>
      <w:jc w:val="center"/>
    </w:pPr>
    <w:rPr>
      <w:rFonts w:cs="Calibri"/>
      <w:noProof/>
      <w:sz w:val="22"/>
      <w:lang w:val="en-US"/>
    </w:rPr>
  </w:style>
  <w:style w:type="character" w:customStyle="1" w:styleId="EndNoteBibliographyTitleChar">
    <w:name w:val="EndNote Bibliography Title Char"/>
    <w:basedOn w:val="ListParagraphChar"/>
    <w:link w:val="EndNoteBibliographyTitle"/>
    <w:rsid w:val="00C77466"/>
    <w:rPr>
      <w:rFonts w:ascii="Calibri" w:hAnsi="Calibri" w:cs="Calibri"/>
      <w:noProof/>
      <w:snapToGrid w:val="0"/>
      <w:sz w:val="22"/>
      <w:szCs w:val="22"/>
      <w:lang w:val="en-US" w:eastAsia="en-US"/>
    </w:rPr>
  </w:style>
  <w:style w:type="paragraph" w:customStyle="1" w:styleId="EndNoteBibliography">
    <w:name w:val="EndNote Bibliography"/>
    <w:basedOn w:val="Normal"/>
    <w:link w:val="EndNoteBibliographyChar"/>
    <w:rsid w:val="00C77466"/>
    <w:rPr>
      <w:rFonts w:cs="Calibri"/>
      <w:noProof/>
      <w:sz w:val="22"/>
      <w:lang w:val="en-US"/>
    </w:rPr>
  </w:style>
  <w:style w:type="character" w:customStyle="1" w:styleId="EndNoteBibliographyChar">
    <w:name w:val="EndNote Bibliography Char"/>
    <w:basedOn w:val="ListParagraphChar"/>
    <w:link w:val="EndNoteBibliography"/>
    <w:rsid w:val="00C77466"/>
    <w:rPr>
      <w:rFonts w:ascii="Calibri" w:hAnsi="Calibri" w:cs="Calibri"/>
      <w:noProof/>
      <w:snapToGrid w:val="0"/>
      <w:sz w:val="22"/>
      <w:szCs w:val="22"/>
      <w:lang w:val="en-US" w:eastAsia="en-US"/>
    </w:rPr>
  </w:style>
  <w:style w:type="paragraph" w:customStyle="1" w:styleId="EndNoteCategoryHeading">
    <w:name w:val="EndNote Category Heading"/>
    <w:basedOn w:val="Normal"/>
    <w:link w:val="EndNoteCategoryHeadingChar"/>
    <w:rsid w:val="00C77466"/>
    <w:pPr>
      <w:spacing w:before="120" w:after="120"/>
      <w:jc w:val="left"/>
    </w:pPr>
    <w:rPr>
      <w:b/>
      <w:noProof/>
      <w:lang w:val="en-US"/>
    </w:rPr>
  </w:style>
  <w:style w:type="character" w:customStyle="1" w:styleId="EndNoteCategoryHeadingChar">
    <w:name w:val="EndNote Category Heading Char"/>
    <w:basedOn w:val="ListParagraphChar"/>
    <w:link w:val="EndNoteCategoryHeading"/>
    <w:rsid w:val="00C77466"/>
    <w:rPr>
      <w:rFonts w:ascii="Calibri" w:hAnsi="Calibri" w:cs="Arial"/>
      <w:b/>
      <w:noProof/>
      <w:snapToGrid w:val="0"/>
      <w:sz w:val="24"/>
      <w:szCs w:val="22"/>
      <w:lang w:val="en-US" w:eastAsia="en-US"/>
    </w:rPr>
  </w:style>
  <w:style w:type="paragraph" w:customStyle="1" w:styleId="ReferenceList">
    <w:name w:val="ReferenceList"/>
    <w:basedOn w:val="Normal"/>
    <w:link w:val="ReferenceListChar"/>
    <w:uiPriority w:val="8"/>
    <w:qFormat/>
    <w:rsid w:val="00C77466"/>
    <w:pPr>
      <w:widowControl/>
      <w:tabs>
        <w:tab w:val="num" w:pos="567"/>
      </w:tabs>
      <w:spacing w:before="40" w:after="40"/>
      <w:ind w:left="567" w:hanging="567"/>
    </w:pPr>
    <w:rPr>
      <w:rFonts w:eastAsia="SimSun" w:cs="Calibri"/>
      <w:snapToGrid/>
      <w:sz w:val="20"/>
      <w:szCs w:val="20"/>
      <w:lang w:eastAsia="zh-CN"/>
    </w:rPr>
  </w:style>
  <w:style w:type="character" w:customStyle="1" w:styleId="ReferenceListChar">
    <w:name w:val="ReferenceList Char"/>
    <w:basedOn w:val="DefaultParagraphFont"/>
    <w:link w:val="ReferenceList"/>
    <w:uiPriority w:val="8"/>
    <w:rsid w:val="00C77466"/>
    <w:rPr>
      <w:rFonts w:ascii="Calibri" w:eastAsia="SimSun" w:hAnsi="Calibri" w:cs="Calibri"/>
      <w:lang w:eastAsia="zh-CN"/>
    </w:rPr>
  </w:style>
  <w:style w:type="paragraph" w:customStyle="1" w:styleId="ESText">
    <w:name w:val="ESText"/>
    <w:basedOn w:val="Normal"/>
    <w:link w:val="ESTextChar"/>
    <w:uiPriority w:val="21"/>
    <w:rsid w:val="00C77466"/>
    <w:pPr>
      <w:widowControl/>
      <w:spacing w:after="120"/>
    </w:pPr>
    <w:rPr>
      <w:rFonts w:eastAsiaTheme="minorEastAsia" w:cstheme="minorBidi"/>
      <w:snapToGrid/>
      <w:sz w:val="22"/>
      <w:lang w:eastAsia="zh-CN"/>
    </w:rPr>
  </w:style>
  <w:style w:type="character" w:customStyle="1" w:styleId="ESTextChar">
    <w:name w:val="ESText Char"/>
    <w:basedOn w:val="DefaultParagraphFont"/>
    <w:link w:val="ESText"/>
    <w:uiPriority w:val="21"/>
    <w:rsid w:val="00C77466"/>
    <w:rPr>
      <w:rFonts w:ascii="Calibri" w:eastAsiaTheme="minorEastAsia" w:hAnsi="Calibri" w:cstheme="minorBidi"/>
      <w:sz w:val="22"/>
      <w:szCs w:val="22"/>
      <w:lang w:eastAsia="zh-CN"/>
    </w:rPr>
  </w:style>
  <w:style w:type="paragraph" w:customStyle="1" w:styleId="ESTableText">
    <w:name w:val="ESTableText"/>
    <w:basedOn w:val="TableText1"/>
    <w:link w:val="ESTableTextChar"/>
    <w:uiPriority w:val="1"/>
    <w:rsid w:val="00C77466"/>
  </w:style>
  <w:style w:type="character" w:customStyle="1" w:styleId="ESTableTextChar">
    <w:name w:val="ESTableText Char"/>
    <w:basedOn w:val="TableTextChar1"/>
    <w:link w:val="ESTableText"/>
    <w:uiPriority w:val="1"/>
    <w:rsid w:val="00C77466"/>
    <w:rPr>
      <w:rFonts w:ascii="Calibri" w:hAnsi="Calibri" w:cs="Calibri"/>
      <w:bCs/>
      <w:lang w:eastAsia="zh-CN"/>
    </w:rPr>
  </w:style>
  <w:style w:type="paragraph" w:customStyle="1" w:styleId="SourceNotes">
    <w:name w:val="SourceNotes"/>
    <w:basedOn w:val="Normal"/>
    <w:next w:val="Normal"/>
    <w:link w:val="SourceNotesChar"/>
    <w:uiPriority w:val="2"/>
    <w:qFormat/>
    <w:rsid w:val="00C77466"/>
    <w:pPr>
      <w:widowControl/>
      <w:tabs>
        <w:tab w:val="left" w:pos="1100"/>
      </w:tabs>
      <w:ind w:left="1100" w:hanging="1100"/>
      <w:jc w:val="left"/>
    </w:pPr>
    <w:rPr>
      <w:rFonts w:eastAsiaTheme="minorEastAsia" w:cstheme="minorBidi"/>
      <w:snapToGrid/>
      <w:sz w:val="18"/>
      <w:szCs w:val="18"/>
    </w:rPr>
  </w:style>
  <w:style w:type="character" w:customStyle="1" w:styleId="SourceNotesChar">
    <w:name w:val="SourceNotes Char"/>
    <w:basedOn w:val="TableNotesChar"/>
    <w:link w:val="SourceNotes"/>
    <w:uiPriority w:val="2"/>
    <w:rsid w:val="00C77466"/>
    <w:rPr>
      <w:rFonts w:ascii="Calibri" w:eastAsiaTheme="minorEastAsia" w:hAnsi="Calibri" w:cstheme="minorBidi"/>
      <w:sz w:val="18"/>
      <w:szCs w:val="18"/>
      <w:lang w:eastAsia="en-US"/>
    </w:rPr>
  </w:style>
  <w:style w:type="paragraph" w:customStyle="1" w:styleId="PortraitFooter">
    <w:name w:val="Portrait Footer"/>
    <w:basedOn w:val="Normal"/>
    <w:link w:val="PortraitFooterChar"/>
    <w:uiPriority w:val="5"/>
    <w:qFormat/>
    <w:rsid w:val="00C77466"/>
    <w:pPr>
      <w:widowControl/>
      <w:tabs>
        <w:tab w:val="center" w:pos="5103"/>
        <w:tab w:val="right" w:pos="9637"/>
      </w:tabs>
    </w:pPr>
    <w:rPr>
      <w:rFonts w:eastAsiaTheme="minorEastAsia" w:cstheme="minorBidi"/>
      <w:snapToGrid/>
      <w:sz w:val="18"/>
      <w:szCs w:val="18"/>
      <w:lang w:eastAsia="zh-CN"/>
    </w:rPr>
  </w:style>
  <w:style w:type="character" w:customStyle="1" w:styleId="PortraitFooterChar">
    <w:name w:val="Portrait Footer Char"/>
    <w:basedOn w:val="DefaultParagraphFont"/>
    <w:link w:val="PortraitFooter"/>
    <w:uiPriority w:val="5"/>
    <w:rsid w:val="00C77466"/>
    <w:rPr>
      <w:rFonts w:ascii="Calibri" w:eastAsiaTheme="minorEastAsia" w:hAnsi="Calibri" w:cstheme="minorBidi"/>
      <w:sz w:val="18"/>
      <w:szCs w:val="18"/>
      <w:lang w:eastAsia="zh-CN"/>
    </w:rPr>
  </w:style>
  <w:style w:type="paragraph" w:customStyle="1" w:styleId="PortraitHeader">
    <w:name w:val="Portrait Header"/>
    <w:basedOn w:val="Normal"/>
    <w:link w:val="PortraitHeaderChar"/>
    <w:uiPriority w:val="5"/>
    <w:qFormat/>
    <w:rsid w:val="00C77466"/>
    <w:pPr>
      <w:widowControl/>
      <w:pBdr>
        <w:bottom w:val="single" w:sz="4" w:space="1" w:color="auto"/>
      </w:pBdr>
      <w:tabs>
        <w:tab w:val="right" w:pos="9921"/>
      </w:tabs>
    </w:pPr>
    <w:rPr>
      <w:rFonts w:eastAsiaTheme="minorEastAsia" w:cstheme="minorBidi"/>
      <w:snapToGrid/>
      <w:sz w:val="18"/>
      <w:szCs w:val="18"/>
      <w:lang w:eastAsia="zh-CN"/>
    </w:rPr>
  </w:style>
  <w:style w:type="character" w:customStyle="1" w:styleId="PortraitHeaderChar">
    <w:name w:val="Portrait Header Char"/>
    <w:basedOn w:val="DefaultParagraphFont"/>
    <w:link w:val="PortraitHeader"/>
    <w:uiPriority w:val="5"/>
    <w:rsid w:val="00C77466"/>
    <w:rPr>
      <w:rFonts w:ascii="Calibri" w:eastAsiaTheme="minorEastAsia" w:hAnsi="Calibri" w:cstheme="minorBidi"/>
      <w:sz w:val="18"/>
      <w:szCs w:val="18"/>
      <w:lang w:eastAsia="zh-CN"/>
    </w:rPr>
  </w:style>
  <w:style w:type="paragraph" w:styleId="ListBullet">
    <w:name w:val="List Bullet"/>
    <w:basedOn w:val="Normal"/>
    <w:uiPriority w:val="4"/>
    <w:qFormat/>
    <w:rsid w:val="00C77466"/>
    <w:pPr>
      <w:widowControl/>
      <w:numPr>
        <w:numId w:val="6"/>
      </w:numPr>
      <w:spacing w:before="120" w:after="220" w:line="264" w:lineRule="auto"/>
      <w:ind w:left="357" w:hanging="357"/>
      <w:contextualSpacing/>
    </w:pPr>
    <w:rPr>
      <w:rFonts w:eastAsiaTheme="minorEastAsia" w:cstheme="minorBidi"/>
      <w:snapToGrid/>
      <w:sz w:val="22"/>
      <w:lang w:val="en-US" w:eastAsia="zh-CN"/>
    </w:rPr>
  </w:style>
  <w:style w:type="paragraph" w:customStyle="1" w:styleId="BulletList">
    <w:name w:val="Bullet List"/>
    <w:basedOn w:val="Normal"/>
    <w:link w:val="BulletListChar"/>
    <w:uiPriority w:val="2"/>
    <w:qFormat/>
    <w:rsid w:val="00310CFD"/>
    <w:pPr>
      <w:widowControl/>
      <w:numPr>
        <w:numId w:val="7"/>
      </w:numPr>
      <w:tabs>
        <w:tab w:val="left" w:pos="426"/>
      </w:tabs>
      <w:spacing w:after="200" w:line="264" w:lineRule="auto"/>
      <w:contextualSpacing/>
    </w:pPr>
    <w:rPr>
      <w:rFonts w:eastAsiaTheme="minorEastAsia" w:cstheme="minorBidi"/>
      <w:snapToGrid/>
      <w:sz w:val="22"/>
      <w:lang w:val="en-US" w:eastAsia="zh-CN"/>
    </w:rPr>
  </w:style>
  <w:style w:type="character" w:customStyle="1" w:styleId="BulletListChar">
    <w:name w:val="Bullet List Char"/>
    <w:basedOn w:val="DefaultParagraphFont"/>
    <w:link w:val="BulletList"/>
    <w:uiPriority w:val="2"/>
    <w:rsid w:val="00310CFD"/>
    <w:rPr>
      <w:rFonts w:ascii="Calibri" w:eastAsiaTheme="minorEastAsia" w:hAnsi="Calibri" w:cstheme="minorBidi"/>
      <w:sz w:val="22"/>
      <w:szCs w:val="22"/>
      <w:lang w:val="en-US" w:eastAsia="zh-CN"/>
    </w:rPr>
  </w:style>
  <w:style w:type="paragraph" w:customStyle="1" w:styleId="ListBullet2ndlevel">
    <w:name w:val="List Bullet 2nd level"/>
    <w:basedOn w:val="Normal"/>
    <w:uiPriority w:val="9"/>
    <w:rsid w:val="00310CFD"/>
    <w:pPr>
      <w:widowControl/>
      <w:numPr>
        <w:numId w:val="8"/>
      </w:numPr>
      <w:spacing w:after="240" w:line="288" w:lineRule="auto"/>
      <w:contextualSpacing/>
    </w:pPr>
    <w:rPr>
      <w:rFonts w:eastAsiaTheme="minorEastAsia" w:cstheme="minorBidi"/>
      <w:snapToGrid/>
      <w:sz w:val="22"/>
      <w:lang w:eastAsia="zh-CN"/>
    </w:rPr>
  </w:style>
  <w:style w:type="table" w:customStyle="1" w:styleId="TableGrid5">
    <w:name w:val="Table Grid5"/>
    <w:basedOn w:val="TableNormal"/>
    <w:next w:val="TableGrid"/>
    <w:uiPriority w:val="59"/>
    <w:rsid w:val="00310CFD"/>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02F52"/>
    <w:rPr>
      <w:rFonts w:ascii="Calibri" w:hAnsi="Calibri" w:cs="Arial"/>
      <w:b/>
      <w:caps/>
      <w:snapToGrid w:val="0"/>
      <w:sz w:val="32"/>
      <w:szCs w:val="22"/>
      <w:lang w:eastAsia="en-US"/>
    </w:rPr>
  </w:style>
  <w:style w:type="paragraph" w:customStyle="1" w:styleId="Default">
    <w:name w:val="Default"/>
    <w:rsid w:val="00DB614F"/>
    <w:pPr>
      <w:autoSpaceDE w:val="0"/>
      <w:autoSpaceDN w:val="0"/>
      <w:adjustRightInd w:val="0"/>
    </w:pPr>
    <w:rPr>
      <w:rFonts w:ascii="Cambria" w:hAnsi="Cambria" w:cs="Cambria"/>
      <w:color w:val="000000"/>
      <w:sz w:val="24"/>
      <w:szCs w:val="24"/>
    </w:rPr>
  </w:style>
  <w:style w:type="character" w:customStyle="1" w:styleId="UnresolvedMention">
    <w:name w:val="Unresolved Mention"/>
    <w:basedOn w:val="DefaultParagraphFont"/>
    <w:uiPriority w:val="99"/>
    <w:semiHidden/>
    <w:unhideWhenUsed/>
    <w:rsid w:val="009A4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3801">
      <w:bodyDiv w:val="1"/>
      <w:marLeft w:val="0"/>
      <w:marRight w:val="0"/>
      <w:marTop w:val="0"/>
      <w:marBottom w:val="0"/>
      <w:divBdr>
        <w:top w:val="none" w:sz="0" w:space="0" w:color="auto"/>
        <w:left w:val="none" w:sz="0" w:space="0" w:color="auto"/>
        <w:bottom w:val="none" w:sz="0" w:space="0" w:color="auto"/>
        <w:right w:val="none" w:sz="0" w:space="0" w:color="auto"/>
      </w:divBdr>
    </w:div>
    <w:div w:id="162205835">
      <w:bodyDiv w:val="1"/>
      <w:marLeft w:val="0"/>
      <w:marRight w:val="0"/>
      <w:marTop w:val="0"/>
      <w:marBottom w:val="0"/>
      <w:divBdr>
        <w:top w:val="none" w:sz="0" w:space="0" w:color="auto"/>
        <w:left w:val="none" w:sz="0" w:space="0" w:color="auto"/>
        <w:bottom w:val="none" w:sz="0" w:space="0" w:color="auto"/>
        <w:right w:val="none" w:sz="0" w:space="0" w:color="auto"/>
      </w:divBdr>
    </w:div>
    <w:div w:id="185799122">
      <w:bodyDiv w:val="1"/>
      <w:marLeft w:val="0"/>
      <w:marRight w:val="0"/>
      <w:marTop w:val="0"/>
      <w:marBottom w:val="0"/>
      <w:divBdr>
        <w:top w:val="none" w:sz="0" w:space="0" w:color="auto"/>
        <w:left w:val="none" w:sz="0" w:space="0" w:color="auto"/>
        <w:bottom w:val="none" w:sz="0" w:space="0" w:color="auto"/>
        <w:right w:val="none" w:sz="0" w:space="0" w:color="auto"/>
      </w:divBdr>
    </w:div>
    <w:div w:id="1172795387">
      <w:bodyDiv w:val="1"/>
      <w:marLeft w:val="0"/>
      <w:marRight w:val="0"/>
      <w:marTop w:val="0"/>
      <w:marBottom w:val="0"/>
      <w:divBdr>
        <w:top w:val="none" w:sz="0" w:space="0" w:color="auto"/>
        <w:left w:val="none" w:sz="0" w:space="0" w:color="auto"/>
        <w:bottom w:val="none" w:sz="0" w:space="0" w:color="auto"/>
        <w:right w:val="none" w:sz="0" w:space="0" w:color="auto"/>
      </w:divBdr>
      <w:divsChild>
        <w:div w:id="2032947581">
          <w:marLeft w:val="547"/>
          <w:marRight w:val="0"/>
          <w:marTop w:val="67"/>
          <w:marBottom w:val="0"/>
          <w:divBdr>
            <w:top w:val="none" w:sz="0" w:space="0" w:color="auto"/>
            <w:left w:val="none" w:sz="0" w:space="0" w:color="auto"/>
            <w:bottom w:val="none" w:sz="0" w:space="0" w:color="auto"/>
            <w:right w:val="none" w:sz="0" w:space="0" w:color="auto"/>
          </w:divBdr>
        </w:div>
      </w:divsChild>
    </w:div>
    <w:div w:id="1328172676">
      <w:bodyDiv w:val="1"/>
      <w:marLeft w:val="0"/>
      <w:marRight w:val="0"/>
      <w:marTop w:val="0"/>
      <w:marBottom w:val="0"/>
      <w:divBdr>
        <w:top w:val="none" w:sz="0" w:space="0" w:color="auto"/>
        <w:left w:val="none" w:sz="0" w:space="0" w:color="auto"/>
        <w:bottom w:val="none" w:sz="0" w:space="0" w:color="auto"/>
        <w:right w:val="none" w:sz="0" w:space="0" w:color="auto"/>
      </w:divBdr>
    </w:div>
    <w:div w:id="1446576346">
      <w:bodyDiv w:val="1"/>
      <w:marLeft w:val="0"/>
      <w:marRight w:val="0"/>
      <w:marTop w:val="0"/>
      <w:marBottom w:val="0"/>
      <w:divBdr>
        <w:top w:val="none" w:sz="0" w:space="0" w:color="auto"/>
        <w:left w:val="none" w:sz="0" w:space="0" w:color="auto"/>
        <w:bottom w:val="none" w:sz="0" w:space="0" w:color="auto"/>
        <w:right w:val="none" w:sz="0" w:space="0" w:color="auto"/>
      </w:divBdr>
    </w:div>
    <w:div w:id="1618902244">
      <w:bodyDiv w:val="1"/>
      <w:marLeft w:val="0"/>
      <w:marRight w:val="0"/>
      <w:marTop w:val="0"/>
      <w:marBottom w:val="0"/>
      <w:divBdr>
        <w:top w:val="none" w:sz="0" w:space="0" w:color="auto"/>
        <w:left w:val="none" w:sz="0" w:space="0" w:color="auto"/>
        <w:bottom w:val="none" w:sz="0" w:space="0" w:color="auto"/>
        <w:right w:val="none" w:sz="0" w:space="0" w:color="auto"/>
      </w:divBdr>
      <w:divsChild>
        <w:div w:id="1394279547">
          <w:marLeft w:val="446"/>
          <w:marRight w:val="0"/>
          <w:marTop w:val="0"/>
          <w:marBottom w:val="0"/>
          <w:divBdr>
            <w:top w:val="none" w:sz="0" w:space="0" w:color="auto"/>
            <w:left w:val="none" w:sz="0" w:space="0" w:color="auto"/>
            <w:bottom w:val="none" w:sz="0" w:space="0" w:color="auto"/>
            <w:right w:val="none" w:sz="0" w:space="0" w:color="auto"/>
          </w:divBdr>
        </w:div>
      </w:divsChild>
    </w:div>
    <w:div w:id="1843545542">
      <w:bodyDiv w:val="1"/>
      <w:marLeft w:val="0"/>
      <w:marRight w:val="0"/>
      <w:marTop w:val="0"/>
      <w:marBottom w:val="0"/>
      <w:divBdr>
        <w:top w:val="none" w:sz="0" w:space="0" w:color="auto"/>
        <w:left w:val="none" w:sz="0" w:space="0" w:color="auto"/>
        <w:bottom w:val="none" w:sz="0" w:space="0" w:color="auto"/>
        <w:right w:val="none" w:sz="0" w:space="0" w:color="auto"/>
      </w:divBdr>
    </w:div>
    <w:div w:id="2143498407">
      <w:bodyDiv w:val="1"/>
      <w:marLeft w:val="0"/>
      <w:marRight w:val="0"/>
      <w:marTop w:val="0"/>
      <w:marBottom w:val="0"/>
      <w:divBdr>
        <w:top w:val="none" w:sz="0" w:space="0" w:color="auto"/>
        <w:left w:val="none" w:sz="0" w:space="0" w:color="auto"/>
        <w:bottom w:val="none" w:sz="0" w:space="0" w:color="auto"/>
        <w:right w:val="none" w:sz="0" w:space="0" w:color="auto"/>
      </w:divBdr>
      <w:divsChild>
        <w:div w:id="1123841909">
          <w:marLeft w:val="0"/>
          <w:marRight w:val="0"/>
          <w:marTop w:val="0"/>
          <w:marBottom w:val="0"/>
          <w:divBdr>
            <w:top w:val="none" w:sz="0" w:space="0" w:color="auto"/>
            <w:left w:val="none" w:sz="0" w:space="0" w:color="auto"/>
            <w:bottom w:val="none" w:sz="0" w:space="0" w:color="auto"/>
            <w:right w:val="none" w:sz="0" w:space="0" w:color="auto"/>
          </w:divBdr>
          <w:divsChild>
            <w:div w:id="1987080649">
              <w:marLeft w:val="0"/>
              <w:marRight w:val="0"/>
              <w:marTop w:val="0"/>
              <w:marBottom w:val="0"/>
              <w:divBdr>
                <w:top w:val="none" w:sz="0" w:space="0" w:color="auto"/>
                <w:left w:val="none" w:sz="0" w:space="0" w:color="auto"/>
                <w:bottom w:val="none" w:sz="0" w:space="0" w:color="auto"/>
                <w:right w:val="none" w:sz="0" w:space="0" w:color="auto"/>
              </w:divBdr>
              <w:divsChild>
                <w:div w:id="546182432">
                  <w:marLeft w:val="0"/>
                  <w:marRight w:val="0"/>
                  <w:marTop w:val="0"/>
                  <w:marBottom w:val="0"/>
                  <w:divBdr>
                    <w:top w:val="none" w:sz="0" w:space="0" w:color="auto"/>
                    <w:left w:val="none" w:sz="0" w:space="0" w:color="auto"/>
                    <w:bottom w:val="none" w:sz="0" w:space="0" w:color="auto"/>
                    <w:right w:val="none" w:sz="0" w:space="0" w:color="auto"/>
                  </w:divBdr>
                  <w:divsChild>
                    <w:div w:id="1266379697">
                      <w:marLeft w:val="0"/>
                      <w:marRight w:val="0"/>
                      <w:marTop w:val="0"/>
                      <w:marBottom w:val="0"/>
                      <w:divBdr>
                        <w:top w:val="none" w:sz="0" w:space="0" w:color="auto"/>
                        <w:left w:val="none" w:sz="0" w:space="0" w:color="auto"/>
                        <w:bottom w:val="none" w:sz="0" w:space="0" w:color="auto"/>
                        <w:right w:val="none" w:sz="0" w:space="0" w:color="auto"/>
                      </w:divBdr>
                      <w:divsChild>
                        <w:div w:id="1420366104">
                          <w:marLeft w:val="0"/>
                          <w:marRight w:val="0"/>
                          <w:marTop w:val="0"/>
                          <w:marBottom w:val="0"/>
                          <w:divBdr>
                            <w:top w:val="none" w:sz="0" w:space="0" w:color="auto"/>
                            <w:left w:val="none" w:sz="0" w:space="0" w:color="auto"/>
                            <w:bottom w:val="none" w:sz="0" w:space="0" w:color="auto"/>
                            <w:right w:val="none" w:sz="0" w:space="0" w:color="auto"/>
                          </w:divBdr>
                          <w:divsChild>
                            <w:div w:id="1457092815">
                              <w:marLeft w:val="0"/>
                              <w:marRight w:val="0"/>
                              <w:marTop w:val="0"/>
                              <w:marBottom w:val="0"/>
                              <w:divBdr>
                                <w:top w:val="none" w:sz="0" w:space="0" w:color="auto"/>
                                <w:left w:val="none" w:sz="0" w:space="0" w:color="auto"/>
                                <w:bottom w:val="none" w:sz="0" w:space="0" w:color="auto"/>
                                <w:right w:val="none" w:sz="0" w:space="0" w:color="auto"/>
                              </w:divBdr>
                              <w:divsChild>
                                <w:div w:id="1484469667">
                                  <w:marLeft w:val="0"/>
                                  <w:marRight w:val="0"/>
                                  <w:marTop w:val="0"/>
                                  <w:marBottom w:val="0"/>
                                  <w:divBdr>
                                    <w:top w:val="none" w:sz="0" w:space="0" w:color="auto"/>
                                    <w:left w:val="none" w:sz="0" w:space="0" w:color="auto"/>
                                    <w:bottom w:val="none" w:sz="0" w:space="0" w:color="auto"/>
                                    <w:right w:val="none" w:sz="0" w:space="0" w:color="auto"/>
                                  </w:divBdr>
                                  <w:divsChild>
                                    <w:div w:id="1436319285">
                                      <w:marLeft w:val="0"/>
                                      <w:marRight w:val="0"/>
                                      <w:marTop w:val="0"/>
                                      <w:marBottom w:val="0"/>
                                      <w:divBdr>
                                        <w:top w:val="none" w:sz="0" w:space="0" w:color="auto"/>
                                        <w:left w:val="none" w:sz="0" w:space="0" w:color="auto"/>
                                        <w:bottom w:val="none" w:sz="0" w:space="0" w:color="auto"/>
                                        <w:right w:val="none" w:sz="0" w:space="0" w:color="auto"/>
                                      </w:divBdr>
                                      <w:divsChild>
                                        <w:div w:id="609704451">
                                          <w:marLeft w:val="0"/>
                                          <w:marRight w:val="0"/>
                                          <w:marTop w:val="0"/>
                                          <w:marBottom w:val="0"/>
                                          <w:divBdr>
                                            <w:top w:val="none" w:sz="0" w:space="0" w:color="auto"/>
                                            <w:left w:val="none" w:sz="0" w:space="0" w:color="auto"/>
                                            <w:bottom w:val="none" w:sz="0" w:space="0" w:color="auto"/>
                                            <w:right w:val="none" w:sz="0" w:space="0" w:color="auto"/>
                                          </w:divBdr>
                                          <w:divsChild>
                                            <w:div w:id="457067346">
                                              <w:marLeft w:val="0"/>
                                              <w:marRight w:val="0"/>
                                              <w:marTop w:val="0"/>
                                              <w:marBottom w:val="0"/>
                                              <w:divBdr>
                                                <w:top w:val="none" w:sz="0" w:space="0" w:color="auto"/>
                                                <w:left w:val="none" w:sz="0" w:space="0" w:color="auto"/>
                                                <w:bottom w:val="none" w:sz="0" w:space="0" w:color="auto"/>
                                                <w:right w:val="none" w:sz="0" w:space="0" w:color="auto"/>
                                              </w:divBdr>
                                              <w:divsChild>
                                                <w:div w:id="855339991">
                                                  <w:marLeft w:val="0"/>
                                                  <w:marRight w:val="0"/>
                                                  <w:marTop w:val="0"/>
                                                  <w:marBottom w:val="0"/>
                                                  <w:divBdr>
                                                    <w:top w:val="none" w:sz="0" w:space="0" w:color="auto"/>
                                                    <w:left w:val="none" w:sz="0" w:space="0" w:color="auto"/>
                                                    <w:bottom w:val="none" w:sz="0" w:space="0" w:color="auto"/>
                                                    <w:right w:val="none" w:sz="0" w:space="0" w:color="auto"/>
                                                  </w:divBdr>
                                                  <w:divsChild>
                                                    <w:div w:id="1195770551">
                                                      <w:marLeft w:val="0"/>
                                                      <w:marRight w:val="0"/>
                                                      <w:marTop w:val="0"/>
                                                      <w:marBottom w:val="0"/>
                                                      <w:divBdr>
                                                        <w:top w:val="none" w:sz="0" w:space="0" w:color="auto"/>
                                                        <w:left w:val="none" w:sz="0" w:space="0" w:color="auto"/>
                                                        <w:bottom w:val="none" w:sz="0" w:space="0" w:color="auto"/>
                                                        <w:right w:val="none" w:sz="0" w:space="0" w:color="auto"/>
                                                      </w:divBdr>
                                                      <w:divsChild>
                                                        <w:div w:id="857305374">
                                                          <w:marLeft w:val="0"/>
                                                          <w:marRight w:val="0"/>
                                                          <w:marTop w:val="0"/>
                                                          <w:marBottom w:val="0"/>
                                                          <w:divBdr>
                                                            <w:top w:val="none" w:sz="0" w:space="0" w:color="auto"/>
                                                            <w:left w:val="none" w:sz="0" w:space="0" w:color="auto"/>
                                                            <w:bottom w:val="none" w:sz="0" w:space="0" w:color="auto"/>
                                                            <w:right w:val="none" w:sz="0" w:space="0" w:color="auto"/>
                                                          </w:divBdr>
                                                        </w:div>
                                                        <w:div w:id="14781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data-in-australia/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65C4-3DE5-4813-B1FD-DD106C20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11758</Words>
  <Characters>67794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2020-02-25T06:39:00Z</dcterms:created>
  <dcterms:modified xsi:type="dcterms:W3CDTF">2020-02-28T02:10:00Z</dcterms:modified>
</cp:coreProperties>
</file>